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F1E08" w14:textId="77777777" w:rsidR="00912E95" w:rsidRPr="00E75780" w:rsidRDefault="00912E95" w:rsidP="002D471E">
      <w:pPr>
        <w:jc w:val="both"/>
        <w:outlineLvl w:val="0"/>
        <w:rPr>
          <w:rFonts w:ascii="Century Gothic" w:eastAsia="Times New Roman" w:hAnsi="Century Gothic" w:cs="Arial"/>
          <w:color w:val="000000" w:themeColor="text1"/>
          <w:sz w:val="24"/>
          <w:lang w:val="es-ES" w:eastAsia="es-ES"/>
        </w:rPr>
      </w:pPr>
      <w:bookmarkStart w:id="0" w:name="_GoBack"/>
      <w:bookmarkEnd w:id="0"/>
      <w:r w:rsidRPr="00E75780">
        <w:rPr>
          <w:rFonts w:ascii="Century Gothic" w:eastAsia="Times New Roman" w:hAnsi="Century Gothic" w:cs="Arial"/>
          <w:color w:val="000000" w:themeColor="text1"/>
          <w:lang w:val="es-ES" w:eastAsia="es-ES"/>
        </w:rPr>
        <w:t>Bogotá, 21 de julio de 2020</w:t>
      </w:r>
    </w:p>
    <w:p w14:paraId="4F0FDA3E" w14:textId="77777777" w:rsidR="00912E95" w:rsidRPr="00E75780" w:rsidRDefault="00912E95" w:rsidP="00912E95">
      <w:pPr>
        <w:jc w:val="both"/>
        <w:rPr>
          <w:rFonts w:ascii="Century Gothic" w:eastAsia="Times New Roman" w:hAnsi="Century Gothic" w:cs="Arial"/>
          <w:color w:val="000000" w:themeColor="text1"/>
          <w:lang w:val="es-ES" w:eastAsia="es-ES"/>
        </w:rPr>
      </w:pPr>
    </w:p>
    <w:p w14:paraId="2E346559" w14:textId="77777777" w:rsidR="00912E95" w:rsidRPr="00E75780" w:rsidRDefault="00912E95" w:rsidP="00912E95">
      <w:pPr>
        <w:jc w:val="both"/>
        <w:rPr>
          <w:rFonts w:ascii="Century Gothic" w:eastAsia="Times New Roman" w:hAnsi="Century Gothic" w:cs="Arial"/>
          <w:color w:val="000000" w:themeColor="text1"/>
          <w:lang w:val="es-ES" w:eastAsia="es-ES"/>
        </w:rPr>
      </w:pPr>
    </w:p>
    <w:p w14:paraId="2B20E598" w14:textId="77777777" w:rsidR="00912E95" w:rsidRPr="00E75780" w:rsidRDefault="00912E95" w:rsidP="002D471E">
      <w:pPr>
        <w:jc w:val="both"/>
        <w:outlineLvl w:val="0"/>
        <w:rPr>
          <w:rFonts w:ascii="Century Gothic" w:eastAsia="Times New Roman" w:hAnsi="Century Gothic" w:cs="Arial"/>
          <w:b/>
          <w:caps/>
          <w:color w:val="000000" w:themeColor="text1"/>
          <w:lang w:val="es-ES" w:eastAsia="es-ES"/>
        </w:rPr>
      </w:pPr>
      <w:r w:rsidRPr="00E75780">
        <w:rPr>
          <w:rFonts w:ascii="Century Gothic" w:eastAsia="Times New Roman" w:hAnsi="Century Gothic" w:cs="Arial"/>
          <w:b/>
          <w:caps/>
          <w:color w:val="000000" w:themeColor="text1"/>
          <w:lang w:val="es-ES" w:eastAsia="es-ES"/>
        </w:rPr>
        <w:t>jorge humberto mantilla</w:t>
      </w:r>
    </w:p>
    <w:p w14:paraId="038488F5" w14:textId="77777777" w:rsidR="00E75780" w:rsidRDefault="00912E95" w:rsidP="002D471E">
      <w:pPr>
        <w:jc w:val="both"/>
        <w:outlineLvl w:val="0"/>
        <w:rPr>
          <w:rFonts w:ascii="Century Gothic" w:eastAsia="Times New Roman" w:hAnsi="Century Gothic" w:cs="Arial"/>
          <w:caps/>
          <w:color w:val="000000" w:themeColor="text1"/>
          <w:lang w:val="es-ES" w:eastAsia="es-ES"/>
        </w:rPr>
      </w:pPr>
      <w:r w:rsidRPr="00E75780">
        <w:rPr>
          <w:rFonts w:ascii="Century Gothic" w:eastAsia="Times New Roman" w:hAnsi="Century Gothic" w:cs="Arial"/>
          <w:color w:val="000000" w:themeColor="text1"/>
          <w:lang w:val="es-ES" w:eastAsia="es-ES"/>
        </w:rPr>
        <w:t>Secretario General</w:t>
      </w:r>
    </w:p>
    <w:p w14:paraId="3EF13BF8" w14:textId="0E86DEFF" w:rsidR="00912E95" w:rsidRPr="00E75780" w:rsidRDefault="00912E95" w:rsidP="00912E95">
      <w:pPr>
        <w:jc w:val="both"/>
        <w:rPr>
          <w:rFonts w:ascii="Century Gothic" w:eastAsia="Times New Roman" w:hAnsi="Century Gothic" w:cs="Arial"/>
          <w:caps/>
          <w:color w:val="000000" w:themeColor="text1"/>
          <w:lang w:val="es-ES" w:eastAsia="es-ES"/>
        </w:rPr>
      </w:pPr>
      <w:r w:rsidRPr="00E75780">
        <w:rPr>
          <w:rFonts w:ascii="Century Gothic" w:eastAsia="Times New Roman" w:hAnsi="Century Gothic" w:cs="Arial"/>
          <w:color w:val="000000" w:themeColor="text1"/>
          <w:lang w:val="es-ES" w:eastAsia="es-ES"/>
        </w:rPr>
        <w:t xml:space="preserve">Cámara De Representantes </w:t>
      </w:r>
    </w:p>
    <w:p w14:paraId="73567A63" w14:textId="77777777" w:rsidR="00912E95" w:rsidRPr="00E75780" w:rsidRDefault="00912E95" w:rsidP="00912E95">
      <w:pPr>
        <w:jc w:val="both"/>
        <w:rPr>
          <w:rFonts w:ascii="Century Gothic" w:eastAsia="Times New Roman" w:hAnsi="Century Gothic" w:cs="Arial"/>
          <w:caps/>
          <w:color w:val="000000" w:themeColor="text1"/>
          <w:lang w:val="es-ES" w:eastAsia="es-ES"/>
        </w:rPr>
      </w:pPr>
      <w:r w:rsidRPr="00E75780">
        <w:rPr>
          <w:rFonts w:ascii="Century Gothic" w:eastAsia="Times New Roman" w:hAnsi="Century Gothic" w:cs="Arial"/>
          <w:color w:val="000000" w:themeColor="text1"/>
          <w:lang w:val="es-ES" w:eastAsia="es-ES"/>
        </w:rPr>
        <w:t>Ciudad</w:t>
      </w:r>
    </w:p>
    <w:p w14:paraId="57A22638" w14:textId="77777777" w:rsidR="00912E95" w:rsidRPr="00E75780" w:rsidRDefault="00912E95" w:rsidP="00912E95">
      <w:pPr>
        <w:jc w:val="both"/>
        <w:rPr>
          <w:rFonts w:ascii="Century Gothic" w:eastAsia="Times New Roman" w:hAnsi="Century Gothic" w:cs="Arial"/>
          <w:caps/>
          <w:color w:val="000000" w:themeColor="text1"/>
          <w:lang w:val="es-ES" w:eastAsia="es-ES"/>
        </w:rPr>
      </w:pPr>
    </w:p>
    <w:p w14:paraId="02A10EBC" w14:textId="77777777" w:rsidR="00912E95" w:rsidRPr="00E75780" w:rsidRDefault="00912E95" w:rsidP="00912E95">
      <w:pPr>
        <w:jc w:val="both"/>
        <w:rPr>
          <w:rFonts w:ascii="Century Gothic" w:eastAsia="Times New Roman" w:hAnsi="Century Gothic" w:cs="Arial"/>
          <w:caps/>
          <w:color w:val="000000" w:themeColor="text1"/>
          <w:lang w:val="es-ES" w:eastAsia="es-ES"/>
        </w:rPr>
      </w:pPr>
    </w:p>
    <w:p w14:paraId="3F39A647" w14:textId="5B48D185" w:rsidR="00C550BE" w:rsidRDefault="00912E95" w:rsidP="00C550BE">
      <w:pPr>
        <w:spacing w:line="23" w:lineRule="atLeast"/>
        <w:jc w:val="both"/>
        <w:rPr>
          <w:rFonts w:ascii="Century Gothic" w:hAnsi="Century Gothic"/>
          <w:bCs/>
          <w:color w:val="000000" w:themeColor="text1"/>
        </w:rPr>
      </w:pPr>
      <w:r w:rsidRPr="00E75780">
        <w:rPr>
          <w:rFonts w:ascii="Century Gothic" w:hAnsi="Century Gothic" w:cs="Arial"/>
          <w:b/>
          <w:color w:val="000000" w:themeColor="text1"/>
          <w:lang w:val="es-ES" w:eastAsia="es-ES"/>
        </w:rPr>
        <w:t>Asunto:</w:t>
      </w:r>
      <w:r w:rsidRPr="00E75780">
        <w:rPr>
          <w:rFonts w:ascii="Century Gothic" w:hAnsi="Century Gothic" w:cs="Arial"/>
          <w:color w:val="000000" w:themeColor="text1"/>
          <w:lang w:val="es-ES" w:eastAsia="es-ES"/>
        </w:rPr>
        <w:t xml:space="preserve"> Radicación de Proyecto </w:t>
      </w:r>
      <w:r w:rsidR="00E75780">
        <w:rPr>
          <w:rFonts w:ascii="Century Gothic" w:hAnsi="Century Gothic" w:cs="Arial"/>
          <w:color w:val="000000" w:themeColor="text1"/>
          <w:lang w:val="es-ES" w:eastAsia="es-ES"/>
        </w:rPr>
        <w:t>de Ley</w:t>
      </w:r>
      <w:r w:rsidRPr="00E75780">
        <w:rPr>
          <w:rFonts w:ascii="Century Gothic" w:hAnsi="Century Gothic" w:cs="Arial"/>
          <w:color w:val="000000" w:themeColor="text1"/>
          <w:lang w:val="es-ES" w:eastAsia="es-ES"/>
        </w:rPr>
        <w:t xml:space="preserve"> </w:t>
      </w:r>
      <w:r w:rsidR="00C550BE" w:rsidRPr="00E75780">
        <w:rPr>
          <w:rFonts w:ascii="Century Gothic" w:hAnsi="Century Gothic" w:cs="Arial"/>
          <w:b/>
          <w:color w:val="000000" w:themeColor="text1"/>
          <w:lang w:val="es-ES" w:eastAsia="es-ES"/>
        </w:rPr>
        <w:t>“</w:t>
      </w:r>
      <w:r w:rsidR="00C550BE" w:rsidRPr="00E75780">
        <w:rPr>
          <w:rFonts w:ascii="Century Gothic" w:hAnsi="Century Gothic" w:cs="Arial"/>
          <w:color w:val="000000" w:themeColor="text1"/>
        </w:rPr>
        <w:t xml:space="preserve">Por medio del cual se </w:t>
      </w:r>
      <w:r w:rsidR="00C550BE">
        <w:rPr>
          <w:rFonts w:ascii="Century Gothic" w:hAnsi="Century Gothic" w:cs="Arial"/>
          <w:color w:val="000000" w:themeColor="text1"/>
        </w:rPr>
        <w:t>crean herramientas tributarias para</w:t>
      </w:r>
      <w:r w:rsidR="00C550BE" w:rsidRPr="00E75780">
        <w:rPr>
          <w:rFonts w:ascii="Century Gothic" w:hAnsi="Century Gothic" w:cs="Arial"/>
          <w:color w:val="000000" w:themeColor="text1"/>
        </w:rPr>
        <w:t xml:space="preserve"> la lucha contra la </w:t>
      </w:r>
      <w:r w:rsidR="002D471E">
        <w:rPr>
          <w:rFonts w:ascii="Century Gothic" w:hAnsi="Century Gothic" w:cs="Arial"/>
          <w:color w:val="000000" w:themeColor="text1"/>
        </w:rPr>
        <w:t>inequidad</w:t>
      </w:r>
      <w:r w:rsidR="00C550BE" w:rsidRPr="00E75780">
        <w:rPr>
          <w:rFonts w:ascii="Century Gothic" w:hAnsi="Century Gothic" w:cs="Arial"/>
          <w:color w:val="000000" w:themeColor="text1"/>
        </w:rPr>
        <w:t xml:space="preserve"> de </w:t>
      </w:r>
      <w:r w:rsidR="00C550BE">
        <w:rPr>
          <w:rFonts w:ascii="Century Gothic" w:hAnsi="Century Gothic" w:cs="Arial"/>
          <w:color w:val="000000" w:themeColor="text1"/>
        </w:rPr>
        <w:t>género</w:t>
      </w:r>
      <w:r w:rsidR="00C550BE" w:rsidRPr="00E75780">
        <w:rPr>
          <w:rFonts w:ascii="Century Gothic" w:hAnsi="Century Gothic"/>
          <w:bCs/>
          <w:color w:val="000000" w:themeColor="text1"/>
        </w:rPr>
        <w:t>”</w:t>
      </w:r>
    </w:p>
    <w:p w14:paraId="73B0E10F" w14:textId="2ACAC022" w:rsidR="00912E95" w:rsidRPr="00E75780" w:rsidRDefault="00912E95" w:rsidP="00C550BE">
      <w:pPr>
        <w:pStyle w:val="Prrafodelista"/>
        <w:tabs>
          <w:tab w:val="left" w:pos="720"/>
        </w:tabs>
        <w:jc w:val="both"/>
        <w:rPr>
          <w:rFonts w:ascii="Century Gothic" w:eastAsia="Times New Roman" w:hAnsi="Century Gothic" w:cs="Arial"/>
          <w:b/>
          <w:color w:val="000000" w:themeColor="text1"/>
          <w:lang w:val="es-ES" w:eastAsia="es-ES"/>
        </w:rPr>
      </w:pPr>
    </w:p>
    <w:p w14:paraId="63B6EE6A" w14:textId="36410974" w:rsidR="00912E95" w:rsidRPr="00E75780" w:rsidRDefault="00912E95" w:rsidP="00912E95">
      <w:pPr>
        <w:jc w:val="both"/>
        <w:rPr>
          <w:rFonts w:ascii="Century Gothic" w:eastAsia="Times New Roman" w:hAnsi="Century Gothic" w:cs="Arial"/>
          <w:color w:val="000000" w:themeColor="text1"/>
          <w:lang w:val="es-ES" w:eastAsia="es-ES"/>
        </w:rPr>
      </w:pPr>
      <w:r w:rsidRPr="00E75780">
        <w:rPr>
          <w:rFonts w:ascii="Century Gothic" w:eastAsia="Times New Roman" w:hAnsi="Century Gothic" w:cs="Arial"/>
          <w:color w:val="000000" w:themeColor="text1"/>
          <w:lang w:val="es-ES" w:eastAsia="es-ES"/>
        </w:rPr>
        <w:t xml:space="preserve">Señor </w:t>
      </w:r>
      <w:r w:rsidR="00E83DAB" w:rsidRPr="00E75780">
        <w:rPr>
          <w:rFonts w:ascii="Century Gothic" w:eastAsia="Times New Roman" w:hAnsi="Century Gothic" w:cs="Arial"/>
          <w:color w:val="000000" w:themeColor="text1"/>
          <w:lang w:val="es-ES" w:eastAsia="es-ES"/>
        </w:rPr>
        <w:t>secretario</w:t>
      </w:r>
      <w:r w:rsidRPr="00E75780">
        <w:rPr>
          <w:rFonts w:ascii="Century Gothic" w:eastAsia="Times New Roman" w:hAnsi="Century Gothic" w:cs="Arial"/>
          <w:color w:val="000000" w:themeColor="text1"/>
          <w:lang w:val="es-ES" w:eastAsia="es-ES"/>
        </w:rPr>
        <w:t>,</w:t>
      </w:r>
    </w:p>
    <w:p w14:paraId="7BE53CFC" w14:textId="77777777" w:rsidR="00912E95" w:rsidRPr="00E75780" w:rsidRDefault="00912E95" w:rsidP="00912E95">
      <w:pPr>
        <w:jc w:val="both"/>
        <w:rPr>
          <w:rFonts w:ascii="Century Gothic" w:eastAsia="Times New Roman" w:hAnsi="Century Gothic" w:cs="Arial"/>
          <w:color w:val="000000" w:themeColor="text1"/>
          <w:lang w:val="es-ES" w:eastAsia="es-ES"/>
        </w:rPr>
      </w:pPr>
    </w:p>
    <w:p w14:paraId="24617FA4" w14:textId="33637757" w:rsidR="00912E95" w:rsidRPr="00C550BE" w:rsidRDefault="00912E95" w:rsidP="00C550BE">
      <w:pPr>
        <w:spacing w:line="23" w:lineRule="atLeast"/>
        <w:jc w:val="both"/>
        <w:rPr>
          <w:rFonts w:ascii="Century Gothic" w:hAnsi="Century Gothic"/>
          <w:bCs/>
          <w:color w:val="000000" w:themeColor="text1"/>
        </w:rPr>
      </w:pPr>
      <w:r w:rsidRPr="00E75780">
        <w:rPr>
          <w:rFonts w:ascii="Century Gothic" w:hAnsi="Century Gothic" w:cs="Arial"/>
          <w:color w:val="000000" w:themeColor="text1"/>
          <w:lang w:val="es-ES" w:eastAsia="es-ES"/>
        </w:rPr>
        <w:t xml:space="preserve">De conformidad con el artículo 139 de la Ley 5 de 1992, presento ante su despacho Proyecto de </w:t>
      </w:r>
      <w:r w:rsidR="00E75780">
        <w:rPr>
          <w:rFonts w:ascii="Century Gothic" w:hAnsi="Century Gothic" w:cs="Arial"/>
          <w:color w:val="000000" w:themeColor="text1"/>
          <w:lang w:val="es-ES" w:eastAsia="es-ES"/>
        </w:rPr>
        <w:t>Ley</w:t>
      </w:r>
      <w:r w:rsidRPr="00E75780">
        <w:rPr>
          <w:rFonts w:ascii="Century Gothic" w:hAnsi="Century Gothic" w:cs="Arial"/>
          <w:color w:val="000000" w:themeColor="text1"/>
          <w:lang w:val="es-ES" w:eastAsia="es-ES"/>
        </w:rPr>
        <w:t xml:space="preserve"> </w:t>
      </w:r>
      <w:r w:rsidR="00C550BE" w:rsidRPr="00E75780">
        <w:rPr>
          <w:rFonts w:ascii="Century Gothic" w:hAnsi="Century Gothic" w:cs="Arial"/>
          <w:b/>
          <w:color w:val="000000" w:themeColor="text1"/>
          <w:lang w:val="es-ES" w:eastAsia="es-ES"/>
        </w:rPr>
        <w:t>“</w:t>
      </w:r>
      <w:r w:rsidR="00C550BE" w:rsidRPr="00E75780">
        <w:rPr>
          <w:rFonts w:ascii="Century Gothic" w:hAnsi="Century Gothic" w:cs="Arial"/>
          <w:color w:val="000000" w:themeColor="text1"/>
        </w:rPr>
        <w:t xml:space="preserve">Por medio del cual se </w:t>
      </w:r>
      <w:r w:rsidR="00C550BE">
        <w:rPr>
          <w:rFonts w:ascii="Century Gothic" w:hAnsi="Century Gothic" w:cs="Arial"/>
          <w:color w:val="000000" w:themeColor="text1"/>
        </w:rPr>
        <w:t>crean herramientas tributarias para</w:t>
      </w:r>
      <w:r w:rsidR="00C550BE" w:rsidRPr="00E75780">
        <w:rPr>
          <w:rFonts w:ascii="Century Gothic" w:hAnsi="Century Gothic" w:cs="Arial"/>
          <w:color w:val="000000" w:themeColor="text1"/>
        </w:rPr>
        <w:t xml:space="preserve"> la lucha contra la </w:t>
      </w:r>
      <w:r w:rsidR="002D471E">
        <w:rPr>
          <w:rFonts w:ascii="Century Gothic" w:hAnsi="Century Gothic" w:cs="Arial"/>
          <w:color w:val="000000" w:themeColor="text1"/>
        </w:rPr>
        <w:t xml:space="preserve">inequidad </w:t>
      </w:r>
      <w:r w:rsidR="00C550BE" w:rsidRPr="00E75780">
        <w:rPr>
          <w:rFonts w:ascii="Century Gothic" w:hAnsi="Century Gothic" w:cs="Arial"/>
          <w:color w:val="000000" w:themeColor="text1"/>
        </w:rPr>
        <w:t xml:space="preserve">de </w:t>
      </w:r>
      <w:r w:rsidR="00C550BE">
        <w:rPr>
          <w:rFonts w:ascii="Century Gothic" w:hAnsi="Century Gothic" w:cs="Arial"/>
          <w:color w:val="000000" w:themeColor="text1"/>
        </w:rPr>
        <w:t>género</w:t>
      </w:r>
      <w:r w:rsidR="00C550BE" w:rsidRPr="00E75780">
        <w:rPr>
          <w:rFonts w:ascii="Century Gothic" w:hAnsi="Century Gothic"/>
          <w:bCs/>
          <w:color w:val="000000" w:themeColor="text1"/>
        </w:rPr>
        <w:t>”</w:t>
      </w:r>
      <w:r w:rsidR="00C550BE">
        <w:rPr>
          <w:rFonts w:ascii="Century Gothic" w:hAnsi="Century Gothic"/>
          <w:bCs/>
          <w:color w:val="000000" w:themeColor="text1"/>
        </w:rPr>
        <w:t xml:space="preserve"> </w:t>
      </w:r>
      <w:r w:rsidRPr="00E75780">
        <w:rPr>
          <w:rFonts w:ascii="Century Gothic" w:hAnsi="Century Gothic" w:cs="Arial"/>
          <w:color w:val="000000" w:themeColor="text1"/>
          <w:lang w:val="es-ES" w:eastAsia="es-ES"/>
        </w:rPr>
        <w:t>para el t</w:t>
      </w:r>
      <w:r w:rsidR="00E75780">
        <w:rPr>
          <w:rFonts w:ascii="Century Gothic" w:hAnsi="Century Gothic" w:cs="Arial"/>
          <w:color w:val="000000" w:themeColor="text1"/>
          <w:lang w:val="es-ES" w:eastAsia="es-ES"/>
        </w:rPr>
        <w:t xml:space="preserve">rámite establecido en la Ley 5 de 1992. </w:t>
      </w:r>
    </w:p>
    <w:p w14:paraId="44417050" w14:textId="77777777" w:rsidR="00E75780" w:rsidRPr="00E75780" w:rsidRDefault="00E75780" w:rsidP="00912E95">
      <w:pPr>
        <w:tabs>
          <w:tab w:val="left" w:pos="720"/>
        </w:tabs>
        <w:jc w:val="both"/>
        <w:rPr>
          <w:rFonts w:ascii="Century Gothic" w:hAnsi="Century Gothic"/>
          <w:bCs/>
          <w:color w:val="000000" w:themeColor="text1"/>
        </w:rPr>
      </w:pPr>
    </w:p>
    <w:p w14:paraId="4B6A863A" w14:textId="77777777" w:rsidR="00912E95" w:rsidRPr="00E75780" w:rsidRDefault="00912E95" w:rsidP="00912E95">
      <w:pPr>
        <w:jc w:val="both"/>
        <w:rPr>
          <w:rFonts w:ascii="Century Gothic" w:eastAsia="Times New Roman" w:hAnsi="Century Gothic" w:cs="Arial"/>
          <w:color w:val="000000" w:themeColor="text1"/>
          <w:lang w:val="es-ES" w:eastAsia="es-ES"/>
        </w:rPr>
      </w:pPr>
      <w:r w:rsidRPr="00E75780">
        <w:rPr>
          <w:rFonts w:ascii="Century Gothic" w:eastAsia="Times New Roman" w:hAnsi="Century Gothic" w:cs="Arial"/>
          <w:color w:val="000000" w:themeColor="text1"/>
          <w:lang w:val="es-ES" w:eastAsia="es-ES"/>
        </w:rPr>
        <w:t>Cordialmente,</w:t>
      </w:r>
    </w:p>
    <w:p w14:paraId="57DCD8DE" w14:textId="1F372B4D" w:rsidR="00912E95" w:rsidRDefault="00912E95" w:rsidP="00912E95">
      <w:pPr>
        <w:jc w:val="both"/>
        <w:rPr>
          <w:rFonts w:ascii="Century Gothic" w:eastAsia="Times New Roman" w:hAnsi="Century Gothic" w:cs="Arial"/>
          <w:color w:val="000000" w:themeColor="text1"/>
          <w:lang w:val="es-ES" w:eastAsia="es-ES"/>
        </w:rPr>
      </w:pPr>
    </w:p>
    <w:p w14:paraId="2284EC09" w14:textId="77777777" w:rsidR="008F5B56" w:rsidRDefault="008F5B56" w:rsidP="00912E95">
      <w:pPr>
        <w:jc w:val="both"/>
        <w:rPr>
          <w:rFonts w:ascii="Century Gothic" w:eastAsia="Times New Roman" w:hAnsi="Century Gothic" w:cs="Arial"/>
          <w:color w:val="000000" w:themeColor="text1"/>
          <w:lang w:val="es-ES" w:eastAsia="es-ES"/>
        </w:rPr>
      </w:pPr>
    </w:p>
    <w:p w14:paraId="13C98C06" w14:textId="77777777" w:rsidR="008F5B56" w:rsidRPr="00E75780" w:rsidRDefault="008F5B56" w:rsidP="00912E95">
      <w:pPr>
        <w:jc w:val="both"/>
        <w:rPr>
          <w:rFonts w:ascii="Century Gothic" w:eastAsia="Times New Roman" w:hAnsi="Century Gothic" w:cs="Arial"/>
          <w:color w:val="000000" w:themeColor="text1"/>
          <w:lang w:val="es-ES" w:eastAsia="es-ES"/>
        </w:rPr>
      </w:pPr>
    </w:p>
    <w:p w14:paraId="4E78B0C9" w14:textId="77777777" w:rsidR="00912E95" w:rsidRPr="00E75780" w:rsidRDefault="00912E95" w:rsidP="002D471E">
      <w:pPr>
        <w:jc w:val="both"/>
        <w:outlineLvl w:val="0"/>
        <w:rPr>
          <w:rFonts w:ascii="Century Gothic" w:eastAsia="Times New Roman" w:hAnsi="Century Gothic" w:cs="Arial"/>
          <w:b/>
          <w:color w:val="000000" w:themeColor="text1"/>
          <w:lang w:val="es-ES" w:eastAsia="es-ES"/>
        </w:rPr>
      </w:pPr>
      <w:r w:rsidRPr="00E75780">
        <w:rPr>
          <w:rFonts w:ascii="Century Gothic" w:eastAsia="Times New Roman" w:hAnsi="Century Gothic" w:cs="Arial"/>
          <w:b/>
          <w:color w:val="000000" w:themeColor="text1"/>
          <w:lang w:val="es-ES" w:eastAsia="es-ES"/>
        </w:rPr>
        <w:t xml:space="preserve">DAVID RACERO MAYORCA </w:t>
      </w:r>
    </w:p>
    <w:p w14:paraId="0722FDB1" w14:textId="77777777" w:rsidR="00912E95" w:rsidRPr="00E75780" w:rsidRDefault="00912E95" w:rsidP="002D471E">
      <w:pPr>
        <w:jc w:val="both"/>
        <w:outlineLvl w:val="0"/>
        <w:rPr>
          <w:rFonts w:ascii="Century Gothic" w:eastAsia="Times New Roman" w:hAnsi="Century Gothic" w:cs="Arial"/>
          <w:color w:val="000000" w:themeColor="text1"/>
          <w:lang w:val="es-ES" w:eastAsia="es-ES"/>
        </w:rPr>
      </w:pPr>
      <w:r w:rsidRPr="00E75780">
        <w:rPr>
          <w:rFonts w:ascii="Century Gothic" w:eastAsia="Times New Roman" w:hAnsi="Century Gothic" w:cs="Arial"/>
          <w:color w:val="000000" w:themeColor="text1"/>
          <w:lang w:val="es-ES" w:eastAsia="es-ES"/>
        </w:rPr>
        <w:t>Representante a la Cámara por Bogotá</w:t>
      </w:r>
    </w:p>
    <w:p w14:paraId="11FAC045" w14:textId="77777777" w:rsidR="00912E95" w:rsidRDefault="00912E95" w:rsidP="00912E95">
      <w:pPr>
        <w:rPr>
          <w:rFonts w:ascii="Century Gothic" w:hAnsi="Century Gothic"/>
          <w:b/>
          <w:bCs/>
          <w:color w:val="000000" w:themeColor="text1"/>
        </w:rPr>
      </w:pPr>
    </w:p>
    <w:p w14:paraId="4DCDE4EC" w14:textId="77777777" w:rsidR="00686787" w:rsidRDefault="00686787" w:rsidP="00912E95">
      <w:pPr>
        <w:rPr>
          <w:rFonts w:ascii="Century Gothic" w:hAnsi="Century Gothic"/>
          <w:b/>
          <w:bCs/>
          <w:color w:val="000000" w:themeColor="text1"/>
        </w:rPr>
      </w:pPr>
    </w:p>
    <w:p w14:paraId="4F1DBD89" w14:textId="77777777" w:rsidR="00C550BE" w:rsidRPr="00E75780" w:rsidRDefault="00C550BE" w:rsidP="00912E95">
      <w:pPr>
        <w:rPr>
          <w:rFonts w:ascii="Century Gothic" w:hAnsi="Century Gothic"/>
          <w:b/>
          <w:bCs/>
          <w:color w:val="000000" w:themeColor="text1"/>
        </w:rPr>
      </w:pPr>
    </w:p>
    <w:p w14:paraId="5BAECF09" w14:textId="77777777" w:rsidR="00912E95" w:rsidRPr="00E75780" w:rsidRDefault="00912E95" w:rsidP="002D471E">
      <w:pPr>
        <w:jc w:val="center"/>
        <w:outlineLvl w:val="0"/>
        <w:rPr>
          <w:rFonts w:ascii="Century Gothic" w:hAnsi="Century Gothic"/>
          <w:b/>
          <w:bCs/>
          <w:color w:val="000000" w:themeColor="text1"/>
        </w:rPr>
      </w:pPr>
      <w:r w:rsidRPr="00E75780">
        <w:rPr>
          <w:rFonts w:ascii="Century Gothic" w:hAnsi="Century Gothic"/>
          <w:b/>
          <w:bCs/>
          <w:color w:val="000000" w:themeColor="text1"/>
        </w:rPr>
        <w:lastRenderedPageBreak/>
        <w:t>Exposición de motivos</w:t>
      </w:r>
    </w:p>
    <w:p w14:paraId="6947947B" w14:textId="424F4C45" w:rsidR="00912E95" w:rsidRPr="00E75780" w:rsidRDefault="00E83DAB" w:rsidP="00912E95">
      <w:pPr>
        <w:jc w:val="right"/>
        <w:rPr>
          <w:rFonts w:ascii="Century Gothic" w:hAnsi="Century Gothic"/>
          <w:i/>
          <w:iCs/>
          <w:color w:val="000000" w:themeColor="text1"/>
        </w:rPr>
      </w:pPr>
      <w:r w:rsidRPr="00E75780">
        <w:rPr>
          <w:rFonts w:ascii="Century Gothic" w:hAnsi="Century Gothic"/>
          <w:i/>
          <w:iCs/>
          <w:color w:val="000000" w:themeColor="text1"/>
          <w:shd w:val="clear" w:color="auto" w:fill="FFFFFF"/>
        </w:rPr>
        <w:t xml:space="preserve">Las mujeres y las niñas constituyen la mitad de la población mundial y por consiguiente la mitad de su potencial. La igualdad de género, además de ser un derecho humano fundamental, es imprescindible para lograr sociedades pacíficas, con pleno potencial humano y desarrollo sostenible (ONU) </w:t>
      </w:r>
    </w:p>
    <w:p w14:paraId="7A181151" w14:textId="77777777" w:rsidR="00912E95" w:rsidRPr="00E75780" w:rsidRDefault="00912E95" w:rsidP="002D471E">
      <w:pPr>
        <w:spacing w:before="240" w:after="120"/>
        <w:jc w:val="both"/>
        <w:outlineLvl w:val="0"/>
        <w:rPr>
          <w:rFonts w:ascii="Century Gothic" w:hAnsi="Century Gothic"/>
          <w:b/>
          <w:bCs/>
          <w:color w:val="000000" w:themeColor="text1"/>
        </w:rPr>
      </w:pPr>
      <w:r w:rsidRPr="00E75780">
        <w:rPr>
          <w:rFonts w:ascii="Century Gothic" w:hAnsi="Century Gothic"/>
          <w:b/>
          <w:bCs/>
          <w:color w:val="000000" w:themeColor="text1"/>
        </w:rPr>
        <w:t>Introducción</w:t>
      </w:r>
    </w:p>
    <w:p w14:paraId="085D3A14" w14:textId="68181560" w:rsidR="00912E95" w:rsidRPr="00E75780" w:rsidRDefault="005A3F5D" w:rsidP="00E83DAB">
      <w:pPr>
        <w:spacing w:before="240" w:after="120"/>
        <w:jc w:val="both"/>
        <w:rPr>
          <w:rFonts w:ascii="Century Gothic" w:hAnsi="Century Gothic"/>
          <w:color w:val="000000" w:themeColor="text1"/>
        </w:rPr>
      </w:pPr>
      <w:r>
        <w:rPr>
          <w:rFonts w:ascii="Century Gothic" w:hAnsi="Century Gothic"/>
          <w:color w:val="000000" w:themeColor="text1"/>
        </w:rPr>
        <w:t>Un paso fundamental p</w:t>
      </w:r>
      <w:r w:rsidR="00912E95" w:rsidRPr="00E75780">
        <w:rPr>
          <w:rFonts w:ascii="Century Gothic" w:hAnsi="Century Gothic"/>
          <w:color w:val="000000" w:themeColor="text1"/>
        </w:rPr>
        <w:t xml:space="preserve">ara la formulación de políticas públicas </w:t>
      </w:r>
      <w:r>
        <w:rPr>
          <w:rFonts w:ascii="Century Gothic" w:hAnsi="Century Gothic"/>
          <w:color w:val="000000" w:themeColor="text1"/>
        </w:rPr>
        <w:t>oportunas</w:t>
      </w:r>
      <w:r w:rsidR="00912E95" w:rsidRPr="00E75780">
        <w:rPr>
          <w:rFonts w:ascii="Century Gothic" w:hAnsi="Century Gothic"/>
          <w:color w:val="000000" w:themeColor="text1"/>
        </w:rPr>
        <w:t xml:space="preserve"> y eficientes</w:t>
      </w:r>
      <w:r w:rsidR="009F4BBB">
        <w:rPr>
          <w:rFonts w:ascii="Century Gothic" w:hAnsi="Century Gothic"/>
          <w:color w:val="000000" w:themeColor="text1"/>
        </w:rPr>
        <w:t>, así como para la realización de cualquier tipo de estudio socio - económico</w:t>
      </w:r>
      <w:r>
        <w:rPr>
          <w:rFonts w:ascii="Century Gothic" w:hAnsi="Century Gothic"/>
          <w:color w:val="000000" w:themeColor="text1"/>
        </w:rPr>
        <w:t xml:space="preserve"> es el </w:t>
      </w:r>
      <w:r w:rsidR="00912E95" w:rsidRPr="00E75780">
        <w:rPr>
          <w:rFonts w:ascii="Century Gothic" w:hAnsi="Century Gothic"/>
          <w:color w:val="000000" w:themeColor="text1"/>
        </w:rPr>
        <w:t xml:space="preserve">correcto diagnóstico sobre la problemática que se busca </w:t>
      </w:r>
      <w:r>
        <w:rPr>
          <w:rFonts w:ascii="Century Gothic" w:hAnsi="Century Gothic"/>
          <w:color w:val="000000" w:themeColor="text1"/>
        </w:rPr>
        <w:t>resolver</w:t>
      </w:r>
      <w:r w:rsidR="00912E95" w:rsidRPr="00E75780">
        <w:rPr>
          <w:rFonts w:ascii="Century Gothic" w:hAnsi="Century Gothic"/>
          <w:color w:val="000000" w:themeColor="text1"/>
        </w:rPr>
        <w:t xml:space="preserve">. </w:t>
      </w:r>
      <w:r w:rsidR="009F4BBB">
        <w:rPr>
          <w:rFonts w:ascii="Century Gothic" w:hAnsi="Century Gothic"/>
          <w:color w:val="000000" w:themeColor="text1"/>
        </w:rPr>
        <w:t xml:space="preserve">En ese sentido, </w:t>
      </w:r>
      <w:r w:rsidR="00912E95" w:rsidRPr="00E75780">
        <w:rPr>
          <w:rFonts w:ascii="Century Gothic" w:hAnsi="Century Gothic"/>
          <w:color w:val="000000" w:themeColor="text1"/>
        </w:rPr>
        <w:t xml:space="preserve">es </w:t>
      </w:r>
      <w:r w:rsidR="00BF50BE">
        <w:rPr>
          <w:rFonts w:ascii="Century Gothic" w:hAnsi="Century Gothic"/>
          <w:color w:val="000000" w:themeColor="text1"/>
        </w:rPr>
        <w:t>necesario</w:t>
      </w:r>
      <w:r w:rsidR="00912E95" w:rsidRPr="00E75780">
        <w:rPr>
          <w:rFonts w:ascii="Century Gothic" w:hAnsi="Century Gothic"/>
          <w:color w:val="000000" w:themeColor="text1"/>
        </w:rPr>
        <w:t xml:space="preserve"> que el </w:t>
      </w:r>
      <w:r>
        <w:rPr>
          <w:rFonts w:ascii="Century Gothic" w:hAnsi="Century Gothic"/>
          <w:color w:val="000000" w:themeColor="text1"/>
        </w:rPr>
        <w:t>G</w:t>
      </w:r>
      <w:r w:rsidR="00912E95" w:rsidRPr="00E75780">
        <w:rPr>
          <w:rFonts w:ascii="Century Gothic" w:hAnsi="Century Gothic"/>
          <w:color w:val="000000" w:themeColor="text1"/>
        </w:rPr>
        <w:t xml:space="preserve">obierno y </w:t>
      </w:r>
      <w:r>
        <w:rPr>
          <w:rFonts w:ascii="Century Gothic" w:hAnsi="Century Gothic"/>
          <w:color w:val="000000" w:themeColor="text1"/>
        </w:rPr>
        <w:t>sus</w:t>
      </w:r>
      <w:r w:rsidR="00912E95" w:rsidRPr="00E75780">
        <w:rPr>
          <w:rFonts w:ascii="Century Gothic" w:hAnsi="Century Gothic"/>
          <w:color w:val="000000" w:themeColor="text1"/>
        </w:rPr>
        <w:t xml:space="preserve"> instituciones cuenten con un sistema de información estadístico nacional.</w:t>
      </w:r>
    </w:p>
    <w:p w14:paraId="520F1FA5" w14:textId="28506539" w:rsidR="00E83DAB" w:rsidRPr="00E75780" w:rsidRDefault="00BF50BE" w:rsidP="00E83DAB">
      <w:pPr>
        <w:spacing w:before="240" w:after="120"/>
        <w:jc w:val="both"/>
        <w:rPr>
          <w:rFonts w:ascii="Century Gothic" w:hAnsi="Century Gothic"/>
          <w:color w:val="000000" w:themeColor="text1"/>
        </w:rPr>
      </w:pPr>
      <w:r>
        <w:rPr>
          <w:rFonts w:ascii="Century Gothic" w:hAnsi="Century Gothic"/>
          <w:color w:val="000000" w:themeColor="text1"/>
        </w:rPr>
        <w:t>Los datos desagregados</w:t>
      </w:r>
      <w:r w:rsidR="00E83DAB" w:rsidRPr="00E75780">
        <w:rPr>
          <w:rFonts w:ascii="Century Gothic" w:hAnsi="Century Gothic"/>
          <w:color w:val="000000" w:themeColor="text1"/>
        </w:rPr>
        <w:t xml:space="preserve"> por género son importantes. </w:t>
      </w:r>
      <w:r>
        <w:rPr>
          <w:rFonts w:ascii="Century Gothic" w:hAnsi="Century Gothic"/>
          <w:color w:val="000000" w:themeColor="text1"/>
        </w:rPr>
        <w:t xml:space="preserve">En primera instancia, </w:t>
      </w:r>
      <w:r w:rsidR="00E83DAB" w:rsidRPr="00E75780">
        <w:rPr>
          <w:rFonts w:ascii="Century Gothic" w:hAnsi="Century Gothic"/>
          <w:color w:val="000000" w:themeColor="text1"/>
        </w:rPr>
        <w:t>visibilizan</w:t>
      </w:r>
      <w:r>
        <w:rPr>
          <w:rFonts w:ascii="Century Gothic" w:hAnsi="Century Gothic"/>
          <w:color w:val="000000" w:themeColor="text1"/>
        </w:rPr>
        <w:t>, miden y registran</w:t>
      </w:r>
      <w:r w:rsidR="00E83DAB" w:rsidRPr="00E75780">
        <w:rPr>
          <w:rFonts w:ascii="Century Gothic" w:hAnsi="Century Gothic"/>
          <w:color w:val="000000" w:themeColor="text1"/>
        </w:rPr>
        <w:t xml:space="preserve"> </w:t>
      </w:r>
      <w:r>
        <w:rPr>
          <w:rFonts w:ascii="Century Gothic" w:hAnsi="Century Gothic"/>
          <w:color w:val="000000" w:themeColor="text1"/>
        </w:rPr>
        <w:t>la inequidad existente</w:t>
      </w:r>
      <w:r w:rsidR="001C6191">
        <w:rPr>
          <w:rFonts w:ascii="Century Gothic" w:hAnsi="Century Gothic"/>
          <w:color w:val="000000" w:themeColor="text1"/>
        </w:rPr>
        <w:t xml:space="preserve"> entre mujeres y hombres y otros</w:t>
      </w:r>
      <w:r w:rsidR="00E17070">
        <w:rPr>
          <w:rFonts w:ascii="Century Gothic" w:hAnsi="Century Gothic"/>
          <w:color w:val="000000" w:themeColor="text1"/>
        </w:rPr>
        <w:t>.</w:t>
      </w:r>
      <w:r w:rsidR="00E83DAB" w:rsidRPr="00E75780">
        <w:rPr>
          <w:rFonts w:ascii="Century Gothic" w:hAnsi="Century Gothic"/>
          <w:color w:val="000000" w:themeColor="text1"/>
        </w:rPr>
        <w:t xml:space="preserve"> </w:t>
      </w:r>
      <w:r>
        <w:rPr>
          <w:rFonts w:ascii="Century Gothic" w:hAnsi="Century Gothic"/>
          <w:color w:val="000000" w:themeColor="text1"/>
        </w:rPr>
        <w:t xml:space="preserve">En segundo lugar, posibilita establecer las causas y </w:t>
      </w:r>
      <w:r w:rsidR="001C6191">
        <w:rPr>
          <w:rFonts w:ascii="Century Gothic" w:hAnsi="Century Gothic"/>
          <w:color w:val="000000" w:themeColor="text1"/>
        </w:rPr>
        <w:t>orígenes</w:t>
      </w:r>
      <w:r>
        <w:rPr>
          <w:rFonts w:ascii="Century Gothic" w:hAnsi="Century Gothic"/>
          <w:color w:val="000000" w:themeColor="text1"/>
        </w:rPr>
        <w:t xml:space="preserve"> de las </w:t>
      </w:r>
      <w:r w:rsidR="001C6191">
        <w:rPr>
          <w:rFonts w:ascii="Century Gothic" w:hAnsi="Century Gothic"/>
          <w:color w:val="000000" w:themeColor="text1"/>
        </w:rPr>
        <w:t>misma y</w:t>
      </w:r>
      <w:r>
        <w:rPr>
          <w:rFonts w:ascii="Century Gothic" w:hAnsi="Century Gothic"/>
          <w:color w:val="000000" w:themeColor="text1"/>
        </w:rPr>
        <w:t xml:space="preserve"> en tercer lugar, permiten llevar a cabo seguimiento a medidas implementadas para hacer frente a este </w:t>
      </w:r>
      <w:r w:rsidR="00720AB7">
        <w:rPr>
          <w:rFonts w:ascii="Century Gothic" w:hAnsi="Century Gothic"/>
          <w:color w:val="000000" w:themeColor="text1"/>
        </w:rPr>
        <w:t>problema</w:t>
      </w:r>
      <w:r>
        <w:rPr>
          <w:rFonts w:ascii="Century Gothic" w:hAnsi="Century Gothic"/>
          <w:color w:val="000000" w:themeColor="text1"/>
        </w:rPr>
        <w:t xml:space="preserve">. </w:t>
      </w:r>
    </w:p>
    <w:p w14:paraId="30E5E6BB" w14:textId="3F442FE5" w:rsidR="007F1D85" w:rsidRDefault="00912E95" w:rsidP="00E83DAB">
      <w:pPr>
        <w:spacing w:before="240" w:after="120"/>
        <w:jc w:val="both"/>
        <w:rPr>
          <w:rFonts w:ascii="Century Gothic" w:hAnsi="Century Gothic"/>
          <w:color w:val="000000" w:themeColor="text1"/>
        </w:rPr>
      </w:pPr>
      <w:r w:rsidRPr="00E75780">
        <w:rPr>
          <w:rFonts w:ascii="Century Gothic" w:hAnsi="Century Gothic"/>
          <w:color w:val="000000" w:themeColor="text1"/>
        </w:rPr>
        <w:t xml:space="preserve">Una </w:t>
      </w:r>
      <w:r w:rsidR="001C6191">
        <w:rPr>
          <w:rFonts w:ascii="Century Gothic" w:hAnsi="Century Gothic"/>
          <w:color w:val="000000" w:themeColor="text1"/>
        </w:rPr>
        <w:t xml:space="preserve">realidad social estudiada recientemente tiene que ver las manifestaciones de la mencionada desigualdad de género, pues las mismas tienen lugar en el </w:t>
      </w:r>
      <w:r w:rsidRPr="00E75780">
        <w:rPr>
          <w:rFonts w:ascii="Century Gothic" w:hAnsi="Century Gothic"/>
          <w:color w:val="000000" w:themeColor="text1"/>
        </w:rPr>
        <w:t>campo laboral, la representación política</w:t>
      </w:r>
      <w:r w:rsidR="007F1D85">
        <w:rPr>
          <w:rFonts w:ascii="Century Gothic" w:hAnsi="Century Gothic"/>
          <w:color w:val="000000" w:themeColor="text1"/>
        </w:rPr>
        <w:t>, la investigación científica, el acceso a la propiedad de la tierra y, entre otras, en lo relativo a los temas tributarios</w:t>
      </w:r>
      <w:r w:rsidRPr="00E75780">
        <w:rPr>
          <w:rFonts w:ascii="Century Gothic" w:hAnsi="Century Gothic"/>
          <w:color w:val="000000" w:themeColor="text1"/>
        </w:rPr>
        <w:t xml:space="preserve">. </w:t>
      </w:r>
      <w:r w:rsidR="007F1D85">
        <w:rPr>
          <w:rFonts w:ascii="Century Gothic" w:hAnsi="Century Gothic"/>
          <w:color w:val="000000" w:themeColor="text1"/>
        </w:rPr>
        <w:t xml:space="preserve">La carencia de datos abiertos que puedan ser usados para profundizar el conocimiento en esta materia e implementar disposiciones tendientes a erradicar la inequidad, ha impedido un avance en la mejora de la situación, esencialmente, de las mujeres </w:t>
      </w:r>
      <w:r w:rsidR="007F1D85" w:rsidRPr="00E75780">
        <w:rPr>
          <w:rFonts w:ascii="Century Gothic" w:hAnsi="Century Gothic"/>
          <w:color w:val="000000" w:themeColor="text1"/>
        </w:rPr>
        <w:t>(Arenas, 2018).</w:t>
      </w:r>
    </w:p>
    <w:p w14:paraId="6FF9F6EF" w14:textId="1C2133ED" w:rsidR="00912E95" w:rsidRPr="00E75780" w:rsidRDefault="00E83DAB" w:rsidP="00E83DAB">
      <w:pPr>
        <w:spacing w:before="240" w:after="120"/>
        <w:jc w:val="both"/>
        <w:rPr>
          <w:rFonts w:ascii="Century Gothic" w:hAnsi="Century Gothic"/>
          <w:color w:val="000000" w:themeColor="text1"/>
        </w:rPr>
      </w:pPr>
      <w:r w:rsidRPr="00E75780">
        <w:rPr>
          <w:rFonts w:ascii="Century Gothic" w:hAnsi="Century Gothic"/>
          <w:color w:val="000000" w:themeColor="text1"/>
        </w:rPr>
        <w:t>Así pues, e</w:t>
      </w:r>
      <w:r w:rsidR="00912E95" w:rsidRPr="00E75780">
        <w:rPr>
          <w:rFonts w:ascii="Century Gothic" w:hAnsi="Century Gothic"/>
          <w:color w:val="000000" w:themeColor="text1"/>
        </w:rPr>
        <w:t xml:space="preserve">l presente </w:t>
      </w:r>
      <w:r w:rsidR="007F1D85">
        <w:rPr>
          <w:rFonts w:ascii="Century Gothic" w:hAnsi="Century Gothic"/>
          <w:color w:val="000000" w:themeColor="text1"/>
        </w:rPr>
        <w:t>P</w:t>
      </w:r>
      <w:r w:rsidR="00912E95" w:rsidRPr="00E75780">
        <w:rPr>
          <w:rFonts w:ascii="Century Gothic" w:hAnsi="Century Gothic"/>
          <w:color w:val="000000" w:themeColor="text1"/>
        </w:rPr>
        <w:t xml:space="preserve">royecto de </w:t>
      </w:r>
      <w:r w:rsidR="007F1D85">
        <w:rPr>
          <w:rFonts w:ascii="Century Gothic" w:hAnsi="Century Gothic"/>
          <w:color w:val="000000" w:themeColor="text1"/>
        </w:rPr>
        <w:t>L</w:t>
      </w:r>
      <w:r w:rsidR="00912E95" w:rsidRPr="00E75780">
        <w:rPr>
          <w:rFonts w:ascii="Century Gothic" w:hAnsi="Century Gothic"/>
          <w:color w:val="000000" w:themeColor="text1"/>
        </w:rPr>
        <w:t xml:space="preserve">ey busca implementar una casilla en la declaración de renta para personas naturales donde se indique el género según el </w:t>
      </w:r>
      <w:r w:rsidR="00192183" w:rsidRPr="00E75780">
        <w:rPr>
          <w:rFonts w:ascii="Century Gothic" w:hAnsi="Century Gothic"/>
          <w:color w:val="000000" w:themeColor="text1"/>
        </w:rPr>
        <w:t>cual</w:t>
      </w:r>
      <w:r w:rsidR="00912E95" w:rsidRPr="00E75780">
        <w:rPr>
          <w:rFonts w:ascii="Century Gothic" w:hAnsi="Century Gothic"/>
          <w:color w:val="000000" w:themeColor="text1"/>
        </w:rPr>
        <w:t xml:space="preserve"> se identif</w:t>
      </w:r>
      <w:r w:rsidR="007F1D85">
        <w:rPr>
          <w:rFonts w:ascii="Century Gothic" w:hAnsi="Century Gothic"/>
          <w:color w:val="000000" w:themeColor="text1"/>
        </w:rPr>
        <w:t>iquen</w:t>
      </w:r>
      <w:r w:rsidR="00912E95" w:rsidRPr="00E75780">
        <w:rPr>
          <w:rFonts w:ascii="Century Gothic" w:hAnsi="Century Gothic"/>
          <w:color w:val="000000" w:themeColor="text1"/>
        </w:rPr>
        <w:t xml:space="preserve"> los contribuyentes</w:t>
      </w:r>
      <w:r w:rsidR="007F1D85">
        <w:rPr>
          <w:rFonts w:ascii="Century Gothic" w:hAnsi="Century Gothic"/>
          <w:color w:val="000000" w:themeColor="text1"/>
        </w:rPr>
        <w:t xml:space="preserve">. El objeto de esta iniciativa es propiciar que el género sea una categoría </w:t>
      </w:r>
      <w:r w:rsidR="009221E6">
        <w:rPr>
          <w:rFonts w:ascii="Century Gothic" w:hAnsi="Century Gothic"/>
          <w:color w:val="000000" w:themeColor="text1"/>
        </w:rPr>
        <w:t xml:space="preserve">relevante en la información que suministran </w:t>
      </w:r>
      <w:r w:rsidR="00912E95" w:rsidRPr="00E75780">
        <w:rPr>
          <w:rFonts w:ascii="Century Gothic" w:hAnsi="Century Gothic"/>
          <w:color w:val="000000" w:themeColor="text1"/>
        </w:rPr>
        <w:t xml:space="preserve">las declaraciones de renta de la población colombiana. </w:t>
      </w:r>
    </w:p>
    <w:p w14:paraId="0C0D0418" w14:textId="03190F0D" w:rsidR="00E83DAB" w:rsidRDefault="00912E95" w:rsidP="00E83DAB">
      <w:pPr>
        <w:spacing w:before="240" w:after="120"/>
        <w:jc w:val="both"/>
        <w:rPr>
          <w:rFonts w:ascii="Century Gothic" w:hAnsi="Century Gothic"/>
          <w:color w:val="000000" w:themeColor="text1"/>
        </w:rPr>
      </w:pPr>
      <w:r w:rsidRPr="00E75780">
        <w:rPr>
          <w:rFonts w:ascii="Century Gothic" w:hAnsi="Century Gothic"/>
          <w:color w:val="000000" w:themeColor="text1"/>
        </w:rPr>
        <w:t xml:space="preserve">El siguiente texto está dividido en dos partes. En la primera se </w:t>
      </w:r>
      <w:r w:rsidR="009221E6">
        <w:rPr>
          <w:rFonts w:ascii="Century Gothic" w:hAnsi="Century Gothic"/>
          <w:color w:val="000000" w:themeColor="text1"/>
        </w:rPr>
        <w:t>discute acerca de</w:t>
      </w:r>
      <w:r w:rsidRPr="00E75780">
        <w:rPr>
          <w:rFonts w:ascii="Century Gothic" w:hAnsi="Century Gothic"/>
          <w:color w:val="000000" w:themeColor="text1"/>
        </w:rPr>
        <w:t xml:space="preserve"> la </w:t>
      </w:r>
      <w:r w:rsidR="002D471E">
        <w:rPr>
          <w:rFonts w:ascii="Century Gothic" w:hAnsi="Century Gothic"/>
          <w:color w:val="000000" w:themeColor="text1"/>
        </w:rPr>
        <w:t>inequidad de género</w:t>
      </w:r>
      <w:r w:rsidRPr="00E75780">
        <w:rPr>
          <w:rFonts w:ascii="Century Gothic" w:hAnsi="Century Gothic"/>
          <w:color w:val="000000" w:themeColor="text1"/>
        </w:rPr>
        <w:t xml:space="preserve"> desde diferentes perspectivas económicas. En la segunda se analizan aspectos tributarios relacionados con la </w:t>
      </w:r>
      <w:r w:rsidR="002D471E">
        <w:rPr>
          <w:rFonts w:ascii="Century Gothic" w:hAnsi="Century Gothic"/>
          <w:color w:val="000000" w:themeColor="text1"/>
        </w:rPr>
        <w:t>inequidad de género</w:t>
      </w:r>
      <w:r w:rsidRPr="00E75780">
        <w:rPr>
          <w:rFonts w:ascii="Century Gothic" w:hAnsi="Century Gothic"/>
          <w:color w:val="000000" w:themeColor="text1"/>
        </w:rPr>
        <w:t xml:space="preserve"> con </w:t>
      </w:r>
      <w:r w:rsidR="009221E6">
        <w:rPr>
          <w:rFonts w:ascii="Century Gothic" w:hAnsi="Century Gothic"/>
          <w:color w:val="000000" w:themeColor="text1"/>
        </w:rPr>
        <w:t xml:space="preserve">datos recopilados por </w:t>
      </w:r>
      <w:r w:rsidRPr="00E75780">
        <w:rPr>
          <w:rFonts w:ascii="Century Gothic" w:hAnsi="Century Gothic"/>
          <w:color w:val="000000" w:themeColor="text1"/>
        </w:rPr>
        <w:t xml:space="preserve">un estudio de la DIAN </w:t>
      </w:r>
      <w:r w:rsidR="009221E6">
        <w:rPr>
          <w:rFonts w:ascii="Century Gothic" w:hAnsi="Century Gothic"/>
          <w:color w:val="000000" w:themeColor="text1"/>
        </w:rPr>
        <w:t xml:space="preserve">de </w:t>
      </w:r>
      <w:r w:rsidRPr="00E75780">
        <w:rPr>
          <w:rFonts w:ascii="Century Gothic" w:hAnsi="Century Gothic"/>
          <w:color w:val="000000" w:themeColor="text1"/>
        </w:rPr>
        <w:t>2016.</w:t>
      </w:r>
    </w:p>
    <w:p w14:paraId="35834F44" w14:textId="77777777" w:rsidR="00C550BE" w:rsidRPr="00E75780" w:rsidRDefault="00C550BE" w:rsidP="00E83DAB">
      <w:pPr>
        <w:spacing w:before="240" w:after="120"/>
        <w:jc w:val="both"/>
        <w:rPr>
          <w:rFonts w:ascii="Century Gothic" w:hAnsi="Century Gothic"/>
          <w:color w:val="000000" w:themeColor="text1"/>
        </w:rPr>
      </w:pPr>
    </w:p>
    <w:p w14:paraId="579E8AF7" w14:textId="363BEA38" w:rsidR="00E83DAB" w:rsidRPr="00E75780" w:rsidRDefault="00E83DAB" w:rsidP="002D471E">
      <w:pPr>
        <w:spacing w:before="240" w:after="120"/>
        <w:jc w:val="both"/>
        <w:outlineLvl w:val="0"/>
        <w:rPr>
          <w:rFonts w:ascii="Century Gothic" w:hAnsi="Century Gothic"/>
          <w:b/>
          <w:bCs/>
          <w:color w:val="000000" w:themeColor="text1"/>
        </w:rPr>
      </w:pPr>
      <w:r w:rsidRPr="00E75780">
        <w:rPr>
          <w:rFonts w:ascii="Century Gothic" w:hAnsi="Century Gothic"/>
          <w:b/>
          <w:bCs/>
          <w:color w:val="000000" w:themeColor="text1"/>
        </w:rPr>
        <w:t>Marco Jurídico</w:t>
      </w:r>
    </w:p>
    <w:p w14:paraId="3A8142E9" w14:textId="6B607947" w:rsidR="002105EA" w:rsidRDefault="002105EA" w:rsidP="00E83DAB">
      <w:pPr>
        <w:spacing w:before="240" w:after="120"/>
        <w:jc w:val="both"/>
        <w:rPr>
          <w:rFonts w:ascii="Century Gothic" w:hAnsi="Century Gothic"/>
          <w:color w:val="000000" w:themeColor="text1"/>
        </w:rPr>
      </w:pPr>
      <w:r>
        <w:rPr>
          <w:rFonts w:ascii="Century Gothic" w:hAnsi="Century Gothic"/>
          <w:color w:val="000000" w:themeColor="text1"/>
        </w:rPr>
        <w:t xml:space="preserve">Colombia ha participado </w:t>
      </w:r>
      <w:r w:rsidR="008B5337">
        <w:rPr>
          <w:rFonts w:ascii="Century Gothic" w:hAnsi="Century Gothic"/>
          <w:color w:val="000000" w:themeColor="text1"/>
        </w:rPr>
        <w:t>de un número importante de eventos realizados por organismos multilaterales en los cuales ha ratificado su compromiso con la construcción de condiciones sociales que permitan alcanzar la igualdad de género. Dentro de estos espacios pueden señalarse l</w:t>
      </w:r>
      <w:r w:rsidR="008B5337" w:rsidRPr="00E75780">
        <w:rPr>
          <w:rFonts w:ascii="Century Gothic" w:hAnsi="Century Gothic"/>
          <w:color w:val="000000" w:themeColor="text1"/>
        </w:rPr>
        <w:t>a Convención sobre la Eliminación de todas las formas de Discriminación Contra la Mujer (CEDAW) en 1981</w:t>
      </w:r>
      <w:r w:rsidR="008B5337">
        <w:rPr>
          <w:rFonts w:ascii="Century Gothic" w:hAnsi="Century Gothic"/>
          <w:color w:val="000000" w:themeColor="text1"/>
        </w:rPr>
        <w:t>,</w:t>
      </w:r>
      <w:r w:rsidR="008B5337" w:rsidRPr="00E75780">
        <w:rPr>
          <w:rFonts w:ascii="Century Gothic" w:hAnsi="Century Gothic"/>
          <w:color w:val="000000" w:themeColor="text1"/>
        </w:rPr>
        <w:t xml:space="preserve"> la Cuarta Conferencia Mundial sobre la Mujer (1995)</w:t>
      </w:r>
      <w:r w:rsidR="008B5337">
        <w:rPr>
          <w:rFonts w:ascii="Century Gothic" w:hAnsi="Century Gothic"/>
          <w:color w:val="000000" w:themeColor="text1"/>
        </w:rPr>
        <w:t>,</w:t>
      </w:r>
      <w:r w:rsidR="008B5337" w:rsidRPr="00E75780">
        <w:rPr>
          <w:rFonts w:ascii="Century Gothic" w:hAnsi="Century Gothic"/>
          <w:color w:val="000000" w:themeColor="text1"/>
        </w:rPr>
        <w:t xml:space="preserve"> las cumbres de la ONU relacionadas con </w:t>
      </w:r>
      <w:r w:rsidR="008B5337">
        <w:rPr>
          <w:rFonts w:ascii="Century Gothic" w:hAnsi="Century Gothic"/>
          <w:color w:val="000000" w:themeColor="text1"/>
        </w:rPr>
        <w:t>este aspecto y que se desarrollan</w:t>
      </w:r>
      <w:r w:rsidR="008B5337" w:rsidRPr="00E75780">
        <w:rPr>
          <w:rFonts w:ascii="Century Gothic" w:hAnsi="Century Gothic"/>
          <w:color w:val="000000" w:themeColor="text1"/>
        </w:rPr>
        <w:t xml:space="preserve"> desde 1975</w:t>
      </w:r>
      <w:r w:rsidR="008B5337">
        <w:rPr>
          <w:rFonts w:ascii="Century Gothic" w:hAnsi="Century Gothic"/>
          <w:color w:val="000000" w:themeColor="text1"/>
        </w:rPr>
        <w:t xml:space="preserve"> y encuentros internacionales en los que fueron elaborados y socializados</w:t>
      </w:r>
      <w:r w:rsidR="008B5337" w:rsidRPr="00E75780">
        <w:rPr>
          <w:rFonts w:ascii="Century Gothic" w:hAnsi="Century Gothic"/>
          <w:color w:val="000000" w:themeColor="text1"/>
        </w:rPr>
        <w:t xml:space="preserve"> los Objetivos de Desarrollo del Milenio (2000) y los Objetivos de Desarrollo Sostenible (2016)</w:t>
      </w:r>
      <w:r w:rsidR="008B5337">
        <w:rPr>
          <w:rFonts w:ascii="Century Gothic" w:hAnsi="Century Gothic"/>
          <w:color w:val="000000" w:themeColor="text1"/>
        </w:rPr>
        <w:t>.</w:t>
      </w:r>
    </w:p>
    <w:p w14:paraId="6E928652" w14:textId="18C13D3D" w:rsidR="00E83DAB" w:rsidRPr="00E75780" w:rsidRDefault="008B5337" w:rsidP="00E83DAB">
      <w:pPr>
        <w:spacing w:before="240" w:after="120"/>
        <w:jc w:val="both"/>
        <w:rPr>
          <w:rFonts w:ascii="Century Gothic" w:hAnsi="Century Gothic"/>
          <w:color w:val="000000" w:themeColor="text1"/>
        </w:rPr>
      </w:pPr>
      <w:r>
        <w:rPr>
          <w:rFonts w:ascii="Century Gothic" w:hAnsi="Century Gothic"/>
          <w:color w:val="000000" w:themeColor="text1"/>
        </w:rPr>
        <w:t>De este modo, l</w:t>
      </w:r>
      <w:r w:rsidR="00E83DAB" w:rsidRPr="00E75780">
        <w:rPr>
          <w:rFonts w:ascii="Century Gothic" w:hAnsi="Century Gothic"/>
          <w:color w:val="000000" w:themeColor="text1"/>
        </w:rPr>
        <w:t xml:space="preserve">a recolección </w:t>
      </w:r>
      <w:r>
        <w:rPr>
          <w:rFonts w:ascii="Century Gothic" w:hAnsi="Century Gothic"/>
          <w:color w:val="000000" w:themeColor="text1"/>
        </w:rPr>
        <w:t xml:space="preserve">de </w:t>
      </w:r>
      <w:r w:rsidR="00E83DAB" w:rsidRPr="00E75780">
        <w:rPr>
          <w:rFonts w:ascii="Century Gothic" w:hAnsi="Century Gothic"/>
          <w:color w:val="000000" w:themeColor="text1"/>
        </w:rPr>
        <w:t xml:space="preserve">información </w:t>
      </w:r>
      <w:r>
        <w:rPr>
          <w:rFonts w:ascii="Century Gothic" w:hAnsi="Century Gothic"/>
          <w:color w:val="000000" w:themeColor="text1"/>
        </w:rPr>
        <w:t xml:space="preserve">tributaria por género </w:t>
      </w:r>
      <w:r w:rsidR="00E83DAB" w:rsidRPr="00E75780">
        <w:rPr>
          <w:rFonts w:ascii="Century Gothic" w:hAnsi="Century Gothic"/>
          <w:color w:val="000000" w:themeColor="text1"/>
        </w:rPr>
        <w:t>responde a los múltiples acuerdos y pactos que</w:t>
      </w:r>
      <w:r>
        <w:rPr>
          <w:rFonts w:ascii="Century Gothic" w:hAnsi="Century Gothic"/>
          <w:color w:val="000000" w:themeColor="text1"/>
        </w:rPr>
        <w:t xml:space="preserve"> ha suscrito Colombia </w:t>
      </w:r>
      <w:r w:rsidR="00A22C6C">
        <w:rPr>
          <w:rFonts w:ascii="Century Gothic" w:hAnsi="Century Gothic"/>
          <w:color w:val="000000" w:themeColor="text1"/>
        </w:rPr>
        <w:t xml:space="preserve">en procura de </w:t>
      </w:r>
      <w:r w:rsidR="009B5B38">
        <w:rPr>
          <w:rFonts w:ascii="Century Gothic" w:hAnsi="Century Gothic"/>
          <w:color w:val="000000" w:themeColor="text1"/>
        </w:rPr>
        <w:t xml:space="preserve">impactar positivamente la vida de las mujeres y eliminar las múltiples violencias que se ejercen en su contra. </w:t>
      </w:r>
    </w:p>
    <w:p w14:paraId="4B744759" w14:textId="3BD06ACC" w:rsidR="009B5B38" w:rsidRDefault="009B5B38" w:rsidP="00E83DAB">
      <w:pPr>
        <w:spacing w:before="240" w:after="120"/>
        <w:jc w:val="both"/>
        <w:rPr>
          <w:rFonts w:ascii="Century Gothic" w:hAnsi="Century Gothic"/>
          <w:b/>
          <w:bCs/>
          <w:color w:val="000000" w:themeColor="text1"/>
        </w:rPr>
      </w:pPr>
      <w:r>
        <w:rPr>
          <w:rFonts w:ascii="Century Gothic" w:hAnsi="Century Gothic"/>
          <w:color w:val="000000" w:themeColor="text1"/>
        </w:rPr>
        <w:t xml:space="preserve">A continuación, se presenta un compendio normativo sobre equidad de género en Colombia: </w:t>
      </w:r>
    </w:p>
    <w:p w14:paraId="5524F022" w14:textId="1AFF33D6" w:rsidR="00E83DAB" w:rsidRPr="00E75780" w:rsidRDefault="00E83DAB" w:rsidP="00E83DAB">
      <w:pPr>
        <w:spacing w:before="240" w:after="120"/>
        <w:jc w:val="both"/>
        <w:rPr>
          <w:rFonts w:ascii="Century Gothic" w:hAnsi="Century Gothic"/>
          <w:b/>
          <w:bCs/>
          <w:color w:val="000000" w:themeColor="text1"/>
        </w:rPr>
      </w:pPr>
      <w:r w:rsidRPr="00E75780">
        <w:rPr>
          <w:rFonts w:ascii="Century Gothic" w:hAnsi="Century Gothic"/>
          <w:b/>
          <w:bCs/>
          <w:color w:val="000000" w:themeColor="text1"/>
        </w:rPr>
        <w:t xml:space="preserve">Tabla 1: </w:t>
      </w:r>
      <w:r w:rsidR="009B5B38">
        <w:rPr>
          <w:rFonts w:ascii="Century Gothic" w:hAnsi="Century Gothic"/>
          <w:b/>
          <w:bCs/>
          <w:color w:val="000000" w:themeColor="text1"/>
        </w:rPr>
        <w:t>L</w:t>
      </w:r>
      <w:r w:rsidRPr="00E75780">
        <w:rPr>
          <w:rFonts w:ascii="Century Gothic" w:hAnsi="Century Gothic"/>
          <w:b/>
          <w:bCs/>
          <w:color w:val="000000" w:themeColor="text1"/>
        </w:rPr>
        <w:t xml:space="preserve">egislación relacionada con </w:t>
      </w:r>
      <w:r w:rsidR="009B5B38">
        <w:rPr>
          <w:rFonts w:ascii="Century Gothic" w:hAnsi="Century Gothic"/>
          <w:b/>
          <w:bCs/>
          <w:color w:val="000000" w:themeColor="text1"/>
        </w:rPr>
        <w:t>P</w:t>
      </w:r>
      <w:r w:rsidRPr="00E75780">
        <w:rPr>
          <w:rFonts w:ascii="Century Gothic" w:hAnsi="Century Gothic"/>
          <w:b/>
          <w:bCs/>
          <w:color w:val="000000" w:themeColor="text1"/>
        </w:rPr>
        <w:t xml:space="preserve">olíticas </w:t>
      </w:r>
      <w:r w:rsidR="009B5B38">
        <w:rPr>
          <w:rFonts w:ascii="Century Gothic" w:hAnsi="Century Gothic"/>
          <w:b/>
          <w:bCs/>
          <w:color w:val="000000" w:themeColor="text1"/>
        </w:rPr>
        <w:t>P</w:t>
      </w:r>
      <w:r w:rsidRPr="00E75780">
        <w:rPr>
          <w:rFonts w:ascii="Century Gothic" w:hAnsi="Century Gothic"/>
          <w:b/>
          <w:bCs/>
          <w:color w:val="000000" w:themeColor="text1"/>
        </w:rPr>
        <w:t>úblicas enfocadas en la equidad de género</w:t>
      </w:r>
    </w:p>
    <w:tbl>
      <w:tblPr>
        <w:tblStyle w:val="Tablaconcuadrcula"/>
        <w:tblW w:w="8784" w:type="dxa"/>
        <w:tblLook w:val="04A0" w:firstRow="1" w:lastRow="0" w:firstColumn="1" w:lastColumn="0" w:noHBand="0" w:noVBand="1"/>
      </w:tblPr>
      <w:tblGrid>
        <w:gridCol w:w="1838"/>
        <w:gridCol w:w="6946"/>
      </w:tblGrid>
      <w:tr w:rsidR="00E75780" w:rsidRPr="00E75780" w14:paraId="188BC169" w14:textId="77777777" w:rsidTr="00E83DAB">
        <w:tc>
          <w:tcPr>
            <w:tcW w:w="1838" w:type="dxa"/>
          </w:tcPr>
          <w:p w14:paraId="0637FC7E" w14:textId="16E9EBE0" w:rsidR="00E83DAB" w:rsidRPr="00E75780" w:rsidRDefault="00E83DAB" w:rsidP="009B5B38">
            <w:pPr>
              <w:spacing w:after="100" w:afterAutospacing="1"/>
              <w:jc w:val="center"/>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Ley</w:t>
            </w:r>
          </w:p>
        </w:tc>
        <w:tc>
          <w:tcPr>
            <w:tcW w:w="6946" w:type="dxa"/>
          </w:tcPr>
          <w:p w14:paraId="2CDE1543" w14:textId="2F85265F" w:rsidR="00E83DAB" w:rsidRPr="00E75780" w:rsidRDefault="00E83DAB" w:rsidP="009B5B38">
            <w:pPr>
              <w:spacing w:after="100" w:afterAutospacing="1"/>
              <w:jc w:val="center"/>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Título</w:t>
            </w:r>
          </w:p>
        </w:tc>
      </w:tr>
      <w:tr w:rsidR="00E75780" w:rsidRPr="00E75780" w14:paraId="26FC0E06" w14:textId="77777777" w:rsidTr="00E83DAB">
        <w:tc>
          <w:tcPr>
            <w:tcW w:w="1838" w:type="dxa"/>
          </w:tcPr>
          <w:p w14:paraId="448798E9" w14:textId="77777777" w:rsidR="00E83DAB" w:rsidRPr="00E75780" w:rsidRDefault="00E83DAB" w:rsidP="009B5B38">
            <w:pPr>
              <w:spacing w:after="100" w:afterAutospacing="1"/>
              <w:jc w:val="center"/>
              <w:rPr>
                <w:rFonts w:ascii="Century Gothic" w:hAnsi="Century Gothic" w:cs="Times New Roman"/>
                <w:color w:val="000000" w:themeColor="text1"/>
                <w:sz w:val="20"/>
                <w:szCs w:val="20"/>
              </w:rPr>
            </w:pPr>
            <w:r w:rsidRPr="00E75780">
              <w:rPr>
                <w:rFonts w:ascii="Century Gothic" w:hAnsi="Century Gothic"/>
                <w:color w:val="000000" w:themeColor="text1"/>
                <w:sz w:val="20"/>
                <w:szCs w:val="20"/>
              </w:rPr>
              <w:t>Ley 51 de 1981</w:t>
            </w:r>
          </w:p>
        </w:tc>
        <w:tc>
          <w:tcPr>
            <w:tcW w:w="6946" w:type="dxa"/>
          </w:tcPr>
          <w:p w14:paraId="2101EC3A" w14:textId="77777777" w:rsidR="00E83DAB" w:rsidRPr="00E75780" w:rsidRDefault="00E83DAB" w:rsidP="00536FE2">
            <w:pPr>
              <w:spacing w:after="100" w:afterAutospacing="1"/>
              <w:jc w:val="both"/>
              <w:rPr>
                <w:rFonts w:ascii="Century Gothic" w:hAnsi="Century Gothic"/>
                <w:color w:val="000000" w:themeColor="text1"/>
                <w:sz w:val="20"/>
                <w:szCs w:val="20"/>
              </w:rPr>
            </w:pPr>
            <w:r w:rsidRPr="00E75780">
              <w:rPr>
                <w:rFonts w:ascii="Century Gothic" w:hAnsi="Century Gothic"/>
                <w:color w:val="000000" w:themeColor="text1"/>
                <w:sz w:val="20"/>
                <w:szCs w:val="20"/>
              </w:rPr>
              <w:t>Por medio del cual se aprueba la Convención sobre la Eliminación de todas las formas de Discriminación contra la mujer (CEDAW)</w:t>
            </w:r>
          </w:p>
        </w:tc>
      </w:tr>
      <w:tr w:rsidR="00E75780" w:rsidRPr="00E75780" w14:paraId="3A9CA328" w14:textId="77777777" w:rsidTr="00E83DAB">
        <w:tc>
          <w:tcPr>
            <w:tcW w:w="1838" w:type="dxa"/>
          </w:tcPr>
          <w:p w14:paraId="4EB161BB" w14:textId="77777777" w:rsidR="00E83DAB" w:rsidRPr="00E75780" w:rsidRDefault="00E83DAB" w:rsidP="009B5B38">
            <w:pPr>
              <w:spacing w:after="100" w:afterAutospacing="1"/>
              <w:jc w:val="center"/>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CONPES 2626</w:t>
            </w:r>
          </w:p>
        </w:tc>
        <w:tc>
          <w:tcPr>
            <w:tcW w:w="6946" w:type="dxa"/>
          </w:tcPr>
          <w:p w14:paraId="05FF19B4" w14:textId="77777777"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Política integral para las mujeres colombianas</w:t>
            </w:r>
          </w:p>
        </w:tc>
      </w:tr>
      <w:tr w:rsidR="00E75780" w:rsidRPr="00E75780" w14:paraId="07B81F3E" w14:textId="77777777" w:rsidTr="00E83DAB">
        <w:tc>
          <w:tcPr>
            <w:tcW w:w="1838" w:type="dxa"/>
          </w:tcPr>
          <w:p w14:paraId="262BF838" w14:textId="77777777" w:rsidR="00E83DAB" w:rsidRPr="00E75780" w:rsidRDefault="00E83DAB" w:rsidP="009B5B38">
            <w:pPr>
              <w:spacing w:after="100" w:afterAutospacing="1"/>
              <w:jc w:val="center"/>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Resolución 1531 de 1992</w:t>
            </w:r>
          </w:p>
        </w:tc>
        <w:tc>
          <w:tcPr>
            <w:tcW w:w="6946" w:type="dxa"/>
          </w:tcPr>
          <w:p w14:paraId="7FDE4924" w14:textId="77777777"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Políticas de Salud para las mujeres, mujeres para lo salud</w:t>
            </w:r>
          </w:p>
        </w:tc>
      </w:tr>
      <w:tr w:rsidR="00E75780" w:rsidRPr="00E75780" w14:paraId="6D337962" w14:textId="77777777" w:rsidTr="00E83DAB">
        <w:tc>
          <w:tcPr>
            <w:tcW w:w="1838" w:type="dxa"/>
          </w:tcPr>
          <w:p w14:paraId="0FBA56E8" w14:textId="77777777" w:rsidR="00E83DAB" w:rsidRPr="00E75780" w:rsidRDefault="00E83DAB" w:rsidP="009B5B38">
            <w:pPr>
              <w:spacing w:after="100" w:afterAutospacing="1"/>
              <w:jc w:val="center"/>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Ley 82 de 1993</w:t>
            </w:r>
          </w:p>
        </w:tc>
        <w:tc>
          <w:tcPr>
            <w:tcW w:w="6946" w:type="dxa"/>
          </w:tcPr>
          <w:p w14:paraId="7AA4C20B" w14:textId="77777777"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Por la cual se expiden normas para apoyar de manera especial a la mujer cabeza de familia</w:t>
            </w:r>
          </w:p>
        </w:tc>
      </w:tr>
      <w:tr w:rsidR="00E75780" w:rsidRPr="00E75780" w14:paraId="3AAE34AE" w14:textId="77777777" w:rsidTr="00E83DAB">
        <w:tc>
          <w:tcPr>
            <w:tcW w:w="1838" w:type="dxa"/>
          </w:tcPr>
          <w:p w14:paraId="6AC48C60" w14:textId="77777777" w:rsidR="00E83DAB" w:rsidRPr="00E75780" w:rsidRDefault="00E83DAB" w:rsidP="009B5B38">
            <w:pPr>
              <w:spacing w:after="100" w:afterAutospacing="1"/>
              <w:jc w:val="center"/>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CONPES 2726</w:t>
            </w:r>
          </w:p>
        </w:tc>
        <w:tc>
          <w:tcPr>
            <w:tcW w:w="6946" w:type="dxa"/>
          </w:tcPr>
          <w:p w14:paraId="114A2EBF" w14:textId="77777777"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Política de Equidad y participación para la mujer (EPAM)</w:t>
            </w:r>
          </w:p>
        </w:tc>
      </w:tr>
      <w:tr w:rsidR="00E75780" w:rsidRPr="00E75780" w14:paraId="58DD4CFF" w14:textId="77777777" w:rsidTr="00E83DAB">
        <w:tc>
          <w:tcPr>
            <w:tcW w:w="1838" w:type="dxa"/>
          </w:tcPr>
          <w:p w14:paraId="4827C3CA" w14:textId="77777777" w:rsidR="00E83DAB" w:rsidRPr="00E75780" w:rsidRDefault="00E83DAB" w:rsidP="009B5B38">
            <w:pPr>
              <w:spacing w:after="100" w:afterAutospacing="1"/>
              <w:jc w:val="center"/>
              <w:rPr>
                <w:rFonts w:ascii="Century Gothic" w:hAnsi="Century Gothic" w:cs="Times New Roman"/>
                <w:color w:val="000000" w:themeColor="text1"/>
                <w:sz w:val="20"/>
                <w:szCs w:val="20"/>
              </w:rPr>
            </w:pPr>
            <w:r w:rsidRPr="00E75780">
              <w:rPr>
                <w:rFonts w:ascii="Century Gothic" w:hAnsi="Century Gothic"/>
                <w:color w:val="000000" w:themeColor="text1"/>
                <w:sz w:val="20"/>
                <w:szCs w:val="20"/>
              </w:rPr>
              <w:t>Ley 248 de 1995</w:t>
            </w:r>
          </w:p>
        </w:tc>
        <w:tc>
          <w:tcPr>
            <w:tcW w:w="6946" w:type="dxa"/>
          </w:tcPr>
          <w:p w14:paraId="388EE849" w14:textId="71929B0F"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Por medio de la cual se aprueba la Convención Internacional para prevenir, sancionar y erradicar la violencia contra la mujer, suscrita en la ciudad de Belem Do Para, Brasil, el 9 de junio de 1994.</w:t>
            </w:r>
          </w:p>
        </w:tc>
      </w:tr>
      <w:tr w:rsidR="00E75780" w:rsidRPr="00E75780" w14:paraId="7A4A4E7B" w14:textId="77777777" w:rsidTr="00E83DAB">
        <w:tc>
          <w:tcPr>
            <w:tcW w:w="1838" w:type="dxa"/>
          </w:tcPr>
          <w:p w14:paraId="3CDFC7C0" w14:textId="48A90F0B" w:rsidR="00E83DAB" w:rsidRPr="00E75780" w:rsidRDefault="00E83DAB" w:rsidP="009B5B38">
            <w:pPr>
              <w:spacing w:after="100" w:afterAutospacing="1"/>
              <w:jc w:val="center"/>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CONPES 2941</w:t>
            </w:r>
          </w:p>
        </w:tc>
        <w:tc>
          <w:tcPr>
            <w:tcW w:w="6946" w:type="dxa"/>
          </w:tcPr>
          <w:p w14:paraId="6FFEE6EA" w14:textId="22DBBBC5" w:rsidR="00E83DAB" w:rsidRPr="00E75780" w:rsidRDefault="00E83DAB" w:rsidP="00536FE2">
            <w:pPr>
              <w:autoSpaceDE w:val="0"/>
              <w:autoSpaceDN w:val="0"/>
              <w:adjustRightInd w:val="0"/>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Avances y ajustes de la EPAM</w:t>
            </w:r>
          </w:p>
        </w:tc>
      </w:tr>
      <w:tr w:rsidR="00E75780" w:rsidRPr="00E75780" w14:paraId="1F63C9A8" w14:textId="77777777" w:rsidTr="00E83DAB">
        <w:tc>
          <w:tcPr>
            <w:tcW w:w="1838" w:type="dxa"/>
          </w:tcPr>
          <w:p w14:paraId="0FB1C5CA" w14:textId="11B264BB" w:rsidR="00E83DAB" w:rsidRPr="00E75780" w:rsidRDefault="00E83DAB" w:rsidP="009B5B38">
            <w:pPr>
              <w:spacing w:after="100" w:afterAutospacing="1"/>
              <w:jc w:val="center"/>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Decreto 1262 de 1997</w:t>
            </w:r>
          </w:p>
        </w:tc>
        <w:tc>
          <w:tcPr>
            <w:tcW w:w="6946" w:type="dxa"/>
          </w:tcPr>
          <w:p w14:paraId="31FD88A9" w14:textId="0739B473"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 xml:space="preserve">Convenio </w:t>
            </w:r>
            <w:r w:rsidR="009B5B38">
              <w:rPr>
                <w:rFonts w:ascii="Century Gothic" w:hAnsi="Century Gothic" w:cs="Times New Roman"/>
                <w:color w:val="000000" w:themeColor="text1"/>
                <w:sz w:val="20"/>
                <w:szCs w:val="20"/>
              </w:rPr>
              <w:t>i</w:t>
            </w:r>
            <w:r w:rsidRPr="00E75780">
              <w:rPr>
                <w:rFonts w:ascii="Century Gothic" w:hAnsi="Century Gothic" w:cs="Times New Roman"/>
                <w:color w:val="000000" w:themeColor="text1"/>
                <w:sz w:val="20"/>
                <w:szCs w:val="20"/>
              </w:rPr>
              <w:t xml:space="preserve">gualdad de </w:t>
            </w:r>
            <w:r w:rsidR="009B5B38">
              <w:rPr>
                <w:rFonts w:ascii="Century Gothic" w:hAnsi="Century Gothic" w:cs="Times New Roman"/>
                <w:color w:val="000000" w:themeColor="text1"/>
                <w:sz w:val="20"/>
                <w:szCs w:val="20"/>
              </w:rPr>
              <w:t>r</w:t>
            </w:r>
            <w:r w:rsidRPr="00E75780">
              <w:rPr>
                <w:rFonts w:ascii="Century Gothic" w:hAnsi="Century Gothic" w:cs="Times New Roman"/>
                <w:color w:val="000000" w:themeColor="text1"/>
                <w:sz w:val="20"/>
                <w:szCs w:val="20"/>
              </w:rPr>
              <w:t xml:space="preserve">emuneración masculina y femenina </w:t>
            </w:r>
            <w:r w:rsidR="009B5B38">
              <w:rPr>
                <w:rFonts w:ascii="Century Gothic" w:hAnsi="Century Gothic" w:cs="Times New Roman"/>
                <w:color w:val="000000" w:themeColor="text1"/>
                <w:sz w:val="20"/>
                <w:szCs w:val="20"/>
              </w:rPr>
              <w:t xml:space="preserve">de la </w:t>
            </w:r>
            <w:r w:rsidRPr="00E75780">
              <w:rPr>
                <w:rFonts w:ascii="Century Gothic" w:hAnsi="Century Gothic" w:cs="Times New Roman"/>
                <w:color w:val="000000" w:themeColor="text1"/>
                <w:sz w:val="20"/>
                <w:szCs w:val="20"/>
              </w:rPr>
              <w:t>OIT</w:t>
            </w:r>
          </w:p>
        </w:tc>
      </w:tr>
      <w:tr w:rsidR="00E75780" w:rsidRPr="00E75780" w14:paraId="567DBB04" w14:textId="77777777" w:rsidTr="00E83DAB">
        <w:tc>
          <w:tcPr>
            <w:tcW w:w="1838" w:type="dxa"/>
          </w:tcPr>
          <w:p w14:paraId="523BE967" w14:textId="3EC2287F" w:rsidR="00E83DAB" w:rsidRPr="00E75780" w:rsidRDefault="00E83DAB" w:rsidP="009B5B38">
            <w:pPr>
              <w:spacing w:after="100" w:afterAutospacing="1"/>
              <w:jc w:val="center"/>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Ley 581 de 2000</w:t>
            </w:r>
          </w:p>
        </w:tc>
        <w:tc>
          <w:tcPr>
            <w:tcW w:w="6946" w:type="dxa"/>
          </w:tcPr>
          <w:p w14:paraId="5F75F72C" w14:textId="1689398F"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Arial"/>
                <w:color w:val="000000" w:themeColor="text1"/>
                <w:sz w:val="20"/>
                <w:szCs w:val="20"/>
                <w:shd w:val="clear" w:color="auto" w:fill="FFFFFF"/>
              </w:rPr>
              <w:t>Por la cual se reglamenta la adecuada y efectiva participación de la mujer en los niveles decisorios de las diferentes ramas y órganos del poder público, de conformidad con los artículos 13, 40 y 43 de la Constitución Nacional y se dictan otras disposiciones.</w:t>
            </w:r>
          </w:p>
        </w:tc>
      </w:tr>
      <w:tr w:rsidR="00E75780" w:rsidRPr="00E75780" w14:paraId="793972B5" w14:textId="77777777" w:rsidTr="00E83DAB">
        <w:tc>
          <w:tcPr>
            <w:tcW w:w="1838" w:type="dxa"/>
          </w:tcPr>
          <w:p w14:paraId="604C01D3" w14:textId="2BA9E7C4"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Ley 823 de 2003</w:t>
            </w:r>
          </w:p>
        </w:tc>
        <w:tc>
          <w:tcPr>
            <w:tcW w:w="6946" w:type="dxa"/>
          </w:tcPr>
          <w:p w14:paraId="5EEEF75B" w14:textId="4CD93F08"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olor w:val="000000" w:themeColor="text1"/>
                <w:sz w:val="20"/>
                <w:szCs w:val="20"/>
              </w:rPr>
              <w:t>Por la cual se dictan normas sobre igualdad de oportunidades para las mujeres.</w:t>
            </w:r>
          </w:p>
        </w:tc>
      </w:tr>
      <w:tr w:rsidR="00E75780" w:rsidRPr="00E75780" w14:paraId="2881657D" w14:textId="77777777" w:rsidTr="00E83DAB">
        <w:tc>
          <w:tcPr>
            <w:tcW w:w="1838" w:type="dxa"/>
          </w:tcPr>
          <w:p w14:paraId="2BF28F5A" w14:textId="2A2DE5F1"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Ley 984 de 2005</w:t>
            </w:r>
          </w:p>
        </w:tc>
        <w:tc>
          <w:tcPr>
            <w:tcW w:w="6946" w:type="dxa"/>
          </w:tcPr>
          <w:p w14:paraId="13724471" w14:textId="3DB6AA85"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Arial"/>
                <w:color w:val="000000" w:themeColor="text1"/>
                <w:sz w:val="20"/>
                <w:szCs w:val="20"/>
              </w:rPr>
              <w:t>Por medio de la cual se aprueba el "Protocolo facultativo de la Convención sobre la eliminación de todas las formas de discriminación contra la mujer", adoptado por la Asamblea General de las Naciones Unidas el seis (6) de octubre de mil novecientos noventa y nueve (1999).</w:t>
            </w:r>
          </w:p>
        </w:tc>
      </w:tr>
      <w:tr w:rsidR="00E75780" w:rsidRPr="00E75780" w14:paraId="45EA9155" w14:textId="77777777" w:rsidTr="00E83DAB">
        <w:tc>
          <w:tcPr>
            <w:tcW w:w="1838" w:type="dxa"/>
          </w:tcPr>
          <w:p w14:paraId="071F4175" w14:textId="4F585F0C"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CONPES Social</w:t>
            </w:r>
          </w:p>
        </w:tc>
        <w:tc>
          <w:tcPr>
            <w:tcW w:w="6946" w:type="dxa"/>
          </w:tcPr>
          <w:p w14:paraId="551EDF33" w14:textId="4BCC417F"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Metas y Estrategias para el logro de los objetivos de Desarrollo del Milenio 2015</w:t>
            </w:r>
            <w:r w:rsidR="009B5B38">
              <w:rPr>
                <w:rFonts w:ascii="Century Gothic" w:hAnsi="Century Gothic" w:cs="Times New Roman"/>
                <w:color w:val="000000" w:themeColor="text1"/>
                <w:sz w:val="20"/>
                <w:szCs w:val="20"/>
              </w:rPr>
              <w:t>.</w:t>
            </w:r>
          </w:p>
        </w:tc>
      </w:tr>
      <w:tr w:rsidR="00E75780" w:rsidRPr="00E75780" w14:paraId="3E87665F" w14:textId="77777777" w:rsidTr="00E83DAB">
        <w:tc>
          <w:tcPr>
            <w:tcW w:w="1838" w:type="dxa"/>
          </w:tcPr>
          <w:p w14:paraId="52D64451" w14:textId="3BE1AF59"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Ley 1010 de 2006</w:t>
            </w:r>
          </w:p>
        </w:tc>
        <w:tc>
          <w:tcPr>
            <w:tcW w:w="6946" w:type="dxa"/>
          </w:tcPr>
          <w:p w14:paraId="0107BA7C" w14:textId="03897F44"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Por medio de la cual se adoptan medidas para prevenir, corregir y sancionar el acoso laboral y otros hostigamientos en el marco de las relaciones de trabajo</w:t>
            </w:r>
            <w:r w:rsidR="00BF5203">
              <w:rPr>
                <w:rFonts w:ascii="Century Gothic" w:hAnsi="Century Gothic" w:cs="Times New Roman"/>
                <w:color w:val="000000" w:themeColor="text1"/>
                <w:sz w:val="20"/>
                <w:szCs w:val="20"/>
              </w:rPr>
              <w:t>.</w:t>
            </w:r>
          </w:p>
        </w:tc>
      </w:tr>
      <w:tr w:rsidR="00E75780" w:rsidRPr="00E75780" w14:paraId="7DA0FD09" w14:textId="77777777" w:rsidTr="00E83DAB">
        <w:tc>
          <w:tcPr>
            <w:tcW w:w="1838" w:type="dxa"/>
          </w:tcPr>
          <w:p w14:paraId="6B6F19C9" w14:textId="34977CF2"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Ley 1257 de 2008</w:t>
            </w:r>
          </w:p>
        </w:tc>
        <w:tc>
          <w:tcPr>
            <w:tcW w:w="6946" w:type="dxa"/>
          </w:tcPr>
          <w:p w14:paraId="203D149B" w14:textId="698296C6"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Arial"/>
                <w:color w:val="000000" w:themeColor="text1"/>
                <w:sz w:val="20"/>
                <w:szCs w:val="20"/>
              </w:rPr>
              <w:t>Por la cual se dictan normas de sensibilización, prevención y sanción de formas de violencia y discriminación contra las mujeres, se reforman los Códigos Penal, de Procedimiento Penal, la Ley 294 de 1996 y se dictan otras disposiciones</w:t>
            </w:r>
            <w:r w:rsidR="00DA23D9">
              <w:rPr>
                <w:rFonts w:ascii="Century Gothic" w:hAnsi="Century Gothic" w:cs="Arial"/>
                <w:color w:val="000000" w:themeColor="text1"/>
                <w:sz w:val="20"/>
                <w:szCs w:val="20"/>
              </w:rPr>
              <w:t>.</w:t>
            </w:r>
          </w:p>
        </w:tc>
      </w:tr>
      <w:tr w:rsidR="00E75780" w:rsidRPr="00E75780" w14:paraId="6684104A" w14:textId="77777777" w:rsidTr="00E83DAB">
        <w:tc>
          <w:tcPr>
            <w:tcW w:w="1838" w:type="dxa"/>
          </w:tcPr>
          <w:p w14:paraId="24182AB9" w14:textId="07C28969"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Ley 82 de 1993 modificada por la ley 1232 de 2008</w:t>
            </w:r>
          </w:p>
        </w:tc>
        <w:tc>
          <w:tcPr>
            <w:tcW w:w="6946" w:type="dxa"/>
          </w:tcPr>
          <w:p w14:paraId="7E0FB347" w14:textId="1AA78B81" w:rsidR="00E83DAB" w:rsidRPr="00E75780" w:rsidRDefault="00E83DAB" w:rsidP="00536FE2">
            <w:pPr>
              <w:pStyle w:val="NormalWeb"/>
              <w:shd w:val="clear" w:color="auto" w:fill="FFFFFF"/>
              <w:spacing w:before="0" w:beforeAutospacing="0" w:after="0" w:afterAutospacing="0"/>
              <w:jc w:val="both"/>
              <w:rPr>
                <w:rFonts w:ascii="Century Gothic" w:eastAsiaTheme="minorHAnsi" w:hAnsi="Century Gothic"/>
                <w:color w:val="000000" w:themeColor="text1"/>
                <w:sz w:val="20"/>
                <w:szCs w:val="20"/>
                <w:lang w:eastAsia="en-US"/>
              </w:rPr>
            </w:pPr>
            <w:r w:rsidRPr="00E75780">
              <w:rPr>
                <w:rFonts w:ascii="Century Gothic" w:hAnsi="Century Gothic"/>
                <w:color w:val="000000" w:themeColor="text1"/>
                <w:sz w:val="20"/>
                <w:szCs w:val="20"/>
              </w:rPr>
              <w:t>Por la cual se modifica la Ley 82 de 1993, Ley Mujer Cabeza de Familia y se dictan otras disposiciones</w:t>
            </w:r>
          </w:p>
        </w:tc>
      </w:tr>
      <w:tr w:rsidR="00E75780" w:rsidRPr="00E75780" w14:paraId="3D4E3F47" w14:textId="77777777" w:rsidTr="00E83DAB">
        <w:tc>
          <w:tcPr>
            <w:tcW w:w="1838" w:type="dxa"/>
          </w:tcPr>
          <w:p w14:paraId="7371D4CD" w14:textId="0F287777"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Ley 1413 de 2010</w:t>
            </w:r>
          </w:p>
        </w:tc>
        <w:tc>
          <w:tcPr>
            <w:tcW w:w="6946" w:type="dxa"/>
          </w:tcPr>
          <w:p w14:paraId="70FDA838" w14:textId="51DF0CFC"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Por medio de la cual se regula la inclusión de la economía del cuidado en el sistema de cuentas nacionales</w:t>
            </w:r>
            <w:r w:rsidR="00DA23D9">
              <w:rPr>
                <w:rFonts w:ascii="Century Gothic" w:hAnsi="Century Gothic" w:cs="Times New Roman"/>
                <w:color w:val="000000" w:themeColor="text1"/>
                <w:sz w:val="20"/>
                <w:szCs w:val="20"/>
              </w:rPr>
              <w:t>.</w:t>
            </w:r>
          </w:p>
        </w:tc>
      </w:tr>
      <w:tr w:rsidR="00E75780" w:rsidRPr="00E75780" w14:paraId="1FE6F317" w14:textId="77777777" w:rsidTr="00E83DAB">
        <w:tc>
          <w:tcPr>
            <w:tcW w:w="1838" w:type="dxa"/>
          </w:tcPr>
          <w:p w14:paraId="7DDE51A5" w14:textId="152CC0AF"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Ley 1429 de 2010</w:t>
            </w:r>
          </w:p>
        </w:tc>
        <w:tc>
          <w:tcPr>
            <w:tcW w:w="6946" w:type="dxa"/>
          </w:tcPr>
          <w:p w14:paraId="54EF1263" w14:textId="2874A6B5"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Por la cual se expide la Ley de Formalización y Generación de Empleo.</w:t>
            </w:r>
          </w:p>
        </w:tc>
      </w:tr>
      <w:tr w:rsidR="00E75780" w:rsidRPr="00E75780" w14:paraId="71043E3F" w14:textId="77777777" w:rsidTr="00E83DAB">
        <w:tc>
          <w:tcPr>
            <w:tcW w:w="1838" w:type="dxa"/>
          </w:tcPr>
          <w:p w14:paraId="7A087DD6" w14:textId="2230F600"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Decreto 4463 2011</w:t>
            </w:r>
          </w:p>
        </w:tc>
        <w:tc>
          <w:tcPr>
            <w:tcW w:w="6946" w:type="dxa"/>
          </w:tcPr>
          <w:p w14:paraId="32D07BB2" w14:textId="5985852E"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Por medio del cual se reglamenta parcialmente la Ley 1257 de 2008</w:t>
            </w:r>
          </w:p>
        </w:tc>
      </w:tr>
      <w:tr w:rsidR="00E75780" w:rsidRPr="00E75780" w14:paraId="0BE58402" w14:textId="77777777" w:rsidTr="00E83DAB">
        <w:tc>
          <w:tcPr>
            <w:tcW w:w="1838" w:type="dxa"/>
          </w:tcPr>
          <w:p w14:paraId="4AD4DD2A" w14:textId="7A5145D2"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Ley 1496 de 2011</w:t>
            </w:r>
          </w:p>
        </w:tc>
        <w:tc>
          <w:tcPr>
            <w:tcW w:w="6946" w:type="dxa"/>
          </w:tcPr>
          <w:p w14:paraId="63356BD9" w14:textId="09A9137A"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Arial"/>
                <w:color w:val="000000" w:themeColor="text1"/>
                <w:sz w:val="20"/>
                <w:szCs w:val="20"/>
              </w:rPr>
              <w:t>Por medio de la cual se garantiza la igualdad salarial y de retribución laboral entre mujeres y hombres, se establecen mecanismos para erradicar cualquier forma de discriminación y se dictan otras disposiciones.</w:t>
            </w:r>
          </w:p>
        </w:tc>
      </w:tr>
      <w:tr w:rsidR="00E75780" w:rsidRPr="00E75780" w14:paraId="5A582C5C" w14:textId="77777777" w:rsidTr="00E83DAB">
        <w:tc>
          <w:tcPr>
            <w:tcW w:w="1838" w:type="dxa"/>
          </w:tcPr>
          <w:p w14:paraId="7F060309" w14:textId="2A72C1A3"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Decreto 1930 de 2013</w:t>
            </w:r>
          </w:p>
        </w:tc>
        <w:tc>
          <w:tcPr>
            <w:tcW w:w="6946" w:type="dxa"/>
          </w:tcPr>
          <w:p w14:paraId="24AF66F5" w14:textId="06A9D916"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Por el cual se adopta la Política Pública Nacional de Equidad de Género y se crea una Comisión Intersectorial para su implementación</w:t>
            </w:r>
          </w:p>
        </w:tc>
      </w:tr>
      <w:tr w:rsidR="00E75780" w:rsidRPr="00E75780" w14:paraId="430E1E03" w14:textId="77777777" w:rsidTr="00E83DAB">
        <w:tc>
          <w:tcPr>
            <w:tcW w:w="1838" w:type="dxa"/>
          </w:tcPr>
          <w:p w14:paraId="03AAB85E" w14:textId="59D9D46D"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CONPES 161 de 2013</w:t>
            </w:r>
          </w:p>
        </w:tc>
        <w:tc>
          <w:tcPr>
            <w:tcW w:w="6946" w:type="dxa"/>
          </w:tcPr>
          <w:p w14:paraId="476F93B0" w14:textId="536DFF29" w:rsidR="00E83DAB" w:rsidRPr="00E75780" w:rsidRDefault="00E83DAB" w:rsidP="00536FE2">
            <w:pPr>
              <w:spacing w:after="100" w:afterAutospacing="1"/>
              <w:jc w:val="both"/>
              <w:rPr>
                <w:rFonts w:ascii="Century Gothic" w:hAnsi="Century Gothic" w:cs="Times New Roman"/>
                <w:color w:val="000000" w:themeColor="text1"/>
                <w:sz w:val="20"/>
                <w:szCs w:val="20"/>
              </w:rPr>
            </w:pPr>
            <w:r w:rsidRPr="00E75780">
              <w:rPr>
                <w:rFonts w:ascii="Century Gothic" w:hAnsi="Century Gothic" w:cs="Times New Roman"/>
                <w:color w:val="000000" w:themeColor="text1"/>
                <w:sz w:val="20"/>
                <w:szCs w:val="20"/>
              </w:rPr>
              <w:t>Equidad de género para las mujeres</w:t>
            </w:r>
          </w:p>
        </w:tc>
      </w:tr>
    </w:tbl>
    <w:p w14:paraId="33954115" w14:textId="63A955A3" w:rsidR="00E83DAB" w:rsidRPr="00E75780" w:rsidRDefault="00E83DAB" w:rsidP="00E83DAB">
      <w:pPr>
        <w:spacing w:before="240" w:after="120"/>
        <w:jc w:val="center"/>
        <w:rPr>
          <w:rFonts w:ascii="Century Gothic" w:hAnsi="Century Gothic"/>
          <w:color w:val="000000" w:themeColor="text1"/>
          <w:sz w:val="18"/>
          <w:szCs w:val="18"/>
        </w:rPr>
      </w:pPr>
      <w:r w:rsidRPr="00E75780">
        <w:rPr>
          <w:rFonts w:ascii="Century Gothic" w:hAnsi="Century Gothic"/>
          <w:color w:val="000000" w:themeColor="text1"/>
          <w:sz w:val="18"/>
          <w:szCs w:val="18"/>
        </w:rPr>
        <w:t xml:space="preserve">Fuente: elaboración propia con base en </w:t>
      </w:r>
      <w:r w:rsidRPr="00E75780">
        <w:rPr>
          <w:rFonts w:ascii="Century Gothic" w:hAnsi="Century Gothic"/>
          <w:i/>
          <w:iCs/>
          <w:color w:val="000000" w:themeColor="text1"/>
          <w:sz w:val="18"/>
          <w:szCs w:val="18"/>
        </w:rPr>
        <w:t xml:space="preserve">Género y Políticas Públicas en Colombia </w:t>
      </w:r>
      <w:r w:rsidRPr="00E75780">
        <w:rPr>
          <w:rFonts w:ascii="Century Gothic" w:hAnsi="Century Gothic"/>
          <w:color w:val="000000" w:themeColor="text1"/>
          <w:sz w:val="18"/>
          <w:szCs w:val="18"/>
        </w:rPr>
        <w:t>(Mayorga, 2020)</w:t>
      </w:r>
    </w:p>
    <w:p w14:paraId="1AF88D9C" w14:textId="5707240B" w:rsidR="00912E95" w:rsidRPr="00E75780" w:rsidRDefault="002D471E" w:rsidP="002D471E">
      <w:pPr>
        <w:spacing w:before="240" w:after="120"/>
        <w:jc w:val="both"/>
        <w:outlineLvl w:val="0"/>
        <w:rPr>
          <w:rFonts w:ascii="Century Gothic" w:hAnsi="Century Gothic"/>
          <w:b/>
          <w:bCs/>
          <w:color w:val="000000" w:themeColor="text1"/>
        </w:rPr>
      </w:pPr>
      <w:r>
        <w:rPr>
          <w:rFonts w:ascii="Century Gothic" w:hAnsi="Century Gothic"/>
          <w:b/>
          <w:bCs/>
          <w:color w:val="000000" w:themeColor="text1"/>
        </w:rPr>
        <w:t>Inequidad de género</w:t>
      </w:r>
    </w:p>
    <w:p w14:paraId="33AB932A" w14:textId="77777777" w:rsidR="00FA1D72" w:rsidRDefault="00912E95" w:rsidP="00E83DAB">
      <w:pPr>
        <w:spacing w:before="240" w:after="120"/>
        <w:jc w:val="both"/>
        <w:rPr>
          <w:rFonts w:ascii="Century Gothic" w:hAnsi="Century Gothic"/>
          <w:color w:val="000000" w:themeColor="text1"/>
        </w:rPr>
      </w:pPr>
      <w:r w:rsidRPr="00E75780">
        <w:rPr>
          <w:rFonts w:ascii="Century Gothic" w:hAnsi="Century Gothic"/>
          <w:color w:val="000000" w:themeColor="text1"/>
        </w:rPr>
        <w:t xml:space="preserve">La </w:t>
      </w:r>
      <w:r w:rsidR="002D471E">
        <w:rPr>
          <w:rFonts w:ascii="Century Gothic" w:hAnsi="Century Gothic"/>
          <w:color w:val="000000" w:themeColor="text1"/>
        </w:rPr>
        <w:t>inequidad de género</w:t>
      </w:r>
      <w:r w:rsidRPr="00E75780">
        <w:rPr>
          <w:rFonts w:ascii="Century Gothic" w:hAnsi="Century Gothic"/>
          <w:color w:val="000000" w:themeColor="text1"/>
        </w:rPr>
        <w:t xml:space="preserve"> ha sido un</w:t>
      </w:r>
      <w:r w:rsidR="00720AB7">
        <w:rPr>
          <w:rFonts w:ascii="Century Gothic" w:hAnsi="Century Gothic"/>
          <w:color w:val="000000" w:themeColor="text1"/>
        </w:rPr>
        <w:t xml:space="preserve"> fenómeno presente </w:t>
      </w:r>
      <w:r w:rsidR="001168C7">
        <w:rPr>
          <w:rFonts w:ascii="Century Gothic" w:hAnsi="Century Gothic"/>
          <w:color w:val="000000" w:themeColor="text1"/>
        </w:rPr>
        <w:t>en</w:t>
      </w:r>
      <w:r w:rsidR="00720AB7">
        <w:rPr>
          <w:rFonts w:ascii="Century Gothic" w:hAnsi="Century Gothic"/>
          <w:color w:val="000000" w:themeColor="text1"/>
        </w:rPr>
        <w:t xml:space="preserve"> la historia humana y recurrente </w:t>
      </w:r>
      <w:r w:rsidR="001168C7">
        <w:rPr>
          <w:rFonts w:ascii="Century Gothic" w:hAnsi="Century Gothic"/>
          <w:color w:val="000000" w:themeColor="text1"/>
        </w:rPr>
        <w:t>en diferentes naciones a lo largo de la geografía del mundo</w:t>
      </w:r>
      <w:r w:rsidR="00501672">
        <w:rPr>
          <w:rFonts w:ascii="Century Gothic" w:hAnsi="Century Gothic"/>
          <w:color w:val="000000" w:themeColor="text1"/>
        </w:rPr>
        <w:t xml:space="preserve">. Dado lo anterior, las sociedades se han trazado como objetivo su eliminación, pues el no acceso paritario a oportunidades menoscaba el desarrollo de las mujeres. </w:t>
      </w:r>
    </w:p>
    <w:p w14:paraId="3442A702" w14:textId="3C80C8FE" w:rsidR="00912E95" w:rsidRPr="00E75780" w:rsidRDefault="00912E95" w:rsidP="00E83DAB">
      <w:pPr>
        <w:spacing w:before="240" w:after="120"/>
        <w:jc w:val="both"/>
        <w:rPr>
          <w:rFonts w:ascii="Century Gothic" w:hAnsi="Century Gothic"/>
          <w:color w:val="000000" w:themeColor="text1"/>
        </w:rPr>
      </w:pPr>
      <w:r w:rsidRPr="002811BA">
        <w:rPr>
          <w:rFonts w:ascii="Century Gothic" w:hAnsi="Century Gothic"/>
          <w:color w:val="000000" w:themeColor="text1"/>
        </w:rPr>
        <w:t>Uno de los estudios más recientes para Colombia se realizó de la mano con la ONU en el año 2017, dentro</w:t>
      </w:r>
      <w:r w:rsidRPr="00E75780">
        <w:rPr>
          <w:rFonts w:ascii="Century Gothic" w:hAnsi="Century Gothic"/>
          <w:color w:val="000000" w:themeColor="text1"/>
        </w:rPr>
        <w:t xml:space="preserve"> del contexto de la evaluación de los Objetivos de Desarrollo del Milenio (ODM), la implementación de los Objetivos para el Desarrollo Sostenible (ODS) y las dinámicas de Colombia con respecto al postconflicto. </w:t>
      </w:r>
    </w:p>
    <w:p w14:paraId="7C0DD78E" w14:textId="6516B554" w:rsidR="00912E95" w:rsidRPr="00E75780" w:rsidRDefault="00912E95" w:rsidP="00E83DAB">
      <w:pPr>
        <w:spacing w:before="240" w:after="120"/>
        <w:jc w:val="both"/>
        <w:rPr>
          <w:rFonts w:ascii="Century Gothic" w:hAnsi="Century Gothic"/>
          <w:color w:val="000000" w:themeColor="text1"/>
        </w:rPr>
      </w:pPr>
      <w:r w:rsidRPr="00E75780">
        <w:rPr>
          <w:rFonts w:ascii="Century Gothic" w:hAnsi="Century Gothic"/>
          <w:color w:val="000000" w:themeColor="text1"/>
        </w:rPr>
        <w:t xml:space="preserve">Este estudio no sólo revela cifras y análisis importantes sobre la desigualdad, sino que también </w:t>
      </w:r>
      <w:r w:rsidR="00342F68">
        <w:rPr>
          <w:rFonts w:ascii="Century Gothic" w:hAnsi="Century Gothic"/>
          <w:color w:val="000000" w:themeColor="text1"/>
        </w:rPr>
        <w:t>brinda elementos para comprender lo que serían l</w:t>
      </w:r>
      <w:r w:rsidRPr="00E75780">
        <w:rPr>
          <w:rFonts w:ascii="Century Gothic" w:hAnsi="Century Gothic"/>
          <w:color w:val="000000" w:themeColor="text1"/>
        </w:rPr>
        <w:t xml:space="preserve">os costos sociales y económicos que estas brechas generan para el país. </w:t>
      </w:r>
      <w:r w:rsidR="00342F68">
        <w:rPr>
          <w:rFonts w:ascii="Century Gothic" w:hAnsi="Century Gothic"/>
          <w:color w:val="000000" w:themeColor="text1"/>
        </w:rPr>
        <w:t xml:space="preserve"> </w:t>
      </w:r>
      <w:r w:rsidRPr="002811BA">
        <w:rPr>
          <w:rFonts w:ascii="Century Gothic" w:hAnsi="Century Gothic"/>
          <w:color w:val="000000" w:themeColor="text1"/>
        </w:rPr>
        <w:t xml:space="preserve">A partir de este estudio, y de las cifras con las que cuenta el Estado </w:t>
      </w:r>
      <w:r w:rsidR="00342F68" w:rsidRPr="002811BA">
        <w:rPr>
          <w:rFonts w:ascii="Century Gothic" w:hAnsi="Century Gothic"/>
          <w:color w:val="000000" w:themeColor="text1"/>
        </w:rPr>
        <w:t>c</w:t>
      </w:r>
      <w:r w:rsidRPr="002811BA">
        <w:rPr>
          <w:rFonts w:ascii="Century Gothic" w:hAnsi="Century Gothic"/>
          <w:color w:val="000000" w:themeColor="text1"/>
        </w:rPr>
        <w:t>olombiano</w:t>
      </w:r>
      <w:r w:rsidRPr="00E75780">
        <w:rPr>
          <w:rFonts w:ascii="Century Gothic" w:hAnsi="Century Gothic"/>
          <w:color w:val="000000" w:themeColor="text1"/>
        </w:rPr>
        <w:t>, se concluye que las mujeres colombianas mujeres tienen una mayor tendencia a permanecer en la pobreza, a pesar de que ingresen al mercado laboral; esto, dado la falta de empoderamiento económico, la distribución desigual de las tareas del hogar y del cuidado, y la persistencia de las desigualdades basadas en género (Presidencia de la República Alta Consejería para la Equidad de la Mujer, 2011).</w:t>
      </w:r>
    </w:p>
    <w:p w14:paraId="3A136F01" w14:textId="77777777" w:rsidR="00912E95" w:rsidRPr="00E75780" w:rsidRDefault="00912E95" w:rsidP="002D471E">
      <w:pPr>
        <w:spacing w:before="240" w:after="120"/>
        <w:jc w:val="both"/>
        <w:outlineLvl w:val="0"/>
        <w:rPr>
          <w:rFonts w:ascii="Century Gothic" w:hAnsi="Century Gothic"/>
          <w:b/>
          <w:bCs/>
          <w:color w:val="000000" w:themeColor="text1"/>
        </w:rPr>
      </w:pPr>
      <w:r w:rsidRPr="00E75780">
        <w:rPr>
          <w:rFonts w:ascii="Century Gothic" w:hAnsi="Century Gothic"/>
          <w:b/>
          <w:bCs/>
          <w:color w:val="000000" w:themeColor="text1"/>
        </w:rPr>
        <w:t>Campo laboral</w:t>
      </w:r>
    </w:p>
    <w:p w14:paraId="16963C21" w14:textId="6CF063EC" w:rsidR="00912E95" w:rsidRPr="00E75780" w:rsidRDefault="00912E95" w:rsidP="00E83DAB">
      <w:pPr>
        <w:spacing w:before="240" w:after="120"/>
        <w:jc w:val="both"/>
        <w:rPr>
          <w:rFonts w:ascii="Century Gothic" w:hAnsi="Century Gothic"/>
          <w:color w:val="000000" w:themeColor="text1"/>
        </w:rPr>
      </w:pPr>
      <w:r w:rsidRPr="00E75780">
        <w:rPr>
          <w:rFonts w:ascii="Century Gothic" w:hAnsi="Century Gothic"/>
          <w:color w:val="000000" w:themeColor="text1"/>
        </w:rPr>
        <w:t>Un</w:t>
      </w:r>
      <w:r w:rsidR="00342F68">
        <w:rPr>
          <w:rFonts w:ascii="Century Gothic" w:hAnsi="Century Gothic"/>
          <w:color w:val="000000" w:themeColor="text1"/>
        </w:rPr>
        <w:t>a</w:t>
      </w:r>
      <w:r w:rsidRPr="00E75780">
        <w:rPr>
          <w:rFonts w:ascii="Century Gothic" w:hAnsi="Century Gothic"/>
          <w:color w:val="000000" w:themeColor="text1"/>
        </w:rPr>
        <w:t xml:space="preserve"> de </w:t>
      </w:r>
      <w:r w:rsidR="00342F68">
        <w:rPr>
          <w:rFonts w:ascii="Century Gothic" w:hAnsi="Century Gothic"/>
          <w:color w:val="000000" w:themeColor="text1"/>
        </w:rPr>
        <w:t>las áreas</w:t>
      </w:r>
      <w:r w:rsidRPr="00E75780">
        <w:rPr>
          <w:rFonts w:ascii="Century Gothic" w:hAnsi="Century Gothic"/>
          <w:color w:val="000000" w:themeColor="text1"/>
        </w:rPr>
        <w:t xml:space="preserve"> con </w:t>
      </w:r>
      <w:r w:rsidR="00342F68" w:rsidRPr="00E75780">
        <w:rPr>
          <w:rFonts w:ascii="Century Gothic" w:hAnsi="Century Gothic"/>
          <w:color w:val="000000" w:themeColor="text1"/>
        </w:rPr>
        <w:t>m</w:t>
      </w:r>
      <w:r w:rsidR="00342F68">
        <w:rPr>
          <w:rFonts w:ascii="Century Gothic" w:hAnsi="Century Gothic"/>
          <w:color w:val="000000" w:themeColor="text1"/>
        </w:rPr>
        <w:t>ás información</w:t>
      </w:r>
      <w:r w:rsidRPr="00E75780">
        <w:rPr>
          <w:rFonts w:ascii="Century Gothic" w:hAnsi="Century Gothic"/>
          <w:color w:val="000000" w:themeColor="text1"/>
        </w:rPr>
        <w:t xml:space="preserve"> desagregada por sexo es el campo laboral. En Colombia, según el </w:t>
      </w:r>
      <w:r w:rsidR="00342F68">
        <w:rPr>
          <w:rFonts w:ascii="Century Gothic" w:hAnsi="Century Gothic"/>
          <w:color w:val="000000" w:themeColor="text1"/>
        </w:rPr>
        <w:t>C</w:t>
      </w:r>
      <w:r w:rsidRPr="00E75780">
        <w:rPr>
          <w:rFonts w:ascii="Century Gothic" w:hAnsi="Century Gothic"/>
          <w:color w:val="000000" w:themeColor="text1"/>
        </w:rPr>
        <w:t xml:space="preserve">enso </w:t>
      </w:r>
      <w:r w:rsidR="00342F68">
        <w:rPr>
          <w:rFonts w:ascii="Century Gothic" w:hAnsi="Century Gothic"/>
          <w:color w:val="000000" w:themeColor="text1"/>
        </w:rPr>
        <w:t>N</w:t>
      </w:r>
      <w:r w:rsidRPr="00E75780">
        <w:rPr>
          <w:rFonts w:ascii="Century Gothic" w:hAnsi="Century Gothic"/>
          <w:color w:val="000000" w:themeColor="text1"/>
        </w:rPr>
        <w:t xml:space="preserve">acional de </w:t>
      </w:r>
      <w:r w:rsidR="00342F68">
        <w:rPr>
          <w:rFonts w:ascii="Century Gothic" w:hAnsi="Century Gothic"/>
          <w:color w:val="000000" w:themeColor="text1"/>
        </w:rPr>
        <w:t>P</w:t>
      </w:r>
      <w:r w:rsidRPr="00E75780">
        <w:rPr>
          <w:rFonts w:ascii="Century Gothic" w:hAnsi="Century Gothic"/>
          <w:color w:val="000000" w:themeColor="text1"/>
        </w:rPr>
        <w:t xml:space="preserve">oblación y </w:t>
      </w:r>
      <w:r w:rsidR="00342F68">
        <w:rPr>
          <w:rFonts w:ascii="Century Gothic" w:hAnsi="Century Gothic"/>
          <w:color w:val="000000" w:themeColor="text1"/>
        </w:rPr>
        <w:t>V</w:t>
      </w:r>
      <w:r w:rsidRPr="00E75780">
        <w:rPr>
          <w:rFonts w:ascii="Century Gothic" w:hAnsi="Century Gothic"/>
          <w:color w:val="000000" w:themeColor="text1"/>
        </w:rPr>
        <w:t>ivienda</w:t>
      </w:r>
      <w:r w:rsidR="00342F68">
        <w:rPr>
          <w:rFonts w:ascii="Century Gothic" w:hAnsi="Century Gothic"/>
          <w:color w:val="000000" w:themeColor="text1"/>
        </w:rPr>
        <w:t xml:space="preserve"> de </w:t>
      </w:r>
      <w:r w:rsidRPr="00E75780">
        <w:rPr>
          <w:rFonts w:ascii="Century Gothic" w:hAnsi="Century Gothic"/>
          <w:color w:val="000000" w:themeColor="text1"/>
        </w:rPr>
        <w:t xml:space="preserve">2018, las mujeres representaban un 51,2% de la población. Sin embargo, </w:t>
      </w:r>
      <w:r w:rsidR="00342F68">
        <w:rPr>
          <w:rFonts w:ascii="Century Gothic" w:hAnsi="Century Gothic"/>
          <w:color w:val="000000" w:themeColor="text1"/>
        </w:rPr>
        <w:t>al observar</w:t>
      </w:r>
      <w:r w:rsidRPr="00E75780">
        <w:rPr>
          <w:rFonts w:ascii="Century Gothic" w:hAnsi="Century Gothic"/>
          <w:color w:val="000000" w:themeColor="text1"/>
        </w:rPr>
        <w:t xml:space="preserve"> las estadísticas, a noviembre de 2019 la Tasa Global de Participación masculina llegó a 75,9%, mientras que la femenina fue de 63,0% (Diagnóstico PDD 2020-2024 Bogotá). </w:t>
      </w:r>
      <w:r w:rsidR="00342F68">
        <w:rPr>
          <w:rFonts w:ascii="Century Gothic" w:hAnsi="Century Gothic"/>
          <w:color w:val="000000" w:themeColor="text1"/>
        </w:rPr>
        <w:t>Lo anterior permite entender que</w:t>
      </w:r>
      <w:r w:rsidRPr="00E75780">
        <w:rPr>
          <w:rFonts w:ascii="Century Gothic" w:hAnsi="Century Gothic"/>
          <w:color w:val="000000" w:themeColor="text1"/>
        </w:rPr>
        <w:t xml:space="preserve"> las mujeres participan menos en el mercado laboral</w:t>
      </w:r>
      <w:r w:rsidR="00155F1F" w:rsidRPr="00E75780">
        <w:rPr>
          <w:rFonts w:ascii="Century Gothic" w:hAnsi="Century Gothic"/>
          <w:color w:val="000000" w:themeColor="text1"/>
        </w:rPr>
        <w:t xml:space="preserve">. Esto podría tener </w:t>
      </w:r>
      <w:r w:rsidR="00F53A39">
        <w:rPr>
          <w:rFonts w:ascii="Century Gothic" w:hAnsi="Century Gothic"/>
          <w:color w:val="000000" w:themeColor="text1"/>
        </w:rPr>
        <w:t>una amplia gama de</w:t>
      </w:r>
      <w:r w:rsidR="00155F1F" w:rsidRPr="00E75780">
        <w:rPr>
          <w:rFonts w:ascii="Century Gothic" w:hAnsi="Century Gothic"/>
          <w:color w:val="000000" w:themeColor="text1"/>
        </w:rPr>
        <w:t xml:space="preserve"> explicaciones, </w:t>
      </w:r>
      <w:r w:rsidR="00E400EA" w:rsidRPr="00E75780">
        <w:rPr>
          <w:rFonts w:ascii="Century Gothic" w:hAnsi="Century Gothic"/>
          <w:color w:val="000000" w:themeColor="text1"/>
        </w:rPr>
        <w:t>como,</w:t>
      </w:r>
      <w:r w:rsidR="00155F1F" w:rsidRPr="00E75780">
        <w:rPr>
          <w:rFonts w:ascii="Century Gothic" w:hAnsi="Century Gothic"/>
          <w:color w:val="000000" w:themeColor="text1"/>
        </w:rPr>
        <w:t xml:space="preserve"> por ejemplo, </w:t>
      </w:r>
      <w:r w:rsidR="00F53A39">
        <w:rPr>
          <w:rFonts w:ascii="Century Gothic" w:hAnsi="Century Gothic"/>
          <w:color w:val="000000" w:themeColor="text1"/>
        </w:rPr>
        <w:t>la existencia de</w:t>
      </w:r>
      <w:r w:rsidR="00155F1F" w:rsidRPr="00E75780">
        <w:rPr>
          <w:rFonts w:ascii="Century Gothic" w:hAnsi="Century Gothic"/>
          <w:color w:val="000000" w:themeColor="text1"/>
        </w:rPr>
        <w:t xml:space="preserve"> una mayor cantidad de mujeres pensionadas o estudiantes</w:t>
      </w:r>
      <w:r w:rsidR="00F53A39">
        <w:rPr>
          <w:rFonts w:ascii="Century Gothic" w:hAnsi="Century Gothic"/>
          <w:color w:val="000000" w:themeColor="text1"/>
        </w:rPr>
        <w:t>.</w:t>
      </w:r>
      <w:r w:rsidR="00155F1F" w:rsidRPr="00E75780">
        <w:rPr>
          <w:rFonts w:ascii="Century Gothic" w:hAnsi="Century Gothic"/>
          <w:color w:val="000000" w:themeColor="text1"/>
        </w:rPr>
        <w:t xml:space="preserve"> </w:t>
      </w:r>
      <w:r w:rsidR="00F53A39">
        <w:rPr>
          <w:rFonts w:ascii="Century Gothic" w:hAnsi="Century Gothic"/>
          <w:color w:val="000000" w:themeColor="text1"/>
        </w:rPr>
        <w:t>No obstante</w:t>
      </w:r>
      <w:r w:rsidR="00155F1F" w:rsidRPr="00E75780">
        <w:rPr>
          <w:rFonts w:ascii="Century Gothic" w:hAnsi="Century Gothic"/>
          <w:color w:val="000000" w:themeColor="text1"/>
        </w:rPr>
        <w:t>,</w:t>
      </w:r>
      <w:r w:rsidR="00F53A39">
        <w:rPr>
          <w:rFonts w:ascii="Century Gothic" w:hAnsi="Century Gothic"/>
          <w:color w:val="000000" w:themeColor="text1"/>
        </w:rPr>
        <w:t xml:space="preserve"> la razón por la cual se genera </w:t>
      </w:r>
      <w:r w:rsidR="00155F1F" w:rsidRPr="00E75780">
        <w:rPr>
          <w:rFonts w:ascii="Century Gothic" w:hAnsi="Century Gothic"/>
          <w:color w:val="000000" w:themeColor="text1"/>
        </w:rPr>
        <w:t xml:space="preserve">esta brecha </w:t>
      </w:r>
      <w:r w:rsidR="00F53A39">
        <w:rPr>
          <w:rFonts w:ascii="Century Gothic" w:hAnsi="Century Gothic"/>
          <w:color w:val="000000" w:themeColor="text1"/>
        </w:rPr>
        <w:t>reside en</w:t>
      </w:r>
      <w:r w:rsidR="00155F1F" w:rsidRPr="00E75780">
        <w:rPr>
          <w:rFonts w:ascii="Century Gothic" w:hAnsi="Century Gothic"/>
          <w:color w:val="000000" w:themeColor="text1"/>
        </w:rPr>
        <w:t xml:space="preserve"> la recarga histórica que han tenido las mujeres en las labores del cuidado. </w:t>
      </w:r>
      <w:r w:rsidRPr="00E75780">
        <w:rPr>
          <w:rFonts w:ascii="Century Gothic" w:hAnsi="Century Gothic"/>
          <w:color w:val="000000" w:themeColor="text1"/>
        </w:rPr>
        <w:t xml:space="preserve"> </w:t>
      </w:r>
    </w:p>
    <w:p w14:paraId="1C8D6B66" w14:textId="4BE12A30" w:rsidR="00912E95" w:rsidRPr="00E75780" w:rsidRDefault="00912E95" w:rsidP="00E83DAB">
      <w:pPr>
        <w:spacing w:before="240" w:after="120"/>
        <w:jc w:val="both"/>
        <w:rPr>
          <w:rFonts w:ascii="Century Gothic" w:hAnsi="Century Gothic"/>
          <w:color w:val="000000" w:themeColor="text1"/>
        </w:rPr>
      </w:pPr>
      <w:r w:rsidRPr="00E75780">
        <w:rPr>
          <w:rFonts w:ascii="Century Gothic" w:hAnsi="Century Gothic"/>
          <w:color w:val="000000" w:themeColor="text1"/>
        </w:rPr>
        <w:t xml:space="preserve">Para el trimestre de noviembre 2019 – enero 2020, la tasa de desempleo para hombres fue de un 8,1%, mientras que para las mujeres fue de 13,9% con el agravante que las mujeres reciben 17% menos de ingresos respecto a sus pares hombres (Iniciativa Paridad de Género Colombia, 2019). </w:t>
      </w:r>
    </w:p>
    <w:p w14:paraId="1123AA97" w14:textId="77777777" w:rsidR="00E83DAB" w:rsidRPr="00E75780" w:rsidRDefault="00E83DAB" w:rsidP="00E83DAB">
      <w:pPr>
        <w:spacing w:before="240" w:after="120"/>
        <w:jc w:val="both"/>
        <w:rPr>
          <w:rFonts w:ascii="Century Gothic" w:hAnsi="Century Gothic"/>
          <w:color w:val="000000" w:themeColor="text1"/>
        </w:rPr>
      </w:pPr>
      <w:r w:rsidRPr="00E75780">
        <w:rPr>
          <w:rFonts w:ascii="Century Gothic" w:hAnsi="Century Gothic"/>
          <w:color w:val="000000" w:themeColor="text1"/>
        </w:rPr>
        <w:t>Como se observa en la gráfica 1, en todos los casos las mujeres tienen una tasa de desempleo mayor respecto a los hombres. Además, si se analizan las estadísticas sobre los ingresos salariales de la población colombiana y se desagregan por sexo, es posible identificar una desigualdad importante. Para 2018, la brecha salarial entre hombres y mujeres que realizan el mismo trabajo fue de 12%</w:t>
      </w:r>
      <w:r w:rsidRPr="00E75780">
        <w:rPr>
          <w:rFonts w:ascii="Century Gothic" w:hAnsi="Century Gothic"/>
          <w:i/>
          <w:iCs/>
          <w:color w:val="000000" w:themeColor="text1"/>
        </w:rPr>
        <w:t xml:space="preserve">. </w:t>
      </w:r>
      <w:r w:rsidRPr="00E75780">
        <w:rPr>
          <w:rFonts w:ascii="Century Gothic" w:hAnsi="Century Gothic"/>
          <w:color w:val="000000" w:themeColor="text1"/>
        </w:rPr>
        <w:t xml:space="preserve">Además, resulta preocupante que la brecha se mantenga para todos los niveles de escolaridad (Boletín estadístico empoderamiento económico de las mujeres en Colombia, 2019). </w:t>
      </w:r>
    </w:p>
    <w:p w14:paraId="53909C12" w14:textId="77777777" w:rsidR="00E83DAB" w:rsidRPr="00E75780" w:rsidRDefault="00E83DAB" w:rsidP="00E83DAB">
      <w:pPr>
        <w:spacing w:before="240" w:after="120"/>
        <w:jc w:val="both"/>
        <w:rPr>
          <w:rFonts w:ascii="Century Gothic" w:hAnsi="Century Gothic"/>
          <w:noProof/>
          <w:color w:val="000000" w:themeColor="text1"/>
          <w:sz w:val="24"/>
          <w:szCs w:val="24"/>
        </w:rPr>
      </w:pPr>
      <w:r w:rsidRPr="00E75780">
        <w:rPr>
          <w:rFonts w:ascii="Century Gothic" w:hAnsi="Century Gothic"/>
          <w:noProof/>
          <w:color w:val="000000" w:themeColor="text1"/>
          <w:szCs w:val="24"/>
        </w:rPr>
        <w:t xml:space="preserve">Esto evidencia que la situación económica de las mujeres no es favorable, y se ve fuertemente afectada por disparidades y desigualdades de género importantes y estructurales, por lo que se deben crear políticas públicas que permitan superar dicha situación. </w:t>
      </w:r>
    </w:p>
    <w:p w14:paraId="192838E7" w14:textId="77777777" w:rsidR="00912E95" w:rsidRPr="00E75780" w:rsidRDefault="00912E95" w:rsidP="00E83DAB">
      <w:pPr>
        <w:pStyle w:val="Descripcin"/>
        <w:spacing w:before="240" w:after="120"/>
        <w:jc w:val="center"/>
        <w:rPr>
          <w:rFonts w:ascii="Century Gothic" w:hAnsi="Century Gothic"/>
          <w:b/>
          <w:bCs/>
          <w:i w:val="0"/>
          <w:noProof/>
          <w:color w:val="000000" w:themeColor="text1"/>
          <w:sz w:val="24"/>
          <w:szCs w:val="24"/>
        </w:rPr>
      </w:pPr>
      <w:r w:rsidRPr="00E75780">
        <w:rPr>
          <w:rFonts w:ascii="Century Gothic" w:hAnsi="Century Gothic"/>
          <w:b/>
          <w:bCs/>
          <w:i w:val="0"/>
          <w:color w:val="000000" w:themeColor="text1"/>
          <w:sz w:val="24"/>
          <w:szCs w:val="24"/>
        </w:rPr>
        <w:t xml:space="preserve">Gráfica </w:t>
      </w:r>
      <w:r w:rsidRPr="00E75780">
        <w:rPr>
          <w:rFonts w:ascii="Century Gothic" w:hAnsi="Century Gothic"/>
          <w:b/>
          <w:bCs/>
          <w:i w:val="0"/>
          <w:noProof/>
          <w:color w:val="000000" w:themeColor="text1"/>
          <w:sz w:val="24"/>
          <w:szCs w:val="24"/>
        </w:rPr>
        <w:t>1. Brecha en la tasa de desempleo por dominio geográfico.</w:t>
      </w:r>
      <w:r w:rsidRPr="00E75780">
        <w:rPr>
          <w:rFonts w:ascii="Century Gothic" w:hAnsi="Century Gothic"/>
          <w:b/>
          <w:bCs/>
          <w:i w:val="0"/>
          <w:noProof/>
          <w:color w:val="000000" w:themeColor="text1"/>
        </w:rPr>
        <w:t xml:space="preserve"> </w:t>
      </w:r>
      <w:r w:rsidRPr="00E75780">
        <w:rPr>
          <w:rFonts w:ascii="Century Gothic" w:hAnsi="Century Gothic"/>
          <w:b/>
          <w:bCs/>
          <w:i w:val="0"/>
          <w:noProof/>
          <w:color w:val="000000" w:themeColor="text1"/>
          <w:sz w:val="24"/>
          <w:szCs w:val="24"/>
        </w:rPr>
        <w:br/>
        <w:t>Trimestre móvil noviembre 2019 – enero 2020</w:t>
      </w:r>
    </w:p>
    <w:p w14:paraId="371BC019" w14:textId="15577D6F" w:rsidR="00912E95" w:rsidRPr="00E75780" w:rsidRDefault="00912E95" w:rsidP="00E83DAB">
      <w:pPr>
        <w:spacing w:before="240" w:after="120"/>
        <w:ind w:left="-426"/>
        <w:jc w:val="center"/>
        <w:rPr>
          <w:rFonts w:ascii="Times New Roman" w:hAnsi="Times New Roman"/>
          <w:color w:val="000000" w:themeColor="text1"/>
          <w:sz w:val="24"/>
        </w:rPr>
      </w:pPr>
      <w:r w:rsidRPr="00E75780">
        <w:rPr>
          <w:noProof/>
          <w:color w:val="000000" w:themeColor="text1"/>
          <w:lang w:eastAsia="es-CO"/>
        </w:rPr>
        <w:drawing>
          <wp:inline distT="0" distB="0" distL="0" distR="0" wp14:anchorId="23F0AF29" wp14:editId="203DA2AD">
            <wp:extent cx="6273209" cy="2615609"/>
            <wp:effectExtent l="0" t="0" r="13335" b="13335"/>
            <wp:docPr id="8" name="Gráfico 8">
              <a:extLst xmlns:a="http://schemas.openxmlformats.org/drawingml/2006/main">
                <a:ext uri="{FF2B5EF4-FFF2-40B4-BE49-F238E27FC236}">
                  <a16:creationId xmlns:a16="http://schemas.microsoft.com/office/drawing/2014/main" id="{1DE68DA6-3C8D-4251-981C-76DE6827B7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71C1B" w14:textId="6A2240D8" w:rsidR="00192183" w:rsidRDefault="00912E95" w:rsidP="00E83DAB">
      <w:pPr>
        <w:spacing w:before="240" w:after="120"/>
        <w:jc w:val="center"/>
        <w:rPr>
          <w:rFonts w:ascii="Century Gothic" w:hAnsi="Century Gothic"/>
          <w:color w:val="000000" w:themeColor="text1"/>
          <w:sz w:val="18"/>
          <w:szCs w:val="18"/>
        </w:rPr>
      </w:pPr>
      <w:r w:rsidRPr="00E75780">
        <w:rPr>
          <w:rFonts w:ascii="Century Gothic" w:hAnsi="Century Gothic"/>
          <w:noProof/>
          <w:color w:val="000000" w:themeColor="text1"/>
          <w:sz w:val="18"/>
          <w:szCs w:val="18"/>
        </w:rPr>
        <w:t xml:space="preserve">Fuente: Elaboración propia con base el </w:t>
      </w:r>
      <w:r w:rsidRPr="00E75780">
        <w:rPr>
          <w:rFonts w:ascii="Century Gothic" w:hAnsi="Century Gothic"/>
          <w:color w:val="000000" w:themeColor="text1"/>
          <w:sz w:val="18"/>
          <w:szCs w:val="18"/>
        </w:rPr>
        <w:t>Boletín Técnico Gran Encuesta Integrada de Hogares (GEIH) Trimestre móvil noviembre 2019 – enero 2020, Mercado Laboral según sexo.</w:t>
      </w:r>
    </w:p>
    <w:p w14:paraId="3337558C" w14:textId="77777777" w:rsidR="002811BA" w:rsidRDefault="002811BA" w:rsidP="00E83DAB">
      <w:pPr>
        <w:spacing w:before="240" w:after="120"/>
        <w:jc w:val="center"/>
        <w:rPr>
          <w:rFonts w:ascii="Century Gothic" w:hAnsi="Century Gothic"/>
          <w:color w:val="000000" w:themeColor="text1"/>
          <w:sz w:val="18"/>
          <w:szCs w:val="18"/>
        </w:rPr>
      </w:pPr>
    </w:p>
    <w:p w14:paraId="6CD9A343" w14:textId="77777777" w:rsidR="002811BA" w:rsidRDefault="002811BA" w:rsidP="00E83DAB">
      <w:pPr>
        <w:spacing w:before="240" w:after="120"/>
        <w:jc w:val="center"/>
        <w:rPr>
          <w:rFonts w:ascii="Century Gothic" w:hAnsi="Century Gothic"/>
          <w:color w:val="000000" w:themeColor="text1"/>
          <w:sz w:val="18"/>
          <w:szCs w:val="18"/>
        </w:rPr>
      </w:pPr>
    </w:p>
    <w:p w14:paraId="74594583" w14:textId="77777777" w:rsidR="002811BA" w:rsidRDefault="002811BA" w:rsidP="00E83DAB">
      <w:pPr>
        <w:spacing w:before="240" w:after="120"/>
        <w:jc w:val="center"/>
        <w:rPr>
          <w:rFonts w:ascii="Century Gothic" w:hAnsi="Century Gothic"/>
          <w:color w:val="000000" w:themeColor="text1"/>
          <w:sz w:val="18"/>
          <w:szCs w:val="18"/>
        </w:rPr>
      </w:pPr>
    </w:p>
    <w:p w14:paraId="1FCC9C51" w14:textId="77777777" w:rsidR="002811BA" w:rsidRDefault="002811BA" w:rsidP="00E83DAB">
      <w:pPr>
        <w:spacing w:before="240" w:after="120"/>
        <w:jc w:val="center"/>
        <w:rPr>
          <w:rFonts w:ascii="Century Gothic" w:hAnsi="Century Gothic"/>
          <w:color w:val="000000" w:themeColor="text1"/>
          <w:sz w:val="18"/>
          <w:szCs w:val="18"/>
        </w:rPr>
      </w:pPr>
    </w:p>
    <w:p w14:paraId="2B0D2429" w14:textId="77777777" w:rsidR="00912E95" w:rsidRPr="00E75780" w:rsidRDefault="00912E95" w:rsidP="00E83DAB">
      <w:pPr>
        <w:pStyle w:val="Descripcin"/>
        <w:keepNext/>
        <w:spacing w:before="240" w:after="120"/>
        <w:jc w:val="center"/>
        <w:rPr>
          <w:rFonts w:ascii="Century Gothic" w:hAnsi="Century Gothic"/>
          <w:b/>
          <w:bCs/>
          <w:i w:val="0"/>
          <w:noProof/>
          <w:color w:val="000000" w:themeColor="text1"/>
          <w:sz w:val="24"/>
          <w:szCs w:val="24"/>
        </w:rPr>
      </w:pPr>
      <w:r w:rsidRPr="00E75780">
        <w:rPr>
          <w:rFonts w:ascii="Century Gothic" w:hAnsi="Century Gothic"/>
          <w:b/>
          <w:bCs/>
          <w:i w:val="0"/>
          <w:noProof/>
          <w:color w:val="000000" w:themeColor="text1"/>
          <w:sz w:val="24"/>
          <w:szCs w:val="24"/>
        </w:rPr>
        <w:t>Gráfica 2. Brecha salarial (por cada 100 pesos que ganan los hombres, cuántos pesos ganan las mujeres) por nivel de educación</w:t>
      </w:r>
    </w:p>
    <w:p w14:paraId="323111FC" w14:textId="5C6A100C" w:rsidR="00912E95" w:rsidRPr="00E75780" w:rsidRDefault="00912E95" w:rsidP="00E83DAB">
      <w:pPr>
        <w:spacing w:before="240" w:after="120"/>
        <w:jc w:val="center"/>
        <w:rPr>
          <w:rFonts w:ascii="Century Gothic" w:hAnsi="Century Gothic"/>
          <w:color w:val="000000" w:themeColor="text1"/>
          <w:sz w:val="24"/>
        </w:rPr>
      </w:pPr>
      <w:r w:rsidRPr="00E75780">
        <w:rPr>
          <w:rFonts w:ascii="Century Gothic" w:hAnsi="Century Gothic"/>
          <w:noProof/>
          <w:color w:val="000000" w:themeColor="text1"/>
          <w:lang w:eastAsia="es-CO"/>
        </w:rPr>
        <w:drawing>
          <wp:inline distT="0" distB="0" distL="0" distR="0" wp14:anchorId="637C7077" wp14:editId="09E816A2">
            <wp:extent cx="5358810" cy="1828800"/>
            <wp:effectExtent l="0" t="0" r="13335" b="0"/>
            <wp:docPr id="6" name="Gráfico 6">
              <a:extLst xmlns:a="http://schemas.openxmlformats.org/drawingml/2006/main">
                <a:ext uri="{FF2B5EF4-FFF2-40B4-BE49-F238E27FC236}">
                  <a16:creationId xmlns:a16="http://schemas.microsoft.com/office/drawing/2014/main" id="{41879F76-5F84-4125-805A-86F4464E0F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E75780">
        <w:rPr>
          <w:rFonts w:ascii="Century Gothic" w:hAnsi="Century Gothic"/>
          <w:noProof/>
          <w:color w:val="000000" w:themeColor="text1"/>
          <w:lang w:val="es-ES_tradnl" w:eastAsia="es-ES_tradnl"/>
        </w:rPr>
        <w:t xml:space="preserve"> </w:t>
      </w:r>
    </w:p>
    <w:p w14:paraId="1F8BC944" w14:textId="2B02D5B6" w:rsidR="00912E95" w:rsidRPr="00E75780" w:rsidRDefault="00912E95" w:rsidP="00E83DAB">
      <w:pPr>
        <w:spacing w:before="240" w:after="120"/>
        <w:jc w:val="center"/>
        <w:rPr>
          <w:rFonts w:ascii="Century Gothic" w:hAnsi="Century Gothic"/>
          <w:noProof/>
          <w:color w:val="000000" w:themeColor="text1"/>
          <w:sz w:val="18"/>
          <w:szCs w:val="18"/>
        </w:rPr>
      </w:pPr>
      <w:r w:rsidRPr="00E75780">
        <w:rPr>
          <w:rFonts w:ascii="Century Gothic" w:hAnsi="Century Gothic"/>
          <w:noProof/>
          <w:color w:val="000000" w:themeColor="text1"/>
          <w:sz w:val="18"/>
          <w:szCs w:val="18"/>
        </w:rPr>
        <w:t xml:space="preserve">Fuente: Elaboración propia con base en datos de Iniciativa de paridad de género Colombia. Iniciativa público-privada para reducir las brechas económicas de género en </w:t>
      </w:r>
      <w:r w:rsidR="00E83DAB" w:rsidRPr="00E75780">
        <w:rPr>
          <w:rFonts w:ascii="Century Gothic" w:hAnsi="Century Gothic"/>
          <w:noProof/>
          <w:color w:val="000000" w:themeColor="text1"/>
          <w:sz w:val="18"/>
          <w:szCs w:val="18"/>
        </w:rPr>
        <w:t>C</w:t>
      </w:r>
      <w:r w:rsidRPr="00E75780">
        <w:rPr>
          <w:rFonts w:ascii="Century Gothic" w:hAnsi="Century Gothic"/>
          <w:noProof/>
          <w:color w:val="000000" w:themeColor="text1"/>
          <w:sz w:val="18"/>
          <w:szCs w:val="18"/>
        </w:rPr>
        <w:t>olombia: diagnóstico</w:t>
      </w:r>
    </w:p>
    <w:p w14:paraId="6C25D47D" w14:textId="4FF2ADCB" w:rsidR="00912E95" w:rsidRPr="00E75780" w:rsidRDefault="00F53A39" w:rsidP="00E83DAB">
      <w:pPr>
        <w:spacing w:before="240" w:after="120"/>
        <w:jc w:val="both"/>
        <w:rPr>
          <w:rFonts w:ascii="Century Gothic" w:hAnsi="Century Gothic"/>
          <w:b/>
          <w:color w:val="000000" w:themeColor="text1"/>
          <w:szCs w:val="24"/>
        </w:rPr>
      </w:pPr>
      <w:r>
        <w:rPr>
          <w:rFonts w:ascii="Century Gothic" w:hAnsi="Century Gothic"/>
          <w:noProof/>
          <w:color w:val="000000" w:themeColor="text1"/>
          <w:sz w:val="20"/>
          <w:szCs w:val="20"/>
        </w:rPr>
        <w:t xml:space="preserve">Dado el volumen importante de </w:t>
      </w:r>
      <w:r w:rsidR="00192183" w:rsidRPr="00E75780">
        <w:rPr>
          <w:rFonts w:ascii="Century Gothic" w:hAnsi="Century Gothic"/>
          <w:noProof/>
          <w:color w:val="000000" w:themeColor="text1"/>
          <w:sz w:val="20"/>
          <w:szCs w:val="20"/>
        </w:rPr>
        <w:t xml:space="preserve">información desagregada por género que se tiene para el </w:t>
      </w:r>
      <w:r>
        <w:rPr>
          <w:rFonts w:ascii="Century Gothic" w:hAnsi="Century Gothic"/>
          <w:noProof/>
          <w:color w:val="000000" w:themeColor="text1"/>
          <w:sz w:val="20"/>
          <w:szCs w:val="20"/>
        </w:rPr>
        <w:t>ámbito laboral</w:t>
      </w:r>
      <w:r w:rsidR="00192183" w:rsidRPr="00E75780">
        <w:rPr>
          <w:rFonts w:ascii="Century Gothic" w:hAnsi="Century Gothic"/>
          <w:noProof/>
          <w:color w:val="000000" w:themeColor="text1"/>
          <w:sz w:val="20"/>
          <w:szCs w:val="20"/>
        </w:rPr>
        <w:t xml:space="preserve">, se han </w:t>
      </w:r>
      <w:r>
        <w:rPr>
          <w:rFonts w:ascii="Century Gothic" w:hAnsi="Century Gothic"/>
          <w:noProof/>
          <w:color w:val="000000" w:themeColor="text1"/>
          <w:sz w:val="20"/>
          <w:szCs w:val="20"/>
        </w:rPr>
        <w:t>formulado</w:t>
      </w:r>
      <w:r w:rsidR="00192183" w:rsidRPr="00E75780">
        <w:rPr>
          <w:rFonts w:ascii="Century Gothic" w:hAnsi="Century Gothic"/>
          <w:noProof/>
          <w:color w:val="000000" w:themeColor="text1"/>
          <w:sz w:val="20"/>
          <w:szCs w:val="20"/>
        </w:rPr>
        <w:t xml:space="preserve"> políticas y leyes que buscan eliminar </w:t>
      </w:r>
      <w:r>
        <w:rPr>
          <w:rFonts w:ascii="Century Gothic" w:hAnsi="Century Gothic"/>
          <w:noProof/>
          <w:color w:val="000000" w:themeColor="text1"/>
          <w:sz w:val="20"/>
          <w:szCs w:val="20"/>
        </w:rPr>
        <w:t>las desigualdades que se originan en el mundo del trabajo.</w:t>
      </w:r>
      <w:r w:rsidR="00192183" w:rsidRPr="00E75780">
        <w:rPr>
          <w:rFonts w:ascii="Century Gothic" w:hAnsi="Century Gothic"/>
          <w:noProof/>
          <w:color w:val="000000" w:themeColor="text1"/>
          <w:sz w:val="20"/>
          <w:szCs w:val="20"/>
        </w:rPr>
        <w:t xml:space="preserve"> </w:t>
      </w:r>
    </w:p>
    <w:p w14:paraId="2EB31B10" w14:textId="772DBFB7" w:rsidR="00912E95" w:rsidRPr="00E75780" w:rsidRDefault="00912E95" w:rsidP="00E83DAB">
      <w:pPr>
        <w:spacing w:before="240" w:after="120"/>
        <w:jc w:val="both"/>
        <w:rPr>
          <w:rFonts w:ascii="Century Gothic" w:hAnsi="Century Gothic"/>
          <w:b/>
          <w:bCs/>
          <w:color w:val="000000" w:themeColor="text1"/>
        </w:rPr>
      </w:pPr>
      <w:r w:rsidRPr="00E75780">
        <w:rPr>
          <w:rFonts w:ascii="Century Gothic" w:hAnsi="Century Gothic"/>
          <w:b/>
          <w:bCs/>
          <w:color w:val="000000" w:themeColor="text1"/>
        </w:rPr>
        <w:t xml:space="preserve">¿Por qué la casilla de </w:t>
      </w:r>
      <w:r w:rsidRPr="00E75780">
        <w:rPr>
          <w:rFonts w:ascii="Century Gothic" w:hAnsi="Century Gothic"/>
          <w:b/>
          <w:color w:val="000000" w:themeColor="text1"/>
        </w:rPr>
        <w:t>género</w:t>
      </w:r>
      <w:r w:rsidRPr="00E75780">
        <w:rPr>
          <w:rFonts w:ascii="Century Gothic" w:hAnsi="Century Gothic"/>
          <w:b/>
          <w:bCs/>
          <w:color w:val="000000" w:themeColor="text1"/>
        </w:rPr>
        <w:t xml:space="preserve"> en los formularios de declaración de renta?</w:t>
      </w:r>
    </w:p>
    <w:p w14:paraId="1DC5665B" w14:textId="70897D28" w:rsidR="00E83DAB" w:rsidRPr="00E75780" w:rsidRDefault="00E83DAB" w:rsidP="00E83DAB">
      <w:pPr>
        <w:spacing w:before="240" w:after="120"/>
        <w:jc w:val="both"/>
        <w:rPr>
          <w:rFonts w:ascii="Century Gothic" w:hAnsi="Century Gothic"/>
          <w:color w:val="000000" w:themeColor="text1"/>
        </w:rPr>
      </w:pPr>
      <w:r w:rsidRPr="00E75780">
        <w:rPr>
          <w:rFonts w:ascii="Century Gothic" w:hAnsi="Century Gothic"/>
          <w:color w:val="000000" w:themeColor="text1"/>
        </w:rPr>
        <w:t>La casilla se hace necesaria porque permitir</w:t>
      </w:r>
      <w:r w:rsidR="00646E75">
        <w:rPr>
          <w:rFonts w:ascii="Century Gothic" w:hAnsi="Century Gothic"/>
          <w:color w:val="000000" w:themeColor="text1"/>
        </w:rPr>
        <w:t>á</w:t>
      </w:r>
      <w:r w:rsidRPr="00E75780">
        <w:rPr>
          <w:rFonts w:ascii="Century Gothic" w:hAnsi="Century Gothic"/>
          <w:color w:val="000000" w:themeColor="text1"/>
        </w:rPr>
        <w:t xml:space="preserve"> la recolección de nueva información desagregada por género</w:t>
      </w:r>
      <w:r w:rsidR="00A761D0">
        <w:rPr>
          <w:rFonts w:ascii="Century Gothic" w:hAnsi="Century Gothic"/>
          <w:color w:val="000000" w:themeColor="text1"/>
        </w:rPr>
        <w:t>,</w:t>
      </w:r>
      <w:r w:rsidRPr="00E75780">
        <w:rPr>
          <w:rFonts w:ascii="Century Gothic" w:hAnsi="Century Gothic"/>
          <w:color w:val="000000" w:themeColor="text1"/>
        </w:rPr>
        <w:t xml:space="preserve"> con base en la declaración de renta. Como se mencionó </w:t>
      </w:r>
      <w:r w:rsidR="00A761D0">
        <w:rPr>
          <w:rFonts w:ascii="Century Gothic" w:hAnsi="Century Gothic"/>
          <w:color w:val="000000" w:themeColor="text1"/>
        </w:rPr>
        <w:t>con anterioridad</w:t>
      </w:r>
      <w:r w:rsidRPr="00E75780">
        <w:rPr>
          <w:rFonts w:ascii="Century Gothic" w:hAnsi="Century Gothic"/>
          <w:color w:val="000000" w:themeColor="text1"/>
        </w:rPr>
        <w:t xml:space="preserve">, </w:t>
      </w:r>
      <w:r w:rsidR="00A761D0">
        <w:rPr>
          <w:rFonts w:ascii="Century Gothic" w:hAnsi="Century Gothic"/>
          <w:color w:val="000000" w:themeColor="text1"/>
        </w:rPr>
        <w:t xml:space="preserve">estos datos son esenciales para el reconocimiento de las desigualdades entre mujeres y hombres, lo que resulta de utilidad </w:t>
      </w:r>
      <w:r w:rsidRPr="00E75780">
        <w:rPr>
          <w:rFonts w:ascii="Century Gothic" w:hAnsi="Century Gothic"/>
          <w:color w:val="000000" w:themeColor="text1"/>
        </w:rPr>
        <w:t xml:space="preserve">no sólo para el </w:t>
      </w:r>
      <w:r w:rsidR="00A761D0">
        <w:rPr>
          <w:rFonts w:ascii="Century Gothic" w:hAnsi="Century Gothic"/>
          <w:color w:val="000000" w:themeColor="text1"/>
        </w:rPr>
        <w:t>g</w:t>
      </w:r>
      <w:r w:rsidRPr="00E75780">
        <w:rPr>
          <w:rFonts w:ascii="Century Gothic" w:hAnsi="Century Gothic"/>
          <w:color w:val="000000" w:themeColor="text1"/>
        </w:rPr>
        <w:t xml:space="preserve">obierno, sino para entidades internacionales, la academia y la sociedad en general. </w:t>
      </w:r>
      <w:r w:rsidR="00646E75">
        <w:rPr>
          <w:rFonts w:ascii="Century Gothic" w:hAnsi="Century Gothic"/>
          <w:color w:val="000000" w:themeColor="text1"/>
        </w:rPr>
        <w:t>Adicionalmente,</w:t>
      </w:r>
      <w:r w:rsidRPr="00E75780">
        <w:rPr>
          <w:rFonts w:ascii="Century Gothic" w:hAnsi="Century Gothic"/>
          <w:color w:val="000000" w:themeColor="text1"/>
        </w:rPr>
        <w:t xml:space="preserve"> </w:t>
      </w:r>
      <w:r w:rsidR="00646E75">
        <w:rPr>
          <w:rFonts w:ascii="Century Gothic" w:hAnsi="Century Gothic"/>
          <w:color w:val="000000" w:themeColor="text1"/>
        </w:rPr>
        <w:t xml:space="preserve">con este insumo se priorizarán </w:t>
      </w:r>
      <w:r w:rsidRPr="00E75780">
        <w:rPr>
          <w:rFonts w:ascii="Century Gothic" w:hAnsi="Century Gothic"/>
          <w:color w:val="000000" w:themeColor="text1"/>
        </w:rPr>
        <w:t xml:space="preserve">áreas que necesitan intervención y la evaluación del impacto de diferentes políticas que se implementen con el objetivo de eliminar </w:t>
      </w:r>
      <w:r w:rsidR="00646E75">
        <w:rPr>
          <w:rFonts w:ascii="Century Gothic" w:hAnsi="Century Gothic"/>
          <w:color w:val="000000" w:themeColor="text1"/>
        </w:rPr>
        <w:t>estas</w:t>
      </w:r>
      <w:r w:rsidRPr="00E75780">
        <w:rPr>
          <w:rFonts w:ascii="Century Gothic" w:hAnsi="Century Gothic"/>
          <w:color w:val="000000" w:themeColor="text1"/>
        </w:rPr>
        <w:t xml:space="preserve"> desigualdades. </w:t>
      </w:r>
    </w:p>
    <w:p w14:paraId="3A7149AF" w14:textId="5304BEA0" w:rsidR="00912E95" w:rsidRPr="00E75780" w:rsidRDefault="008A7D8C" w:rsidP="008A7D8C">
      <w:pPr>
        <w:spacing w:before="240" w:after="120"/>
        <w:jc w:val="both"/>
        <w:rPr>
          <w:rFonts w:ascii="Century Gothic" w:hAnsi="Century Gothic"/>
          <w:color w:val="000000" w:themeColor="text1"/>
          <w:sz w:val="24"/>
        </w:rPr>
      </w:pPr>
      <w:r>
        <w:rPr>
          <w:rFonts w:ascii="Century Gothic" w:hAnsi="Century Gothic"/>
          <w:color w:val="000000" w:themeColor="text1"/>
        </w:rPr>
        <w:t xml:space="preserve">La inclusión de la casilla de identificación de género en la declaración de renta contribuiría en el fortalecimiento del </w:t>
      </w:r>
      <w:r w:rsidR="00E83DAB" w:rsidRPr="00E75780">
        <w:rPr>
          <w:rFonts w:ascii="Century Gothic" w:hAnsi="Century Gothic"/>
          <w:color w:val="000000" w:themeColor="text1"/>
        </w:rPr>
        <w:t xml:space="preserve">sistema tributario y, puntualmente, </w:t>
      </w:r>
      <w:r>
        <w:rPr>
          <w:rFonts w:ascii="Century Gothic" w:hAnsi="Century Gothic"/>
          <w:color w:val="000000" w:themeColor="text1"/>
        </w:rPr>
        <w:t xml:space="preserve">de </w:t>
      </w:r>
      <w:r w:rsidR="00E83DAB" w:rsidRPr="00E75780">
        <w:rPr>
          <w:rFonts w:ascii="Century Gothic" w:hAnsi="Century Gothic"/>
          <w:color w:val="000000" w:themeColor="text1"/>
        </w:rPr>
        <w:t>la política fiscal</w:t>
      </w:r>
      <w:r>
        <w:rPr>
          <w:rFonts w:ascii="Century Gothic" w:hAnsi="Century Gothic"/>
          <w:color w:val="000000" w:themeColor="text1"/>
        </w:rPr>
        <w:t xml:space="preserve"> que</w:t>
      </w:r>
      <w:r w:rsidR="00E83DAB" w:rsidRPr="00E75780">
        <w:rPr>
          <w:rFonts w:ascii="Century Gothic" w:hAnsi="Century Gothic"/>
          <w:color w:val="000000" w:themeColor="text1"/>
        </w:rPr>
        <w:t xml:space="preserve"> es </w:t>
      </w:r>
      <w:r>
        <w:rPr>
          <w:rFonts w:ascii="Century Gothic" w:hAnsi="Century Gothic"/>
          <w:color w:val="000000" w:themeColor="text1"/>
        </w:rPr>
        <w:t xml:space="preserve">uno de los mecanismos </w:t>
      </w:r>
      <w:r w:rsidR="00E83DAB" w:rsidRPr="00E75780">
        <w:rPr>
          <w:rFonts w:ascii="Century Gothic" w:hAnsi="Century Gothic"/>
          <w:color w:val="000000" w:themeColor="text1"/>
        </w:rPr>
        <w:t xml:space="preserve">más </w:t>
      </w:r>
      <w:r>
        <w:rPr>
          <w:rFonts w:ascii="Century Gothic" w:hAnsi="Century Gothic"/>
          <w:color w:val="000000" w:themeColor="text1"/>
        </w:rPr>
        <w:t>eficaces</w:t>
      </w:r>
      <w:r w:rsidR="00E83DAB" w:rsidRPr="00E75780">
        <w:rPr>
          <w:rFonts w:ascii="Century Gothic" w:hAnsi="Century Gothic"/>
          <w:color w:val="000000" w:themeColor="text1"/>
        </w:rPr>
        <w:t xml:space="preserve"> con la que cuentan los gobiernos para acabar con cualquier tipo de desigualdad. </w:t>
      </w:r>
      <w:r>
        <w:rPr>
          <w:rFonts w:ascii="Century Gothic" w:hAnsi="Century Gothic"/>
          <w:color w:val="000000" w:themeColor="text1"/>
        </w:rPr>
        <w:t xml:space="preserve">Por otra parte, hará viable cuantificar las brechas </w:t>
      </w:r>
      <w:r w:rsidR="00912E95" w:rsidRPr="00E75780">
        <w:rPr>
          <w:rFonts w:ascii="Century Gothic" w:hAnsi="Century Gothic"/>
          <w:color w:val="000000" w:themeColor="text1"/>
        </w:rPr>
        <w:t xml:space="preserve">en materia de ingresos y riqueza </w:t>
      </w:r>
      <w:r w:rsidR="00EF6A52">
        <w:rPr>
          <w:rFonts w:ascii="Century Gothic" w:hAnsi="Century Gothic"/>
          <w:color w:val="000000" w:themeColor="text1"/>
        </w:rPr>
        <w:t>de</w:t>
      </w:r>
      <w:r w:rsidR="00912E95" w:rsidRPr="00E75780">
        <w:rPr>
          <w:rFonts w:ascii="Century Gothic" w:hAnsi="Century Gothic"/>
          <w:color w:val="000000" w:themeColor="text1"/>
        </w:rPr>
        <w:t xml:space="preserve"> las personas que declaren renta, y </w:t>
      </w:r>
      <w:r w:rsidR="00EF6A52">
        <w:rPr>
          <w:rFonts w:ascii="Century Gothic" w:hAnsi="Century Gothic"/>
          <w:color w:val="000000" w:themeColor="text1"/>
        </w:rPr>
        <w:t xml:space="preserve">proporcionará una opción </w:t>
      </w:r>
      <w:r w:rsidR="00912E95" w:rsidRPr="00E75780">
        <w:rPr>
          <w:rFonts w:ascii="Century Gothic" w:hAnsi="Century Gothic"/>
          <w:color w:val="000000" w:themeColor="text1"/>
        </w:rPr>
        <w:t>futur</w:t>
      </w:r>
      <w:r w:rsidR="00EF6A52">
        <w:rPr>
          <w:rFonts w:ascii="Century Gothic" w:hAnsi="Century Gothic"/>
          <w:color w:val="000000" w:themeColor="text1"/>
        </w:rPr>
        <w:t>a</w:t>
      </w:r>
      <w:r w:rsidR="00912E95" w:rsidRPr="00E75780">
        <w:rPr>
          <w:rFonts w:ascii="Century Gothic" w:hAnsi="Century Gothic"/>
          <w:color w:val="000000" w:themeColor="text1"/>
        </w:rPr>
        <w:t xml:space="preserve"> </w:t>
      </w:r>
      <w:r w:rsidR="00EF6A52">
        <w:rPr>
          <w:rFonts w:ascii="Century Gothic" w:hAnsi="Century Gothic"/>
          <w:color w:val="000000" w:themeColor="text1"/>
        </w:rPr>
        <w:t>para</w:t>
      </w:r>
      <w:r w:rsidR="00912E95" w:rsidRPr="00E75780">
        <w:rPr>
          <w:rFonts w:ascii="Century Gothic" w:hAnsi="Century Gothic"/>
          <w:color w:val="000000" w:themeColor="text1"/>
        </w:rPr>
        <w:t xml:space="preserve"> la desagregación de estos datos por región, </w:t>
      </w:r>
      <w:r w:rsidR="00912E95" w:rsidRPr="002811BA">
        <w:rPr>
          <w:rFonts w:ascii="Century Gothic" w:hAnsi="Century Gothic"/>
          <w:color w:val="000000" w:themeColor="text1"/>
        </w:rPr>
        <w:t>por sectores</w:t>
      </w:r>
      <w:r w:rsidR="002811BA">
        <w:rPr>
          <w:rFonts w:ascii="Century Gothic" w:hAnsi="Century Gothic"/>
          <w:color w:val="000000" w:themeColor="text1"/>
        </w:rPr>
        <w:t xml:space="preserve"> económicos</w:t>
      </w:r>
      <w:r w:rsidR="00912E95" w:rsidRPr="00E75780">
        <w:rPr>
          <w:rFonts w:ascii="Century Gothic" w:hAnsi="Century Gothic"/>
          <w:color w:val="000000" w:themeColor="text1"/>
        </w:rPr>
        <w:t xml:space="preserve">, por deciles, entre muchas otras </w:t>
      </w:r>
      <w:r w:rsidR="00EF6A52">
        <w:rPr>
          <w:rFonts w:ascii="Century Gothic" w:hAnsi="Century Gothic"/>
          <w:color w:val="000000" w:themeColor="text1"/>
        </w:rPr>
        <w:t>alternativas</w:t>
      </w:r>
      <w:r w:rsidR="00585D06" w:rsidRPr="00E75780">
        <w:rPr>
          <w:rFonts w:ascii="Century Gothic" w:hAnsi="Century Gothic"/>
          <w:color w:val="000000" w:themeColor="text1"/>
        </w:rPr>
        <w:t xml:space="preserve">. </w:t>
      </w:r>
    </w:p>
    <w:p w14:paraId="27249604" w14:textId="0E207828" w:rsidR="00912E95" w:rsidRPr="00E75780" w:rsidRDefault="002811BA" w:rsidP="00E83DAB">
      <w:pPr>
        <w:spacing w:before="240" w:after="120"/>
        <w:jc w:val="both"/>
        <w:rPr>
          <w:rFonts w:ascii="Century Gothic" w:hAnsi="Century Gothic"/>
          <w:color w:val="000000" w:themeColor="text1"/>
        </w:rPr>
      </w:pPr>
      <w:r>
        <w:rPr>
          <w:rFonts w:ascii="Century Gothic" w:hAnsi="Century Gothic"/>
          <w:color w:val="000000" w:themeColor="text1"/>
        </w:rPr>
        <w:t xml:space="preserve">En </w:t>
      </w:r>
      <w:r w:rsidR="00912E95" w:rsidRPr="002811BA">
        <w:rPr>
          <w:rFonts w:ascii="Century Gothic" w:hAnsi="Century Gothic"/>
          <w:color w:val="000000" w:themeColor="text1"/>
        </w:rPr>
        <w:t xml:space="preserve">en un intento de estimar lo que se podría medir con la inclusión de variables de género en las declaraciones tributarias, la DIAN (2016) realizó un estudio que desagregó por género las declaraciones (Diferencias de género en la riqueza, ingresos y rentas de las personas naturales en Colombia); esto fue posible en este momento dada la asignación diferenciada de los números de cédula para hombres y mujeres, y, para los números que no era posible esta diferenciación, se realizó a partir del nombre de pila. Finalmente, el estudio contó con alrededor de 1,5 millones de personas naturales declarantes para el </w:t>
      </w:r>
      <w:r>
        <w:rPr>
          <w:rFonts w:ascii="Century Gothic" w:hAnsi="Century Gothic"/>
          <w:color w:val="000000" w:themeColor="text1"/>
        </w:rPr>
        <w:t xml:space="preserve">año </w:t>
      </w:r>
      <w:r w:rsidR="00912E95" w:rsidRPr="002811BA">
        <w:rPr>
          <w:rFonts w:ascii="Century Gothic" w:hAnsi="Century Gothic"/>
          <w:color w:val="000000" w:themeColor="text1"/>
        </w:rPr>
        <w:t>2014.</w:t>
      </w:r>
    </w:p>
    <w:p w14:paraId="419BF051" w14:textId="50A4214C" w:rsidR="00912E95" w:rsidRPr="00E75780" w:rsidRDefault="00EF6A52" w:rsidP="00E83DAB">
      <w:pPr>
        <w:spacing w:before="240" w:after="120"/>
        <w:jc w:val="both"/>
        <w:rPr>
          <w:rFonts w:ascii="Century Gothic" w:hAnsi="Century Gothic"/>
          <w:color w:val="000000" w:themeColor="text1"/>
        </w:rPr>
      </w:pPr>
      <w:r>
        <w:rPr>
          <w:rFonts w:ascii="Century Gothic" w:hAnsi="Century Gothic"/>
          <w:color w:val="000000" w:themeColor="text1"/>
        </w:rPr>
        <w:t xml:space="preserve">Dentro de los resultados del mencionado estudio puede ponerse de relieve el hecho de que </w:t>
      </w:r>
      <w:r w:rsidR="00912E95" w:rsidRPr="00E75780">
        <w:rPr>
          <w:rFonts w:ascii="Century Gothic" w:hAnsi="Century Gothic"/>
          <w:color w:val="000000" w:themeColor="text1"/>
        </w:rPr>
        <w:t xml:space="preserve">la tasa de participación de las mujeres declarantes de renta es del 46%, a pesar de que representan un 51% de la población. Esto evidencia que los hombres tienen más ingreso y riqueza respecto a las mujeres para el año de estudio. </w:t>
      </w:r>
      <w:r>
        <w:rPr>
          <w:rFonts w:ascii="Century Gothic" w:hAnsi="Century Gothic"/>
          <w:color w:val="000000" w:themeColor="text1"/>
        </w:rPr>
        <w:t xml:space="preserve">Por otra parte, al analizar </w:t>
      </w:r>
      <w:r w:rsidR="00912E95" w:rsidRPr="00E75780">
        <w:rPr>
          <w:rFonts w:ascii="Century Gothic" w:hAnsi="Century Gothic"/>
          <w:color w:val="000000" w:themeColor="text1"/>
        </w:rPr>
        <w:t xml:space="preserve">la posesión de activos, se estimó que, en promedio, las declarantes mujeres </w:t>
      </w:r>
      <w:r>
        <w:rPr>
          <w:rFonts w:ascii="Century Gothic" w:hAnsi="Century Gothic"/>
          <w:color w:val="000000" w:themeColor="text1"/>
        </w:rPr>
        <w:t>tenían</w:t>
      </w:r>
      <w:r w:rsidR="00912E95" w:rsidRPr="00E75780">
        <w:rPr>
          <w:rFonts w:ascii="Century Gothic" w:hAnsi="Century Gothic"/>
          <w:color w:val="000000" w:themeColor="text1"/>
        </w:rPr>
        <w:t xml:space="preserve"> un activo de $354 millones mientras que, si el declarante era hombre, los activos promedio eran de $411 millones.</w:t>
      </w:r>
      <w:r w:rsidR="00912E95" w:rsidRPr="00E75780">
        <w:rPr>
          <w:color w:val="000000" w:themeColor="text1"/>
        </w:rPr>
        <w:t xml:space="preserve"> </w:t>
      </w:r>
      <w:r>
        <w:rPr>
          <w:rFonts w:ascii="Century Gothic" w:hAnsi="Century Gothic"/>
          <w:color w:val="000000" w:themeColor="text1"/>
        </w:rPr>
        <w:t>En otra palabras</w:t>
      </w:r>
      <w:r w:rsidR="00912E95" w:rsidRPr="00E75780">
        <w:rPr>
          <w:rFonts w:ascii="Century Gothic" w:hAnsi="Century Gothic"/>
          <w:color w:val="000000" w:themeColor="text1"/>
        </w:rPr>
        <w:t xml:space="preserve">, una mujer promedio declarante de renta en el año 2014 poseía activos equivalentes al 86% de los activos para el hombre declarante de renta. </w:t>
      </w:r>
    </w:p>
    <w:p w14:paraId="165F3D9A" w14:textId="082AD316" w:rsidR="00912E95" w:rsidRPr="00E75780" w:rsidRDefault="006434D4" w:rsidP="00E83DAB">
      <w:pPr>
        <w:spacing w:before="240" w:after="120"/>
        <w:jc w:val="both"/>
        <w:rPr>
          <w:rFonts w:ascii="Century Gothic" w:hAnsi="Century Gothic"/>
          <w:color w:val="000000" w:themeColor="text1"/>
        </w:rPr>
      </w:pPr>
      <w:r>
        <w:rPr>
          <w:rFonts w:ascii="Century Gothic" w:hAnsi="Century Gothic"/>
          <w:color w:val="000000" w:themeColor="text1"/>
        </w:rPr>
        <w:t xml:space="preserve">Al realizar comparaciones </w:t>
      </w:r>
      <w:r w:rsidR="00912E95" w:rsidRPr="00E75780">
        <w:rPr>
          <w:rFonts w:ascii="Century Gothic" w:hAnsi="Century Gothic"/>
          <w:color w:val="000000" w:themeColor="text1"/>
        </w:rPr>
        <w:t>a nivel patrimonial</w:t>
      </w:r>
      <w:r>
        <w:rPr>
          <w:rFonts w:ascii="Century Gothic" w:hAnsi="Century Gothic"/>
          <w:color w:val="000000" w:themeColor="text1"/>
        </w:rPr>
        <w:t>,</w:t>
      </w:r>
      <w:r w:rsidR="00912E95" w:rsidRPr="00E75780">
        <w:rPr>
          <w:rFonts w:ascii="Century Gothic" w:hAnsi="Century Gothic"/>
          <w:color w:val="000000" w:themeColor="text1"/>
        </w:rPr>
        <w:t xml:space="preserve"> la diferencia entre géneros se reduce, </w:t>
      </w:r>
      <w:r w:rsidR="000C24CE">
        <w:rPr>
          <w:rFonts w:ascii="Century Gothic" w:hAnsi="Century Gothic"/>
          <w:color w:val="000000" w:themeColor="text1"/>
        </w:rPr>
        <w:t>ya que</w:t>
      </w:r>
      <w:r w:rsidR="00912E95" w:rsidRPr="00E75780">
        <w:rPr>
          <w:rFonts w:ascii="Century Gothic" w:hAnsi="Century Gothic"/>
          <w:color w:val="000000" w:themeColor="text1"/>
        </w:rPr>
        <w:t xml:space="preserve"> el patrimonio líquido de las mujeres es en promedio el 92% de la misma variable para los hombres </w:t>
      </w:r>
      <w:r w:rsidR="00912E95" w:rsidRPr="002811BA">
        <w:rPr>
          <w:rFonts w:ascii="Century Gothic" w:hAnsi="Century Gothic"/>
          <w:color w:val="000000" w:themeColor="text1"/>
        </w:rPr>
        <w:t>(DIAN, 2016). Esta</w:t>
      </w:r>
      <w:r w:rsidR="00912E95" w:rsidRPr="00E75780">
        <w:rPr>
          <w:rFonts w:ascii="Century Gothic" w:hAnsi="Century Gothic"/>
          <w:color w:val="000000" w:themeColor="text1"/>
        </w:rPr>
        <w:t xml:space="preserve"> brecha del patrimonio se explica por la menor tasa de endeudamiento de las mujeres. </w:t>
      </w:r>
    </w:p>
    <w:p w14:paraId="5ECAFF2E" w14:textId="54D6A456" w:rsidR="00912E95" w:rsidRPr="00E75780" w:rsidRDefault="000C24CE" w:rsidP="00E83DAB">
      <w:pPr>
        <w:spacing w:before="240" w:after="120"/>
        <w:jc w:val="both"/>
        <w:rPr>
          <w:rFonts w:ascii="Century Gothic" w:hAnsi="Century Gothic"/>
          <w:color w:val="000000" w:themeColor="text1"/>
        </w:rPr>
      </w:pPr>
      <w:r>
        <w:rPr>
          <w:rFonts w:ascii="Century Gothic" w:hAnsi="Century Gothic"/>
          <w:color w:val="000000" w:themeColor="text1"/>
        </w:rPr>
        <w:t xml:space="preserve">Ahora bien, con relación a la diferencia de ingreso esta resultó ser la más alta, </w:t>
      </w:r>
      <w:r w:rsidR="00912E95" w:rsidRPr="00E75780">
        <w:rPr>
          <w:rFonts w:ascii="Century Gothic" w:hAnsi="Century Gothic"/>
          <w:color w:val="000000" w:themeColor="text1"/>
        </w:rPr>
        <w:t xml:space="preserve">pues para </w:t>
      </w:r>
      <w:r>
        <w:rPr>
          <w:rFonts w:ascii="Century Gothic" w:hAnsi="Century Gothic"/>
          <w:color w:val="000000" w:themeColor="text1"/>
        </w:rPr>
        <w:t>el año de referencia</w:t>
      </w:r>
      <w:r w:rsidR="00912E95" w:rsidRPr="00E75780">
        <w:rPr>
          <w:rFonts w:ascii="Century Gothic" w:hAnsi="Century Gothic"/>
          <w:color w:val="000000" w:themeColor="text1"/>
        </w:rPr>
        <w:t>, en promedio, las mujeres obtuvieron ingresos de 98 millones de pesos, mientras que</w:t>
      </w:r>
      <w:r w:rsidR="00585D06" w:rsidRPr="00E75780">
        <w:rPr>
          <w:rFonts w:ascii="Century Gothic" w:hAnsi="Century Gothic"/>
          <w:color w:val="000000" w:themeColor="text1"/>
        </w:rPr>
        <w:t>,</w:t>
      </w:r>
      <w:r w:rsidR="00912E95" w:rsidRPr="00E75780">
        <w:rPr>
          <w:rFonts w:ascii="Century Gothic" w:hAnsi="Century Gothic"/>
          <w:color w:val="000000" w:themeColor="text1"/>
        </w:rPr>
        <w:t xml:space="preserve"> para los hombres</w:t>
      </w:r>
      <w:r w:rsidR="00585D06" w:rsidRPr="00E75780">
        <w:rPr>
          <w:rFonts w:ascii="Century Gothic" w:hAnsi="Century Gothic"/>
          <w:color w:val="000000" w:themeColor="text1"/>
        </w:rPr>
        <w:t>,</w:t>
      </w:r>
      <w:r w:rsidR="00912E95" w:rsidRPr="00E75780">
        <w:rPr>
          <w:rFonts w:ascii="Century Gothic" w:hAnsi="Century Gothic"/>
          <w:color w:val="000000" w:themeColor="text1"/>
        </w:rPr>
        <w:t xml:space="preserve"> el promedio fue de 171 millones de pesos</w:t>
      </w:r>
      <w:r>
        <w:rPr>
          <w:rFonts w:ascii="Century Gothic" w:hAnsi="Century Gothic"/>
          <w:color w:val="000000" w:themeColor="text1"/>
        </w:rPr>
        <w:t xml:space="preserve">. Lo anterior quiere </w:t>
      </w:r>
      <w:r w:rsidR="00912E95" w:rsidRPr="00E75780">
        <w:rPr>
          <w:rFonts w:ascii="Century Gothic" w:hAnsi="Century Gothic"/>
          <w:color w:val="000000" w:themeColor="text1"/>
        </w:rPr>
        <w:t xml:space="preserve">decir que, en promedio, las mujeres reportaron un 58% de los ingresos reportados por los hombres. </w:t>
      </w:r>
    </w:p>
    <w:p w14:paraId="2CAC776E" w14:textId="77777777" w:rsidR="00912E95" w:rsidRPr="00E75780" w:rsidRDefault="00912E95" w:rsidP="00E83DAB">
      <w:pPr>
        <w:pStyle w:val="Descripcin"/>
        <w:keepNext/>
        <w:spacing w:before="240" w:after="120"/>
        <w:jc w:val="center"/>
        <w:rPr>
          <w:rFonts w:ascii="Century Gothic" w:hAnsi="Century Gothic"/>
          <w:b/>
          <w:bCs/>
          <w:i w:val="0"/>
          <w:noProof/>
          <w:color w:val="000000" w:themeColor="text1"/>
          <w:sz w:val="24"/>
          <w:szCs w:val="24"/>
        </w:rPr>
      </w:pPr>
      <w:r w:rsidRPr="00E75780">
        <w:rPr>
          <w:rFonts w:ascii="Century Gothic" w:hAnsi="Century Gothic"/>
          <w:b/>
          <w:bCs/>
          <w:i w:val="0"/>
          <w:noProof/>
          <w:color w:val="000000" w:themeColor="text1"/>
          <w:sz w:val="24"/>
          <w:szCs w:val="24"/>
        </w:rPr>
        <w:t>Tabla 4: Brecha del Ingreso anual según declaraciones de renta (2014) En millones de pesos</w:t>
      </w:r>
    </w:p>
    <w:p w14:paraId="6F6E8A21" w14:textId="1793478E" w:rsidR="00912E95" w:rsidRPr="00E75780" w:rsidRDefault="00912E95" w:rsidP="00E83DAB">
      <w:pPr>
        <w:spacing w:before="240" w:after="120"/>
        <w:jc w:val="center"/>
        <w:rPr>
          <w:rFonts w:ascii="Century Gothic" w:hAnsi="Century Gothic"/>
          <w:color w:val="000000" w:themeColor="text1"/>
          <w:sz w:val="24"/>
        </w:rPr>
      </w:pPr>
      <w:r w:rsidRPr="00E75780">
        <w:rPr>
          <w:noProof/>
          <w:color w:val="000000" w:themeColor="text1"/>
          <w:lang w:eastAsia="es-CO"/>
        </w:rPr>
        <w:drawing>
          <wp:inline distT="0" distB="0" distL="0" distR="0" wp14:anchorId="37F36464" wp14:editId="519DB2D1">
            <wp:extent cx="4798771" cy="1872692"/>
            <wp:effectExtent l="0" t="0" r="1905" b="13335"/>
            <wp:docPr id="12" name="Gráfico 12">
              <a:extLst xmlns:a="http://schemas.openxmlformats.org/drawingml/2006/main">
                <a:ext uri="{FF2B5EF4-FFF2-40B4-BE49-F238E27FC236}">
                  <a16:creationId xmlns:a16="http://schemas.microsoft.com/office/drawing/2014/main" id="{0614550D-9B1B-4F97-8356-53FFD93A35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B605A7" w14:textId="77777777" w:rsidR="00912E95" w:rsidRPr="00E75780" w:rsidRDefault="00912E95" w:rsidP="00E83DAB">
      <w:pPr>
        <w:spacing w:before="240" w:after="120"/>
        <w:jc w:val="center"/>
        <w:rPr>
          <w:rFonts w:ascii="Century Gothic" w:hAnsi="Century Gothic"/>
          <w:color w:val="000000" w:themeColor="text1"/>
          <w:sz w:val="20"/>
          <w:szCs w:val="20"/>
        </w:rPr>
      </w:pPr>
      <w:r w:rsidRPr="00E75780">
        <w:rPr>
          <w:rFonts w:ascii="Century Gothic" w:hAnsi="Century Gothic"/>
          <w:noProof/>
          <w:color w:val="000000" w:themeColor="text1"/>
          <w:sz w:val="18"/>
          <w:szCs w:val="18"/>
        </w:rPr>
        <w:t>Fuente: Elaboración propia con base en el estudio de la DIAN “Diferencias de género en la riqueza, ingresos y rentas de las personas naturales en Colombia”</w:t>
      </w:r>
    </w:p>
    <w:p w14:paraId="19D96074" w14:textId="2AAB4D45" w:rsidR="00912E95" w:rsidRDefault="00912E95" w:rsidP="00E83DAB">
      <w:pPr>
        <w:spacing w:before="240" w:after="120"/>
        <w:jc w:val="both"/>
        <w:rPr>
          <w:rFonts w:ascii="Century Gothic" w:hAnsi="Century Gothic"/>
          <w:color w:val="000000" w:themeColor="text1"/>
        </w:rPr>
      </w:pPr>
      <w:r w:rsidRPr="00E75780">
        <w:rPr>
          <w:rFonts w:ascii="Century Gothic" w:hAnsi="Century Gothic"/>
          <w:color w:val="000000" w:themeColor="text1"/>
        </w:rPr>
        <w:t xml:space="preserve">Por otro lado, cuando se analizó el aspecto del nivel de renta líquida del periodo o utilidad fiscal, se encontró que la utilidad fiscal de las mujeres </w:t>
      </w:r>
      <w:r w:rsidR="000C24CE">
        <w:rPr>
          <w:rFonts w:ascii="Century Gothic" w:hAnsi="Century Gothic"/>
          <w:color w:val="000000" w:themeColor="text1"/>
        </w:rPr>
        <w:t>fue</w:t>
      </w:r>
      <w:r w:rsidRPr="00E75780">
        <w:rPr>
          <w:rFonts w:ascii="Century Gothic" w:hAnsi="Century Gothic"/>
          <w:color w:val="000000" w:themeColor="text1"/>
        </w:rPr>
        <w:t xml:space="preserve"> de 49 pesos por cada 100 pesos de ingresos</w:t>
      </w:r>
      <w:r w:rsidR="000C24CE">
        <w:rPr>
          <w:rFonts w:ascii="Century Gothic" w:hAnsi="Century Gothic"/>
          <w:color w:val="000000" w:themeColor="text1"/>
        </w:rPr>
        <w:t>. Entre tanto</w:t>
      </w:r>
      <w:r w:rsidRPr="00E75780">
        <w:rPr>
          <w:rFonts w:ascii="Century Gothic" w:hAnsi="Century Gothic"/>
          <w:color w:val="000000" w:themeColor="text1"/>
        </w:rPr>
        <w:t xml:space="preserve">, la de los hombres </w:t>
      </w:r>
      <w:r w:rsidR="000C24CE">
        <w:rPr>
          <w:rFonts w:ascii="Century Gothic" w:hAnsi="Century Gothic"/>
          <w:color w:val="000000" w:themeColor="text1"/>
        </w:rPr>
        <w:t>fue</w:t>
      </w:r>
      <w:r w:rsidRPr="00E75780">
        <w:rPr>
          <w:rFonts w:ascii="Century Gothic" w:hAnsi="Century Gothic"/>
          <w:color w:val="000000" w:themeColor="text1"/>
        </w:rPr>
        <w:t xml:space="preserve"> de 38 pesos, lo que implica que los hombres tuvieron más descuentos tributarios que las mujeres para ese año </w:t>
      </w:r>
      <w:r w:rsidRPr="002811BA">
        <w:rPr>
          <w:rFonts w:ascii="Century Gothic" w:hAnsi="Century Gothic"/>
          <w:color w:val="000000" w:themeColor="text1"/>
        </w:rPr>
        <w:t>(DIAN, 2016).</w:t>
      </w:r>
      <w:r w:rsidRPr="00E75780">
        <w:rPr>
          <w:rFonts w:ascii="Century Gothic" w:hAnsi="Century Gothic"/>
          <w:color w:val="000000" w:themeColor="text1"/>
        </w:rPr>
        <w:t xml:space="preserve"> </w:t>
      </w:r>
    </w:p>
    <w:p w14:paraId="2280434E" w14:textId="77777777" w:rsidR="002811BA" w:rsidRDefault="002811BA" w:rsidP="00E83DAB">
      <w:pPr>
        <w:spacing w:before="240" w:after="120"/>
        <w:jc w:val="both"/>
        <w:rPr>
          <w:rFonts w:ascii="Century Gothic" w:hAnsi="Century Gothic"/>
          <w:color w:val="000000" w:themeColor="text1"/>
        </w:rPr>
      </w:pPr>
    </w:p>
    <w:p w14:paraId="2DA2C78D" w14:textId="77777777" w:rsidR="002811BA" w:rsidRPr="00E75780" w:rsidRDefault="002811BA" w:rsidP="00E83DAB">
      <w:pPr>
        <w:spacing w:before="240" w:after="120"/>
        <w:jc w:val="both"/>
        <w:rPr>
          <w:rFonts w:ascii="Century Gothic" w:hAnsi="Century Gothic"/>
          <w:color w:val="000000" w:themeColor="text1"/>
        </w:rPr>
      </w:pPr>
    </w:p>
    <w:p w14:paraId="0EAE4990" w14:textId="77777777" w:rsidR="002811BA" w:rsidRDefault="002811BA" w:rsidP="00E83DAB">
      <w:pPr>
        <w:spacing w:before="240" w:after="120"/>
        <w:ind w:firstLine="708"/>
        <w:jc w:val="both"/>
        <w:rPr>
          <w:rFonts w:ascii="Century Gothic" w:hAnsi="Century Gothic"/>
          <w:bCs/>
          <w:i/>
          <w:iCs/>
          <w:color w:val="000000" w:themeColor="text1"/>
        </w:rPr>
      </w:pPr>
    </w:p>
    <w:p w14:paraId="4F48C12C" w14:textId="77777777" w:rsidR="002811BA" w:rsidRDefault="002811BA" w:rsidP="00E83DAB">
      <w:pPr>
        <w:spacing w:before="240" w:after="120"/>
        <w:ind w:firstLine="708"/>
        <w:jc w:val="both"/>
        <w:rPr>
          <w:rFonts w:ascii="Century Gothic" w:hAnsi="Century Gothic"/>
          <w:bCs/>
          <w:i/>
          <w:iCs/>
          <w:color w:val="000000" w:themeColor="text1"/>
        </w:rPr>
      </w:pPr>
    </w:p>
    <w:p w14:paraId="3527A71A" w14:textId="77777777" w:rsidR="002811BA" w:rsidRDefault="002811BA" w:rsidP="00E83DAB">
      <w:pPr>
        <w:spacing w:before="240" w:after="120"/>
        <w:ind w:firstLine="708"/>
        <w:jc w:val="both"/>
        <w:rPr>
          <w:rFonts w:ascii="Century Gothic" w:hAnsi="Century Gothic"/>
          <w:bCs/>
          <w:i/>
          <w:iCs/>
          <w:color w:val="000000" w:themeColor="text1"/>
        </w:rPr>
      </w:pPr>
    </w:p>
    <w:p w14:paraId="4D425C6C" w14:textId="77777777" w:rsidR="002811BA" w:rsidRDefault="002811BA" w:rsidP="00E83DAB">
      <w:pPr>
        <w:spacing w:before="240" w:after="120"/>
        <w:ind w:firstLine="708"/>
        <w:jc w:val="both"/>
        <w:rPr>
          <w:rFonts w:ascii="Century Gothic" w:hAnsi="Century Gothic"/>
          <w:bCs/>
          <w:i/>
          <w:iCs/>
          <w:color w:val="000000" w:themeColor="text1"/>
        </w:rPr>
      </w:pPr>
    </w:p>
    <w:p w14:paraId="05E07C1F" w14:textId="77777777" w:rsidR="002811BA" w:rsidRDefault="002811BA" w:rsidP="00E83DAB">
      <w:pPr>
        <w:spacing w:before="240" w:after="120"/>
        <w:ind w:firstLine="708"/>
        <w:jc w:val="both"/>
        <w:rPr>
          <w:rFonts w:ascii="Century Gothic" w:hAnsi="Century Gothic"/>
          <w:bCs/>
          <w:i/>
          <w:iCs/>
          <w:color w:val="000000" w:themeColor="text1"/>
        </w:rPr>
      </w:pPr>
    </w:p>
    <w:p w14:paraId="10065F6C" w14:textId="77777777" w:rsidR="002811BA" w:rsidRDefault="002811BA" w:rsidP="00E83DAB">
      <w:pPr>
        <w:spacing w:before="240" w:after="120"/>
        <w:ind w:firstLine="708"/>
        <w:jc w:val="both"/>
        <w:rPr>
          <w:rFonts w:ascii="Century Gothic" w:hAnsi="Century Gothic"/>
          <w:bCs/>
          <w:i/>
          <w:iCs/>
          <w:color w:val="000000" w:themeColor="text1"/>
        </w:rPr>
      </w:pPr>
    </w:p>
    <w:p w14:paraId="5F876183" w14:textId="77777777" w:rsidR="002811BA" w:rsidRDefault="002811BA" w:rsidP="00E83DAB">
      <w:pPr>
        <w:spacing w:before="240" w:after="120"/>
        <w:ind w:firstLine="708"/>
        <w:jc w:val="both"/>
        <w:rPr>
          <w:rFonts w:ascii="Century Gothic" w:hAnsi="Century Gothic"/>
          <w:bCs/>
          <w:i/>
          <w:iCs/>
          <w:color w:val="000000" w:themeColor="text1"/>
        </w:rPr>
      </w:pPr>
    </w:p>
    <w:p w14:paraId="67B4D007" w14:textId="77777777" w:rsidR="002811BA" w:rsidRDefault="002811BA" w:rsidP="00E83DAB">
      <w:pPr>
        <w:spacing w:before="240" w:after="120"/>
        <w:ind w:firstLine="708"/>
        <w:jc w:val="both"/>
        <w:rPr>
          <w:rFonts w:ascii="Century Gothic" w:hAnsi="Century Gothic"/>
          <w:bCs/>
          <w:i/>
          <w:iCs/>
          <w:color w:val="000000" w:themeColor="text1"/>
        </w:rPr>
      </w:pPr>
    </w:p>
    <w:p w14:paraId="33E83581" w14:textId="77777777" w:rsidR="00912E95" w:rsidRPr="00E75780" w:rsidRDefault="00912E95" w:rsidP="00E83DAB">
      <w:pPr>
        <w:spacing w:before="240" w:after="120"/>
        <w:ind w:firstLine="708"/>
        <w:jc w:val="both"/>
        <w:rPr>
          <w:rFonts w:ascii="Century Gothic" w:hAnsi="Century Gothic"/>
          <w:bCs/>
          <w:i/>
          <w:iCs/>
          <w:color w:val="000000" w:themeColor="text1"/>
        </w:rPr>
      </w:pPr>
      <w:r w:rsidRPr="00E75780">
        <w:rPr>
          <w:rFonts w:ascii="Century Gothic" w:hAnsi="Century Gothic"/>
          <w:bCs/>
          <w:i/>
          <w:iCs/>
          <w:color w:val="000000" w:themeColor="text1"/>
        </w:rPr>
        <w:t>Concentración de la riqueza</w:t>
      </w:r>
    </w:p>
    <w:p w14:paraId="307E362B" w14:textId="1A4FA11D" w:rsidR="00912E95" w:rsidRPr="00E75780" w:rsidRDefault="00912E95" w:rsidP="00E83DAB">
      <w:pPr>
        <w:spacing w:before="240" w:after="120"/>
        <w:jc w:val="both"/>
        <w:rPr>
          <w:rFonts w:ascii="Century Gothic" w:hAnsi="Century Gothic"/>
          <w:color w:val="000000" w:themeColor="text1"/>
        </w:rPr>
      </w:pPr>
      <w:r w:rsidRPr="00E75780">
        <w:rPr>
          <w:rFonts w:ascii="Century Gothic" w:hAnsi="Century Gothic"/>
          <w:color w:val="000000" w:themeColor="text1"/>
        </w:rPr>
        <w:t xml:space="preserve">La información extraída de las declaraciones tributarias no sólo permite evidenciar la concentración de los ingresos, sino que también </w:t>
      </w:r>
      <w:r w:rsidR="008D3A8D">
        <w:rPr>
          <w:rFonts w:ascii="Century Gothic" w:hAnsi="Century Gothic"/>
          <w:color w:val="000000" w:themeColor="text1"/>
        </w:rPr>
        <w:t>hace posible entender</w:t>
      </w:r>
      <w:r w:rsidRPr="00E75780">
        <w:rPr>
          <w:rFonts w:ascii="Century Gothic" w:hAnsi="Century Gothic"/>
          <w:color w:val="000000" w:themeColor="text1"/>
        </w:rPr>
        <w:t xml:space="preserve"> cómo cambia dicha concentración después de la aplicación del impuesto de renta.</w:t>
      </w:r>
    </w:p>
    <w:p w14:paraId="74F0D1A1" w14:textId="77777777" w:rsidR="00912E95" w:rsidRPr="00E75780" w:rsidRDefault="00912E95" w:rsidP="00E83DAB">
      <w:pPr>
        <w:pStyle w:val="Descripcin"/>
        <w:keepNext/>
        <w:spacing w:before="240" w:after="120"/>
        <w:jc w:val="center"/>
        <w:rPr>
          <w:rFonts w:ascii="Century Gothic" w:hAnsi="Century Gothic"/>
          <w:b/>
          <w:bCs/>
          <w:i w:val="0"/>
          <w:noProof/>
          <w:color w:val="000000" w:themeColor="text1"/>
          <w:sz w:val="24"/>
          <w:szCs w:val="24"/>
        </w:rPr>
      </w:pPr>
      <w:r w:rsidRPr="00E75780">
        <w:rPr>
          <w:rFonts w:ascii="Century Gothic" w:hAnsi="Century Gothic"/>
          <w:b/>
          <w:bCs/>
          <w:i w:val="0"/>
          <w:noProof/>
          <w:color w:val="000000" w:themeColor="text1"/>
          <w:sz w:val="24"/>
          <w:szCs w:val="24"/>
        </w:rPr>
        <w:t xml:space="preserve">Tabla 5: Concentración del patrimonio líquido. Personas naturales declarantes de renta. Millones de pesos </w:t>
      </w:r>
      <w:r w:rsidRPr="00E75780">
        <w:rPr>
          <w:rFonts w:ascii="Calibri" w:eastAsia="Calibri" w:hAnsi="Calibri" w:cs="Calibri"/>
          <w:b/>
          <w:bCs/>
          <w:i w:val="0"/>
          <w:noProof/>
          <w:color w:val="000000" w:themeColor="text1"/>
          <w:sz w:val="24"/>
          <w:szCs w:val="24"/>
        </w:rPr>
        <w:t>‐</w:t>
      </w:r>
      <w:r w:rsidRPr="00E75780">
        <w:rPr>
          <w:rFonts w:ascii="Century Gothic" w:hAnsi="Century Gothic"/>
          <w:b/>
          <w:bCs/>
          <w:i w:val="0"/>
          <w:noProof/>
          <w:color w:val="000000" w:themeColor="text1"/>
          <w:sz w:val="24"/>
          <w:szCs w:val="24"/>
        </w:rPr>
        <w:t xml:space="preserve"> Año gravable 2014, Índice de Gini: 0,595</w:t>
      </w:r>
    </w:p>
    <w:tbl>
      <w:tblPr>
        <w:tblW w:w="7092" w:type="dxa"/>
        <w:jc w:val="center"/>
        <w:tblCellMar>
          <w:left w:w="70" w:type="dxa"/>
          <w:right w:w="70" w:type="dxa"/>
        </w:tblCellMar>
        <w:tblLook w:val="04A0" w:firstRow="1" w:lastRow="0" w:firstColumn="1" w:lastColumn="0" w:noHBand="0" w:noVBand="1"/>
      </w:tblPr>
      <w:tblGrid>
        <w:gridCol w:w="761"/>
        <w:gridCol w:w="1079"/>
        <w:gridCol w:w="909"/>
        <w:gridCol w:w="1020"/>
        <w:gridCol w:w="1186"/>
        <w:gridCol w:w="991"/>
        <w:gridCol w:w="1146"/>
      </w:tblGrid>
      <w:tr w:rsidR="00E75780" w:rsidRPr="00E75780" w14:paraId="4103A300" w14:textId="77777777" w:rsidTr="00CA3BA3">
        <w:trPr>
          <w:trHeight w:hRule="exact" w:val="510"/>
          <w:jc w:val="center"/>
        </w:trPr>
        <w:tc>
          <w:tcPr>
            <w:tcW w:w="761" w:type="dxa"/>
            <w:vMerge w:val="restart"/>
            <w:tcBorders>
              <w:top w:val="single" w:sz="8" w:space="0" w:color="auto"/>
              <w:left w:val="single" w:sz="8" w:space="0" w:color="auto"/>
              <w:bottom w:val="single" w:sz="8" w:space="0" w:color="000000"/>
              <w:right w:val="single" w:sz="8" w:space="0" w:color="auto"/>
            </w:tcBorders>
            <w:vAlign w:val="center"/>
            <w:hideMark/>
          </w:tcPr>
          <w:p w14:paraId="55A70EAA" w14:textId="77777777" w:rsidR="00912E95" w:rsidRPr="00E75780" w:rsidRDefault="00912E95" w:rsidP="00E83DAB">
            <w:pPr>
              <w:spacing w:before="240" w:after="120" w:line="240" w:lineRule="auto"/>
              <w:rPr>
                <w:rFonts w:ascii="Arial" w:eastAsia="Times New Roman" w:hAnsi="Arial" w:cs="Arial"/>
                <w:color w:val="000000" w:themeColor="text1"/>
                <w:sz w:val="18"/>
                <w:szCs w:val="18"/>
                <w:lang w:eastAsia="es-CO"/>
              </w:rPr>
            </w:pPr>
            <w:r w:rsidRPr="00E75780">
              <w:rPr>
                <w:rFonts w:ascii="Calibri" w:eastAsia="Times New Roman" w:hAnsi="Calibri" w:cs="Calibri"/>
                <w:b/>
                <w:bCs/>
                <w:color w:val="000000" w:themeColor="text1"/>
                <w:sz w:val="18"/>
                <w:szCs w:val="18"/>
                <w:lang w:eastAsia="es-CO"/>
              </w:rPr>
              <w:t>Decil</w:t>
            </w:r>
          </w:p>
        </w:tc>
        <w:tc>
          <w:tcPr>
            <w:tcW w:w="1988" w:type="dxa"/>
            <w:gridSpan w:val="2"/>
            <w:tcBorders>
              <w:top w:val="single" w:sz="8" w:space="0" w:color="auto"/>
              <w:left w:val="nil"/>
              <w:bottom w:val="single" w:sz="8" w:space="0" w:color="auto"/>
              <w:right w:val="single" w:sz="8" w:space="0" w:color="000000"/>
            </w:tcBorders>
            <w:vAlign w:val="center"/>
            <w:hideMark/>
          </w:tcPr>
          <w:p w14:paraId="04EA6F4C" w14:textId="77777777" w:rsidR="00912E95" w:rsidRPr="00E75780" w:rsidRDefault="00912E95" w:rsidP="00E83DAB">
            <w:pPr>
              <w:spacing w:before="240" w:after="120" w:line="240" w:lineRule="auto"/>
              <w:jc w:val="center"/>
              <w:rPr>
                <w:rFonts w:ascii="Arial" w:eastAsia="Times New Roman" w:hAnsi="Arial" w:cs="Arial"/>
                <w:color w:val="000000" w:themeColor="text1"/>
                <w:sz w:val="18"/>
                <w:szCs w:val="18"/>
                <w:lang w:eastAsia="es-CO"/>
              </w:rPr>
            </w:pPr>
            <w:r w:rsidRPr="00E75780">
              <w:rPr>
                <w:rFonts w:ascii="Calibri" w:eastAsia="Times New Roman" w:hAnsi="Calibri" w:cs="Calibri"/>
                <w:b/>
                <w:bCs/>
                <w:color w:val="000000" w:themeColor="text1"/>
                <w:sz w:val="18"/>
                <w:szCs w:val="18"/>
                <w:lang w:eastAsia="es-CO"/>
              </w:rPr>
              <w:t>Rangos de patrimonio líquido</w:t>
            </w:r>
          </w:p>
        </w:tc>
        <w:tc>
          <w:tcPr>
            <w:tcW w:w="2206" w:type="dxa"/>
            <w:gridSpan w:val="2"/>
            <w:tcBorders>
              <w:top w:val="single" w:sz="8" w:space="0" w:color="auto"/>
              <w:left w:val="nil"/>
              <w:bottom w:val="single" w:sz="8" w:space="0" w:color="auto"/>
              <w:right w:val="single" w:sz="8" w:space="0" w:color="000000"/>
            </w:tcBorders>
            <w:vAlign w:val="center"/>
            <w:hideMark/>
          </w:tcPr>
          <w:p w14:paraId="30BC5A6D" w14:textId="77777777" w:rsidR="00912E95" w:rsidRPr="00E75780" w:rsidRDefault="00912E95" w:rsidP="00E83DAB">
            <w:pPr>
              <w:spacing w:before="240" w:after="120" w:line="240" w:lineRule="auto"/>
              <w:jc w:val="center"/>
              <w:rPr>
                <w:rFonts w:ascii="Arial" w:eastAsia="Times New Roman" w:hAnsi="Arial" w:cs="Arial"/>
                <w:color w:val="000000" w:themeColor="text1"/>
                <w:sz w:val="18"/>
                <w:szCs w:val="18"/>
                <w:lang w:eastAsia="es-CO"/>
              </w:rPr>
            </w:pPr>
            <w:r w:rsidRPr="00E75780">
              <w:rPr>
                <w:rFonts w:ascii="Calibri" w:eastAsia="Times New Roman" w:hAnsi="Calibri" w:cs="Calibri"/>
                <w:b/>
                <w:bCs/>
                <w:color w:val="000000" w:themeColor="text1"/>
                <w:sz w:val="18"/>
                <w:szCs w:val="18"/>
                <w:lang w:eastAsia="es-CO"/>
              </w:rPr>
              <w:t>Miles de personas</w:t>
            </w:r>
          </w:p>
        </w:tc>
        <w:tc>
          <w:tcPr>
            <w:tcW w:w="2137" w:type="dxa"/>
            <w:gridSpan w:val="2"/>
            <w:tcBorders>
              <w:top w:val="single" w:sz="8" w:space="0" w:color="auto"/>
              <w:left w:val="nil"/>
              <w:bottom w:val="single" w:sz="8" w:space="0" w:color="auto"/>
              <w:right w:val="single" w:sz="8" w:space="0" w:color="000000"/>
            </w:tcBorders>
            <w:vAlign w:val="center"/>
            <w:hideMark/>
          </w:tcPr>
          <w:p w14:paraId="44E5DAB1" w14:textId="77777777" w:rsidR="00912E95" w:rsidRPr="00E75780" w:rsidRDefault="00912E95" w:rsidP="00E83DAB">
            <w:pPr>
              <w:spacing w:before="240" w:after="120" w:line="240" w:lineRule="auto"/>
              <w:jc w:val="center"/>
              <w:rPr>
                <w:rFonts w:ascii="Arial" w:eastAsia="Times New Roman" w:hAnsi="Arial" w:cs="Arial"/>
                <w:color w:val="000000" w:themeColor="text1"/>
                <w:sz w:val="18"/>
                <w:szCs w:val="18"/>
                <w:lang w:eastAsia="es-CO"/>
              </w:rPr>
            </w:pPr>
            <w:r w:rsidRPr="00E75780">
              <w:rPr>
                <w:rFonts w:ascii="Calibri" w:eastAsia="Times New Roman" w:hAnsi="Calibri" w:cs="Calibri"/>
                <w:b/>
                <w:bCs/>
                <w:color w:val="000000" w:themeColor="text1"/>
                <w:sz w:val="18"/>
                <w:szCs w:val="18"/>
                <w:lang w:eastAsia="es-CO"/>
              </w:rPr>
              <w:t>Patrimonio líquido promedio</w:t>
            </w:r>
          </w:p>
        </w:tc>
      </w:tr>
      <w:tr w:rsidR="00E75780" w:rsidRPr="00E75780" w14:paraId="68C20593" w14:textId="77777777" w:rsidTr="00CA3BA3">
        <w:trPr>
          <w:trHeight w:hRule="exact" w:val="51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9103A7" w14:textId="77777777" w:rsidR="00912E95" w:rsidRPr="00E75780" w:rsidRDefault="00912E95" w:rsidP="00E83DAB">
            <w:pPr>
              <w:spacing w:before="240" w:after="120"/>
              <w:rPr>
                <w:rFonts w:ascii="Arial" w:eastAsia="Times New Roman" w:hAnsi="Arial" w:cs="Arial"/>
                <w:color w:val="000000" w:themeColor="text1"/>
                <w:sz w:val="18"/>
                <w:szCs w:val="18"/>
                <w:lang w:eastAsia="es-CO"/>
              </w:rPr>
            </w:pPr>
          </w:p>
        </w:tc>
        <w:tc>
          <w:tcPr>
            <w:tcW w:w="1079" w:type="dxa"/>
            <w:tcBorders>
              <w:top w:val="nil"/>
              <w:left w:val="nil"/>
              <w:bottom w:val="single" w:sz="8" w:space="0" w:color="auto"/>
              <w:right w:val="single" w:sz="8" w:space="0" w:color="auto"/>
            </w:tcBorders>
            <w:vAlign w:val="bottom"/>
            <w:hideMark/>
          </w:tcPr>
          <w:p w14:paraId="2D45F08A" w14:textId="77777777" w:rsidR="00912E95" w:rsidRPr="00E75780" w:rsidRDefault="00912E95" w:rsidP="00E83DAB">
            <w:pPr>
              <w:spacing w:before="240" w:after="120" w:line="240" w:lineRule="auto"/>
              <w:jc w:val="center"/>
              <w:rPr>
                <w:rFonts w:ascii="Century Gothic" w:hAnsi="Century Gothic"/>
                <w:color w:val="000000" w:themeColor="text1"/>
                <w:sz w:val="18"/>
                <w:szCs w:val="18"/>
              </w:rPr>
            </w:pPr>
            <w:r w:rsidRPr="00E75780">
              <w:rPr>
                <w:rFonts w:ascii="Century Gothic" w:hAnsi="Century Gothic"/>
                <w:color w:val="000000" w:themeColor="text1"/>
                <w:sz w:val="18"/>
                <w:szCs w:val="18"/>
              </w:rPr>
              <w:t>Desde</w:t>
            </w:r>
          </w:p>
        </w:tc>
        <w:tc>
          <w:tcPr>
            <w:tcW w:w="909" w:type="dxa"/>
            <w:tcBorders>
              <w:top w:val="nil"/>
              <w:left w:val="nil"/>
              <w:bottom w:val="single" w:sz="8" w:space="0" w:color="auto"/>
              <w:right w:val="single" w:sz="8" w:space="0" w:color="auto"/>
            </w:tcBorders>
            <w:vAlign w:val="bottom"/>
            <w:hideMark/>
          </w:tcPr>
          <w:p w14:paraId="6F29B3EC" w14:textId="77777777" w:rsidR="00912E95" w:rsidRPr="00E75780" w:rsidRDefault="00912E95" w:rsidP="00E83DAB">
            <w:pPr>
              <w:spacing w:before="240" w:after="120" w:line="240" w:lineRule="auto"/>
              <w:jc w:val="center"/>
              <w:rPr>
                <w:rFonts w:ascii="Century Gothic" w:hAnsi="Century Gothic"/>
                <w:color w:val="000000" w:themeColor="text1"/>
                <w:sz w:val="18"/>
                <w:szCs w:val="18"/>
              </w:rPr>
            </w:pPr>
            <w:r w:rsidRPr="00E75780">
              <w:rPr>
                <w:rFonts w:ascii="Century Gothic" w:hAnsi="Century Gothic"/>
                <w:color w:val="000000" w:themeColor="text1"/>
                <w:sz w:val="18"/>
                <w:szCs w:val="18"/>
              </w:rPr>
              <w:t>Hasta</w:t>
            </w:r>
          </w:p>
        </w:tc>
        <w:tc>
          <w:tcPr>
            <w:tcW w:w="1020" w:type="dxa"/>
            <w:tcBorders>
              <w:top w:val="nil"/>
              <w:left w:val="nil"/>
              <w:bottom w:val="single" w:sz="8" w:space="0" w:color="auto"/>
              <w:right w:val="single" w:sz="8" w:space="0" w:color="auto"/>
            </w:tcBorders>
            <w:vAlign w:val="bottom"/>
            <w:hideMark/>
          </w:tcPr>
          <w:p w14:paraId="2DE8641D" w14:textId="77777777" w:rsidR="00912E95" w:rsidRPr="00E75780" w:rsidRDefault="00912E95" w:rsidP="00E83DAB">
            <w:pPr>
              <w:spacing w:before="240" w:after="120" w:line="240" w:lineRule="auto"/>
              <w:rPr>
                <w:rFonts w:ascii="Century Gothic" w:hAnsi="Century Gothic"/>
                <w:color w:val="000000" w:themeColor="text1"/>
                <w:sz w:val="18"/>
                <w:szCs w:val="18"/>
              </w:rPr>
            </w:pPr>
            <w:r w:rsidRPr="00E75780">
              <w:rPr>
                <w:rFonts w:ascii="Century Gothic" w:hAnsi="Century Gothic"/>
                <w:color w:val="000000" w:themeColor="text1"/>
                <w:sz w:val="18"/>
                <w:szCs w:val="18"/>
              </w:rPr>
              <w:t>Mujeres</w:t>
            </w:r>
          </w:p>
        </w:tc>
        <w:tc>
          <w:tcPr>
            <w:tcW w:w="1185" w:type="dxa"/>
            <w:tcBorders>
              <w:top w:val="nil"/>
              <w:left w:val="nil"/>
              <w:bottom w:val="single" w:sz="8" w:space="0" w:color="auto"/>
              <w:right w:val="single" w:sz="8" w:space="0" w:color="auto"/>
            </w:tcBorders>
            <w:vAlign w:val="bottom"/>
            <w:hideMark/>
          </w:tcPr>
          <w:p w14:paraId="47557E48" w14:textId="77777777" w:rsidR="00912E95" w:rsidRPr="00E75780" w:rsidRDefault="00912E95" w:rsidP="00E83DAB">
            <w:pPr>
              <w:spacing w:before="240" w:after="120" w:line="240" w:lineRule="auto"/>
              <w:rPr>
                <w:rFonts w:ascii="Century Gothic" w:hAnsi="Century Gothic"/>
                <w:color w:val="000000" w:themeColor="text1"/>
                <w:sz w:val="18"/>
                <w:szCs w:val="18"/>
              </w:rPr>
            </w:pPr>
            <w:r w:rsidRPr="00E75780">
              <w:rPr>
                <w:rFonts w:ascii="Century Gothic" w:hAnsi="Century Gothic"/>
                <w:color w:val="000000" w:themeColor="text1"/>
                <w:sz w:val="18"/>
                <w:szCs w:val="18"/>
              </w:rPr>
              <w:t>Hombres</w:t>
            </w:r>
          </w:p>
        </w:tc>
        <w:tc>
          <w:tcPr>
            <w:tcW w:w="991" w:type="dxa"/>
            <w:tcBorders>
              <w:top w:val="nil"/>
              <w:left w:val="nil"/>
              <w:bottom w:val="single" w:sz="8" w:space="0" w:color="auto"/>
              <w:right w:val="single" w:sz="8" w:space="0" w:color="auto"/>
            </w:tcBorders>
            <w:vAlign w:val="bottom"/>
            <w:hideMark/>
          </w:tcPr>
          <w:p w14:paraId="35DA7084" w14:textId="77777777" w:rsidR="00912E95" w:rsidRPr="00E75780" w:rsidRDefault="00912E95" w:rsidP="00E83DAB">
            <w:pPr>
              <w:spacing w:before="240" w:after="120" w:line="240" w:lineRule="auto"/>
              <w:rPr>
                <w:rFonts w:ascii="Century Gothic" w:hAnsi="Century Gothic"/>
                <w:color w:val="000000" w:themeColor="text1"/>
                <w:sz w:val="18"/>
                <w:szCs w:val="18"/>
              </w:rPr>
            </w:pPr>
            <w:r w:rsidRPr="00E75780">
              <w:rPr>
                <w:rFonts w:ascii="Century Gothic" w:hAnsi="Century Gothic"/>
                <w:color w:val="000000" w:themeColor="text1"/>
                <w:sz w:val="18"/>
                <w:szCs w:val="18"/>
              </w:rPr>
              <w:t>Mujeres</w:t>
            </w:r>
          </w:p>
        </w:tc>
        <w:tc>
          <w:tcPr>
            <w:tcW w:w="1146" w:type="dxa"/>
            <w:tcBorders>
              <w:top w:val="nil"/>
              <w:left w:val="nil"/>
              <w:bottom w:val="single" w:sz="8" w:space="0" w:color="auto"/>
              <w:right w:val="single" w:sz="8" w:space="0" w:color="auto"/>
            </w:tcBorders>
            <w:vAlign w:val="bottom"/>
            <w:hideMark/>
          </w:tcPr>
          <w:p w14:paraId="181B420F" w14:textId="77777777" w:rsidR="00912E95" w:rsidRPr="00E75780" w:rsidRDefault="00912E95" w:rsidP="00E83DAB">
            <w:pPr>
              <w:spacing w:before="240" w:after="120" w:line="240" w:lineRule="auto"/>
              <w:rPr>
                <w:rFonts w:ascii="Century Gothic" w:hAnsi="Century Gothic"/>
                <w:color w:val="000000" w:themeColor="text1"/>
                <w:sz w:val="18"/>
                <w:szCs w:val="18"/>
              </w:rPr>
            </w:pPr>
            <w:r w:rsidRPr="00E75780">
              <w:rPr>
                <w:rFonts w:ascii="Century Gothic" w:hAnsi="Century Gothic"/>
                <w:color w:val="000000" w:themeColor="text1"/>
                <w:sz w:val="18"/>
                <w:szCs w:val="18"/>
              </w:rPr>
              <w:t>Hombres</w:t>
            </w:r>
          </w:p>
        </w:tc>
      </w:tr>
      <w:tr w:rsidR="00E75780" w:rsidRPr="00E75780" w14:paraId="4FC400AA" w14:textId="77777777" w:rsidTr="00CA3BA3">
        <w:trPr>
          <w:trHeight w:hRule="exact" w:val="510"/>
          <w:jc w:val="center"/>
        </w:trPr>
        <w:tc>
          <w:tcPr>
            <w:tcW w:w="761" w:type="dxa"/>
            <w:tcBorders>
              <w:top w:val="nil"/>
              <w:left w:val="single" w:sz="8" w:space="0" w:color="auto"/>
              <w:bottom w:val="single" w:sz="8" w:space="0" w:color="auto"/>
              <w:right w:val="single" w:sz="8" w:space="0" w:color="auto"/>
            </w:tcBorders>
            <w:vAlign w:val="bottom"/>
            <w:hideMark/>
          </w:tcPr>
          <w:p w14:paraId="765CC738" w14:textId="77777777" w:rsidR="00912E95" w:rsidRPr="00E75780" w:rsidRDefault="00912E95" w:rsidP="00E83DAB">
            <w:pPr>
              <w:spacing w:before="240" w:after="120" w:line="240" w:lineRule="auto"/>
              <w:jc w:val="center"/>
              <w:rPr>
                <w:rFonts w:ascii="Century Gothic" w:hAnsi="Century Gothic"/>
                <w:color w:val="000000" w:themeColor="text1"/>
                <w:sz w:val="18"/>
                <w:szCs w:val="18"/>
              </w:rPr>
            </w:pPr>
            <w:r w:rsidRPr="00E75780">
              <w:rPr>
                <w:rFonts w:ascii="Century Gothic" w:hAnsi="Century Gothic"/>
                <w:color w:val="000000" w:themeColor="text1"/>
                <w:sz w:val="18"/>
                <w:szCs w:val="18"/>
              </w:rPr>
              <w:t>1</w:t>
            </w:r>
          </w:p>
        </w:tc>
        <w:tc>
          <w:tcPr>
            <w:tcW w:w="1079" w:type="dxa"/>
            <w:tcBorders>
              <w:top w:val="nil"/>
              <w:left w:val="nil"/>
              <w:bottom w:val="single" w:sz="8" w:space="0" w:color="auto"/>
              <w:right w:val="single" w:sz="8" w:space="0" w:color="auto"/>
            </w:tcBorders>
            <w:vAlign w:val="center"/>
            <w:hideMark/>
          </w:tcPr>
          <w:p w14:paraId="6053A1FB"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w:t>
            </w:r>
          </w:p>
        </w:tc>
        <w:tc>
          <w:tcPr>
            <w:tcW w:w="909" w:type="dxa"/>
            <w:tcBorders>
              <w:top w:val="nil"/>
              <w:left w:val="nil"/>
              <w:bottom w:val="single" w:sz="8" w:space="0" w:color="auto"/>
              <w:right w:val="single" w:sz="8" w:space="0" w:color="auto"/>
            </w:tcBorders>
            <w:vAlign w:val="bottom"/>
            <w:hideMark/>
          </w:tcPr>
          <w:p w14:paraId="037A1718"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25</w:t>
            </w:r>
          </w:p>
        </w:tc>
        <w:tc>
          <w:tcPr>
            <w:tcW w:w="1020" w:type="dxa"/>
            <w:tcBorders>
              <w:top w:val="nil"/>
              <w:left w:val="nil"/>
              <w:bottom w:val="single" w:sz="8" w:space="0" w:color="auto"/>
              <w:right w:val="single" w:sz="8" w:space="0" w:color="auto"/>
            </w:tcBorders>
            <w:vAlign w:val="bottom"/>
            <w:hideMark/>
          </w:tcPr>
          <w:p w14:paraId="7DD49F53"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63</w:t>
            </w:r>
          </w:p>
        </w:tc>
        <w:tc>
          <w:tcPr>
            <w:tcW w:w="1185" w:type="dxa"/>
            <w:tcBorders>
              <w:top w:val="nil"/>
              <w:left w:val="nil"/>
              <w:bottom w:val="single" w:sz="8" w:space="0" w:color="auto"/>
              <w:right w:val="single" w:sz="8" w:space="0" w:color="auto"/>
            </w:tcBorders>
            <w:vAlign w:val="bottom"/>
            <w:hideMark/>
          </w:tcPr>
          <w:p w14:paraId="60F1286A"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89</w:t>
            </w:r>
          </w:p>
        </w:tc>
        <w:tc>
          <w:tcPr>
            <w:tcW w:w="991" w:type="dxa"/>
            <w:tcBorders>
              <w:top w:val="nil"/>
              <w:left w:val="nil"/>
              <w:bottom w:val="single" w:sz="8" w:space="0" w:color="auto"/>
              <w:right w:val="single" w:sz="8" w:space="0" w:color="auto"/>
            </w:tcBorders>
            <w:vAlign w:val="bottom"/>
            <w:hideMark/>
          </w:tcPr>
          <w:p w14:paraId="1EA84EB0"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8,6</w:t>
            </w:r>
          </w:p>
        </w:tc>
        <w:tc>
          <w:tcPr>
            <w:tcW w:w="1146" w:type="dxa"/>
            <w:tcBorders>
              <w:top w:val="nil"/>
              <w:left w:val="nil"/>
              <w:bottom w:val="single" w:sz="8" w:space="0" w:color="auto"/>
              <w:right w:val="single" w:sz="8" w:space="0" w:color="auto"/>
            </w:tcBorders>
            <w:vAlign w:val="bottom"/>
            <w:hideMark/>
          </w:tcPr>
          <w:p w14:paraId="39DF8A28"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8,4</w:t>
            </w:r>
          </w:p>
        </w:tc>
      </w:tr>
      <w:tr w:rsidR="00E75780" w:rsidRPr="00E75780" w14:paraId="7E0DC92F" w14:textId="77777777" w:rsidTr="00CA3BA3">
        <w:trPr>
          <w:trHeight w:hRule="exact" w:val="510"/>
          <w:jc w:val="center"/>
        </w:trPr>
        <w:tc>
          <w:tcPr>
            <w:tcW w:w="761" w:type="dxa"/>
            <w:tcBorders>
              <w:top w:val="nil"/>
              <w:left w:val="single" w:sz="8" w:space="0" w:color="auto"/>
              <w:bottom w:val="single" w:sz="8" w:space="0" w:color="auto"/>
              <w:right w:val="single" w:sz="8" w:space="0" w:color="auto"/>
            </w:tcBorders>
            <w:vAlign w:val="bottom"/>
            <w:hideMark/>
          </w:tcPr>
          <w:p w14:paraId="2D5A5552" w14:textId="77777777" w:rsidR="00912E95" w:rsidRPr="00E75780" w:rsidRDefault="00912E95" w:rsidP="00E83DAB">
            <w:pPr>
              <w:spacing w:before="240" w:after="120" w:line="240" w:lineRule="auto"/>
              <w:jc w:val="center"/>
              <w:rPr>
                <w:rFonts w:ascii="Century Gothic" w:hAnsi="Century Gothic"/>
                <w:color w:val="000000" w:themeColor="text1"/>
                <w:sz w:val="18"/>
                <w:szCs w:val="18"/>
              </w:rPr>
            </w:pPr>
            <w:r w:rsidRPr="00E75780">
              <w:rPr>
                <w:rFonts w:ascii="Century Gothic" w:hAnsi="Century Gothic"/>
                <w:color w:val="000000" w:themeColor="text1"/>
                <w:sz w:val="18"/>
                <w:szCs w:val="18"/>
              </w:rPr>
              <w:t>2</w:t>
            </w:r>
          </w:p>
        </w:tc>
        <w:tc>
          <w:tcPr>
            <w:tcW w:w="1079" w:type="dxa"/>
            <w:tcBorders>
              <w:top w:val="nil"/>
              <w:left w:val="nil"/>
              <w:bottom w:val="single" w:sz="8" w:space="0" w:color="auto"/>
              <w:right w:val="single" w:sz="8" w:space="0" w:color="auto"/>
            </w:tcBorders>
            <w:vAlign w:val="bottom"/>
            <w:hideMark/>
          </w:tcPr>
          <w:p w14:paraId="7D880347"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25</w:t>
            </w:r>
          </w:p>
        </w:tc>
        <w:tc>
          <w:tcPr>
            <w:tcW w:w="909" w:type="dxa"/>
            <w:tcBorders>
              <w:top w:val="nil"/>
              <w:left w:val="nil"/>
              <w:bottom w:val="single" w:sz="8" w:space="0" w:color="auto"/>
              <w:right w:val="single" w:sz="8" w:space="0" w:color="auto"/>
            </w:tcBorders>
            <w:vAlign w:val="bottom"/>
            <w:hideMark/>
          </w:tcPr>
          <w:p w14:paraId="65F2A87C"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62</w:t>
            </w:r>
          </w:p>
        </w:tc>
        <w:tc>
          <w:tcPr>
            <w:tcW w:w="1020" w:type="dxa"/>
            <w:tcBorders>
              <w:top w:val="nil"/>
              <w:left w:val="nil"/>
              <w:bottom w:val="single" w:sz="8" w:space="0" w:color="auto"/>
              <w:right w:val="single" w:sz="8" w:space="0" w:color="auto"/>
            </w:tcBorders>
            <w:vAlign w:val="bottom"/>
            <w:hideMark/>
          </w:tcPr>
          <w:p w14:paraId="29369A41"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64</w:t>
            </w:r>
          </w:p>
        </w:tc>
        <w:tc>
          <w:tcPr>
            <w:tcW w:w="1185" w:type="dxa"/>
            <w:tcBorders>
              <w:top w:val="nil"/>
              <w:left w:val="nil"/>
              <w:bottom w:val="single" w:sz="8" w:space="0" w:color="auto"/>
              <w:right w:val="single" w:sz="8" w:space="0" w:color="auto"/>
            </w:tcBorders>
            <w:vAlign w:val="bottom"/>
            <w:hideMark/>
          </w:tcPr>
          <w:p w14:paraId="2EC87719"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88</w:t>
            </w:r>
          </w:p>
        </w:tc>
        <w:tc>
          <w:tcPr>
            <w:tcW w:w="991" w:type="dxa"/>
            <w:tcBorders>
              <w:top w:val="nil"/>
              <w:left w:val="nil"/>
              <w:bottom w:val="single" w:sz="8" w:space="0" w:color="auto"/>
              <w:right w:val="single" w:sz="8" w:space="0" w:color="auto"/>
            </w:tcBorders>
            <w:vAlign w:val="bottom"/>
            <w:hideMark/>
          </w:tcPr>
          <w:p w14:paraId="5B8DB87F"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43,7</w:t>
            </w:r>
          </w:p>
        </w:tc>
        <w:tc>
          <w:tcPr>
            <w:tcW w:w="1146" w:type="dxa"/>
            <w:tcBorders>
              <w:top w:val="nil"/>
              <w:left w:val="nil"/>
              <w:bottom w:val="single" w:sz="8" w:space="0" w:color="auto"/>
              <w:right w:val="single" w:sz="8" w:space="0" w:color="auto"/>
            </w:tcBorders>
            <w:vAlign w:val="bottom"/>
            <w:hideMark/>
          </w:tcPr>
          <w:p w14:paraId="66EBC5BD"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43,8</w:t>
            </w:r>
          </w:p>
        </w:tc>
      </w:tr>
      <w:tr w:rsidR="00E75780" w:rsidRPr="00E75780" w14:paraId="453EBD9A" w14:textId="77777777" w:rsidTr="00CA3BA3">
        <w:trPr>
          <w:trHeight w:hRule="exact" w:val="510"/>
          <w:jc w:val="center"/>
        </w:trPr>
        <w:tc>
          <w:tcPr>
            <w:tcW w:w="761" w:type="dxa"/>
            <w:tcBorders>
              <w:top w:val="nil"/>
              <w:left w:val="single" w:sz="8" w:space="0" w:color="auto"/>
              <w:bottom w:val="single" w:sz="8" w:space="0" w:color="auto"/>
              <w:right w:val="single" w:sz="8" w:space="0" w:color="auto"/>
            </w:tcBorders>
            <w:vAlign w:val="bottom"/>
            <w:hideMark/>
          </w:tcPr>
          <w:p w14:paraId="71EC14FF" w14:textId="77777777" w:rsidR="00912E95" w:rsidRPr="00E75780" w:rsidRDefault="00912E95" w:rsidP="00E83DAB">
            <w:pPr>
              <w:spacing w:before="240" w:after="120" w:line="240" w:lineRule="auto"/>
              <w:jc w:val="center"/>
              <w:rPr>
                <w:rFonts w:ascii="Century Gothic" w:hAnsi="Century Gothic"/>
                <w:color w:val="000000" w:themeColor="text1"/>
                <w:sz w:val="18"/>
                <w:szCs w:val="18"/>
              </w:rPr>
            </w:pPr>
            <w:r w:rsidRPr="00E75780">
              <w:rPr>
                <w:rFonts w:ascii="Century Gothic" w:hAnsi="Century Gothic"/>
                <w:color w:val="000000" w:themeColor="text1"/>
                <w:sz w:val="18"/>
                <w:szCs w:val="18"/>
              </w:rPr>
              <w:t>3</w:t>
            </w:r>
          </w:p>
        </w:tc>
        <w:tc>
          <w:tcPr>
            <w:tcW w:w="1079" w:type="dxa"/>
            <w:tcBorders>
              <w:top w:val="nil"/>
              <w:left w:val="nil"/>
              <w:bottom w:val="single" w:sz="8" w:space="0" w:color="auto"/>
              <w:right w:val="single" w:sz="8" w:space="0" w:color="auto"/>
            </w:tcBorders>
            <w:vAlign w:val="bottom"/>
            <w:hideMark/>
          </w:tcPr>
          <w:p w14:paraId="08EE5D79"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62</w:t>
            </w:r>
          </w:p>
        </w:tc>
        <w:tc>
          <w:tcPr>
            <w:tcW w:w="909" w:type="dxa"/>
            <w:tcBorders>
              <w:top w:val="nil"/>
              <w:left w:val="nil"/>
              <w:bottom w:val="single" w:sz="8" w:space="0" w:color="auto"/>
              <w:right w:val="single" w:sz="8" w:space="0" w:color="auto"/>
            </w:tcBorders>
            <w:vAlign w:val="bottom"/>
            <w:hideMark/>
          </w:tcPr>
          <w:p w14:paraId="3B848E8C"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100</w:t>
            </w:r>
          </w:p>
        </w:tc>
        <w:tc>
          <w:tcPr>
            <w:tcW w:w="1020" w:type="dxa"/>
            <w:tcBorders>
              <w:top w:val="nil"/>
              <w:left w:val="nil"/>
              <w:bottom w:val="single" w:sz="8" w:space="0" w:color="auto"/>
              <w:right w:val="single" w:sz="8" w:space="0" w:color="auto"/>
            </w:tcBorders>
            <w:vAlign w:val="bottom"/>
            <w:hideMark/>
          </w:tcPr>
          <w:p w14:paraId="675D7569"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65</w:t>
            </w:r>
          </w:p>
        </w:tc>
        <w:tc>
          <w:tcPr>
            <w:tcW w:w="1185" w:type="dxa"/>
            <w:tcBorders>
              <w:top w:val="nil"/>
              <w:left w:val="nil"/>
              <w:bottom w:val="single" w:sz="8" w:space="0" w:color="auto"/>
              <w:right w:val="single" w:sz="8" w:space="0" w:color="auto"/>
            </w:tcBorders>
            <w:vAlign w:val="bottom"/>
            <w:hideMark/>
          </w:tcPr>
          <w:p w14:paraId="076E3436"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87</w:t>
            </w:r>
          </w:p>
        </w:tc>
        <w:tc>
          <w:tcPr>
            <w:tcW w:w="991" w:type="dxa"/>
            <w:tcBorders>
              <w:top w:val="nil"/>
              <w:left w:val="nil"/>
              <w:bottom w:val="single" w:sz="8" w:space="0" w:color="auto"/>
              <w:right w:val="single" w:sz="8" w:space="0" w:color="auto"/>
            </w:tcBorders>
            <w:vAlign w:val="bottom"/>
            <w:hideMark/>
          </w:tcPr>
          <w:p w14:paraId="29D5A0C9"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80,8</w:t>
            </w:r>
          </w:p>
        </w:tc>
        <w:tc>
          <w:tcPr>
            <w:tcW w:w="1146" w:type="dxa"/>
            <w:tcBorders>
              <w:top w:val="nil"/>
              <w:left w:val="nil"/>
              <w:bottom w:val="single" w:sz="8" w:space="0" w:color="auto"/>
              <w:right w:val="single" w:sz="8" w:space="0" w:color="auto"/>
            </w:tcBorders>
            <w:vAlign w:val="bottom"/>
            <w:hideMark/>
          </w:tcPr>
          <w:p w14:paraId="0385F619"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80,7</w:t>
            </w:r>
          </w:p>
        </w:tc>
      </w:tr>
      <w:tr w:rsidR="00E75780" w:rsidRPr="00E75780" w14:paraId="400D52E0" w14:textId="77777777" w:rsidTr="00CA3BA3">
        <w:trPr>
          <w:trHeight w:hRule="exact" w:val="510"/>
          <w:jc w:val="center"/>
        </w:trPr>
        <w:tc>
          <w:tcPr>
            <w:tcW w:w="761" w:type="dxa"/>
            <w:tcBorders>
              <w:top w:val="nil"/>
              <w:left w:val="single" w:sz="8" w:space="0" w:color="auto"/>
              <w:bottom w:val="single" w:sz="8" w:space="0" w:color="auto"/>
              <w:right w:val="single" w:sz="8" w:space="0" w:color="auto"/>
            </w:tcBorders>
            <w:vAlign w:val="bottom"/>
            <w:hideMark/>
          </w:tcPr>
          <w:p w14:paraId="12FC9058" w14:textId="77777777" w:rsidR="00912E95" w:rsidRPr="00E75780" w:rsidRDefault="00912E95" w:rsidP="00E83DAB">
            <w:pPr>
              <w:spacing w:before="240" w:after="120" w:line="240" w:lineRule="auto"/>
              <w:jc w:val="center"/>
              <w:rPr>
                <w:rFonts w:ascii="Century Gothic" w:hAnsi="Century Gothic"/>
                <w:color w:val="000000" w:themeColor="text1"/>
                <w:sz w:val="18"/>
                <w:szCs w:val="18"/>
              </w:rPr>
            </w:pPr>
            <w:r w:rsidRPr="00E75780">
              <w:rPr>
                <w:rFonts w:ascii="Century Gothic" w:hAnsi="Century Gothic"/>
                <w:color w:val="000000" w:themeColor="text1"/>
                <w:sz w:val="18"/>
                <w:szCs w:val="18"/>
              </w:rPr>
              <w:t>4</w:t>
            </w:r>
          </w:p>
        </w:tc>
        <w:tc>
          <w:tcPr>
            <w:tcW w:w="1079" w:type="dxa"/>
            <w:tcBorders>
              <w:top w:val="nil"/>
              <w:left w:val="nil"/>
              <w:bottom w:val="single" w:sz="8" w:space="0" w:color="auto"/>
              <w:right w:val="single" w:sz="8" w:space="0" w:color="auto"/>
            </w:tcBorders>
            <w:vAlign w:val="bottom"/>
            <w:hideMark/>
          </w:tcPr>
          <w:p w14:paraId="7E3A39CF"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100</w:t>
            </w:r>
          </w:p>
        </w:tc>
        <w:tc>
          <w:tcPr>
            <w:tcW w:w="909" w:type="dxa"/>
            <w:tcBorders>
              <w:top w:val="nil"/>
              <w:left w:val="nil"/>
              <w:bottom w:val="single" w:sz="8" w:space="0" w:color="auto"/>
              <w:right w:val="single" w:sz="8" w:space="0" w:color="auto"/>
            </w:tcBorders>
            <w:vAlign w:val="bottom"/>
            <w:hideMark/>
          </w:tcPr>
          <w:p w14:paraId="1AC8C319"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135</w:t>
            </w:r>
          </w:p>
        </w:tc>
        <w:tc>
          <w:tcPr>
            <w:tcW w:w="1020" w:type="dxa"/>
            <w:tcBorders>
              <w:top w:val="nil"/>
              <w:left w:val="nil"/>
              <w:bottom w:val="single" w:sz="8" w:space="0" w:color="auto"/>
              <w:right w:val="single" w:sz="8" w:space="0" w:color="auto"/>
            </w:tcBorders>
            <w:vAlign w:val="bottom"/>
            <w:hideMark/>
          </w:tcPr>
          <w:p w14:paraId="22F1442A"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69</w:t>
            </w:r>
          </w:p>
        </w:tc>
        <w:tc>
          <w:tcPr>
            <w:tcW w:w="1185" w:type="dxa"/>
            <w:tcBorders>
              <w:top w:val="nil"/>
              <w:left w:val="nil"/>
              <w:bottom w:val="single" w:sz="8" w:space="0" w:color="auto"/>
              <w:right w:val="single" w:sz="8" w:space="0" w:color="auto"/>
            </w:tcBorders>
            <w:vAlign w:val="bottom"/>
            <w:hideMark/>
          </w:tcPr>
          <w:p w14:paraId="1CD0CDEF"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82</w:t>
            </w:r>
          </w:p>
        </w:tc>
        <w:tc>
          <w:tcPr>
            <w:tcW w:w="991" w:type="dxa"/>
            <w:tcBorders>
              <w:top w:val="nil"/>
              <w:left w:val="nil"/>
              <w:bottom w:val="single" w:sz="8" w:space="0" w:color="auto"/>
              <w:right w:val="single" w:sz="8" w:space="0" w:color="auto"/>
            </w:tcBorders>
            <w:vAlign w:val="bottom"/>
            <w:hideMark/>
          </w:tcPr>
          <w:p w14:paraId="11791907"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118,6</w:t>
            </w:r>
          </w:p>
        </w:tc>
        <w:tc>
          <w:tcPr>
            <w:tcW w:w="1146" w:type="dxa"/>
            <w:tcBorders>
              <w:top w:val="nil"/>
              <w:left w:val="nil"/>
              <w:bottom w:val="single" w:sz="8" w:space="0" w:color="auto"/>
              <w:right w:val="single" w:sz="8" w:space="0" w:color="auto"/>
            </w:tcBorders>
            <w:vAlign w:val="bottom"/>
            <w:hideMark/>
          </w:tcPr>
          <w:p w14:paraId="6DC1D4CB"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117,9</w:t>
            </w:r>
          </w:p>
        </w:tc>
      </w:tr>
      <w:tr w:rsidR="00E75780" w:rsidRPr="00E75780" w14:paraId="43B1979D" w14:textId="77777777" w:rsidTr="00CA3BA3">
        <w:trPr>
          <w:trHeight w:hRule="exact" w:val="510"/>
          <w:jc w:val="center"/>
        </w:trPr>
        <w:tc>
          <w:tcPr>
            <w:tcW w:w="761" w:type="dxa"/>
            <w:tcBorders>
              <w:top w:val="nil"/>
              <w:left w:val="single" w:sz="8" w:space="0" w:color="auto"/>
              <w:bottom w:val="single" w:sz="8" w:space="0" w:color="auto"/>
              <w:right w:val="single" w:sz="8" w:space="0" w:color="auto"/>
            </w:tcBorders>
            <w:vAlign w:val="bottom"/>
            <w:hideMark/>
          </w:tcPr>
          <w:p w14:paraId="5A314134" w14:textId="77777777" w:rsidR="00912E95" w:rsidRPr="00E75780" w:rsidRDefault="00912E95" w:rsidP="00E83DAB">
            <w:pPr>
              <w:spacing w:before="240" w:after="120" w:line="240" w:lineRule="auto"/>
              <w:jc w:val="center"/>
              <w:rPr>
                <w:rFonts w:ascii="Century Gothic" w:hAnsi="Century Gothic"/>
                <w:color w:val="000000" w:themeColor="text1"/>
                <w:sz w:val="18"/>
                <w:szCs w:val="18"/>
              </w:rPr>
            </w:pPr>
            <w:r w:rsidRPr="00E75780">
              <w:rPr>
                <w:rFonts w:ascii="Century Gothic" w:hAnsi="Century Gothic"/>
                <w:color w:val="000000" w:themeColor="text1"/>
                <w:sz w:val="18"/>
                <w:szCs w:val="18"/>
              </w:rPr>
              <w:t>5</w:t>
            </w:r>
          </w:p>
        </w:tc>
        <w:tc>
          <w:tcPr>
            <w:tcW w:w="1079" w:type="dxa"/>
            <w:tcBorders>
              <w:top w:val="nil"/>
              <w:left w:val="nil"/>
              <w:bottom w:val="single" w:sz="8" w:space="0" w:color="auto"/>
              <w:right w:val="single" w:sz="8" w:space="0" w:color="auto"/>
            </w:tcBorders>
            <w:vAlign w:val="bottom"/>
            <w:hideMark/>
          </w:tcPr>
          <w:p w14:paraId="2E9F3BF6"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135</w:t>
            </w:r>
          </w:p>
        </w:tc>
        <w:tc>
          <w:tcPr>
            <w:tcW w:w="909" w:type="dxa"/>
            <w:tcBorders>
              <w:top w:val="nil"/>
              <w:left w:val="nil"/>
              <w:bottom w:val="single" w:sz="8" w:space="0" w:color="auto"/>
              <w:right w:val="single" w:sz="8" w:space="0" w:color="auto"/>
            </w:tcBorders>
            <w:vAlign w:val="bottom"/>
            <w:hideMark/>
          </w:tcPr>
          <w:p w14:paraId="2DCC1E91"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157</w:t>
            </w:r>
          </w:p>
        </w:tc>
        <w:tc>
          <w:tcPr>
            <w:tcW w:w="1020" w:type="dxa"/>
            <w:tcBorders>
              <w:top w:val="nil"/>
              <w:left w:val="nil"/>
              <w:bottom w:val="single" w:sz="8" w:space="0" w:color="auto"/>
              <w:right w:val="single" w:sz="8" w:space="0" w:color="auto"/>
            </w:tcBorders>
            <w:vAlign w:val="bottom"/>
            <w:hideMark/>
          </w:tcPr>
          <w:p w14:paraId="0ABD5E1F"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74</w:t>
            </w:r>
          </w:p>
        </w:tc>
        <w:tc>
          <w:tcPr>
            <w:tcW w:w="1185" w:type="dxa"/>
            <w:tcBorders>
              <w:top w:val="nil"/>
              <w:left w:val="nil"/>
              <w:bottom w:val="single" w:sz="8" w:space="0" w:color="auto"/>
              <w:right w:val="single" w:sz="8" w:space="0" w:color="auto"/>
            </w:tcBorders>
            <w:vAlign w:val="bottom"/>
            <w:hideMark/>
          </w:tcPr>
          <w:p w14:paraId="1DD07CA4"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77</w:t>
            </w:r>
          </w:p>
        </w:tc>
        <w:tc>
          <w:tcPr>
            <w:tcW w:w="991" w:type="dxa"/>
            <w:tcBorders>
              <w:top w:val="nil"/>
              <w:left w:val="nil"/>
              <w:bottom w:val="single" w:sz="8" w:space="0" w:color="auto"/>
              <w:right w:val="single" w:sz="8" w:space="0" w:color="auto"/>
            </w:tcBorders>
            <w:vAlign w:val="bottom"/>
            <w:hideMark/>
          </w:tcPr>
          <w:p w14:paraId="624A6DF4"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152,6</w:t>
            </w:r>
          </w:p>
        </w:tc>
        <w:tc>
          <w:tcPr>
            <w:tcW w:w="1146" w:type="dxa"/>
            <w:tcBorders>
              <w:top w:val="nil"/>
              <w:left w:val="nil"/>
              <w:bottom w:val="single" w:sz="8" w:space="0" w:color="auto"/>
              <w:right w:val="single" w:sz="8" w:space="0" w:color="auto"/>
            </w:tcBorders>
            <w:vAlign w:val="bottom"/>
            <w:hideMark/>
          </w:tcPr>
          <w:p w14:paraId="5C690354"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152,4</w:t>
            </w:r>
          </w:p>
        </w:tc>
      </w:tr>
      <w:tr w:rsidR="00E75780" w:rsidRPr="00E75780" w14:paraId="054776CA" w14:textId="77777777" w:rsidTr="00CA3BA3">
        <w:trPr>
          <w:trHeight w:hRule="exact" w:val="510"/>
          <w:jc w:val="center"/>
        </w:trPr>
        <w:tc>
          <w:tcPr>
            <w:tcW w:w="761" w:type="dxa"/>
            <w:tcBorders>
              <w:top w:val="nil"/>
              <w:left w:val="single" w:sz="8" w:space="0" w:color="auto"/>
              <w:bottom w:val="single" w:sz="8" w:space="0" w:color="auto"/>
              <w:right w:val="single" w:sz="8" w:space="0" w:color="auto"/>
            </w:tcBorders>
            <w:vAlign w:val="bottom"/>
            <w:hideMark/>
          </w:tcPr>
          <w:p w14:paraId="0F1243AC" w14:textId="77777777" w:rsidR="00912E95" w:rsidRPr="00E75780" w:rsidRDefault="00912E95" w:rsidP="00E83DAB">
            <w:pPr>
              <w:spacing w:before="240" w:after="120" w:line="240" w:lineRule="auto"/>
              <w:jc w:val="center"/>
              <w:rPr>
                <w:rFonts w:ascii="Century Gothic" w:hAnsi="Century Gothic"/>
                <w:color w:val="000000" w:themeColor="text1"/>
                <w:sz w:val="18"/>
                <w:szCs w:val="18"/>
              </w:rPr>
            </w:pPr>
            <w:r w:rsidRPr="00E75780">
              <w:rPr>
                <w:rFonts w:ascii="Century Gothic" w:hAnsi="Century Gothic"/>
                <w:color w:val="000000" w:themeColor="text1"/>
                <w:sz w:val="18"/>
                <w:szCs w:val="18"/>
              </w:rPr>
              <w:t>6</w:t>
            </w:r>
          </w:p>
        </w:tc>
        <w:tc>
          <w:tcPr>
            <w:tcW w:w="1079" w:type="dxa"/>
            <w:tcBorders>
              <w:top w:val="nil"/>
              <w:left w:val="nil"/>
              <w:bottom w:val="single" w:sz="8" w:space="0" w:color="auto"/>
              <w:right w:val="single" w:sz="8" w:space="0" w:color="auto"/>
            </w:tcBorders>
            <w:vAlign w:val="bottom"/>
            <w:hideMark/>
          </w:tcPr>
          <w:p w14:paraId="4ABAC499"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157</w:t>
            </w:r>
          </w:p>
        </w:tc>
        <w:tc>
          <w:tcPr>
            <w:tcW w:w="909" w:type="dxa"/>
            <w:tcBorders>
              <w:top w:val="nil"/>
              <w:left w:val="nil"/>
              <w:bottom w:val="single" w:sz="8" w:space="0" w:color="auto"/>
              <w:right w:val="single" w:sz="8" w:space="0" w:color="auto"/>
            </w:tcBorders>
            <w:vAlign w:val="bottom"/>
            <w:hideMark/>
          </w:tcPr>
          <w:p w14:paraId="7A14F460"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216</w:t>
            </w:r>
          </w:p>
        </w:tc>
        <w:tc>
          <w:tcPr>
            <w:tcW w:w="1020" w:type="dxa"/>
            <w:tcBorders>
              <w:top w:val="nil"/>
              <w:left w:val="nil"/>
              <w:bottom w:val="single" w:sz="8" w:space="0" w:color="auto"/>
              <w:right w:val="single" w:sz="8" w:space="0" w:color="auto"/>
            </w:tcBorders>
            <w:vAlign w:val="bottom"/>
            <w:hideMark/>
          </w:tcPr>
          <w:p w14:paraId="10EFFC11"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75</w:t>
            </w:r>
          </w:p>
        </w:tc>
        <w:tc>
          <w:tcPr>
            <w:tcW w:w="1185" w:type="dxa"/>
            <w:tcBorders>
              <w:top w:val="nil"/>
              <w:left w:val="nil"/>
              <w:bottom w:val="single" w:sz="8" w:space="0" w:color="auto"/>
              <w:right w:val="single" w:sz="8" w:space="0" w:color="auto"/>
            </w:tcBorders>
            <w:vAlign w:val="bottom"/>
            <w:hideMark/>
          </w:tcPr>
          <w:p w14:paraId="61A5CEF2"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77</w:t>
            </w:r>
          </w:p>
        </w:tc>
        <w:tc>
          <w:tcPr>
            <w:tcW w:w="991" w:type="dxa"/>
            <w:tcBorders>
              <w:top w:val="nil"/>
              <w:left w:val="nil"/>
              <w:bottom w:val="single" w:sz="8" w:space="0" w:color="auto"/>
              <w:right w:val="single" w:sz="8" w:space="0" w:color="auto"/>
            </w:tcBorders>
            <w:vAlign w:val="bottom"/>
            <w:hideMark/>
          </w:tcPr>
          <w:p w14:paraId="310111A7"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192,0</w:t>
            </w:r>
          </w:p>
        </w:tc>
        <w:tc>
          <w:tcPr>
            <w:tcW w:w="1146" w:type="dxa"/>
            <w:tcBorders>
              <w:top w:val="nil"/>
              <w:left w:val="nil"/>
              <w:bottom w:val="single" w:sz="8" w:space="0" w:color="auto"/>
              <w:right w:val="single" w:sz="8" w:space="0" w:color="auto"/>
            </w:tcBorders>
            <w:vAlign w:val="bottom"/>
            <w:hideMark/>
          </w:tcPr>
          <w:p w14:paraId="110EF130"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192,1</w:t>
            </w:r>
          </w:p>
        </w:tc>
      </w:tr>
      <w:tr w:rsidR="00E75780" w:rsidRPr="00E75780" w14:paraId="16507B36" w14:textId="77777777" w:rsidTr="00CA3BA3">
        <w:trPr>
          <w:trHeight w:hRule="exact" w:val="510"/>
          <w:jc w:val="center"/>
        </w:trPr>
        <w:tc>
          <w:tcPr>
            <w:tcW w:w="761" w:type="dxa"/>
            <w:tcBorders>
              <w:top w:val="nil"/>
              <w:left w:val="single" w:sz="8" w:space="0" w:color="auto"/>
              <w:bottom w:val="single" w:sz="8" w:space="0" w:color="auto"/>
              <w:right w:val="single" w:sz="8" w:space="0" w:color="auto"/>
            </w:tcBorders>
            <w:vAlign w:val="bottom"/>
            <w:hideMark/>
          </w:tcPr>
          <w:p w14:paraId="21A4C747" w14:textId="77777777" w:rsidR="00912E95" w:rsidRPr="00E75780" w:rsidRDefault="00912E95" w:rsidP="00E83DAB">
            <w:pPr>
              <w:spacing w:before="240" w:after="120" w:line="240" w:lineRule="auto"/>
              <w:jc w:val="center"/>
              <w:rPr>
                <w:rFonts w:ascii="Century Gothic" w:hAnsi="Century Gothic"/>
                <w:color w:val="000000" w:themeColor="text1"/>
                <w:sz w:val="18"/>
                <w:szCs w:val="18"/>
              </w:rPr>
            </w:pPr>
            <w:r w:rsidRPr="00E75780">
              <w:rPr>
                <w:rFonts w:ascii="Century Gothic" w:hAnsi="Century Gothic"/>
                <w:color w:val="000000" w:themeColor="text1"/>
                <w:sz w:val="18"/>
                <w:szCs w:val="18"/>
              </w:rPr>
              <w:t>7</w:t>
            </w:r>
          </w:p>
        </w:tc>
        <w:tc>
          <w:tcPr>
            <w:tcW w:w="1079" w:type="dxa"/>
            <w:tcBorders>
              <w:top w:val="nil"/>
              <w:left w:val="nil"/>
              <w:bottom w:val="single" w:sz="8" w:space="0" w:color="auto"/>
              <w:right w:val="single" w:sz="8" w:space="0" w:color="auto"/>
            </w:tcBorders>
            <w:vAlign w:val="bottom"/>
            <w:hideMark/>
          </w:tcPr>
          <w:p w14:paraId="497DA27E"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216</w:t>
            </w:r>
          </w:p>
        </w:tc>
        <w:tc>
          <w:tcPr>
            <w:tcW w:w="909" w:type="dxa"/>
            <w:tcBorders>
              <w:top w:val="nil"/>
              <w:left w:val="nil"/>
              <w:bottom w:val="single" w:sz="8" w:space="0" w:color="auto"/>
              <w:right w:val="single" w:sz="8" w:space="0" w:color="auto"/>
            </w:tcBorders>
            <w:vAlign w:val="bottom"/>
            <w:hideMark/>
          </w:tcPr>
          <w:p w14:paraId="73CFA259"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280</w:t>
            </w:r>
          </w:p>
        </w:tc>
        <w:tc>
          <w:tcPr>
            <w:tcW w:w="1020" w:type="dxa"/>
            <w:tcBorders>
              <w:top w:val="nil"/>
              <w:left w:val="nil"/>
              <w:bottom w:val="single" w:sz="8" w:space="0" w:color="auto"/>
              <w:right w:val="single" w:sz="8" w:space="0" w:color="auto"/>
            </w:tcBorders>
            <w:vAlign w:val="bottom"/>
            <w:hideMark/>
          </w:tcPr>
          <w:p w14:paraId="7F9423B8"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75</w:t>
            </w:r>
          </w:p>
        </w:tc>
        <w:tc>
          <w:tcPr>
            <w:tcW w:w="1185" w:type="dxa"/>
            <w:tcBorders>
              <w:top w:val="nil"/>
              <w:left w:val="nil"/>
              <w:bottom w:val="single" w:sz="8" w:space="0" w:color="auto"/>
              <w:right w:val="single" w:sz="8" w:space="0" w:color="auto"/>
            </w:tcBorders>
            <w:vAlign w:val="bottom"/>
            <w:hideMark/>
          </w:tcPr>
          <w:p w14:paraId="712B3F8E"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77</w:t>
            </w:r>
          </w:p>
        </w:tc>
        <w:tc>
          <w:tcPr>
            <w:tcW w:w="991" w:type="dxa"/>
            <w:tcBorders>
              <w:top w:val="nil"/>
              <w:left w:val="nil"/>
              <w:bottom w:val="single" w:sz="8" w:space="0" w:color="auto"/>
              <w:right w:val="single" w:sz="8" w:space="0" w:color="auto"/>
            </w:tcBorders>
            <w:vAlign w:val="bottom"/>
            <w:hideMark/>
          </w:tcPr>
          <w:p w14:paraId="23321237"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245,7</w:t>
            </w:r>
          </w:p>
        </w:tc>
        <w:tc>
          <w:tcPr>
            <w:tcW w:w="1146" w:type="dxa"/>
            <w:tcBorders>
              <w:top w:val="nil"/>
              <w:left w:val="nil"/>
              <w:bottom w:val="single" w:sz="8" w:space="0" w:color="auto"/>
              <w:right w:val="single" w:sz="8" w:space="0" w:color="auto"/>
            </w:tcBorders>
            <w:vAlign w:val="bottom"/>
            <w:hideMark/>
          </w:tcPr>
          <w:p w14:paraId="52F1838C"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245,8</w:t>
            </w:r>
          </w:p>
        </w:tc>
      </w:tr>
      <w:tr w:rsidR="00E75780" w:rsidRPr="00E75780" w14:paraId="296EF88E" w14:textId="77777777" w:rsidTr="00CA3BA3">
        <w:trPr>
          <w:trHeight w:hRule="exact" w:val="510"/>
          <w:jc w:val="center"/>
        </w:trPr>
        <w:tc>
          <w:tcPr>
            <w:tcW w:w="761" w:type="dxa"/>
            <w:tcBorders>
              <w:top w:val="nil"/>
              <w:left w:val="single" w:sz="8" w:space="0" w:color="auto"/>
              <w:bottom w:val="single" w:sz="8" w:space="0" w:color="auto"/>
              <w:right w:val="single" w:sz="8" w:space="0" w:color="auto"/>
            </w:tcBorders>
            <w:vAlign w:val="bottom"/>
            <w:hideMark/>
          </w:tcPr>
          <w:p w14:paraId="289388EE" w14:textId="77777777" w:rsidR="00912E95" w:rsidRPr="00E75780" w:rsidRDefault="00912E95" w:rsidP="00E83DAB">
            <w:pPr>
              <w:spacing w:before="240" w:after="120" w:line="240" w:lineRule="auto"/>
              <w:jc w:val="center"/>
              <w:rPr>
                <w:rFonts w:ascii="Century Gothic" w:hAnsi="Century Gothic"/>
                <w:color w:val="000000" w:themeColor="text1"/>
                <w:sz w:val="18"/>
                <w:szCs w:val="18"/>
              </w:rPr>
            </w:pPr>
            <w:r w:rsidRPr="00E75780">
              <w:rPr>
                <w:rFonts w:ascii="Century Gothic" w:hAnsi="Century Gothic"/>
                <w:color w:val="000000" w:themeColor="text1"/>
                <w:sz w:val="18"/>
                <w:szCs w:val="18"/>
              </w:rPr>
              <w:t>8</w:t>
            </w:r>
          </w:p>
        </w:tc>
        <w:tc>
          <w:tcPr>
            <w:tcW w:w="1079" w:type="dxa"/>
            <w:tcBorders>
              <w:top w:val="nil"/>
              <w:left w:val="nil"/>
              <w:bottom w:val="single" w:sz="8" w:space="0" w:color="auto"/>
              <w:right w:val="single" w:sz="8" w:space="0" w:color="auto"/>
            </w:tcBorders>
            <w:vAlign w:val="bottom"/>
            <w:hideMark/>
          </w:tcPr>
          <w:p w14:paraId="3EF8E2C9"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280</w:t>
            </w:r>
          </w:p>
        </w:tc>
        <w:tc>
          <w:tcPr>
            <w:tcW w:w="909" w:type="dxa"/>
            <w:tcBorders>
              <w:top w:val="nil"/>
              <w:left w:val="nil"/>
              <w:bottom w:val="single" w:sz="8" w:space="0" w:color="auto"/>
              <w:right w:val="single" w:sz="8" w:space="0" w:color="auto"/>
            </w:tcBorders>
            <w:vAlign w:val="bottom"/>
            <w:hideMark/>
          </w:tcPr>
          <w:p w14:paraId="6D210811"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387</w:t>
            </w:r>
          </w:p>
        </w:tc>
        <w:tc>
          <w:tcPr>
            <w:tcW w:w="1020" w:type="dxa"/>
            <w:tcBorders>
              <w:top w:val="nil"/>
              <w:left w:val="nil"/>
              <w:bottom w:val="single" w:sz="8" w:space="0" w:color="auto"/>
              <w:right w:val="single" w:sz="8" w:space="0" w:color="auto"/>
            </w:tcBorders>
            <w:vAlign w:val="bottom"/>
            <w:hideMark/>
          </w:tcPr>
          <w:p w14:paraId="273F6638"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73</w:t>
            </w:r>
          </w:p>
        </w:tc>
        <w:tc>
          <w:tcPr>
            <w:tcW w:w="1185" w:type="dxa"/>
            <w:tcBorders>
              <w:top w:val="nil"/>
              <w:left w:val="nil"/>
              <w:bottom w:val="single" w:sz="8" w:space="0" w:color="auto"/>
              <w:right w:val="single" w:sz="8" w:space="0" w:color="auto"/>
            </w:tcBorders>
            <w:vAlign w:val="bottom"/>
            <w:hideMark/>
          </w:tcPr>
          <w:p w14:paraId="46413781"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78</w:t>
            </w:r>
          </w:p>
        </w:tc>
        <w:tc>
          <w:tcPr>
            <w:tcW w:w="991" w:type="dxa"/>
            <w:tcBorders>
              <w:top w:val="nil"/>
              <w:left w:val="nil"/>
              <w:bottom w:val="single" w:sz="8" w:space="0" w:color="auto"/>
              <w:right w:val="single" w:sz="8" w:space="0" w:color="auto"/>
            </w:tcBorders>
            <w:vAlign w:val="bottom"/>
            <w:hideMark/>
          </w:tcPr>
          <w:p w14:paraId="4EFB1C70"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327,8</w:t>
            </w:r>
          </w:p>
        </w:tc>
        <w:tc>
          <w:tcPr>
            <w:tcW w:w="1146" w:type="dxa"/>
            <w:tcBorders>
              <w:top w:val="nil"/>
              <w:left w:val="nil"/>
              <w:bottom w:val="single" w:sz="8" w:space="0" w:color="auto"/>
              <w:right w:val="single" w:sz="8" w:space="0" w:color="auto"/>
            </w:tcBorders>
            <w:vAlign w:val="bottom"/>
            <w:hideMark/>
          </w:tcPr>
          <w:p w14:paraId="127EE6F5"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328,4</w:t>
            </w:r>
          </w:p>
        </w:tc>
      </w:tr>
      <w:tr w:rsidR="00E75780" w:rsidRPr="00E75780" w14:paraId="6CE3219E" w14:textId="77777777" w:rsidTr="00CA3BA3">
        <w:trPr>
          <w:trHeight w:hRule="exact" w:val="510"/>
          <w:jc w:val="center"/>
        </w:trPr>
        <w:tc>
          <w:tcPr>
            <w:tcW w:w="761" w:type="dxa"/>
            <w:tcBorders>
              <w:top w:val="nil"/>
              <w:left w:val="single" w:sz="8" w:space="0" w:color="auto"/>
              <w:bottom w:val="single" w:sz="8" w:space="0" w:color="auto"/>
              <w:right w:val="single" w:sz="8" w:space="0" w:color="auto"/>
            </w:tcBorders>
            <w:vAlign w:val="bottom"/>
            <w:hideMark/>
          </w:tcPr>
          <w:p w14:paraId="2142383A" w14:textId="77777777" w:rsidR="00912E95" w:rsidRPr="00E75780" w:rsidRDefault="00912E95" w:rsidP="00E83DAB">
            <w:pPr>
              <w:spacing w:before="240" w:after="120" w:line="240" w:lineRule="auto"/>
              <w:jc w:val="center"/>
              <w:rPr>
                <w:rFonts w:ascii="Century Gothic" w:hAnsi="Century Gothic"/>
                <w:color w:val="000000" w:themeColor="text1"/>
                <w:sz w:val="18"/>
                <w:szCs w:val="18"/>
              </w:rPr>
            </w:pPr>
            <w:r w:rsidRPr="00E75780">
              <w:rPr>
                <w:rFonts w:ascii="Century Gothic" w:hAnsi="Century Gothic"/>
                <w:color w:val="000000" w:themeColor="text1"/>
                <w:sz w:val="18"/>
                <w:szCs w:val="18"/>
              </w:rPr>
              <w:t>9</w:t>
            </w:r>
          </w:p>
        </w:tc>
        <w:tc>
          <w:tcPr>
            <w:tcW w:w="1079" w:type="dxa"/>
            <w:tcBorders>
              <w:top w:val="nil"/>
              <w:left w:val="nil"/>
              <w:bottom w:val="single" w:sz="8" w:space="0" w:color="auto"/>
              <w:right w:val="single" w:sz="8" w:space="0" w:color="auto"/>
            </w:tcBorders>
            <w:vAlign w:val="bottom"/>
            <w:hideMark/>
          </w:tcPr>
          <w:p w14:paraId="0473DE58"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387</w:t>
            </w:r>
          </w:p>
        </w:tc>
        <w:tc>
          <w:tcPr>
            <w:tcW w:w="909" w:type="dxa"/>
            <w:tcBorders>
              <w:top w:val="nil"/>
              <w:left w:val="nil"/>
              <w:bottom w:val="single" w:sz="8" w:space="0" w:color="auto"/>
              <w:right w:val="single" w:sz="8" w:space="0" w:color="auto"/>
            </w:tcBorders>
            <w:vAlign w:val="bottom"/>
            <w:hideMark/>
          </w:tcPr>
          <w:p w14:paraId="6C257E34"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629</w:t>
            </w:r>
          </w:p>
        </w:tc>
        <w:tc>
          <w:tcPr>
            <w:tcW w:w="1020" w:type="dxa"/>
            <w:tcBorders>
              <w:top w:val="nil"/>
              <w:left w:val="nil"/>
              <w:bottom w:val="single" w:sz="8" w:space="0" w:color="auto"/>
              <w:right w:val="single" w:sz="8" w:space="0" w:color="auto"/>
            </w:tcBorders>
            <w:vAlign w:val="bottom"/>
            <w:hideMark/>
          </w:tcPr>
          <w:p w14:paraId="75677F7B"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70</w:t>
            </w:r>
          </w:p>
        </w:tc>
        <w:tc>
          <w:tcPr>
            <w:tcW w:w="1185" w:type="dxa"/>
            <w:tcBorders>
              <w:top w:val="nil"/>
              <w:left w:val="nil"/>
              <w:bottom w:val="single" w:sz="8" w:space="0" w:color="auto"/>
              <w:right w:val="single" w:sz="8" w:space="0" w:color="auto"/>
            </w:tcBorders>
            <w:vAlign w:val="bottom"/>
            <w:hideMark/>
          </w:tcPr>
          <w:p w14:paraId="1E9295C9"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81</w:t>
            </w:r>
          </w:p>
        </w:tc>
        <w:tc>
          <w:tcPr>
            <w:tcW w:w="991" w:type="dxa"/>
            <w:tcBorders>
              <w:top w:val="nil"/>
              <w:left w:val="nil"/>
              <w:bottom w:val="single" w:sz="8" w:space="0" w:color="auto"/>
              <w:right w:val="single" w:sz="8" w:space="0" w:color="auto"/>
            </w:tcBorders>
            <w:vAlign w:val="bottom"/>
            <w:hideMark/>
          </w:tcPr>
          <w:p w14:paraId="7888FC7C"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485,3</w:t>
            </w:r>
          </w:p>
        </w:tc>
        <w:tc>
          <w:tcPr>
            <w:tcW w:w="1146" w:type="dxa"/>
            <w:tcBorders>
              <w:top w:val="nil"/>
              <w:left w:val="nil"/>
              <w:bottom w:val="single" w:sz="8" w:space="0" w:color="auto"/>
              <w:right w:val="single" w:sz="8" w:space="0" w:color="auto"/>
            </w:tcBorders>
            <w:vAlign w:val="bottom"/>
            <w:hideMark/>
          </w:tcPr>
          <w:p w14:paraId="3A4B114A"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487,3</w:t>
            </w:r>
          </w:p>
        </w:tc>
      </w:tr>
      <w:tr w:rsidR="00E75780" w:rsidRPr="00E75780" w14:paraId="2F4DBB92" w14:textId="77777777" w:rsidTr="00CA3BA3">
        <w:trPr>
          <w:trHeight w:hRule="exact" w:val="510"/>
          <w:jc w:val="center"/>
        </w:trPr>
        <w:tc>
          <w:tcPr>
            <w:tcW w:w="761" w:type="dxa"/>
            <w:tcBorders>
              <w:top w:val="nil"/>
              <w:left w:val="single" w:sz="8" w:space="0" w:color="auto"/>
              <w:bottom w:val="single" w:sz="8" w:space="0" w:color="auto"/>
              <w:right w:val="single" w:sz="8" w:space="0" w:color="auto"/>
            </w:tcBorders>
            <w:vAlign w:val="bottom"/>
            <w:hideMark/>
          </w:tcPr>
          <w:p w14:paraId="608D8D27" w14:textId="77777777" w:rsidR="00912E95" w:rsidRPr="00E75780" w:rsidRDefault="00912E95" w:rsidP="00E83DAB">
            <w:pPr>
              <w:spacing w:before="240" w:after="120" w:line="240" w:lineRule="auto"/>
              <w:jc w:val="center"/>
              <w:rPr>
                <w:rFonts w:ascii="Century Gothic" w:hAnsi="Century Gothic"/>
                <w:color w:val="000000" w:themeColor="text1"/>
                <w:sz w:val="18"/>
                <w:szCs w:val="18"/>
              </w:rPr>
            </w:pPr>
            <w:r w:rsidRPr="00E75780">
              <w:rPr>
                <w:rFonts w:ascii="Century Gothic" w:hAnsi="Century Gothic"/>
                <w:color w:val="000000" w:themeColor="text1"/>
                <w:sz w:val="18"/>
                <w:szCs w:val="18"/>
              </w:rPr>
              <w:t>10</w:t>
            </w:r>
          </w:p>
        </w:tc>
        <w:tc>
          <w:tcPr>
            <w:tcW w:w="1079" w:type="dxa"/>
            <w:tcBorders>
              <w:top w:val="nil"/>
              <w:left w:val="nil"/>
              <w:bottom w:val="single" w:sz="8" w:space="0" w:color="auto"/>
              <w:right w:val="single" w:sz="8" w:space="0" w:color="auto"/>
            </w:tcBorders>
            <w:vAlign w:val="bottom"/>
            <w:hideMark/>
          </w:tcPr>
          <w:p w14:paraId="316CFA98"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629</w:t>
            </w:r>
          </w:p>
        </w:tc>
        <w:tc>
          <w:tcPr>
            <w:tcW w:w="909" w:type="dxa"/>
            <w:tcBorders>
              <w:top w:val="nil"/>
              <w:left w:val="nil"/>
              <w:bottom w:val="single" w:sz="8" w:space="0" w:color="auto"/>
              <w:right w:val="single" w:sz="8" w:space="0" w:color="auto"/>
            </w:tcBorders>
            <w:vAlign w:val="bottom"/>
            <w:hideMark/>
          </w:tcPr>
          <w:p w14:paraId="3CD66280" w14:textId="77777777" w:rsidR="00912E95" w:rsidRPr="00E75780" w:rsidRDefault="00912E95" w:rsidP="00E83DAB">
            <w:pPr>
              <w:spacing w:before="240" w:after="120" w:line="240" w:lineRule="auto"/>
              <w:rPr>
                <w:rFonts w:ascii="Century Gothic" w:hAnsi="Century Gothic"/>
                <w:color w:val="000000" w:themeColor="text1"/>
                <w:sz w:val="18"/>
                <w:szCs w:val="18"/>
              </w:rPr>
            </w:pPr>
            <w:r w:rsidRPr="00E75780">
              <w:rPr>
                <w:rFonts w:ascii="Century Gothic" w:hAnsi="Century Gothic"/>
                <w:color w:val="000000" w:themeColor="text1"/>
                <w:sz w:val="18"/>
                <w:szCs w:val="18"/>
              </w:rPr>
              <w:t>• • •</w:t>
            </w:r>
          </w:p>
        </w:tc>
        <w:tc>
          <w:tcPr>
            <w:tcW w:w="1020" w:type="dxa"/>
            <w:tcBorders>
              <w:top w:val="nil"/>
              <w:left w:val="nil"/>
              <w:bottom w:val="single" w:sz="8" w:space="0" w:color="auto"/>
              <w:right w:val="single" w:sz="8" w:space="0" w:color="auto"/>
            </w:tcBorders>
            <w:vAlign w:val="bottom"/>
            <w:hideMark/>
          </w:tcPr>
          <w:p w14:paraId="078D94B5"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64</w:t>
            </w:r>
          </w:p>
        </w:tc>
        <w:tc>
          <w:tcPr>
            <w:tcW w:w="1185" w:type="dxa"/>
            <w:tcBorders>
              <w:top w:val="nil"/>
              <w:left w:val="nil"/>
              <w:bottom w:val="single" w:sz="8" w:space="0" w:color="auto"/>
              <w:right w:val="single" w:sz="8" w:space="0" w:color="auto"/>
            </w:tcBorders>
            <w:vAlign w:val="bottom"/>
            <w:hideMark/>
          </w:tcPr>
          <w:p w14:paraId="5D8E8CD0"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88</w:t>
            </w:r>
          </w:p>
        </w:tc>
        <w:tc>
          <w:tcPr>
            <w:tcW w:w="991" w:type="dxa"/>
            <w:tcBorders>
              <w:top w:val="nil"/>
              <w:left w:val="nil"/>
              <w:bottom w:val="single" w:sz="8" w:space="0" w:color="auto"/>
              <w:right w:val="single" w:sz="8" w:space="0" w:color="auto"/>
            </w:tcBorders>
            <w:vAlign w:val="bottom"/>
            <w:hideMark/>
          </w:tcPr>
          <w:p w14:paraId="40BCF615"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1.364,8</w:t>
            </w:r>
          </w:p>
        </w:tc>
        <w:tc>
          <w:tcPr>
            <w:tcW w:w="1146" w:type="dxa"/>
            <w:tcBorders>
              <w:top w:val="nil"/>
              <w:left w:val="nil"/>
              <w:bottom w:val="single" w:sz="8" w:space="0" w:color="auto"/>
              <w:right w:val="single" w:sz="8" w:space="0" w:color="auto"/>
            </w:tcBorders>
            <w:vAlign w:val="bottom"/>
            <w:hideMark/>
          </w:tcPr>
          <w:p w14:paraId="2C395A66"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1.545,5</w:t>
            </w:r>
          </w:p>
        </w:tc>
      </w:tr>
      <w:tr w:rsidR="00E75780" w:rsidRPr="00E75780" w14:paraId="70E0C8FA" w14:textId="77777777" w:rsidTr="00CA3BA3">
        <w:trPr>
          <w:trHeight w:hRule="exact" w:val="510"/>
          <w:jc w:val="center"/>
        </w:trPr>
        <w:tc>
          <w:tcPr>
            <w:tcW w:w="761" w:type="dxa"/>
            <w:tcBorders>
              <w:top w:val="nil"/>
              <w:left w:val="single" w:sz="8" w:space="0" w:color="auto"/>
              <w:bottom w:val="single" w:sz="8" w:space="0" w:color="auto"/>
              <w:right w:val="single" w:sz="8" w:space="0" w:color="auto"/>
            </w:tcBorders>
            <w:vAlign w:val="center"/>
            <w:hideMark/>
          </w:tcPr>
          <w:p w14:paraId="54219293" w14:textId="77777777" w:rsidR="00912E95" w:rsidRPr="00E75780" w:rsidRDefault="00912E95" w:rsidP="00E83DAB">
            <w:pPr>
              <w:spacing w:before="240" w:after="120" w:line="240" w:lineRule="auto"/>
              <w:jc w:val="center"/>
              <w:rPr>
                <w:rFonts w:ascii="Century Gothic" w:hAnsi="Century Gothic"/>
                <w:color w:val="000000" w:themeColor="text1"/>
                <w:sz w:val="18"/>
                <w:szCs w:val="18"/>
              </w:rPr>
            </w:pPr>
            <w:r w:rsidRPr="00E75780">
              <w:rPr>
                <w:rFonts w:ascii="Century Gothic" w:hAnsi="Century Gothic"/>
                <w:color w:val="000000" w:themeColor="text1"/>
                <w:sz w:val="18"/>
                <w:szCs w:val="18"/>
              </w:rPr>
              <w:t>Totales</w:t>
            </w:r>
          </w:p>
        </w:tc>
        <w:tc>
          <w:tcPr>
            <w:tcW w:w="1079" w:type="dxa"/>
            <w:tcBorders>
              <w:top w:val="nil"/>
              <w:left w:val="nil"/>
              <w:bottom w:val="single" w:sz="8" w:space="0" w:color="auto"/>
              <w:right w:val="single" w:sz="8" w:space="0" w:color="auto"/>
            </w:tcBorders>
            <w:hideMark/>
          </w:tcPr>
          <w:p w14:paraId="2700F6A2" w14:textId="77777777" w:rsidR="00912E95" w:rsidRPr="00E75780" w:rsidRDefault="00912E95" w:rsidP="00E83DAB">
            <w:pPr>
              <w:spacing w:before="240" w:after="120" w:line="240" w:lineRule="auto"/>
              <w:rPr>
                <w:rFonts w:ascii="Century Gothic" w:hAnsi="Century Gothic"/>
                <w:color w:val="000000" w:themeColor="text1"/>
                <w:sz w:val="18"/>
                <w:szCs w:val="18"/>
              </w:rPr>
            </w:pPr>
            <w:r w:rsidRPr="00E75780">
              <w:rPr>
                <w:rFonts w:ascii="Century Gothic" w:hAnsi="Century Gothic"/>
                <w:color w:val="000000" w:themeColor="text1"/>
                <w:sz w:val="18"/>
                <w:szCs w:val="18"/>
              </w:rPr>
              <w:t> </w:t>
            </w:r>
          </w:p>
        </w:tc>
        <w:tc>
          <w:tcPr>
            <w:tcW w:w="909" w:type="dxa"/>
            <w:tcBorders>
              <w:top w:val="nil"/>
              <w:left w:val="nil"/>
              <w:bottom w:val="single" w:sz="8" w:space="0" w:color="auto"/>
              <w:right w:val="single" w:sz="8" w:space="0" w:color="auto"/>
            </w:tcBorders>
            <w:hideMark/>
          </w:tcPr>
          <w:p w14:paraId="6B026789" w14:textId="77777777" w:rsidR="00912E95" w:rsidRPr="00E75780" w:rsidRDefault="00912E95" w:rsidP="00E83DAB">
            <w:pPr>
              <w:spacing w:before="240" w:after="120" w:line="240" w:lineRule="auto"/>
              <w:rPr>
                <w:rFonts w:ascii="Century Gothic" w:hAnsi="Century Gothic"/>
                <w:color w:val="000000" w:themeColor="text1"/>
                <w:sz w:val="18"/>
                <w:szCs w:val="18"/>
              </w:rPr>
            </w:pPr>
            <w:r w:rsidRPr="00E75780">
              <w:rPr>
                <w:rFonts w:ascii="Century Gothic" w:hAnsi="Century Gothic"/>
                <w:color w:val="000000" w:themeColor="text1"/>
                <w:sz w:val="18"/>
                <w:szCs w:val="18"/>
              </w:rPr>
              <w:t> </w:t>
            </w:r>
          </w:p>
        </w:tc>
        <w:tc>
          <w:tcPr>
            <w:tcW w:w="1020" w:type="dxa"/>
            <w:tcBorders>
              <w:top w:val="nil"/>
              <w:left w:val="nil"/>
              <w:bottom w:val="single" w:sz="8" w:space="0" w:color="auto"/>
              <w:right w:val="single" w:sz="8" w:space="0" w:color="auto"/>
            </w:tcBorders>
            <w:vAlign w:val="center"/>
            <w:hideMark/>
          </w:tcPr>
          <w:p w14:paraId="564AE5EF"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691</w:t>
            </w:r>
          </w:p>
        </w:tc>
        <w:tc>
          <w:tcPr>
            <w:tcW w:w="1185" w:type="dxa"/>
            <w:tcBorders>
              <w:top w:val="nil"/>
              <w:left w:val="nil"/>
              <w:bottom w:val="single" w:sz="8" w:space="0" w:color="auto"/>
              <w:right w:val="single" w:sz="8" w:space="0" w:color="auto"/>
            </w:tcBorders>
            <w:vAlign w:val="center"/>
            <w:hideMark/>
          </w:tcPr>
          <w:p w14:paraId="1263E2B6" w14:textId="77777777" w:rsidR="00912E95" w:rsidRPr="00E75780" w:rsidRDefault="00912E95" w:rsidP="00E83DAB">
            <w:pPr>
              <w:spacing w:before="240" w:after="120" w:line="240" w:lineRule="auto"/>
              <w:jc w:val="right"/>
              <w:rPr>
                <w:rFonts w:ascii="Century Gothic" w:hAnsi="Century Gothic"/>
                <w:color w:val="000000" w:themeColor="text1"/>
                <w:sz w:val="18"/>
                <w:szCs w:val="18"/>
              </w:rPr>
            </w:pPr>
            <w:r w:rsidRPr="00E75780">
              <w:rPr>
                <w:rFonts w:ascii="Century Gothic" w:hAnsi="Century Gothic"/>
                <w:color w:val="000000" w:themeColor="text1"/>
                <w:sz w:val="18"/>
                <w:szCs w:val="18"/>
              </w:rPr>
              <w:t>822</w:t>
            </w:r>
          </w:p>
        </w:tc>
        <w:tc>
          <w:tcPr>
            <w:tcW w:w="991" w:type="dxa"/>
            <w:tcBorders>
              <w:top w:val="nil"/>
              <w:left w:val="nil"/>
              <w:bottom w:val="single" w:sz="8" w:space="0" w:color="auto"/>
              <w:right w:val="single" w:sz="8" w:space="0" w:color="auto"/>
            </w:tcBorders>
            <w:hideMark/>
          </w:tcPr>
          <w:p w14:paraId="1CFD0E47" w14:textId="77777777" w:rsidR="00912E95" w:rsidRPr="00E75780" w:rsidRDefault="00912E95" w:rsidP="00E83DAB">
            <w:pPr>
              <w:spacing w:before="240" w:after="120" w:line="240" w:lineRule="auto"/>
              <w:rPr>
                <w:rFonts w:ascii="Century Gothic" w:hAnsi="Century Gothic"/>
                <w:color w:val="000000" w:themeColor="text1"/>
                <w:sz w:val="18"/>
                <w:szCs w:val="18"/>
              </w:rPr>
            </w:pPr>
            <w:r w:rsidRPr="00E75780">
              <w:rPr>
                <w:rFonts w:ascii="Century Gothic" w:hAnsi="Century Gothic"/>
                <w:color w:val="000000" w:themeColor="text1"/>
                <w:sz w:val="18"/>
                <w:szCs w:val="18"/>
              </w:rPr>
              <w:t> </w:t>
            </w:r>
          </w:p>
        </w:tc>
        <w:tc>
          <w:tcPr>
            <w:tcW w:w="1146" w:type="dxa"/>
            <w:tcBorders>
              <w:top w:val="nil"/>
              <w:left w:val="nil"/>
              <w:bottom w:val="single" w:sz="8" w:space="0" w:color="auto"/>
              <w:right w:val="single" w:sz="8" w:space="0" w:color="auto"/>
            </w:tcBorders>
            <w:hideMark/>
          </w:tcPr>
          <w:p w14:paraId="33196913" w14:textId="77777777" w:rsidR="00912E95" w:rsidRPr="00E75780" w:rsidRDefault="00912E95" w:rsidP="00E83DAB">
            <w:pPr>
              <w:spacing w:before="240" w:after="120" w:line="240" w:lineRule="auto"/>
              <w:rPr>
                <w:rFonts w:ascii="Century Gothic" w:hAnsi="Century Gothic"/>
                <w:color w:val="000000" w:themeColor="text1"/>
                <w:sz w:val="18"/>
                <w:szCs w:val="18"/>
              </w:rPr>
            </w:pPr>
            <w:r w:rsidRPr="00E75780">
              <w:rPr>
                <w:rFonts w:ascii="Century Gothic" w:hAnsi="Century Gothic"/>
                <w:color w:val="000000" w:themeColor="text1"/>
                <w:sz w:val="18"/>
                <w:szCs w:val="18"/>
              </w:rPr>
              <w:t> </w:t>
            </w:r>
          </w:p>
        </w:tc>
      </w:tr>
    </w:tbl>
    <w:p w14:paraId="4637BAAB" w14:textId="77777777" w:rsidR="00912E95" w:rsidRPr="00E75780" w:rsidRDefault="00912E95" w:rsidP="00E83DAB">
      <w:pPr>
        <w:spacing w:before="240" w:after="120"/>
        <w:jc w:val="center"/>
        <w:rPr>
          <w:rFonts w:ascii="Century Gothic" w:hAnsi="Century Gothic"/>
          <w:color w:val="000000" w:themeColor="text1"/>
          <w:sz w:val="20"/>
          <w:szCs w:val="20"/>
        </w:rPr>
      </w:pPr>
      <w:r w:rsidRPr="00E75780">
        <w:rPr>
          <w:rFonts w:ascii="Century Gothic" w:hAnsi="Century Gothic"/>
          <w:noProof/>
          <w:color w:val="000000" w:themeColor="text1"/>
          <w:sz w:val="18"/>
          <w:szCs w:val="18"/>
        </w:rPr>
        <w:t>Fuente:</w:t>
      </w:r>
      <w:r w:rsidRPr="00E75780">
        <w:rPr>
          <w:rFonts w:ascii="Century Gothic" w:hAnsi="Century Gothic"/>
          <w:color w:val="000000" w:themeColor="text1"/>
          <w:sz w:val="20"/>
          <w:szCs w:val="20"/>
        </w:rPr>
        <w:t xml:space="preserve"> </w:t>
      </w:r>
      <w:r w:rsidRPr="00E75780">
        <w:rPr>
          <w:rFonts w:ascii="Century Gothic" w:hAnsi="Century Gothic"/>
          <w:noProof/>
          <w:color w:val="000000" w:themeColor="text1"/>
          <w:sz w:val="18"/>
          <w:szCs w:val="18"/>
        </w:rPr>
        <w:t>Elaboración propia con base en</w:t>
      </w:r>
      <w:r w:rsidRPr="00E75780">
        <w:rPr>
          <w:rFonts w:ascii="Century Gothic" w:hAnsi="Century Gothic"/>
          <w:color w:val="000000" w:themeColor="text1"/>
          <w:sz w:val="20"/>
          <w:szCs w:val="20"/>
        </w:rPr>
        <w:t xml:space="preserve"> </w:t>
      </w:r>
      <w:r w:rsidRPr="00E75780">
        <w:rPr>
          <w:rFonts w:ascii="Century Gothic" w:hAnsi="Century Gothic"/>
          <w:noProof/>
          <w:color w:val="000000" w:themeColor="text1"/>
          <w:sz w:val="18"/>
          <w:szCs w:val="18"/>
        </w:rPr>
        <w:t>datos de la  DIAN (2016)</w:t>
      </w:r>
    </w:p>
    <w:p w14:paraId="63010A4F" w14:textId="167007D7" w:rsidR="00912E95" w:rsidRPr="00E75780" w:rsidRDefault="008D3A8D" w:rsidP="00E83DAB">
      <w:pPr>
        <w:spacing w:before="240" w:after="120"/>
        <w:jc w:val="both"/>
        <w:rPr>
          <w:rFonts w:ascii="Century Gothic" w:hAnsi="Century Gothic"/>
          <w:color w:val="000000" w:themeColor="text1"/>
        </w:rPr>
      </w:pPr>
      <w:r>
        <w:rPr>
          <w:rFonts w:ascii="Century Gothic" w:hAnsi="Century Gothic"/>
          <w:color w:val="000000" w:themeColor="text1"/>
        </w:rPr>
        <w:t>De acuerdo con los datos de la tabla 5</w:t>
      </w:r>
      <w:r w:rsidR="00912E95" w:rsidRPr="00E75780">
        <w:rPr>
          <w:rFonts w:ascii="Century Gothic" w:hAnsi="Century Gothic"/>
          <w:color w:val="000000" w:themeColor="text1"/>
        </w:rPr>
        <w:t xml:space="preserve"> se puede </w:t>
      </w:r>
      <w:r>
        <w:rPr>
          <w:rFonts w:ascii="Century Gothic" w:hAnsi="Century Gothic"/>
          <w:color w:val="000000" w:themeColor="text1"/>
        </w:rPr>
        <w:t>apreciar</w:t>
      </w:r>
      <w:r w:rsidR="00912E95" w:rsidRPr="00E75780">
        <w:rPr>
          <w:rFonts w:ascii="Century Gothic" w:hAnsi="Century Gothic"/>
          <w:color w:val="000000" w:themeColor="text1"/>
        </w:rPr>
        <w:t xml:space="preserve">, por ejemplo, que las personas naturales con mayor riqueza reportada ante la administración tributaria se reúnen en el decil 10 de la distribución del patrimonio líquido. En este decil, las declarantes mujeres representan un 42% del total de declarantes de renta y </w:t>
      </w:r>
      <w:r>
        <w:rPr>
          <w:rFonts w:ascii="Century Gothic" w:hAnsi="Century Gothic"/>
          <w:color w:val="000000" w:themeColor="text1"/>
        </w:rPr>
        <w:t>la media de su patrimonio</w:t>
      </w:r>
      <w:r w:rsidR="00912E95" w:rsidRPr="00E75780">
        <w:rPr>
          <w:rFonts w:ascii="Century Gothic" w:hAnsi="Century Gothic"/>
          <w:color w:val="000000" w:themeColor="text1"/>
        </w:rPr>
        <w:t xml:space="preserve"> es de $1.365 millones</w:t>
      </w:r>
      <w:r>
        <w:rPr>
          <w:rFonts w:ascii="Century Gothic" w:hAnsi="Century Gothic"/>
          <w:color w:val="000000" w:themeColor="text1"/>
        </w:rPr>
        <w:t>. E</w:t>
      </w:r>
      <w:r w:rsidR="00912E95" w:rsidRPr="00E75780">
        <w:rPr>
          <w:rFonts w:ascii="Century Gothic" w:hAnsi="Century Gothic"/>
          <w:color w:val="000000" w:themeColor="text1"/>
        </w:rPr>
        <w:t xml:space="preserve">sto equivalen al 88% de la riqueza promedio de los hombres en la misma agrupación. </w:t>
      </w:r>
    </w:p>
    <w:p w14:paraId="2886EFCF" w14:textId="4C6FFFD1" w:rsidR="00912E95" w:rsidRPr="00E75780" w:rsidRDefault="007E6335" w:rsidP="00E83DAB">
      <w:pPr>
        <w:spacing w:before="240" w:after="120"/>
        <w:jc w:val="both"/>
        <w:rPr>
          <w:rFonts w:ascii="Century Gothic" w:hAnsi="Century Gothic"/>
          <w:color w:val="000000" w:themeColor="text1"/>
        </w:rPr>
      </w:pPr>
      <w:r w:rsidRPr="002811BA">
        <w:rPr>
          <w:rFonts w:ascii="Century Gothic" w:hAnsi="Century Gothic"/>
          <w:color w:val="000000" w:themeColor="text1"/>
        </w:rPr>
        <w:t>Toda esta información</w:t>
      </w:r>
      <w:r w:rsidR="00912E95" w:rsidRPr="002811BA">
        <w:rPr>
          <w:rFonts w:ascii="Century Gothic" w:hAnsi="Century Gothic"/>
          <w:color w:val="000000" w:themeColor="text1"/>
        </w:rPr>
        <w:t xml:space="preserve"> evidencia que política fiscal no solo debe cerrar brechas en materia de desigualdad económica</w:t>
      </w:r>
      <w:r w:rsidR="00585D06" w:rsidRPr="002811BA">
        <w:rPr>
          <w:rFonts w:ascii="Century Gothic" w:hAnsi="Century Gothic"/>
          <w:color w:val="000000" w:themeColor="text1"/>
        </w:rPr>
        <w:t xml:space="preserve"> en </w:t>
      </w:r>
      <w:r w:rsidR="00E400EA" w:rsidRPr="002811BA">
        <w:rPr>
          <w:rFonts w:ascii="Century Gothic" w:hAnsi="Century Gothic"/>
          <w:color w:val="000000" w:themeColor="text1"/>
        </w:rPr>
        <w:t>general, sino</w:t>
      </w:r>
      <w:r w:rsidR="00912E95" w:rsidRPr="002811BA">
        <w:rPr>
          <w:rFonts w:ascii="Century Gothic" w:hAnsi="Century Gothic"/>
          <w:color w:val="000000" w:themeColor="text1"/>
        </w:rPr>
        <w:t xml:space="preserve"> que también debe atacar </w:t>
      </w:r>
      <w:r w:rsidR="00585D06" w:rsidRPr="002811BA">
        <w:rPr>
          <w:rFonts w:ascii="Century Gothic" w:hAnsi="Century Gothic"/>
          <w:color w:val="000000" w:themeColor="text1"/>
        </w:rPr>
        <w:t xml:space="preserve">de forma puntual </w:t>
      </w:r>
      <w:r w:rsidR="00912E95" w:rsidRPr="002811BA">
        <w:rPr>
          <w:rFonts w:ascii="Century Gothic" w:hAnsi="Century Gothic"/>
          <w:color w:val="000000" w:themeColor="text1"/>
        </w:rPr>
        <w:t xml:space="preserve">la </w:t>
      </w:r>
      <w:r w:rsidR="002D471E" w:rsidRPr="002811BA">
        <w:rPr>
          <w:rFonts w:ascii="Century Gothic" w:hAnsi="Century Gothic"/>
          <w:color w:val="000000" w:themeColor="text1"/>
        </w:rPr>
        <w:t>inequidad de género</w:t>
      </w:r>
      <w:r w:rsidR="00912E95" w:rsidRPr="002811BA">
        <w:rPr>
          <w:rFonts w:ascii="Century Gothic" w:hAnsi="Century Gothic"/>
          <w:color w:val="000000" w:themeColor="text1"/>
        </w:rPr>
        <w:t>. Esta información se podría tener año a año en el país con la implementación de una casilla género</w:t>
      </w:r>
      <w:r w:rsidR="00585D06" w:rsidRPr="002811BA">
        <w:rPr>
          <w:rFonts w:ascii="Century Gothic" w:hAnsi="Century Gothic"/>
          <w:color w:val="000000" w:themeColor="text1"/>
        </w:rPr>
        <w:t>,</w:t>
      </w:r>
      <w:r w:rsidR="00912E95" w:rsidRPr="002811BA">
        <w:rPr>
          <w:rFonts w:ascii="Century Gothic" w:hAnsi="Century Gothic"/>
          <w:color w:val="000000" w:themeColor="text1"/>
        </w:rPr>
        <w:t xml:space="preserve"> lo que permitiría información confiable para los hacedores de política pública.</w:t>
      </w:r>
      <w:r w:rsidR="00912E95" w:rsidRPr="00E75780">
        <w:rPr>
          <w:rFonts w:ascii="Century Gothic" w:hAnsi="Century Gothic"/>
          <w:color w:val="000000" w:themeColor="text1"/>
        </w:rPr>
        <w:t xml:space="preserve"> </w:t>
      </w:r>
    </w:p>
    <w:p w14:paraId="28B3A285" w14:textId="5B4DF43F" w:rsidR="00594BE6" w:rsidRDefault="00594BE6" w:rsidP="002D471E">
      <w:pPr>
        <w:spacing w:before="240" w:after="120"/>
        <w:jc w:val="both"/>
        <w:outlineLvl w:val="0"/>
        <w:rPr>
          <w:rFonts w:ascii="Century Gothic" w:hAnsi="Century Gothic"/>
          <w:b/>
          <w:color w:val="000000" w:themeColor="text1"/>
        </w:rPr>
      </w:pPr>
      <w:r>
        <w:rPr>
          <w:rFonts w:ascii="Century Gothic" w:hAnsi="Century Gothic"/>
          <w:b/>
          <w:color w:val="000000" w:themeColor="text1"/>
        </w:rPr>
        <w:t>Propuesta del proyecto</w:t>
      </w:r>
    </w:p>
    <w:p w14:paraId="451BEC88" w14:textId="4AF6E674" w:rsidR="00594BE6" w:rsidRDefault="00594BE6" w:rsidP="00594BE6">
      <w:pPr>
        <w:spacing w:before="240" w:after="120"/>
        <w:jc w:val="both"/>
        <w:rPr>
          <w:rFonts w:ascii="Century Gothic" w:hAnsi="Century Gothic"/>
          <w:color w:val="000000" w:themeColor="text1"/>
        </w:rPr>
      </w:pPr>
      <w:r w:rsidRPr="00E75780">
        <w:rPr>
          <w:rFonts w:ascii="Century Gothic" w:hAnsi="Century Gothic"/>
          <w:color w:val="000000" w:themeColor="text1"/>
        </w:rPr>
        <w:t>La brecha de información (con respecto al género)</w:t>
      </w:r>
      <w:r w:rsidR="00033998">
        <w:rPr>
          <w:rFonts w:ascii="Century Gothic" w:hAnsi="Century Gothic"/>
          <w:color w:val="000000" w:themeColor="text1"/>
        </w:rPr>
        <w:t xml:space="preserve"> está presente en </w:t>
      </w:r>
      <w:r w:rsidRPr="00E75780">
        <w:rPr>
          <w:rFonts w:ascii="Century Gothic" w:hAnsi="Century Gothic"/>
          <w:color w:val="000000" w:themeColor="text1"/>
        </w:rPr>
        <w:t xml:space="preserve">Colombia </w:t>
      </w:r>
      <w:r w:rsidR="00033998">
        <w:rPr>
          <w:rFonts w:ascii="Century Gothic" w:hAnsi="Century Gothic"/>
          <w:color w:val="000000" w:themeColor="text1"/>
        </w:rPr>
        <w:t xml:space="preserve">y </w:t>
      </w:r>
      <w:r w:rsidR="00033998" w:rsidRPr="00E75780">
        <w:rPr>
          <w:rFonts w:ascii="Century Gothic" w:hAnsi="Century Gothic"/>
          <w:color w:val="000000" w:themeColor="text1"/>
        </w:rPr>
        <w:t>en</w:t>
      </w:r>
      <w:r w:rsidRPr="00E75780">
        <w:rPr>
          <w:rFonts w:ascii="Century Gothic" w:hAnsi="Century Gothic"/>
          <w:color w:val="000000" w:themeColor="text1"/>
        </w:rPr>
        <w:t xml:space="preserve"> toda Latinoamérica.</w:t>
      </w:r>
      <w:r w:rsidR="00033998">
        <w:rPr>
          <w:rFonts w:ascii="Century Gothic" w:hAnsi="Century Gothic"/>
          <w:color w:val="000000" w:themeColor="text1"/>
        </w:rPr>
        <w:t xml:space="preserve"> Por ello,</w:t>
      </w:r>
      <w:r w:rsidRPr="00E75780">
        <w:rPr>
          <w:rFonts w:ascii="Century Gothic" w:hAnsi="Century Gothic"/>
          <w:color w:val="000000" w:themeColor="text1"/>
        </w:rPr>
        <w:t xml:space="preserve"> es preciso aprovechar las herramientas tecnológicas </w:t>
      </w:r>
      <w:r w:rsidR="00033998">
        <w:rPr>
          <w:rFonts w:ascii="Century Gothic" w:hAnsi="Century Gothic"/>
          <w:color w:val="000000" w:themeColor="text1"/>
        </w:rPr>
        <w:t>existentes</w:t>
      </w:r>
      <w:r w:rsidRPr="00E75780">
        <w:rPr>
          <w:rFonts w:ascii="Century Gothic" w:hAnsi="Century Gothic"/>
          <w:color w:val="000000" w:themeColor="text1"/>
        </w:rPr>
        <w:t xml:space="preserve"> para la recolección de información de forma </w:t>
      </w:r>
      <w:r w:rsidR="00033998">
        <w:rPr>
          <w:rFonts w:ascii="Century Gothic" w:hAnsi="Century Gothic"/>
          <w:color w:val="000000" w:themeColor="text1"/>
        </w:rPr>
        <w:t>efectiva</w:t>
      </w:r>
      <w:r w:rsidRPr="00E75780">
        <w:rPr>
          <w:rFonts w:ascii="Century Gothic" w:hAnsi="Century Gothic"/>
          <w:color w:val="000000" w:themeColor="text1"/>
        </w:rPr>
        <w:t xml:space="preserve"> y a bajo costo. </w:t>
      </w:r>
    </w:p>
    <w:p w14:paraId="4355F697" w14:textId="790359CC" w:rsidR="00912E95" w:rsidRPr="00E75780" w:rsidRDefault="00577459" w:rsidP="00E83DAB">
      <w:pPr>
        <w:spacing w:before="240" w:after="120"/>
        <w:jc w:val="both"/>
        <w:rPr>
          <w:rFonts w:ascii="Century Gothic" w:hAnsi="Century Gothic"/>
          <w:color w:val="000000" w:themeColor="text1"/>
        </w:rPr>
      </w:pPr>
      <w:r w:rsidRPr="002811BA">
        <w:rPr>
          <w:rFonts w:ascii="Century Gothic" w:hAnsi="Century Gothic"/>
          <w:color w:val="000000" w:themeColor="text1"/>
        </w:rPr>
        <w:t>Es por esto que se plantea en el presente proyecto de ley</w:t>
      </w:r>
      <w:r w:rsidR="00594BE6" w:rsidRPr="002811BA">
        <w:rPr>
          <w:rFonts w:ascii="Century Gothic" w:hAnsi="Century Gothic"/>
          <w:color w:val="000000" w:themeColor="text1"/>
        </w:rPr>
        <w:t xml:space="preserve"> que en el documento de declaración de renta de </w:t>
      </w:r>
      <w:r w:rsidRPr="002811BA">
        <w:rPr>
          <w:rFonts w:ascii="Century Gothic" w:hAnsi="Century Gothic"/>
          <w:color w:val="000000" w:themeColor="text1"/>
        </w:rPr>
        <w:t xml:space="preserve">las </w:t>
      </w:r>
      <w:r w:rsidR="00594BE6" w:rsidRPr="002811BA">
        <w:rPr>
          <w:rFonts w:ascii="Century Gothic" w:hAnsi="Century Gothic"/>
          <w:color w:val="000000" w:themeColor="text1"/>
        </w:rPr>
        <w:t>personas naturales exista una</w:t>
      </w:r>
      <w:r w:rsidR="00912E95" w:rsidRPr="002811BA">
        <w:rPr>
          <w:rFonts w:ascii="Century Gothic" w:hAnsi="Century Gothic"/>
          <w:color w:val="000000" w:themeColor="text1"/>
        </w:rPr>
        <w:t xml:space="preserve"> casilla donde las personas indiquen el género según el cual se identifican (femenino, masculino u otro)</w:t>
      </w:r>
      <w:r w:rsidR="00594BE6" w:rsidRPr="002811BA">
        <w:rPr>
          <w:rFonts w:ascii="Century Gothic" w:hAnsi="Century Gothic"/>
          <w:color w:val="000000" w:themeColor="text1"/>
        </w:rPr>
        <w:t>. Esto con el fin de recoger información estadística en materia tributaria que permita disgregar el género de quienes declaran renta.</w:t>
      </w:r>
      <w:r w:rsidR="00594BE6">
        <w:rPr>
          <w:rFonts w:ascii="Century Gothic" w:hAnsi="Century Gothic"/>
          <w:color w:val="000000" w:themeColor="text1"/>
        </w:rPr>
        <w:t xml:space="preserve"> </w:t>
      </w:r>
      <w:r w:rsidR="00E83DAB" w:rsidRPr="00E75780">
        <w:rPr>
          <w:rFonts w:ascii="Century Gothic" w:hAnsi="Century Gothic"/>
          <w:color w:val="000000" w:themeColor="text1"/>
        </w:rPr>
        <w:t xml:space="preserve"> </w:t>
      </w:r>
      <w:r w:rsidR="00912E95" w:rsidRPr="00E75780">
        <w:rPr>
          <w:rFonts w:ascii="Century Gothic" w:hAnsi="Century Gothic"/>
          <w:color w:val="000000" w:themeColor="text1"/>
        </w:rPr>
        <w:t xml:space="preserve"> </w:t>
      </w:r>
    </w:p>
    <w:p w14:paraId="6E551A95" w14:textId="77777777" w:rsidR="00912E95" w:rsidRPr="00E75780" w:rsidRDefault="00912E95" w:rsidP="002D471E">
      <w:pPr>
        <w:spacing w:before="240" w:after="120"/>
        <w:jc w:val="both"/>
        <w:outlineLvl w:val="0"/>
        <w:rPr>
          <w:rFonts w:ascii="Century Gothic" w:hAnsi="Century Gothic"/>
          <w:b/>
          <w:color w:val="000000" w:themeColor="text1"/>
        </w:rPr>
      </w:pPr>
      <w:r w:rsidRPr="00E75780">
        <w:rPr>
          <w:rFonts w:ascii="Century Gothic" w:hAnsi="Century Gothic"/>
          <w:b/>
          <w:color w:val="000000" w:themeColor="text1"/>
        </w:rPr>
        <w:t>Costo de la medida</w:t>
      </w:r>
    </w:p>
    <w:p w14:paraId="54E63133" w14:textId="11287947" w:rsidR="00577459" w:rsidRDefault="00912E95" w:rsidP="00E83DAB">
      <w:pPr>
        <w:spacing w:before="240" w:after="120"/>
        <w:jc w:val="both"/>
        <w:rPr>
          <w:rFonts w:ascii="Century Gothic" w:hAnsi="Century Gothic"/>
          <w:color w:val="000000" w:themeColor="text1"/>
        </w:rPr>
      </w:pPr>
      <w:r w:rsidRPr="00E75780">
        <w:rPr>
          <w:rFonts w:ascii="Century Gothic" w:hAnsi="Century Gothic"/>
          <w:color w:val="000000" w:themeColor="text1"/>
        </w:rPr>
        <w:t>Esta medida empezaría a regir en la vigencia fiscal inmediatamente siguiente a la fecha de aprobación del proyecto de ley. Es</w:t>
      </w:r>
      <w:r w:rsidR="00033998">
        <w:rPr>
          <w:rFonts w:ascii="Century Gothic" w:hAnsi="Century Gothic"/>
          <w:color w:val="000000" w:themeColor="text1"/>
        </w:rPr>
        <w:t xml:space="preserve">to no daría lugar a </w:t>
      </w:r>
      <w:r w:rsidRPr="00E75780">
        <w:rPr>
          <w:rFonts w:ascii="Century Gothic" w:hAnsi="Century Gothic"/>
          <w:color w:val="000000" w:themeColor="text1"/>
        </w:rPr>
        <w:t>ningún gasto adicional para el Estado</w:t>
      </w:r>
      <w:r w:rsidR="00033998">
        <w:rPr>
          <w:rFonts w:ascii="Century Gothic" w:hAnsi="Century Gothic"/>
          <w:color w:val="000000" w:themeColor="text1"/>
        </w:rPr>
        <w:t>,</w:t>
      </w:r>
      <w:r w:rsidRPr="00E75780">
        <w:rPr>
          <w:rFonts w:ascii="Century Gothic" w:hAnsi="Century Gothic"/>
          <w:color w:val="000000" w:themeColor="text1"/>
        </w:rPr>
        <w:t xml:space="preserve"> por lo que no se requiere ningún tipo de aprobación</w:t>
      </w:r>
      <w:r w:rsidR="00594BE6">
        <w:rPr>
          <w:rFonts w:ascii="Century Gothic" w:hAnsi="Century Gothic"/>
          <w:color w:val="000000" w:themeColor="text1"/>
        </w:rPr>
        <w:t xml:space="preserve"> fiscal por parte</w:t>
      </w:r>
      <w:r w:rsidRPr="00E75780">
        <w:rPr>
          <w:rFonts w:ascii="Century Gothic" w:hAnsi="Century Gothic"/>
          <w:color w:val="000000" w:themeColor="text1"/>
        </w:rPr>
        <w:t xml:space="preserve"> del Ministerio de Hacienda </w:t>
      </w:r>
      <w:r w:rsidR="00E400EA" w:rsidRPr="00E75780">
        <w:rPr>
          <w:rFonts w:ascii="Century Gothic" w:hAnsi="Century Gothic"/>
          <w:color w:val="000000" w:themeColor="text1"/>
        </w:rPr>
        <w:t xml:space="preserve">y </w:t>
      </w:r>
      <w:r w:rsidRPr="00E75780">
        <w:rPr>
          <w:rFonts w:ascii="Century Gothic" w:hAnsi="Century Gothic"/>
          <w:color w:val="000000" w:themeColor="text1"/>
        </w:rPr>
        <w:t xml:space="preserve">Crédito Público. </w:t>
      </w:r>
    </w:p>
    <w:p w14:paraId="75898DD4" w14:textId="77777777" w:rsidR="00E83DAB" w:rsidRPr="00E75780" w:rsidRDefault="00E83DAB" w:rsidP="00912E95">
      <w:pPr>
        <w:jc w:val="both"/>
        <w:rPr>
          <w:rFonts w:ascii="Century Gothic" w:hAnsi="Century Gothic"/>
          <w:color w:val="000000" w:themeColor="text1"/>
        </w:rPr>
      </w:pPr>
    </w:p>
    <w:p w14:paraId="6650CAE3" w14:textId="22818E42" w:rsidR="00912E95" w:rsidRPr="00E75780" w:rsidRDefault="00912E95" w:rsidP="002D471E">
      <w:pPr>
        <w:jc w:val="center"/>
        <w:outlineLvl w:val="0"/>
        <w:rPr>
          <w:rFonts w:ascii="Century Gothic" w:hAnsi="Century Gothic"/>
          <w:b/>
          <w:color w:val="000000" w:themeColor="text1"/>
        </w:rPr>
      </w:pPr>
      <w:r w:rsidRPr="00E75780">
        <w:rPr>
          <w:rFonts w:ascii="Century Gothic" w:hAnsi="Century Gothic"/>
          <w:b/>
          <w:color w:val="000000" w:themeColor="text1"/>
        </w:rPr>
        <w:t>Referencias</w:t>
      </w:r>
    </w:p>
    <w:p w14:paraId="216C3560" w14:textId="51F34A4D" w:rsidR="00E83DAB" w:rsidRPr="00E75780" w:rsidRDefault="00E83DAB" w:rsidP="00E83DAB">
      <w:pPr>
        <w:pStyle w:val="Bibliografa"/>
        <w:ind w:left="720" w:hanging="720"/>
        <w:rPr>
          <w:rFonts w:ascii="Century Gothic" w:hAnsi="Century Gothic"/>
          <w:noProof/>
          <w:color w:val="000000" w:themeColor="text1"/>
        </w:rPr>
      </w:pPr>
      <w:r w:rsidRPr="00E75780">
        <w:rPr>
          <w:rFonts w:ascii="Century Gothic" w:hAnsi="Century Gothic"/>
          <w:noProof/>
          <w:color w:val="000000" w:themeColor="text1"/>
        </w:rPr>
        <w:t xml:space="preserve">Alméras, D. (2011). </w:t>
      </w:r>
      <w:r w:rsidRPr="00E75780">
        <w:rPr>
          <w:rFonts w:ascii="Century Gothic" w:hAnsi="Century Gothic"/>
          <w:i/>
          <w:iCs/>
          <w:noProof/>
          <w:color w:val="000000" w:themeColor="text1"/>
        </w:rPr>
        <w:t>Importancia de la perspectiva de género en los sistemas de estadísticas.</w:t>
      </w:r>
      <w:r w:rsidRPr="00E75780">
        <w:rPr>
          <w:rFonts w:ascii="Century Gothic" w:hAnsi="Century Gothic"/>
          <w:noProof/>
          <w:color w:val="000000" w:themeColor="text1"/>
        </w:rPr>
        <w:t xml:space="preserve"> Antigua Guatemala: Oficial de Asuntos Sociales, División de Asuntos de Género CEPAL.</w:t>
      </w:r>
    </w:p>
    <w:p w14:paraId="721833AB" w14:textId="676ED19C" w:rsidR="00912E95" w:rsidRPr="00E75780" w:rsidRDefault="00912E95" w:rsidP="00E83DAB">
      <w:pPr>
        <w:pStyle w:val="Bibliografa"/>
        <w:ind w:left="720" w:hanging="720"/>
        <w:rPr>
          <w:rFonts w:ascii="Century Gothic" w:hAnsi="Century Gothic"/>
          <w:noProof/>
          <w:color w:val="000000" w:themeColor="text1"/>
        </w:rPr>
      </w:pPr>
      <w:r w:rsidRPr="00E75780">
        <w:rPr>
          <w:rFonts w:ascii="Century Gothic" w:hAnsi="Century Gothic"/>
          <w:noProof/>
          <w:color w:val="000000" w:themeColor="text1"/>
        </w:rPr>
        <w:t>Arenas Saavedra, A. I. (2018). Política tributaria y sesgos de género: aproximaciones al caso colombiano. Friedrich Ebert Stiftung.</w:t>
      </w:r>
    </w:p>
    <w:p w14:paraId="0B781AE0" w14:textId="77777777" w:rsidR="00912E95" w:rsidRPr="00E75780" w:rsidRDefault="00912E95" w:rsidP="00E83DAB">
      <w:pPr>
        <w:pStyle w:val="Bibliografa"/>
        <w:ind w:left="720" w:hanging="720"/>
        <w:rPr>
          <w:rFonts w:ascii="Century Gothic" w:hAnsi="Century Gothic"/>
          <w:noProof/>
          <w:color w:val="000000" w:themeColor="text1"/>
        </w:rPr>
      </w:pPr>
      <w:r w:rsidRPr="00E75780">
        <w:rPr>
          <w:rFonts w:ascii="Century Gothic" w:hAnsi="Century Gothic"/>
          <w:noProof/>
          <w:color w:val="000000" w:themeColor="text1"/>
        </w:rPr>
        <w:t>Ávila Mahecha, J. (2016). Diferencias de género en la riqueza, ingresos y rentas de las personas naturales en COlombia. Bogotá: Dirección General DIAN.</w:t>
      </w:r>
    </w:p>
    <w:p w14:paraId="21DF01EC" w14:textId="77777777" w:rsidR="00912E95" w:rsidRPr="00E75780" w:rsidRDefault="00912E95" w:rsidP="00E83DAB">
      <w:pPr>
        <w:pStyle w:val="Bibliografa"/>
        <w:ind w:left="720" w:hanging="720"/>
        <w:rPr>
          <w:rFonts w:ascii="Century Gothic" w:hAnsi="Century Gothic"/>
          <w:noProof/>
          <w:color w:val="000000" w:themeColor="text1"/>
        </w:rPr>
      </w:pPr>
      <w:r w:rsidRPr="00E75780">
        <w:rPr>
          <w:rFonts w:ascii="Century Gothic" w:hAnsi="Century Gothic"/>
          <w:noProof/>
          <w:color w:val="000000" w:themeColor="text1"/>
        </w:rPr>
        <w:t>DANE. (2019). Boletín Estadístico Empoderamiento Económico de las Mujeres en Colombia. Bogotá: DANE.</w:t>
      </w:r>
    </w:p>
    <w:p w14:paraId="42A23349" w14:textId="652E8461" w:rsidR="00912E95" w:rsidRPr="00E75780" w:rsidRDefault="00912E95" w:rsidP="00E83DAB">
      <w:pPr>
        <w:pStyle w:val="Bibliografa"/>
        <w:ind w:left="720" w:hanging="720"/>
        <w:rPr>
          <w:rFonts w:ascii="Century Gothic" w:hAnsi="Century Gothic"/>
          <w:noProof/>
          <w:color w:val="000000" w:themeColor="text1"/>
        </w:rPr>
      </w:pPr>
      <w:r w:rsidRPr="00E75780">
        <w:rPr>
          <w:rFonts w:ascii="Century Gothic" w:hAnsi="Century Gothic"/>
          <w:noProof/>
          <w:color w:val="000000" w:themeColor="text1"/>
        </w:rPr>
        <w:t>DANE. (2020). Boletín Técnico Mercado Laboral según Sexo Trimestre móvil noviembre 2019 - enero 2020. Bogotá: DANE.</w:t>
      </w:r>
    </w:p>
    <w:p w14:paraId="68B12F8F" w14:textId="4ABCF9AB" w:rsidR="00912E95" w:rsidRPr="00E75780" w:rsidRDefault="00912E95" w:rsidP="00E83DAB">
      <w:pPr>
        <w:pStyle w:val="Bibliografa"/>
        <w:ind w:left="720" w:hanging="720"/>
        <w:rPr>
          <w:rFonts w:ascii="Century Gothic" w:hAnsi="Century Gothic"/>
          <w:noProof/>
          <w:color w:val="000000" w:themeColor="text1"/>
        </w:rPr>
      </w:pPr>
      <w:r w:rsidRPr="00E75780">
        <w:rPr>
          <w:rFonts w:ascii="Century Gothic" w:hAnsi="Century Gothic"/>
          <w:noProof/>
          <w:color w:val="000000" w:themeColor="text1"/>
        </w:rPr>
        <w:t>DANE. (2018). Resultados Censo Nacional de Población y Vivienda 2018. Bogotá: DANE</w:t>
      </w:r>
      <w:r w:rsidR="00E83DAB" w:rsidRPr="00E75780">
        <w:rPr>
          <w:rFonts w:ascii="Century Gothic" w:hAnsi="Century Gothic"/>
          <w:noProof/>
          <w:color w:val="000000" w:themeColor="text1"/>
        </w:rPr>
        <w:t>.</w:t>
      </w:r>
    </w:p>
    <w:p w14:paraId="4EC2E96A" w14:textId="2DA8BF2D" w:rsidR="00E83DAB" w:rsidRPr="00E75780" w:rsidRDefault="00E83DAB" w:rsidP="00E83DAB">
      <w:pPr>
        <w:pStyle w:val="Bibliografa"/>
        <w:ind w:left="720" w:hanging="720"/>
        <w:rPr>
          <w:rFonts w:ascii="Century Gothic" w:hAnsi="Century Gothic"/>
          <w:noProof/>
          <w:color w:val="000000" w:themeColor="text1"/>
        </w:rPr>
      </w:pPr>
      <w:r w:rsidRPr="00E75780">
        <w:rPr>
          <w:rFonts w:ascii="Century Gothic" w:hAnsi="Century Gothic"/>
          <w:noProof/>
          <w:color w:val="000000" w:themeColor="text1"/>
        </w:rPr>
        <w:t>Mayorga Acosta, J. (2020) Género y Políticas Públicas en Colombia: Marco Normativo e Institucional. Universidad Nacional de Colombia</w:t>
      </w:r>
    </w:p>
    <w:p w14:paraId="22023D29" w14:textId="6E56A2C9" w:rsidR="00912E95" w:rsidRPr="00E75780" w:rsidRDefault="00912E95" w:rsidP="00E83DAB">
      <w:pPr>
        <w:pStyle w:val="Bibliografa"/>
        <w:ind w:left="720" w:hanging="720"/>
        <w:rPr>
          <w:rFonts w:ascii="Century Gothic" w:hAnsi="Century Gothic"/>
          <w:noProof/>
          <w:color w:val="000000" w:themeColor="text1"/>
        </w:rPr>
      </w:pPr>
      <w:r w:rsidRPr="00E75780">
        <w:rPr>
          <w:rFonts w:ascii="Century Gothic" w:hAnsi="Century Gothic"/>
          <w:noProof/>
          <w:color w:val="000000" w:themeColor="text1"/>
        </w:rPr>
        <w:t>ONU Mujeres, UNFPA, PNUD. (</w:t>
      </w:r>
      <w:r w:rsidR="00E83DAB" w:rsidRPr="00E75780">
        <w:rPr>
          <w:rFonts w:ascii="Century Gothic" w:hAnsi="Century Gothic"/>
          <w:noProof/>
          <w:color w:val="000000" w:themeColor="text1"/>
        </w:rPr>
        <w:t>septiembre</w:t>
      </w:r>
      <w:r w:rsidRPr="00E75780">
        <w:rPr>
          <w:rFonts w:ascii="Century Gothic" w:hAnsi="Century Gothic"/>
          <w:noProof/>
          <w:color w:val="000000" w:themeColor="text1"/>
        </w:rPr>
        <w:t xml:space="preserve"> de 2017). Brechas de género y desigualdad: de los Objetivos de Desarrollo del Milenio a los Objetivos de </w:t>
      </w:r>
      <w:r w:rsidR="00E83DAB" w:rsidRPr="00E75780">
        <w:rPr>
          <w:rFonts w:ascii="Century Gothic" w:hAnsi="Century Gothic"/>
          <w:noProof/>
          <w:color w:val="000000" w:themeColor="text1"/>
        </w:rPr>
        <w:t>Desarrollo</w:t>
      </w:r>
      <w:r w:rsidRPr="00E75780">
        <w:rPr>
          <w:rFonts w:ascii="Century Gothic" w:hAnsi="Century Gothic"/>
          <w:noProof/>
          <w:color w:val="000000" w:themeColor="text1"/>
        </w:rPr>
        <w:t xml:space="preserve"> Sostenible. Obtenido de UNFPA Colombia: </w:t>
      </w:r>
      <w:hyperlink r:id="rId11" w:history="1">
        <w:r w:rsidRPr="00E75780">
          <w:rPr>
            <w:rFonts w:ascii="Century Gothic" w:hAnsi="Century Gothic"/>
            <w:noProof/>
            <w:color w:val="000000" w:themeColor="text1"/>
          </w:rPr>
          <w:t>https://colombia.unfpa.org/sites/default/files/pub-pdf/PDF%20WEB%20BRECHAS%20DE%20GENERO%20Y%20DESIGUALDAD.pdf</w:t>
        </w:r>
      </w:hyperlink>
    </w:p>
    <w:p w14:paraId="0CAFD87B" w14:textId="7EC180FF" w:rsidR="00E83DAB" w:rsidRPr="00E75780" w:rsidRDefault="00E83DAB" w:rsidP="00E83DAB">
      <w:pPr>
        <w:pStyle w:val="Bibliografa"/>
        <w:ind w:left="720" w:hanging="720"/>
        <w:rPr>
          <w:rFonts w:ascii="Century Gothic" w:hAnsi="Century Gothic"/>
          <w:noProof/>
          <w:color w:val="000000" w:themeColor="text1"/>
        </w:rPr>
      </w:pPr>
      <w:r w:rsidRPr="00E75780">
        <w:rPr>
          <w:rFonts w:ascii="Century Gothic" w:hAnsi="Century Gothic"/>
          <w:noProof/>
          <w:color w:val="000000" w:themeColor="text1"/>
        </w:rPr>
        <w:t xml:space="preserve">ONU. Igualdad de género: Una tarea inacabada. </w:t>
      </w:r>
      <w:hyperlink r:id="rId12" w:history="1">
        <w:r w:rsidRPr="00E75780">
          <w:rPr>
            <w:rStyle w:val="Hipervnculo"/>
            <w:rFonts w:ascii="Century Gothic" w:hAnsi="Century Gothic"/>
            <w:noProof/>
            <w:color w:val="000000" w:themeColor="text1"/>
          </w:rPr>
          <w:t>https://www.un.org/es/sections/issues-depth/gender-equality/index.html</w:t>
        </w:r>
      </w:hyperlink>
    </w:p>
    <w:p w14:paraId="4C4D5F9F" w14:textId="6A305C14" w:rsidR="00E83DAB" w:rsidRPr="00E75780" w:rsidRDefault="00912E95" w:rsidP="00E83DAB">
      <w:pPr>
        <w:pStyle w:val="Bibliografa"/>
        <w:ind w:left="720" w:hanging="720"/>
        <w:rPr>
          <w:rFonts w:ascii="Century Gothic" w:hAnsi="Century Gothic"/>
          <w:noProof/>
          <w:color w:val="000000" w:themeColor="text1"/>
        </w:rPr>
      </w:pPr>
      <w:r w:rsidRPr="00E75780">
        <w:rPr>
          <w:rFonts w:ascii="Century Gothic" w:hAnsi="Century Gothic"/>
          <w:noProof/>
          <w:color w:val="000000" w:themeColor="text1"/>
        </w:rPr>
        <w:t>Villoro, L. (1997). El poder y el valor: fundamentos de una ética política. CDMX: Fond</w:t>
      </w:r>
      <w:r w:rsidR="00E83DAB" w:rsidRPr="00E75780">
        <w:rPr>
          <w:rFonts w:ascii="Century Gothic" w:hAnsi="Century Gothic"/>
          <w:noProof/>
          <w:color w:val="000000" w:themeColor="text1"/>
        </w:rPr>
        <w:t>o</w:t>
      </w:r>
      <w:r w:rsidRPr="00E75780">
        <w:rPr>
          <w:rFonts w:ascii="Century Gothic" w:hAnsi="Century Gothic"/>
          <w:noProof/>
          <w:color w:val="000000" w:themeColor="text1"/>
        </w:rPr>
        <w:t xml:space="preserve"> de Cultura Económica.</w:t>
      </w:r>
    </w:p>
    <w:p w14:paraId="7BE816D2" w14:textId="11C0785E" w:rsidR="00CA3BA3" w:rsidRPr="00E75780" w:rsidRDefault="00CA3BA3" w:rsidP="00CA3BA3">
      <w:pPr>
        <w:spacing w:line="23" w:lineRule="atLeast"/>
        <w:rPr>
          <w:rFonts w:ascii="Century Gothic" w:hAnsi="Century Gothic" w:cs="Arial"/>
          <w:b/>
          <w:color w:val="000000" w:themeColor="text1"/>
        </w:rPr>
      </w:pPr>
    </w:p>
    <w:p w14:paraId="2B449EAA" w14:textId="3E187335" w:rsidR="00C550BE" w:rsidRDefault="00C550BE" w:rsidP="00C550BE">
      <w:pPr>
        <w:jc w:val="both"/>
        <w:rPr>
          <w:rFonts w:ascii="Century Gothic" w:eastAsia="Times New Roman" w:hAnsi="Century Gothic" w:cs="Arial"/>
          <w:color w:val="000000" w:themeColor="text1"/>
          <w:lang w:val="es-ES" w:eastAsia="es-ES"/>
        </w:rPr>
      </w:pPr>
    </w:p>
    <w:p w14:paraId="4B089A09" w14:textId="77777777" w:rsidR="008F5B56" w:rsidRPr="00E75780" w:rsidRDefault="008F5B56" w:rsidP="00C550BE">
      <w:pPr>
        <w:jc w:val="both"/>
        <w:rPr>
          <w:rFonts w:ascii="Century Gothic" w:eastAsia="Times New Roman" w:hAnsi="Century Gothic" w:cs="Arial"/>
          <w:color w:val="000000" w:themeColor="text1"/>
          <w:lang w:val="es-ES" w:eastAsia="es-ES"/>
        </w:rPr>
      </w:pPr>
    </w:p>
    <w:p w14:paraId="0287A944" w14:textId="77777777" w:rsidR="00C550BE" w:rsidRPr="00E75780" w:rsidRDefault="00C550BE" w:rsidP="002D471E">
      <w:pPr>
        <w:jc w:val="both"/>
        <w:outlineLvl w:val="0"/>
        <w:rPr>
          <w:rFonts w:ascii="Century Gothic" w:eastAsia="Times New Roman" w:hAnsi="Century Gothic" w:cs="Arial"/>
          <w:b/>
          <w:color w:val="000000" w:themeColor="text1"/>
          <w:lang w:val="es-ES" w:eastAsia="es-ES"/>
        </w:rPr>
      </w:pPr>
      <w:r w:rsidRPr="00E75780">
        <w:rPr>
          <w:rFonts w:ascii="Century Gothic" w:eastAsia="Times New Roman" w:hAnsi="Century Gothic" w:cs="Arial"/>
          <w:b/>
          <w:color w:val="000000" w:themeColor="text1"/>
          <w:lang w:val="es-ES" w:eastAsia="es-ES"/>
        </w:rPr>
        <w:t xml:space="preserve">DAVID RACERO MAYORCA </w:t>
      </w:r>
    </w:p>
    <w:p w14:paraId="7CF2116D" w14:textId="79800D0A" w:rsidR="004315B7" w:rsidRDefault="00C550BE" w:rsidP="002D471E">
      <w:pPr>
        <w:jc w:val="both"/>
        <w:outlineLvl w:val="0"/>
        <w:rPr>
          <w:rFonts w:ascii="Century Gothic" w:eastAsia="Times New Roman" w:hAnsi="Century Gothic" w:cs="Arial"/>
          <w:color w:val="000000" w:themeColor="text1"/>
          <w:lang w:val="es-ES" w:eastAsia="es-ES"/>
        </w:rPr>
      </w:pPr>
      <w:r w:rsidRPr="00E75780">
        <w:rPr>
          <w:rFonts w:ascii="Century Gothic" w:eastAsia="Times New Roman" w:hAnsi="Century Gothic" w:cs="Arial"/>
          <w:color w:val="000000" w:themeColor="text1"/>
          <w:lang w:val="es-ES" w:eastAsia="es-ES"/>
        </w:rPr>
        <w:t>Representante a la Cámara por Bogotá</w:t>
      </w:r>
    </w:p>
    <w:p w14:paraId="40813517" w14:textId="37DE81F5" w:rsidR="00033998" w:rsidRDefault="00033998" w:rsidP="002D471E">
      <w:pPr>
        <w:jc w:val="both"/>
        <w:outlineLvl w:val="0"/>
        <w:rPr>
          <w:rFonts w:ascii="Century Gothic" w:eastAsia="Times New Roman" w:hAnsi="Century Gothic" w:cs="Arial"/>
          <w:color w:val="000000" w:themeColor="text1"/>
          <w:lang w:val="es-ES" w:eastAsia="es-ES"/>
        </w:rPr>
      </w:pPr>
    </w:p>
    <w:p w14:paraId="6E2C5C3B" w14:textId="36DB4788" w:rsidR="00033998" w:rsidRDefault="00033998" w:rsidP="002D471E">
      <w:pPr>
        <w:jc w:val="both"/>
        <w:outlineLvl w:val="0"/>
        <w:rPr>
          <w:rFonts w:ascii="Century Gothic" w:eastAsia="Times New Roman" w:hAnsi="Century Gothic" w:cs="Arial"/>
          <w:color w:val="000000" w:themeColor="text1"/>
          <w:lang w:val="es-ES" w:eastAsia="es-ES"/>
        </w:rPr>
      </w:pPr>
    </w:p>
    <w:p w14:paraId="15540F3D" w14:textId="54D9610A" w:rsidR="00033998" w:rsidRDefault="00033998" w:rsidP="002D471E">
      <w:pPr>
        <w:jc w:val="both"/>
        <w:outlineLvl w:val="0"/>
        <w:rPr>
          <w:rFonts w:ascii="Century Gothic" w:eastAsia="Times New Roman" w:hAnsi="Century Gothic" w:cs="Arial"/>
          <w:color w:val="000000" w:themeColor="text1"/>
          <w:lang w:val="es-ES" w:eastAsia="es-ES"/>
        </w:rPr>
      </w:pPr>
    </w:p>
    <w:p w14:paraId="326C9A38" w14:textId="0B652B2B" w:rsidR="00033998" w:rsidRDefault="00033998" w:rsidP="002D471E">
      <w:pPr>
        <w:jc w:val="both"/>
        <w:outlineLvl w:val="0"/>
        <w:rPr>
          <w:rFonts w:ascii="Century Gothic" w:eastAsia="Times New Roman" w:hAnsi="Century Gothic" w:cs="Arial"/>
          <w:color w:val="000000" w:themeColor="text1"/>
          <w:lang w:val="es-ES" w:eastAsia="es-ES"/>
        </w:rPr>
      </w:pPr>
    </w:p>
    <w:p w14:paraId="022D3315" w14:textId="77777777" w:rsidR="00033998" w:rsidRPr="00C550BE" w:rsidRDefault="00033998" w:rsidP="002D471E">
      <w:pPr>
        <w:jc w:val="both"/>
        <w:outlineLvl w:val="0"/>
        <w:rPr>
          <w:rFonts w:ascii="Century Gothic" w:eastAsia="Times New Roman" w:hAnsi="Century Gothic" w:cs="Arial"/>
          <w:color w:val="000000" w:themeColor="text1"/>
          <w:lang w:val="es-ES" w:eastAsia="es-ES"/>
        </w:rPr>
      </w:pPr>
    </w:p>
    <w:p w14:paraId="3BEB1E8F" w14:textId="749F9B51" w:rsidR="00912E95" w:rsidRPr="00E75780" w:rsidRDefault="00912E95" w:rsidP="002D471E">
      <w:pPr>
        <w:spacing w:line="23" w:lineRule="atLeast"/>
        <w:jc w:val="center"/>
        <w:outlineLvl w:val="0"/>
        <w:rPr>
          <w:rFonts w:ascii="Century Gothic" w:hAnsi="Century Gothic" w:cs="Arial"/>
          <w:b/>
          <w:color w:val="000000" w:themeColor="text1"/>
        </w:rPr>
      </w:pPr>
      <w:r w:rsidRPr="00E75780">
        <w:rPr>
          <w:rFonts w:ascii="Century Gothic" w:hAnsi="Century Gothic" w:cs="Arial"/>
          <w:b/>
          <w:color w:val="000000" w:themeColor="text1"/>
        </w:rPr>
        <w:t>Proyecto de ley Número ____________ de 20</w:t>
      </w:r>
      <w:r w:rsidR="00E83DAB" w:rsidRPr="00E75780">
        <w:rPr>
          <w:rFonts w:ascii="Century Gothic" w:hAnsi="Century Gothic" w:cs="Arial"/>
          <w:b/>
          <w:color w:val="000000" w:themeColor="text1"/>
        </w:rPr>
        <w:t>20</w:t>
      </w:r>
    </w:p>
    <w:p w14:paraId="460027DF" w14:textId="77777777" w:rsidR="00912E95" w:rsidRPr="00E75780" w:rsidRDefault="00912E95" w:rsidP="00912E95">
      <w:pPr>
        <w:spacing w:line="23" w:lineRule="atLeast"/>
        <w:jc w:val="center"/>
        <w:rPr>
          <w:rFonts w:ascii="Century Gothic" w:hAnsi="Century Gothic" w:cs="Arial"/>
          <w:b/>
          <w:color w:val="000000" w:themeColor="text1"/>
        </w:rPr>
      </w:pPr>
    </w:p>
    <w:p w14:paraId="05346D6A" w14:textId="7F426A6B" w:rsidR="00912E95" w:rsidRDefault="00C550BE" w:rsidP="00912E95">
      <w:pPr>
        <w:spacing w:line="23" w:lineRule="atLeast"/>
        <w:jc w:val="center"/>
        <w:rPr>
          <w:rFonts w:ascii="Century Gothic" w:hAnsi="Century Gothic"/>
          <w:bCs/>
          <w:color w:val="000000" w:themeColor="text1"/>
        </w:rPr>
      </w:pPr>
      <w:r w:rsidRPr="00E75780">
        <w:rPr>
          <w:rFonts w:ascii="Century Gothic" w:hAnsi="Century Gothic" w:cs="Arial"/>
          <w:b/>
          <w:color w:val="000000" w:themeColor="text1"/>
          <w:lang w:val="es-ES" w:eastAsia="es-ES"/>
        </w:rPr>
        <w:t>“</w:t>
      </w:r>
      <w:r w:rsidRPr="00E75780">
        <w:rPr>
          <w:rFonts w:ascii="Century Gothic" w:hAnsi="Century Gothic" w:cs="Arial"/>
          <w:color w:val="000000" w:themeColor="text1"/>
        </w:rPr>
        <w:t xml:space="preserve">Por medio del cual se </w:t>
      </w:r>
      <w:r>
        <w:rPr>
          <w:rFonts w:ascii="Century Gothic" w:hAnsi="Century Gothic" w:cs="Arial"/>
          <w:color w:val="000000" w:themeColor="text1"/>
        </w:rPr>
        <w:t>crean herramientas tributarias para</w:t>
      </w:r>
      <w:r w:rsidRPr="00E75780">
        <w:rPr>
          <w:rFonts w:ascii="Century Gothic" w:hAnsi="Century Gothic" w:cs="Arial"/>
          <w:color w:val="000000" w:themeColor="text1"/>
        </w:rPr>
        <w:t xml:space="preserve"> la lucha contra la </w:t>
      </w:r>
      <w:r w:rsidR="002D471E">
        <w:rPr>
          <w:rFonts w:ascii="Century Gothic" w:hAnsi="Century Gothic" w:cs="Arial"/>
          <w:color w:val="000000" w:themeColor="text1"/>
        </w:rPr>
        <w:t>inequidad de género</w:t>
      </w:r>
      <w:r w:rsidRPr="00E75780">
        <w:rPr>
          <w:rFonts w:ascii="Century Gothic" w:hAnsi="Century Gothic"/>
          <w:bCs/>
          <w:color w:val="000000" w:themeColor="text1"/>
        </w:rPr>
        <w:t>”</w:t>
      </w:r>
    </w:p>
    <w:p w14:paraId="42EA005E" w14:textId="77777777" w:rsidR="00C550BE" w:rsidRPr="00E75780" w:rsidRDefault="00C550BE" w:rsidP="00912E95">
      <w:pPr>
        <w:spacing w:line="23" w:lineRule="atLeast"/>
        <w:jc w:val="center"/>
        <w:rPr>
          <w:rFonts w:ascii="Century Gothic" w:hAnsi="Century Gothic" w:cs="Arial"/>
          <w:color w:val="000000" w:themeColor="text1"/>
        </w:rPr>
      </w:pPr>
    </w:p>
    <w:p w14:paraId="47562CF6" w14:textId="77777777" w:rsidR="00912E95" w:rsidRPr="00E75780" w:rsidRDefault="00912E95" w:rsidP="002D471E">
      <w:pPr>
        <w:spacing w:line="23" w:lineRule="atLeast"/>
        <w:jc w:val="center"/>
        <w:outlineLvl w:val="0"/>
        <w:rPr>
          <w:rFonts w:ascii="Century Gothic" w:hAnsi="Century Gothic" w:cs="Arial"/>
          <w:color w:val="000000" w:themeColor="text1"/>
        </w:rPr>
      </w:pPr>
      <w:r w:rsidRPr="00E75780">
        <w:rPr>
          <w:rFonts w:ascii="Century Gothic" w:hAnsi="Century Gothic" w:cs="Arial"/>
          <w:color w:val="000000" w:themeColor="text1"/>
        </w:rPr>
        <w:t xml:space="preserve">El Congreso de Colombia </w:t>
      </w:r>
    </w:p>
    <w:p w14:paraId="5007AEB6" w14:textId="77777777" w:rsidR="00912E95" w:rsidRPr="00E75780" w:rsidRDefault="00912E95" w:rsidP="00912E95">
      <w:pPr>
        <w:spacing w:line="23" w:lineRule="atLeast"/>
        <w:jc w:val="center"/>
        <w:rPr>
          <w:rFonts w:ascii="Century Gothic" w:hAnsi="Century Gothic" w:cs="Arial"/>
          <w:color w:val="000000" w:themeColor="text1"/>
        </w:rPr>
      </w:pPr>
      <w:r w:rsidRPr="00E75780">
        <w:rPr>
          <w:rFonts w:ascii="Century Gothic" w:hAnsi="Century Gothic" w:cs="Arial"/>
          <w:color w:val="000000" w:themeColor="text1"/>
        </w:rPr>
        <w:t>Decreta</w:t>
      </w:r>
    </w:p>
    <w:p w14:paraId="51C651AF" w14:textId="77777777" w:rsidR="00912E95" w:rsidRPr="00E75780" w:rsidRDefault="00912E95" w:rsidP="00912E95">
      <w:pPr>
        <w:jc w:val="both"/>
        <w:rPr>
          <w:rFonts w:ascii="Century Gothic" w:hAnsi="Century Gothic"/>
          <w:color w:val="000000" w:themeColor="text1"/>
        </w:rPr>
      </w:pPr>
    </w:p>
    <w:p w14:paraId="4038910C" w14:textId="4F6A11DA" w:rsidR="00912E95" w:rsidRPr="00E75780" w:rsidRDefault="00912E95" w:rsidP="00912E95">
      <w:pPr>
        <w:jc w:val="both"/>
        <w:rPr>
          <w:rFonts w:ascii="Century Gothic" w:hAnsi="Century Gothic"/>
          <w:color w:val="000000" w:themeColor="text1"/>
        </w:rPr>
      </w:pPr>
      <w:r w:rsidRPr="00E75780">
        <w:rPr>
          <w:rFonts w:ascii="Century Gothic" w:hAnsi="Century Gothic"/>
          <w:color w:val="000000" w:themeColor="text1"/>
        </w:rPr>
        <w:t xml:space="preserve"> </w:t>
      </w:r>
      <w:r w:rsidRPr="00E75780">
        <w:rPr>
          <w:rFonts w:ascii="Century Gothic" w:hAnsi="Century Gothic"/>
          <w:b/>
          <w:color w:val="000000" w:themeColor="text1"/>
        </w:rPr>
        <w:t xml:space="preserve">Artículo 1. Objeto. </w:t>
      </w:r>
      <w:r w:rsidRPr="00E75780">
        <w:rPr>
          <w:rFonts w:ascii="Century Gothic" w:hAnsi="Century Gothic"/>
          <w:color w:val="000000" w:themeColor="text1"/>
        </w:rPr>
        <w:t>El presente proyecto de ley tiene como objeto implementar una casilla de género en el formulario de declaración de renta de personas naturales</w:t>
      </w:r>
      <w:r w:rsidR="00CA3BA3" w:rsidRPr="00E75780">
        <w:rPr>
          <w:rFonts w:ascii="Century Gothic" w:hAnsi="Century Gothic"/>
          <w:color w:val="000000" w:themeColor="text1"/>
        </w:rPr>
        <w:t xml:space="preserve"> para mejorar los diagnósticos existente relacionados con la </w:t>
      </w:r>
      <w:r w:rsidR="002D471E">
        <w:rPr>
          <w:rFonts w:ascii="Century Gothic" w:hAnsi="Century Gothic"/>
          <w:color w:val="000000" w:themeColor="text1"/>
        </w:rPr>
        <w:t>inequidad de género</w:t>
      </w:r>
      <w:r w:rsidRPr="00E75780">
        <w:rPr>
          <w:rFonts w:ascii="Century Gothic" w:hAnsi="Century Gothic"/>
          <w:color w:val="000000" w:themeColor="text1"/>
        </w:rPr>
        <w:t>.</w:t>
      </w:r>
    </w:p>
    <w:p w14:paraId="55215778" w14:textId="77777777" w:rsidR="00912E95" w:rsidRPr="00E75780" w:rsidRDefault="00912E95" w:rsidP="00912E95">
      <w:pPr>
        <w:jc w:val="both"/>
        <w:rPr>
          <w:rFonts w:ascii="Century Gothic" w:hAnsi="Century Gothic"/>
          <w:color w:val="000000" w:themeColor="text1"/>
        </w:rPr>
      </w:pPr>
    </w:p>
    <w:p w14:paraId="7B2575D3" w14:textId="1089B046" w:rsidR="00912E95" w:rsidRPr="00E75780" w:rsidRDefault="00912E95" w:rsidP="00912E95">
      <w:pPr>
        <w:jc w:val="both"/>
        <w:rPr>
          <w:rFonts w:ascii="Century Gothic" w:hAnsi="Century Gothic"/>
          <w:color w:val="000000" w:themeColor="text1"/>
        </w:rPr>
      </w:pPr>
      <w:r w:rsidRPr="00E75780">
        <w:rPr>
          <w:rFonts w:ascii="Century Gothic" w:hAnsi="Century Gothic"/>
          <w:b/>
          <w:color w:val="000000" w:themeColor="text1"/>
        </w:rPr>
        <w:t xml:space="preserve">Artículo 2. </w:t>
      </w:r>
      <w:r w:rsidRPr="00E75780">
        <w:rPr>
          <w:rFonts w:ascii="Century Gothic" w:hAnsi="Century Gothic"/>
          <w:color w:val="000000" w:themeColor="text1"/>
        </w:rPr>
        <w:t xml:space="preserve">Agréguese un parágrafo nuevo a 555-2 Registro </w:t>
      </w:r>
      <w:r w:rsidR="00E83DAB" w:rsidRPr="00E75780">
        <w:rPr>
          <w:rFonts w:ascii="Century Gothic" w:hAnsi="Century Gothic"/>
          <w:color w:val="000000" w:themeColor="text1"/>
        </w:rPr>
        <w:t>Único</w:t>
      </w:r>
      <w:r w:rsidRPr="00E75780">
        <w:rPr>
          <w:rFonts w:ascii="Century Gothic" w:hAnsi="Century Gothic"/>
          <w:color w:val="000000" w:themeColor="text1"/>
        </w:rPr>
        <w:t xml:space="preserve"> Tributario-RUT el cual quedará así:</w:t>
      </w:r>
    </w:p>
    <w:p w14:paraId="67261AAF" w14:textId="77777777" w:rsidR="00912E95" w:rsidRPr="00E75780" w:rsidRDefault="00912E95" w:rsidP="00912E95">
      <w:pPr>
        <w:jc w:val="both"/>
        <w:rPr>
          <w:rFonts w:ascii="Century Gothic" w:hAnsi="Century Gothic"/>
          <w:color w:val="000000" w:themeColor="text1"/>
        </w:rPr>
      </w:pPr>
    </w:p>
    <w:p w14:paraId="3BDA8F4E" w14:textId="3D5C5D4E" w:rsidR="00912E95" w:rsidRPr="00E75780" w:rsidRDefault="00912E95" w:rsidP="00CA3BA3">
      <w:pPr>
        <w:ind w:left="567"/>
        <w:jc w:val="both"/>
        <w:rPr>
          <w:rFonts w:ascii="Century Gothic" w:hAnsi="Century Gothic"/>
          <w:color w:val="000000" w:themeColor="text1"/>
        </w:rPr>
      </w:pPr>
      <w:r w:rsidRPr="00E75780">
        <w:rPr>
          <w:rFonts w:ascii="Century Gothic" w:hAnsi="Century Gothic"/>
          <w:b/>
          <w:color w:val="000000" w:themeColor="text1"/>
        </w:rPr>
        <w:t>Parágrafo 5.</w:t>
      </w:r>
      <w:r w:rsidRPr="00E75780">
        <w:rPr>
          <w:rFonts w:ascii="Century Gothic" w:hAnsi="Century Gothic"/>
          <w:color w:val="000000" w:themeColor="text1"/>
        </w:rPr>
        <w:t xml:space="preserve"> La Dirección de Impuestos y Aduanas Nacionales determinará el formulario de inscripción y actualización del Registro Único Tributario. El formulario de declaración de renta de personas naturales deberá contar con una casilla donde el contribuyente pueda registrar su género. Esta casilla </w:t>
      </w:r>
      <w:r w:rsidR="008A2905">
        <w:rPr>
          <w:rFonts w:ascii="Century Gothic" w:hAnsi="Century Gothic"/>
          <w:color w:val="000000" w:themeColor="text1"/>
        </w:rPr>
        <w:t>tendrá</w:t>
      </w:r>
      <w:r w:rsidRPr="00E75780">
        <w:rPr>
          <w:rFonts w:ascii="Century Gothic" w:hAnsi="Century Gothic"/>
          <w:color w:val="000000" w:themeColor="text1"/>
        </w:rPr>
        <w:t xml:space="preserve"> la opción Hombre, Mujer </w:t>
      </w:r>
      <w:r w:rsidR="00312624">
        <w:rPr>
          <w:rFonts w:ascii="Century Gothic" w:hAnsi="Century Gothic"/>
          <w:color w:val="000000" w:themeColor="text1"/>
        </w:rPr>
        <w:t>u</w:t>
      </w:r>
      <w:r w:rsidRPr="00E75780">
        <w:rPr>
          <w:rFonts w:ascii="Century Gothic" w:hAnsi="Century Gothic"/>
          <w:color w:val="000000" w:themeColor="text1"/>
        </w:rPr>
        <w:t xml:space="preserve"> Otro. La Dirección de Impuestos y aduanas Nacionales actualizará</w:t>
      </w:r>
      <w:r w:rsidR="00312624">
        <w:rPr>
          <w:rFonts w:ascii="Century Gothic" w:hAnsi="Century Gothic"/>
          <w:color w:val="000000" w:themeColor="text1"/>
        </w:rPr>
        <w:t>,</w:t>
      </w:r>
      <w:r w:rsidRPr="00E75780">
        <w:rPr>
          <w:rFonts w:ascii="Century Gothic" w:hAnsi="Century Gothic"/>
          <w:color w:val="000000" w:themeColor="text1"/>
        </w:rPr>
        <w:t xml:space="preserve"> de oficio</w:t>
      </w:r>
      <w:r w:rsidR="00312624">
        <w:rPr>
          <w:rFonts w:ascii="Century Gothic" w:hAnsi="Century Gothic"/>
          <w:color w:val="000000" w:themeColor="text1"/>
        </w:rPr>
        <w:t>,</w:t>
      </w:r>
      <w:r w:rsidRPr="00E75780">
        <w:rPr>
          <w:rFonts w:ascii="Century Gothic" w:hAnsi="Century Gothic"/>
          <w:color w:val="000000" w:themeColor="text1"/>
        </w:rPr>
        <w:t xml:space="preserve"> los RUT ya expedidos que no contengan la identificación del </w:t>
      </w:r>
      <w:r w:rsidR="00E83DAB" w:rsidRPr="00E75780">
        <w:rPr>
          <w:rFonts w:ascii="Century Gothic" w:hAnsi="Century Gothic"/>
          <w:color w:val="000000" w:themeColor="text1"/>
        </w:rPr>
        <w:t>género</w:t>
      </w:r>
      <w:r w:rsidRPr="00E75780">
        <w:rPr>
          <w:rFonts w:ascii="Century Gothic" w:hAnsi="Century Gothic"/>
          <w:color w:val="000000" w:themeColor="text1"/>
        </w:rPr>
        <w:t xml:space="preserve"> de las personas naturales, apoyándose para esta finalidad en la información de la Registraduría Nacional del Estado Civil.</w:t>
      </w:r>
    </w:p>
    <w:p w14:paraId="4AB8741C" w14:textId="77777777" w:rsidR="00912E95" w:rsidRPr="00E75780" w:rsidRDefault="00912E95" w:rsidP="00912E95">
      <w:pPr>
        <w:jc w:val="both"/>
        <w:rPr>
          <w:rFonts w:ascii="Century Gothic" w:hAnsi="Century Gothic"/>
          <w:color w:val="000000" w:themeColor="text1"/>
        </w:rPr>
      </w:pPr>
    </w:p>
    <w:p w14:paraId="214B28AC" w14:textId="1B88B747" w:rsidR="00912E95" w:rsidRPr="00E75780" w:rsidRDefault="00912E95" w:rsidP="00912E95">
      <w:pPr>
        <w:jc w:val="both"/>
        <w:rPr>
          <w:rFonts w:ascii="Century Gothic" w:hAnsi="Century Gothic"/>
          <w:color w:val="000000" w:themeColor="text1"/>
        </w:rPr>
      </w:pPr>
      <w:r w:rsidRPr="00E75780">
        <w:rPr>
          <w:rFonts w:ascii="Century Gothic" w:hAnsi="Century Gothic"/>
          <w:b/>
          <w:color w:val="000000" w:themeColor="text1"/>
        </w:rPr>
        <w:t xml:space="preserve">Artículo 3. Fecha de aplicación. </w:t>
      </w:r>
      <w:r w:rsidRPr="00E75780">
        <w:rPr>
          <w:rFonts w:ascii="Century Gothic" w:hAnsi="Century Gothic"/>
          <w:color w:val="000000" w:themeColor="text1"/>
        </w:rPr>
        <w:t>Después de promulgada esta ley, la Dirección de Impuestos y Aduanas Nacionales o quien haga su papel, actualizará el formulario para la declaración de renta que se menciona en el artículo 2</w:t>
      </w:r>
      <w:r w:rsidR="00312624">
        <w:rPr>
          <w:rFonts w:ascii="Century Gothic" w:hAnsi="Century Gothic"/>
          <w:color w:val="000000" w:themeColor="text1"/>
        </w:rPr>
        <w:t>,</w:t>
      </w:r>
      <w:r w:rsidRPr="00E75780">
        <w:rPr>
          <w:rFonts w:ascii="Century Gothic" w:hAnsi="Century Gothic"/>
          <w:color w:val="000000" w:themeColor="text1"/>
        </w:rPr>
        <w:t xml:space="preserve"> antes de la fecha inmediatamente más cercana al período de declaración de impuestos para personas naturales establecido en el calendario </w:t>
      </w:r>
      <w:r w:rsidR="00312624">
        <w:rPr>
          <w:rFonts w:ascii="Century Gothic" w:hAnsi="Century Gothic"/>
          <w:color w:val="000000" w:themeColor="text1"/>
        </w:rPr>
        <w:t>de</w:t>
      </w:r>
      <w:r w:rsidRPr="00E75780">
        <w:rPr>
          <w:rFonts w:ascii="Century Gothic" w:hAnsi="Century Gothic"/>
          <w:color w:val="000000" w:themeColor="text1"/>
        </w:rPr>
        <w:t xml:space="preserve"> la Dirección de Impuestos y Aduanas Nacionales.</w:t>
      </w:r>
    </w:p>
    <w:p w14:paraId="5B64016F" w14:textId="77777777" w:rsidR="00912E95" w:rsidRPr="00E75780" w:rsidRDefault="00912E95" w:rsidP="00912E95">
      <w:pPr>
        <w:jc w:val="both"/>
        <w:rPr>
          <w:rFonts w:ascii="Century Gothic" w:hAnsi="Century Gothic"/>
          <w:color w:val="000000" w:themeColor="text1"/>
        </w:rPr>
      </w:pPr>
    </w:p>
    <w:p w14:paraId="2697ECF2" w14:textId="77777777" w:rsidR="00912E95" w:rsidRPr="00E75780" w:rsidRDefault="00912E95" w:rsidP="00912E95">
      <w:pPr>
        <w:spacing w:line="23" w:lineRule="atLeast"/>
        <w:jc w:val="both"/>
        <w:rPr>
          <w:rFonts w:ascii="Century Gothic" w:hAnsi="Century Gothic" w:cs="Arial"/>
          <w:color w:val="000000" w:themeColor="text1"/>
        </w:rPr>
      </w:pPr>
      <w:r w:rsidRPr="00E75780">
        <w:rPr>
          <w:rFonts w:ascii="Century Gothic" w:hAnsi="Century Gothic" w:cs="Arial"/>
          <w:b/>
          <w:color w:val="000000" w:themeColor="text1"/>
        </w:rPr>
        <w:t xml:space="preserve">Artículo 4. Vigencias y derogatorias. </w:t>
      </w:r>
      <w:r w:rsidRPr="00E75780">
        <w:rPr>
          <w:rFonts w:ascii="Century Gothic" w:hAnsi="Century Gothic" w:cs="Arial"/>
          <w:color w:val="000000" w:themeColor="text1"/>
        </w:rPr>
        <w:t xml:space="preserve">La presente ley rige a partir de su promulgación y deroga todas las disposiciones que le sean contrarias. </w:t>
      </w:r>
    </w:p>
    <w:p w14:paraId="2D69CFCA" w14:textId="77777777" w:rsidR="00912E95" w:rsidRPr="00E75780" w:rsidRDefault="00912E95" w:rsidP="00912E95">
      <w:pPr>
        <w:spacing w:line="23" w:lineRule="atLeast"/>
        <w:jc w:val="both"/>
        <w:rPr>
          <w:rFonts w:ascii="Century Gothic" w:hAnsi="Century Gothic" w:cs="Arial"/>
          <w:color w:val="000000" w:themeColor="text1"/>
        </w:rPr>
      </w:pPr>
    </w:p>
    <w:p w14:paraId="4F5543FC" w14:textId="77777777" w:rsidR="00912E95" w:rsidRPr="00E75780" w:rsidRDefault="00912E95" w:rsidP="00912E95">
      <w:pPr>
        <w:jc w:val="both"/>
        <w:rPr>
          <w:rFonts w:ascii="Century Gothic" w:hAnsi="Century Gothic"/>
          <w:color w:val="000000" w:themeColor="text1"/>
        </w:rPr>
      </w:pPr>
    </w:p>
    <w:p w14:paraId="77A9267A" w14:textId="66DC0B8F" w:rsidR="00C550BE" w:rsidRDefault="00C550BE" w:rsidP="00C550BE">
      <w:pPr>
        <w:jc w:val="both"/>
        <w:rPr>
          <w:rFonts w:ascii="Century Gothic" w:eastAsia="Times New Roman" w:hAnsi="Century Gothic" w:cs="Arial"/>
          <w:color w:val="000000" w:themeColor="text1"/>
          <w:lang w:val="es-ES" w:eastAsia="es-ES"/>
        </w:rPr>
      </w:pPr>
    </w:p>
    <w:p w14:paraId="22B46968" w14:textId="77777777" w:rsidR="008F5B56" w:rsidRPr="00E75780" w:rsidRDefault="008F5B56" w:rsidP="00C550BE">
      <w:pPr>
        <w:jc w:val="both"/>
        <w:rPr>
          <w:rFonts w:ascii="Century Gothic" w:eastAsia="Times New Roman" w:hAnsi="Century Gothic" w:cs="Arial"/>
          <w:color w:val="000000" w:themeColor="text1"/>
          <w:lang w:val="es-ES" w:eastAsia="es-ES"/>
        </w:rPr>
      </w:pPr>
    </w:p>
    <w:p w14:paraId="2F3604C5" w14:textId="77777777" w:rsidR="00C550BE" w:rsidRPr="00E75780" w:rsidRDefault="00C550BE" w:rsidP="002D471E">
      <w:pPr>
        <w:jc w:val="both"/>
        <w:outlineLvl w:val="0"/>
        <w:rPr>
          <w:rFonts w:ascii="Century Gothic" w:eastAsia="Times New Roman" w:hAnsi="Century Gothic" w:cs="Arial"/>
          <w:b/>
          <w:color w:val="000000" w:themeColor="text1"/>
          <w:lang w:val="es-ES" w:eastAsia="es-ES"/>
        </w:rPr>
      </w:pPr>
      <w:r w:rsidRPr="00E75780">
        <w:rPr>
          <w:rFonts w:ascii="Century Gothic" w:eastAsia="Times New Roman" w:hAnsi="Century Gothic" w:cs="Arial"/>
          <w:b/>
          <w:color w:val="000000" w:themeColor="text1"/>
          <w:lang w:val="es-ES" w:eastAsia="es-ES"/>
        </w:rPr>
        <w:t xml:space="preserve">DAVID RACERO MAYORCA </w:t>
      </w:r>
    </w:p>
    <w:p w14:paraId="4661BA14" w14:textId="77777777" w:rsidR="00C550BE" w:rsidRPr="00E75780" w:rsidRDefault="00C550BE" w:rsidP="00C550BE">
      <w:pPr>
        <w:jc w:val="both"/>
        <w:rPr>
          <w:rFonts w:ascii="Century Gothic" w:eastAsia="Times New Roman" w:hAnsi="Century Gothic" w:cs="Arial"/>
          <w:color w:val="000000" w:themeColor="text1"/>
          <w:lang w:val="es-ES" w:eastAsia="es-ES"/>
        </w:rPr>
      </w:pPr>
      <w:r w:rsidRPr="00E75780">
        <w:rPr>
          <w:rFonts w:ascii="Century Gothic" w:eastAsia="Times New Roman" w:hAnsi="Century Gothic" w:cs="Arial"/>
          <w:color w:val="000000" w:themeColor="text1"/>
          <w:lang w:val="es-ES" w:eastAsia="es-ES"/>
        </w:rPr>
        <w:t>Representante a la Cámara por Bogotá</w:t>
      </w:r>
    </w:p>
    <w:p w14:paraId="07EE032C" w14:textId="77777777" w:rsidR="00BF2149" w:rsidRPr="00E75780" w:rsidRDefault="00BF2149">
      <w:pPr>
        <w:rPr>
          <w:rFonts w:ascii="Arial" w:hAnsi="Arial" w:cs="Arial"/>
          <w:color w:val="000000" w:themeColor="text1"/>
          <w:sz w:val="24"/>
          <w:szCs w:val="24"/>
        </w:rPr>
      </w:pPr>
    </w:p>
    <w:sectPr w:rsidR="00BF2149" w:rsidRPr="00E75780">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76FEC" w14:textId="77777777" w:rsidR="00FF3098" w:rsidRDefault="00FF3098">
      <w:pPr>
        <w:spacing w:after="0" w:line="240" w:lineRule="auto"/>
      </w:pPr>
      <w:r>
        <w:separator/>
      </w:r>
    </w:p>
  </w:endnote>
  <w:endnote w:type="continuationSeparator" w:id="0">
    <w:p w14:paraId="29A9AA35" w14:textId="77777777" w:rsidR="00FF3098" w:rsidRDefault="00FF3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FB9A4" w14:textId="77777777" w:rsidR="005149CC" w:rsidRDefault="005149CC" w:rsidP="005149CC">
    <w:pPr>
      <w:pStyle w:val="Piedepgina"/>
      <w:jc w:val="both"/>
      <w:rPr>
        <w:noProof/>
        <w:lang w:eastAsia="es-CO"/>
      </w:rPr>
    </w:pPr>
  </w:p>
  <w:p w14:paraId="2591AE68" w14:textId="77777777" w:rsidR="005149CC" w:rsidRDefault="00396072" w:rsidP="005149CC">
    <w:pPr>
      <w:pStyle w:val="Piedepgina"/>
      <w:jc w:val="both"/>
      <w:rPr>
        <w:noProof/>
        <w:lang w:eastAsia="es-CO"/>
      </w:rPr>
    </w:pPr>
    <w:r>
      <w:rPr>
        <w:noProof/>
        <w:lang w:eastAsia="es-CO"/>
      </w:rPr>
      <w:drawing>
        <wp:inline distT="0" distB="0" distL="0" distR="0" wp14:anchorId="199E8797" wp14:editId="71C46852">
          <wp:extent cx="5464148" cy="2000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yita 2-03.png"/>
                  <pic:cNvPicPr/>
                </pic:nvPicPr>
                <pic:blipFill rotWithShape="1">
                  <a:blip r:embed="rId1">
                    <a:extLst>
                      <a:ext uri="{28A0092B-C50C-407E-A947-70E740481C1C}">
                        <a14:useLocalDpi xmlns:a14="http://schemas.microsoft.com/office/drawing/2010/main" val="0"/>
                      </a:ext>
                    </a:extLst>
                  </a:blip>
                  <a:srcRect t="30190" b="30116"/>
                  <a:stretch/>
                </pic:blipFill>
                <pic:spPr bwMode="auto">
                  <a:xfrm>
                    <a:off x="0" y="0"/>
                    <a:ext cx="6482220" cy="237293"/>
                  </a:xfrm>
                  <a:prstGeom prst="rect">
                    <a:avLst/>
                  </a:prstGeom>
                  <a:ln>
                    <a:noFill/>
                  </a:ln>
                  <a:extLst>
                    <a:ext uri="{53640926-AAD7-44D8-BBD7-CCE9431645EC}">
                      <a14:shadowObscured xmlns:a14="http://schemas.microsoft.com/office/drawing/2010/main"/>
                    </a:ext>
                  </a:extLst>
                </pic:spPr>
              </pic:pic>
            </a:graphicData>
          </a:graphic>
        </wp:inline>
      </w:drawing>
    </w:r>
  </w:p>
  <w:p w14:paraId="60DC9FED" w14:textId="77777777" w:rsidR="005149CC" w:rsidRDefault="00396072" w:rsidP="005149CC">
    <w:pPr>
      <w:pStyle w:val="Piedepgina"/>
      <w:jc w:val="both"/>
    </w:pPr>
    <w:r>
      <w:rPr>
        <w:noProof/>
        <w:lang w:eastAsia="es-CO"/>
      </w:rPr>
      <w:drawing>
        <wp:inline distT="0" distB="0" distL="0" distR="0" wp14:anchorId="16E30209" wp14:editId="1DD1CAA5">
          <wp:extent cx="5653405" cy="62862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E DE PAGINA-01.png"/>
                  <pic:cNvPicPr/>
                </pic:nvPicPr>
                <pic:blipFill rotWithShape="1">
                  <a:blip r:embed="rId2" cstate="print">
                    <a:extLst>
                      <a:ext uri="{28A0092B-C50C-407E-A947-70E740481C1C}">
                        <a14:useLocalDpi xmlns:a14="http://schemas.microsoft.com/office/drawing/2010/main" val="0"/>
                      </a:ext>
                    </a:extLst>
                  </a:blip>
                  <a:srcRect t="27473"/>
                  <a:stretch/>
                </pic:blipFill>
                <pic:spPr bwMode="auto">
                  <a:xfrm>
                    <a:off x="0" y="0"/>
                    <a:ext cx="5707862" cy="63468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E3669" w14:textId="77777777" w:rsidR="00FF3098" w:rsidRDefault="00FF3098">
      <w:pPr>
        <w:spacing w:after="0" w:line="240" w:lineRule="auto"/>
      </w:pPr>
      <w:r>
        <w:separator/>
      </w:r>
    </w:p>
  </w:footnote>
  <w:footnote w:type="continuationSeparator" w:id="0">
    <w:p w14:paraId="6F916F49" w14:textId="77777777" w:rsidR="00FF3098" w:rsidRDefault="00FF3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F3AD" w14:textId="44C605E0" w:rsidR="005149CC" w:rsidRPr="004135DB" w:rsidRDefault="00396072" w:rsidP="00577459">
    <w:pPr>
      <w:pStyle w:val="Encabezado"/>
    </w:pPr>
    <w:r>
      <w:rPr>
        <w:noProof/>
      </w:rPr>
      <w:t xml:space="preserve">   </w:t>
    </w:r>
    <w:r>
      <w:rPr>
        <w:noProof/>
        <w:lang w:eastAsia="es-CO"/>
      </w:rPr>
      <w:drawing>
        <wp:inline distT="0" distB="0" distL="0" distR="0" wp14:anchorId="05F83051" wp14:editId="0F34DDA8">
          <wp:extent cx="1362075" cy="362943"/>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AVID PNG.png"/>
                  <pic:cNvPicPr/>
                </pic:nvPicPr>
                <pic:blipFill>
                  <a:blip r:embed="rId1">
                    <a:extLst>
                      <a:ext uri="{28A0092B-C50C-407E-A947-70E740481C1C}">
                        <a14:useLocalDpi xmlns:a14="http://schemas.microsoft.com/office/drawing/2010/main" val="0"/>
                      </a:ext>
                    </a:extLst>
                  </a:blip>
                  <a:stretch>
                    <a:fillRect/>
                  </a:stretch>
                </pic:blipFill>
                <pic:spPr>
                  <a:xfrm>
                    <a:off x="0" y="0"/>
                    <a:ext cx="1455704" cy="387892"/>
                  </a:xfrm>
                  <a:prstGeom prst="rect">
                    <a:avLst/>
                  </a:prstGeom>
                </pic:spPr>
              </pic:pic>
            </a:graphicData>
          </a:graphic>
        </wp:inline>
      </w:drawing>
    </w:r>
    <w:r w:rsidRPr="008B1AE1">
      <w:rPr>
        <w:noProof/>
      </w:rPr>
      <w:t xml:space="preserve"> </w:t>
    </w:r>
    <w:r>
      <w:rPr>
        <w:noProof/>
      </w:rPr>
      <w:t xml:space="preserve">  </w:t>
    </w:r>
    <w:r w:rsidR="00577459">
      <w:rPr>
        <w:noProof/>
      </w:rPr>
      <w:t xml:space="preserve">           </w:t>
    </w:r>
    <w:r w:rsidR="00686787">
      <w:rPr>
        <w:noProof/>
      </w:rPr>
      <w:t xml:space="preserve"> </w:t>
    </w:r>
    <w:r w:rsidR="00577459">
      <w:rPr>
        <w:noProof/>
      </w:rPr>
      <w:t xml:space="preserve">                       </w:t>
    </w:r>
    <w:r w:rsidR="00686787">
      <w:rPr>
        <w:noProof/>
      </w:rPr>
      <w:t xml:space="preserve">                 </w:t>
    </w:r>
    <w:r>
      <w:rPr>
        <w:noProof/>
      </w:rPr>
      <w:t xml:space="preserve">   </w:t>
    </w:r>
    <w:r w:rsidR="00577459">
      <w:rPr>
        <w:noProof/>
        <w:lang w:eastAsia="es-CO"/>
      </w:rPr>
      <w:drawing>
        <wp:inline distT="0" distB="0" distL="0" distR="0" wp14:anchorId="3B18B90A" wp14:editId="5E787004">
          <wp:extent cx="805069" cy="348615"/>
          <wp:effectExtent l="0" t="0" r="8255" b="6985"/>
          <wp:docPr id="4" name="Imagen 4" descr="WhatsApp%20Image%202020-07-01%20at%2012.46.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20Image%202020-07-01%20at%2012.46.43.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592" cy="441509"/>
                  </a:xfrm>
                  <a:prstGeom prst="rect">
                    <a:avLst/>
                  </a:prstGeom>
                  <a:noFill/>
                  <a:ln>
                    <a:noFill/>
                  </a:ln>
                </pic:spPr>
              </pic:pic>
            </a:graphicData>
          </a:graphic>
        </wp:inline>
      </w:drawing>
    </w:r>
    <w:r w:rsidR="00577459">
      <w:rPr>
        <w:noProof/>
      </w:rPr>
      <w:t xml:space="preserve">   </w:t>
    </w:r>
    <w:r w:rsidR="00686787">
      <w:rPr>
        <w:noProof/>
        <w:lang w:eastAsia="es-CO"/>
      </w:rPr>
      <w:drawing>
        <wp:inline distT="0" distB="0" distL="0" distR="0" wp14:anchorId="3F91DE2A" wp14:editId="6C262929">
          <wp:extent cx="328295" cy="353060"/>
          <wp:effectExtent l="0" t="0" r="190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ais.png"/>
                  <pic:cNvPicPr/>
                </pic:nvPicPr>
                <pic:blipFill>
                  <a:blip r:embed="rId3">
                    <a:extLst>
                      <a:ext uri="{28A0092B-C50C-407E-A947-70E740481C1C}">
                        <a14:useLocalDpi xmlns:a14="http://schemas.microsoft.com/office/drawing/2010/main" val="0"/>
                      </a:ext>
                    </a:extLst>
                  </a:blip>
                  <a:stretch>
                    <a:fillRect/>
                  </a:stretch>
                </pic:blipFill>
                <pic:spPr>
                  <a:xfrm>
                    <a:off x="0" y="0"/>
                    <a:ext cx="328295" cy="353060"/>
                  </a:xfrm>
                  <a:prstGeom prst="rect">
                    <a:avLst/>
                  </a:prstGeom>
                </pic:spPr>
              </pic:pic>
            </a:graphicData>
          </a:graphic>
        </wp:inline>
      </w:drawing>
    </w:r>
    <w:r w:rsidR="00577459">
      <w:rPr>
        <w:noProof/>
      </w:rPr>
      <w:t xml:space="preserve"> </w:t>
    </w:r>
    <w:r>
      <w:rPr>
        <w:noProof/>
        <w:lang w:eastAsia="es-CO"/>
      </w:rPr>
      <w:drawing>
        <wp:inline distT="0" distB="0" distL="0" distR="0" wp14:anchorId="61043E08" wp14:editId="0E1B34D2">
          <wp:extent cx="1026795" cy="387064"/>
          <wp:effectExtent l="0" t="0" r="0" b="0"/>
          <wp:docPr id="2" name="Imagen 2" descr="Resultado de imagen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CAMARA DE REPRESENTANTES"/>
                  <pic:cNvPicPr>
                    <a:picLocks noChangeAspect="1" noChangeArrowheads="1"/>
                  </pic:cNvPicPr>
                </pic:nvPicPr>
                <pic:blipFill rotWithShape="1">
                  <a:blip r:embed="rId4">
                    <a:extLst>
                      <a:ext uri="{28A0092B-C50C-407E-A947-70E740481C1C}">
                        <a14:useLocalDpi xmlns:a14="http://schemas.microsoft.com/office/drawing/2010/main" val="0"/>
                      </a:ext>
                    </a:extLst>
                  </a:blip>
                  <a:srcRect l="6790" t="15912" r="9518" b="16665"/>
                  <a:stretch/>
                </pic:blipFill>
                <pic:spPr bwMode="auto">
                  <a:xfrm>
                    <a:off x="0" y="0"/>
                    <a:ext cx="1323014" cy="49872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086F28E4" w14:textId="77777777" w:rsidR="005149CC" w:rsidRPr="003810B2" w:rsidRDefault="005149CC" w:rsidP="005149CC">
    <w:pPr>
      <w:pStyle w:val="Encabezado"/>
      <w:jc w:val="center"/>
      <w:rPr>
        <w:u w:val="single"/>
      </w:rPr>
    </w:pPr>
  </w:p>
  <w:p w14:paraId="2B805BAA" w14:textId="77777777" w:rsidR="005149CC" w:rsidRDefault="005149C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57C76"/>
    <w:multiLevelType w:val="hybridMultilevel"/>
    <w:tmpl w:val="A84C054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D9E160D"/>
    <w:multiLevelType w:val="hybridMultilevel"/>
    <w:tmpl w:val="40CE87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D4457E"/>
    <w:multiLevelType w:val="hybridMultilevel"/>
    <w:tmpl w:val="643EFC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8A8286E"/>
    <w:multiLevelType w:val="hybridMultilevel"/>
    <w:tmpl w:val="EE6C6042"/>
    <w:lvl w:ilvl="0" w:tplc="72CC7A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FA4ABE"/>
    <w:multiLevelType w:val="hybridMultilevel"/>
    <w:tmpl w:val="4DD2FB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8686A95"/>
    <w:multiLevelType w:val="hybridMultilevel"/>
    <w:tmpl w:val="34BCA1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B9369BF"/>
    <w:multiLevelType w:val="hybridMultilevel"/>
    <w:tmpl w:val="384067C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7" w15:restartNumberingAfterBreak="0">
    <w:nsid w:val="2FFE549C"/>
    <w:multiLevelType w:val="hybridMultilevel"/>
    <w:tmpl w:val="793C7C12"/>
    <w:lvl w:ilvl="0" w:tplc="DC88C67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42E928CE"/>
    <w:multiLevelType w:val="hybridMultilevel"/>
    <w:tmpl w:val="78D03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92427AA"/>
    <w:multiLevelType w:val="hybridMultilevel"/>
    <w:tmpl w:val="A956B9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F930578"/>
    <w:multiLevelType w:val="hybridMultilevel"/>
    <w:tmpl w:val="EF6C81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ACB01A0"/>
    <w:multiLevelType w:val="hybridMultilevel"/>
    <w:tmpl w:val="26BA0B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F424C4D"/>
    <w:multiLevelType w:val="hybridMultilevel"/>
    <w:tmpl w:val="CF601132"/>
    <w:lvl w:ilvl="0" w:tplc="240A000B">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3"/>
  </w:num>
  <w:num w:numId="4">
    <w:abstractNumId w:val="7"/>
  </w:num>
  <w:num w:numId="5">
    <w:abstractNumId w:val="11"/>
  </w:num>
  <w:num w:numId="6">
    <w:abstractNumId w:val="4"/>
  </w:num>
  <w:num w:numId="7">
    <w:abstractNumId w:val="2"/>
  </w:num>
  <w:num w:numId="8">
    <w:abstractNumId w:val="1"/>
  </w:num>
  <w:num w:numId="9">
    <w:abstractNumId w:val="9"/>
  </w:num>
  <w:num w:numId="10">
    <w:abstractNumId w:val="12"/>
  </w:num>
  <w:num w:numId="11">
    <w:abstractNumId w:val="5"/>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B5"/>
    <w:rsid w:val="0000081B"/>
    <w:rsid w:val="000012AD"/>
    <w:rsid w:val="00016351"/>
    <w:rsid w:val="00033998"/>
    <w:rsid w:val="00055E1A"/>
    <w:rsid w:val="0008271A"/>
    <w:rsid w:val="000C24CE"/>
    <w:rsid w:val="000F78A8"/>
    <w:rsid w:val="001168C7"/>
    <w:rsid w:val="00116CF5"/>
    <w:rsid w:val="00142210"/>
    <w:rsid w:val="00144397"/>
    <w:rsid w:val="001558E1"/>
    <w:rsid w:val="00155F1F"/>
    <w:rsid w:val="00184EF7"/>
    <w:rsid w:val="00192183"/>
    <w:rsid w:val="001935B2"/>
    <w:rsid w:val="001C6191"/>
    <w:rsid w:val="001E4413"/>
    <w:rsid w:val="002105EA"/>
    <w:rsid w:val="002440E5"/>
    <w:rsid w:val="00280FA8"/>
    <w:rsid w:val="002811BA"/>
    <w:rsid w:val="002A1DAD"/>
    <w:rsid w:val="002B4885"/>
    <w:rsid w:val="002D471E"/>
    <w:rsid w:val="00312624"/>
    <w:rsid w:val="00323A76"/>
    <w:rsid w:val="00342575"/>
    <w:rsid w:val="00342F68"/>
    <w:rsid w:val="00396072"/>
    <w:rsid w:val="003B2698"/>
    <w:rsid w:val="003C47B6"/>
    <w:rsid w:val="003D5E62"/>
    <w:rsid w:val="004315B7"/>
    <w:rsid w:val="00493648"/>
    <w:rsid w:val="004D47FC"/>
    <w:rsid w:val="00501672"/>
    <w:rsid w:val="00504B8A"/>
    <w:rsid w:val="005149CC"/>
    <w:rsid w:val="00521AF3"/>
    <w:rsid w:val="00522FC7"/>
    <w:rsid w:val="0055004F"/>
    <w:rsid w:val="00560D53"/>
    <w:rsid w:val="00577459"/>
    <w:rsid w:val="00580692"/>
    <w:rsid w:val="00580E41"/>
    <w:rsid w:val="00585D06"/>
    <w:rsid w:val="00594BE6"/>
    <w:rsid w:val="005A3F5D"/>
    <w:rsid w:val="005D3BA8"/>
    <w:rsid w:val="005F782B"/>
    <w:rsid w:val="006038A8"/>
    <w:rsid w:val="00636195"/>
    <w:rsid w:val="006434D4"/>
    <w:rsid w:val="00646E75"/>
    <w:rsid w:val="00655E8E"/>
    <w:rsid w:val="00686787"/>
    <w:rsid w:val="006A0546"/>
    <w:rsid w:val="006A1401"/>
    <w:rsid w:val="006C305A"/>
    <w:rsid w:val="006C61C4"/>
    <w:rsid w:val="006D00EB"/>
    <w:rsid w:val="006F51E9"/>
    <w:rsid w:val="00700DC6"/>
    <w:rsid w:val="00720AB7"/>
    <w:rsid w:val="00733BAD"/>
    <w:rsid w:val="007627AA"/>
    <w:rsid w:val="00762845"/>
    <w:rsid w:val="007818D4"/>
    <w:rsid w:val="007E1103"/>
    <w:rsid w:val="007E6335"/>
    <w:rsid w:val="007F1C1E"/>
    <w:rsid w:val="007F1D85"/>
    <w:rsid w:val="008062D7"/>
    <w:rsid w:val="008266F2"/>
    <w:rsid w:val="00847C65"/>
    <w:rsid w:val="0088779F"/>
    <w:rsid w:val="008A0AB9"/>
    <w:rsid w:val="008A2905"/>
    <w:rsid w:val="008A7D8C"/>
    <w:rsid w:val="008B5337"/>
    <w:rsid w:val="008C0E7F"/>
    <w:rsid w:val="008C3C65"/>
    <w:rsid w:val="008D0FB5"/>
    <w:rsid w:val="008D3A8D"/>
    <w:rsid w:val="008F5B56"/>
    <w:rsid w:val="00912E95"/>
    <w:rsid w:val="00915B16"/>
    <w:rsid w:val="009221E6"/>
    <w:rsid w:val="00951139"/>
    <w:rsid w:val="009550C6"/>
    <w:rsid w:val="009713B1"/>
    <w:rsid w:val="009B04B5"/>
    <w:rsid w:val="009B5B38"/>
    <w:rsid w:val="009D0D4D"/>
    <w:rsid w:val="009D1823"/>
    <w:rsid w:val="009E05E3"/>
    <w:rsid w:val="009E4956"/>
    <w:rsid w:val="009F4BBB"/>
    <w:rsid w:val="00A10BF9"/>
    <w:rsid w:val="00A14C6E"/>
    <w:rsid w:val="00A17C8C"/>
    <w:rsid w:val="00A22C6C"/>
    <w:rsid w:val="00A52B74"/>
    <w:rsid w:val="00A761D0"/>
    <w:rsid w:val="00A83C96"/>
    <w:rsid w:val="00AB42E7"/>
    <w:rsid w:val="00AE3D83"/>
    <w:rsid w:val="00AE6239"/>
    <w:rsid w:val="00B163D7"/>
    <w:rsid w:val="00B6007B"/>
    <w:rsid w:val="00B725E7"/>
    <w:rsid w:val="00B851CC"/>
    <w:rsid w:val="00BC407F"/>
    <w:rsid w:val="00BD1828"/>
    <w:rsid w:val="00BF2149"/>
    <w:rsid w:val="00BF50BE"/>
    <w:rsid w:val="00BF5203"/>
    <w:rsid w:val="00C338E5"/>
    <w:rsid w:val="00C42F64"/>
    <w:rsid w:val="00C550BE"/>
    <w:rsid w:val="00C765AD"/>
    <w:rsid w:val="00CA3BA3"/>
    <w:rsid w:val="00CB4A68"/>
    <w:rsid w:val="00CE2FB7"/>
    <w:rsid w:val="00D01961"/>
    <w:rsid w:val="00D87618"/>
    <w:rsid w:val="00DA23D9"/>
    <w:rsid w:val="00DB5628"/>
    <w:rsid w:val="00DC748B"/>
    <w:rsid w:val="00DE69D3"/>
    <w:rsid w:val="00DF4DF0"/>
    <w:rsid w:val="00E17070"/>
    <w:rsid w:val="00E26DF5"/>
    <w:rsid w:val="00E400EA"/>
    <w:rsid w:val="00E42431"/>
    <w:rsid w:val="00E524A0"/>
    <w:rsid w:val="00E75780"/>
    <w:rsid w:val="00E83DAB"/>
    <w:rsid w:val="00E917D0"/>
    <w:rsid w:val="00E971A0"/>
    <w:rsid w:val="00EC5F29"/>
    <w:rsid w:val="00EF587B"/>
    <w:rsid w:val="00EF6A52"/>
    <w:rsid w:val="00F01C53"/>
    <w:rsid w:val="00F106CA"/>
    <w:rsid w:val="00F27A2F"/>
    <w:rsid w:val="00F33CA9"/>
    <w:rsid w:val="00F53A39"/>
    <w:rsid w:val="00F71CE8"/>
    <w:rsid w:val="00F774B4"/>
    <w:rsid w:val="00F92502"/>
    <w:rsid w:val="00F9332D"/>
    <w:rsid w:val="00FA1D72"/>
    <w:rsid w:val="00FB224E"/>
    <w:rsid w:val="00FC329E"/>
    <w:rsid w:val="00FD2950"/>
    <w:rsid w:val="00FF3098"/>
    <w:rsid w:val="00FF4543"/>
    <w:rsid w:val="00FF5D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1E28"/>
  <w15:chartTrackingRefBased/>
  <w15:docId w15:val="{96330159-8C70-4119-B23B-B152D159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4B5"/>
  </w:style>
  <w:style w:type="paragraph" w:styleId="Ttulo1">
    <w:name w:val="heading 1"/>
    <w:basedOn w:val="Normal"/>
    <w:next w:val="Normal"/>
    <w:link w:val="Ttulo1Car"/>
    <w:uiPriority w:val="9"/>
    <w:qFormat/>
    <w:rsid w:val="00912E95"/>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4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04B5"/>
  </w:style>
  <w:style w:type="paragraph" w:styleId="Piedepgina">
    <w:name w:val="footer"/>
    <w:basedOn w:val="Normal"/>
    <w:link w:val="PiedepginaCar"/>
    <w:uiPriority w:val="99"/>
    <w:unhideWhenUsed/>
    <w:rsid w:val="009B04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04B5"/>
  </w:style>
  <w:style w:type="paragraph" w:styleId="Prrafodelista">
    <w:name w:val="List Paragraph"/>
    <w:basedOn w:val="Normal"/>
    <w:uiPriority w:val="34"/>
    <w:qFormat/>
    <w:rsid w:val="00F33CA9"/>
    <w:pPr>
      <w:ind w:left="720"/>
      <w:contextualSpacing/>
    </w:pPr>
  </w:style>
  <w:style w:type="character" w:styleId="Hipervnculo">
    <w:name w:val="Hyperlink"/>
    <w:basedOn w:val="Fuentedeprrafopredeter"/>
    <w:uiPriority w:val="99"/>
    <w:unhideWhenUsed/>
    <w:rsid w:val="00915B16"/>
    <w:rPr>
      <w:color w:val="0563C1" w:themeColor="hyperlink"/>
      <w:u w:val="single"/>
    </w:rPr>
  </w:style>
  <w:style w:type="paragraph" w:styleId="Textodeglobo">
    <w:name w:val="Balloon Text"/>
    <w:basedOn w:val="Normal"/>
    <w:link w:val="TextodegloboCar"/>
    <w:uiPriority w:val="99"/>
    <w:semiHidden/>
    <w:unhideWhenUsed/>
    <w:rsid w:val="00F106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6CA"/>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9E05E3"/>
    <w:rPr>
      <w:color w:val="605E5C"/>
      <w:shd w:val="clear" w:color="auto" w:fill="E1DFDD"/>
    </w:rPr>
  </w:style>
  <w:style w:type="character" w:customStyle="1" w:styleId="Ttulo1Car">
    <w:name w:val="Título 1 Car"/>
    <w:basedOn w:val="Fuentedeprrafopredeter"/>
    <w:link w:val="Ttulo1"/>
    <w:uiPriority w:val="9"/>
    <w:rsid w:val="00912E95"/>
    <w:rPr>
      <w:rFonts w:asciiTheme="majorHAnsi" w:eastAsiaTheme="majorEastAsia" w:hAnsiTheme="majorHAnsi" w:cstheme="majorBidi"/>
      <w:color w:val="2E74B5" w:themeColor="accent1" w:themeShade="BF"/>
      <w:sz w:val="32"/>
      <w:szCs w:val="32"/>
      <w:lang w:val="en-US"/>
    </w:rPr>
  </w:style>
  <w:style w:type="paragraph" w:styleId="Descripcin">
    <w:name w:val="caption"/>
    <w:basedOn w:val="Normal"/>
    <w:next w:val="Normal"/>
    <w:uiPriority w:val="35"/>
    <w:semiHidden/>
    <w:unhideWhenUsed/>
    <w:qFormat/>
    <w:rsid w:val="00912E95"/>
    <w:pPr>
      <w:spacing w:after="200" w:line="240" w:lineRule="auto"/>
    </w:pPr>
    <w:rPr>
      <w:rFonts w:ascii="Times New Roman" w:hAnsi="Times New Roman"/>
      <w:i/>
      <w:iCs/>
      <w:color w:val="44546A" w:themeColor="text2"/>
      <w:sz w:val="18"/>
      <w:szCs w:val="18"/>
    </w:rPr>
  </w:style>
  <w:style w:type="paragraph" w:styleId="Bibliografa">
    <w:name w:val="Bibliography"/>
    <w:basedOn w:val="Normal"/>
    <w:next w:val="Normal"/>
    <w:uiPriority w:val="37"/>
    <w:unhideWhenUsed/>
    <w:rsid w:val="00912E95"/>
    <w:pPr>
      <w:spacing w:line="256" w:lineRule="auto"/>
    </w:pPr>
    <w:rPr>
      <w:rFonts w:ascii="Times New Roman" w:hAnsi="Times New Roman"/>
      <w:sz w:val="24"/>
    </w:rPr>
  </w:style>
  <w:style w:type="table" w:styleId="Tablaconcuadrcula">
    <w:name w:val="Table Grid"/>
    <w:basedOn w:val="Tablanormal"/>
    <w:uiPriority w:val="39"/>
    <w:rsid w:val="00E83DA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3DA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encinsinresolver2">
    <w:name w:val="Mención sin resolver2"/>
    <w:basedOn w:val="Fuentedeprrafopredeter"/>
    <w:uiPriority w:val="99"/>
    <w:rsid w:val="00E83DAB"/>
    <w:rPr>
      <w:color w:val="605E5C"/>
      <w:shd w:val="clear" w:color="auto" w:fill="E1DFDD"/>
    </w:rPr>
  </w:style>
  <w:style w:type="character" w:styleId="Hipervnculovisitado">
    <w:name w:val="FollowedHyperlink"/>
    <w:basedOn w:val="Fuentedeprrafopredeter"/>
    <w:uiPriority w:val="99"/>
    <w:semiHidden/>
    <w:unhideWhenUsed/>
    <w:rsid w:val="00FA1D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8123">
      <w:bodyDiv w:val="1"/>
      <w:marLeft w:val="0"/>
      <w:marRight w:val="0"/>
      <w:marTop w:val="0"/>
      <w:marBottom w:val="0"/>
      <w:divBdr>
        <w:top w:val="none" w:sz="0" w:space="0" w:color="auto"/>
        <w:left w:val="none" w:sz="0" w:space="0" w:color="auto"/>
        <w:bottom w:val="none" w:sz="0" w:space="0" w:color="auto"/>
        <w:right w:val="none" w:sz="0" w:space="0" w:color="auto"/>
      </w:divBdr>
    </w:div>
    <w:div w:id="223761759">
      <w:bodyDiv w:val="1"/>
      <w:marLeft w:val="0"/>
      <w:marRight w:val="0"/>
      <w:marTop w:val="0"/>
      <w:marBottom w:val="0"/>
      <w:divBdr>
        <w:top w:val="none" w:sz="0" w:space="0" w:color="auto"/>
        <w:left w:val="none" w:sz="0" w:space="0" w:color="auto"/>
        <w:bottom w:val="none" w:sz="0" w:space="0" w:color="auto"/>
        <w:right w:val="none" w:sz="0" w:space="0" w:color="auto"/>
      </w:divBdr>
    </w:div>
    <w:div w:id="413282328">
      <w:bodyDiv w:val="1"/>
      <w:marLeft w:val="0"/>
      <w:marRight w:val="0"/>
      <w:marTop w:val="0"/>
      <w:marBottom w:val="0"/>
      <w:divBdr>
        <w:top w:val="none" w:sz="0" w:space="0" w:color="auto"/>
        <w:left w:val="none" w:sz="0" w:space="0" w:color="auto"/>
        <w:bottom w:val="none" w:sz="0" w:space="0" w:color="auto"/>
        <w:right w:val="none" w:sz="0" w:space="0" w:color="auto"/>
      </w:divBdr>
    </w:div>
    <w:div w:id="602810559">
      <w:bodyDiv w:val="1"/>
      <w:marLeft w:val="0"/>
      <w:marRight w:val="0"/>
      <w:marTop w:val="0"/>
      <w:marBottom w:val="0"/>
      <w:divBdr>
        <w:top w:val="none" w:sz="0" w:space="0" w:color="auto"/>
        <w:left w:val="none" w:sz="0" w:space="0" w:color="auto"/>
        <w:bottom w:val="none" w:sz="0" w:space="0" w:color="auto"/>
        <w:right w:val="none" w:sz="0" w:space="0" w:color="auto"/>
      </w:divBdr>
    </w:div>
    <w:div w:id="148395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about:blank"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Sheet1!$B$1:$B$2</c:f>
              <c:strCache>
                <c:ptCount val="2"/>
                <c:pt idx="0">
                  <c:v>Tasa de desempleo </c:v>
                </c:pt>
                <c:pt idx="1">
                  <c:v>Hombres</c:v>
                </c:pt>
              </c:strCache>
            </c:strRef>
          </c:tx>
          <c:spPr>
            <a:pattFill prst="pct75">
              <a:fgClr>
                <a:schemeClr val="tx1"/>
              </a:fgClr>
              <a:bgClr>
                <a:schemeClr val="bg1"/>
              </a:bgClr>
            </a:patt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Total Nacional</c:v>
                </c:pt>
                <c:pt idx="1">
                  <c:v>Centros poblados y rural disperso</c:v>
                </c:pt>
                <c:pt idx="2">
                  <c:v>10 ciudades</c:v>
                </c:pt>
                <c:pt idx="3">
                  <c:v>Otras cabeceras</c:v>
                </c:pt>
                <c:pt idx="4">
                  <c:v>13 ciudades y áreas metropolitanas</c:v>
                </c:pt>
              </c:strCache>
            </c:strRef>
          </c:cat>
          <c:val>
            <c:numRef>
              <c:f>Sheet1!$B$3:$B$7</c:f>
              <c:numCache>
                <c:formatCode>#,#00%</c:formatCode>
                <c:ptCount val="5"/>
                <c:pt idx="0">
                  <c:v>8.1000000000000003E-2</c:v>
                </c:pt>
                <c:pt idx="1">
                  <c:v>3.9E-2</c:v>
                </c:pt>
                <c:pt idx="2">
                  <c:v>0.11799999999999999</c:v>
                </c:pt>
                <c:pt idx="3">
                  <c:v>8.8999999999999996E-2</c:v>
                </c:pt>
                <c:pt idx="4">
                  <c:v>9.6000000000000002E-2</c:v>
                </c:pt>
              </c:numCache>
            </c:numRef>
          </c:val>
          <c:extLst>
            <c:ext xmlns:c16="http://schemas.microsoft.com/office/drawing/2014/chart" uri="{C3380CC4-5D6E-409C-BE32-E72D297353CC}">
              <c16:uniqueId val="{00000000-92F5-4099-9F22-EF47A3AF0B03}"/>
            </c:ext>
          </c:extLst>
        </c:ser>
        <c:ser>
          <c:idx val="1"/>
          <c:order val="1"/>
          <c:tx>
            <c:strRef>
              <c:f>Sheet1!$C$1:$C$2</c:f>
              <c:strCache>
                <c:ptCount val="2"/>
                <c:pt idx="0">
                  <c:v>Tasa de desempleo </c:v>
                </c:pt>
                <c:pt idx="1">
                  <c:v>Mujeres </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Total Nacional</c:v>
                </c:pt>
                <c:pt idx="1">
                  <c:v>Centros poblados y rural disperso</c:v>
                </c:pt>
                <c:pt idx="2">
                  <c:v>10 ciudades</c:v>
                </c:pt>
                <c:pt idx="3">
                  <c:v>Otras cabeceras</c:v>
                </c:pt>
                <c:pt idx="4">
                  <c:v>13 ciudades y áreas metropolitanas</c:v>
                </c:pt>
              </c:strCache>
            </c:strRef>
          </c:cat>
          <c:val>
            <c:numRef>
              <c:f>Sheet1!$C$3:$C$7</c:f>
              <c:numCache>
                <c:formatCode>#,#00%</c:formatCode>
                <c:ptCount val="5"/>
                <c:pt idx="0">
                  <c:v>0.13900000000000001</c:v>
                </c:pt>
                <c:pt idx="1">
                  <c:v>0.11899999999999999</c:v>
                </c:pt>
                <c:pt idx="2">
                  <c:v>0.187</c:v>
                </c:pt>
                <c:pt idx="3">
                  <c:v>0.154</c:v>
                </c:pt>
                <c:pt idx="4">
                  <c:v>0.13200000000000001</c:v>
                </c:pt>
              </c:numCache>
            </c:numRef>
          </c:val>
          <c:extLst>
            <c:ext xmlns:c16="http://schemas.microsoft.com/office/drawing/2014/chart" uri="{C3380CC4-5D6E-409C-BE32-E72D297353CC}">
              <c16:uniqueId val="{00000001-92F5-4099-9F22-EF47A3AF0B03}"/>
            </c:ext>
          </c:extLst>
        </c:ser>
        <c:ser>
          <c:idx val="2"/>
          <c:order val="2"/>
          <c:tx>
            <c:strRef>
              <c:f>Sheet1!$D$1:$D$2</c:f>
              <c:strCache>
                <c:ptCount val="2"/>
                <c:pt idx="0">
                  <c:v>Tasa de desempleo </c:v>
                </c:pt>
                <c:pt idx="1">
                  <c:v>Brecha en puntos porcentuales</c:v>
                </c:pt>
              </c:strCache>
            </c:strRef>
          </c:tx>
          <c:spPr>
            <a:pattFill prst="narHorz">
              <a:fgClr>
                <a:schemeClr val="tx1"/>
              </a:fgClr>
              <a:bgClr>
                <a:schemeClr val="bg1"/>
              </a:bgClr>
            </a:patt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Total Nacional</c:v>
                </c:pt>
                <c:pt idx="1">
                  <c:v>Centros poblados y rural disperso</c:v>
                </c:pt>
                <c:pt idx="2">
                  <c:v>10 ciudades</c:v>
                </c:pt>
                <c:pt idx="3">
                  <c:v>Otras cabeceras</c:v>
                </c:pt>
                <c:pt idx="4">
                  <c:v>13 ciudades y áreas metropolitanas</c:v>
                </c:pt>
              </c:strCache>
            </c:strRef>
          </c:cat>
          <c:val>
            <c:numRef>
              <c:f>Sheet1!$D$3:$D$7</c:f>
              <c:numCache>
                <c:formatCode>#,#00%</c:formatCode>
                <c:ptCount val="5"/>
                <c:pt idx="0">
                  <c:v>5.8000000000000003E-2</c:v>
                </c:pt>
                <c:pt idx="1">
                  <c:v>0.08</c:v>
                </c:pt>
                <c:pt idx="2">
                  <c:v>6.9000000000000006E-2</c:v>
                </c:pt>
                <c:pt idx="3">
                  <c:v>6.5000000000000002E-2</c:v>
                </c:pt>
                <c:pt idx="4">
                  <c:v>3.5999999999999997E-2</c:v>
                </c:pt>
              </c:numCache>
            </c:numRef>
          </c:val>
          <c:extLst>
            <c:ext xmlns:c16="http://schemas.microsoft.com/office/drawing/2014/chart" uri="{C3380CC4-5D6E-409C-BE32-E72D297353CC}">
              <c16:uniqueId val="{00000002-92F5-4099-9F22-EF47A3AF0B03}"/>
            </c:ext>
          </c:extLst>
        </c:ser>
        <c:dLbls>
          <c:showLegendKey val="0"/>
          <c:showVal val="0"/>
          <c:showCatName val="0"/>
          <c:showSerName val="0"/>
          <c:showPercent val="0"/>
          <c:showBubbleSize val="0"/>
        </c:dLbls>
        <c:gapWidth val="219"/>
        <c:overlap val="-27"/>
        <c:axId val="-2137139776"/>
        <c:axId val="-2102506192"/>
      </c:barChart>
      <c:catAx>
        <c:axId val="-213713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Century Gothic" panose="020B0502020202020204" pitchFamily="34" charset="0"/>
                <a:ea typeface="+mn-ea"/>
                <a:cs typeface="+mn-cs"/>
              </a:defRPr>
            </a:pPr>
            <a:endParaRPr lang="es-CO"/>
          </a:p>
        </c:txPr>
        <c:crossAx val="-2102506192"/>
        <c:crosses val="autoZero"/>
        <c:auto val="1"/>
        <c:lblAlgn val="ctr"/>
        <c:lblOffset val="100"/>
        <c:noMultiLvlLbl val="0"/>
      </c:catAx>
      <c:valAx>
        <c:axId val="-2102506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entury Gothic" panose="020B0502020202020204" pitchFamily="34" charset="0"/>
                <a:ea typeface="+mn-ea"/>
                <a:cs typeface="+mn-cs"/>
              </a:defRPr>
            </a:pPr>
            <a:endParaRPr lang="es-CO"/>
          </a:p>
        </c:txPr>
        <c:crossAx val="-2137139776"/>
        <c:crosses val="autoZero"/>
        <c:crossBetween val="between"/>
      </c:valAx>
      <c:spPr>
        <a:noFill/>
        <a:ln>
          <a:noFill/>
        </a:ln>
        <a:effectLst/>
      </c:spPr>
    </c:plotArea>
    <c:legend>
      <c:legendPos val="b"/>
      <c:layout>
        <c:manualLayout>
          <c:xMode val="edge"/>
          <c:yMode val="edge"/>
          <c:x val="2.26546466883111E-2"/>
          <c:y val="0.74441189324523505"/>
          <c:w val="0.92711035232190298"/>
          <c:h val="0.2273660935844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Century Gothic" panose="020B0502020202020204" pitchFamily="34"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Century Gothic" charset="0"/>
                    <a:ea typeface="Century Gothic" charset="0"/>
                    <a:cs typeface="Century Gothic"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Sheet2!$A$1:$A$7</c:f>
              <c:strCache>
                <c:ptCount val="7"/>
                <c:pt idx="0">
                  <c:v>Total Nacional</c:v>
                </c:pt>
                <c:pt idx="1">
                  <c:v>Ninguno</c:v>
                </c:pt>
                <c:pt idx="2">
                  <c:v>Educación Básica Primaria</c:v>
                </c:pt>
                <c:pt idx="3">
                  <c:v>Educación Básica Secundaria</c:v>
                </c:pt>
                <c:pt idx="4">
                  <c:v>Eduación Media</c:v>
                </c:pt>
                <c:pt idx="5">
                  <c:v>Educación Técnica Profesional y Tecnológica</c:v>
                </c:pt>
                <c:pt idx="6">
                  <c:v>Educación Universitaria</c:v>
                </c:pt>
              </c:strCache>
            </c:strRef>
          </c:cat>
          <c:val>
            <c:numRef>
              <c:f>Sheet2!$B$1:$B$7</c:f>
              <c:numCache>
                <c:formatCode>General</c:formatCode>
                <c:ptCount val="7"/>
                <c:pt idx="0">
                  <c:v>88</c:v>
                </c:pt>
                <c:pt idx="1">
                  <c:v>63</c:v>
                </c:pt>
                <c:pt idx="2">
                  <c:v>65</c:v>
                </c:pt>
                <c:pt idx="3">
                  <c:v>66</c:v>
                </c:pt>
                <c:pt idx="4">
                  <c:v>73</c:v>
                </c:pt>
                <c:pt idx="5">
                  <c:v>75</c:v>
                </c:pt>
                <c:pt idx="6">
                  <c:v>81</c:v>
                </c:pt>
              </c:numCache>
            </c:numRef>
          </c:val>
          <c:extLst>
            <c:ext xmlns:c16="http://schemas.microsoft.com/office/drawing/2014/chart" uri="{C3380CC4-5D6E-409C-BE32-E72D297353CC}">
              <c16:uniqueId val="{00000000-C8D5-4825-9F85-C82EE4F7A6D5}"/>
            </c:ext>
          </c:extLst>
        </c:ser>
        <c:dLbls>
          <c:dLblPos val="outEnd"/>
          <c:showLegendKey val="0"/>
          <c:showVal val="1"/>
          <c:showCatName val="0"/>
          <c:showSerName val="0"/>
          <c:showPercent val="0"/>
          <c:showBubbleSize val="0"/>
        </c:dLbls>
        <c:gapWidth val="219"/>
        <c:overlap val="-27"/>
        <c:axId val="-2131458080"/>
        <c:axId val="-2131257936"/>
      </c:barChart>
      <c:catAx>
        <c:axId val="-213145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CO"/>
          </a:p>
        </c:txPr>
        <c:crossAx val="-2131257936"/>
        <c:crossesAt val="0"/>
        <c:auto val="1"/>
        <c:lblAlgn val="ctr"/>
        <c:lblOffset val="100"/>
        <c:noMultiLvlLbl val="0"/>
      </c:catAx>
      <c:valAx>
        <c:axId val="-2131257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CO"/>
          </a:p>
        </c:txPr>
        <c:crossAx val="-2131458080"/>
        <c:crosses val="autoZero"/>
        <c:crossBetween val="between"/>
        <c:majorUnit val="2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v>Ingreso Total</c:v>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ln>
                      <a:noFill/>
                    </a:ln>
                    <a:solidFill>
                      <a:schemeClr val="bg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Sheet1!$B$1:$C$2</c:f>
              <c:multiLvlStrCache>
                <c:ptCount val="2"/>
                <c:lvl>
                  <c:pt idx="0">
                    <c:v>Mujeres</c:v>
                  </c:pt>
                  <c:pt idx="1">
                    <c:v>Hombres</c:v>
                  </c:pt>
                </c:lvl>
                <c:lvl>
                  <c:pt idx="0">
                    <c:v>Ingreso</c:v>
                  </c:pt>
                </c:lvl>
              </c:multiLvlStrCache>
            </c:multiLvlStrRef>
          </c:cat>
          <c:val>
            <c:numRef>
              <c:f>Sheet1!$B$3:$C$3</c:f>
              <c:numCache>
                <c:formatCode>General</c:formatCode>
                <c:ptCount val="2"/>
                <c:pt idx="0">
                  <c:v>98</c:v>
                </c:pt>
                <c:pt idx="1">
                  <c:v>171</c:v>
                </c:pt>
              </c:numCache>
            </c:numRef>
          </c:val>
          <c:extLst>
            <c:ext xmlns:c16="http://schemas.microsoft.com/office/drawing/2014/chart" uri="{C3380CC4-5D6E-409C-BE32-E72D297353CC}">
              <c16:uniqueId val="{00000000-C9CA-49F1-AAD7-05E785DB1FF6}"/>
            </c:ext>
          </c:extLst>
        </c:ser>
        <c:ser>
          <c:idx val="1"/>
          <c:order val="1"/>
          <c:tx>
            <c:v>Brecha</c:v>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Sheet1!$B$1:$C$2</c:f>
              <c:multiLvlStrCache>
                <c:ptCount val="2"/>
                <c:lvl>
                  <c:pt idx="0">
                    <c:v>Mujeres</c:v>
                  </c:pt>
                  <c:pt idx="1">
                    <c:v>Hombres</c:v>
                  </c:pt>
                </c:lvl>
                <c:lvl>
                  <c:pt idx="0">
                    <c:v>Ingreso</c:v>
                  </c:pt>
                </c:lvl>
              </c:multiLvlStrCache>
            </c:multiLvlStrRef>
          </c:cat>
          <c:val>
            <c:numRef>
              <c:f>Sheet1!$B$4:$C$4</c:f>
              <c:numCache>
                <c:formatCode>General</c:formatCode>
                <c:ptCount val="2"/>
                <c:pt idx="0">
                  <c:v>73</c:v>
                </c:pt>
              </c:numCache>
            </c:numRef>
          </c:val>
          <c:extLst>
            <c:ext xmlns:c16="http://schemas.microsoft.com/office/drawing/2014/chart" uri="{C3380CC4-5D6E-409C-BE32-E72D297353CC}">
              <c16:uniqueId val="{00000001-C9CA-49F1-AAD7-05E785DB1FF6}"/>
            </c:ext>
          </c:extLst>
        </c:ser>
        <c:dLbls>
          <c:dLblPos val="ctr"/>
          <c:showLegendKey val="0"/>
          <c:showVal val="1"/>
          <c:showCatName val="0"/>
          <c:showSerName val="0"/>
          <c:showPercent val="0"/>
          <c:showBubbleSize val="0"/>
        </c:dLbls>
        <c:gapWidth val="150"/>
        <c:overlap val="100"/>
        <c:axId val="-2100680736"/>
        <c:axId val="2146403856"/>
      </c:barChart>
      <c:catAx>
        <c:axId val="-210068073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Century Gothic" charset="0"/>
                <a:ea typeface="Century Gothic" charset="0"/>
                <a:cs typeface="Century Gothic" charset="0"/>
              </a:defRPr>
            </a:pPr>
            <a:endParaRPr lang="es-CO"/>
          </a:p>
        </c:txPr>
        <c:crossAx val="2146403856"/>
        <c:crosses val="autoZero"/>
        <c:auto val="1"/>
        <c:lblAlgn val="ctr"/>
        <c:lblOffset val="100"/>
        <c:noMultiLvlLbl val="0"/>
      </c:catAx>
      <c:valAx>
        <c:axId val="2146403856"/>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CO"/>
                  <a:t>Millones</a:t>
                </a:r>
                <a:r>
                  <a:rPr lang="es-CO" baseline="0"/>
                  <a:t> de Pesos</a:t>
                </a:r>
                <a:endParaRPr lang="es-CO"/>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CO"/>
          </a:p>
        </c:txPr>
        <c:crossAx val="-2100680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Century Gothic" charset="0"/>
              <a:ea typeface="Century Gothic" charset="0"/>
              <a:cs typeface="Century Gothic" charset="0"/>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ONU17</b:Tag>
    <b:SourceType>DocumentFromInternetSite</b:SourceType>
    <b:Guid>{334A0D46-067D-46A6-A5AA-963C1345776C}</b:Guid>
    <b:Author>
      <b:Author>
        <b:Corporate>ONU Mujeres, UNFPA, PNUD</b:Corporate>
      </b:Author>
    </b:Author>
    <b:Title>Brechas de género y desigualdad: de los Objetivos de Desarrollo del Milenio a los Objetivos de DEsarrollo Sostenible</b:Title>
    <b:Year>2017</b:Year>
    <b:City>Bogotá</b:City>
    <b:CountryRegion>Colombia</b:CountryRegion>
    <b:Month>Semptiembre</b:Month>
    <b:InternetSiteTitle>UNFPA Colombia</b:InternetSiteTitle>
    <b:URL>https://colombia.unfpa.org/sites/default/files/pub-pdf/PDF%20WEB%20BRECHAS%20DE%20GENERO%20Y%20DESIGUALDAD.pdf</b:URL>
    <b:RefOrder>1</b:RefOrder>
  </b:Source>
  <b:Source>
    <b:Tag>Ávi16</b:Tag>
    <b:SourceType>Report</b:SourceType>
    <b:Guid>{22031344-5101-4A04-92C4-CA66BFCDBB55}</b:Guid>
    <b:Title>Diferencias de género en la riqueza, ingresos y rentas de las personas naturales en COlombia</b:Title>
    <b:Year>2016</b:Year>
    <b:Publisher>Dirección General DIAN</b:Publisher>
    <b:City>Bogotá</b:City>
    <b:Author>
      <b:Author>
        <b:NameList>
          <b:Person>
            <b:Last>Ávila Mahecha</b:Last>
            <b:First>Javier</b:First>
          </b:Person>
        </b:NameList>
      </b:Author>
    </b:Author>
    <b:RefOrder>2</b:RefOrder>
  </b:Source>
  <b:Source>
    <b:Tag>DAN18</b:Tag>
    <b:SourceType>Report</b:SourceType>
    <b:Guid>{4B7D0E05-D00B-4E09-8F6D-1C2D6FD0D988}</b:Guid>
    <b:Author>
      <b:Author>
        <b:Corporate>DANE</b:Corporate>
      </b:Author>
    </b:Author>
    <b:Title>Resultados Censo Nacional de Población y Vivienda 2018</b:Title>
    <b:Year>2018</b:Year>
    <b:Publisher>DANE</b:Publisher>
    <b:City>Bogotá</b:City>
    <b:RefOrder>3</b:RefOrder>
  </b:Source>
  <b:Source>
    <b:Tag>Vil97</b:Tag>
    <b:SourceType>Book</b:SourceType>
    <b:Guid>{7EEE6D0C-05E2-4D4E-809A-DD3E11361290}</b:Guid>
    <b:Title>El poder y el valor: fundamentos de una ética política </b:Title>
    <b:Year>1997</b:Year>
    <b:Publisher>Fonde de Cultura Económica</b:Publisher>
    <b:City>CDMX</b:City>
    <b:Author>
      <b:Author>
        <b:NameList>
          <b:Person>
            <b:Last>Villoro</b:Last>
            <b:First>Luis</b:First>
          </b:Person>
        </b:NameList>
      </b:Author>
      <b:BookAuthor>
        <b:NameList>
          <b:Person>
            <b:Last>Villoro</b:Last>
            <b:First>Luis</b:First>
          </b:Person>
        </b:NameList>
      </b:BookAuthor>
    </b:Author>
    <b:RefOrder>4</b:RefOrder>
  </b:Source>
  <b:Source>
    <b:Tag>DAN20</b:Tag>
    <b:SourceType>Report</b:SourceType>
    <b:Guid>{9679367C-79B8-4006-A5F4-7E026189A0E5}</b:Guid>
    <b:Title>Boletín Técnico Mercado Laboral según Sexo Trimestre móvil noviembre 2019 - enero 2020</b:Title>
    <b:Year>2020</b:Year>
    <b:City>Bogotá</b:City>
    <b:Publisher>DANE</b:Publisher>
    <b:Author>
      <b:Author>
        <b:Corporate>DANE</b:Corporate>
      </b:Author>
    </b:Author>
    <b:RefOrder>5</b:RefOrder>
  </b:Source>
  <b:Source>
    <b:Tag>DAN19</b:Tag>
    <b:SourceType>Report</b:SourceType>
    <b:Guid>{9981174B-D27E-48A4-BF9F-B726F3FC8ED8}</b:Guid>
    <b:Author>
      <b:Author>
        <b:Corporate>DANE</b:Corporate>
      </b:Author>
    </b:Author>
    <b:Title>Boletín Estadístico Empoderamiento Económico de las Mujeres en Colombia</b:Title>
    <b:Year>2019</b:Year>
    <b:Publisher>DANE</b:Publisher>
    <b:City>Bogotá</b:City>
    <b:RefOrder>6</b:RefOrder>
  </b:Source>
  <b:Source>
    <b:Tag>Are18</b:Tag>
    <b:SourceType>Report</b:SourceType>
    <b:Guid>{8D9E2C2D-E75C-4B8A-A4FC-20EF41C9D8EE}</b:Guid>
    <b:Title>Política tributaria y sesgos de género: aproximaciones al caso colombiano</b:Title>
    <b:Year>2018</b:Year>
    <b:Publisher>Friedrich Ebert Stiftung</b:Publisher>
    <b:Author>
      <b:Author>
        <b:NameList>
          <b:Person>
            <b:Last>Arenas Saavedra</b:Last>
            <b:Middle>Isabel</b:Middle>
            <b:First>Ana</b:First>
          </b:Person>
        </b:NameList>
      </b:Author>
    </b:Author>
    <b:RefOrder>7</b:RefOrder>
  </b:Source>
  <b:Source>
    <b:Tag>Alm11</b:Tag>
    <b:SourceType>Report</b:SourceType>
    <b:Guid>{8B7D040B-488F-422B-87E9-6EB0A39FD37B}</b:Guid>
    <b:Title>Importancia de la perspectiva de género en los sistemas de estadísticas</b:Title>
    <b:Year>2011</b:Year>
    <b:City>Antigua Guatemala</b:City>
    <b:Publisher>Oficial de Asuntos Sociales, División de Asuntos de Género CEPAL</b:Publisher>
    <b:Author>
      <b:Author>
        <b:NameList>
          <b:Person>
            <b:Last>Alméras</b:Last>
            <b:First>Diane</b:First>
          </b:Person>
        </b:NameList>
      </b:Author>
    </b:Author>
    <b:RefOrder>8</b:RefOrder>
  </b:Source>
</b:Sources>
</file>

<file path=customXml/itemProps1.xml><?xml version="1.0" encoding="utf-8"?>
<ds:datastoreItem xmlns:ds="http://schemas.openxmlformats.org/officeDocument/2006/customXml" ds:itemID="{AA68F87B-6A9F-40B4-8C12-F1464C82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3225</Words>
  <Characters>17741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rodriguez</dc:creator>
  <cp:keywords/>
  <dc:description/>
  <cp:lastModifiedBy>hasbleidy suarez</cp:lastModifiedBy>
  <cp:revision>2</cp:revision>
  <cp:lastPrinted>2019-12-18T14:26:00Z</cp:lastPrinted>
  <dcterms:created xsi:type="dcterms:W3CDTF">2020-07-23T23:34:00Z</dcterms:created>
  <dcterms:modified xsi:type="dcterms:W3CDTF">2020-07-23T23:34:00Z</dcterms:modified>
</cp:coreProperties>
</file>