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CCCC9" w14:textId="60CD0B66" w:rsidR="002C61C5" w:rsidRPr="003D6049" w:rsidRDefault="002C61C5" w:rsidP="002C61C5">
      <w:pPr>
        <w:spacing w:after="200" w:line="360" w:lineRule="auto"/>
        <w:jc w:val="both"/>
        <w:rPr>
          <w:sz w:val="24"/>
          <w:szCs w:val="24"/>
        </w:rPr>
      </w:pPr>
      <w:r w:rsidRPr="003D6049">
        <w:rPr>
          <w:sz w:val="24"/>
          <w:szCs w:val="24"/>
        </w:rPr>
        <w:t xml:space="preserve">Bogotá D.C., </w:t>
      </w:r>
      <w:r w:rsidR="00303A86" w:rsidRPr="003D6049">
        <w:rPr>
          <w:sz w:val="24"/>
          <w:szCs w:val="24"/>
        </w:rPr>
        <w:t>diciembre</w:t>
      </w:r>
      <w:r w:rsidRPr="003D6049">
        <w:rPr>
          <w:sz w:val="24"/>
          <w:szCs w:val="24"/>
        </w:rPr>
        <w:t xml:space="preserve"> </w:t>
      </w:r>
      <w:r w:rsidR="00303A86" w:rsidRPr="003D6049">
        <w:rPr>
          <w:sz w:val="24"/>
          <w:szCs w:val="24"/>
        </w:rPr>
        <w:t>0</w:t>
      </w:r>
      <w:r w:rsidR="004D44AB" w:rsidRPr="003D6049">
        <w:rPr>
          <w:sz w:val="24"/>
          <w:szCs w:val="24"/>
        </w:rPr>
        <w:t>3</w:t>
      </w:r>
      <w:r w:rsidRPr="003D6049">
        <w:rPr>
          <w:sz w:val="24"/>
          <w:szCs w:val="24"/>
        </w:rPr>
        <w:t xml:space="preserve"> de 202</w:t>
      </w:r>
      <w:r w:rsidR="00943509" w:rsidRPr="003D6049">
        <w:rPr>
          <w:sz w:val="24"/>
          <w:szCs w:val="24"/>
        </w:rPr>
        <w:t>4</w:t>
      </w:r>
    </w:p>
    <w:p w14:paraId="7BA914B5" w14:textId="77777777" w:rsidR="002C61C5" w:rsidRPr="003D6049" w:rsidRDefault="002C61C5" w:rsidP="002C61C5">
      <w:pPr>
        <w:spacing w:after="200" w:line="360" w:lineRule="auto"/>
        <w:jc w:val="both"/>
        <w:rPr>
          <w:sz w:val="24"/>
          <w:szCs w:val="24"/>
        </w:rPr>
      </w:pPr>
      <w:r w:rsidRPr="003D6049">
        <w:rPr>
          <w:sz w:val="24"/>
          <w:szCs w:val="24"/>
        </w:rPr>
        <w:t xml:space="preserve"> </w:t>
      </w:r>
    </w:p>
    <w:p w14:paraId="208C4DDB" w14:textId="77777777" w:rsidR="002C61C5" w:rsidRPr="003D6049" w:rsidRDefault="002C61C5" w:rsidP="002C61C5">
      <w:pPr>
        <w:spacing w:line="240" w:lineRule="auto"/>
        <w:jc w:val="both"/>
        <w:rPr>
          <w:sz w:val="24"/>
          <w:szCs w:val="24"/>
        </w:rPr>
      </w:pPr>
      <w:r w:rsidRPr="003D6049">
        <w:rPr>
          <w:sz w:val="24"/>
          <w:szCs w:val="24"/>
        </w:rPr>
        <w:t>Doctor</w:t>
      </w:r>
    </w:p>
    <w:p w14:paraId="419385D4" w14:textId="77777777" w:rsidR="002C61C5" w:rsidRPr="003D6049" w:rsidRDefault="002C61C5" w:rsidP="002C61C5">
      <w:pPr>
        <w:spacing w:line="240" w:lineRule="auto"/>
        <w:jc w:val="both"/>
        <w:rPr>
          <w:b/>
          <w:sz w:val="24"/>
          <w:szCs w:val="24"/>
        </w:rPr>
      </w:pPr>
      <w:r w:rsidRPr="003D6049">
        <w:rPr>
          <w:b/>
          <w:sz w:val="24"/>
          <w:szCs w:val="24"/>
        </w:rPr>
        <w:t>JAIME LUIS LACOUTURE PEÑALOZA</w:t>
      </w:r>
    </w:p>
    <w:p w14:paraId="5381E37E" w14:textId="77777777" w:rsidR="002C61C5" w:rsidRPr="003D6049" w:rsidRDefault="002C61C5" w:rsidP="002C61C5">
      <w:pPr>
        <w:spacing w:line="240" w:lineRule="auto"/>
        <w:jc w:val="both"/>
        <w:rPr>
          <w:sz w:val="24"/>
          <w:szCs w:val="24"/>
        </w:rPr>
      </w:pPr>
      <w:r w:rsidRPr="003D6049">
        <w:rPr>
          <w:sz w:val="24"/>
          <w:szCs w:val="24"/>
        </w:rPr>
        <w:t>Secretario General</w:t>
      </w:r>
    </w:p>
    <w:p w14:paraId="39012B92" w14:textId="77777777" w:rsidR="002C61C5" w:rsidRPr="003D6049" w:rsidRDefault="002C61C5" w:rsidP="002C61C5">
      <w:pPr>
        <w:spacing w:line="240" w:lineRule="auto"/>
        <w:jc w:val="both"/>
        <w:rPr>
          <w:sz w:val="24"/>
          <w:szCs w:val="24"/>
        </w:rPr>
      </w:pPr>
      <w:r w:rsidRPr="003D6049">
        <w:rPr>
          <w:sz w:val="24"/>
          <w:szCs w:val="24"/>
        </w:rPr>
        <w:t>Cámara de Representantes</w:t>
      </w:r>
    </w:p>
    <w:p w14:paraId="7CF14EDC" w14:textId="77777777" w:rsidR="002C61C5" w:rsidRPr="003D6049" w:rsidRDefault="002C61C5" w:rsidP="002C61C5">
      <w:pPr>
        <w:spacing w:after="200" w:line="240" w:lineRule="auto"/>
        <w:jc w:val="both"/>
        <w:rPr>
          <w:sz w:val="24"/>
          <w:szCs w:val="24"/>
        </w:rPr>
      </w:pPr>
      <w:r w:rsidRPr="003D6049">
        <w:rPr>
          <w:sz w:val="24"/>
          <w:szCs w:val="24"/>
        </w:rPr>
        <w:t>Congreso de la República</w:t>
      </w:r>
    </w:p>
    <w:p w14:paraId="1B36A511" w14:textId="1A674615" w:rsidR="002C61C5" w:rsidRPr="003D6049" w:rsidRDefault="002C61C5">
      <w:pPr>
        <w:rPr>
          <w:sz w:val="24"/>
          <w:szCs w:val="24"/>
        </w:rPr>
      </w:pPr>
    </w:p>
    <w:p w14:paraId="3DD836E7" w14:textId="06E29837" w:rsidR="00F11A79" w:rsidRPr="003D6049" w:rsidRDefault="002C61C5" w:rsidP="00F11A79">
      <w:pPr>
        <w:pStyle w:val="NormalWeb"/>
        <w:spacing w:line="360" w:lineRule="auto"/>
        <w:ind w:left="567"/>
        <w:jc w:val="both"/>
        <w:rPr>
          <w:rFonts w:ascii="Arial" w:eastAsia="Arial" w:hAnsi="Arial" w:cs="Arial"/>
        </w:rPr>
      </w:pPr>
      <w:r w:rsidRPr="003D6049">
        <w:rPr>
          <w:rFonts w:ascii="Arial" w:eastAsia="Arial" w:hAnsi="Arial" w:cs="Arial"/>
          <w:b/>
          <w:bCs/>
        </w:rPr>
        <w:t xml:space="preserve">Asunto: </w:t>
      </w:r>
      <w:r w:rsidRPr="003D6049">
        <w:rPr>
          <w:rFonts w:ascii="Arial" w:eastAsia="Arial" w:hAnsi="Arial" w:cs="Arial"/>
        </w:rPr>
        <w:t xml:space="preserve">Radicación del Proyecto de Ley </w:t>
      </w:r>
      <w:r w:rsidR="00F11A79" w:rsidRPr="003D6049">
        <w:rPr>
          <w:rFonts w:ascii="Arial" w:eastAsia="Arial" w:hAnsi="Arial" w:cs="Arial"/>
          <w:i/>
          <w:iCs/>
        </w:rPr>
        <w:t>"Por medio de la cual se autoriza a la</w:t>
      </w:r>
      <w:r w:rsidR="00A7291E" w:rsidRPr="003D6049">
        <w:rPr>
          <w:rFonts w:ascii="Arial" w:eastAsia="Arial" w:hAnsi="Arial" w:cs="Arial"/>
          <w:i/>
          <w:iCs/>
        </w:rPr>
        <w:t>s</w:t>
      </w:r>
      <w:r w:rsidR="00F11A79" w:rsidRPr="003D6049">
        <w:rPr>
          <w:rFonts w:ascii="Arial" w:eastAsia="Arial" w:hAnsi="Arial" w:cs="Arial"/>
          <w:i/>
          <w:iCs/>
        </w:rPr>
        <w:t xml:space="preserve"> </w:t>
      </w:r>
      <w:r w:rsidR="00943509" w:rsidRPr="003D6049">
        <w:rPr>
          <w:rFonts w:ascii="Arial" w:eastAsia="Arial" w:hAnsi="Arial" w:cs="Arial"/>
          <w:i/>
          <w:iCs/>
        </w:rPr>
        <w:t>A</w:t>
      </w:r>
      <w:r w:rsidR="00F11A79" w:rsidRPr="003D6049">
        <w:rPr>
          <w:rFonts w:ascii="Arial" w:eastAsia="Arial" w:hAnsi="Arial" w:cs="Arial"/>
          <w:i/>
          <w:iCs/>
        </w:rPr>
        <w:t>samblea</w:t>
      </w:r>
      <w:r w:rsidR="00A7291E" w:rsidRPr="003D6049">
        <w:rPr>
          <w:rFonts w:ascii="Arial" w:eastAsia="Arial" w:hAnsi="Arial" w:cs="Arial"/>
          <w:i/>
          <w:iCs/>
        </w:rPr>
        <w:t>s</w:t>
      </w:r>
      <w:r w:rsidR="00F11A79" w:rsidRPr="003D6049">
        <w:rPr>
          <w:rFonts w:ascii="Arial" w:eastAsia="Arial" w:hAnsi="Arial" w:cs="Arial"/>
          <w:i/>
          <w:iCs/>
        </w:rPr>
        <w:t xml:space="preserve"> </w:t>
      </w:r>
      <w:r w:rsidR="00943509" w:rsidRPr="003D6049">
        <w:rPr>
          <w:rFonts w:ascii="Arial" w:eastAsia="Arial" w:hAnsi="Arial" w:cs="Arial"/>
          <w:i/>
          <w:iCs/>
        </w:rPr>
        <w:t>D</w:t>
      </w:r>
      <w:r w:rsidR="00F11A79" w:rsidRPr="003D6049">
        <w:rPr>
          <w:rFonts w:ascii="Arial" w:eastAsia="Arial" w:hAnsi="Arial" w:cs="Arial"/>
          <w:i/>
          <w:iCs/>
        </w:rPr>
        <w:t>epartamental</w:t>
      </w:r>
      <w:r w:rsidR="00A7291E" w:rsidRPr="003D6049">
        <w:rPr>
          <w:rFonts w:ascii="Arial" w:eastAsia="Arial" w:hAnsi="Arial" w:cs="Arial"/>
          <w:i/>
          <w:iCs/>
        </w:rPr>
        <w:t xml:space="preserve">es y los </w:t>
      </w:r>
      <w:r w:rsidR="00D1721D" w:rsidRPr="003D6049">
        <w:rPr>
          <w:rFonts w:ascii="Arial" w:eastAsia="Arial" w:hAnsi="Arial" w:cs="Arial"/>
          <w:i/>
          <w:iCs/>
        </w:rPr>
        <w:t>C</w:t>
      </w:r>
      <w:r w:rsidR="00A7291E" w:rsidRPr="003D6049">
        <w:rPr>
          <w:rFonts w:ascii="Arial" w:eastAsia="Arial" w:hAnsi="Arial" w:cs="Arial"/>
          <w:i/>
          <w:iCs/>
        </w:rPr>
        <w:t xml:space="preserve">oncejos </w:t>
      </w:r>
      <w:r w:rsidR="00D1721D" w:rsidRPr="003D6049">
        <w:rPr>
          <w:rFonts w:ascii="Arial" w:eastAsia="Arial" w:hAnsi="Arial" w:cs="Arial"/>
          <w:i/>
          <w:iCs/>
        </w:rPr>
        <w:t>M</w:t>
      </w:r>
      <w:r w:rsidR="00A7291E" w:rsidRPr="003D6049">
        <w:rPr>
          <w:rFonts w:ascii="Arial" w:eastAsia="Arial" w:hAnsi="Arial" w:cs="Arial"/>
          <w:i/>
          <w:iCs/>
        </w:rPr>
        <w:t xml:space="preserve">unicipales de la </w:t>
      </w:r>
      <w:proofErr w:type="spellStart"/>
      <w:r w:rsidR="00A7291E" w:rsidRPr="003D6049">
        <w:rPr>
          <w:rFonts w:ascii="Arial" w:eastAsia="Arial" w:hAnsi="Arial" w:cs="Arial"/>
          <w:i/>
          <w:iCs/>
        </w:rPr>
        <w:t>Amazorinoquia</w:t>
      </w:r>
      <w:proofErr w:type="spellEnd"/>
      <w:r w:rsidR="00A7291E" w:rsidRPr="003D6049">
        <w:rPr>
          <w:rFonts w:ascii="Arial" w:eastAsia="Arial" w:hAnsi="Arial" w:cs="Arial"/>
          <w:i/>
          <w:iCs/>
        </w:rPr>
        <w:t xml:space="preserve"> </w:t>
      </w:r>
      <w:r w:rsidR="00F11A79" w:rsidRPr="003D6049">
        <w:rPr>
          <w:rFonts w:ascii="Arial" w:eastAsia="Arial" w:hAnsi="Arial" w:cs="Arial"/>
          <w:i/>
          <w:iCs/>
        </w:rPr>
        <w:t>para emitir la estampilla en beneficio de las personas en condición de discapacidad."</w:t>
      </w:r>
    </w:p>
    <w:p w14:paraId="01217F1A" w14:textId="77777777" w:rsidR="002C61C5" w:rsidRPr="003D6049" w:rsidRDefault="002C61C5" w:rsidP="00F11A79">
      <w:pPr>
        <w:jc w:val="both"/>
        <w:rPr>
          <w:sz w:val="24"/>
          <w:szCs w:val="24"/>
        </w:rPr>
      </w:pPr>
    </w:p>
    <w:p w14:paraId="151A40DB" w14:textId="79975AA7" w:rsidR="002C61C5" w:rsidRPr="003D6049" w:rsidRDefault="002C61C5" w:rsidP="00F11A79">
      <w:pPr>
        <w:pStyle w:val="NormalWeb"/>
        <w:jc w:val="both"/>
        <w:rPr>
          <w:rFonts w:ascii="Arial" w:eastAsia="Arial" w:hAnsi="Arial" w:cs="Arial"/>
        </w:rPr>
      </w:pPr>
      <w:r w:rsidRPr="003D6049">
        <w:rPr>
          <w:rFonts w:ascii="Arial" w:eastAsia="Arial" w:hAnsi="Arial" w:cs="Arial"/>
        </w:rPr>
        <w:t xml:space="preserve">En mi condición de miembro del congreso de la República, me permito radicar en su despacho y poner a consideración de la Honorable Cámara de Representantes el proyecto de ley </w:t>
      </w:r>
      <w:r w:rsidR="00F11A79" w:rsidRPr="003D6049">
        <w:rPr>
          <w:rFonts w:ascii="Arial" w:eastAsia="Arial" w:hAnsi="Arial" w:cs="Arial"/>
          <w:i/>
          <w:iCs/>
        </w:rPr>
        <w:t>"</w:t>
      </w:r>
      <w:r w:rsidR="00A7291E" w:rsidRPr="003D6049">
        <w:rPr>
          <w:rFonts w:ascii="Arial" w:eastAsia="Arial" w:hAnsi="Arial" w:cs="Arial"/>
          <w:i/>
          <w:iCs/>
        </w:rPr>
        <w:t xml:space="preserve">Por medio de la cual se autoriza a las Asambleas Departamentales y los Concejos Municipales de la </w:t>
      </w:r>
      <w:proofErr w:type="spellStart"/>
      <w:r w:rsidR="00A7291E" w:rsidRPr="003D6049">
        <w:rPr>
          <w:rFonts w:ascii="Arial" w:eastAsia="Arial" w:hAnsi="Arial" w:cs="Arial"/>
          <w:i/>
          <w:iCs/>
        </w:rPr>
        <w:t>Amazorinoquia</w:t>
      </w:r>
      <w:proofErr w:type="spellEnd"/>
      <w:r w:rsidR="00A7291E" w:rsidRPr="003D6049">
        <w:rPr>
          <w:rFonts w:ascii="Arial" w:eastAsia="Arial" w:hAnsi="Arial" w:cs="Arial"/>
          <w:i/>
          <w:iCs/>
        </w:rPr>
        <w:t xml:space="preserve"> para emitir la estampilla en beneficio de las personas en condición de discapacidad</w:t>
      </w:r>
      <w:r w:rsidR="00F11A79" w:rsidRPr="003D6049">
        <w:rPr>
          <w:rFonts w:ascii="Arial" w:eastAsia="Arial" w:hAnsi="Arial" w:cs="Arial"/>
          <w:i/>
          <w:iCs/>
        </w:rPr>
        <w:t>”</w:t>
      </w:r>
      <w:r w:rsidRPr="003D6049">
        <w:rPr>
          <w:rFonts w:ascii="Arial" w:eastAsia="Arial" w:hAnsi="Arial" w:cs="Arial"/>
        </w:rPr>
        <w:t>, para darle el trámite pertinente ante la Cámara de Representantes.</w:t>
      </w:r>
    </w:p>
    <w:p w14:paraId="7A8139EA" w14:textId="4A97BC52" w:rsidR="002C61C5" w:rsidRPr="003D6049" w:rsidRDefault="002C61C5" w:rsidP="002C61C5">
      <w:pPr>
        <w:jc w:val="both"/>
        <w:rPr>
          <w:sz w:val="24"/>
          <w:szCs w:val="24"/>
        </w:rPr>
      </w:pPr>
    </w:p>
    <w:p w14:paraId="3A206870" w14:textId="0BAF9155" w:rsidR="002C61C5" w:rsidRPr="003D6049" w:rsidRDefault="002C61C5" w:rsidP="002C61C5">
      <w:pPr>
        <w:jc w:val="both"/>
        <w:rPr>
          <w:sz w:val="24"/>
          <w:szCs w:val="24"/>
        </w:rPr>
      </w:pPr>
      <w:r w:rsidRPr="003D6049">
        <w:rPr>
          <w:sz w:val="24"/>
          <w:szCs w:val="24"/>
        </w:rPr>
        <w:t>Cordialmente,</w:t>
      </w:r>
    </w:p>
    <w:p w14:paraId="69671A35" w14:textId="193546F6" w:rsidR="000160D7" w:rsidRPr="003D6049" w:rsidRDefault="000160D7" w:rsidP="002C61C5">
      <w:pPr>
        <w:jc w:val="both"/>
        <w:rPr>
          <w:sz w:val="24"/>
          <w:szCs w:val="24"/>
        </w:rPr>
      </w:pPr>
    </w:p>
    <w:tbl>
      <w:tblPr>
        <w:tblStyle w:val="Tablaconcuadrcula"/>
        <w:tblW w:w="0" w:type="auto"/>
        <w:tblInd w:w="-5" w:type="dxa"/>
        <w:tblLook w:val="04A0" w:firstRow="1" w:lastRow="0" w:firstColumn="1" w:lastColumn="0" w:noHBand="0" w:noVBand="1"/>
      </w:tblPr>
      <w:tblGrid>
        <w:gridCol w:w="4390"/>
        <w:gridCol w:w="4438"/>
      </w:tblGrid>
      <w:tr w:rsidR="004D44AB" w:rsidRPr="003D6049" w14:paraId="70FFC4BE" w14:textId="77777777" w:rsidTr="00085726">
        <w:tc>
          <w:tcPr>
            <w:tcW w:w="4390" w:type="dxa"/>
          </w:tcPr>
          <w:p w14:paraId="17304B68" w14:textId="77777777" w:rsidR="004D44AB" w:rsidRPr="003D6049" w:rsidRDefault="004D44AB" w:rsidP="00085726">
            <w:pPr>
              <w:jc w:val="both"/>
              <w:rPr>
                <w:b/>
                <w:bCs/>
                <w:sz w:val="24"/>
                <w:szCs w:val="24"/>
              </w:rPr>
            </w:pPr>
          </w:p>
          <w:p w14:paraId="32C983D6" w14:textId="77777777" w:rsidR="004D44AB" w:rsidRPr="003D6049" w:rsidRDefault="004D44AB" w:rsidP="00085726">
            <w:pPr>
              <w:jc w:val="both"/>
              <w:rPr>
                <w:b/>
                <w:bCs/>
                <w:sz w:val="24"/>
                <w:szCs w:val="24"/>
              </w:rPr>
            </w:pPr>
          </w:p>
          <w:p w14:paraId="77D38547" w14:textId="77777777" w:rsidR="004D44AB" w:rsidRPr="003D6049" w:rsidRDefault="004D44AB" w:rsidP="00085726">
            <w:pPr>
              <w:jc w:val="both"/>
              <w:rPr>
                <w:b/>
                <w:bCs/>
                <w:sz w:val="24"/>
                <w:szCs w:val="24"/>
              </w:rPr>
            </w:pPr>
          </w:p>
          <w:p w14:paraId="08ACDB26" w14:textId="77777777" w:rsidR="004D44AB" w:rsidRPr="003D6049" w:rsidRDefault="004D44AB" w:rsidP="00085726">
            <w:pPr>
              <w:jc w:val="both"/>
              <w:rPr>
                <w:b/>
                <w:bCs/>
                <w:sz w:val="24"/>
                <w:szCs w:val="24"/>
              </w:rPr>
            </w:pPr>
          </w:p>
          <w:p w14:paraId="6A5FF913" w14:textId="77777777" w:rsidR="004D44AB" w:rsidRPr="003D6049" w:rsidRDefault="004D44AB" w:rsidP="00085726">
            <w:pPr>
              <w:jc w:val="both"/>
              <w:rPr>
                <w:b/>
                <w:bCs/>
                <w:sz w:val="24"/>
                <w:szCs w:val="24"/>
              </w:rPr>
            </w:pPr>
            <w:r w:rsidRPr="003D6049">
              <w:rPr>
                <w:b/>
                <w:bCs/>
                <w:sz w:val="24"/>
                <w:szCs w:val="24"/>
              </w:rPr>
              <w:t>Álvaro Mauricio Londoño Lugo</w:t>
            </w:r>
          </w:p>
          <w:p w14:paraId="6DD6FA68" w14:textId="1A6FB71F" w:rsidR="004D44AB" w:rsidRPr="003D6049" w:rsidRDefault="004D44AB" w:rsidP="00085726">
            <w:pPr>
              <w:jc w:val="both"/>
              <w:rPr>
                <w:b/>
                <w:bCs/>
                <w:sz w:val="24"/>
                <w:szCs w:val="24"/>
              </w:rPr>
            </w:pPr>
            <w:r w:rsidRPr="003D6049">
              <w:rPr>
                <w:b/>
                <w:bCs/>
                <w:sz w:val="24"/>
                <w:szCs w:val="24"/>
              </w:rPr>
              <w:t>H.R</w:t>
            </w:r>
            <w:r w:rsidR="00D1721D" w:rsidRPr="003D6049">
              <w:rPr>
                <w:b/>
                <w:bCs/>
                <w:sz w:val="24"/>
                <w:szCs w:val="24"/>
              </w:rPr>
              <w:t>.</w:t>
            </w:r>
            <w:r w:rsidRPr="003D6049">
              <w:rPr>
                <w:b/>
                <w:bCs/>
                <w:sz w:val="24"/>
                <w:szCs w:val="24"/>
              </w:rPr>
              <w:t xml:space="preserve"> Departamento del Vichada</w:t>
            </w:r>
          </w:p>
        </w:tc>
        <w:tc>
          <w:tcPr>
            <w:tcW w:w="4438" w:type="dxa"/>
          </w:tcPr>
          <w:p w14:paraId="6B514E0E" w14:textId="77777777" w:rsidR="004D44AB" w:rsidRPr="003D6049" w:rsidRDefault="004D44AB" w:rsidP="00085726">
            <w:pPr>
              <w:jc w:val="both"/>
              <w:rPr>
                <w:b/>
                <w:bCs/>
                <w:sz w:val="24"/>
                <w:szCs w:val="24"/>
              </w:rPr>
            </w:pPr>
          </w:p>
          <w:p w14:paraId="292C6D0B" w14:textId="77777777" w:rsidR="004D44AB" w:rsidRPr="003D6049" w:rsidRDefault="004D44AB" w:rsidP="00085726">
            <w:pPr>
              <w:jc w:val="both"/>
              <w:rPr>
                <w:b/>
                <w:bCs/>
                <w:sz w:val="24"/>
                <w:szCs w:val="24"/>
              </w:rPr>
            </w:pPr>
          </w:p>
          <w:p w14:paraId="285FFF83" w14:textId="77777777" w:rsidR="004D44AB" w:rsidRPr="003D6049" w:rsidRDefault="004D44AB" w:rsidP="00085726">
            <w:pPr>
              <w:jc w:val="both"/>
              <w:rPr>
                <w:b/>
                <w:bCs/>
                <w:sz w:val="24"/>
                <w:szCs w:val="24"/>
              </w:rPr>
            </w:pPr>
          </w:p>
          <w:p w14:paraId="05DA0721" w14:textId="77777777" w:rsidR="004D44AB" w:rsidRPr="003D6049" w:rsidRDefault="004D44AB" w:rsidP="00085726">
            <w:pPr>
              <w:jc w:val="both"/>
              <w:rPr>
                <w:b/>
                <w:bCs/>
                <w:sz w:val="24"/>
                <w:szCs w:val="24"/>
              </w:rPr>
            </w:pPr>
          </w:p>
          <w:p w14:paraId="18503BDB" w14:textId="594DE4B8" w:rsidR="004D44AB" w:rsidRPr="003D6049" w:rsidRDefault="004D44AB" w:rsidP="00085726">
            <w:pPr>
              <w:jc w:val="both"/>
              <w:rPr>
                <w:b/>
                <w:bCs/>
                <w:sz w:val="24"/>
                <w:szCs w:val="24"/>
              </w:rPr>
            </w:pPr>
            <w:r w:rsidRPr="003D6049">
              <w:rPr>
                <w:b/>
                <w:bCs/>
                <w:sz w:val="24"/>
                <w:szCs w:val="24"/>
              </w:rPr>
              <w:t>Camilo Esteban Ávila Morales</w:t>
            </w:r>
          </w:p>
          <w:p w14:paraId="162A54B1" w14:textId="3A16DED7" w:rsidR="004D44AB" w:rsidRPr="003D6049" w:rsidRDefault="004D44AB" w:rsidP="00085726">
            <w:pPr>
              <w:jc w:val="both"/>
              <w:rPr>
                <w:b/>
                <w:bCs/>
                <w:sz w:val="24"/>
                <w:szCs w:val="24"/>
              </w:rPr>
            </w:pPr>
            <w:r w:rsidRPr="003D6049">
              <w:rPr>
                <w:b/>
                <w:bCs/>
                <w:sz w:val="24"/>
                <w:szCs w:val="24"/>
              </w:rPr>
              <w:t xml:space="preserve">H.R. Departamento de </w:t>
            </w:r>
            <w:r w:rsidR="00D1721D" w:rsidRPr="003D6049">
              <w:rPr>
                <w:b/>
                <w:bCs/>
                <w:sz w:val="24"/>
                <w:szCs w:val="24"/>
              </w:rPr>
              <w:t>Vaupés</w:t>
            </w:r>
          </w:p>
        </w:tc>
      </w:tr>
    </w:tbl>
    <w:p w14:paraId="611FEEEA" w14:textId="1B374A15" w:rsidR="002C61C5" w:rsidRPr="003D6049" w:rsidRDefault="002C61C5" w:rsidP="002C61C5">
      <w:pPr>
        <w:jc w:val="both"/>
        <w:rPr>
          <w:sz w:val="24"/>
          <w:szCs w:val="24"/>
        </w:rPr>
      </w:pPr>
    </w:p>
    <w:p w14:paraId="3321B5A3" w14:textId="2F41F5EC" w:rsidR="002C61C5" w:rsidRPr="003D6049" w:rsidRDefault="002C61C5" w:rsidP="002C61C5">
      <w:pPr>
        <w:jc w:val="both"/>
        <w:rPr>
          <w:sz w:val="24"/>
          <w:szCs w:val="24"/>
        </w:rPr>
      </w:pPr>
    </w:p>
    <w:p w14:paraId="1084320F" w14:textId="3A811C54" w:rsidR="002C61C5" w:rsidRPr="003D6049" w:rsidRDefault="002C61C5" w:rsidP="002C61C5">
      <w:pPr>
        <w:jc w:val="both"/>
        <w:rPr>
          <w:sz w:val="24"/>
          <w:szCs w:val="24"/>
        </w:rPr>
      </w:pPr>
    </w:p>
    <w:p w14:paraId="041EFFDD" w14:textId="6941BD9D" w:rsidR="000160D7" w:rsidRPr="003D6049" w:rsidRDefault="000160D7" w:rsidP="002C61C5">
      <w:pPr>
        <w:jc w:val="both"/>
        <w:rPr>
          <w:sz w:val="24"/>
          <w:szCs w:val="24"/>
        </w:rPr>
      </w:pPr>
    </w:p>
    <w:p w14:paraId="1A141843" w14:textId="0FF38F38" w:rsidR="008A019E" w:rsidRPr="003D6049" w:rsidRDefault="008A019E" w:rsidP="002C61C5">
      <w:pPr>
        <w:jc w:val="both"/>
        <w:rPr>
          <w:sz w:val="24"/>
          <w:szCs w:val="24"/>
        </w:rPr>
      </w:pPr>
    </w:p>
    <w:p w14:paraId="0DCA18C2" w14:textId="1D2493E9" w:rsidR="008A019E" w:rsidRPr="003D6049" w:rsidRDefault="008A019E" w:rsidP="002C61C5">
      <w:pPr>
        <w:jc w:val="both"/>
        <w:rPr>
          <w:sz w:val="24"/>
          <w:szCs w:val="24"/>
        </w:rPr>
      </w:pPr>
    </w:p>
    <w:p w14:paraId="1F4B056C" w14:textId="1C1BC76B" w:rsidR="008A019E" w:rsidRPr="003D6049" w:rsidRDefault="008A019E" w:rsidP="002C61C5">
      <w:pPr>
        <w:jc w:val="both"/>
        <w:rPr>
          <w:sz w:val="24"/>
          <w:szCs w:val="24"/>
        </w:rPr>
      </w:pPr>
    </w:p>
    <w:p w14:paraId="70BE1CC6" w14:textId="4862CE04" w:rsidR="008A019E" w:rsidRPr="003D6049" w:rsidRDefault="008A019E" w:rsidP="002C61C5">
      <w:pPr>
        <w:jc w:val="both"/>
        <w:rPr>
          <w:sz w:val="24"/>
          <w:szCs w:val="24"/>
        </w:rPr>
      </w:pPr>
    </w:p>
    <w:p w14:paraId="1186537C" w14:textId="693D8254" w:rsidR="008A019E" w:rsidRPr="003D6049" w:rsidRDefault="008A019E" w:rsidP="002C61C5">
      <w:pPr>
        <w:jc w:val="both"/>
        <w:rPr>
          <w:sz w:val="24"/>
          <w:szCs w:val="24"/>
        </w:rPr>
      </w:pPr>
    </w:p>
    <w:p w14:paraId="77BDB8E3" w14:textId="446ADDA4" w:rsidR="008A019E" w:rsidRPr="003D6049" w:rsidRDefault="008A019E" w:rsidP="002C61C5">
      <w:pPr>
        <w:jc w:val="both"/>
        <w:rPr>
          <w:sz w:val="24"/>
          <w:szCs w:val="24"/>
        </w:rPr>
      </w:pPr>
    </w:p>
    <w:p w14:paraId="52C5BC1C" w14:textId="06CE6EB8" w:rsidR="008A019E" w:rsidRPr="003D6049" w:rsidRDefault="008A019E" w:rsidP="002C61C5">
      <w:pPr>
        <w:jc w:val="both"/>
        <w:rPr>
          <w:sz w:val="24"/>
          <w:szCs w:val="24"/>
        </w:rPr>
      </w:pPr>
    </w:p>
    <w:p w14:paraId="387A3594" w14:textId="4366331A" w:rsidR="008A019E" w:rsidRPr="003D6049" w:rsidRDefault="008A019E" w:rsidP="002C61C5">
      <w:pPr>
        <w:jc w:val="both"/>
        <w:rPr>
          <w:sz w:val="24"/>
          <w:szCs w:val="24"/>
        </w:rPr>
      </w:pPr>
    </w:p>
    <w:p w14:paraId="42C33919" w14:textId="567246F4" w:rsidR="008A019E" w:rsidRPr="003D6049" w:rsidRDefault="008A019E" w:rsidP="002C61C5">
      <w:pPr>
        <w:jc w:val="both"/>
        <w:rPr>
          <w:sz w:val="24"/>
          <w:szCs w:val="24"/>
        </w:rPr>
      </w:pPr>
    </w:p>
    <w:p w14:paraId="7918D46E" w14:textId="489A7F57" w:rsidR="008A019E" w:rsidRPr="003D6049" w:rsidRDefault="008A019E" w:rsidP="002C61C5">
      <w:pPr>
        <w:jc w:val="both"/>
        <w:rPr>
          <w:sz w:val="24"/>
          <w:szCs w:val="24"/>
        </w:rPr>
      </w:pPr>
    </w:p>
    <w:p w14:paraId="6A13FE5A" w14:textId="1C11A30E" w:rsidR="008A019E" w:rsidRPr="003D6049" w:rsidRDefault="008A019E" w:rsidP="002C61C5">
      <w:pPr>
        <w:jc w:val="both"/>
        <w:rPr>
          <w:sz w:val="24"/>
          <w:szCs w:val="24"/>
        </w:rPr>
      </w:pPr>
    </w:p>
    <w:p w14:paraId="6BA91A30" w14:textId="515E95ED" w:rsidR="008A019E" w:rsidRPr="003D6049" w:rsidRDefault="008A019E" w:rsidP="002C61C5">
      <w:pPr>
        <w:jc w:val="both"/>
        <w:rPr>
          <w:sz w:val="24"/>
          <w:szCs w:val="24"/>
        </w:rPr>
      </w:pPr>
    </w:p>
    <w:p w14:paraId="34AA93EB" w14:textId="0EF96AA7" w:rsidR="008A019E" w:rsidRPr="003D6049" w:rsidRDefault="008A019E" w:rsidP="002C61C5">
      <w:pPr>
        <w:jc w:val="both"/>
        <w:rPr>
          <w:sz w:val="24"/>
          <w:szCs w:val="24"/>
        </w:rPr>
      </w:pPr>
    </w:p>
    <w:p w14:paraId="117D38B3" w14:textId="0BF4EF11" w:rsidR="008A019E" w:rsidRPr="003D6049" w:rsidRDefault="008A019E" w:rsidP="002C61C5">
      <w:pPr>
        <w:jc w:val="both"/>
        <w:rPr>
          <w:sz w:val="24"/>
          <w:szCs w:val="24"/>
        </w:rPr>
      </w:pPr>
    </w:p>
    <w:p w14:paraId="4E840FF4" w14:textId="3B64E6FF" w:rsidR="008A019E" w:rsidRPr="003D6049" w:rsidRDefault="008A019E" w:rsidP="002C61C5">
      <w:pPr>
        <w:jc w:val="both"/>
        <w:rPr>
          <w:sz w:val="24"/>
          <w:szCs w:val="24"/>
        </w:rPr>
      </w:pPr>
    </w:p>
    <w:p w14:paraId="28FE98EF" w14:textId="4A3DC990" w:rsidR="008A019E" w:rsidRPr="003D6049" w:rsidRDefault="008A019E" w:rsidP="002C61C5">
      <w:pPr>
        <w:jc w:val="both"/>
        <w:rPr>
          <w:sz w:val="24"/>
          <w:szCs w:val="24"/>
        </w:rPr>
      </w:pPr>
    </w:p>
    <w:p w14:paraId="3F6A70C1" w14:textId="717474FA" w:rsidR="008A019E" w:rsidRPr="003D6049" w:rsidRDefault="008A019E" w:rsidP="002C61C5">
      <w:pPr>
        <w:jc w:val="both"/>
        <w:rPr>
          <w:sz w:val="24"/>
          <w:szCs w:val="24"/>
        </w:rPr>
      </w:pPr>
    </w:p>
    <w:p w14:paraId="1BB884FF" w14:textId="10D2ECF4" w:rsidR="008A019E" w:rsidRPr="003D6049" w:rsidRDefault="008A019E" w:rsidP="002C61C5">
      <w:pPr>
        <w:jc w:val="both"/>
        <w:rPr>
          <w:sz w:val="24"/>
          <w:szCs w:val="24"/>
        </w:rPr>
      </w:pPr>
    </w:p>
    <w:p w14:paraId="06D8F69B" w14:textId="4C7940FF" w:rsidR="008A019E" w:rsidRPr="003D6049" w:rsidRDefault="008A019E" w:rsidP="002C61C5">
      <w:pPr>
        <w:jc w:val="both"/>
        <w:rPr>
          <w:sz w:val="24"/>
          <w:szCs w:val="24"/>
        </w:rPr>
      </w:pPr>
    </w:p>
    <w:p w14:paraId="62BF4250" w14:textId="5E5FE26F" w:rsidR="008A019E" w:rsidRPr="003D6049" w:rsidRDefault="008A019E" w:rsidP="002C61C5">
      <w:pPr>
        <w:jc w:val="both"/>
        <w:rPr>
          <w:sz w:val="24"/>
          <w:szCs w:val="24"/>
        </w:rPr>
      </w:pPr>
    </w:p>
    <w:p w14:paraId="1F7EA154" w14:textId="57FFE7A9" w:rsidR="008A019E" w:rsidRPr="003D6049" w:rsidRDefault="008A019E" w:rsidP="002C61C5">
      <w:pPr>
        <w:jc w:val="both"/>
        <w:rPr>
          <w:sz w:val="24"/>
          <w:szCs w:val="24"/>
        </w:rPr>
      </w:pPr>
    </w:p>
    <w:p w14:paraId="0F671790" w14:textId="00FFA8A3" w:rsidR="008A019E" w:rsidRPr="003D6049" w:rsidRDefault="008A019E" w:rsidP="002C61C5">
      <w:pPr>
        <w:jc w:val="both"/>
        <w:rPr>
          <w:sz w:val="24"/>
          <w:szCs w:val="24"/>
        </w:rPr>
      </w:pPr>
    </w:p>
    <w:p w14:paraId="6AF526F7" w14:textId="59E4C2F2" w:rsidR="008A019E" w:rsidRPr="003D6049" w:rsidRDefault="008A019E" w:rsidP="002C61C5">
      <w:pPr>
        <w:jc w:val="both"/>
        <w:rPr>
          <w:sz w:val="24"/>
          <w:szCs w:val="24"/>
        </w:rPr>
      </w:pPr>
    </w:p>
    <w:p w14:paraId="3817B4FA" w14:textId="0086A65A" w:rsidR="008A019E" w:rsidRPr="003D6049" w:rsidRDefault="008A019E" w:rsidP="002C61C5">
      <w:pPr>
        <w:jc w:val="both"/>
        <w:rPr>
          <w:sz w:val="24"/>
          <w:szCs w:val="24"/>
        </w:rPr>
      </w:pPr>
    </w:p>
    <w:p w14:paraId="48A881C4" w14:textId="03872974" w:rsidR="008A019E" w:rsidRPr="003D6049" w:rsidRDefault="008A019E" w:rsidP="002C61C5">
      <w:pPr>
        <w:jc w:val="both"/>
        <w:rPr>
          <w:sz w:val="24"/>
          <w:szCs w:val="24"/>
        </w:rPr>
      </w:pPr>
    </w:p>
    <w:p w14:paraId="734DFFA2" w14:textId="1254E869" w:rsidR="008A019E" w:rsidRPr="003D6049" w:rsidRDefault="008A019E" w:rsidP="002C61C5">
      <w:pPr>
        <w:jc w:val="both"/>
        <w:rPr>
          <w:sz w:val="24"/>
          <w:szCs w:val="24"/>
        </w:rPr>
      </w:pPr>
    </w:p>
    <w:p w14:paraId="5E64AFAD" w14:textId="57B46E24" w:rsidR="008A019E" w:rsidRPr="003D6049" w:rsidRDefault="008A019E" w:rsidP="002C61C5">
      <w:pPr>
        <w:jc w:val="both"/>
        <w:rPr>
          <w:sz w:val="24"/>
          <w:szCs w:val="24"/>
        </w:rPr>
      </w:pPr>
    </w:p>
    <w:p w14:paraId="3FF2434E" w14:textId="4C0CD436" w:rsidR="008A019E" w:rsidRPr="003D6049" w:rsidRDefault="008A019E" w:rsidP="002C61C5">
      <w:pPr>
        <w:jc w:val="both"/>
        <w:rPr>
          <w:sz w:val="24"/>
          <w:szCs w:val="24"/>
        </w:rPr>
      </w:pPr>
    </w:p>
    <w:p w14:paraId="23360365" w14:textId="6A2D031E" w:rsidR="008A019E" w:rsidRPr="003D6049" w:rsidRDefault="008A019E" w:rsidP="002C61C5">
      <w:pPr>
        <w:jc w:val="both"/>
        <w:rPr>
          <w:sz w:val="24"/>
          <w:szCs w:val="24"/>
        </w:rPr>
      </w:pPr>
    </w:p>
    <w:p w14:paraId="5BDD9666" w14:textId="5EDFB499" w:rsidR="008A019E" w:rsidRPr="003D6049" w:rsidRDefault="008A019E" w:rsidP="002C61C5">
      <w:pPr>
        <w:jc w:val="both"/>
        <w:rPr>
          <w:sz w:val="24"/>
          <w:szCs w:val="24"/>
        </w:rPr>
      </w:pPr>
    </w:p>
    <w:p w14:paraId="472040DA" w14:textId="3B64BAEB" w:rsidR="008A019E" w:rsidRPr="003D6049" w:rsidRDefault="008A019E" w:rsidP="002C61C5">
      <w:pPr>
        <w:jc w:val="both"/>
        <w:rPr>
          <w:sz w:val="24"/>
          <w:szCs w:val="24"/>
        </w:rPr>
      </w:pPr>
    </w:p>
    <w:p w14:paraId="2263AD67" w14:textId="65000EB3" w:rsidR="008A019E" w:rsidRPr="003D6049" w:rsidRDefault="008A019E" w:rsidP="002C61C5">
      <w:pPr>
        <w:jc w:val="both"/>
        <w:rPr>
          <w:sz w:val="24"/>
          <w:szCs w:val="24"/>
        </w:rPr>
      </w:pPr>
    </w:p>
    <w:p w14:paraId="4E40D167" w14:textId="27AE373C" w:rsidR="008A019E" w:rsidRPr="003D6049" w:rsidRDefault="008A019E" w:rsidP="002C61C5">
      <w:pPr>
        <w:jc w:val="both"/>
        <w:rPr>
          <w:sz w:val="24"/>
          <w:szCs w:val="24"/>
        </w:rPr>
      </w:pPr>
    </w:p>
    <w:p w14:paraId="6189B1F7" w14:textId="7A7D4145" w:rsidR="008A019E" w:rsidRPr="003D6049" w:rsidRDefault="008A019E" w:rsidP="002C61C5">
      <w:pPr>
        <w:jc w:val="both"/>
        <w:rPr>
          <w:sz w:val="24"/>
          <w:szCs w:val="24"/>
        </w:rPr>
      </w:pPr>
    </w:p>
    <w:p w14:paraId="26374961" w14:textId="7992A3AA" w:rsidR="000160D7" w:rsidRDefault="000160D7" w:rsidP="000160D7">
      <w:pPr>
        <w:spacing w:after="200" w:line="360" w:lineRule="auto"/>
        <w:jc w:val="center"/>
        <w:rPr>
          <w:b/>
          <w:sz w:val="24"/>
          <w:szCs w:val="24"/>
        </w:rPr>
      </w:pPr>
      <w:r w:rsidRPr="003D6049">
        <w:rPr>
          <w:b/>
          <w:sz w:val="24"/>
          <w:szCs w:val="24"/>
        </w:rPr>
        <w:lastRenderedPageBreak/>
        <w:t>PROYECTO DE LEY No. _____ DE 202</w:t>
      </w:r>
      <w:r w:rsidR="00F82B82" w:rsidRPr="003D6049">
        <w:rPr>
          <w:b/>
          <w:sz w:val="24"/>
          <w:szCs w:val="24"/>
        </w:rPr>
        <w:t>4</w:t>
      </w:r>
    </w:p>
    <w:p w14:paraId="1F6E79A0" w14:textId="56CC135E" w:rsidR="006E0EDD" w:rsidRPr="003D6049" w:rsidRDefault="00A7291E" w:rsidP="006E0EDD">
      <w:pPr>
        <w:pStyle w:val="NormalWeb"/>
        <w:jc w:val="center"/>
        <w:rPr>
          <w:rFonts w:ascii="Arial" w:eastAsia="Arial" w:hAnsi="Arial" w:cs="Arial"/>
          <w:b/>
        </w:rPr>
      </w:pPr>
      <w:r w:rsidRPr="003D6049">
        <w:rPr>
          <w:rFonts w:ascii="Arial" w:eastAsia="Arial" w:hAnsi="Arial" w:cs="Arial"/>
          <w:b/>
        </w:rPr>
        <w:t>"POR MEDIO DE LA CUAL SE AUTORIZA A LAS ASAMBLEAS DEPARTAMENTALES Y LOS CONCEJOS MUNICIPALES DE LA AMAZORINOQUIA PARA EMITIR LA ESTAMPILLA EN BENEFICIO DE LAS PERSONAS EN CONDICIÓN DE DISCAPACIDAD"</w:t>
      </w:r>
    </w:p>
    <w:p w14:paraId="12518013" w14:textId="77777777" w:rsidR="00117DBD" w:rsidRPr="003D6049" w:rsidRDefault="00117DBD" w:rsidP="00117DBD">
      <w:pPr>
        <w:spacing w:line="360" w:lineRule="auto"/>
        <w:jc w:val="center"/>
        <w:rPr>
          <w:b/>
          <w:sz w:val="24"/>
          <w:szCs w:val="24"/>
        </w:rPr>
      </w:pPr>
    </w:p>
    <w:p w14:paraId="5BAB1C56" w14:textId="77777777" w:rsidR="00117DBD" w:rsidRPr="003D6049" w:rsidRDefault="00117DBD" w:rsidP="00117DBD">
      <w:pPr>
        <w:spacing w:line="360" w:lineRule="auto"/>
        <w:jc w:val="center"/>
        <w:rPr>
          <w:b/>
          <w:sz w:val="24"/>
          <w:szCs w:val="24"/>
        </w:rPr>
      </w:pPr>
      <w:r w:rsidRPr="003D6049">
        <w:rPr>
          <w:b/>
          <w:sz w:val="24"/>
          <w:szCs w:val="24"/>
        </w:rPr>
        <w:t>EL CONGRESO DE COLOMBIA</w:t>
      </w:r>
    </w:p>
    <w:p w14:paraId="4E6AFB5D" w14:textId="77777777" w:rsidR="00117DBD" w:rsidRPr="003D6049" w:rsidRDefault="00117DBD" w:rsidP="00117DBD">
      <w:pPr>
        <w:spacing w:after="200" w:line="360" w:lineRule="auto"/>
        <w:jc w:val="center"/>
        <w:rPr>
          <w:b/>
          <w:sz w:val="24"/>
          <w:szCs w:val="24"/>
        </w:rPr>
      </w:pPr>
    </w:p>
    <w:p w14:paraId="7939FCBE" w14:textId="77777777" w:rsidR="00117DBD" w:rsidRPr="003D6049" w:rsidRDefault="00117DBD" w:rsidP="00117DBD">
      <w:pPr>
        <w:spacing w:after="200" w:line="360" w:lineRule="auto"/>
        <w:jc w:val="center"/>
        <w:rPr>
          <w:b/>
          <w:sz w:val="24"/>
          <w:szCs w:val="24"/>
        </w:rPr>
      </w:pPr>
      <w:r w:rsidRPr="003D6049">
        <w:rPr>
          <w:b/>
          <w:sz w:val="24"/>
          <w:szCs w:val="24"/>
        </w:rPr>
        <w:t>DECRETA:</w:t>
      </w:r>
    </w:p>
    <w:p w14:paraId="222D424C" w14:textId="6028FD76" w:rsidR="00F82B82" w:rsidRPr="003D6049" w:rsidRDefault="00117DBD" w:rsidP="00117DBD">
      <w:pPr>
        <w:spacing w:before="240" w:after="240"/>
        <w:jc w:val="both"/>
        <w:rPr>
          <w:bCs/>
          <w:sz w:val="24"/>
          <w:szCs w:val="24"/>
        </w:rPr>
      </w:pPr>
      <w:r w:rsidRPr="003D6049">
        <w:rPr>
          <w:b/>
          <w:sz w:val="24"/>
          <w:szCs w:val="24"/>
        </w:rPr>
        <w:t>Artículo Primero. Objeto</w:t>
      </w:r>
      <w:r w:rsidR="00F82B82" w:rsidRPr="003D6049">
        <w:rPr>
          <w:b/>
          <w:sz w:val="24"/>
          <w:szCs w:val="24"/>
        </w:rPr>
        <w:t>.</w:t>
      </w:r>
      <w:r w:rsidR="00F82B82" w:rsidRPr="003D6049">
        <w:rPr>
          <w:bCs/>
          <w:sz w:val="24"/>
          <w:szCs w:val="24"/>
        </w:rPr>
        <w:t xml:space="preserve"> La presente ley tiene por objeto </w:t>
      </w:r>
      <w:r w:rsidR="00A7291E" w:rsidRPr="003D6049">
        <w:rPr>
          <w:bCs/>
          <w:sz w:val="24"/>
          <w:szCs w:val="24"/>
        </w:rPr>
        <w:t xml:space="preserve">la autorización a las Asambleas Departamentales y los Concejos Municipales de </w:t>
      </w:r>
      <w:r w:rsidR="00A06236" w:rsidRPr="003D6049">
        <w:rPr>
          <w:bCs/>
          <w:sz w:val="24"/>
          <w:szCs w:val="24"/>
        </w:rPr>
        <w:t xml:space="preserve">los departamentos de </w:t>
      </w:r>
      <w:r w:rsidR="00A7291E" w:rsidRPr="003D6049">
        <w:rPr>
          <w:sz w:val="24"/>
          <w:szCs w:val="24"/>
        </w:rPr>
        <w:t>Amazonas, Arauca, Caquetá, Casanare, Guainía, Guaviare, Meta, Putumayo, Vaupés y Vichada</w:t>
      </w:r>
      <w:r w:rsidR="00A7291E" w:rsidRPr="003D6049">
        <w:rPr>
          <w:bCs/>
          <w:sz w:val="24"/>
          <w:szCs w:val="24"/>
        </w:rPr>
        <w:t xml:space="preserve"> para emitir la estampilla en beneficio de las personas en condición de discapacidad, con el fin de financiar programas</w:t>
      </w:r>
      <w:r w:rsidR="006E0EDD" w:rsidRPr="003D6049">
        <w:rPr>
          <w:bCs/>
          <w:sz w:val="24"/>
          <w:szCs w:val="24"/>
        </w:rPr>
        <w:t>, proyectos y políticas para esta población.</w:t>
      </w:r>
    </w:p>
    <w:p w14:paraId="13374E1C" w14:textId="17BFAE09" w:rsidR="00227B60" w:rsidRPr="003D6049" w:rsidRDefault="00227B60" w:rsidP="00227B60">
      <w:pPr>
        <w:spacing w:before="100" w:beforeAutospacing="1" w:after="100" w:afterAutospacing="1" w:line="240" w:lineRule="auto"/>
        <w:jc w:val="both"/>
        <w:rPr>
          <w:bCs/>
          <w:sz w:val="24"/>
          <w:szCs w:val="24"/>
        </w:rPr>
      </w:pPr>
      <w:r w:rsidRPr="003D6049">
        <w:rPr>
          <w:b/>
          <w:bCs/>
          <w:sz w:val="24"/>
          <w:szCs w:val="24"/>
        </w:rPr>
        <w:t xml:space="preserve">Artículo </w:t>
      </w:r>
      <w:r w:rsidR="003E0463" w:rsidRPr="003D6049">
        <w:rPr>
          <w:b/>
          <w:sz w:val="24"/>
          <w:szCs w:val="24"/>
        </w:rPr>
        <w:t>Segundo</w:t>
      </w:r>
      <w:r w:rsidRPr="003D6049">
        <w:rPr>
          <w:b/>
          <w:sz w:val="24"/>
          <w:szCs w:val="24"/>
        </w:rPr>
        <w:t xml:space="preserve">. </w:t>
      </w:r>
      <w:r w:rsidR="003E0463" w:rsidRPr="003D6049">
        <w:rPr>
          <w:b/>
          <w:sz w:val="24"/>
          <w:szCs w:val="24"/>
        </w:rPr>
        <w:t>Destinación.</w:t>
      </w:r>
      <w:r w:rsidR="003E0463" w:rsidRPr="003D6049">
        <w:rPr>
          <w:bCs/>
          <w:sz w:val="24"/>
          <w:szCs w:val="24"/>
        </w:rPr>
        <w:t xml:space="preserve"> </w:t>
      </w:r>
      <w:r w:rsidRPr="003D6049">
        <w:rPr>
          <w:bCs/>
          <w:sz w:val="24"/>
          <w:szCs w:val="24"/>
        </w:rPr>
        <w:t>El recaudo de la estampilla, se destinará para:</w:t>
      </w:r>
    </w:p>
    <w:p w14:paraId="4BBC51E7" w14:textId="6A6516AF" w:rsidR="00227B60" w:rsidRPr="003D6049" w:rsidRDefault="00227B60" w:rsidP="00227B60">
      <w:pPr>
        <w:pStyle w:val="Prrafodelista"/>
        <w:numPr>
          <w:ilvl w:val="0"/>
          <w:numId w:val="8"/>
        </w:numPr>
        <w:spacing w:before="100" w:beforeAutospacing="1" w:after="100" w:afterAutospacing="1" w:line="240" w:lineRule="auto"/>
        <w:jc w:val="both"/>
        <w:rPr>
          <w:bCs/>
          <w:sz w:val="24"/>
          <w:szCs w:val="24"/>
        </w:rPr>
      </w:pPr>
      <w:r w:rsidRPr="003D6049">
        <w:rPr>
          <w:bCs/>
          <w:sz w:val="24"/>
          <w:szCs w:val="24"/>
        </w:rPr>
        <w:t>Financiar políticas, programas, proyectos y subsidios para la población en condición de discapacidad registradas en el Sistema Integrado de Información de la Protección Social (SISPRO).</w:t>
      </w:r>
    </w:p>
    <w:p w14:paraId="43241635" w14:textId="49F8DE9E" w:rsidR="00595DFC" w:rsidRPr="003D6049" w:rsidRDefault="00595DFC" w:rsidP="00227B60">
      <w:pPr>
        <w:pStyle w:val="Prrafodelista"/>
        <w:numPr>
          <w:ilvl w:val="0"/>
          <w:numId w:val="8"/>
        </w:numPr>
        <w:spacing w:before="100" w:beforeAutospacing="1" w:after="100" w:afterAutospacing="1" w:line="240" w:lineRule="auto"/>
        <w:jc w:val="both"/>
        <w:rPr>
          <w:bCs/>
          <w:sz w:val="24"/>
          <w:szCs w:val="24"/>
        </w:rPr>
      </w:pPr>
      <w:r w:rsidRPr="003D6049">
        <w:rPr>
          <w:bCs/>
          <w:sz w:val="24"/>
          <w:szCs w:val="24"/>
        </w:rPr>
        <w:t>Suministro de paquetes nutricionales a personas con discapacidad</w:t>
      </w:r>
      <w:r w:rsidR="009F37C2" w:rsidRPr="003D6049">
        <w:rPr>
          <w:bCs/>
          <w:sz w:val="24"/>
          <w:szCs w:val="24"/>
        </w:rPr>
        <w:t>.</w:t>
      </w:r>
    </w:p>
    <w:p w14:paraId="385C517D" w14:textId="77777777" w:rsidR="009F37C2" w:rsidRPr="003D6049" w:rsidRDefault="009F37C2" w:rsidP="00227B60">
      <w:pPr>
        <w:pStyle w:val="Prrafodelista"/>
        <w:numPr>
          <w:ilvl w:val="0"/>
          <w:numId w:val="8"/>
        </w:numPr>
        <w:spacing w:before="100" w:beforeAutospacing="1" w:after="100" w:afterAutospacing="1" w:line="240" w:lineRule="auto"/>
        <w:jc w:val="both"/>
        <w:rPr>
          <w:bCs/>
          <w:sz w:val="24"/>
          <w:szCs w:val="24"/>
        </w:rPr>
      </w:pPr>
      <w:r w:rsidRPr="003D6049">
        <w:rPr>
          <w:bCs/>
          <w:sz w:val="24"/>
          <w:szCs w:val="24"/>
        </w:rPr>
        <w:t xml:space="preserve">Adquisición de elementos educativos, deportivos o musicales para personas con discapacidad. </w:t>
      </w:r>
    </w:p>
    <w:p w14:paraId="6B813A46" w14:textId="079348CB" w:rsidR="009F37C2" w:rsidRPr="003D6049" w:rsidRDefault="009F37C2" w:rsidP="00227B60">
      <w:pPr>
        <w:pStyle w:val="Prrafodelista"/>
        <w:numPr>
          <w:ilvl w:val="0"/>
          <w:numId w:val="8"/>
        </w:numPr>
        <w:spacing w:before="100" w:beforeAutospacing="1" w:after="100" w:afterAutospacing="1" w:line="240" w:lineRule="auto"/>
        <w:jc w:val="both"/>
        <w:rPr>
          <w:bCs/>
          <w:sz w:val="24"/>
          <w:szCs w:val="24"/>
        </w:rPr>
      </w:pPr>
      <w:r w:rsidRPr="003D6049">
        <w:rPr>
          <w:bCs/>
          <w:sz w:val="24"/>
          <w:szCs w:val="24"/>
        </w:rPr>
        <w:t>Programas recreativos y de salud mental dirigidos a cuidadores y población con discapacidad.</w:t>
      </w:r>
    </w:p>
    <w:p w14:paraId="129EDA92" w14:textId="2C61C7B0" w:rsidR="00227B60" w:rsidRPr="003D6049" w:rsidRDefault="00227B60" w:rsidP="00227B60">
      <w:pPr>
        <w:spacing w:before="100" w:beforeAutospacing="1" w:after="100" w:afterAutospacing="1" w:line="240" w:lineRule="auto"/>
        <w:jc w:val="both"/>
        <w:rPr>
          <w:sz w:val="24"/>
          <w:szCs w:val="24"/>
        </w:rPr>
      </w:pPr>
      <w:r w:rsidRPr="003D6049">
        <w:rPr>
          <w:b/>
          <w:bCs/>
          <w:sz w:val="24"/>
          <w:szCs w:val="24"/>
        </w:rPr>
        <w:t>Parágrafo.</w:t>
      </w:r>
      <w:r w:rsidRPr="003D6049">
        <w:rPr>
          <w:sz w:val="24"/>
          <w:szCs w:val="24"/>
        </w:rPr>
        <w:t xml:space="preserve"> Dentro del año siguiente a la promulgación de la presente ley, el Departamento Administrativo Nacional de Estadística DANE y el Sistema Integrado de Información de la Protección Social SISPRO, realizarán una actualización en los censos de la población en condición de discapacidad </w:t>
      </w:r>
      <w:r w:rsidR="00A7291E" w:rsidRPr="003D6049">
        <w:rPr>
          <w:sz w:val="24"/>
          <w:szCs w:val="24"/>
        </w:rPr>
        <w:t>de los departamentos de Amazonas, Arauca, Caquetá, Casanare, Guainía, Guaviare, Meta, Putumayo, Vaupés y Vichada</w:t>
      </w:r>
      <w:r w:rsidRPr="003D6049">
        <w:rPr>
          <w:sz w:val="24"/>
          <w:szCs w:val="24"/>
        </w:rPr>
        <w:t xml:space="preserve">. </w:t>
      </w:r>
    </w:p>
    <w:p w14:paraId="5456FC20" w14:textId="40373D2A" w:rsidR="00117DBD" w:rsidRPr="003D6049" w:rsidRDefault="00117DBD" w:rsidP="00117DBD">
      <w:pPr>
        <w:spacing w:before="240" w:after="240"/>
        <w:jc w:val="both"/>
        <w:rPr>
          <w:sz w:val="24"/>
          <w:szCs w:val="24"/>
        </w:rPr>
      </w:pPr>
      <w:r w:rsidRPr="003D6049">
        <w:rPr>
          <w:b/>
          <w:sz w:val="24"/>
          <w:szCs w:val="24"/>
        </w:rPr>
        <w:lastRenderedPageBreak/>
        <w:t xml:space="preserve">Artículo </w:t>
      </w:r>
      <w:r w:rsidR="003E0463" w:rsidRPr="003D6049">
        <w:rPr>
          <w:b/>
          <w:sz w:val="24"/>
          <w:szCs w:val="24"/>
        </w:rPr>
        <w:t>Tercero</w:t>
      </w:r>
      <w:r w:rsidRPr="003D6049">
        <w:rPr>
          <w:b/>
          <w:sz w:val="24"/>
          <w:szCs w:val="24"/>
        </w:rPr>
        <w:t xml:space="preserve">. Atribución. </w:t>
      </w:r>
      <w:r w:rsidRPr="003D6049">
        <w:rPr>
          <w:sz w:val="24"/>
          <w:szCs w:val="24"/>
        </w:rPr>
        <w:t>Autorícese a la</w:t>
      </w:r>
      <w:r w:rsidR="00A7291E" w:rsidRPr="003D6049">
        <w:rPr>
          <w:sz w:val="24"/>
          <w:szCs w:val="24"/>
        </w:rPr>
        <w:t>s</w:t>
      </w:r>
      <w:r w:rsidRPr="003D6049">
        <w:rPr>
          <w:sz w:val="24"/>
          <w:szCs w:val="24"/>
        </w:rPr>
        <w:t xml:space="preserve"> Asamblea</w:t>
      </w:r>
      <w:r w:rsidR="00A7291E" w:rsidRPr="003D6049">
        <w:rPr>
          <w:sz w:val="24"/>
          <w:szCs w:val="24"/>
        </w:rPr>
        <w:t>s</w:t>
      </w:r>
      <w:r w:rsidRPr="003D6049">
        <w:rPr>
          <w:sz w:val="24"/>
          <w:szCs w:val="24"/>
        </w:rPr>
        <w:t xml:space="preserve"> Departamental</w:t>
      </w:r>
      <w:r w:rsidR="00A7291E" w:rsidRPr="003D6049">
        <w:rPr>
          <w:sz w:val="24"/>
          <w:szCs w:val="24"/>
        </w:rPr>
        <w:t xml:space="preserve">es y Concejos Municipales </w:t>
      </w:r>
      <w:r w:rsidR="00F65F4D" w:rsidRPr="003D6049">
        <w:rPr>
          <w:sz w:val="24"/>
          <w:szCs w:val="24"/>
        </w:rPr>
        <w:t xml:space="preserve">los departamentos de Amazonas, Arauca, Caquetá, Casanare, Guainía, Guaviare, Meta, Putumayo, Vaupés y Vichada </w:t>
      </w:r>
      <w:r w:rsidRPr="003D6049">
        <w:rPr>
          <w:sz w:val="24"/>
          <w:szCs w:val="24"/>
        </w:rPr>
        <w:t xml:space="preserve">para que determine las características, tarifas, hechos económicos, sujetos pasivos y activos, las bases gravables y todos los demás asuntos referentes al uso obligatorio de la estampilla en las operaciones que se deban realizar </w:t>
      </w:r>
      <w:r w:rsidR="00B8535C" w:rsidRPr="003D6049">
        <w:rPr>
          <w:sz w:val="24"/>
          <w:szCs w:val="24"/>
        </w:rPr>
        <w:t>en los diferentes municipios</w:t>
      </w:r>
      <w:r w:rsidRPr="003D6049">
        <w:rPr>
          <w:sz w:val="24"/>
          <w:szCs w:val="24"/>
        </w:rPr>
        <w:t xml:space="preserve">, </w:t>
      </w:r>
      <w:r w:rsidR="00B8535C" w:rsidRPr="003D6049">
        <w:rPr>
          <w:sz w:val="24"/>
          <w:szCs w:val="24"/>
        </w:rPr>
        <w:t>los cuales</w:t>
      </w:r>
      <w:r w:rsidRPr="003D6049">
        <w:rPr>
          <w:sz w:val="24"/>
          <w:szCs w:val="24"/>
        </w:rPr>
        <w:t xml:space="preserve"> deberán adoptarla sobre los actos, contratos o convenios que realicen la Administración Central del Departamento o Municipio, sus Establecimientos Públicos, las Empresas Industriales y Comerciales, y Sociales del Estado del Departamento o Municipio, las Sociedades de Economía Mixta donde la Entidad Territorial posea capital social o accionario superior al 50% y las entidades descentralizadas indirectas con personas naturales o jurídicas, atendiendo los términos de esta ley y de la respectiva ordenanza. </w:t>
      </w:r>
    </w:p>
    <w:p w14:paraId="021E6243" w14:textId="77777777" w:rsidR="00117DBD" w:rsidRPr="003D6049" w:rsidRDefault="00117DBD" w:rsidP="00117DBD">
      <w:pPr>
        <w:spacing w:before="240" w:after="240"/>
        <w:jc w:val="both"/>
        <w:rPr>
          <w:sz w:val="24"/>
          <w:szCs w:val="24"/>
        </w:rPr>
      </w:pPr>
      <w:r w:rsidRPr="003D6049">
        <w:rPr>
          <w:b/>
          <w:sz w:val="24"/>
          <w:szCs w:val="24"/>
        </w:rPr>
        <w:t>Parágrafo Primero.</w:t>
      </w:r>
      <w:r w:rsidRPr="003D6049">
        <w:rPr>
          <w:sz w:val="24"/>
          <w:szCs w:val="24"/>
        </w:rPr>
        <w:t xml:space="preserve"> Se excluyen de este pago los contratos de prestación de servicios suscritos con personas naturales.</w:t>
      </w:r>
    </w:p>
    <w:p w14:paraId="62AC5471" w14:textId="77777777" w:rsidR="00117DBD" w:rsidRPr="003D6049" w:rsidRDefault="00117DBD" w:rsidP="00117DBD">
      <w:pPr>
        <w:spacing w:before="240" w:after="240"/>
        <w:jc w:val="both"/>
        <w:rPr>
          <w:sz w:val="24"/>
          <w:szCs w:val="24"/>
        </w:rPr>
      </w:pPr>
      <w:r w:rsidRPr="003D6049">
        <w:rPr>
          <w:b/>
          <w:sz w:val="24"/>
          <w:szCs w:val="24"/>
        </w:rPr>
        <w:t>Parágrafo Segundo.</w:t>
      </w:r>
      <w:r w:rsidRPr="003D6049">
        <w:rPr>
          <w:sz w:val="24"/>
          <w:szCs w:val="24"/>
        </w:rPr>
        <w:t xml:space="preserve"> La base gravable será el valor del contrato o convenio excluido el valor del IVA.</w:t>
      </w:r>
    </w:p>
    <w:p w14:paraId="01175B06" w14:textId="354700A7" w:rsidR="004D44AB" w:rsidRPr="003D6049" w:rsidRDefault="00117DBD" w:rsidP="00117DBD">
      <w:pPr>
        <w:spacing w:before="240" w:after="240"/>
        <w:jc w:val="both"/>
        <w:rPr>
          <w:sz w:val="24"/>
          <w:szCs w:val="24"/>
        </w:rPr>
      </w:pPr>
      <w:r w:rsidRPr="003D6049">
        <w:rPr>
          <w:b/>
          <w:bCs/>
          <w:sz w:val="24"/>
          <w:szCs w:val="24"/>
        </w:rPr>
        <w:t>Artículo Cuarto.</w:t>
      </w:r>
      <w:r w:rsidRPr="003D6049">
        <w:rPr>
          <w:sz w:val="24"/>
          <w:szCs w:val="24"/>
        </w:rPr>
        <w:t xml:space="preserve"> </w:t>
      </w:r>
      <w:r w:rsidR="004D44AB" w:rsidRPr="003D6049">
        <w:rPr>
          <w:sz w:val="24"/>
          <w:szCs w:val="24"/>
        </w:rPr>
        <w:t>La tarifa con que se graven los diferentes actos sujetos a la estampilla para la atención integral de las personas con discapacidad no podrá ser inferior al uno por ciento (1%), ni exceder el tres por ciento (3%) del valor del hecho gravamen.</w:t>
      </w:r>
    </w:p>
    <w:p w14:paraId="047199DC" w14:textId="09A2FE37" w:rsidR="00117DBD" w:rsidRPr="003D6049" w:rsidRDefault="00117DBD" w:rsidP="00117DBD">
      <w:pPr>
        <w:spacing w:before="240" w:after="240"/>
        <w:jc w:val="both"/>
        <w:rPr>
          <w:sz w:val="24"/>
          <w:szCs w:val="24"/>
        </w:rPr>
      </w:pPr>
      <w:r w:rsidRPr="003D6049">
        <w:rPr>
          <w:b/>
          <w:sz w:val="24"/>
          <w:szCs w:val="24"/>
        </w:rPr>
        <w:t>Artículo Quinto.</w:t>
      </w:r>
      <w:r w:rsidRPr="003D6049">
        <w:rPr>
          <w:sz w:val="24"/>
          <w:szCs w:val="24"/>
        </w:rPr>
        <w:t xml:space="preserve"> </w:t>
      </w:r>
      <w:r w:rsidRPr="003D6049">
        <w:rPr>
          <w:b/>
          <w:sz w:val="24"/>
          <w:szCs w:val="24"/>
        </w:rPr>
        <w:t xml:space="preserve">Control Fiscal. </w:t>
      </w:r>
      <w:r w:rsidRPr="003D6049">
        <w:rPr>
          <w:sz w:val="24"/>
          <w:szCs w:val="24"/>
        </w:rPr>
        <w:t>El control y vigilancia fiscal del recaudo, del traslado oportuno y de la inversión de los recursos provenientes del cumplimiento de la presente Ley, estará a cargo de la</w:t>
      </w:r>
      <w:r w:rsidR="00F65F4D" w:rsidRPr="003D6049">
        <w:rPr>
          <w:sz w:val="24"/>
          <w:szCs w:val="24"/>
        </w:rPr>
        <w:t>s</w:t>
      </w:r>
      <w:r w:rsidRPr="003D6049">
        <w:rPr>
          <w:sz w:val="24"/>
          <w:szCs w:val="24"/>
        </w:rPr>
        <w:t xml:space="preserve"> Contraloría</w:t>
      </w:r>
      <w:r w:rsidR="00F65F4D" w:rsidRPr="003D6049">
        <w:rPr>
          <w:sz w:val="24"/>
          <w:szCs w:val="24"/>
        </w:rPr>
        <w:t>s</w:t>
      </w:r>
      <w:r w:rsidRPr="003D6049">
        <w:rPr>
          <w:sz w:val="24"/>
          <w:szCs w:val="24"/>
        </w:rPr>
        <w:t xml:space="preserve"> Departamental</w:t>
      </w:r>
      <w:r w:rsidR="00F65F4D" w:rsidRPr="003D6049">
        <w:rPr>
          <w:sz w:val="24"/>
          <w:szCs w:val="24"/>
        </w:rPr>
        <w:t>es</w:t>
      </w:r>
      <w:r w:rsidRPr="003D6049">
        <w:rPr>
          <w:sz w:val="24"/>
          <w:szCs w:val="24"/>
        </w:rPr>
        <w:t xml:space="preserve"> </w:t>
      </w:r>
      <w:r w:rsidR="00F65F4D" w:rsidRPr="003D6049">
        <w:rPr>
          <w:sz w:val="24"/>
          <w:szCs w:val="24"/>
        </w:rPr>
        <w:t>de Amazonas, Arauca, Caquetá, Casanare, Guainía, Guaviare, Meta, Putumayo, Vaupés y Vichada</w:t>
      </w:r>
      <w:r w:rsidRPr="003D6049">
        <w:rPr>
          <w:sz w:val="24"/>
          <w:szCs w:val="24"/>
        </w:rPr>
        <w:t>, sin perjuicio de las competencias que tenga el nivel central de la Contraloría General de la República.</w:t>
      </w:r>
    </w:p>
    <w:p w14:paraId="15283829" w14:textId="77777777" w:rsidR="00117DBD" w:rsidRPr="003D6049" w:rsidRDefault="00117DBD" w:rsidP="00117DBD">
      <w:pPr>
        <w:spacing w:before="240" w:after="240"/>
        <w:jc w:val="both"/>
        <w:rPr>
          <w:sz w:val="24"/>
          <w:szCs w:val="24"/>
        </w:rPr>
      </w:pPr>
      <w:r w:rsidRPr="003D6049">
        <w:rPr>
          <w:sz w:val="24"/>
          <w:szCs w:val="24"/>
        </w:rPr>
        <w:t>Los resultados del control y seguimiento al recaudo y ejecución de los recursos objeto de la presente Ley serán de amplia divulgación pública y de fácil consulta para la ciudadanía en atención al principio de transparencia y publicidad.</w:t>
      </w:r>
    </w:p>
    <w:p w14:paraId="42FF28F4" w14:textId="66258814" w:rsidR="00117DBD" w:rsidRPr="003D6049" w:rsidRDefault="00117DBD" w:rsidP="00117DBD">
      <w:pPr>
        <w:spacing w:before="240" w:after="240"/>
        <w:ind w:right="40"/>
        <w:jc w:val="both"/>
        <w:rPr>
          <w:sz w:val="24"/>
          <w:szCs w:val="24"/>
        </w:rPr>
      </w:pPr>
      <w:r w:rsidRPr="003D6049">
        <w:rPr>
          <w:b/>
          <w:sz w:val="24"/>
          <w:szCs w:val="24"/>
        </w:rPr>
        <w:t>Artículo Sexto. Recaudos.</w:t>
      </w:r>
      <w:r w:rsidRPr="003D6049">
        <w:rPr>
          <w:sz w:val="24"/>
          <w:szCs w:val="24"/>
        </w:rPr>
        <w:t xml:space="preserve"> Los recaudos provenientes de la Estampilla estarán a cargo de la Secretaría</w:t>
      </w:r>
      <w:r w:rsidR="00F65F4D" w:rsidRPr="003D6049">
        <w:rPr>
          <w:sz w:val="24"/>
          <w:szCs w:val="24"/>
        </w:rPr>
        <w:t>s</w:t>
      </w:r>
      <w:r w:rsidRPr="003D6049">
        <w:rPr>
          <w:sz w:val="24"/>
          <w:szCs w:val="24"/>
        </w:rPr>
        <w:t xml:space="preserve"> de Hacienda Departamental de</w:t>
      </w:r>
      <w:r w:rsidR="00F65F4D" w:rsidRPr="003D6049">
        <w:rPr>
          <w:sz w:val="24"/>
          <w:szCs w:val="24"/>
        </w:rPr>
        <w:t xml:space="preserve"> cada departamento de l</w:t>
      </w:r>
      <w:r w:rsidR="009A2667" w:rsidRPr="003D6049">
        <w:rPr>
          <w:sz w:val="24"/>
          <w:szCs w:val="24"/>
        </w:rPr>
        <w:t>a</w:t>
      </w:r>
      <w:r w:rsidR="00F65F4D" w:rsidRPr="003D6049">
        <w:rPr>
          <w:sz w:val="24"/>
          <w:szCs w:val="24"/>
        </w:rPr>
        <w:t xml:space="preserve"> </w:t>
      </w:r>
      <w:proofErr w:type="spellStart"/>
      <w:r w:rsidR="00F65F4D" w:rsidRPr="003D6049">
        <w:rPr>
          <w:sz w:val="24"/>
          <w:szCs w:val="24"/>
        </w:rPr>
        <w:lastRenderedPageBreak/>
        <w:t>Amazorinoquia</w:t>
      </w:r>
      <w:proofErr w:type="spellEnd"/>
      <w:r w:rsidR="00F65F4D" w:rsidRPr="003D6049">
        <w:rPr>
          <w:sz w:val="24"/>
          <w:szCs w:val="24"/>
        </w:rPr>
        <w:t xml:space="preserve"> </w:t>
      </w:r>
      <w:r w:rsidRPr="003D6049">
        <w:rPr>
          <w:sz w:val="24"/>
          <w:szCs w:val="24"/>
        </w:rPr>
        <w:t>y, en el caso de los municipios</w:t>
      </w:r>
      <w:r w:rsidR="00F65F4D" w:rsidRPr="003D6049">
        <w:rPr>
          <w:sz w:val="24"/>
          <w:szCs w:val="24"/>
        </w:rPr>
        <w:t>,</w:t>
      </w:r>
      <w:r w:rsidRPr="003D6049">
        <w:rPr>
          <w:sz w:val="24"/>
          <w:szCs w:val="24"/>
        </w:rPr>
        <w:t xml:space="preserve"> corresponderá su recaudo a las tesorerías municipales; quienes cobraran el gravamen una vez suscrito el respectivo contrato.</w:t>
      </w:r>
    </w:p>
    <w:p w14:paraId="51D2EAFC" w14:textId="0FDF9103" w:rsidR="00117DBD" w:rsidRPr="003D6049" w:rsidRDefault="00117DBD" w:rsidP="00117DBD">
      <w:pPr>
        <w:spacing w:before="240" w:after="240"/>
        <w:ind w:right="40"/>
        <w:jc w:val="both"/>
        <w:rPr>
          <w:sz w:val="24"/>
          <w:szCs w:val="24"/>
        </w:rPr>
      </w:pPr>
      <w:r w:rsidRPr="003D6049">
        <w:rPr>
          <w:sz w:val="24"/>
          <w:szCs w:val="24"/>
        </w:rPr>
        <w:t>Las tesorerías encargadas del recaudo tendrán la obligación</w:t>
      </w:r>
      <w:r w:rsidR="00332F3C" w:rsidRPr="003D6049">
        <w:rPr>
          <w:sz w:val="24"/>
          <w:szCs w:val="24"/>
        </w:rPr>
        <w:t>,</w:t>
      </w:r>
      <w:r w:rsidRPr="003D6049">
        <w:rPr>
          <w:sz w:val="24"/>
          <w:szCs w:val="24"/>
        </w:rPr>
        <w:t xml:space="preserve"> so pena de incurrir en faltas disciplinarias, de trasladar mensualmente los recursos de la </w:t>
      </w:r>
      <w:r w:rsidR="00AB7BD2" w:rsidRPr="003D6049">
        <w:rPr>
          <w:sz w:val="24"/>
          <w:szCs w:val="24"/>
        </w:rPr>
        <w:t>e</w:t>
      </w:r>
      <w:r w:rsidRPr="003D6049">
        <w:rPr>
          <w:sz w:val="24"/>
          <w:szCs w:val="24"/>
        </w:rPr>
        <w:t>stampilla a la</w:t>
      </w:r>
      <w:r w:rsidR="00AB7BD2" w:rsidRPr="003D6049">
        <w:rPr>
          <w:sz w:val="24"/>
          <w:szCs w:val="24"/>
        </w:rPr>
        <w:t>s</w:t>
      </w:r>
      <w:r w:rsidRPr="003D6049">
        <w:rPr>
          <w:sz w:val="24"/>
          <w:szCs w:val="24"/>
        </w:rPr>
        <w:t xml:space="preserve"> Secretaría</w:t>
      </w:r>
      <w:r w:rsidR="00AB7BD2" w:rsidRPr="003D6049">
        <w:rPr>
          <w:sz w:val="24"/>
          <w:szCs w:val="24"/>
        </w:rPr>
        <w:t>s</w:t>
      </w:r>
      <w:r w:rsidRPr="003D6049">
        <w:rPr>
          <w:sz w:val="24"/>
          <w:szCs w:val="24"/>
        </w:rPr>
        <w:t xml:space="preserve"> de Hacienda Departamental, para que sean distribuidos de conformidad con las disposiciones y destinaciones específicas contempladas en la presente Ley, y lo que se establezca al respecto en la ordenanza que se apruebe por la Asamblea del Departamento en virtud de la presente Ley.</w:t>
      </w:r>
    </w:p>
    <w:p w14:paraId="238DB74A" w14:textId="77777777" w:rsidR="00117DBD" w:rsidRPr="003D6049" w:rsidRDefault="00117DBD" w:rsidP="00117DBD">
      <w:pPr>
        <w:spacing w:before="240" w:after="240"/>
        <w:ind w:right="40"/>
        <w:jc w:val="both"/>
        <w:rPr>
          <w:sz w:val="24"/>
          <w:szCs w:val="24"/>
        </w:rPr>
      </w:pPr>
      <w:r w:rsidRPr="003D6049">
        <w:rPr>
          <w:b/>
          <w:sz w:val="24"/>
          <w:szCs w:val="24"/>
        </w:rPr>
        <w:t>Parágrafo</w:t>
      </w:r>
      <w:r w:rsidRPr="003D6049">
        <w:rPr>
          <w:sz w:val="24"/>
          <w:szCs w:val="24"/>
        </w:rPr>
        <w:t>. La emisión, pago y/o adhesión de esta estampilla se hará a través de medios electrónicos, conforme a lo dispuesto en la Ley 2052 de 2020 y Ley 2155 del 2021 en lo pertinente.</w:t>
      </w:r>
    </w:p>
    <w:p w14:paraId="0EBD6163" w14:textId="77777777" w:rsidR="00117DBD" w:rsidRPr="003D6049" w:rsidRDefault="00117DBD" w:rsidP="00117DBD">
      <w:pPr>
        <w:spacing w:before="240" w:after="240"/>
        <w:jc w:val="both"/>
        <w:rPr>
          <w:sz w:val="24"/>
          <w:szCs w:val="24"/>
        </w:rPr>
      </w:pPr>
      <w:r w:rsidRPr="003D6049">
        <w:rPr>
          <w:b/>
          <w:sz w:val="24"/>
          <w:szCs w:val="24"/>
        </w:rPr>
        <w:t>Artículo Séptimo. Vigencia.</w:t>
      </w:r>
      <w:r w:rsidRPr="003D6049">
        <w:rPr>
          <w:sz w:val="24"/>
          <w:szCs w:val="24"/>
        </w:rPr>
        <w:t xml:space="preserve"> La presente ley rige a partir de la fecha de su promulgación y deroga todas aquellas normas que le sean contrarias.</w:t>
      </w:r>
    </w:p>
    <w:p w14:paraId="31F036BB" w14:textId="67706498" w:rsidR="00117DBD" w:rsidRPr="003D6049" w:rsidRDefault="00117DBD" w:rsidP="000160D7">
      <w:pPr>
        <w:spacing w:line="360" w:lineRule="auto"/>
        <w:jc w:val="center"/>
        <w:rPr>
          <w:b/>
          <w:sz w:val="24"/>
          <w:szCs w:val="24"/>
        </w:rPr>
      </w:pPr>
    </w:p>
    <w:p w14:paraId="5DD0120E" w14:textId="45B0EFA5" w:rsidR="00117DBD" w:rsidRPr="003D6049" w:rsidRDefault="00117DBD" w:rsidP="000160D7">
      <w:pPr>
        <w:spacing w:line="360" w:lineRule="auto"/>
        <w:jc w:val="center"/>
        <w:rPr>
          <w:b/>
          <w:sz w:val="24"/>
          <w:szCs w:val="24"/>
        </w:rPr>
      </w:pPr>
    </w:p>
    <w:p w14:paraId="119F8652" w14:textId="2D6DE9DB" w:rsidR="003E0463" w:rsidRPr="003D6049" w:rsidRDefault="003E0463" w:rsidP="000160D7">
      <w:pPr>
        <w:spacing w:line="360" w:lineRule="auto"/>
        <w:jc w:val="center"/>
        <w:rPr>
          <w:b/>
          <w:sz w:val="24"/>
          <w:szCs w:val="24"/>
        </w:rPr>
      </w:pPr>
    </w:p>
    <w:p w14:paraId="6CB1442F" w14:textId="77777777" w:rsidR="009F37C2" w:rsidRPr="003D6049" w:rsidRDefault="009F37C2" w:rsidP="000160D7">
      <w:pPr>
        <w:spacing w:line="360" w:lineRule="auto"/>
        <w:jc w:val="center"/>
        <w:rPr>
          <w:b/>
          <w:sz w:val="24"/>
          <w:szCs w:val="24"/>
        </w:rPr>
      </w:pPr>
    </w:p>
    <w:p w14:paraId="7409F1BE" w14:textId="6D19F5E3" w:rsidR="00595DFC" w:rsidRPr="003D6049" w:rsidRDefault="00595DFC" w:rsidP="000160D7">
      <w:pPr>
        <w:spacing w:line="360" w:lineRule="auto"/>
        <w:jc w:val="center"/>
        <w:rPr>
          <w:b/>
          <w:sz w:val="24"/>
          <w:szCs w:val="24"/>
        </w:rPr>
      </w:pPr>
    </w:p>
    <w:p w14:paraId="17FB036C" w14:textId="13BF06C0" w:rsidR="00943509" w:rsidRPr="003D6049" w:rsidRDefault="00943509" w:rsidP="000160D7">
      <w:pPr>
        <w:spacing w:line="360" w:lineRule="auto"/>
        <w:jc w:val="center"/>
        <w:rPr>
          <w:b/>
          <w:sz w:val="24"/>
          <w:szCs w:val="24"/>
        </w:rPr>
      </w:pPr>
    </w:p>
    <w:p w14:paraId="2272B64A" w14:textId="25C7F3C0" w:rsidR="00943509" w:rsidRPr="003D6049" w:rsidRDefault="00943509" w:rsidP="000160D7">
      <w:pPr>
        <w:spacing w:line="360" w:lineRule="auto"/>
        <w:jc w:val="center"/>
        <w:rPr>
          <w:b/>
          <w:sz w:val="24"/>
          <w:szCs w:val="24"/>
        </w:rPr>
      </w:pPr>
    </w:p>
    <w:p w14:paraId="02DECF71" w14:textId="22FE46F9" w:rsidR="00943509" w:rsidRDefault="00943509" w:rsidP="000160D7">
      <w:pPr>
        <w:spacing w:line="360" w:lineRule="auto"/>
        <w:jc w:val="center"/>
        <w:rPr>
          <w:b/>
          <w:sz w:val="24"/>
          <w:szCs w:val="24"/>
        </w:rPr>
      </w:pPr>
    </w:p>
    <w:p w14:paraId="0FF581F9" w14:textId="5887E235" w:rsidR="003D6049" w:rsidRDefault="003D6049" w:rsidP="000160D7">
      <w:pPr>
        <w:spacing w:line="360" w:lineRule="auto"/>
        <w:jc w:val="center"/>
        <w:rPr>
          <w:b/>
          <w:sz w:val="24"/>
          <w:szCs w:val="24"/>
        </w:rPr>
      </w:pPr>
    </w:p>
    <w:p w14:paraId="6FFDE04B" w14:textId="77777777" w:rsidR="003D6049" w:rsidRPr="003D6049" w:rsidRDefault="003D6049" w:rsidP="000160D7">
      <w:pPr>
        <w:spacing w:line="360" w:lineRule="auto"/>
        <w:jc w:val="center"/>
        <w:rPr>
          <w:b/>
          <w:sz w:val="24"/>
          <w:szCs w:val="24"/>
        </w:rPr>
      </w:pPr>
    </w:p>
    <w:p w14:paraId="09C04439" w14:textId="7FF0E958" w:rsidR="00943509" w:rsidRPr="003D6049" w:rsidRDefault="00943509" w:rsidP="000160D7">
      <w:pPr>
        <w:spacing w:line="360" w:lineRule="auto"/>
        <w:jc w:val="center"/>
        <w:rPr>
          <w:b/>
          <w:sz w:val="24"/>
          <w:szCs w:val="24"/>
        </w:rPr>
      </w:pPr>
    </w:p>
    <w:p w14:paraId="5834DDA3" w14:textId="7F279C0A" w:rsidR="004D44AB" w:rsidRPr="003D6049" w:rsidRDefault="004D44AB" w:rsidP="000160D7">
      <w:pPr>
        <w:spacing w:line="360" w:lineRule="auto"/>
        <w:jc w:val="center"/>
        <w:rPr>
          <w:b/>
          <w:sz w:val="24"/>
          <w:szCs w:val="24"/>
        </w:rPr>
      </w:pPr>
    </w:p>
    <w:p w14:paraId="2D9A2611" w14:textId="77777777" w:rsidR="004D44AB" w:rsidRPr="003D6049" w:rsidRDefault="004D44AB" w:rsidP="000160D7">
      <w:pPr>
        <w:spacing w:line="360" w:lineRule="auto"/>
        <w:jc w:val="center"/>
        <w:rPr>
          <w:b/>
          <w:sz w:val="24"/>
          <w:szCs w:val="24"/>
        </w:rPr>
      </w:pPr>
    </w:p>
    <w:p w14:paraId="70C3D440" w14:textId="629A9F13" w:rsidR="00943509" w:rsidRPr="003D6049" w:rsidRDefault="00943509" w:rsidP="000160D7">
      <w:pPr>
        <w:spacing w:line="360" w:lineRule="auto"/>
        <w:jc w:val="center"/>
        <w:rPr>
          <w:b/>
          <w:sz w:val="24"/>
          <w:szCs w:val="24"/>
        </w:rPr>
      </w:pPr>
    </w:p>
    <w:p w14:paraId="60D5773D" w14:textId="77777777" w:rsidR="00895128" w:rsidRPr="003D6049" w:rsidRDefault="00895128" w:rsidP="000160D7">
      <w:pPr>
        <w:spacing w:line="360" w:lineRule="auto"/>
        <w:jc w:val="center"/>
        <w:rPr>
          <w:b/>
          <w:sz w:val="24"/>
          <w:szCs w:val="24"/>
        </w:rPr>
      </w:pPr>
    </w:p>
    <w:p w14:paraId="05025643" w14:textId="03E6796E" w:rsidR="009B583B" w:rsidRPr="003D6049" w:rsidRDefault="009B583B" w:rsidP="000160D7">
      <w:pPr>
        <w:spacing w:line="360" w:lineRule="auto"/>
        <w:jc w:val="center"/>
        <w:rPr>
          <w:b/>
          <w:sz w:val="24"/>
          <w:szCs w:val="24"/>
        </w:rPr>
      </w:pPr>
      <w:r w:rsidRPr="003D6049">
        <w:rPr>
          <w:b/>
          <w:sz w:val="24"/>
          <w:szCs w:val="24"/>
        </w:rPr>
        <w:lastRenderedPageBreak/>
        <w:t>EXPOSICIÓN DE MOTIVOS</w:t>
      </w:r>
    </w:p>
    <w:p w14:paraId="6094863A" w14:textId="43AC0055" w:rsidR="009B583B" w:rsidRPr="003D6049" w:rsidRDefault="009B583B" w:rsidP="009B583B">
      <w:pPr>
        <w:pStyle w:val="Prrafodelista"/>
        <w:numPr>
          <w:ilvl w:val="0"/>
          <w:numId w:val="3"/>
        </w:numPr>
        <w:spacing w:line="360" w:lineRule="auto"/>
        <w:jc w:val="both"/>
        <w:rPr>
          <w:b/>
          <w:sz w:val="24"/>
          <w:szCs w:val="24"/>
        </w:rPr>
      </w:pPr>
      <w:r w:rsidRPr="003D6049">
        <w:rPr>
          <w:b/>
          <w:sz w:val="24"/>
          <w:szCs w:val="24"/>
        </w:rPr>
        <w:t>OBJETO</w:t>
      </w:r>
    </w:p>
    <w:p w14:paraId="389586FC" w14:textId="2830805B" w:rsidR="009B583B" w:rsidRPr="003D6049" w:rsidRDefault="009F37C2" w:rsidP="00117DBD">
      <w:pPr>
        <w:pStyle w:val="Sinespaciado"/>
        <w:jc w:val="both"/>
        <w:rPr>
          <w:rFonts w:ascii="Arial" w:eastAsia="Arial" w:hAnsi="Arial" w:cs="Arial"/>
          <w:sz w:val="24"/>
          <w:szCs w:val="24"/>
          <w:lang w:eastAsia="es-CO"/>
        </w:rPr>
      </w:pPr>
      <w:r w:rsidRPr="003D6049">
        <w:rPr>
          <w:rFonts w:ascii="Arial" w:eastAsia="Arial" w:hAnsi="Arial" w:cs="Arial"/>
          <w:sz w:val="24"/>
          <w:szCs w:val="24"/>
          <w:lang w:eastAsia="es-CO"/>
        </w:rPr>
        <w:t xml:space="preserve">El objetivo principal del proyecto es garantizar una fuente sostenible de recursos que permita financiar programas y proyectos diseñados para mejorar la calidad de vida de las personas con discapacidad en </w:t>
      </w:r>
      <w:r w:rsidR="00F65F4D" w:rsidRPr="003D6049">
        <w:rPr>
          <w:rFonts w:ascii="Arial" w:eastAsia="Arial" w:hAnsi="Arial" w:cs="Arial"/>
          <w:sz w:val="24"/>
          <w:szCs w:val="24"/>
          <w:lang w:eastAsia="es-CO"/>
        </w:rPr>
        <w:t xml:space="preserve">de la región de la </w:t>
      </w:r>
      <w:proofErr w:type="spellStart"/>
      <w:r w:rsidR="00A06236" w:rsidRPr="003D6049">
        <w:rPr>
          <w:rFonts w:ascii="Arial" w:eastAsia="Arial" w:hAnsi="Arial" w:cs="Arial"/>
          <w:sz w:val="24"/>
          <w:szCs w:val="24"/>
          <w:lang w:eastAsia="es-CO"/>
        </w:rPr>
        <w:t>A</w:t>
      </w:r>
      <w:r w:rsidR="00F65F4D" w:rsidRPr="003D6049">
        <w:rPr>
          <w:rFonts w:ascii="Arial" w:eastAsia="Arial" w:hAnsi="Arial" w:cs="Arial"/>
          <w:sz w:val="24"/>
          <w:szCs w:val="24"/>
          <w:lang w:eastAsia="es-CO"/>
        </w:rPr>
        <w:t>mazorinoquia</w:t>
      </w:r>
      <w:proofErr w:type="spellEnd"/>
      <w:r w:rsidRPr="003D6049">
        <w:rPr>
          <w:rFonts w:ascii="Arial" w:eastAsia="Arial" w:hAnsi="Arial" w:cs="Arial"/>
          <w:sz w:val="24"/>
          <w:szCs w:val="24"/>
          <w:lang w:eastAsia="es-CO"/>
        </w:rPr>
        <w:t>. Estos recursos se destinarán exclusivamente a actividades que fomenten su autonomía, participación social y acceso a oportunidades equitativas.</w:t>
      </w:r>
    </w:p>
    <w:p w14:paraId="5722E28A" w14:textId="77777777" w:rsidR="009B583B" w:rsidRPr="003D6049" w:rsidRDefault="009B583B" w:rsidP="009B583B">
      <w:pPr>
        <w:spacing w:line="360" w:lineRule="auto"/>
        <w:jc w:val="both"/>
        <w:rPr>
          <w:b/>
          <w:sz w:val="24"/>
          <w:szCs w:val="24"/>
        </w:rPr>
      </w:pPr>
    </w:p>
    <w:p w14:paraId="36D834E9" w14:textId="70599CCD" w:rsidR="009B583B" w:rsidRPr="003D6049" w:rsidRDefault="009B583B" w:rsidP="009B583B">
      <w:pPr>
        <w:pStyle w:val="Prrafodelista"/>
        <w:numPr>
          <w:ilvl w:val="0"/>
          <w:numId w:val="3"/>
        </w:numPr>
        <w:spacing w:line="360" w:lineRule="auto"/>
        <w:jc w:val="both"/>
        <w:rPr>
          <w:b/>
          <w:sz w:val="24"/>
          <w:szCs w:val="24"/>
        </w:rPr>
      </w:pPr>
      <w:r w:rsidRPr="003D6049">
        <w:rPr>
          <w:b/>
          <w:sz w:val="24"/>
          <w:szCs w:val="24"/>
        </w:rPr>
        <w:t>MARCO JURÍDICO</w:t>
      </w:r>
    </w:p>
    <w:p w14:paraId="7B95E974" w14:textId="77777777" w:rsidR="008A019E" w:rsidRPr="003D6049" w:rsidRDefault="008A019E" w:rsidP="009B583B">
      <w:pPr>
        <w:jc w:val="both"/>
        <w:rPr>
          <w:b/>
          <w:sz w:val="24"/>
          <w:szCs w:val="24"/>
          <w:lang w:val="es-ES"/>
        </w:rPr>
      </w:pPr>
    </w:p>
    <w:p w14:paraId="2CB143CA" w14:textId="5D7F66C1" w:rsidR="009B583B" w:rsidRPr="003D6049" w:rsidRDefault="009B583B" w:rsidP="009B583B">
      <w:pPr>
        <w:jc w:val="both"/>
        <w:rPr>
          <w:b/>
          <w:sz w:val="24"/>
          <w:szCs w:val="24"/>
          <w:lang w:val="es-ES"/>
        </w:rPr>
      </w:pPr>
      <w:r w:rsidRPr="003D6049">
        <w:rPr>
          <w:b/>
          <w:sz w:val="24"/>
          <w:szCs w:val="24"/>
          <w:lang w:val="es-ES"/>
        </w:rPr>
        <w:t>CONSTITUCION POLITICA</w:t>
      </w:r>
    </w:p>
    <w:p w14:paraId="7CBC8953" w14:textId="77777777" w:rsidR="009B583B" w:rsidRPr="003D6049" w:rsidRDefault="009B583B" w:rsidP="009B583B">
      <w:pPr>
        <w:jc w:val="both"/>
        <w:rPr>
          <w:b/>
          <w:sz w:val="24"/>
          <w:szCs w:val="24"/>
          <w:lang w:val="es-ES"/>
        </w:rPr>
      </w:pPr>
    </w:p>
    <w:p w14:paraId="278264FD" w14:textId="3E28CA38" w:rsidR="009B583B" w:rsidRPr="003D6049" w:rsidRDefault="009B583B" w:rsidP="009B583B">
      <w:pPr>
        <w:jc w:val="both"/>
        <w:rPr>
          <w:sz w:val="24"/>
          <w:szCs w:val="24"/>
        </w:rPr>
      </w:pPr>
      <w:r w:rsidRPr="003D6049">
        <w:rPr>
          <w:b/>
          <w:sz w:val="24"/>
          <w:szCs w:val="24"/>
        </w:rPr>
        <w:t>Artículo 49</w:t>
      </w:r>
      <w:r w:rsidRPr="003D6049">
        <w:rPr>
          <w:sz w:val="24"/>
          <w:szCs w:val="24"/>
        </w:rPr>
        <w:t xml:space="preserve"> establece que la atención de la salud y el saneamiento ambiental son servicios públicos a cargo del Estado. Se garantiza a todas las personas el acceso a los servicios de promoción, protección y recuperación de la salud.</w:t>
      </w:r>
    </w:p>
    <w:p w14:paraId="45F4508D" w14:textId="77777777" w:rsidR="009B583B" w:rsidRPr="003D6049" w:rsidRDefault="009B583B" w:rsidP="009B583B">
      <w:pPr>
        <w:jc w:val="both"/>
        <w:rPr>
          <w:b/>
          <w:sz w:val="24"/>
          <w:szCs w:val="24"/>
        </w:rPr>
      </w:pPr>
    </w:p>
    <w:p w14:paraId="6ACF51C6" w14:textId="4458A57D" w:rsidR="009B583B" w:rsidRPr="003D6049" w:rsidRDefault="009B583B" w:rsidP="009B583B">
      <w:pPr>
        <w:jc w:val="both"/>
        <w:rPr>
          <w:sz w:val="24"/>
          <w:szCs w:val="24"/>
        </w:rPr>
      </w:pPr>
      <w:r w:rsidRPr="003D6049">
        <w:rPr>
          <w:b/>
          <w:sz w:val="24"/>
          <w:szCs w:val="24"/>
        </w:rPr>
        <w:t>Artículo 150</w:t>
      </w:r>
      <w:r w:rsidRPr="003D6049">
        <w:rPr>
          <w:sz w:val="24"/>
          <w:szCs w:val="24"/>
        </w:rPr>
        <w:t xml:space="preserve"> consagra que corresponde al Congreso hacer las leyes. Por medio de ellas ejerce las siguientes funciones: (...)</w:t>
      </w:r>
    </w:p>
    <w:p w14:paraId="17D18F9E" w14:textId="77777777" w:rsidR="008A019E" w:rsidRPr="003D6049" w:rsidRDefault="008A019E" w:rsidP="009B583B">
      <w:pPr>
        <w:jc w:val="both"/>
        <w:rPr>
          <w:sz w:val="24"/>
          <w:szCs w:val="24"/>
        </w:rPr>
      </w:pPr>
    </w:p>
    <w:p w14:paraId="2E810414" w14:textId="77777777" w:rsidR="009B583B" w:rsidRPr="003D6049" w:rsidRDefault="009B583B" w:rsidP="009B583B">
      <w:pPr>
        <w:jc w:val="both"/>
        <w:rPr>
          <w:sz w:val="24"/>
          <w:szCs w:val="24"/>
        </w:rPr>
      </w:pPr>
      <w:r w:rsidRPr="003D6049">
        <w:rPr>
          <w:sz w:val="24"/>
          <w:szCs w:val="24"/>
        </w:rPr>
        <w:t xml:space="preserve"> 12. Establecer contribuciones fiscales y, excepcionalmente, contribuciones parafiscales en los casos y bajo las condiciones que establezca la ley.</w:t>
      </w:r>
    </w:p>
    <w:p w14:paraId="38816FC2" w14:textId="77777777" w:rsidR="009B583B" w:rsidRPr="003D6049" w:rsidRDefault="009B583B" w:rsidP="009B583B">
      <w:pPr>
        <w:jc w:val="both"/>
        <w:rPr>
          <w:b/>
          <w:sz w:val="24"/>
          <w:szCs w:val="24"/>
        </w:rPr>
      </w:pPr>
    </w:p>
    <w:p w14:paraId="26864384" w14:textId="649ECB96" w:rsidR="009B583B" w:rsidRPr="003D6049" w:rsidRDefault="009B583B" w:rsidP="009B583B">
      <w:pPr>
        <w:jc w:val="both"/>
        <w:rPr>
          <w:sz w:val="24"/>
          <w:szCs w:val="24"/>
        </w:rPr>
      </w:pPr>
      <w:r w:rsidRPr="003D6049">
        <w:rPr>
          <w:b/>
          <w:sz w:val="24"/>
          <w:szCs w:val="24"/>
        </w:rPr>
        <w:t>Artículo 338</w:t>
      </w:r>
      <w:r w:rsidRPr="003D6049">
        <w:rPr>
          <w:sz w:val="24"/>
          <w:szCs w:val="24"/>
        </w:rPr>
        <w:t xml:space="preserve"> asevera que, en tiempos de paz, solamente el Congreso, las asambleas departamentales y los concejos distritales y municipales podrán imponer contribuciones fiscales. La ley, las ordenanzas y los acuerdos deben fijar, directamente, los sujetos activos y pasivos, los hechos y las bases gravables, y las tarifas de impuestos (…).</w:t>
      </w:r>
    </w:p>
    <w:p w14:paraId="3AF51787" w14:textId="77777777" w:rsidR="008A019E" w:rsidRPr="003D6049" w:rsidRDefault="008A019E" w:rsidP="009B583B">
      <w:pPr>
        <w:jc w:val="both"/>
        <w:rPr>
          <w:sz w:val="24"/>
          <w:szCs w:val="24"/>
        </w:rPr>
      </w:pPr>
    </w:p>
    <w:p w14:paraId="07D8E70A" w14:textId="77777777" w:rsidR="009B583B" w:rsidRPr="003D6049" w:rsidRDefault="009B583B" w:rsidP="009B583B">
      <w:pPr>
        <w:jc w:val="both"/>
        <w:rPr>
          <w:sz w:val="24"/>
          <w:szCs w:val="24"/>
        </w:rPr>
      </w:pPr>
      <w:r w:rsidRPr="003D6049">
        <w:rPr>
          <w:b/>
          <w:sz w:val="24"/>
          <w:szCs w:val="24"/>
        </w:rPr>
        <w:t>Artículo 366</w:t>
      </w:r>
      <w:r w:rsidRPr="003D6049">
        <w:rPr>
          <w:sz w:val="24"/>
          <w:szCs w:val="24"/>
        </w:rPr>
        <w:t xml:space="preserve"> estipula que el bienestar general y el mejoramiento de la calidad de vida de la población son finalidades sociales del Estado. Será objetivo fundamental de su actividad la solución de las necesidades insatisfechas de salud (…)</w:t>
      </w:r>
    </w:p>
    <w:p w14:paraId="27241412" w14:textId="7EAD16AB" w:rsidR="009B583B" w:rsidRPr="003D6049" w:rsidRDefault="009B583B" w:rsidP="009B583B">
      <w:pPr>
        <w:jc w:val="both"/>
        <w:rPr>
          <w:b/>
          <w:sz w:val="24"/>
          <w:szCs w:val="24"/>
        </w:rPr>
      </w:pPr>
    </w:p>
    <w:p w14:paraId="2E22BB2D" w14:textId="48984992" w:rsidR="009B583B" w:rsidRPr="003D6049" w:rsidRDefault="009B583B" w:rsidP="009B583B">
      <w:pPr>
        <w:jc w:val="both"/>
        <w:rPr>
          <w:sz w:val="24"/>
          <w:szCs w:val="24"/>
        </w:rPr>
      </w:pPr>
      <w:r w:rsidRPr="003D6049">
        <w:rPr>
          <w:b/>
          <w:sz w:val="24"/>
          <w:szCs w:val="24"/>
        </w:rPr>
        <w:t>Competencia de los entes territoriales para reglamentar la Estampilla</w:t>
      </w:r>
      <w:r w:rsidRPr="003D6049">
        <w:rPr>
          <w:sz w:val="24"/>
          <w:szCs w:val="24"/>
        </w:rPr>
        <w:t>:</w:t>
      </w:r>
    </w:p>
    <w:p w14:paraId="69E932E7" w14:textId="77777777" w:rsidR="008120B0" w:rsidRPr="003D6049" w:rsidRDefault="008120B0" w:rsidP="009B583B">
      <w:pPr>
        <w:jc w:val="both"/>
        <w:rPr>
          <w:b/>
          <w:sz w:val="24"/>
          <w:szCs w:val="24"/>
        </w:rPr>
      </w:pPr>
    </w:p>
    <w:p w14:paraId="05736F83" w14:textId="2CB6550A" w:rsidR="009B583B" w:rsidRPr="003D6049" w:rsidRDefault="009B583B" w:rsidP="009B583B">
      <w:pPr>
        <w:jc w:val="both"/>
        <w:rPr>
          <w:b/>
          <w:sz w:val="24"/>
          <w:szCs w:val="24"/>
        </w:rPr>
      </w:pPr>
      <w:r w:rsidRPr="003D6049">
        <w:rPr>
          <w:b/>
          <w:sz w:val="24"/>
          <w:szCs w:val="24"/>
        </w:rPr>
        <w:t>Artículo 287</w:t>
      </w:r>
      <w:r w:rsidRPr="003D6049">
        <w:rPr>
          <w:sz w:val="24"/>
          <w:szCs w:val="24"/>
        </w:rPr>
        <w:t xml:space="preserve"> señala que las entidades territoriales gozan de autonomía para la gestión de sus intereses”, la cual se define como “la capacidad de que gozan las </w:t>
      </w:r>
      <w:r w:rsidRPr="003D6049">
        <w:rPr>
          <w:sz w:val="24"/>
          <w:szCs w:val="24"/>
        </w:rPr>
        <w:lastRenderedPageBreak/>
        <w:t>entidades territoriales para gestionar sus propios intereses, dentro de los límites de la Constitución y la ley” y tiene fundamentalmente cuatro (4) manifestaciones: (i) “Autonomía política, en virtud de la cual se confiere a cada uno de los niveles territoriales la capacidad para elegir a los propios gobernantes, como fuente directa de legitimidad democrática (por ejemplo, alcaldes, concejales, gobernadores y asambleístas). (</w:t>
      </w:r>
      <w:proofErr w:type="spellStart"/>
      <w:r w:rsidRPr="003D6049">
        <w:rPr>
          <w:sz w:val="24"/>
          <w:szCs w:val="24"/>
        </w:rPr>
        <w:t>ii</w:t>
      </w:r>
      <w:proofErr w:type="spellEnd"/>
      <w:r w:rsidRPr="003D6049">
        <w:rPr>
          <w:sz w:val="24"/>
          <w:szCs w:val="24"/>
        </w:rPr>
        <w:t>) Autonomía administrativa, en virtud de la cual se confiere a cada uno de los niveles territoriales las competencias para manejar de manera independiente los asuntos que se encuentren bajo su jurisdicción. (</w:t>
      </w:r>
      <w:proofErr w:type="spellStart"/>
      <w:r w:rsidRPr="003D6049">
        <w:rPr>
          <w:sz w:val="24"/>
          <w:szCs w:val="24"/>
        </w:rPr>
        <w:t>iii</w:t>
      </w:r>
      <w:proofErr w:type="spellEnd"/>
      <w:r w:rsidRPr="003D6049">
        <w:rPr>
          <w:sz w:val="24"/>
          <w:szCs w:val="24"/>
        </w:rPr>
        <w:t>) Autonomía fiscal, en virtud de la cual se confiere a cada uno de los niveles territoriales para fijar tributos, participar en las rentas nacionales y administrar de manera independiente los propios recursos. (</w:t>
      </w:r>
      <w:proofErr w:type="spellStart"/>
      <w:r w:rsidRPr="003D6049">
        <w:rPr>
          <w:sz w:val="24"/>
          <w:szCs w:val="24"/>
        </w:rPr>
        <w:t>iv</w:t>
      </w:r>
      <w:proofErr w:type="spellEnd"/>
      <w:r w:rsidRPr="003D6049">
        <w:rPr>
          <w:sz w:val="24"/>
          <w:szCs w:val="24"/>
        </w:rPr>
        <w:t xml:space="preserve">) Autonomía normativa, en virtud de la cual se confiere a cada uno de los niveles territoriales la capacidad para </w:t>
      </w:r>
      <w:proofErr w:type="spellStart"/>
      <w:r w:rsidRPr="003D6049">
        <w:rPr>
          <w:sz w:val="24"/>
          <w:szCs w:val="24"/>
        </w:rPr>
        <w:t>autoregularse</w:t>
      </w:r>
      <w:proofErr w:type="spellEnd"/>
      <w:r w:rsidRPr="003D6049">
        <w:rPr>
          <w:sz w:val="24"/>
          <w:szCs w:val="24"/>
        </w:rPr>
        <w:t xml:space="preserve"> en aquellas materias específicas que no trasciendan o desborden el interés exclusivamente local o regional.”</w:t>
      </w:r>
    </w:p>
    <w:p w14:paraId="3889B6FA" w14:textId="77777777" w:rsidR="009B583B" w:rsidRPr="003D6049" w:rsidRDefault="009B583B" w:rsidP="009B583B">
      <w:pPr>
        <w:jc w:val="both"/>
        <w:rPr>
          <w:b/>
          <w:sz w:val="24"/>
          <w:szCs w:val="24"/>
        </w:rPr>
      </w:pPr>
    </w:p>
    <w:p w14:paraId="163D6C1D" w14:textId="3252B2B1" w:rsidR="009B583B" w:rsidRPr="003D6049" w:rsidRDefault="009B583B" w:rsidP="009B583B">
      <w:pPr>
        <w:jc w:val="both"/>
        <w:rPr>
          <w:sz w:val="24"/>
          <w:szCs w:val="24"/>
        </w:rPr>
      </w:pPr>
      <w:r w:rsidRPr="003D6049">
        <w:rPr>
          <w:sz w:val="24"/>
          <w:szCs w:val="24"/>
        </w:rPr>
        <w:t>La Corte Constitucional en Sentencia</w:t>
      </w:r>
      <w:r w:rsidRPr="003D6049">
        <w:rPr>
          <w:b/>
          <w:bCs/>
          <w:sz w:val="24"/>
          <w:szCs w:val="24"/>
          <w:shd w:val="clear" w:color="auto" w:fill="FFFFFF"/>
        </w:rPr>
        <w:t xml:space="preserve"> C-768/10</w:t>
      </w:r>
      <w:r w:rsidRPr="003D6049">
        <w:rPr>
          <w:sz w:val="24"/>
          <w:szCs w:val="24"/>
        </w:rPr>
        <w:t xml:space="preserve"> al referirse a la estampilla ha definido lo siguiente: </w:t>
      </w:r>
    </w:p>
    <w:p w14:paraId="299E03EC" w14:textId="77777777" w:rsidR="008120B0" w:rsidRPr="003D6049" w:rsidRDefault="008120B0" w:rsidP="009B583B">
      <w:pPr>
        <w:jc w:val="both"/>
        <w:rPr>
          <w:sz w:val="24"/>
          <w:szCs w:val="24"/>
        </w:rPr>
      </w:pPr>
    </w:p>
    <w:p w14:paraId="4D695F77" w14:textId="77777777" w:rsidR="009B583B" w:rsidRPr="003D6049" w:rsidRDefault="009B583B" w:rsidP="009B583B">
      <w:pPr>
        <w:ind w:left="708"/>
        <w:jc w:val="both"/>
        <w:rPr>
          <w:sz w:val="24"/>
          <w:szCs w:val="24"/>
        </w:rPr>
      </w:pPr>
      <w:r w:rsidRPr="003D6049">
        <w:rPr>
          <w:i/>
          <w:iCs/>
          <w:sz w:val="24"/>
          <w:szCs w:val="24"/>
          <w:shd w:val="clear" w:color="auto" w:fill="FFFFFF"/>
        </w:rPr>
        <w:t>“Las estampillas han sido definidas por la jurisprudencia del Consejo de Estado como tributos dentro de la especie de “tasas parafiscales”, en la medida en que participan de la naturaleza de las contribuciones parafiscales, pues constituyen un gravamen cuyo pago obligatorio deben realizar los usuarios de algunas operaciones o actividades que se realizan frente a organismos de carácter público; son de carácter excepcional en cuanto al sujeto pasivo del tributo; los recursos se revierten en beneficio de un sector específico; y están destinados a sufragar gastos en que incurran las entidades que desarrollan o prestan un servicio público, como función propia del Estado”.</w:t>
      </w:r>
    </w:p>
    <w:p w14:paraId="5E802448" w14:textId="77777777" w:rsidR="009B583B" w:rsidRPr="003D6049" w:rsidRDefault="009B583B" w:rsidP="009B583B">
      <w:pPr>
        <w:ind w:left="708"/>
        <w:jc w:val="both"/>
        <w:rPr>
          <w:sz w:val="24"/>
          <w:szCs w:val="24"/>
        </w:rPr>
      </w:pPr>
    </w:p>
    <w:p w14:paraId="74FCC601" w14:textId="77777777" w:rsidR="009B583B" w:rsidRPr="003D6049" w:rsidRDefault="009B583B" w:rsidP="009B583B">
      <w:pPr>
        <w:pStyle w:val="Sinespaciado"/>
        <w:jc w:val="both"/>
        <w:rPr>
          <w:rFonts w:ascii="Arial" w:hAnsi="Arial" w:cs="Arial"/>
          <w:b/>
          <w:sz w:val="24"/>
          <w:szCs w:val="24"/>
          <w:shd w:val="clear" w:color="auto" w:fill="FFFFFF"/>
        </w:rPr>
      </w:pPr>
      <w:r w:rsidRPr="003D6049">
        <w:rPr>
          <w:rFonts w:ascii="Arial" w:hAnsi="Arial" w:cs="Arial"/>
          <w:b/>
          <w:sz w:val="24"/>
          <w:szCs w:val="24"/>
        </w:rPr>
        <w:t xml:space="preserve">Principio de Legalidad en materia Tributaria </w:t>
      </w:r>
      <w:r w:rsidRPr="003D6049">
        <w:rPr>
          <w:rFonts w:ascii="Arial" w:hAnsi="Arial" w:cs="Arial"/>
          <w:b/>
          <w:sz w:val="24"/>
          <w:szCs w:val="24"/>
          <w:shd w:val="clear" w:color="auto" w:fill="FFFFFF"/>
        </w:rPr>
        <w:t>y autonomía de las entidades territoriales en materia impositiva:</w:t>
      </w:r>
    </w:p>
    <w:p w14:paraId="20450B20" w14:textId="77777777" w:rsidR="009B583B" w:rsidRPr="003D6049" w:rsidRDefault="009B583B" w:rsidP="009B583B">
      <w:pPr>
        <w:pStyle w:val="Sinespaciado"/>
        <w:jc w:val="both"/>
        <w:rPr>
          <w:rFonts w:ascii="Arial" w:hAnsi="Arial" w:cs="Arial"/>
          <w:b/>
          <w:sz w:val="24"/>
          <w:szCs w:val="24"/>
          <w:shd w:val="clear" w:color="auto" w:fill="FFFFFF"/>
        </w:rPr>
      </w:pPr>
      <w:r w:rsidRPr="003D6049">
        <w:rPr>
          <w:rFonts w:ascii="Arial" w:hAnsi="Arial" w:cs="Arial"/>
          <w:sz w:val="24"/>
          <w:szCs w:val="24"/>
        </w:rPr>
        <w:t xml:space="preserve"> </w:t>
      </w:r>
    </w:p>
    <w:p w14:paraId="13C8A0B8" w14:textId="77777777" w:rsidR="009B583B" w:rsidRPr="003D6049" w:rsidRDefault="009B583B" w:rsidP="009B583B">
      <w:pPr>
        <w:shd w:val="clear" w:color="auto" w:fill="FFFFFF"/>
        <w:spacing w:line="240" w:lineRule="auto"/>
        <w:ind w:right="20"/>
        <w:jc w:val="both"/>
        <w:rPr>
          <w:rFonts w:eastAsia="Times New Roman"/>
          <w:sz w:val="24"/>
          <w:szCs w:val="24"/>
          <w:lang w:val="es-ES"/>
        </w:rPr>
      </w:pPr>
      <w:r w:rsidRPr="003D6049">
        <w:rPr>
          <w:rFonts w:eastAsia="Times New Roman"/>
          <w:sz w:val="24"/>
          <w:szCs w:val="24"/>
          <w:lang w:val="es-ES"/>
        </w:rPr>
        <w:t>El tenor del artículo 338 de la Carta, permite advertir que este no concentra en el Congreso la competencia exclusiva y excluyente para establecer los elementos del tributo, pues ello implicaría, ni más ni menos, el desconocimiento del ámbito propio e inalienable que la Constitución reconoce a las entidades territoriales en cuanto al establecimiento de gravámenes en sus respectivos territorios.</w:t>
      </w:r>
    </w:p>
    <w:p w14:paraId="12CA815F" w14:textId="77777777" w:rsidR="009B583B" w:rsidRPr="003D6049" w:rsidRDefault="009B583B" w:rsidP="009B583B">
      <w:pPr>
        <w:shd w:val="clear" w:color="auto" w:fill="FFFFFF"/>
        <w:spacing w:line="240" w:lineRule="auto"/>
        <w:ind w:right="20"/>
        <w:jc w:val="both"/>
        <w:rPr>
          <w:rFonts w:eastAsia="Times New Roman"/>
          <w:sz w:val="24"/>
          <w:szCs w:val="24"/>
          <w:lang w:val="es-ES"/>
        </w:rPr>
      </w:pPr>
      <w:r w:rsidRPr="003D6049">
        <w:rPr>
          <w:rFonts w:eastAsia="Times New Roman"/>
          <w:sz w:val="24"/>
          <w:szCs w:val="24"/>
          <w:lang w:val="es-ES"/>
        </w:rPr>
        <w:lastRenderedPageBreak/>
        <w:t> </w:t>
      </w:r>
    </w:p>
    <w:p w14:paraId="7DD1DAC5" w14:textId="77777777" w:rsidR="009B583B" w:rsidRPr="003D6049" w:rsidRDefault="009B583B" w:rsidP="009B583B">
      <w:pPr>
        <w:shd w:val="clear" w:color="auto" w:fill="FFFFFF"/>
        <w:spacing w:line="240" w:lineRule="auto"/>
        <w:ind w:right="20"/>
        <w:jc w:val="both"/>
        <w:rPr>
          <w:rFonts w:eastAsia="Times New Roman"/>
          <w:sz w:val="24"/>
          <w:szCs w:val="24"/>
          <w:lang w:val="es-ES"/>
        </w:rPr>
      </w:pPr>
      <w:r w:rsidRPr="003D6049">
        <w:rPr>
          <w:rFonts w:eastAsia="Times New Roman"/>
          <w:sz w:val="24"/>
          <w:szCs w:val="24"/>
          <w:lang w:val="es-ES"/>
        </w:rPr>
        <w:t>Es así como, el mandato constitucional reconoce la existencia de distintos niveles respecto de la facultad impositiva, con lo cual se reconoce espacio a las asambleas departamentales y a los concejos distritales y municipales para percibir rentas, por vía de impuestos, tasas y contribuciones, las cuales habrán de aplicar para la realización de sus funciones y para la afirmación de su autonomía. Particularmente, los artículos 300 numeral 4 y 313 numeral 4 de la Constitución Política, confieren a las asambleas y concejos autoridad suficiente para decretar, de conformidad con la Constitución y la ley, los tributos y contribuciones que su sostenimiento requiere.</w:t>
      </w:r>
    </w:p>
    <w:p w14:paraId="76C2BFC8" w14:textId="77777777" w:rsidR="009B583B" w:rsidRPr="003D6049" w:rsidRDefault="009B583B" w:rsidP="009B583B">
      <w:pPr>
        <w:shd w:val="clear" w:color="auto" w:fill="FFFFFF"/>
        <w:spacing w:line="240" w:lineRule="auto"/>
        <w:ind w:left="600" w:right="20"/>
        <w:jc w:val="both"/>
        <w:rPr>
          <w:rFonts w:eastAsia="Times New Roman"/>
          <w:sz w:val="24"/>
          <w:szCs w:val="24"/>
          <w:lang w:val="es-ES"/>
        </w:rPr>
      </w:pPr>
      <w:r w:rsidRPr="003D6049">
        <w:rPr>
          <w:rFonts w:eastAsia="Times New Roman"/>
          <w:sz w:val="24"/>
          <w:szCs w:val="24"/>
          <w:lang w:val="es-ES"/>
        </w:rPr>
        <w:t> </w:t>
      </w:r>
    </w:p>
    <w:p w14:paraId="2844648D" w14:textId="77777777" w:rsidR="009B583B" w:rsidRPr="003D6049" w:rsidRDefault="009B583B" w:rsidP="009B583B">
      <w:pPr>
        <w:jc w:val="both"/>
        <w:rPr>
          <w:sz w:val="24"/>
          <w:szCs w:val="24"/>
        </w:rPr>
      </w:pPr>
      <w:r w:rsidRPr="003D6049">
        <w:rPr>
          <w:sz w:val="24"/>
          <w:szCs w:val="24"/>
        </w:rPr>
        <w:t>La Corte Constitucional ha señalado que el principio de legalidad del tributo tiene las siguientes características:</w:t>
      </w:r>
    </w:p>
    <w:p w14:paraId="346EC237" w14:textId="77777777" w:rsidR="008120B0" w:rsidRPr="003D6049" w:rsidRDefault="008120B0" w:rsidP="009B583B">
      <w:pPr>
        <w:ind w:left="708"/>
        <w:jc w:val="both"/>
        <w:rPr>
          <w:sz w:val="24"/>
          <w:szCs w:val="24"/>
        </w:rPr>
      </w:pPr>
    </w:p>
    <w:p w14:paraId="62D249AA" w14:textId="181D8D7A" w:rsidR="009B583B" w:rsidRPr="003D6049" w:rsidRDefault="009B583B" w:rsidP="009B583B">
      <w:pPr>
        <w:ind w:left="708"/>
        <w:jc w:val="both"/>
        <w:rPr>
          <w:i/>
          <w:iCs/>
          <w:sz w:val="24"/>
          <w:szCs w:val="24"/>
        </w:rPr>
      </w:pPr>
      <w:r w:rsidRPr="003D6049">
        <w:rPr>
          <w:i/>
          <w:iCs/>
          <w:sz w:val="24"/>
          <w:szCs w:val="24"/>
        </w:rPr>
        <w:t>“Es expresión del principio de representación popular y del principio democrático, derivado en últimas de los postulados del Estado Liberal. (</w:t>
      </w:r>
      <w:proofErr w:type="spellStart"/>
      <w:r w:rsidRPr="003D6049">
        <w:rPr>
          <w:i/>
          <w:iCs/>
          <w:sz w:val="24"/>
          <w:szCs w:val="24"/>
        </w:rPr>
        <w:t>ii</w:t>
      </w:r>
      <w:proofErr w:type="spellEnd"/>
      <w:r w:rsidRPr="003D6049">
        <w:rPr>
          <w:i/>
          <w:iCs/>
          <w:sz w:val="24"/>
          <w:szCs w:val="24"/>
        </w:rPr>
        <w:t xml:space="preserve">) Materializa el principio de predeterminación del tributo, “según el cual una lex previa y </w:t>
      </w:r>
      <w:proofErr w:type="spellStart"/>
      <w:r w:rsidRPr="003D6049">
        <w:rPr>
          <w:i/>
          <w:iCs/>
          <w:sz w:val="24"/>
          <w:szCs w:val="24"/>
        </w:rPr>
        <w:t>certa</w:t>
      </w:r>
      <w:proofErr w:type="spellEnd"/>
      <w:r w:rsidRPr="003D6049">
        <w:rPr>
          <w:i/>
          <w:iCs/>
          <w:sz w:val="24"/>
          <w:szCs w:val="24"/>
        </w:rPr>
        <w:t xml:space="preserve"> debe señalar los elementos de la obligación fiscal”. (</w:t>
      </w:r>
      <w:proofErr w:type="spellStart"/>
      <w:r w:rsidRPr="003D6049">
        <w:rPr>
          <w:i/>
          <w:iCs/>
          <w:sz w:val="24"/>
          <w:szCs w:val="24"/>
        </w:rPr>
        <w:t>iii</w:t>
      </w:r>
      <w:proofErr w:type="spellEnd"/>
      <w:r w:rsidRPr="003D6049">
        <w:rPr>
          <w:i/>
          <w:iCs/>
          <w:sz w:val="24"/>
          <w:szCs w:val="24"/>
        </w:rPr>
        <w:t>) Brinda seguridad a los ciudadanos frente a sus obligaciones fiscales, con lo cual “se otorga una debida protección a la garantía fundamental del debido proceso”. (</w:t>
      </w:r>
      <w:proofErr w:type="spellStart"/>
      <w:r w:rsidRPr="003D6049">
        <w:rPr>
          <w:i/>
          <w:iCs/>
          <w:sz w:val="24"/>
          <w:szCs w:val="24"/>
        </w:rPr>
        <w:t>iv</w:t>
      </w:r>
      <w:proofErr w:type="spellEnd"/>
      <w:r w:rsidRPr="003D6049">
        <w:rPr>
          <w:i/>
          <w:iCs/>
          <w:sz w:val="24"/>
          <w:szCs w:val="24"/>
        </w:rPr>
        <w:t xml:space="preserve">) Responde a la necesidad de promover una política fiscal coherente e inspirada en el principio de “unidad económica”, especialmente cuando existen competencias concurrentes donde confluye la voluntad del Congreso y la de las asambleas departamentales o de los concejos municipales. (v) No se predica únicamente de los impuestos, sino que es exigible también frente a cualquier tributo o contribución (en sentido amplio)”. </w:t>
      </w:r>
    </w:p>
    <w:p w14:paraId="40C93E76" w14:textId="77777777" w:rsidR="008120B0" w:rsidRPr="003D6049" w:rsidRDefault="008120B0" w:rsidP="009B583B">
      <w:pPr>
        <w:ind w:left="708"/>
        <w:jc w:val="both"/>
        <w:rPr>
          <w:sz w:val="24"/>
          <w:szCs w:val="24"/>
        </w:rPr>
      </w:pPr>
    </w:p>
    <w:p w14:paraId="3860F3CC" w14:textId="036E171A" w:rsidR="009B583B" w:rsidRPr="003D6049" w:rsidRDefault="009B583B" w:rsidP="00117DBD">
      <w:pPr>
        <w:jc w:val="both"/>
        <w:rPr>
          <w:sz w:val="24"/>
          <w:szCs w:val="24"/>
        </w:rPr>
      </w:pPr>
      <w:r w:rsidRPr="003D6049">
        <w:rPr>
          <w:sz w:val="24"/>
          <w:szCs w:val="24"/>
        </w:rPr>
        <w:t xml:space="preserve">No obstante, de la naturaleza del gravamen depende el rigor con el que la ley debe señalar sus componentes. Así, frente a tributos de carácter nacional, el Congreso está obligado a definir todos los elementos en forma “clara e inequívoca”, esto es, el sujeto activo, el sujeto pasivo, el hecho generador, la base impositiva y la tarifa. </w:t>
      </w:r>
    </w:p>
    <w:p w14:paraId="3178F8F1" w14:textId="77777777" w:rsidR="008120B0" w:rsidRPr="003D6049" w:rsidRDefault="008120B0" w:rsidP="009B583B">
      <w:pPr>
        <w:ind w:left="708"/>
        <w:jc w:val="both"/>
        <w:rPr>
          <w:sz w:val="24"/>
          <w:szCs w:val="24"/>
        </w:rPr>
      </w:pPr>
    </w:p>
    <w:p w14:paraId="7A75A84E" w14:textId="67B8F900" w:rsidR="009B583B" w:rsidRPr="003D6049" w:rsidRDefault="009B583B" w:rsidP="00117DBD">
      <w:pPr>
        <w:jc w:val="both"/>
        <w:rPr>
          <w:sz w:val="24"/>
          <w:szCs w:val="24"/>
        </w:rPr>
      </w:pPr>
      <w:r w:rsidRPr="003D6049">
        <w:rPr>
          <w:sz w:val="24"/>
          <w:szCs w:val="24"/>
        </w:rPr>
        <w:t>Por el contrario, tratándose de gravámenes territoriales, especialmente cuando la ley solamente autoriza su creación, esta debe señalar los aspectos básicos, pero existe una competencia concurrente de las asambleas departamentales o de los concejos municipales según el caso. (vi</w:t>
      </w:r>
      <w:r w:rsidR="00A06236" w:rsidRPr="003D6049">
        <w:rPr>
          <w:sz w:val="24"/>
          <w:szCs w:val="24"/>
        </w:rPr>
        <w:t>)</w:t>
      </w:r>
      <w:r w:rsidRPr="003D6049">
        <w:rPr>
          <w:sz w:val="24"/>
          <w:szCs w:val="24"/>
        </w:rPr>
        <w:t xml:space="preserve"> De conformidad con el mandato constitucional contenido en el artículo 338, no solo el legislador, sino también las asambleas y los concejos están facultados para fijar los elementos constitutivos del </w:t>
      </w:r>
      <w:r w:rsidRPr="003D6049">
        <w:rPr>
          <w:sz w:val="24"/>
          <w:szCs w:val="24"/>
        </w:rPr>
        <w:lastRenderedPageBreak/>
        <w:t>tributo. (</w:t>
      </w:r>
      <w:proofErr w:type="spellStart"/>
      <w:r w:rsidRPr="003D6049">
        <w:rPr>
          <w:sz w:val="24"/>
          <w:szCs w:val="24"/>
        </w:rPr>
        <w:t>vii</w:t>
      </w:r>
      <w:proofErr w:type="spellEnd"/>
      <w:r w:rsidRPr="003D6049">
        <w:rPr>
          <w:sz w:val="24"/>
          <w:szCs w:val="24"/>
        </w:rPr>
        <w:t>)</w:t>
      </w:r>
      <w:r w:rsidR="00117DBD" w:rsidRPr="003D6049">
        <w:rPr>
          <w:sz w:val="24"/>
          <w:szCs w:val="24"/>
        </w:rPr>
        <w:t xml:space="preserve"> </w:t>
      </w:r>
      <w:r w:rsidRPr="003D6049">
        <w:rPr>
          <w:sz w:val="24"/>
          <w:szCs w:val="24"/>
        </w:rPr>
        <w:t>La ley, las ordenanzas y los acuerdos, sin resignar sus atribuciones constitucionales, pueden autorizar a las autoridades de los distintos niveles territoriales, dentro de los límites debidamente señalados en ellas, para fijar las tarifas de las tasas y contribuciones que cobren a los contribuyentes; empero, el sistema y el método para definir tales costos y beneficios y la forma de hacer su reparto, deben ser fijados, obligatoriamente, por la ley, las ordenanzas o los acuerdos, como así se deduce del texto del artículo 338 de la Constitución”.</w:t>
      </w:r>
    </w:p>
    <w:p w14:paraId="1AEC3559" w14:textId="77777777" w:rsidR="00595DFC" w:rsidRPr="003D6049" w:rsidRDefault="00595DFC" w:rsidP="00117DBD">
      <w:pPr>
        <w:jc w:val="both"/>
        <w:rPr>
          <w:sz w:val="24"/>
          <w:szCs w:val="24"/>
        </w:rPr>
      </w:pPr>
    </w:p>
    <w:p w14:paraId="0918D85E" w14:textId="09C41327" w:rsidR="009B583B" w:rsidRPr="003D6049" w:rsidRDefault="009B583B" w:rsidP="00153E28">
      <w:pPr>
        <w:pStyle w:val="Prrafodelista"/>
        <w:numPr>
          <w:ilvl w:val="0"/>
          <w:numId w:val="3"/>
        </w:numPr>
        <w:spacing w:line="360" w:lineRule="auto"/>
        <w:jc w:val="both"/>
        <w:rPr>
          <w:b/>
          <w:sz w:val="24"/>
          <w:szCs w:val="24"/>
        </w:rPr>
      </w:pPr>
      <w:r w:rsidRPr="003D6049">
        <w:rPr>
          <w:b/>
          <w:sz w:val="24"/>
          <w:szCs w:val="24"/>
        </w:rPr>
        <w:t>JUSTIFICACIÓN DEL PROYECTO</w:t>
      </w:r>
    </w:p>
    <w:p w14:paraId="52E003B6" w14:textId="36B2FC27" w:rsidR="004B40F5" w:rsidRPr="003D6049" w:rsidRDefault="00AB7BD2" w:rsidP="004B40F5">
      <w:pPr>
        <w:spacing w:before="100" w:beforeAutospacing="1" w:after="100" w:afterAutospacing="1" w:line="240" w:lineRule="auto"/>
        <w:jc w:val="both"/>
        <w:rPr>
          <w:sz w:val="24"/>
          <w:szCs w:val="24"/>
        </w:rPr>
      </w:pPr>
      <w:r w:rsidRPr="003D6049">
        <w:rPr>
          <w:sz w:val="24"/>
          <w:szCs w:val="24"/>
        </w:rPr>
        <w:t xml:space="preserve">La región de la </w:t>
      </w:r>
      <w:proofErr w:type="spellStart"/>
      <w:r w:rsidRPr="003D6049">
        <w:rPr>
          <w:sz w:val="24"/>
          <w:szCs w:val="24"/>
        </w:rPr>
        <w:t>Amazorinoquia</w:t>
      </w:r>
      <w:proofErr w:type="spellEnd"/>
      <w:r w:rsidRPr="003D6049">
        <w:rPr>
          <w:sz w:val="24"/>
          <w:szCs w:val="24"/>
        </w:rPr>
        <w:t xml:space="preserve"> colombiana, que comprende los departamentos de Amazonas, Arauca, Caquetá, Casanare, Guainía, Guaviare, Meta, Putumayo, Vaupés y Vichada, representa cerca del 45% del territorio nacional, con características geográficas, sociales y económicas que la hacen única en el contexto colombiano. Esta vasta región, que abarca más de 500,000 kilómetros cuadrados, enfrenta retos particulares en la atención a su población con discapacidad, debido principalmente a su extensión territorial,</w:t>
      </w:r>
      <w:r w:rsidR="004B40F5" w:rsidRPr="003D6049">
        <w:rPr>
          <w:sz w:val="24"/>
          <w:szCs w:val="24"/>
        </w:rPr>
        <w:t xml:space="preserve"> combinada con una baja densidad poblacional y limitada infraestructura de conectividad, genera barreras significativas para la atención efectiva de las poblaciones vulnerables, especialmente las personas con discapacidad.</w:t>
      </w:r>
    </w:p>
    <w:p w14:paraId="76FB3920" w14:textId="2D0EFF97" w:rsidR="004B40F5" w:rsidRPr="003D6049" w:rsidRDefault="004B40F5" w:rsidP="004B40F5">
      <w:pPr>
        <w:spacing w:before="100" w:beforeAutospacing="1" w:after="100" w:afterAutospacing="1" w:line="240" w:lineRule="auto"/>
        <w:jc w:val="both"/>
        <w:rPr>
          <w:sz w:val="24"/>
          <w:szCs w:val="24"/>
        </w:rPr>
      </w:pPr>
      <w:r w:rsidRPr="003D6049">
        <w:rPr>
          <w:sz w:val="24"/>
          <w:szCs w:val="24"/>
        </w:rPr>
        <w:t xml:space="preserve">La situación actual evidencia una profunda inequidad territorial. Las personas con discapacidad que habitan en esta región enfrentan una doble vulnerabilidad: primero, por su condición de discapacidad, y segundo, por residir en territorios donde el acceso a servicios especializados es extremadamente escaso. </w:t>
      </w:r>
    </w:p>
    <w:p w14:paraId="0DFF49E9" w14:textId="010F77CE" w:rsidR="00AB7BD2" w:rsidRPr="003D6049" w:rsidRDefault="00AB7BD2" w:rsidP="00AB7BD2">
      <w:pPr>
        <w:spacing w:before="100" w:beforeAutospacing="1" w:after="100" w:afterAutospacing="1" w:line="240" w:lineRule="auto"/>
        <w:jc w:val="both"/>
        <w:rPr>
          <w:sz w:val="24"/>
          <w:szCs w:val="24"/>
        </w:rPr>
      </w:pPr>
      <w:r w:rsidRPr="003D6049">
        <w:rPr>
          <w:sz w:val="24"/>
          <w:szCs w:val="24"/>
        </w:rPr>
        <w:t>La situación se agrava al analizar las condiciones de acceso a servicios especializados. En departamentos como Guainía, Vaupés y Vichada, no existe ni un solo centro de rehabilitación integral. (Observatorio Nacional de Discapacidad, 2023). En el Amazonas, con una extensión de 109,665 km², solo hay dos profesionales especializados en rehabilitación por cada 10,000 habitantes. En departamentos como Caquetá y Putumayo, el 78% de las personas con discapacidad reportan nunca haber recibido atención especializada para su condición. (Defensoría del Pueblo, 2023).</w:t>
      </w:r>
    </w:p>
    <w:p w14:paraId="4E82676F" w14:textId="77777777" w:rsidR="004B40F5" w:rsidRPr="003D6049" w:rsidRDefault="004B40F5" w:rsidP="004B40F5">
      <w:pPr>
        <w:spacing w:before="100" w:beforeAutospacing="1" w:after="100" w:afterAutospacing="1" w:line="240" w:lineRule="auto"/>
        <w:jc w:val="both"/>
        <w:rPr>
          <w:sz w:val="24"/>
          <w:szCs w:val="24"/>
        </w:rPr>
      </w:pPr>
      <w:r w:rsidRPr="003D6049">
        <w:rPr>
          <w:sz w:val="24"/>
          <w:szCs w:val="24"/>
        </w:rPr>
        <w:t xml:space="preserve">Los desafíos son particularmente agudos en las zonas rurales y comunidades indígenas. En estos territorios, la ausencia de centros de rehabilitación, profesionales especializados y ayudas técnicas no solo afecta la calidad de vida de las personas con discapacidad, sino que también impacta severamente a sus </w:t>
      </w:r>
      <w:r w:rsidRPr="003D6049">
        <w:rPr>
          <w:sz w:val="24"/>
          <w:szCs w:val="24"/>
        </w:rPr>
        <w:lastRenderedPageBreak/>
        <w:t>familias y cuidadores, quienes deben realizar largos y costosos desplazamientos para acceder a servicios básicos de atención.</w:t>
      </w:r>
    </w:p>
    <w:p w14:paraId="7BC6DCAC" w14:textId="77777777" w:rsidR="004B40F5" w:rsidRPr="003D6049" w:rsidRDefault="004B40F5" w:rsidP="004B40F5">
      <w:pPr>
        <w:spacing w:before="100" w:beforeAutospacing="1" w:after="100" w:afterAutospacing="1" w:line="240" w:lineRule="auto"/>
        <w:jc w:val="both"/>
        <w:rPr>
          <w:sz w:val="24"/>
          <w:szCs w:val="24"/>
        </w:rPr>
      </w:pPr>
      <w:r w:rsidRPr="003D6049">
        <w:rPr>
          <w:sz w:val="24"/>
          <w:szCs w:val="24"/>
        </w:rPr>
        <w:t>La brecha en la prestación de servicios se hace más evidente al considerar que la mayoría de los centros especializados se concentran en las capitales departamentales, dejando vastas extensiones territoriales sin cobertura efectiva. Esta centralización de servicios resulta especialmente problemática en una región donde las distancias son considerables y los medios de transporte son limitados, costosos o dependientes de condiciones climáticas variables.</w:t>
      </w:r>
    </w:p>
    <w:p w14:paraId="170C9A0A" w14:textId="46F6CADE" w:rsidR="004B40F5" w:rsidRPr="003D6049" w:rsidRDefault="004B40F5" w:rsidP="004B40F5">
      <w:pPr>
        <w:spacing w:before="100" w:beforeAutospacing="1" w:after="100" w:afterAutospacing="1" w:line="240" w:lineRule="auto"/>
        <w:jc w:val="both"/>
        <w:rPr>
          <w:sz w:val="24"/>
          <w:szCs w:val="24"/>
        </w:rPr>
      </w:pPr>
      <w:r w:rsidRPr="003D6049">
        <w:rPr>
          <w:sz w:val="24"/>
          <w:szCs w:val="24"/>
        </w:rPr>
        <w:t xml:space="preserve">Además, la situación económica de la región agrava el panorama. Los departamentos de la </w:t>
      </w:r>
      <w:proofErr w:type="spellStart"/>
      <w:r w:rsidRPr="003D6049">
        <w:rPr>
          <w:sz w:val="24"/>
          <w:szCs w:val="24"/>
        </w:rPr>
        <w:t>Amazorinoquia</w:t>
      </w:r>
      <w:proofErr w:type="spellEnd"/>
      <w:r w:rsidRPr="003D6049">
        <w:rPr>
          <w:sz w:val="24"/>
          <w:szCs w:val="24"/>
        </w:rPr>
        <w:t xml:space="preserve"> presentan indicadores de desarrollo económico significativamente inferiores al promedio nacional, lo que limita la capacidad de las entidades territoriales para financiar programas y servicios especializados. Esta restricción presupuestal perpetúa un ciclo de exclusión que afecta desproporcionadamente a las personas con discapacidad.</w:t>
      </w:r>
    </w:p>
    <w:p w14:paraId="35039F00" w14:textId="77777777" w:rsidR="00195168" w:rsidRPr="003D6049" w:rsidRDefault="00195168" w:rsidP="00195168">
      <w:pPr>
        <w:spacing w:before="100" w:beforeAutospacing="1" w:after="100" w:afterAutospacing="1" w:line="240" w:lineRule="auto"/>
        <w:jc w:val="both"/>
        <w:rPr>
          <w:sz w:val="24"/>
          <w:szCs w:val="24"/>
        </w:rPr>
      </w:pPr>
      <w:r w:rsidRPr="003D6049">
        <w:rPr>
          <w:sz w:val="24"/>
          <w:szCs w:val="24"/>
        </w:rPr>
        <w:t xml:space="preserve">Los datos económicos de la región revelan una realidad preocupante: mientras el PIB per cápita nacional es de aproximadamente $17.6 millones anuales, en departamentos como Vaupés apenas alcanza los $7.2 millones, Guainía $8.1 millones y Vichada $9.3 millones. Esta disparidad económica afecta directamente la capacidad de las entidades territoriales para financiar programas y servicios especializados para la población con discapacidad. (DNP - </w:t>
      </w:r>
      <w:proofErr w:type="spellStart"/>
      <w:r w:rsidRPr="003D6049">
        <w:rPr>
          <w:sz w:val="24"/>
          <w:szCs w:val="24"/>
        </w:rPr>
        <w:t>TerriData</w:t>
      </w:r>
      <w:proofErr w:type="spellEnd"/>
      <w:r w:rsidRPr="003D6049">
        <w:rPr>
          <w:sz w:val="24"/>
          <w:szCs w:val="24"/>
        </w:rPr>
        <w:t>, 2023)</w:t>
      </w:r>
    </w:p>
    <w:p w14:paraId="28BA5751" w14:textId="67374C61" w:rsidR="00AB7BD2" w:rsidRPr="003D6049" w:rsidRDefault="00AB7BD2" w:rsidP="00AB7BD2">
      <w:pPr>
        <w:spacing w:before="100" w:beforeAutospacing="1" w:after="100" w:afterAutospacing="1" w:line="240" w:lineRule="auto"/>
        <w:jc w:val="both"/>
        <w:rPr>
          <w:sz w:val="24"/>
          <w:szCs w:val="24"/>
        </w:rPr>
      </w:pPr>
      <w:r w:rsidRPr="003D6049">
        <w:rPr>
          <w:sz w:val="24"/>
          <w:szCs w:val="24"/>
        </w:rPr>
        <w:t>La dispersión geográfica agrava esta situación. Por ejemplo, en el departamento del Amazonas, una persona con discapacidad que vive en La Pedrera debe viajar más de 12 horas por río para llegar al centro de rehabilitación más cercano en Leticia. En Vaupés, las comunidades indígenas con miembros en condición de discapacidad deben desplazarse hasta Mitú, con trayectos que pueden durar varios días por vía fluvial. (Instituto Amazónico de Investigaciones Científicas SINCHI, 2023).</w:t>
      </w:r>
    </w:p>
    <w:p w14:paraId="14C168E9" w14:textId="77777777" w:rsidR="00195168" w:rsidRPr="003D6049" w:rsidRDefault="00195168" w:rsidP="00195168">
      <w:pPr>
        <w:pStyle w:val="whitespace-pre-wrap"/>
        <w:jc w:val="both"/>
        <w:rPr>
          <w:rFonts w:ascii="Arial" w:hAnsi="Arial" w:cs="Arial"/>
        </w:rPr>
      </w:pPr>
      <w:r w:rsidRPr="003D6049">
        <w:rPr>
          <w:rFonts w:ascii="Arial" w:hAnsi="Arial" w:cs="Arial"/>
        </w:rPr>
        <w:t>Las principales necesidades identificadas en la región son:</w:t>
      </w:r>
    </w:p>
    <w:p w14:paraId="5AE27B19" w14:textId="77777777" w:rsidR="00195168" w:rsidRPr="003D6049" w:rsidRDefault="00195168" w:rsidP="00195168">
      <w:pPr>
        <w:pStyle w:val="whitespace-pre-wrap"/>
        <w:jc w:val="both"/>
        <w:rPr>
          <w:rFonts w:ascii="Arial" w:hAnsi="Arial" w:cs="Arial"/>
        </w:rPr>
      </w:pPr>
      <w:r w:rsidRPr="003D6049">
        <w:rPr>
          <w:rFonts w:ascii="Arial" w:hAnsi="Arial" w:cs="Arial"/>
        </w:rPr>
        <w:t>a) Infraestructura y Equipamiento:</w:t>
      </w:r>
    </w:p>
    <w:p w14:paraId="3D9960B9" w14:textId="77777777" w:rsidR="00195168" w:rsidRPr="003D6049" w:rsidRDefault="00195168" w:rsidP="00195168">
      <w:pPr>
        <w:pStyle w:val="whitespace-normal"/>
        <w:numPr>
          <w:ilvl w:val="0"/>
          <w:numId w:val="11"/>
        </w:numPr>
        <w:jc w:val="both"/>
        <w:rPr>
          <w:rFonts w:ascii="Arial" w:hAnsi="Arial" w:cs="Arial"/>
        </w:rPr>
      </w:pPr>
      <w:r w:rsidRPr="003D6049">
        <w:rPr>
          <w:rFonts w:ascii="Arial" w:hAnsi="Arial" w:cs="Arial"/>
        </w:rPr>
        <w:t>Centros de rehabilitación especializados</w:t>
      </w:r>
    </w:p>
    <w:p w14:paraId="40206F9A" w14:textId="77777777" w:rsidR="00195168" w:rsidRPr="003D6049" w:rsidRDefault="00195168" w:rsidP="00195168">
      <w:pPr>
        <w:pStyle w:val="whitespace-normal"/>
        <w:numPr>
          <w:ilvl w:val="0"/>
          <w:numId w:val="11"/>
        </w:numPr>
        <w:jc w:val="both"/>
        <w:rPr>
          <w:rFonts w:ascii="Arial" w:hAnsi="Arial" w:cs="Arial"/>
        </w:rPr>
      </w:pPr>
      <w:r w:rsidRPr="003D6049">
        <w:rPr>
          <w:rFonts w:ascii="Arial" w:hAnsi="Arial" w:cs="Arial"/>
        </w:rPr>
        <w:t>Ayudas técnicas y tecnológicas</w:t>
      </w:r>
    </w:p>
    <w:p w14:paraId="37662AFB" w14:textId="77777777" w:rsidR="00195168" w:rsidRPr="003D6049" w:rsidRDefault="00195168" w:rsidP="00195168">
      <w:pPr>
        <w:pStyle w:val="whitespace-normal"/>
        <w:numPr>
          <w:ilvl w:val="0"/>
          <w:numId w:val="11"/>
        </w:numPr>
        <w:jc w:val="both"/>
        <w:rPr>
          <w:rFonts w:ascii="Arial" w:hAnsi="Arial" w:cs="Arial"/>
        </w:rPr>
      </w:pPr>
      <w:r w:rsidRPr="003D6049">
        <w:rPr>
          <w:rFonts w:ascii="Arial" w:hAnsi="Arial" w:cs="Arial"/>
        </w:rPr>
        <w:t>Adecuación de espacios públicos</w:t>
      </w:r>
    </w:p>
    <w:p w14:paraId="658BB653" w14:textId="77777777" w:rsidR="00195168" w:rsidRPr="003D6049" w:rsidRDefault="00195168" w:rsidP="00195168">
      <w:pPr>
        <w:pStyle w:val="whitespace-normal"/>
        <w:numPr>
          <w:ilvl w:val="0"/>
          <w:numId w:val="11"/>
        </w:numPr>
        <w:jc w:val="both"/>
        <w:rPr>
          <w:rFonts w:ascii="Arial" w:hAnsi="Arial" w:cs="Arial"/>
        </w:rPr>
      </w:pPr>
      <w:r w:rsidRPr="003D6049">
        <w:rPr>
          <w:rFonts w:ascii="Arial" w:hAnsi="Arial" w:cs="Arial"/>
        </w:rPr>
        <w:t>Transporte adaptado</w:t>
      </w:r>
    </w:p>
    <w:p w14:paraId="3BDE7182" w14:textId="77777777" w:rsidR="00195168" w:rsidRPr="003D6049" w:rsidRDefault="00195168" w:rsidP="00195168">
      <w:pPr>
        <w:pStyle w:val="whitespace-pre-wrap"/>
        <w:jc w:val="both"/>
        <w:rPr>
          <w:rFonts w:ascii="Arial" w:hAnsi="Arial" w:cs="Arial"/>
        </w:rPr>
      </w:pPr>
      <w:r w:rsidRPr="003D6049">
        <w:rPr>
          <w:rFonts w:ascii="Arial" w:hAnsi="Arial" w:cs="Arial"/>
        </w:rPr>
        <w:lastRenderedPageBreak/>
        <w:t>b) Servicios:</w:t>
      </w:r>
    </w:p>
    <w:p w14:paraId="5FB55C85" w14:textId="77777777" w:rsidR="00195168" w:rsidRPr="003D6049" w:rsidRDefault="00195168" w:rsidP="00195168">
      <w:pPr>
        <w:pStyle w:val="whitespace-normal"/>
        <w:numPr>
          <w:ilvl w:val="0"/>
          <w:numId w:val="12"/>
        </w:numPr>
        <w:jc w:val="both"/>
        <w:rPr>
          <w:rFonts w:ascii="Arial" w:hAnsi="Arial" w:cs="Arial"/>
        </w:rPr>
      </w:pPr>
      <w:r w:rsidRPr="003D6049">
        <w:rPr>
          <w:rFonts w:ascii="Arial" w:hAnsi="Arial" w:cs="Arial"/>
        </w:rPr>
        <w:t>Atención médica especializada</w:t>
      </w:r>
    </w:p>
    <w:p w14:paraId="4BAB416B" w14:textId="77777777" w:rsidR="00195168" w:rsidRPr="003D6049" w:rsidRDefault="00195168" w:rsidP="00195168">
      <w:pPr>
        <w:pStyle w:val="whitespace-normal"/>
        <w:numPr>
          <w:ilvl w:val="0"/>
          <w:numId w:val="12"/>
        </w:numPr>
        <w:jc w:val="both"/>
        <w:rPr>
          <w:rFonts w:ascii="Arial" w:hAnsi="Arial" w:cs="Arial"/>
        </w:rPr>
      </w:pPr>
      <w:r w:rsidRPr="003D6049">
        <w:rPr>
          <w:rFonts w:ascii="Arial" w:hAnsi="Arial" w:cs="Arial"/>
        </w:rPr>
        <w:t>Terapias de rehabilitación</w:t>
      </w:r>
    </w:p>
    <w:p w14:paraId="03F97D51" w14:textId="77777777" w:rsidR="00195168" w:rsidRPr="003D6049" w:rsidRDefault="00195168" w:rsidP="00195168">
      <w:pPr>
        <w:pStyle w:val="whitespace-normal"/>
        <w:numPr>
          <w:ilvl w:val="0"/>
          <w:numId w:val="12"/>
        </w:numPr>
        <w:jc w:val="both"/>
        <w:rPr>
          <w:rFonts w:ascii="Arial" w:hAnsi="Arial" w:cs="Arial"/>
        </w:rPr>
      </w:pPr>
      <w:r w:rsidRPr="003D6049">
        <w:rPr>
          <w:rFonts w:ascii="Arial" w:hAnsi="Arial" w:cs="Arial"/>
        </w:rPr>
        <w:t>Programas de inclusión educativa</w:t>
      </w:r>
    </w:p>
    <w:p w14:paraId="15493EEE" w14:textId="77777777" w:rsidR="00195168" w:rsidRPr="003D6049" w:rsidRDefault="00195168" w:rsidP="00195168">
      <w:pPr>
        <w:pStyle w:val="whitespace-normal"/>
        <w:numPr>
          <w:ilvl w:val="0"/>
          <w:numId w:val="12"/>
        </w:numPr>
        <w:jc w:val="both"/>
        <w:rPr>
          <w:rFonts w:ascii="Arial" w:hAnsi="Arial" w:cs="Arial"/>
        </w:rPr>
      </w:pPr>
      <w:r w:rsidRPr="003D6049">
        <w:rPr>
          <w:rFonts w:ascii="Arial" w:hAnsi="Arial" w:cs="Arial"/>
        </w:rPr>
        <w:t>Formación para el trabajo</w:t>
      </w:r>
    </w:p>
    <w:p w14:paraId="35FFF446" w14:textId="77777777" w:rsidR="00195168" w:rsidRPr="003D6049" w:rsidRDefault="00195168" w:rsidP="00195168">
      <w:pPr>
        <w:pStyle w:val="whitespace-pre-wrap"/>
        <w:jc w:val="both"/>
        <w:rPr>
          <w:rFonts w:ascii="Arial" w:hAnsi="Arial" w:cs="Arial"/>
        </w:rPr>
      </w:pPr>
      <w:r w:rsidRPr="003D6049">
        <w:rPr>
          <w:rFonts w:ascii="Arial" w:hAnsi="Arial" w:cs="Arial"/>
        </w:rPr>
        <w:t>c) Apoyo Social:</w:t>
      </w:r>
    </w:p>
    <w:p w14:paraId="374AE3AB" w14:textId="77777777" w:rsidR="00195168" w:rsidRPr="003D6049" w:rsidRDefault="00195168" w:rsidP="00195168">
      <w:pPr>
        <w:pStyle w:val="whitespace-normal"/>
        <w:numPr>
          <w:ilvl w:val="0"/>
          <w:numId w:val="13"/>
        </w:numPr>
        <w:jc w:val="both"/>
        <w:rPr>
          <w:rFonts w:ascii="Arial" w:hAnsi="Arial" w:cs="Arial"/>
        </w:rPr>
      </w:pPr>
      <w:r w:rsidRPr="003D6049">
        <w:rPr>
          <w:rFonts w:ascii="Arial" w:hAnsi="Arial" w:cs="Arial"/>
        </w:rPr>
        <w:t>Programas de respiro familiar</w:t>
      </w:r>
    </w:p>
    <w:p w14:paraId="4F0CE07A" w14:textId="77777777" w:rsidR="00195168" w:rsidRPr="003D6049" w:rsidRDefault="00195168" w:rsidP="00195168">
      <w:pPr>
        <w:pStyle w:val="whitespace-normal"/>
        <w:numPr>
          <w:ilvl w:val="0"/>
          <w:numId w:val="13"/>
        </w:numPr>
        <w:jc w:val="both"/>
        <w:rPr>
          <w:rFonts w:ascii="Arial" w:hAnsi="Arial" w:cs="Arial"/>
        </w:rPr>
      </w:pPr>
      <w:r w:rsidRPr="003D6049">
        <w:rPr>
          <w:rFonts w:ascii="Arial" w:hAnsi="Arial" w:cs="Arial"/>
        </w:rPr>
        <w:t>Apoyo psicosocial</w:t>
      </w:r>
    </w:p>
    <w:p w14:paraId="3C0C7B7E" w14:textId="77777777" w:rsidR="00195168" w:rsidRPr="003D6049" w:rsidRDefault="00195168" w:rsidP="00195168">
      <w:pPr>
        <w:pStyle w:val="whitespace-normal"/>
        <w:numPr>
          <w:ilvl w:val="0"/>
          <w:numId w:val="13"/>
        </w:numPr>
        <w:jc w:val="both"/>
        <w:rPr>
          <w:rFonts w:ascii="Arial" w:hAnsi="Arial" w:cs="Arial"/>
        </w:rPr>
      </w:pPr>
      <w:r w:rsidRPr="003D6049">
        <w:rPr>
          <w:rFonts w:ascii="Arial" w:hAnsi="Arial" w:cs="Arial"/>
        </w:rPr>
        <w:t>Asistencia domiciliaria</w:t>
      </w:r>
    </w:p>
    <w:p w14:paraId="45EA5C14" w14:textId="77777777" w:rsidR="00195168" w:rsidRPr="003D6049" w:rsidRDefault="00195168" w:rsidP="00195168">
      <w:pPr>
        <w:pStyle w:val="whitespace-normal"/>
        <w:numPr>
          <w:ilvl w:val="0"/>
          <w:numId w:val="13"/>
        </w:numPr>
        <w:jc w:val="both"/>
        <w:rPr>
          <w:rFonts w:ascii="Arial" w:hAnsi="Arial" w:cs="Arial"/>
        </w:rPr>
      </w:pPr>
      <w:r w:rsidRPr="003D6049">
        <w:rPr>
          <w:rFonts w:ascii="Arial" w:hAnsi="Arial" w:cs="Arial"/>
        </w:rPr>
        <w:t>Programas de inclusión comunitaria</w:t>
      </w:r>
    </w:p>
    <w:p w14:paraId="7318CCFC" w14:textId="11F2ED4F" w:rsidR="00AB7BD2" w:rsidRPr="003D6049" w:rsidRDefault="00AB7BD2" w:rsidP="00AB7BD2">
      <w:pPr>
        <w:spacing w:before="100" w:beforeAutospacing="1" w:after="100" w:afterAutospacing="1" w:line="240" w:lineRule="auto"/>
        <w:jc w:val="both"/>
        <w:rPr>
          <w:sz w:val="24"/>
          <w:szCs w:val="24"/>
        </w:rPr>
      </w:pPr>
      <w:r w:rsidRPr="003D6049">
        <w:rPr>
          <w:sz w:val="24"/>
          <w:szCs w:val="24"/>
        </w:rPr>
        <w:t xml:space="preserve">Este proyecto de ley no solo busca generar recursos adicionales, sino también crear un mecanismo de financiación sostenible que permita a las entidades territoriales de la </w:t>
      </w:r>
      <w:proofErr w:type="spellStart"/>
      <w:r w:rsidRPr="003D6049">
        <w:rPr>
          <w:sz w:val="24"/>
          <w:szCs w:val="24"/>
        </w:rPr>
        <w:t>Amazorinoquia</w:t>
      </w:r>
      <w:proofErr w:type="spellEnd"/>
      <w:r w:rsidRPr="003D6049">
        <w:rPr>
          <w:sz w:val="24"/>
          <w:szCs w:val="24"/>
        </w:rPr>
        <w:t xml:space="preserve"> desarrollar programas y proyectos de largo plazo para la atención integral de las personas con discapacidad. La estampilla se constituiría en una herramienta fundamental para reducir las brechas de atención y garantizar el acceso a servicios especializados para esta población vulnerable en una de las regiones más extensas y desatendidas del país.</w:t>
      </w:r>
    </w:p>
    <w:p w14:paraId="4E6EF9B8" w14:textId="77777777" w:rsidR="004B40F5" w:rsidRPr="003D6049" w:rsidRDefault="004B40F5" w:rsidP="009F37C2">
      <w:pPr>
        <w:spacing w:before="100" w:beforeAutospacing="1" w:after="100" w:afterAutospacing="1" w:line="240" w:lineRule="auto"/>
        <w:jc w:val="both"/>
        <w:rPr>
          <w:bCs/>
          <w:sz w:val="24"/>
          <w:szCs w:val="24"/>
        </w:rPr>
      </w:pPr>
      <w:r w:rsidRPr="003D6049">
        <w:rPr>
          <w:sz w:val="24"/>
          <w:szCs w:val="24"/>
        </w:rPr>
        <w:t xml:space="preserve">La creación de la estampilla Pro-Discapacidad para la </w:t>
      </w:r>
      <w:proofErr w:type="spellStart"/>
      <w:r w:rsidRPr="003D6049">
        <w:rPr>
          <w:sz w:val="24"/>
          <w:szCs w:val="24"/>
        </w:rPr>
        <w:t>Amazorinoquia</w:t>
      </w:r>
      <w:proofErr w:type="spellEnd"/>
      <w:r w:rsidRPr="003D6049">
        <w:rPr>
          <w:sz w:val="24"/>
          <w:szCs w:val="24"/>
        </w:rPr>
        <w:t xml:space="preserve"> representa una respuesta integral a esta problemática. Este mecanismo de financiación permitiría a las entidades territoriales contar con recursos estables y específicos para desarrollar programas y proyectos que atiendan las necesidades particulares de esta población.</w:t>
      </w:r>
      <w:r w:rsidRPr="003D6049">
        <w:rPr>
          <w:bCs/>
          <w:sz w:val="24"/>
          <w:szCs w:val="24"/>
        </w:rPr>
        <w:t xml:space="preserve"> </w:t>
      </w:r>
    </w:p>
    <w:p w14:paraId="55BCAE64" w14:textId="427B233F" w:rsidR="00433600" w:rsidRPr="003D6049" w:rsidRDefault="00433600" w:rsidP="00C56CCB">
      <w:pPr>
        <w:pStyle w:val="Sinespaciado"/>
        <w:rPr>
          <w:rFonts w:ascii="Arial" w:hAnsi="Arial" w:cs="Arial"/>
          <w:sz w:val="24"/>
          <w:szCs w:val="24"/>
        </w:rPr>
      </w:pPr>
    </w:p>
    <w:p w14:paraId="78393FF5" w14:textId="46D3E56F" w:rsidR="00433600" w:rsidRPr="003D6049" w:rsidRDefault="00433600" w:rsidP="009A2667">
      <w:pPr>
        <w:pStyle w:val="Prrafodelista"/>
        <w:numPr>
          <w:ilvl w:val="0"/>
          <w:numId w:val="3"/>
        </w:numPr>
        <w:shd w:val="clear" w:color="auto" w:fill="FFFFFF"/>
        <w:spacing w:line="240" w:lineRule="auto"/>
        <w:jc w:val="both"/>
        <w:rPr>
          <w:rFonts w:eastAsia="Times New Roman"/>
          <w:b/>
          <w:sz w:val="24"/>
          <w:szCs w:val="24"/>
          <w:lang w:eastAsia="es-ES"/>
        </w:rPr>
      </w:pPr>
      <w:r w:rsidRPr="003D6049">
        <w:rPr>
          <w:rFonts w:eastAsia="Times New Roman"/>
          <w:b/>
          <w:sz w:val="24"/>
          <w:szCs w:val="24"/>
          <w:lang w:eastAsia="es-ES"/>
        </w:rPr>
        <w:t>IMPACTO FISCAL</w:t>
      </w:r>
    </w:p>
    <w:p w14:paraId="47578EE4" w14:textId="77777777" w:rsidR="00433600" w:rsidRPr="003D6049" w:rsidRDefault="00433600" w:rsidP="00433600">
      <w:pPr>
        <w:shd w:val="clear" w:color="auto" w:fill="FFFFFF"/>
        <w:spacing w:line="240" w:lineRule="auto"/>
        <w:jc w:val="both"/>
        <w:rPr>
          <w:rFonts w:eastAsia="Times New Roman"/>
          <w:sz w:val="24"/>
          <w:szCs w:val="24"/>
          <w:lang w:eastAsia="es-ES"/>
        </w:rPr>
      </w:pPr>
    </w:p>
    <w:p w14:paraId="0511A875" w14:textId="77777777" w:rsidR="00433600" w:rsidRPr="003D6049" w:rsidRDefault="00433600" w:rsidP="00433600">
      <w:pPr>
        <w:spacing w:line="240" w:lineRule="auto"/>
        <w:jc w:val="both"/>
        <w:rPr>
          <w:bCs/>
          <w:color w:val="000000"/>
          <w:sz w:val="24"/>
          <w:szCs w:val="24"/>
        </w:rPr>
      </w:pPr>
      <w:r w:rsidRPr="003D6049">
        <w:rPr>
          <w:bCs/>
          <w:color w:val="000000"/>
          <w:sz w:val="24"/>
          <w:szCs w:val="24"/>
        </w:rPr>
        <w:t>El presente proyecto de ley no conlleva un impacto fiscal, debido a que en el articulado no se ordena un gasto público, pues en el mismo se señala expresamente que se autoriza al Gobierno Nacional para que reglamente todo lo relacionado con la puesta en marcha de lo establecido en él.</w:t>
      </w:r>
    </w:p>
    <w:p w14:paraId="11784C00" w14:textId="77777777" w:rsidR="00433600" w:rsidRPr="003D6049" w:rsidRDefault="00433600" w:rsidP="00433600">
      <w:pPr>
        <w:spacing w:line="240" w:lineRule="auto"/>
        <w:jc w:val="both"/>
        <w:rPr>
          <w:bCs/>
          <w:color w:val="000000"/>
          <w:sz w:val="24"/>
          <w:szCs w:val="24"/>
        </w:rPr>
      </w:pPr>
      <w:r w:rsidRPr="003D6049">
        <w:rPr>
          <w:bCs/>
          <w:color w:val="000000"/>
          <w:sz w:val="24"/>
          <w:szCs w:val="24"/>
        </w:rPr>
        <w:t xml:space="preserve"> </w:t>
      </w:r>
    </w:p>
    <w:p w14:paraId="4F085804" w14:textId="77777777" w:rsidR="00433600" w:rsidRPr="003D6049" w:rsidRDefault="00433600" w:rsidP="00433600">
      <w:pPr>
        <w:spacing w:line="240" w:lineRule="auto"/>
        <w:jc w:val="both"/>
        <w:rPr>
          <w:bCs/>
          <w:color w:val="000000"/>
          <w:sz w:val="24"/>
          <w:szCs w:val="24"/>
        </w:rPr>
      </w:pPr>
      <w:r w:rsidRPr="003D6049">
        <w:rPr>
          <w:bCs/>
          <w:color w:val="000000"/>
          <w:sz w:val="24"/>
          <w:szCs w:val="24"/>
        </w:rPr>
        <w:t>Adicionalmente, es importante tener en cuenta que el proyecto de ley está acorde con los distintos pronunciamientos de la Corte Constitucional sobre la materia, específicamente con la sentencia C 866 de 2010, en la cual manifestó una serie de subreglas sobre el análisis del impacto fiscal de las normas:</w:t>
      </w:r>
    </w:p>
    <w:p w14:paraId="0E257E41" w14:textId="77777777" w:rsidR="00433600" w:rsidRPr="003D6049" w:rsidRDefault="00433600" w:rsidP="00433600">
      <w:pPr>
        <w:spacing w:line="240" w:lineRule="auto"/>
        <w:jc w:val="both"/>
        <w:rPr>
          <w:bCs/>
          <w:color w:val="000000"/>
          <w:sz w:val="24"/>
          <w:szCs w:val="24"/>
        </w:rPr>
      </w:pPr>
    </w:p>
    <w:p w14:paraId="4F692D33" w14:textId="77777777" w:rsidR="00433600" w:rsidRPr="003D6049" w:rsidRDefault="00433600" w:rsidP="002E1598">
      <w:pPr>
        <w:spacing w:line="240" w:lineRule="auto"/>
        <w:ind w:left="567" w:right="616"/>
        <w:jc w:val="both"/>
        <w:rPr>
          <w:bCs/>
          <w:color w:val="000000"/>
          <w:sz w:val="24"/>
          <w:szCs w:val="24"/>
        </w:rPr>
      </w:pPr>
      <w:r w:rsidRPr="003D6049">
        <w:rPr>
          <w:bCs/>
          <w:color w:val="000000"/>
          <w:sz w:val="24"/>
          <w:szCs w:val="24"/>
        </w:rPr>
        <w:lastRenderedPageBreak/>
        <w:t>“… es posible deducir las siguientes subreglas sobre el alcance del artículo 7º de la Ley 819 de 2003:</w:t>
      </w:r>
    </w:p>
    <w:p w14:paraId="10F7D01A" w14:textId="77777777" w:rsidR="00433600" w:rsidRPr="003D6049" w:rsidRDefault="00433600" w:rsidP="002E1598">
      <w:pPr>
        <w:spacing w:line="240" w:lineRule="auto"/>
        <w:ind w:left="567" w:right="616"/>
        <w:jc w:val="both"/>
        <w:rPr>
          <w:bCs/>
          <w:color w:val="000000"/>
          <w:sz w:val="24"/>
          <w:szCs w:val="24"/>
        </w:rPr>
      </w:pPr>
    </w:p>
    <w:p w14:paraId="0DF72F5E" w14:textId="77777777" w:rsidR="00433600" w:rsidRPr="003D6049" w:rsidRDefault="00433600" w:rsidP="002E1598">
      <w:pPr>
        <w:spacing w:line="240" w:lineRule="auto"/>
        <w:ind w:left="567" w:right="616"/>
        <w:jc w:val="both"/>
        <w:rPr>
          <w:bCs/>
          <w:i/>
          <w:iCs/>
          <w:color w:val="000000"/>
          <w:sz w:val="24"/>
          <w:szCs w:val="24"/>
        </w:rPr>
      </w:pPr>
      <w:r w:rsidRPr="003D6049">
        <w:rPr>
          <w:bCs/>
          <w:i/>
          <w:iCs/>
          <w:color w:val="000000"/>
          <w:sz w:val="24"/>
          <w:szCs w:val="24"/>
        </w:rPr>
        <w:t>i) Las obligaciones previstas en el artículo 7º de la Ley 819 de 2003 constituyen un parámetro de racionalidad legislativa, que cumple fines constitucionalmente relevantes como el orden de las finanzas públicas y la estabilidad macroeconómica;</w:t>
      </w:r>
    </w:p>
    <w:p w14:paraId="5EE0EC48" w14:textId="77777777" w:rsidR="00433600" w:rsidRPr="003D6049" w:rsidRDefault="00433600" w:rsidP="002E1598">
      <w:pPr>
        <w:spacing w:line="240" w:lineRule="auto"/>
        <w:ind w:left="567" w:right="616"/>
        <w:jc w:val="both"/>
        <w:rPr>
          <w:bCs/>
          <w:i/>
          <w:iCs/>
          <w:color w:val="000000"/>
          <w:sz w:val="24"/>
          <w:szCs w:val="24"/>
        </w:rPr>
      </w:pPr>
    </w:p>
    <w:p w14:paraId="75D57CC4" w14:textId="77777777" w:rsidR="00433600" w:rsidRPr="003D6049" w:rsidRDefault="00433600" w:rsidP="002E1598">
      <w:pPr>
        <w:spacing w:line="240" w:lineRule="auto"/>
        <w:ind w:left="567" w:right="616"/>
        <w:jc w:val="both"/>
        <w:rPr>
          <w:bCs/>
          <w:i/>
          <w:iCs/>
          <w:color w:val="000000"/>
          <w:sz w:val="24"/>
          <w:szCs w:val="24"/>
        </w:rPr>
      </w:pPr>
      <w:proofErr w:type="spellStart"/>
      <w:r w:rsidRPr="003D6049">
        <w:rPr>
          <w:bCs/>
          <w:i/>
          <w:iCs/>
          <w:color w:val="000000"/>
          <w:sz w:val="24"/>
          <w:szCs w:val="24"/>
        </w:rPr>
        <w:t>ii</w:t>
      </w:r>
      <w:proofErr w:type="spellEnd"/>
      <w:r w:rsidRPr="003D6049">
        <w:rPr>
          <w:bCs/>
          <w:i/>
          <w:iCs/>
          <w:color w:val="000000"/>
          <w:sz w:val="24"/>
          <w:szCs w:val="24"/>
        </w:rPr>
        <w:t xml:space="preserve">) El cumplimiento de lo dispuesto en el artículo 7º de la Ley 819 de 2003 corresponde al Congreso, pero principalmente al </w:t>
      </w:r>
      <w:proofErr w:type="gramStart"/>
      <w:r w:rsidRPr="003D6049">
        <w:rPr>
          <w:bCs/>
          <w:i/>
          <w:iCs/>
          <w:color w:val="000000"/>
          <w:sz w:val="24"/>
          <w:szCs w:val="24"/>
        </w:rPr>
        <w:t>Ministro</w:t>
      </w:r>
      <w:proofErr w:type="gramEnd"/>
      <w:r w:rsidRPr="003D6049">
        <w:rPr>
          <w:bCs/>
          <w:i/>
          <w:iCs/>
          <w:color w:val="000000"/>
          <w:sz w:val="24"/>
          <w:szCs w:val="24"/>
        </w:rPr>
        <w:t xml:space="preserve"> de Hacienda y Crédito Público, en tanto que ‘es el que cuenta con los datos, los equipos de funcionarios y la experticia en materia económica. Por lo tanto, en el caso de que los congresistas tramiten un proyecto incorporando estimativos erróneos sobre el impacto fiscal, sobre la manera de atender esos nuevos gastos o sobre la compatibilidad del proyecto con el Marco Fiscal de Mediano Plazo, le corresponde al </w:t>
      </w:r>
      <w:proofErr w:type="gramStart"/>
      <w:r w:rsidRPr="003D6049">
        <w:rPr>
          <w:bCs/>
          <w:i/>
          <w:iCs/>
          <w:color w:val="000000"/>
          <w:sz w:val="24"/>
          <w:szCs w:val="24"/>
        </w:rPr>
        <w:t>Ministro</w:t>
      </w:r>
      <w:proofErr w:type="gramEnd"/>
      <w:r w:rsidRPr="003D6049">
        <w:rPr>
          <w:bCs/>
          <w:i/>
          <w:iCs/>
          <w:color w:val="000000"/>
          <w:sz w:val="24"/>
          <w:szCs w:val="24"/>
        </w:rPr>
        <w:t xml:space="preserve"> de Hacienda intervenir en el proceso legislativo para ilustrar al Congreso acerca de las consecuencias económicas del proyecto’;</w:t>
      </w:r>
    </w:p>
    <w:p w14:paraId="1A2059A6" w14:textId="77777777" w:rsidR="00433600" w:rsidRPr="003D6049" w:rsidRDefault="00433600" w:rsidP="002E1598">
      <w:pPr>
        <w:spacing w:line="240" w:lineRule="auto"/>
        <w:ind w:left="567" w:right="616"/>
        <w:jc w:val="both"/>
        <w:rPr>
          <w:bCs/>
          <w:i/>
          <w:iCs/>
          <w:color w:val="000000"/>
          <w:sz w:val="24"/>
          <w:szCs w:val="24"/>
        </w:rPr>
      </w:pPr>
    </w:p>
    <w:p w14:paraId="661C0540" w14:textId="77777777" w:rsidR="00433600" w:rsidRPr="003D6049" w:rsidRDefault="00433600" w:rsidP="002E1598">
      <w:pPr>
        <w:spacing w:line="240" w:lineRule="auto"/>
        <w:ind w:left="567" w:right="616"/>
        <w:jc w:val="both"/>
        <w:rPr>
          <w:bCs/>
          <w:i/>
          <w:iCs/>
          <w:color w:val="000000"/>
          <w:sz w:val="24"/>
          <w:szCs w:val="24"/>
        </w:rPr>
      </w:pPr>
      <w:proofErr w:type="spellStart"/>
      <w:r w:rsidRPr="003D6049">
        <w:rPr>
          <w:bCs/>
          <w:i/>
          <w:iCs/>
          <w:color w:val="000000"/>
          <w:sz w:val="24"/>
          <w:szCs w:val="24"/>
        </w:rPr>
        <w:t>iii</w:t>
      </w:r>
      <w:proofErr w:type="spellEnd"/>
      <w:r w:rsidRPr="003D6049">
        <w:rPr>
          <w:bCs/>
          <w:i/>
          <w:iCs/>
          <w:color w:val="000000"/>
          <w:sz w:val="24"/>
          <w:szCs w:val="24"/>
        </w:rPr>
        <w:t xml:space="preserve">) En caso de que el </w:t>
      </w:r>
      <w:proofErr w:type="gramStart"/>
      <w:r w:rsidRPr="003D6049">
        <w:rPr>
          <w:bCs/>
          <w:i/>
          <w:iCs/>
          <w:color w:val="000000"/>
          <w:sz w:val="24"/>
          <w:szCs w:val="24"/>
        </w:rPr>
        <w:t>Ministro</w:t>
      </w:r>
      <w:proofErr w:type="gramEnd"/>
      <w:r w:rsidRPr="003D6049">
        <w:rPr>
          <w:bCs/>
          <w:i/>
          <w:iCs/>
          <w:color w:val="000000"/>
          <w:sz w:val="24"/>
          <w:szCs w:val="24"/>
        </w:rPr>
        <w:t xml:space="preserve"> de Hacienda y Crédito Público no intervenga en el proceso legislativo u omita conceptuar sobre la viabilidad económica del proyecto, no lo vicia de inconstitucionalidad puesto que este requisito no puede entenderse como un poder de veto sobre la actuación del Congreso o una barrera para que el legislador ejerza su función legislativa, lo cual ‘se muestra incompatible con el balance entre los poderes públicos y el principio democrático’; y</w:t>
      </w:r>
    </w:p>
    <w:p w14:paraId="5C02612F" w14:textId="77777777" w:rsidR="00433600" w:rsidRPr="003D6049" w:rsidRDefault="00433600" w:rsidP="002E1598">
      <w:pPr>
        <w:spacing w:line="240" w:lineRule="auto"/>
        <w:ind w:left="567" w:right="616"/>
        <w:jc w:val="both"/>
        <w:rPr>
          <w:bCs/>
          <w:i/>
          <w:iCs/>
          <w:color w:val="000000"/>
          <w:sz w:val="24"/>
          <w:szCs w:val="24"/>
        </w:rPr>
      </w:pPr>
    </w:p>
    <w:p w14:paraId="6257285B" w14:textId="77777777" w:rsidR="00433600" w:rsidRPr="003D6049" w:rsidRDefault="00433600" w:rsidP="002E1598">
      <w:pPr>
        <w:spacing w:line="240" w:lineRule="auto"/>
        <w:ind w:left="567" w:right="616"/>
        <w:jc w:val="both"/>
        <w:rPr>
          <w:bCs/>
          <w:i/>
          <w:iCs/>
          <w:color w:val="000000"/>
          <w:sz w:val="24"/>
          <w:szCs w:val="24"/>
        </w:rPr>
      </w:pPr>
      <w:proofErr w:type="spellStart"/>
      <w:r w:rsidRPr="003D6049">
        <w:rPr>
          <w:bCs/>
          <w:i/>
          <w:iCs/>
          <w:color w:val="000000"/>
          <w:sz w:val="24"/>
          <w:szCs w:val="24"/>
        </w:rPr>
        <w:t>iv</w:t>
      </w:r>
      <w:proofErr w:type="spellEnd"/>
      <w:r w:rsidRPr="003D6049">
        <w:rPr>
          <w:bCs/>
          <w:i/>
          <w:iCs/>
          <w:color w:val="000000"/>
          <w:sz w:val="24"/>
          <w:szCs w:val="24"/>
        </w:rPr>
        <w:t xml:space="preserve">) El informe presentado por el </w:t>
      </w:r>
      <w:proofErr w:type="gramStart"/>
      <w:r w:rsidRPr="003D6049">
        <w:rPr>
          <w:bCs/>
          <w:i/>
          <w:iCs/>
          <w:color w:val="000000"/>
          <w:sz w:val="24"/>
          <w:szCs w:val="24"/>
        </w:rPr>
        <w:t>Ministro</w:t>
      </w:r>
      <w:proofErr w:type="gramEnd"/>
      <w:r w:rsidRPr="003D6049">
        <w:rPr>
          <w:bCs/>
          <w:i/>
          <w:iCs/>
          <w:color w:val="000000"/>
          <w:sz w:val="24"/>
          <w:szCs w:val="24"/>
        </w:rPr>
        <w:t xml:space="preserve"> de Hacienda y Crédito Público no obliga a las células legislativas a acoger su posición; sin embargo, sí genera una obligación en cabeza del Congreso de valorarlo y analizarlo. Solo así se garantiza una debida colaboración entre las ramas del poder público y se armoniza el principio democrático con la estabilidad macroeconómica”.</w:t>
      </w:r>
    </w:p>
    <w:p w14:paraId="44B4148F" w14:textId="77777777" w:rsidR="00433600" w:rsidRPr="003D6049" w:rsidRDefault="00433600" w:rsidP="00433600">
      <w:pPr>
        <w:spacing w:line="240" w:lineRule="auto"/>
        <w:jc w:val="both"/>
        <w:rPr>
          <w:bCs/>
          <w:color w:val="000000"/>
          <w:sz w:val="24"/>
          <w:szCs w:val="24"/>
        </w:rPr>
      </w:pPr>
    </w:p>
    <w:p w14:paraId="4B858232" w14:textId="77777777" w:rsidR="00433600" w:rsidRPr="003D6049" w:rsidRDefault="00433600" w:rsidP="00433600">
      <w:pPr>
        <w:spacing w:line="240" w:lineRule="auto"/>
        <w:jc w:val="both"/>
        <w:rPr>
          <w:bCs/>
          <w:color w:val="000000"/>
          <w:sz w:val="24"/>
          <w:szCs w:val="24"/>
        </w:rPr>
      </w:pPr>
      <w:r w:rsidRPr="003D6049">
        <w:rPr>
          <w:bCs/>
          <w:color w:val="000000"/>
          <w:sz w:val="24"/>
          <w:szCs w:val="24"/>
        </w:rPr>
        <w:t>Asimismo, es importante tener presente lo manifestado por la Corte Constitucional en Sentencia C 490 de 2011:</w:t>
      </w:r>
    </w:p>
    <w:p w14:paraId="5BE0A69B" w14:textId="77777777" w:rsidR="00433600" w:rsidRPr="003D6049" w:rsidRDefault="00433600" w:rsidP="00433600">
      <w:pPr>
        <w:spacing w:line="240" w:lineRule="auto"/>
        <w:jc w:val="both"/>
        <w:rPr>
          <w:bCs/>
          <w:color w:val="000000"/>
          <w:sz w:val="24"/>
          <w:szCs w:val="24"/>
        </w:rPr>
      </w:pPr>
    </w:p>
    <w:p w14:paraId="54647E78" w14:textId="77777777" w:rsidR="00433600" w:rsidRPr="003D6049" w:rsidRDefault="00433600" w:rsidP="002E1598">
      <w:pPr>
        <w:spacing w:line="240" w:lineRule="auto"/>
        <w:ind w:left="567" w:right="616"/>
        <w:jc w:val="both"/>
        <w:rPr>
          <w:bCs/>
          <w:i/>
          <w:iCs/>
          <w:color w:val="000000"/>
          <w:sz w:val="24"/>
          <w:szCs w:val="24"/>
        </w:rPr>
      </w:pPr>
      <w:r w:rsidRPr="003D6049">
        <w:rPr>
          <w:bCs/>
          <w:i/>
          <w:iCs/>
          <w:color w:val="000000"/>
          <w:sz w:val="24"/>
          <w:szCs w:val="24"/>
        </w:rPr>
        <w:t xml:space="preserve">“El mandato de adecuación entre la justificación de los proyectos de ley y la planeación de la política económica, empero, no puede comprenderse como un requisito de trámite para la aprobación de las iniciativas legislativas, cuyo cumplimiento recaiga exclusivamente en el </w:t>
      </w:r>
      <w:r w:rsidRPr="003D6049">
        <w:rPr>
          <w:bCs/>
          <w:i/>
          <w:iCs/>
          <w:color w:val="000000"/>
          <w:sz w:val="24"/>
          <w:szCs w:val="24"/>
        </w:rPr>
        <w:lastRenderedPageBreak/>
        <w:t>Congreso. Ello en tanto (i) el Congreso carece de las instancias de evaluación técnica para determinar el impacto fiscal de cada proyecto, la determinación de las fuentes adicionales de financiación y la compatibilidad con el marco fiscal de mediano plazo; y (</w:t>
      </w:r>
      <w:proofErr w:type="spellStart"/>
      <w:r w:rsidRPr="003D6049">
        <w:rPr>
          <w:bCs/>
          <w:i/>
          <w:iCs/>
          <w:color w:val="000000"/>
          <w:sz w:val="24"/>
          <w:szCs w:val="24"/>
        </w:rPr>
        <w:t>ii</w:t>
      </w:r>
      <w:proofErr w:type="spellEnd"/>
      <w:r w:rsidRPr="003D6049">
        <w:rPr>
          <w:bCs/>
          <w:i/>
          <w:iCs/>
          <w:color w:val="000000"/>
          <w:sz w:val="24"/>
          <w:szCs w:val="24"/>
        </w:rPr>
        <w:t>)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La exigencia de la norma orgánica, a su vez, presupone que la previsión en cuestión debe contener un mandato imperativo de gasto público.”</w:t>
      </w:r>
    </w:p>
    <w:p w14:paraId="2E54AC98" w14:textId="77777777" w:rsidR="00433600" w:rsidRPr="003D6049" w:rsidRDefault="00433600" w:rsidP="00433600">
      <w:pPr>
        <w:spacing w:line="240" w:lineRule="auto"/>
        <w:jc w:val="both"/>
        <w:rPr>
          <w:bCs/>
          <w:color w:val="000000"/>
          <w:sz w:val="24"/>
          <w:szCs w:val="24"/>
        </w:rPr>
      </w:pPr>
    </w:p>
    <w:p w14:paraId="01271760" w14:textId="77777777" w:rsidR="004B40F5" w:rsidRPr="003D6049" w:rsidRDefault="00433600" w:rsidP="00433600">
      <w:pPr>
        <w:spacing w:line="240" w:lineRule="auto"/>
        <w:jc w:val="both"/>
        <w:rPr>
          <w:bCs/>
          <w:color w:val="000000"/>
          <w:sz w:val="24"/>
          <w:szCs w:val="24"/>
        </w:rPr>
      </w:pPr>
      <w:r w:rsidRPr="003D6049">
        <w:rPr>
          <w:bCs/>
          <w:color w:val="000000"/>
          <w:sz w:val="24"/>
          <w:szCs w:val="24"/>
        </w:rPr>
        <w:t xml:space="preserve">De modo tal que el impacto fiscal de las leyes no puede convertirse en una barrera para que el Congreso de la República pueda ejercer su función legislativa, pues de ser así estaría vulnerando el principio de separación de las ramas del poder público al lesionar la autonomía del legislativo. Por lo cual, tal y como lo ha señalado la Corte, el artículo 7 de la Ley 819 de 2003: </w:t>
      </w:r>
    </w:p>
    <w:p w14:paraId="647CEB67" w14:textId="77777777" w:rsidR="004B40F5" w:rsidRPr="003D6049" w:rsidRDefault="004B40F5" w:rsidP="00433600">
      <w:pPr>
        <w:spacing w:line="240" w:lineRule="auto"/>
        <w:jc w:val="both"/>
        <w:rPr>
          <w:bCs/>
          <w:color w:val="000000"/>
          <w:sz w:val="24"/>
          <w:szCs w:val="24"/>
        </w:rPr>
      </w:pPr>
    </w:p>
    <w:p w14:paraId="016E0562" w14:textId="46E62836" w:rsidR="00433600" w:rsidRPr="003D6049" w:rsidRDefault="00433600" w:rsidP="004B40F5">
      <w:pPr>
        <w:spacing w:line="240" w:lineRule="auto"/>
        <w:ind w:left="567" w:right="616"/>
        <w:jc w:val="both"/>
        <w:rPr>
          <w:bCs/>
          <w:color w:val="000000"/>
          <w:sz w:val="24"/>
          <w:szCs w:val="24"/>
        </w:rPr>
      </w:pPr>
      <w:r w:rsidRPr="003D6049">
        <w:rPr>
          <w:bCs/>
          <w:i/>
          <w:iCs/>
          <w:color w:val="000000"/>
          <w:sz w:val="24"/>
          <w:szCs w:val="24"/>
        </w:rPr>
        <w:t>“</w:t>
      </w:r>
      <w:r w:rsidR="004B40F5" w:rsidRPr="003D6049">
        <w:rPr>
          <w:bCs/>
          <w:i/>
          <w:iCs/>
          <w:color w:val="000000"/>
          <w:sz w:val="24"/>
          <w:szCs w:val="24"/>
        </w:rPr>
        <w:t xml:space="preserve">(…) </w:t>
      </w:r>
      <w:r w:rsidRPr="003D6049">
        <w:rPr>
          <w:bCs/>
          <w:i/>
          <w:iCs/>
          <w:color w:val="000000"/>
          <w:sz w:val="24"/>
          <w:szCs w:val="24"/>
        </w:rPr>
        <w:t xml:space="preserve">debe interpretarse en el sentido de que su fin es obtener que las leyes que se dicten tengan en cuenta las realidades macroeconómicas, pero sin crear barreras insalvables en el ejercicio de la función legislativa ni crear un poder de veto legislativo en cabeza del </w:t>
      </w:r>
      <w:proofErr w:type="gramStart"/>
      <w:r w:rsidRPr="003D6049">
        <w:rPr>
          <w:bCs/>
          <w:i/>
          <w:iCs/>
          <w:color w:val="000000"/>
          <w:sz w:val="24"/>
          <w:szCs w:val="24"/>
        </w:rPr>
        <w:t>Ministro</w:t>
      </w:r>
      <w:proofErr w:type="gramEnd"/>
      <w:r w:rsidRPr="003D6049">
        <w:rPr>
          <w:bCs/>
          <w:i/>
          <w:iCs/>
          <w:color w:val="000000"/>
          <w:sz w:val="24"/>
          <w:szCs w:val="24"/>
        </w:rPr>
        <w:t xml:space="preserve"> de Hacienda.”</w:t>
      </w:r>
    </w:p>
    <w:p w14:paraId="74D142FC" w14:textId="77777777" w:rsidR="00433600" w:rsidRPr="003D6049" w:rsidRDefault="00433600" w:rsidP="00433600">
      <w:pPr>
        <w:shd w:val="clear" w:color="auto" w:fill="FFFFFF"/>
        <w:spacing w:line="240" w:lineRule="auto"/>
        <w:jc w:val="both"/>
        <w:rPr>
          <w:bCs/>
          <w:color w:val="000000"/>
          <w:sz w:val="24"/>
          <w:szCs w:val="24"/>
        </w:rPr>
      </w:pPr>
    </w:p>
    <w:p w14:paraId="73BE1428" w14:textId="59B4345A" w:rsidR="00117DBD" w:rsidRPr="003D6049" w:rsidRDefault="00117DBD" w:rsidP="009A2667">
      <w:pPr>
        <w:pStyle w:val="Prrafodelista"/>
        <w:numPr>
          <w:ilvl w:val="0"/>
          <w:numId w:val="3"/>
        </w:numPr>
        <w:spacing w:line="240" w:lineRule="auto"/>
        <w:jc w:val="both"/>
        <w:rPr>
          <w:b/>
          <w:bCs/>
          <w:sz w:val="24"/>
          <w:szCs w:val="24"/>
        </w:rPr>
      </w:pPr>
      <w:r w:rsidRPr="003D6049">
        <w:rPr>
          <w:b/>
          <w:bCs/>
          <w:sz w:val="24"/>
          <w:szCs w:val="24"/>
        </w:rPr>
        <w:t xml:space="preserve">CONFLICTOS DE INTERÉS </w:t>
      </w:r>
    </w:p>
    <w:p w14:paraId="5E183745" w14:textId="77777777" w:rsidR="00117DBD" w:rsidRPr="003D6049" w:rsidRDefault="00117DBD" w:rsidP="00117DBD">
      <w:pPr>
        <w:spacing w:line="240" w:lineRule="auto"/>
        <w:jc w:val="both"/>
        <w:rPr>
          <w:sz w:val="24"/>
          <w:szCs w:val="24"/>
        </w:rPr>
      </w:pPr>
    </w:p>
    <w:p w14:paraId="620D2BE7" w14:textId="77777777" w:rsidR="00117DBD" w:rsidRPr="003D6049" w:rsidRDefault="00117DBD" w:rsidP="00117DBD">
      <w:pPr>
        <w:jc w:val="both"/>
        <w:rPr>
          <w:sz w:val="24"/>
          <w:szCs w:val="24"/>
        </w:rPr>
      </w:pPr>
      <w:r w:rsidRPr="003D6049">
        <w:rPr>
          <w:sz w:val="24"/>
          <w:szCs w:val="24"/>
        </w:rPr>
        <w:t xml:space="preserve">El artículo 3 de la Ley 2003 de 2019 que modificó el artículo 291 de la Ley 5 de 1992 señala que: </w:t>
      </w:r>
      <w:r w:rsidRPr="003D6049">
        <w:rPr>
          <w:i/>
          <w:iCs/>
          <w:sz w:val="24"/>
          <w:szCs w:val="24"/>
        </w:rPr>
        <w:t>“el autor del proyecto y el ponente presentarán en el cuerpo de la exposición de motivos un acápite que describa las circunstancias o eventos que podrían generar un conflicto de interés para la discusión y votación del proyecto”.</w:t>
      </w:r>
      <w:r w:rsidRPr="003D6049">
        <w:rPr>
          <w:sz w:val="24"/>
          <w:szCs w:val="24"/>
        </w:rPr>
        <w:t xml:space="preserve"> Estos serán criterios guías para que los otros congresistas tomen una decisión en torno a si se encuentran en una causal de impedimento, no obstante, otras causales que el Congresista pueda encontrar”. </w:t>
      </w:r>
    </w:p>
    <w:p w14:paraId="2E5A34F4" w14:textId="77777777" w:rsidR="00117DBD" w:rsidRPr="003D6049" w:rsidRDefault="00117DBD" w:rsidP="00117DBD">
      <w:pPr>
        <w:jc w:val="both"/>
        <w:rPr>
          <w:sz w:val="24"/>
          <w:szCs w:val="24"/>
        </w:rPr>
      </w:pPr>
    </w:p>
    <w:p w14:paraId="55AE4E07" w14:textId="77777777" w:rsidR="00117DBD" w:rsidRPr="003D6049" w:rsidRDefault="00117DBD" w:rsidP="00117DBD">
      <w:pPr>
        <w:jc w:val="both"/>
        <w:rPr>
          <w:sz w:val="24"/>
          <w:szCs w:val="24"/>
        </w:rPr>
      </w:pPr>
      <w:r w:rsidRPr="003D6049">
        <w:rPr>
          <w:sz w:val="24"/>
          <w:szCs w:val="24"/>
        </w:rPr>
        <w:t xml:space="preserve">En observancia de lo dispuesto en la norma citada, me permito señalar que no me encuentro incurso en ninguna causal o actuación que pudiera generar conflicto de intereses con el trámite y aprobación de esta iniciativa. Tampoco se evidencian motivos que puedan generar un conflicto de interés en los representantes a la cámara para que puedan discutir y votar esta iniciativa de ley. </w:t>
      </w:r>
    </w:p>
    <w:p w14:paraId="1AF45722" w14:textId="77777777" w:rsidR="00117DBD" w:rsidRPr="003D6049" w:rsidRDefault="00117DBD" w:rsidP="00117DBD">
      <w:pPr>
        <w:jc w:val="both"/>
        <w:rPr>
          <w:sz w:val="24"/>
          <w:szCs w:val="24"/>
        </w:rPr>
      </w:pPr>
    </w:p>
    <w:p w14:paraId="2ABF7F1B" w14:textId="02C1ADB5" w:rsidR="00117DBD" w:rsidRDefault="00117DBD" w:rsidP="00117DBD">
      <w:pPr>
        <w:jc w:val="both"/>
        <w:rPr>
          <w:sz w:val="24"/>
          <w:szCs w:val="24"/>
        </w:rPr>
      </w:pPr>
      <w:r w:rsidRPr="003D6049">
        <w:rPr>
          <w:sz w:val="24"/>
          <w:szCs w:val="24"/>
        </w:rPr>
        <w:t xml:space="preserve">No obstante, podrían incurrir en conflicto de interés y deberán así declararlo, los congresistas que puedan obtener beneficios directos o actuales del presente proyecto y su aprobación, así como su cónyuge, compañero o compañera permanente, o parientes hasta el segundo grado de consanguinidad, segundo de afinidad o primero civil. </w:t>
      </w:r>
    </w:p>
    <w:p w14:paraId="5B31AEA0" w14:textId="77777777" w:rsidR="007445EC" w:rsidRPr="003D6049" w:rsidRDefault="007445EC" w:rsidP="00117DBD">
      <w:pPr>
        <w:jc w:val="both"/>
        <w:rPr>
          <w:sz w:val="24"/>
          <w:szCs w:val="24"/>
        </w:rPr>
      </w:pPr>
    </w:p>
    <w:p w14:paraId="3EDA2BC8" w14:textId="18AB7E2A" w:rsidR="009A2667" w:rsidRPr="003D6049" w:rsidRDefault="009A2667" w:rsidP="002E1598">
      <w:pPr>
        <w:pStyle w:val="Prrafodelista"/>
        <w:numPr>
          <w:ilvl w:val="0"/>
          <w:numId w:val="3"/>
        </w:numPr>
        <w:pBdr>
          <w:top w:val="nil"/>
          <w:left w:val="nil"/>
          <w:bottom w:val="nil"/>
          <w:right w:val="nil"/>
          <w:between w:val="nil"/>
        </w:pBdr>
        <w:spacing w:after="200" w:line="360" w:lineRule="auto"/>
        <w:jc w:val="both"/>
        <w:rPr>
          <w:b/>
          <w:bCs/>
          <w:sz w:val="24"/>
          <w:szCs w:val="24"/>
        </w:rPr>
      </w:pPr>
      <w:r w:rsidRPr="003D6049">
        <w:rPr>
          <w:b/>
          <w:bCs/>
          <w:sz w:val="24"/>
          <w:szCs w:val="24"/>
        </w:rPr>
        <w:t>BIBLIOGRAFÍA</w:t>
      </w:r>
    </w:p>
    <w:p w14:paraId="191890DC" w14:textId="5596C589" w:rsidR="002E1598" w:rsidRPr="003D6049" w:rsidRDefault="009A2667" w:rsidP="006D13BD">
      <w:pPr>
        <w:pStyle w:val="whitespace-normal"/>
        <w:numPr>
          <w:ilvl w:val="0"/>
          <w:numId w:val="18"/>
        </w:numPr>
        <w:rPr>
          <w:rFonts w:ascii="Arial" w:hAnsi="Arial" w:cs="Arial"/>
        </w:rPr>
      </w:pPr>
      <w:r w:rsidRPr="003D6049">
        <w:rPr>
          <w:rFonts w:ascii="Arial" w:hAnsi="Arial" w:cs="Arial"/>
        </w:rPr>
        <w:t xml:space="preserve">DANE (2023). </w:t>
      </w:r>
      <w:r w:rsidRPr="003D6049">
        <w:rPr>
          <w:rStyle w:val="nfasis"/>
          <w:rFonts w:ascii="Arial" w:hAnsi="Arial" w:cs="Arial"/>
        </w:rPr>
        <w:t xml:space="preserve">Censo Nacional de Población y Vivienda: Resultados </w:t>
      </w:r>
      <w:proofErr w:type="spellStart"/>
      <w:r w:rsidRPr="003D6049">
        <w:rPr>
          <w:rStyle w:val="nfasis"/>
          <w:rFonts w:ascii="Arial" w:hAnsi="Arial" w:cs="Arial"/>
        </w:rPr>
        <w:t>Amazorinoquia</w:t>
      </w:r>
      <w:proofErr w:type="spellEnd"/>
      <w:r w:rsidRPr="003D6049">
        <w:rPr>
          <w:rFonts w:ascii="Arial" w:hAnsi="Arial" w:cs="Arial"/>
        </w:rPr>
        <w:t xml:space="preserve"> </w:t>
      </w:r>
      <w:r w:rsidR="002E1598" w:rsidRPr="003D6049">
        <w:rPr>
          <w:rFonts w:ascii="Arial" w:hAnsi="Arial" w:cs="Arial"/>
        </w:rPr>
        <w:t xml:space="preserve">DANE (2022). </w:t>
      </w:r>
      <w:r w:rsidR="002E1598" w:rsidRPr="003D6049">
        <w:rPr>
          <w:rStyle w:val="nfasis"/>
          <w:rFonts w:ascii="Arial" w:eastAsia="Arial" w:hAnsi="Arial" w:cs="Arial"/>
        </w:rPr>
        <w:t>Resultados Censo Nacional de Población y Vivienda 2018 - Discapacidad</w:t>
      </w:r>
      <w:r w:rsidR="002E1598" w:rsidRPr="003D6049">
        <w:rPr>
          <w:rFonts w:ascii="Arial" w:hAnsi="Arial" w:cs="Arial"/>
        </w:rPr>
        <w:t xml:space="preserve"> </w:t>
      </w:r>
    </w:p>
    <w:p w14:paraId="396D3505" w14:textId="640BAE4A" w:rsidR="009A2667" w:rsidRPr="003D6049" w:rsidRDefault="009A2667" w:rsidP="006D13BD">
      <w:pPr>
        <w:pStyle w:val="whitespace-normal"/>
        <w:numPr>
          <w:ilvl w:val="0"/>
          <w:numId w:val="18"/>
        </w:numPr>
        <w:rPr>
          <w:rFonts w:ascii="Arial" w:hAnsi="Arial" w:cs="Arial"/>
        </w:rPr>
      </w:pPr>
      <w:r w:rsidRPr="003D6049">
        <w:rPr>
          <w:rFonts w:ascii="Arial" w:hAnsi="Arial" w:cs="Arial"/>
        </w:rPr>
        <w:t>Ministerio de Salud (202</w:t>
      </w:r>
      <w:r w:rsidR="002E1598" w:rsidRPr="003D6049">
        <w:rPr>
          <w:rFonts w:ascii="Arial" w:hAnsi="Arial" w:cs="Arial"/>
        </w:rPr>
        <w:t>3</w:t>
      </w:r>
      <w:r w:rsidRPr="003D6049">
        <w:rPr>
          <w:rFonts w:ascii="Arial" w:hAnsi="Arial" w:cs="Arial"/>
        </w:rPr>
        <w:t xml:space="preserve">). </w:t>
      </w:r>
      <w:r w:rsidRPr="003D6049">
        <w:rPr>
          <w:rStyle w:val="nfasis"/>
          <w:rFonts w:ascii="Arial" w:hAnsi="Arial" w:cs="Arial"/>
        </w:rPr>
        <w:t>RLCPD</w:t>
      </w:r>
      <w:r w:rsidRPr="003D6049">
        <w:rPr>
          <w:rFonts w:ascii="Arial" w:hAnsi="Arial" w:cs="Arial"/>
        </w:rPr>
        <w:t xml:space="preserve"> </w:t>
      </w:r>
      <w:hyperlink r:id="rId8" w:history="1">
        <w:r w:rsidR="002E1598" w:rsidRPr="003D6049">
          <w:rPr>
            <w:rStyle w:val="Hipervnculo"/>
            <w:rFonts w:ascii="Arial" w:eastAsia="Arial" w:hAnsi="Arial" w:cs="Arial"/>
            <w:color w:val="auto"/>
          </w:rPr>
          <w:t>https://www.sispro.gov.co/observatorios/oncalidaddiscapacidad/Paginas/Default.aspx</w:t>
        </w:r>
      </w:hyperlink>
      <w:r w:rsidR="002E1598" w:rsidRPr="003D6049">
        <w:rPr>
          <w:rFonts w:ascii="Arial" w:hAnsi="Arial" w:cs="Arial"/>
        </w:rPr>
        <w:t xml:space="preserve"> </w:t>
      </w:r>
    </w:p>
    <w:p w14:paraId="150B3FC9" w14:textId="53CD4B10" w:rsidR="002E1598" w:rsidRPr="003D6049" w:rsidRDefault="002E1598" w:rsidP="002E1598">
      <w:pPr>
        <w:pStyle w:val="whitespace-normal"/>
        <w:numPr>
          <w:ilvl w:val="0"/>
          <w:numId w:val="18"/>
        </w:numPr>
        <w:rPr>
          <w:rFonts w:ascii="Arial" w:hAnsi="Arial" w:cs="Arial"/>
        </w:rPr>
      </w:pPr>
      <w:r w:rsidRPr="003D6049">
        <w:rPr>
          <w:rFonts w:ascii="Arial" w:hAnsi="Arial" w:cs="Arial"/>
        </w:rPr>
        <w:t xml:space="preserve">DNP (2023). </w:t>
      </w:r>
      <w:proofErr w:type="spellStart"/>
      <w:r w:rsidRPr="003D6049">
        <w:rPr>
          <w:rStyle w:val="nfasis"/>
          <w:rFonts w:ascii="Arial" w:eastAsia="Arial" w:hAnsi="Arial" w:cs="Arial"/>
        </w:rPr>
        <w:t>TerriData</w:t>
      </w:r>
      <w:proofErr w:type="spellEnd"/>
      <w:r w:rsidRPr="003D6049">
        <w:rPr>
          <w:rStyle w:val="nfasis"/>
          <w:rFonts w:ascii="Arial" w:eastAsia="Arial" w:hAnsi="Arial" w:cs="Arial"/>
        </w:rPr>
        <w:t xml:space="preserve"> - Fichas territoriales </w:t>
      </w:r>
      <w:proofErr w:type="spellStart"/>
      <w:r w:rsidRPr="003D6049">
        <w:rPr>
          <w:rStyle w:val="nfasis"/>
          <w:rFonts w:ascii="Arial" w:eastAsia="Arial" w:hAnsi="Arial" w:cs="Arial"/>
        </w:rPr>
        <w:t>Amazorinoquia</w:t>
      </w:r>
      <w:proofErr w:type="spellEnd"/>
      <w:r w:rsidRPr="003D6049">
        <w:rPr>
          <w:rFonts w:ascii="Arial" w:hAnsi="Arial" w:cs="Arial"/>
        </w:rPr>
        <w:t xml:space="preserve"> </w:t>
      </w:r>
    </w:p>
    <w:p w14:paraId="59F629EE" w14:textId="7586F7B6" w:rsidR="009A2667" w:rsidRPr="003D6049" w:rsidRDefault="009A2667" w:rsidP="002E1598">
      <w:pPr>
        <w:pStyle w:val="whitespace-normal"/>
        <w:numPr>
          <w:ilvl w:val="0"/>
          <w:numId w:val="18"/>
        </w:numPr>
        <w:rPr>
          <w:rFonts w:ascii="Arial" w:hAnsi="Arial" w:cs="Arial"/>
        </w:rPr>
      </w:pPr>
      <w:r w:rsidRPr="003D6049">
        <w:rPr>
          <w:rFonts w:ascii="Arial" w:hAnsi="Arial" w:cs="Arial"/>
        </w:rPr>
        <w:t xml:space="preserve">Instituto SINCHI (2023). </w:t>
      </w:r>
      <w:r w:rsidRPr="003D6049">
        <w:rPr>
          <w:rStyle w:val="nfasis"/>
          <w:rFonts w:ascii="Arial" w:hAnsi="Arial" w:cs="Arial"/>
        </w:rPr>
        <w:t>Diagnóstico Servicios Sociales</w:t>
      </w:r>
      <w:r w:rsidRPr="003D6049">
        <w:rPr>
          <w:rFonts w:ascii="Arial" w:hAnsi="Arial" w:cs="Arial"/>
        </w:rPr>
        <w:t xml:space="preserve"> </w:t>
      </w:r>
      <w:hyperlink r:id="rId9" w:history="1">
        <w:r w:rsidRPr="003D6049">
          <w:rPr>
            <w:rStyle w:val="Hipervnculo"/>
            <w:rFonts w:ascii="Arial" w:eastAsia="Arial" w:hAnsi="Arial" w:cs="Arial"/>
            <w:color w:val="auto"/>
          </w:rPr>
          <w:t>https://www.sinchi.org.co/publicaciones</w:t>
        </w:r>
      </w:hyperlink>
    </w:p>
    <w:p w14:paraId="53B37AE8" w14:textId="77777777" w:rsidR="009A2667" w:rsidRPr="003D6049" w:rsidRDefault="009A2667" w:rsidP="002E1598">
      <w:pPr>
        <w:pStyle w:val="whitespace-normal"/>
        <w:numPr>
          <w:ilvl w:val="0"/>
          <w:numId w:val="18"/>
        </w:numPr>
        <w:rPr>
          <w:rFonts w:ascii="Arial" w:hAnsi="Arial" w:cs="Arial"/>
        </w:rPr>
      </w:pPr>
      <w:r w:rsidRPr="003D6049">
        <w:rPr>
          <w:rFonts w:ascii="Arial" w:hAnsi="Arial" w:cs="Arial"/>
        </w:rPr>
        <w:t xml:space="preserve">Observatorio Discapacidad (2023). </w:t>
      </w:r>
      <w:r w:rsidRPr="003D6049">
        <w:rPr>
          <w:rStyle w:val="nfasis"/>
          <w:rFonts w:ascii="Arial" w:hAnsi="Arial" w:cs="Arial"/>
        </w:rPr>
        <w:t>Informe Regional</w:t>
      </w:r>
      <w:r w:rsidRPr="003D6049">
        <w:rPr>
          <w:rFonts w:ascii="Arial" w:hAnsi="Arial" w:cs="Arial"/>
        </w:rPr>
        <w:t xml:space="preserve"> </w:t>
      </w:r>
      <w:hyperlink r:id="rId10" w:history="1">
        <w:r w:rsidRPr="003D6049">
          <w:rPr>
            <w:rStyle w:val="Hipervnculo"/>
            <w:rFonts w:ascii="Arial" w:eastAsia="Arial" w:hAnsi="Arial" w:cs="Arial"/>
            <w:color w:val="auto"/>
          </w:rPr>
          <w:t>http://ondiscapacidad.minsalud.gov.co/Paginas/Home.aspx</w:t>
        </w:r>
      </w:hyperlink>
    </w:p>
    <w:p w14:paraId="42F0F546" w14:textId="14737D84" w:rsidR="009A2667" w:rsidRPr="003D6049" w:rsidRDefault="009A2667" w:rsidP="002E1598">
      <w:pPr>
        <w:pStyle w:val="whitespace-normal"/>
        <w:numPr>
          <w:ilvl w:val="0"/>
          <w:numId w:val="18"/>
        </w:numPr>
        <w:rPr>
          <w:rFonts w:ascii="Arial" w:hAnsi="Arial" w:cs="Arial"/>
        </w:rPr>
      </w:pPr>
      <w:r w:rsidRPr="003D6049">
        <w:rPr>
          <w:rFonts w:ascii="Arial" w:hAnsi="Arial" w:cs="Arial"/>
        </w:rPr>
        <w:t xml:space="preserve">Contraloría (2023). </w:t>
      </w:r>
      <w:r w:rsidRPr="003D6049">
        <w:rPr>
          <w:rStyle w:val="nfasis"/>
          <w:rFonts w:ascii="Arial" w:hAnsi="Arial" w:cs="Arial"/>
        </w:rPr>
        <w:t>Auditoría Programas</w:t>
      </w:r>
      <w:r w:rsidRPr="003D6049">
        <w:rPr>
          <w:rFonts w:ascii="Arial" w:hAnsi="Arial" w:cs="Arial"/>
        </w:rPr>
        <w:t xml:space="preserve"> </w:t>
      </w:r>
      <w:hyperlink r:id="rId11" w:history="1">
        <w:r w:rsidRPr="003D6049">
          <w:rPr>
            <w:rStyle w:val="Hipervnculo"/>
            <w:rFonts w:ascii="Arial" w:eastAsia="Arial" w:hAnsi="Arial" w:cs="Arial"/>
            <w:color w:val="auto"/>
          </w:rPr>
          <w:t>https://www.contraloria.gov.co/resultados/informes/informes-constitucionales</w:t>
        </w:r>
      </w:hyperlink>
    </w:p>
    <w:p w14:paraId="5739574E" w14:textId="7F00E9F4" w:rsidR="000160D7" w:rsidRPr="003D6049" w:rsidRDefault="000160D7" w:rsidP="000160D7">
      <w:pPr>
        <w:pBdr>
          <w:top w:val="nil"/>
          <w:left w:val="nil"/>
          <w:bottom w:val="nil"/>
          <w:right w:val="nil"/>
          <w:between w:val="nil"/>
        </w:pBdr>
        <w:spacing w:after="200" w:line="360" w:lineRule="auto"/>
        <w:jc w:val="both"/>
        <w:rPr>
          <w:sz w:val="24"/>
          <w:szCs w:val="24"/>
        </w:rPr>
      </w:pPr>
      <w:r w:rsidRPr="003D6049">
        <w:rPr>
          <w:sz w:val="24"/>
          <w:szCs w:val="24"/>
        </w:rPr>
        <w:t xml:space="preserve">Cordialmente, </w:t>
      </w:r>
    </w:p>
    <w:tbl>
      <w:tblPr>
        <w:tblStyle w:val="Tablaconcuadrcula"/>
        <w:tblW w:w="0" w:type="auto"/>
        <w:tblInd w:w="-5" w:type="dxa"/>
        <w:tblLook w:val="04A0" w:firstRow="1" w:lastRow="0" w:firstColumn="1" w:lastColumn="0" w:noHBand="0" w:noVBand="1"/>
      </w:tblPr>
      <w:tblGrid>
        <w:gridCol w:w="4390"/>
        <w:gridCol w:w="4438"/>
      </w:tblGrid>
      <w:tr w:rsidR="00D828F9" w:rsidRPr="003D6049" w14:paraId="0B187904" w14:textId="77777777" w:rsidTr="007445EC">
        <w:tc>
          <w:tcPr>
            <w:tcW w:w="4390" w:type="dxa"/>
          </w:tcPr>
          <w:p w14:paraId="2254BC09" w14:textId="77777777" w:rsidR="00F57653" w:rsidRPr="003D6049" w:rsidRDefault="00F57653" w:rsidP="00085726">
            <w:pPr>
              <w:jc w:val="both"/>
              <w:rPr>
                <w:b/>
                <w:bCs/>
                <w:sz w:val="24"/>
                <w:szCs w:val="24"/>
              </w:rPr>
            </w:pPr>
          </w:p>
          <w:p w14:paraId="27BE6389" w14:textId="77777777" w:rsidR="00F57653" w:rsidRPr="003D6049" w:rsidRDefault="00F57653" w:rsidP="00085726">
            <w:pPr>
              <w:jc w:val="both"/>
              <w:rPr>
                <w:b/>
                <w:bCs/>
                <w:sz w:val="24"/>
                <w:szCs w:val="24"/>
              </w:rPr>
            </w:pPr>
          </w:p>
          <w:p w14:paraId="4DFD566F" w14:textId="77777777" w:rsidR="00F57653" w:rsidRPr="003D6049" w:rsidRDefault="00F57653" w:rsidP="00085726">
            <w:pPr>
              <w:jc w:val="both"/>
              <w:rPr>
                <w:b/>
                <w:bCs/>
                <w:sz w:val="24"/>
                <w:szCs w:val="24"/>
              </w:rPr>
            </w:pPr>
          </w:p>
          <w:p w14:paraId="0AE9CE19" w14:textId="77777777" w:rsidR="00F57653" w:rsidRPr="003D6049" w:rsidRDefault="00F57653" w:rsidP="00085726">
            <w:pPr>
              <w:jc w:val="both"/>
              <w:rPr>
                <w:b/>
                <w:bCs/>
                <w:sz w:val="24"/>
                <w:szCs w:val="24"/>
              </w:rPr>
            </w:pPr>
          </w:p>
          <w:p w14:paraId="46944C87" w14:textId="77777777" w:rsidR="00F57653" w:rsidRPr="003D6049" w:rsidRDefault="00F57653" w:rsidP="00085726">
            <w:pPr>
              <w:jc w:val="both"/>
              <w:rPr>
                <w:b/>
                <w:bCs/>
                <w:sz w:val="24"/>
                <w:szCs w:val="24"/>
              </w:rPr>
            </w:pPr>
            <w:r w:rsidRPr="003D6049">
              <w:rPr>
                <w:b/>
                <w:bCs/>
                <w:sz w:val="24"/>
                <w:szCs w:val="24"/>
              </w:rPr>
              <w:t>Álvaro Mauricio Londoño Lugo</w:t>
            </w:r>
          </w:p>
          <w:p w14:paraId="4248C0C4" w14:textId="77777777" w:rsidR="00F57653" w:rsidRPr="003D6049" w:rsidRDefault="00F57653" w:rsidP="00085726">
            <w:pPr>
              <w:jc w:val="both"/>
              <w:rPr>
                <w:b/>
                <w:bCs/>
                <w:sz w:val="24"/>
                <w:szCs w:val="24"/>
              </w:rPr>
            </w:pPr>
            <w:r w:rsidRPr="003D6049">
              <w:rPr>
                <w:b/>
                <w:bCs/>
                <w:sz w:val="24"/>
                <w:szCs w:val="24"/>
              </w:rPr>
              <w:t>H.R. Departamento del Vichada</w:t>
            </w:r>
          </w:p>
        </w:tc>
        <w:tc>
          <w:tcPr>
            <w:tcW w:w="4438" w:type="dxa"/>
          </w:tcPr>
          <w:p w14:paraId="7C18045A" w14:textId="77777777" w:rsidR="00F57653" w:rsidRPr="003D6049" w:rsidRDefault="00F57653" w:rsidP="00085726">
            <w:pPr>
              <w:jc w:val="both"/>
              <w:rPr>
                <w:b/>
                <w:bCs/>
                <w:sz w:val="24"/>
                <w:szCs w:val="24"/>
              </w:rPr>
            </w:pPr>
          </w:p>
          <w:p w14:paraId="406BF924" w14:textId="77777777" w:rsidR="00F57653" w:rsidRPr="003D6049" w:rsidRDefault="00F57653" w:rsidP="00085726">
            <w:pPr>
              <w:jc w:val="both"/>
              <w:rPr>
                <w:b/>
                <w:bCs/>
                <w:sz w:val="24"/>
                <w:szCs w:val="24"/>
              </w:rPr>
            </w:pPr>
          </w:p>
          <w:p w14:paraId="0941AB14" w14:textId="77777777" w:rsidR="00F57653" w:rsidRPr="003D6049" w:rsidRDefault="00F57653" w:rsidP="00085726">
            <w:pPr>
              <w:jc w:val="both"/>
              <w:rPr>
                <w:b/>
                <w:bCs/>
                <w:sz w:val="24"/>
                <w:szCs w:val="24"/>
              </w:rPr>
            </w:pPr>
          </w:p>
          <w:p w14:paraId="374CDF4E" w14:textId="77777777" w:rsidR="00F57653" w:rsidRPr="003D6049" w:rsidRDefault="00F57653" w:rsidP="00085726">
            <w:pPr>
              <w:jc w:val="both"/>
              <w:rPr>
                <w:b/>
                <w:bCs/>
                <w:sz w:val="24"/>
                <w:szCs w:val="24"/>
              </w:rPr>
            </w:pPr>
          </w:p>
          <w:p w14:paraId="1B1F804A" w14:textId="77777777" w:rsidR="00F57653" w:rsidRPr="003D6049" w:rsidRDefault="00F57653" w:rsidP="00085726">
            <w:pPr>
              <w:jc w:val="both"/>
              <w:rPr>
                <w:b/>
                <w:bCs/>
                <w:sz w:val="24"/>
                <w:szCs w:val="24"/>
              </w:rPr>
            </w:pPr>
            <w:r w:rsidRPr="003D6049">
              <w:rPr>
                <w:b/>
                <w:bCs/>
                <w:sz w:val="24"/>
                <w:szCs w:val="24"/>
              </w:rPr>
              <w:t>Camilo Esteban Ávila Morales</w:t>
            </w:r>
          </w:p>
          <w:p w14:paraId="22895F44" w14:textId="77777777" w:rsidR="00F57653" w:rsidRPr="003D6049" w:rsidRDefault="00F57653" w:rsidP="00085726">
            <w:pPr>
              <w:jc w:val="both"/>
              <w:rPr>
                <w:b/>
                <w:bCs/>
                <w:sz w:val="24"/>
                <w:szCs w:val="24"/>
              </w:rPr>
            </w:pPr>
            <w:r w:rsidRPr="003D6049">
              <w:rPr>
                <w:b/>
                <w:bCs/>
                <w:sz w:val="24"/>
                <w:szCs w:val="24"/>
              </w:rPr>
              <w:t>H.R. Departamento de Vaupés</w:t>
            </w:r>
          </w:p>
        </w:tc>
      </w:tr>
      <w:tr w:rsidR="00E05778" w:rsidRPr="003D6049" w14:paraId="26BE9518" w14:textId="77777777" w:rsidTr="007445EC">
        <w:tc>
          <w:tcPr>
            <w:tcW w:w="4390" w:type="dxa"/>
          </w:tcPr>
          <w:p w14:paraId="15C3F24B" w14:textId="77777777" w:rsidR="00E05778" w:rsidRPr="003D6049" w:rsidRDefault="00E05778" w:rsidP="004A7C29">
            <w:pPr>
              <w:jc w:val="both"/>
              <w:rPr>
                <w:b/>
                <w:bCs/>
                <w:sz w:val="24"/>
                <w:szCs w:val="24"/>
              </w:rPr>
            </w:pPr>
          </w:p>
          <w:p w14:paraId="1932F03B" w14:textId="77777777" w:rsidR="00E05778" w:rsidRPr="003D6049" w:rsidRDefault="00E05778" w:rsidP="004A7C29">
            <w:pPr>
              <w:jc w:val="both"/>
              <w:rPr>
                <w:b/>
                <w:bCs/>
                <w:sz w:val="24"/>
                <w:szCs w:val="24"/>
              </w:rPr>
            </w:pPr>
          </w:p>
          <w:p w14:paraId="5236B7C3" w14:textId="6EA373C5" w:rsidR="00E05778" w:rsidRPr="003D6049" w:rsidRDefault="00E05778" w:rsidP="004A7C29">
            <w:pPr>
              <w:jc w:val="both"/>
              <w:rPr>
                <w:b/>
                <w:bCs/>
                <w:sz w:val="24"/>
                <w:szCs w:val="24"/>
              </w:rPr>
            </w:pPr>
          </w:p>
          <w:p w14:paraId="0F9D3FE2" w14:textId="77777777" w:rsidR="00E05778" w:rsidRPr="003D6049" w:rsidRDefault="00E05778" w:rsidP="004A7C29">
            <w:pPr>
              <w:jc w:val="both"/>
              <w:rPr>
                <w:b/>
                <w:bCs/>
                <w:sz w:val="24"/>
                <w:szCs w:val="24"/>
              </w:rPr>
            </w:pPr>
          </w:p>
          <w:p w14:paraId="183493C0" w14:textId="77777777" w:rsidR="00E05778" w:rsidRPr="003D6049" w:rsidRDefault="00E05778" w:rsidP="004A7C29">
            <w:pPr>
              <w:jc w:val="both"/>
              <w:rPr>
                <w:b/>
                <w:bCs/>
                <w:sz w:val="24"/>
                <w:szCs w:val="24"/>
              </w:rPr>
            </w:pPr>
          </w:p>
          <w:p w14:paraId="22CAC1A3" w14:textId="28478DAE" w:rsidR="00E05778" w:rsidRPr="003D6049" w:rsidRDefault="00E05778" w:rsidP="004A7C29">
            <w:pPr>
              <w:jc w:val="both"/>
              <w:rPr>
                <w:b/>
                <w:bCs/>
                <w:sz w:val="24"/>
                <w:szCs w:val="24"/>
              </w:rPr>
            </w:pPr>
          </w:p>
        </w:tc>
        <w:tc>
          <w:tcPr>
            <w:tcW w:w="4438" w:type="dxa"/>
          </w:tcPr>
          <w:p w14:paraId="5773506C" w14:textId="77777777" w:rsidR="00E05778" w:rsidRPr="003D6049" w:rsidRDefault="00E05778" w:rsidP="004A7C29">
            <w:pPr>
              <w:jc w:val="both"/>
              <w:rPr>
                <w:b/>
                <w:bCs/>
                <w:sz w:val="24"/>
                <w:szCs w:val="24"/>
              </w:rPr>
            </w:pPr>
          </w:p>
          <w:p w14:paraId="7DE120A3" w14:textId="77777777" w:rsidR="00E05778" w:rsidRPr="003D6049" w:rsidRDefault="00E05778" w:rsidP="004A7C29">
            <w:pPr>
              <w:jc w:val="both"/>
              <w:rPr>
                <w:b/>
                <w:bCs/>
                <w:sz w:val="24"/>
                <w:szCs w:val="24"/>
              </w:rPr>
            </w:pPr>
          </w:p>
          <w:p w14:paraId="40AE1283" w14:textId="77777777" w:rsidR="00E05778" w:rsidRPr="003D6049" w:rsidRDefault="00E05778" w:rsidP="004A7C29">
            <w:pPr>
              <w:jc w:val="both"/>
              <w:rPr>
                <w:b/>
                <w:bCs/>
                <w:sz w:val="24"/>
                <w:szCs w:val="24"/>
              </w:rPr>
            </w:pPr>
          </w:p>
          <w:p w14:paraId="71090AD2" w14:textId="77777777" w:rsidR="00E05778" w:rsidRPr="003D6049" w:rsidRDefault="00E05778" w:rsidP="004A7C29">
            <w:pPr>
              <w:jc w:val="both"/>
              <w:rPr>
                <w:b/>
                <w:bCs/>
                <w:sz w:val="24"/>
                <w:szCs w:val="24"/>
              </w:rPr>
            </w:pPr>
          </w:p>
          <w:p w14:paraId="75CBCE84" w14:textId="786A7CED" w:rsidR="00E05778" w:rsidRPr="003D6049" w:rsidRDefault="00E05778" w:rsidP="004A7C29">
            <w:pPr>
              <w:jc w:val="both"/>
              <w:rPr>
                <w:b/>
                <w:bCs/>
                <w:sz w:val="24"/>
                <w:szCs w:val="24"/>
              </w:rPr>
            </w:pPr>
          </w:p>
        </w:tc>
      </w:tr>
      <w:tr w:rsidR="00E05778" w:rsidRPr="003D6049" w14:paraId="70EFF290" w14:textId="77777777" w:rsidTr="007445EC">
        <w:tc>
          <w:tcPr>
            <w:tcW w:w="4390" w:type="dxa"/>
          </w:tcPr>
          <w:p w14:paraId="75B2228F" w14:textId="77777777" w:rsidR="00E05778" w:rsidRPr="003D6049" w:rsidRDefault="00E05778" w:rsidP="004A7C29">
            <w:pPr>
              <w:jc w:val="both"/>
              <w:rPr>
                <w:b/>
                <w:bCs/>
                <w:sz w:val="24"/>
                <w:szCs w:val="24"/>
              </w:rPr>
            </w:pPr>
          </w:p>
          <w:p w14:paraId="5E4C6190" w14:textId="77777777" w:rsidR="00E05778" w:rsidRPr="003D6049" w:rsidRDefault="00E05778" w:rsidP="004A7C29">
            <w:pPr>
              <w:jc w:val="both"/>
              <w:rPr>
                <w:b/>
                <w:bCs/>
                <w:sz w:val="24"/>
                <w:szCs w:val="24"/>
              </w:rPr>
            </w:pPr>
          </w:p>
          <w:p w14:paraId="51C20BE8" w14:textId="77777777" w:rsidR="00E05778" w:rsidRPr="003D6049" w:rsidRDefault="00E05778" w:rsidP="004A7C29">
            <w:pPr>
              <w:jc w:val="both"/>
              <w:rPr>
                <w:b/>
                <w:bCs/>
                <w:sz w:val="24"/>
                <w:szCs w:val="24"/>
              </w:rPr>
            </w:pPr>
          </w:p>
          <w:p w14:paraId="3684D1D7" w14:textId="77777777" w:rsidR="00E05778" w:rsidRPr="003D6049" w:rsidRDefault="00E05778" w:rsidP="004A7C29">
            <w:pPr>
              <w:jc w:val="both"/>
              <w:rPr>
                <w:b/>
                <w:bCs/>
                <w:sz w:val="24"/>
                <w:szCs w:val="24"/>
              </w:rPr>
            </w:pPr>
          </w:p>
          <w:p w14:paraId="7286AB4E" w14:textId="77777777" w:rsidR="00E05778" w:rsidRPr="003D6049" w:rsidRDefault="00E05778" w:rsidP="004A7C29">
            <w:pPr>
              <w:jc w:val="both"/>
              <w:rPr>
                <w:b/>
                <w:bCs/>
                <w:sz w:val="24"/>
                <w:szCs w:val="24"/>
              </w:rPr>
            </w:pPr>
          </w:p>
          <w:p w14:paraId="20573E02" w14:textId="2072E34C" w:rsidR="00E05778" w:rsidRPr="003D6049" w:rsidRDefault="00E05778" w:rsidP="004A7C29">
            <w:pPr>
              <w:jc w:val="both"/>
              <w:rPr>
                <w:b/>
                <w:bCs/>
                <w:sz w:val="24"/>
                <w:szCs w:val="24"/>
              </w:rPr>
            </w:pPr>
          </w:p>
        </w:tc>
        <w:tc>
          <w:tcPr>
            <w:tcW w:w="4438" w:type="dxa"/>
          </w:tcPr>
          <w:p w14:paraId="4DF2A6A5" w14:textId="77777777" w:rsidR="00E05778" w:rsidRPr="003D6049" w:rsidRDefault="00E05778" w:rsidP="004A7C29">
            <w:pPr>
              <w:jc w:val="both"/>
              <w:rPr>
                <w:b/>
                <w:bCs/>
                <w:sz w:val="24"/>
                <w:szCs w:val="24"/>
              </w:rPr>
            </w:pPr>
          </w:p>
        </w:tc>
      </w:tr>
      <w:tr w:rsidR="00E05778" w:rsidRPr="003D6049" w14:paraId="49D64CB6" w14:textId="77777777" w:rsidTr="007445EC">
        <w:tc>
          <w:tcPr>
            <w:tcW w:w="4390" w:type="dxa"/>
          </w:tcPr>
          <w:p w14:paraId="3347C65A" w14:textId="77777777" w:rsidR="00E05778" w:rsidRPr="003D6049" w:rsidRDefault="00E05778" w:rsidP="004A7C29">
            <w:pPr>
              <w:jc w:val="both"/>
              <w:rPr>
                <w:b/>
                <w:bCs/>
                <w:sz w:val="24"/>
                <w:szCs w:val="24"/>
              </w:rPr>
            </w:pPr>
          </w:p>
          <w:p w14:paraId="639139E5" w14:textId="77777777" w:rsidR="00E05778" w:rsidRPr="003D6049" w:rsidRDefault="00E05778" w:rsidP="004A7C29">
            <w:pPr>
              <w:jc w:val="both"/>
              <w:rPr>
                <w:b/>
                <w:bCs/>
                <w:sz w:val="24"/>
                <w:szCs w:val="24"/>
              </w:rPr>
            </w:pPr>
          </w:p>
          <w:p w14:paraId="5566DFCE" w14:textId="77777777" w:rsidR="00E05778" w:rsidRPr="003D6049" w:rsidRDefault="00E05778" w:rsidP="004A7C29">
            <w:pPr>
              <w:jc w:val="both"/>
              <w:rPr>
                <w:b/>
                <w:bCs/>
                <w:sz w:val="24"/>
                <w:szCs w:val="24"/>
              </w:rPr>
            </w:pPr>
          </w:p>
          <w:p w14:paraId="66A4C4F7" w14:textId="7D033865" w:rsidR="00E05778" w:rsidRPr="003D6049" w:rsidRDefault="00E05778" w:rsidP="004A7C29">
            <w:pPr>
              <w:jc w:val="both"/>
              <w:rPr>
                <w:b/>
                <w:bCs/>
                <w:sz w:val="24"/>
                <w:szCs w:val="24"/>
              </w:rPr>
            </w:pPr>
          </w:p>
          <w:p w14:paraId="7F9768FB" w14:textId="77777777" w:rsidR="00E05778" w:rsidRPr="003D6049" w:rsidRDefault="00E05778" w:rsidP="004A7C29">
            <w:pPr>
              <w:jc w:val="both"/>
              <w:rPr>
                <w:b/>
                <w:bCs/>
                <w:sz w:val="24"/>
                <w:szCs w:val="24"/>
              </w:rPr>
            </w:pPr>
          </w:p>
          <w:p w14:paraId="5CE8EB26" w14:textId="080FAB82" w:rsidR="00E05778" w:rsidRPr="003D6049" w:rsidRDefault="00E05778" w:rsidP="004A7C29">
            <w:pPr>
              <w:jc w:val="both"/>
              <w:rPr>
                <w:b/>
                <w:bCs/>
                <w:sz w:val="24"/>
                <w:szCs w:val="24"/>
              </w:rPr>
            </w:pPr>
          </w:p>
        </w:tc>
        <w:tc>
          <w:tcPr>
            <w:tcW w:w="4438" w:type="dxa"/>
          </w:tcPr>
          <w:p w14:paraId="6E91E71F" w14:textId="77777777" w:rsidR="00E05778" w:rsidRPr="003D6049" w:rsidRDefault="00E05778" w:rsidP="004A7C29">
            <w:pPr>
              <w:jc w:val="both"/>
              <w:rPr>
                <w:b/>
                <w:bCs/>
                <w:sz w:val="24"/>
                <w:szCs w:val="24"/>
              </w:rPr>
            </w:pPr>
          </w:p>
          <w:p w14:paraId="6E5C73B0" w14:textId="77777777" w:rsidR="00E05778" w:rsidRPr="003D6049" w:rsidRDefault="00E05778" w:rsidP="004A7C29">
            <w:pPr>
              <w:jc w:val="both"/>
              <w:rPr>
                <w:b/>
                <w:bCs/>
                <w:sz w:val="24"/>
                <w:szCs w:val="24"/>
              </w:rPr>
            </w:pPr>
          </w:p>
          <w:p w14:paraId="6BCF28A3" w14:textId="77777777" w:rsidR="00E05778" w:rsidRPr="003D6049" w:rsidRDefault="00E05778" w:rsidP="004A7C29">
            <w:pPr>
              <w:jc w:val="both"/>
              <w:rPr>
                <w:b/>
                <w:bCs/>
                <w:sz w:val="24"/>
                <w:szCs w:val="24"/>
              </w:rPr>
            </w:pPr>
          </w:p>
          <w:p w14:paraId="0556DF3E" w14:textId="77777777" w:rsidR="00E05778" w:rsidRPr="003D6049" w:rsidRDefault="00E05778" w:rsidP="004A7C29">
            <w:pPr>
              <w:jc w:val="both"/>
              <w:rPr>
                <w:b/>
                <w:bCs/>
                <w:sz w:val="24"/>
                <w:szCs w:val="24"/>
              </w:rPr>
            </w:pPr>
          </w:p>
          <w:p w14:paraId="6AB8AD1E" w14:textId="3366C13A" w:rsidR="00E05778" w:rsidRPr="003D6049" w:rsidRDefault="00E05778" w:rsidP="004A7C29">
            <w:pPr>
              <w:jc w:val="both"/>
              <w:rPr>
                <w:b/>
                <w:bCs/>
                <w:sz w:val="24"/>
                <w:szCs w:val="24"/>
              </w:rPr>
            </w:pPr>
          </w:p>
        </w:tc>
      </w:tr>
      <w:tr w:rsidR="007445EC" w:rsidRPr="003D6049" w14:paraId="51F6ED03" w14:textId="77777777" w:rsidTr="007445EC">
        <w:tc>
          <w:tcPr>
            <w:tcW w:w="4390" w:type="dxa"/>
          </w:tcPr>
          <w:p w14:paraId="49BA3545" w14:textId="77777777" w:rsidR="007445EC" w:rsidRPr="003D6049" w:rsidRDefault="007445EC" w:rsidP="004A7C29">
            <w:pPr>
              <w:jc w:val="both"/>
              <w:rPr>
                <w:b/>
                <w:bCs/>
                <w:sz w:val="24"/>
                <w:szCs w:val="24"/>
              </w:rPr>
            </w:pPr>
          </w:p>
          <w:p w14:paraId="079A634C" w14:textId="77777777" w:rsidR="007445EC" w:rsidRPr="003D6049" w:rsidRDefault="007445EC" w:rsidP="004A7C29">
            <w:pPr>
              <w:jc w:val="both"/>
              <w:rPr>
                <w:b/>
                <w:bCs/>
                <w:sz w:val="24"/>
                <w:szCs w:val="24"/>
              </w:rPr>
            </w:pPr>
          </w:p>
          <w:p w14:paraId="48E01C2C" w14:textId="77777777" w:rsidR="007445EC" w:rsidRPr="003D6049" w:rsidRDefault="007445EC" w:rsidP="004A7C29">
            <w:pPr>
              <w:jc w:val="both"/>
              <w:rPr>
                <w:b/>
                <w:bCs/>
                <w:sz w:val="24"/>
                <w:szCs w:val="24"/>
              </w:rPr>
            </w:pPr>
          </w:p>
          <w:p w14:paraId="58A59B59" w14:textId="77777777" w:rsidR="007445EC" w:rsidRPr="003D6049" w:rsidRDefault="007445EC" w:rsidP="004A7C29">
            <w:pPr>
              <w:jc w:val="both"/>
              <w:rPr>
                <w:b/>
                <w:bCs/>
                <w:sz w:val="24"/>
                <w:szCs w:val="24"/>
              </w:rPr>
            </w:pPr>
          </w:p>
          <w:p w14:paraId="64459D97" w14:textId="77777777" w:rsidR="007445EC" w:rsidRPr="003D6049" w:rsidRDefault="007445EC" w:rsidP="004A7C29">
            <w:pPr>
              <w:jc w:val="both"/>
              <w:rPr>
                <w:b/>
                <w:bCs/>
                <w:sz w:val="24"/>
                <w:szCs w:val="24"/>
              </w:rPr>
            </w:pPr>
          </w:p>
          <w:p w14:paraId="5DBB9826" w14:textId="77777777" w:rsidR="007445EC" w:rsidRPr="003D6049" w:rsidRDefault="007445EC" w:rsidP="004A7C29">
            <w:pPr>
              <w:jc w:val="both"/>
              <w:rPr>
                <w:b/>
                <w:bCs/>
                <w:sz w:val="24"/>
                <w:szCs w:val="24"/>
              </w:rPr>
            </w:pPr>
          </w:p>
        </w:tc>
        <w:tc>
          <w:tcPr>
            <w:tcW w:w="4438" w:type="dxa"/>
          </w:tcPr>
          <w:p w14:paraId="00C8D209" w14:textId="77777777" w:rsidR="007445EC" w:rsidRPr="003D6049" w:rsidRDefault="007445EC" w:rsidP="004A7C29">
            <w:pPr>
              <w:jc w:val="both"/>
              <w:rPr>
                <w:b/>
                <w:bCs/>
                <w:sz w:val="24"/>
                <w:szCs w:val="24"/>
              </w:rPr>
            </w:pPr>
          </w:p>
          <w:p w14:paraId="332E49C9" w14:textId="77777777" w:rsidR="007445EC" w:rsidRPr="003D6049" w:rsidRDefault="007445EC" w:rsidP="004A7C29">
            <w:pPr>
              <w:jc w:val="both"/>
              <w:rPr>
                <w:b/>
                <w:bCs/>
                <w:sz w:val="24"/>
                <w:szCs w:val="24"/>
              </w:rPr>
            </w:pPr>
          </w:p>
          <w:p w14:paraId="11D16570" w14:textId="77777777" w:rsidR="007445EC" w:rsidRPr="003D6049" w:rsidRDefault="007445EC" w:rsidP="004A7C29">
            <w:pPr>
              <w:jc w:val="both"/>
              <w:rPr>
                <w:b/>
                <w:bCs/>
                <w:sz w:val="24"/>
                <w:szCs w:val="24"/>
              </w:rPr>
            </w:pPr>
          </w:p>
          <w:p w14:paraId="292D2842" w14:textId="77777777" w:rsidR="007445EC" w:rsidRPr="003D6049" w:rsidRDefault="007445EC" w:rsidP="004A7C29">
            <w:pPr>
              <w:jc w:val="both"/>
              <w:rPr>
                <w:b/>
                <w:bCs/>
                <w:sz w:val="24"/>
                <w:szCs w:val="24"/>
              </w:rPr>
            </w:pPr>
          </w:p>
          <w:p w14:paraId="446E2E67" w14:textId="77777777" w:rsidR="007445EC" w:rsidRPr="003D6049" w:rsidRDefault="007445EC" w:rsidP="004A7C29">
            <w:pPr>
              <w:jc w:val="both"/>
              <w:rPr>
                <w:b/>
                <w:bCs/>
                <w:sz w:val="24"/>
                <w:szCs w:val="24"/>
              </w:rPr>
            </w:pPr>
          </w:p>
        </w:tc>
      </w:tr>
    </w:tbl>
    <w:p w14:paraId="484A85D2" w14:textId="219D8ADE" w:rsidR="002C61C5" w:rsidRPr="003D6049" w:rsidRDefault="002C61C5" w:rsidP="00895128">
      <w:pPr>
        <w:jc w:val="both"/>
        <w:rPr>
          <w:sz w:val="24"/>
          <w:szCs w:val="24"/>
        </w:rPr>
      </w:pPr>
    </w:p>
    <w:sectPr w:rsidR="002C61C5" w:rsidRPr="003D6049" w:rsidSect="00D071BE">
      <w:headerReference w:type="default" r:id="rId12"/>
      <w:footerReference w:type="default" r:id="rId13"/>
      <w:pgSz w:w="12240" w:h="15840"/>
      <w:pgMar w:top="2127" w:right="1701" w:bottom="212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5CA7C" w14:textId="77777777" w:rsidR="00987066" w:rsidRDefault="00987066" w:rsidP="000160D7">
      <w:pPr>
        <w:spacing w:line="240" w:lineRule="auto"/>
      </w:pPr>
      <w:r>
        <w:separator/>
      </w:r>
    </w:p>
  </w:endnote>
  <w:endnote w:type="continuationSeparator" w:id="0">
    <w:p w14:paraId="2B34672C" w14:textId="77777777" w:rsidR="00987066" w:rsidRDefault="00987066" w:rsidP="000160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788B5" w14:textId="2CAB9C5C" w:rsidR="000160D7" w:rsidRDefault="00E05778" w:rsidP="000160D7">
    <w:pPr>
      <w:tabs>
        <w:tab w:val="center" w:pos="4252"/>
        <w:tab w:val="right" w:pos="8504"/>
      </w:tabs>
      <w:jc w:val="center"/>
      <w:rPr>
        <w:rFonts w:ascii="Calibri" w:eastAsia="Calibri" w:hAnsi="Calibri"/>
        <w:sz w:val="20"/>
        <w:szCs w:val="20"/>
        <w:lang w:val="es-MX"/>
      </w:rPr>
    </w:pPr>
    <w:r>
      <w:rPr>
        <w:rFonts w:ascii="Helvetica" w:hAnsi="Helvetica" w:cs="Helvetica"/>
        <w:noProof/>
        <w:lang w:val="es-ES_tradnl" w:eastAsia="es-ES_tradnl"/>
      </w:rPr>
      <w:drawing>
        <wp:anchor distT="0" distB="0" distL="114300" distR="114300" simplePos="0" relativeHeight="251662336" behindDoc="1" locked="0" layoutInCell="1" allowOverlap="1" wp14:anchorId="0662AFFE" wp14:editId="2593075C">
          <wp:simplePos x="0" y="0"/>
          <wp:positionH relativeFrom="page">
            <wp:posOffset>-393065</wp:posOffset>
          </wp:positionH>
          <wp:positionV relativeFrom="paragraph">
            <wp:posOffset>194310</wp:posOffset>
          </wp:positionV>
          <wp:extent cx="8213090" cy="805815"/>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13090" cy="805815"/>
                  </a:xfrm>
                  <a:prstGeom prst="rect">
                    <a:avLst/>
                  </a:prstGeom>
                  <a:noFill/>
                  <a:ln>
                    <a:noFill/>
                  </a:ln>
                </pic:spPr>
              </pic:pic>
            </a:graphicData>
          </a:graphic>
          <wp14:sizeRelH relativeFrom="page">
            <wp14:pctWidth>0</wp14:pctWidth>
          </wp14:sizeRelH>
          <wp14:sizeRelV relativeFrom="page">
            <wp14:pctHeight>0</wp14:pctHeight>
          </wp14:sizeRelV>
        </wp:anchor>
      </w:drawing>
    </w:r>
    <w:r w:rsidR="000160D7" w:rsidRPr="0079248C">
      <w:rPr>
        <w:rFonts w:ascii="Helvetica" w:hAnsi="Helvetica" w:cs="Helvetica"/>
        <w:noProof/>
        <w:lang w:val="es-ES_tradnl" w:eastAsia="es-ES_tradnl"/>
      </w:rPr>
      <w:t xml:space="preserve"> </w:t>
    </w:r>
  </w:p>
  <w:p w14:paraId="1349843C" w14:textId="4E9A3F3A" w:rsidR="000160D7" w:rsidRDefault="000160D7" w:rsidP="000160D7">
    <w:pPr>
      <w:tabs>
        <w:tab w:val="center" w:pos="4252"/>
        <w:tab w:val="right" w:pos="8504"/>
      </w:tabs>
      <w:jc w:val="center"/>
      <w:rPr>
        <w:rFonts w:ascii="Calibri" w:eastAsia="Calibri" w:hAnsi="Calibri"/>
        <w:b/>
        <w:sz w:val="20"/>
        <w:szCs w:val="20"/>
        <w:lang w:val="es-MX"/>
      </w:rPr>
    </w:pPr>
  </w:p>
  <w:p w14:paraId="426FB9D9" w14:textId="1EA36432" w:rsidR="000160D7" w:rsidRDefault="000160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6ECB9" w14:textId="77777777" w:rsidR="00987066" w:rsidRDefault="00987066" w:rsidP="000160D7">
      <w:pPr>
        <w:spacing w:line="240" w:lineRule="auto"/>
      </w:pPr>
      <w:r>
        <w:separator/>
      </w:r>
    </w:p>
  </w:footnote>
  <w:footnote w:type="continuationSeparator" w:id="0">
    <w:p w14:paraId="67FD0EB4" w14:textId="77777777" w:rsidR="00987066" w:rsidRDefault="00987066" w:rsidP="000160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F969E" w14:textId="37259A0B" w:rsidR="000160D7" w:rsidRDefault="007445EC">
    <w:pPr>
      <w:pStyle w:val="Encabezado"/>
    </w:pPr>
    <w:r>
      <w:rPr>
        <w:noProof/>
      </w:rPr>
      <w:drawing>
        <wp:anchor distT="0" distB="0" distL="114300" distR="114300" simplePos="0" relativeHeight="251663360" behindDoc="1" locked="0" layoutInCell="1" allowOverlap="1" wp14:anchorId="051CA18E" wp14:editId="38936865">
          <wp:simplePos x="0" y="0"/>
          <wp:positionH relativeFrom="margin">
            <wp:align>left</wp:align>
          </wp:positionH>
          <wp:positionV relativeFrom="paragraph">
            <wp:posOffset>-33020</wp:posOffset>
          </wp:positionV>
          <wp:extent cx="1933575" cy="596900"/>
          <wp:effectExtent l="0" t="0" r="952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596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71BE" w:rsidRPr="000160D7">
      <w:rPr>
        <w:noProof/>
      </w:rPr>
      <w:drawing>
        <wp:anchor distT="0" distB="0" distL="114300" distR="114300" simplePos="0" relativeHeight="251659264" behindDoc="0" locked="0" layoutInCell="1" allowOverlap="1" wp14:anchorId="6E146D9F" wp14:editId="2AFF8DEC">
          <wp:simplePos x="0" y="0"/>
          <wp:positionH relativeFrom="column">
            <wp:posOffset>2168525</wp:posOffset>
          </wp:positionH>
          <wp:positionV relativeFrom="paragraph">
            <wp:posOffset>7677</wp:posOffset>
          </wp:positionV>
          <wp:extent cx="1631462" cy="636270"/>
          <wp:effectExtent l="0" t="0" r="6985" b="0"/>
          <wp:wrapNone/>
          <wp:docPr id="14" name="Imagen 14" descr="Diseños%20Mauricio%20Londoño%20Representante/LOGO%20MAURICIO%20Y%20U%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eños%20Mauricio%20Londoño%20Representante/LOGO%20MAURICIO%20Y%20U%20.png"/>
                  <pic:cNvPicPr>
                    <a:picLocks noChangeAspect="1" noChangeArrowheads="1"/>
                  </pic:cNvPicPr>
                </pic:nvPicPr>
                <pic:blipFill rotWithShape="1">
                  <a:blip r:embed="rId2">
                    <a:extLst>
                      <a:ext uri="{28A0092B-C50C-407E-A947-70E740481C1C}">
                        <a14:useLocalDpi xmlns:a14="http://schemas.microsoft.com/office/drawing/2010/main" val="0"/>
                      </a:ext>
                    </a:extLst>
                  </a:blip>
                  <a:srcRect l="1" t="24756" r="-306" b="16711"/>
                  <a:stretch/>
                </pic:blipFill>
                <pic:spPr bwMode="auto">
                  <a:xfrm>
                    <a:off x="0" y="0"/>
                    <a:ext cx="1631462" cy="636270"/>
                  </a:xfrm>
                  <a:prstGeom prst="rect">
                    <a:avLst/>
                  </a:prstGeom>
                  <a:noFill/>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071BE" w:rsidRPr="000160D7">
      <w:rPr>
        <w:noProof/>
      </w:rPr>
      <w:drawing>
        <wp:anchor distT="0" distB="0" distL="114300" distR="114300" simplePos="0" relativeHeight="251660288" behindDoc="0" locked="0" layoutInCell="1" allowOverlap="1" wp14:anchorId="42AF4557" wp14:editId="24BDBAEA">
          <wp:simplePos x="0" y="0"/>
          <wp:positionH relativeFrom="column">
            <wp:posOffset>4215765</wp:posOffset>
          </wp:positionH>
          <wp:positionV relativeFrom="paragraph">
            <wp:posOffset>89535</wp:posOffset>
          </wp:positionV>
          <wp:extent cx="1562100" cy="519609"/>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62100" cy="51960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AB1"/>
    <w:multiLevelType w:val="multilevel"/>
    <w:tmpl w:val="35845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F3BCB"/>
    <w:multiLevelType w:val="multilevel"/>
    <w:tmpl w:val="30FA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35C79"/>
    <w:multiLevelType w:val="multilevel"/>
    <w:tmpl w:val="D496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4413D"/>
    <w:multiLevelType w:val="hybridMultilevel"/>
    <w:tmpl w:val="9CC00582"/>
    <w:lvl w:ilvl="0" w:tplc="00C0287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7490FF7"/>
    <w:multiLevelType w:val="multilevel"/>
    <w:tmpl w:val="79AC42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F7620F"/>
    <w:multiLevelType w:val="multilevel"/>
    <w:tmpl w:val="3CB2F20C"/>
    <w:lvl w:ilvl="0">
      <w:start w:val="1"/>
      <w:numFmt w:val="decimal"/>
      <w:lvlText w:val="%1."/>
      <w:lvlJc w:val="left"/>
      <w:pPr>
        <w:tabs>
          <w:tab w:val="num" w:pos="720"/>
        </w:tabs>
        <w:ind w:left="720" w:hanging="360"/>
      </w:pPr>
      <w:rPr>
        <w:rFonts w:ascii="Arial" w:eastAsia="Times New Roman"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9B0EF3"/>
    <w:multiLevelType w:val="multilevel"/>
    <w:tmpl w:val="4DDA22A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6D6219"/>
    <w:multiLevelType w:val="multilevel"/>
    <w:tmpl w:val="5DCE3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E05BB9"/>
    <w:multiLevelType w:val="multilevel"/>
    <w:tmpl w:val="1DE8B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2151E"/>
    <w:multiLevelType w:val="multilevel"/>
    <w:tmpl w:val="C606819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D21165"/>
    <w:multiLevelType w:val="hybridMultilevel"/>
    <w:tmpl w:val="687E0D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28A7112"/>
    <w:multiLevelType w:val="multilevel"/>
    <w:tmpl w:val="1000308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E71F16"/>
    <w:multiLevelType w:val="hybridMultilevel"/>
    <w:tmpl w:val="7B363E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02B409F"/>
    <w:multiLevelType w:val="multilevel"/>
    <w:tmpl w:val="86C0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E41574"/>
    <w:multiLevelType w:val="multilevel"/>
    <w:tmpl w:val="4C6E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481B02"/>
    <w:multiLevelType w:val="multilevel"/>
    <w:tmpl w:val="981A8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016887"/>
    <w:multiLevelType w:val="hybridMultilevel"/>
    <w:tmpl w:val="9F086C48"/>
    <w:lvl w:ilvl="0" w:tplc="CA98CBE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CCC36E3"/>
    <w:multiLevelType w:val="multilevel"/>
    <w:tmpl w:val="C39C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666334"/>
    <w:multiLevelType w:val="multilevel"/>
    <w:tmpl w:val="35CE9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2A23C6"/>
    <w:multiLevelType w:val="multilevel"/>
    <w:tmpl w:val="2418084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4A0C9D"/>
    <w:multiLevelType w:val="multilevel"/>
    <w:tmpl w:val="8E9C7C3E"/>
    <w:lvl w:ilvl="0">
      <w:start w:val="1"/>
      <w:numFmt w:val="decimal"/>
      <w:lvlText w:val="%1."/>
      <w:lvlJc w:val="left"/>
      <w:pPr>
        <w:ind w:left="1080" w:hanging="360"/>
      </w:pPr>
      <w:rPr>
        <w:rFonts w:hint="default"/>
        <w:b/>
        <w:bCs/>
      </w:rPr>
    </w:lvl>
    <w:lvl w:ilvl="1">
      <w:start w:val="1"/>
      <w:numFmt w:val="decimal"/>
      <w:isLgl/>
      <w:lvlText w:val="%1.%2."/>
      <w:lvlJc w:val="left"/>
      <w:pPr>
        <w:ind w:left="1713" w:hanging="720"/>
      </w:pPr>
      <w:rPr>
        <w:rFonts w:ascii="Arial" w:hAnsi="Arial" w:cs="Arial" w:hint="default"/>
        <w:b/>
        <w:bCs w:val="0"/>
      </w:rPr>
    </w:lvl>
    <w:lvl w:ilvl="2">
      <w:start w:val="1"/>
      <w:numFmt w:val="decimal"/>
      <w:isLgl/>
      <w:lvlText w:val="%1.%2.%3."/>
      <w:lvlJc w:val="left"/>
      <w:pPr>
        <w:ind w:left="1440" w:hanging="720"/>
      </w:pPr>
      <w:rPr>
        <w:rFonts w:asciiTheme="minorHAnsi" w:hAnsiTheme="minorHAnsi" w:cstheme="minorBidi" w:hint="default"/>
        <w:b w:val="0"/>
      </w:rPr>
    </w:lvl>
    <w:lvl w:ilvl="3">
      <w:start w:val="1"/>
      <w:numFmt w:val="decimal"/>
      <w:isLgl/>
      <w:lvlText w:val="%1.%2.%3.%4."/>
      <w:lvlJc w:val="left"/>
      <w:pPr>
        <w:ind w:left="1800" w:hanging="1080"/>
      </w:pPr>
      <w:rPr>
        <w:rFonts w:asciiTheme="minorHAnsi" w:hAnsiTheme="minorHAnsi" w:cstheme="minorBidi" w:hint="default"/>
        <w:b w:val="0"/>
      </w:rPr>
    </w:lvl>
    <w:lvl w:ilvl="4">
      <w:start w:val="1"/>
      <w:numFmt w:val="decimal"/>
      <w:isLgl/>
      <w:lvlText w:val="%1.%2.%3.%4.%5."/>
      <w:lvlJc w:val="left"/>
      <w:pPr>
        <w:ind w:left="1800" w:hanging="1080"/>
      </w:pPr>
      <w:rPr>
        <w:rFonts w:asciiTheme="minorHAnsi" w:hAnsiTheme="minorHAnsi" w:cstheme="minorBidi" w:hint="default"/>
        <w:b w:val="0"/>
      </w:rPr>
    </w:lvl>
    <w:lvl w:ilvl="5">
      <w:start w:val="1"/>
      <w:numFmt w:val="decimal"/>
      <w:isLgl/>
      <w:lvlText w:val="%1.%2.%3.%4.%5.%6."/>
      <w:lvlJc w:val="left"/>
      <w:pPr>
        <w:ind w:left="2160" w:hanging="1440"/>
      </w:pPr>
      <w:rPr>
        <w:rFonts w:asciiTheme="minorHAnsi" w:hAnsiTheme="minorHAnsi" w:cstheme="minorBidi" w:hint="default"/>
        <w:b w:val="0"/>
      </w:rPr>
    </w:lvl>
    <w:lvl w:ilvl="6">
      <w:start w:val="1"/>
      <w:numFmt w:val="decimal"/>
      <w:isLgl/>
      <w:lvlText w:val="%1.%2.%3.%4.%5.%6.%7."/>
      <w:lvlJc w:val="left"/>
      <w:pPr>
        <w:ind w:left="2160" w:hanging="1440"/>
      </w:pPr>
      <w:rPr>
        <w:rFonts w:asciiTheme="minorHAnsi" w:hAnsiTheme="minorHAnsi" w:cstheme="minorBidi" w:hint="default"/>
        <w:b w:val="0"/>
      </w:rPr>
    </w:lvl>
    <w:lvl w:ilvl="7">
      <w:start w:val="1"/>
      <w:numFmt w:val="decimal"/>
      <w:isLgl/>
      <w:lvlText w:val="%1.%2.%3.%4.%5.%6.%7.%8."/>
      <w:lvlJc w:val="left"/>
      <w:pPr>
        <w:ind w:left="2520" w:hanging="1800"/>
      </w:pPr>
      <w:rPr>
        <w:rFonts w:asciiTheme="minorHAnsi" w:hAnsiTheme="minorHAnsi" w:cstheme="minorBidi" w:hint="default"/>
        <w:b w:val="0"/>
      </w:rPr>
    </w:lvl>
    <w:lvl w:ilvl="8">
      <w:start w:val="1"/>
      <w:numFmt w:val="decimal"/>
      <w:isLgl/>
      <w:lvlText w:val="%1.%2.%3.%4.%5.%6.%7.%8.%9."/>
      <w:lvlJc w:val="left"/>
      <w:pPr>
        <w:ind w:left="2520" w:hanging="1800"/>
      </w:pPr>
      <w:rPr>
        <w:rFonts w:asciiTheme="minorHAnsi" w:hAnsiTheme="minorHAnsi" w:cstheme="minorBidi" w:hint="default"/>
        <w:b w:val="0"/>
      </w:rPr>
    </w:lvl>
  </w:abstractNum>
  <w:abstractNum w:abstractNumId="21" w15:restartNumberingAfterBreak="0">
    <w:nsid w:val="706A7380"/>
    <w:multiLevelType w:val="multilevel"/>
    <w:tmpl w:val="A3CE8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0"/>
  </w:num>
  <w:num w:numId="3">
    <w:abstractNumId w:val="16"/>
  </w:num>
  <w:num w:numId="4">
    <w:abstractNumId w:val="3"/>
  </w:num>
  <w:num w:numId="5">
    <w:abstractNumId w:val="20"/>
  </w:num>
  <w:num w:numId="6">
    <w:abstractNumId w:val="8"/>
  </w:num>
  <w:num w:numId="7">
    <w:abstractNumId w:val="17"/>
  </w:num>
  <w:num w:numId="8">
    <w:abstractNumId w:val="12"/>
  </w:num>
  <w:num w:numId="9">
    <w:abstractNumId w:val="1"/>
  </w:num>
  <w:num w:numId="10">
    <w:abstractNumId w:val="15"/>
  </w:num>
  <w:num w:numId="11">
    <w:abstractNumId w:val="18"/>
  </w:num>
  <w:num w:numId="12">
    <w:abstractNumId w:val="13"/>
  </w:num>
  <w:num w:numId="13">
    <w:abstractNumId w:val="0"/>
  </w:num>
  <w:num w:numId="14">
    <w:abstractNumId w:val="14"/>
  </w:num>
  <w:num w:numId="15">
    <w:abstractNumId w:val="7"/>
  </w:num>
  <w:num w:numId="16">
    <w:abstractNumId w:val="2"/>
  </w:num>
  <w:num w:numId="17">
    <w:abstractNumId w:val="21"/>
  </w:num>
  <w:num w:numId="18">
    <w:abstractNumId w:val="5"/>
  </w:num>
  <w:num w:numId="19">
    <w:abstractNumId w:val="19"/>
  </w:num>
  <w:num w:numId="20">
    <w:abstractNumId w:val="11"/>
  </w:num>
  <w:num w:numId="21">
    <w:abstractNumId w:val="9"/>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1C5"/>
    <w:rsid w:val="0000539E"/>
    <w:rsid w:val="000160D7"/>
    <w:rsid w:val="0001703F"/>
    <w:rsid w:val="000328D0"/>
    <w:rsid w:val="00040FCD"/>
    <w:rsid w:val="00063769"/>
    <w:rsid w:val="00080ED6"/>
    <w:rsid w:val="000A75C3"/>
    <w:rsid w:val="00117DBD"/>
    <w:rsid w:val="00153E28"/>
    <w:rsid w:val="00195168"/>
    <w:rsid w:val="001B497D"/>
    <w:rsid w:val="00227B60"/>
    <w:rsid w:val="002332AE"/>
    <w:rsid w:val="00246228"/>
    <w:rsid w:val="002556D6"/>
    <w:rsid w:val="00292034"/>
    <w:rsid w:val="002C61C5"/>
    <w:rsid w:val="002E1598"/>
    <w:rsid w:val="002F2A3A"/>
    <w:rsid w:val="00303A86"/>
    <w:rsid w:val="00332F3C"/>
    <w:rsid w:val="003376C8"/>
    <w:rsid w:val="003D6049"/>
    <w:rsid w:val="003E0463"/>
    <w:rsid w:val="0042216C"/>
    <w:rsid w:val="00433600"/>
    <w:rsid w:val="0045085E"/>
    <w:rsid w:val="004B2258"/>
    <w:rsid w:val="004B40F5"/>
    <w:rsid w:val="004B5246"/>
    <w:rsid w:val="004D44AB"/>
    <w:rsid w:val="00527622"/>
    <w:rsid w:val="00595DFC"/>
    <w:rsid w:val="005F6589"/>
    <w:rsid w:val="006253B3"/>
    <w:rsid w:val="00645F4E"/>
    <w:rsid w:val="006B2C85"/>
    <w:rsid w:val="006E0EDD"/>
    <w:rsid w:val="00700669"/>
    <w:rsid w:val="007445EC"/>
    <w:rsid w:val="007C2FF6"/>
    <w:rsid w:val="008120B0"/>
    <w:rsid w:val="00816D20"/>
    <w:rsid w:val="0084039C"/>
    <w:rsid w:val="00842A62"/>
    <w:rsid w:val="00895128"/>
    <w:rsid w:val="008A019E"/>
    <w:rsid w:val="008A32FF"/>
    <w:rsid w:val="00941471"/>
    <w:rsid w:val="00943509"/>
    <w:rsid w:val="00963214"/>
    <w:rsid w:val="00987066"/>
    <w:rsid w:val="009A2667"/>
    <w:rsid w:val="009B583B"/>
    <w:rsid w:val="009F37C2"/>
    <w:rsid w:val="00A06236"/>
    <w:rsid w:val="00A60686"/>
    <w:rsid w:val="00A7291E"/>
    <w:rsid w:val="00A8652D"/>
    <w:rsid w:val="00AB7BD2"/>
    <w:rsid w:val="00B25B1C"/>
    <w:rsid w:val="00B84C8D"/>
    <w:rsid w:val="00B8535C"/>
    <w:rsid w:val="00B97088"/>
    <w:rsid w:val="00BA0EBE"/>
    <w:rsid w:val="00C56CCB"/>
    <w:rsid w:val="00C71750"/>
    <w:rsid w:val="00CB7EF9"/>
    <w:rsid w:val="00CD6A6A"/>
    <w:rsid w:val="00CD7D65"/>
    <w:rsid w:val="00CF4AA9"/>
    <w:rsid w:val="00D071BE"/>
    <w:rsid w:val="00D1721D"/>
    <w:rsid w:val="00D81448"/>
    <w:rsid w:val="00D828F9"/>
    <w:rsid w:val="00DB5734"/>
    <w:rsid w:val="00E05778"/>
    <w:rsid w:val="00E67BBB"/>
    <w:rsid w:val="00EA00D7"/>
    <w:rsid w:val="00EB0F2D"/>
    <w:rsid w:val="00EB1A3C"/>
    <w:rsid w:val="00ED508E"/>
    <w:rsid w:val="00ED64BD"/>
    <w:rsid w:val="00EF4074"/>
    <w:rsid w:val="00F11A79"/>
    <w:rsid w:val="00F57653"/>
    <w:rsid w:val="00F65F4D"/>
    <w:rsid w:val="00F82B82"/>
    <w:rsid w:val="00F928E3"/>
    <w:rsid w:val="00F956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2AA12"/>
  <w15:chartTrackingRefBased/>
  <w15:docId w15:val="{83B8A5C7-6A90-4940-B336-FFA3B492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1C5"/>
    <w:pPr>
      <w:spacing w:after="0" w:line="276" w:lineRule="auto"/>
    </w:pPr>
    <w:rPr>
      <w:rFonts w:ascii="Arial" w:eastAsia="Arial" w:hAnsi="Arial" w:cs="Arial"/>
      <w:lang w:eastAsia="es-CO"/>
    </w:rPr>
  </w:style>
  <w:style w:type="paragraph" w:styleId="Ttulo2">
    <w:name w:val="heading 2"/>
    <w:basedOn w:val="Normal"/>
    <w:link w:val="Ttulo2Car"/>
    <w:uiPriority w:val="9"/>
    <w:qFormat/>
    <w:rsid w:val="00A062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60D7"/>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0160D7"/>
    <w:rPr>
      <w:rFonts w:ascii="Arial" w:eastAsia="Arial" w:hAnsi="Arial" w:cs="Arial"/>
      <w:lang w:eastAsia="es-CO"/>
    </w:rPr>
  </w:style>
  <w:style w:type="paragraph" w:styleId="Piedepgina">
    <w:name w:val="footer"/>
    <w:basedOn w:val="Normal"/>
    <w:link w:val="PiedepginaCar"/>
    <w:uiPriority w:val="99"/>
    <w:unhideWhenUsed/>
    <w:rsid w:val="000160D7"/>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0160D7"/>
    <w:rPr>
      <w:rFonts w:ascii="Arial" w:eastAsia="Arial" w:hAnsi="Arial" w:cs="Arial"/>
      <w:lang w:eastAsia="es-CO"/>
    </w:rPr>
  </w:style>
  <w:style w:type="character" w:styleId="Hipervnculo">
    <w:name w:val="Hyperlink"/>
    <w:basedOn w:val="Fuentedeprrafopredeter"/>
    <w:uiPriority w:val="99"/>
    <w:unhideWhenUsed/>
    <w:rsid w:val="000160D7"/>
    <w:rPr>
      <w:color w:val="0563C1" w:themeColor="hyperlink"/>
      <w:u w:val="single"/>
    </w:rPr>
  </w:style>
  <w:style w:type="paragraph" w:styleId="Prrafodelista">
    <w:name w:val="List Paragraph"/>
    <w:aliases w:val="List,titulo 3,Bullets,Fluvial1,Ha,Cuadrícula clara - Énfasis 31,Normal. Viñetas,HOJA,Bolita,Párrafo de lista4,BOLADEF,Párrafo de lista3,Párrafo de lista21,BOLA,Nivel 1 OS,Lista multicolor - Énfasis 11,Cuadrícula media 1 - Énfasis 21,L"/>
    <w:basedOn w:val="Normal"/>
    <w:link w:val="PrrafodelistaCar"/>
    <w:uiPriority w:val="34"/>
    <w:qFormat/>
    <w:rsid w:val="00527622"/>
    <w:pPr>
      <w:ind w:left="720"/>
      <w:contextualSpacing/>
    </w:pPr>
  </w:style>
  <w:style w:type="paragraph" w:styleId="Sinespaciado">
    <w:name w:val="No Spacing"/>
    <w:link w:val="SinespaciadoCar"/>
    <w:uiPriority w:val="1"/>
    <w:qFormat/>
    <w:rsid w:val="009B583B"/>
    <w:pPr>
      <w:spacing w:after="0" w:line="240" w:lineRule="auto"/>
    </w:pPr>
  </w:style>
  <w:style w:type="character" w:customStyle="1" w:styleId="SinespaciadoCar">
    <w:name w:val="Sin espaciado Car"/>
    <w:basedOn w:val="Fuentedeprrafopredeter"/>
    <w:link w:val="Sinespaciado"/>
    <w:uiPriority w:val="1"/>
    <w:rsid w:val="009B583B"/>
  </w:style>
  <w:style w:type="character" w:customStyle="1" w:styleId="PrrafodelistaCar">
    <w:name w:val="Párrafo de lista Car"/>
    <w:aliases w:val="List Car,titulo 3 Car,Bullets Car,Fluvial1 Car,Ha Car,Cuadrícula clara - Énfasis 31 Car,Normal. Viñetas Car,HOJA Car,Bolita Car,Párrafo de lista4 Car,BOLADEF Car,Párrafo de lista3 Car,Párrafo de lista21 Car,BOLA Car,Nivel 1 OS Car"/>
    <w:link w:val="Prrafodelista"/>
    <w:uiPriority w:val="34"/>
    <w:qFormat/>
    <w:locked/>
    <w:rsid w:val="00433600"/>
    <w:rPr>
      <w:rFonts w:ascii="Arial" w:eastAsia="Arial" w:hAnsi="Arial" w:cs="Arial"/>
      <w:lang w:eastAsia="es-CO"/>
    </w:rPr>
  </w:style>
  <w:style w:type="paragraph" w:styleId="Textonotapie">
    <w:name w:val="footnote text"/>
    <w:basedOn w:val="Normal"/>
    <w:link w:val="TextonotapieCar"/>
    <w:uiPriority w:val="99"/>
    <w:semiHidden/>
    <w:unhideWhenUsed/>
    <w:rsid w:val="00CF4AA9"/>
    <w:pPr>
      <w:spacing w:line="240" w:lineRule="auto"/>
    </w:pPr>
    <w:rPr>
      <w:sz w:val="20"/>
      <w:szCs w:val="20"/>
    </w:rPr>
  </w:style>
  <w:style w:type="character" w:customStyle="1" w:styleId="TextonotapieCar">
    <w:name w:val="Texto nota pie Car"/>
    <w:basedOn w:val="Fuentedeprrafopredeter"/>
    <w:link w:val="Textonotapie"/>
    <w:uiPriority w:val="99"/>
    <w:semiHidden/>
    <w:rsid w:val="00CF4AA9"/>
    <w:rPr>
      <w:rFonts w:ascii="Arial" w:eastAsia="Arial" w:hAnsi="Arial" w:cs="Arial"/>
      <w:sz w:val="20"/>
      <w:szCs w:val="20"/>
      <w:lang w:eastAsia="es-CO"/>
    </w:rPr>
  </w:style>
  <w:style w:type="character" w:styleId="Refdenotaalpie">
    <w:name w:val="footnote reference"/>
    <w:basedOn w:val="Fuentedeprrafopredeter"/>
    <w:uiPriority w:val="99"/>
    <w:semiHidden/>
    <w:unhideWhenUsed/>
    <w:rsid w:val="00CF4AA9"/>
    <w:rPr>
      <w:vertAlign w:val="superscript"/>
    </w:rPr>
  </w:style>
  <w:style w:type="paragraph" w:styleId="NormalWeb">
    <w:name w:val="Normal (Web)"/>
    <w:basedOn w:val="Normal"/>
    <w:uiPriority w:val="99"/>
    <w:unhideWhenUsed/>
    <w:rsid w:val="008403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ar">
    <w:name w:val="Título 2 Car"/>
    <w:basedOn w:val="Fuentedeprrafopredeter"/>
    <w:link w:val="Ttulo2"/>
    <w:uiPriority w:val="9"/>
    <w:rsid w:val="00A06236"/>
    <w:rPr>
      <w:rFonts w:ascii="Times New Roman" w:eastAsia="Times New Roman" w:hAnsi="Times New Roman" w:cs="Times New Roman"/>
      <w:b/>
      <w:bCs/>
      <w:sz w:val="36"/>
      <w:szCs w:val="36"/>
      <w:lang w:eastAsia="es-CO"/>
    </w:rPr>
  </w:style>
  <w:style w:type="paragraph" w:customStyle="1" w:styleId="whitespace-pre-wrap">
    <w:name w:val="whitespace-pre-wrap"/>
    <w:basedOn w:val="Normal"/>
    <w:rsid w:val="00A062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tespace-normal">
    <w:name w:val="whitespace-normal"/>
    <w:basedOn w:val="Normal"/>
    <w:rsid w:val="00A06236"/>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4D4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9A2667"/>
    <w:rPr>
      <w:i/>
      <w:iCs/>
    </w:rPr>
  </w:style>
  <w:style w:type="character" w:styleId="Hipervnculovisitado">
    <w:name w:val="FollowedHyperlink"/>
    <w:basedOn w:val="Fuentedeprrafopredeter"/>
    <w:uiPriority w:val="99"/>
    <w:semiHidden/>
    <w:unhideWhenUsed/>
    <w:rsid w:val="009A26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109906">
      <w:bodyDiv w:val="1"/>
      <w:marLeft w:val="0"/>
      <w:marRight w:val="0"/>
      <w:marTop w:val="0"/>
      <w:marBottom w:val="0"/>
      <w:divBdr>
        <w:top w:val="none" w:sz="0" w:space="0" w:color="auto"/>
        <w:left w:val="none" w:sz="0" w:space="0" w:color="auto"/>
        <w:bottom w:val="none" w:sz="0" w:space="0" w:color="auto"/>
        <w:right w:val="none" w:sz="0" w:space="0" w:color="auto"/>
      </w:divBdr>
    </w:div>
    <w:div w:id="865405897">
      <w:bodyDiv w:val="1"/>
      <w:marLeft w:val="0"/>
      <w:marRight w:val="0"/>
      <w:marTop w:val="0"/>
      <w:marBottom w:val="0"/>
      <w:divBdr>
        <w:top w:val="none" w:sz="0" w:space="0" w:color="auto"/>
        <w:left w:val="none" w:sz="0" w:space="0" w:color="auto"/>
        <w:bottom w:val="none" w:sz="0" w:space="0" w:color="auto"/>
        <w:right w:val="none" w:sz="0" w:space="0" w:color="auto"/>
      </w:divBdr>
    </w:div>
    <w:div w:id="889801762">
      <w:bodyDiv w:val="1"/>
      <w:marLeft w:val="0"/>
      <w:marRight w:val="0"/>
      <w:marTop w:val="0"/>
      <w:marBottom w:val="0"/>
      <w:divBdr>
        <w:top w:val="none" w:sz="0" w:space="0" w:color="auto"/>
        <w:left w:val="none" w:sz="0" w:space="0" w:color="auto"/>
        <w:bottom w:val="none" w:sz="0" w:space="0" w:color="auto"/>
        <w:right w:val="none" w:sz="0" w:space="0" w:color="auto"/>
      </w:divBdr>
    </w:div>
    <w:div w:id="1176651703">
      <w:bodyDiv w:val="1"/>
      <w:marLeft w:val="0"/>
      <w:marRight w:val="0"/>
      <w:marTop w:val="0"/>
      <w:marBottom w:val="0"/>
      <w:divBdr>
        <w:top w:val="none" w:sz="0" w:space="0" w:color="auto"/>
        <w:left w:val="none" w:sz="0" w:space="0" w:color="auto"/>
        <w:bottom w:val="none" w:sz="0" w:space="0" w:color="auto"/>
        <w:right w:val="none" w:sz="0" w:space="0" w:color="auto"/>
      </w:divBdr>
    </w:div>
    <w:div w:id="1412434975">
      <w:bodyDiv w:val="1"/>
      <w:marLeft w:val="0"/>
      <w:marRight w:val="0"/>
      <w:marTop w:val="0"/>
      <w:marBottom w:val="0"/>
      <w:divBdr>
        <w:top w:val="none" w:sz="0" w:space="0" w:color="auto"/>
        <w:left w:val="none" w:sz="0" w:space="0" w:color="auto"/>
        <w:bottom w:val="none" w:sz="0" w:space="0" w:color="auto"/>
        <w:right w:val="none" w:sz="0" w:space="0" w:color="auto"/>
      </w:divBdr>
    </w:div>
    <w:div w:id="1492257075">
      <w:bodyDiv w:val="1"/>
      <w:marLeft w:val="0"/>
      <w:marRight w:val="0"/>
      <w:marTop w:val="0"/>
      <w:marBottom w:val="0"/>
      <w:divBdr>
        <w:top w:val="none" w:sz="0" w:space="0" w:color="auto"/>
        <w:left w:val="none" w:sz="0" w:space="0" w:color="auto"/>
        <w:bottom w:val="none" w:sz="0" w:space="0" w:color="auto"/>
        <w:right w:val="none" w:sz="0" w:space="0" w:color="auto"/>
      </w:divBdr>
    </w:div>
    <w:div w:id="1604191601">
      <w:bodyDiv w:val="1"/>
      <w:marLeft w:val="0"/>
      <w:marRight w:val="0"/>
      <w:marTop w:val="0"/>
      <w:marBottom w:val="0"/>
      <w:divBdr>
        <w:top w:val="none" w:sz="0" w:space="0" w:color="auto"/>
        <w:left w:val="none" w:sz="0" w:space="0" w:color="auto"/>
        <w:bottom w:val="none" w:sz="0" w:space="0" w:color="auto"/>
        <w:right w:val="none" w:sz="0" w:space="0" w:color="auto"/>
      </w:divBdr>
    </w:div>
    <w:div w:id="1743327577">
      <w:bodyDiv w:val="1"/>
      <w:marLeft w:val="0"/>
      <w:marRight w:val="0"/>
      <w:marTop w:val="0"/>
      <w:marBottom w:val="0"/>
      <w:divBdr>
        <w:top w:val="none" w:sz="0" w:space="0" w:color="auto"/>
        <w:left w:val="none" w:sz="0" w:space="0" w:color="auto"/>
        <w:bottom w:val="none" w:sz="0" w:space="0" w:color="auto"/>
        <w:right w:val="none" w:sz="0" w:space="0" w:color="auto"/>
      </w:divBdr>
    </w:div>
    <w:div w:id="1780758137">
      <w:bodyDiv w:val="1"/>
      <w:marLeft w:val="0"/>
      <w:marRight w:val="0"/>
      <w:marTop w:val="0"/>
      <w:marBottom w:val="0"/>
      <w:divBdr>
        <w:top w:val="none" w:sz="0" w:space="0" w:color="auto"/>
        <w:left w:val="none" w:sz="0" w:space="0" w:color="auto"/>
        <w:bottom w:val="none" w:sz="0" w:space="0" w:color="auto"/>
        <w:right w:val="none" w:sz="0" w:space="0" w:color="auto"/>
      </w:divBdr>
    </w:div>
    <w:div w:id="1968856217">
      <w:bodyDiv w:val="1"/>
      <w:marLeft w:val="0"/>
      <w:marRight w:val="0"/>
      <w:marTop w:val="0"/>
      <w:marBottom w:val="0"/>
      <w:divBdr>
        <w:top w:val="none" w:sz="0" w:space="0" w:color="auto"/>
        <w:left w:val="none" w:sz="0" w:space="0" w:color="auto"/>
        <w:bottom w:val="none" w:sz="0" w:space="0" w:color="auto"/>
        <w:right w:val="none" w:sz="0" w:space="0" w:color="auto"/>
      </w:divBdr>
      <w:divsChild>
        <w:div w:id="442461224">
          <w:marLeft w:val="0"/>
          <w:marRight w:val="0"/>
          <w:marTop w:val="0"/>
          <w:marBottom w:val="0"/>
          <w:divBdr>
            <w:top w:val="none" w:sz="0" w:space="0" w:color="auto"/>
            <w:left w:val="none" w:sz="0" w:space="0" w:color="auto"/>
            <w:bottom w:val="none" w:sz="0" w:space="0" w:color="auto"/>
            <w:right w:val="none" w:sz="0" w:space="0" w:color="auto"/>
          </w:divBdr>
          <w:divsChild>
            <w:div w:id="1400012266">
              <w:marLeft w:val="0"/>
              <w:marRight w:val="0"/>
              <w:marTop w:val="0"/>
              <w:marBottom w:val="0"/>
              <w:divBdr>
                <w:top w:val="none" w:sz="0" w:space="0" w:color="auto"/>
                <w:left w:val="none" w:sz="0" w:space="0" w:color="auto"/>
                <w:bottom w:val="none" w:sz="0" w:space="0" w:color="auto"/>
                <w:right w:val="none" w:sz="0" w:space="0" w:color="auto"/>
              </w:divBdr>
              <w:divsChild>
                <w:div w:id="1963879157">
                  <w:marLeft w:val="0"/>
                  <w:marRight w:val="0"/>
                  <w:marTop w:val="0"/>
                  <w:marBottom w:val="0"/>
                  <w:divBdr>
                    <w:top w:val="none" w:sz="0" w:space="0" w:color="auto"/>
                    <w:left w:val="none" w:sz="0" w:space="0" w:color="auto"/>
                    <w:bottom w:val="none" w:sz="0" w:space="0" w:color="auto"/>
                    <w:right w:val="none" w:sz="0" w:space="0" w:color="auto"/>
                  </w:divBdr>
                  <w:divsChild>
                    <w:div w:id="5541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17569">
      <w:bodyDiv w:val="1"/>
      <w:marLeft w:val="0"/>
      <w:marRight w:val="0"/>
      <w:marTop w:val="0"/>
      <w:marBottom w:val="0"/>
      <w:divBdr>
        <w:top w:val="none" w:sz="0" w:space="0" w:color="auto"/>
        <w:left w:val="none" w:sz="0" w:space="0" w:color="auto"/>
        <w:bottom w:val="none" w:sz="0" w:space="0" w:color="auto"/>
        <w:right w:val="none" w:sz="0" w:space="0" w:color="auto"/>
      </w:divBdr>
    </w:div>
    <w:div w:id="207377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spro.gov.co/observatorios/oncalidaddiscapacidad/Paginas/Default.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traloria.gov.co/resultados/informes/informes-constitucional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ondiscapacidad.minsalud.gov.co/Paginas/Home.aspx" TargetMode="External"/><Relationship Id="rId4" Type="http://schemas.openxmlformats.org/officeDocument/2006/relationships/settings" Target="settings.xml"/><Relationship Id="rId9" Type="http://schemas.openxmlformats.org/officeDocument/2006/relationships/hyperlink" Target="https://www.sinchi.org.co/publicacione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9E26E-BCB1-4FA5-B973-0262C8C13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15</Pages>
  <Words>3879</Words>
  <Characters>21340</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Eduardo Chaparro Diaz</dc:creator>
  <cp:keywords/>
  <dc:description/>
  <cp:lastModifiedBy>Julian Eduardo Chaparro Diaz</cp:lastModifiedBy>
  <cp:revision>9</cp:revision>
  <cp:lastPrinted>2024-12-03T19:39:00Z</cp:lastPrinted>
  <dcterms:created xsi:type="dcterms:W3CDTF">2024-11-19T20:34:00Z</dcterms:created>
  <dcterms:modified xsi:type="dcterms:W3CDTF">2024-12-03T20:19:00Z</dcterms:modified>
</cp:coreProperties>
</file>