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3.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4.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2E4" w:rsidRDefault="007F72E4" w:rsidP="007F72E4">
      <w:pPr>
        <w:jc w:val="center"/>
        <w:rPr>
          <w:rFonts w:ascii="Arial" w:hAnsi="Arial" w:cs="Arial"/>
          <w:b/>
          <w:color w:val="000000"/>
          <w:lang w:val="es-ES_tradnl" w:eastAsia="es-CO"/>
        </w:rPr>
      </w:pPr>
      <w:bookmarkStart w:id="0" w:name="_GoBack"/>
      <w:bookmarkEnd w:id="0"/>
      <w:r>
        <w:rPr>
          <w:rFonts w:ascii="Arial" w:hAnsi="Arial" w:cs="Arial"/>
          <w:b/>
          <w:color w:val="000000"/>
          <w:lang w:val="es-ES_tradnl" w:eastAsia="es-CO"/>
        </w:rPr>
        <w:t>Proyecto de L</w:t>
      </w:r>
      <w:r w:rsidRPr="0072225E">
        <w:rPr>
          <w:rFonts w:ascii="Arial" w:hAnsi="Arial" w:cs="Arial"/>
          <w:b/>
          <w:color w:val="000000"/>
          <w:lang w:val="es-ES_tradnl" w:eastAsia="es-CO"/>
        </w:rPr>
        <w:t>ey</w:t>
      </w:r>
      <w:r>
        <w:rPr>
          <w:rFonts w:ascii="Arial" w:hAnsi="Arial" w:cs="Arial"/>
          <w:b/>
          <w:color w:val="000000"/>
          <w:lang w:val="es-ES_tradnl" w:eastAsia="es-CO"/>
        </w:rPr>
        <w:t xml:space="preserve"> No.       De 2017</w:t>
      </w:r>
    </w:p>
    <w:p w:rsidR="007F72E4" w:rsidRDefault="007F72E4" w:rsidP="007F72E4">
      <w:pPr>
        <w:jc w:val="center"/>
        <w:rPr>
          <w:rFonts w:ascii="Arial" w:hAnsi="Arial" w:cs="Arial"/>
          <w:b/>
          <w:color w:val="000000"/>
          <w:lang w:val="es-ES_tradnl" w:eastAsia="es-CO"/>
        </w:rPr>
      </w:pPr>
    </w:p>
    <w:p w:rsidR="007F72E4" w:rsidRDefault="007F72E4" w:rsidP="007F72E4">
      <w:pPr>
        <w:jc w:val="center"/>
        <w:rPr>
          <w:rFonts w:ascii="Arial" w:hAnsi="Arial" w:cs="Arial"/>
          <w:b/>
          <w:color w:val="000000"/>
          <w:lang w:val="es-ES_tradnl" w:eastAsia="es-CO"/>
        </w:rPr>
      </w:pPr>
    </w:p>
    <w:p w:rsidR="007F72E4" w:rsidRDefault="007F72E4" w:rsidP="007F72E4">
      <w:pPr>
        <w:jc w:val="center"/>
        <w:rPr>
          <w:rFonts w:ascii="Arial" w:hAnsi="Arial" w:cs="Arial"/>
          <w:b/>
          <w:color w:val="000000"/>
          <w:lang w:val="es-ES_tradnl" w:eastAsia="es-CO"/>
        </w:rPr>
      </w:pPr>
      <w:r>
        <w:rPr>
          <w:rFonts w:ascii="Arial" w:hAnsi="Arial" w:cs="Arial"/>
          <w:b/>
          <w:color w:val="000000"/>
          <w:lang w:val="es-ES_tradnl" w:eastAsia="es-CO"/>
        </w:rPr>
        <w:t xml:space="preserve">“Por la cual se establece una medida transitoria para la continuidad del servicio de educación superior del país” </w:t>
      </w:r>
    </w:p>
    <w:p w:rsidR="007F72E4" w:rsidRDefault="007F72E4" w:rsidP="007F72E4">
      <w:pPr>
        <w:jc w:val="center"/>
        <w:rPr>
          <w:rFonts w:ascii="Arial" w:hAnsi="Arial" w:cs="Arial"/>
          <w:b/>
          <w:color w:val="000000"/>
          <w:lang w:val="es-ES_tradnl" w:eastAsia="es-CO"/>
        </w:rPr>
      </w:pPr>
    </w:p>
    <w:p w:rsidR="007706FA" w:rsidRDefault="007706FA" w:rsidP="0029656C">
      <w:pPr>
        <w:jc w:val="center"/>
        <w:rPr>
          <w:rFonts w:ascii="Arial" w:hAnsi="Arial" w:cs="Arial"/>
          <w:b/>
          <w:color w:val="000000"/>
          <w:lang w:val="es-ES_tradnl" w:eastAsia="es-CO"/>
        </w:rPr>
      </w:pPr>
    </w:p>
    <w:p w:rsidR="007706FA" w:rsidRDefault="007706FA" w:rsidP="0029656C">
      <w:pPr>
        <w:jc w:val="center"/>
        <w:rPr>
          <w:rFonts w:ascii="Arial" w:hAnsi="Arial" w:cs="Arial"/>
          <w:b/>
          <w:color w:val="000000"/>
          <w:lang w:val="es-ES_tradnl" w:eastAsia="es-CO"/>
        </w:rPr>
      </w:pPr>
      <w:r>
        <w:rPr>
          <w:rFonts w:ascii="Arial" w:hAnsi="Arial" w:cs="Arial"/>
          <w:b/>
          <w:color w:val="000000"/>
          <w:lang w:val="es-ES_tradnl" w:eastAsia="es-CO"/>
        </w:rPr>
        <w:t xml:space="preserve">EL CONGRESO DE LA REPÚBLICA </w:t>
      </w:r>
    </w:p>
    <w:p w:rsidR="005740A0" w:rsidRDefault="005740A0" w:rsidP="0029656C">
      <w:pPr>
        <w:jc w:val="center"/>
        <w:rPr>
          <w:rFonts w:ascii="Arial" w:hAnsi="Arial" w:cs="Arial"/>
          <w:b/>
          <w:color w:val="000000"/>
          <w:lang w:val="es-ES_tradnl" w:eastAsia="es-CO"/>
        </w:rPr>
      </w:pPr>
    </w:p>
    <w:p w:rsidR="007706FA" w:rsidRDefault="007706FA" w:rsidP="0029656C">
      <w:pPr>
        <w:jc w:val="center"/>
        <w:rPr>
          <w:rFonts w:ascii="Arial" w:hAnsi="Arial" w:cs="Arial"/>
          <w:b/>
          <w:color w:val="000000"/>
          <w:lang w:val="es-ES_tradnl" w:eastAsia="es-CO"/>
        </w:rPr>
      </w:pPr>
      <w:r>
        <w:rPr>
          <w:rFonts w:ascii="Arial" w:hAnsi="Arial" w:cs="Arial"/>
          <w:b/>
          <w:color w:val="000000"/>
          <w:lang w:val="es-ES_tradnl" w:eastAsia="es-CO"/>
        </w:rPr>
        <w:t xml:space="preserve">DECRETA </w:t>
      </w:r>
    </w:p>
    <w:p w:rsidR="007706FA" w:rsidRDefault="007706FA" w:rsidP="0029656C">
      <w:pPr>
        <w:jc w:val="center"/>
        <w:rPr>
          <w:rFonts w:ascii="Arial" w:hAnsi="Arial" w:cs="Arial"/>
          <w:b/>
          <w:color w:val="000000"/>
          <w:lang w:val="es-ES_tradnl" w:eastAsia="es-CO"/>
        </w:rPr>
      </w:pPr>
    </w:p>
    <w:p w:rsidR="00865716" w:rsidRPr="0072225E" w:rsidRDefault="00865716" w:rsidP="0029656C">
      <w:pPr>
        <w:textAlignment w:val="center"/>
        <w:rPr>
          <w:rFonts w:ascii="Arial" w:hAnsi="Arial" w:cs="Arial"/>
          <w:color w:val="000000"/>
          <w:lang w:eastAsia="es-CO"/>
        </w:rPr>
      </w:pPr>
    </w:p>
    <w:p w:rsidR="00667728" w:rsidRPr="00514433" w:rsidRDefault="00C05D11" w:rsidP="0029656C">
      <w:pPr>
        <w:autoSpaceDE w:val="0"/>
        <w:autoSpaceDN w:val="0"/>
        <w:adjustRightInd w:val="0"/>
        <w:jc w:val="both"/>
        <w:rPr>
          <w:rFonts w:ascii="Arial" w:hAnsi="Arial" w:cs="Arial"/>
          <w:color w:val="000000"/>
          <w:lang w:val="es-ES_tradnl" w:eastAsia="es-CO"/>
        </w:rPr>
      </w:pPr>
      <w:r w:rsidRPr="00514433">
        <w:rPr>
          <w:rFonts w:ascii="Arial" w:hAnsi="Arial" w:cs="Arial"/>
          <w:b/>
          <w:color w:val="000000"/>
          <w:lang w:val="es-ES_tradnl" w:eastAsia="es-CO"/>
        </w:rPr>
        <w:t xml:space="preserve">Artículo </w:t>
      </w:r>
      <w:r w:rsidR="00E9291E" w:rsidRPr="00514433">
        <w:rPr>
          <w:rFonts w:ascii="Arial" w:hAnsi="Arial" w:cs="Arial"/>
          <w:b/>
          <w:color w:val="000000"/>
          <w:lang w:val="es-ES_tradnl" w:eastAsia="es-CO"/>
        </w:rPr>
        <w:t>1</w:t>
      </w:r>
      <w:r w:rsidR="00667728" w:rsidRPr="00514433">
        <w:rPr>
          <w:rFonts w:ascii="Arial" w:hAnsi="Arial" w:cs="Arial"/>
          <w:b/>
          <w:color w:val="000000"/>
          <w:lang w:val="es-ES_tradnl" w:eastAsia="es-CO"/>
        </w:rPr>
        <w:t xml:space="preserve"> </w:t>
      </w:r>
      <w:r w:rsidR="00667728" w:rsidRPr="00514433">
        <w:rPr>
          <w:rFonts w:ascii="Arial" w:hAnsi="Arial" w:cs="Arial"/>
          <w:color w:val="000000"/>
          <w:lang w:val="es-ES_tradnl" w:eastAsia="es-CO"/>
        </w:rPr>
        <w:t>Adiciónese un parágrafo transitorio al artículo 61 de la Ley 1753 de 2015, el cual quedará así:</w:t>
      </w:r>
    </w:p>
    <w:p w:rsidR="00504F3E" w:rsidRPr="00514433" w:rsidRDefault="00504F3E" w:rsidP="0029656C">
      <w:pPr>
        <w:jc w:val="both"/>
        <w:textAlignment w:val="center"/>
        <w:rPr>
          <w:rFonts w:ascii="Arial" w:hAnsi="Arial" w:cs="Arial"/>
          <w:i/>
          <w:color w:val="000000"/>
          <w:lang w:val="es-ES_tradnl" w:eastAsia="es-CO"/>
        </w:rPr>
      </w:pPr>
    </w:p>
    <w:p w:rsidR="00865716" w:rsidRPr="00514433" w:rsidRDefault="00865716" w:rsidP="0029656C">
      <w:pPr>
        <w:jc w:val="both"/>
        <w:textAlignment w:val="center"/>
        <w:rPr>
          <w:rFonts w:ascii="Arial" w:hAnsi="Arial" w:cs="Arial"/>
          <w:color w:val="000000"/>
          <w:lang w:val="es-ES_tradnl" w:eastAsia="es-CO"/>
        </w:rPr>
      </w:pPr>
      <w:r w:rsidRPr="00514433">
        <w:rPr>
          <w:rFonts w:ascii="Arial" w:hAnsi="Arial" w:cs="Arial"/>
          <w:b/>
          <w:color w:val="000000"/>
          <w:lang w:val="es-ES_tradnl" w:eastAsia="es-CO"/>
        </w:rPr>
        <w:t>Parágrafo transitorio</w:t>
      </w:r>
      <w:r w:rsidRPr="00514433">
        <w:rPr>
          <w:rFonts w:ascii="Arial" w:hAnsi="Arial" w:cs="Arial"/>
          <w:color w:val="000000"/>
          <w:lang w:val="es-ES_tradnl" w:eastAsia="es-CO"/>
        </w:rPr>
        <w:t xml:space="preserve">. </w:t>
      </w:r>
      <w:r w:rsidR="003A2EC2" w:rsidRPr="00514433">
        <w:rPr>
          <w:rFonts w:ascii="Arial" w:hAnsi="Arial" w:cs="Arial"/>
          <w:color w:val="000000"/>
          <w:lang w:val="es-ES_tradnl" w:eastAsia="es-CO"/>
        </w:rPr>
        <w:t>Con el fin de garantizar el acceso y la cobertura a la educació</w:t>
      </w:r>
      <w:r w:rsidR="00755F39" w:rsidRPr="00514433">
        <w:rPr>
          <w:rFonts w:ascii="Arial" w:hAnsi="Arial" w:cs="Arial"/>
          <w:color w:val="000000"/>
          <w:lang w:val="es-ES_tradnl" w:eastAsia="es-CO"/>
        </w:rPr>
        <w:t xml:space="preserve">n </w:t>
      </w:r>
      <w:r w:rsidR="007706FA" w:rsidRPr="00514433">
        <w:rPr>
          <w:rFonts w:ascii="Arial" w:hAnsi="Arial" w:cs="Arial"/>
          <w:color w:val="000000"/>
          <w:lang w:val="es-ES_tradnl" w:eastAsia="es-CO"/>
        </w:rPr>
        <w:t xml:space="preserve">de </w:t>
      </w:r>
      <w:r w:rsidR="00CF05D5" w:rsidRPr="00514433">
        <w:rPr>
          <w:rFonts w:ascii="Arial" w:hAnsi="Arial" w:cs="Arial"/>
          <w:color w:val="000000"/>
          <w:lang w:val="es-ES_tradnl" w:eastAsia="es-CO"/>
        </w:rPr>
        <w:t xml:space="preserve">toda la </w:t>
      </w:r>
      <w:r w:rsidR="007706FA" w:rsidRPr="00514433">
        <w:rPr>
          <w:rFonts w:ascii="Arial" w:hAnsi="Arial" w:cs="Arial"/>
          <w:color w:val="000000"/>
          <w:lang w:val="es-ES_tradnl" w:eastAsia="es-CO"/>
        </w:rPr>
        <w:t>ciudadanía</w:t>
      </w:r>
      <w:r w:rsidR="003A2EC2" w:rsidRPr="00514433">
        <w:rPr>
          <w:rFonts w:ascii="Arial" w:hAnsi="Arial" w:cs="Arial"/>
          <w:color w:val="000000"/>
          <w:lang w:val="es-ES_tradnl" w:eastAsia="es-CO"/>
        </w:rPr>
        <w:t xml:space="preserve">, </w:t>
      </w:r>
      <w:r w:rsidRPr="00514433">
        <w:rPr>
          <w:rFonts w:ascii="Arial" w:hAnsi="Arial" w:cs="Arial"/>
          <w:color w:val="000000"/>
          <w:lang w:val="es-ES_tradnl" w:eastAsia="es-CO"/>
        </w:rPr>
        <w:t>se podrán seguir otorgando</w:t>
      </w:r>
      <w:r w:rsidR="003A2EC2" w:rsidRPr="00514433">
        <w:rPr>
          <w:rFonts w:ascii="Arial" w:hAnsi="Arial" w:cs="Arial"/>
          <w:color w:val="000000"/>
          <w:lang w:val="es-ES_tradnl" w:eastAsia="es-CO"/>
        </w:rPr>
        <w:t xml:space="preserve"> becas</w:t>
      </w:r>
      <w:r w:rsidR="002B0EA7" w:rsidRPr="00514433">
        <w:rPr>
          <w:rFonts w:ascii="Arial" w:hAnsi="Arial" w:cs="Arial"/>
          <w:color w:val="000000"/>
          <w:lang w:val="es-ES_tradnl" w:eastAsia="es-CO"/>
        </w:rPr>
        <w:t xml:space="preserve"> y créditos </w:t>
      </w:r>
      <w:r w:rsidRPr="00514433">
        <w:rPr>
          <w:rFonts w:ascii="Arial" w:hAnsi="Arial" w:cs="Arial"/>
          <w:color w:val="000000"/>
          <w:lang w:val="es-ES_tradnl" w:eastAsia="es-CO"/>
        </w:rPr>
        <w:t xml:space="preserve">para cursar programas </w:t>
      </w:r>
      <w:r w:rsidR="00755F39" w:rsidRPr="00514433">
        <w:rPr>
          <w:rFonts w:ascii="Arial" w:hAnsi="Arial" w:cs="Arial"/>
          <w:color w:val="000000"/>
          <w:lang w:val="es-ES_tradnl" w:eastAsia="es-CO"/>
        </w:rPr>
        <w:t xml:space="preserve">académicos de educación superior </w:t>
      </w:r>
      <w:r w:rsidR="002B0EA7" w:rsidRPr="00514433">
        <w:rPr>
          <w:rFonts w:ascii="Arial" w:hAnsi="Arial" w:cs="Arial"/>
          <w:color w:val="000000"/>
          <w:lang w:val="es-ES_tradnl" w:eastAsia="es-CO"/>
        </w:rPr>
        <w:t xml:space="preserve">que no cuenten con acreditación o en su defecto programas en instituciones de educación </w:t>
      </w:r>
      <w:r w:rsidR="00755F39" w:rsidRPr="00514433">
        <w:rPr>
          <w:rFonts w:ascii="Arial" w:hAnsi="Arial" w:cs="Arial"/>
          <w:color w:val="000000"/>
          <w:lang w:val="es-ES_tradnl" w:eastAsia="es-CO"/>
        </w:rPr>
        <w:t xml:space="preserve">superior </w:t>
      </w:r>
      <w:r w:rsidR="002B0EA7" w:rsidRPr="00514433">
        <w:rPr>
          <w:rFonts w:ascii="Arial" w:hAnsi="Arial" w:cs="Arial"/>
          <w:color w:val="000000"/>
          <w:lang w:val="es-ES_tradnl" w:eastAsia="es-CO"/>
        </w:rPr>
        <w:t>no acreditadas institucionalmente</w:t>
      </w:r>
      <w:r w:rsidRPr="00514433">
        <w:rPr>
          <w:rFonts w:ascii="Arial" w:hAnsi="Arial" w:cs="Arial"/>
          <w:color w:val="000000"/>
          <w:lang w:val="es-ES_tradnl" w:eastAsia="es-CO"/>
        </w:rPr>
        <w:t xml:space="preserve">. </w:t>
      </w:r>
      <w:r w:rsidR="007706FA" w:rsidRPr="00514433">
        <w:rPr>
          <w:rFonts w:ascii="Arial" w:hAnsi="Arial" w:cs="Arial"/>
          <w:color w:val="000000"/>
          <w:lang w:val="es-ES_tradnl" w:eastAsia="es-CO"/>
        </w:rPr>
        <w:t xml:space="preserve">Después de los dos (2) años siguientes contados a partir de la </w:t>
      </w:r>
      <w:r w:rsidR="00E9291E" w:rsidRPr="00514433">
        <w:rPr>
          <w:rFonts w:ascii="Arial" w:hAnsi="Arial" w:cs="Arial"/>
          <w:color w:val="000000"/>
          <w:lang w:val="es-ES_tradnl" w:eastAsia="es-CO"/>
        </w:rPr>
        <w:t>entrada en vigencia de este parágrafo</w:t>
      </w:r>
      <w:r w:rsidR="007706FA" w:rsidRPr="00514433">
        <w:rPr>
          <w:rFonts w:ascii="Arial" w:hAnsi="Arial" w:cs="Arial"/>
          <w:color w:val="000000"/>
          <w:lang w:val="es-ES_tradnl" w:eastAsia="es-CO"/>
        </w:rPr>
        <w:t xml:space="preserve">, se procederá de conformidad con lo dispuesto en el inciso 8 del presente artículo.  </w:t>
      </w:r>
    </w:p>
    <w:p w:rsidR="00865716" w:rsidRPr="00514433" w:rsidRDefault="00865716" w:rsidP="0029656C">
      <w:pPr>
        <w:jc w:val="both"/>
        <w:textAlignment w:val="center"/>
        <w:rPr>
          <w:rFonts w:ascii="Arial" w:hAnsi="Arial" w:cs="Arial"/>
          <w:color w:val="000000"/>
          <w:lang w:eastAsia="es-CO"/>
        </w:rPr>
      </w:pPr>
    </w:p>
    <w:p w:rsidR="00865716" w:rsidRPr="00514433" w:rsidRDefault="00865716" w:rsidP="0029656C">
      <w:pPr>
        <w:jc w:val="both"/>
        <w:textAlignment w:val="center"/>
        <w:rPr>
          <w:rFonts w:ascii="Arial" w:hAnsi="Arial" w:cs="Arial"/>
          <w:color w:val="000000"/>
          <w:lang w:val="es-ES_tradnl" w:eastAsia="es-CO"/>
        </w:rPr>
      </w:pPr>
      <w:r w:rsidRPr="00514433">
        <w:rPr>
          <w:rFonts w:ascii="Arial" w:hAnsi="Arial" w:cs="Arial"/>
          <w:b/>
          <w:color w:val="000000"/>
          <w:lang w:val="es-ES_tradnl" w:eastAsia="es-CO"/>
        </w:rPr>
        <w:t xml:space="preserve">Artículo </w:t>
      </w:r>
      <w:r w:rsidR="00191CEB" w:rsidRPr="00514433">
        <w:rPr>
          <w:rFonts w:ascii="Arial" w:hAnsi="Arial" w:cs="Arial"/>
          <w:b/>
          <w:color w:val="000000"/>
          <w:lang w:val="es-ES_tradnl" w:eastAsia="es-CO"/>
        </w:rPr>
        <w:t>3</w:t>
      </w:r>
      <w:r w:rsidRPr="00514433">
        <w:rPr>
          <w:rFonts w:ascii="Arial" w:hAnsi="Arial" w:cs="Arial"/>
          <w:b/>
          <w:color w:val="000000"/>
          <w:lang w:val="es-ES_tradnl" w:eastAsia="es-CO"/>
        </w:rPr>
        <w:t>.</w:t>
      </w:r>
      <w:r w:rsidRPr="00514433">
        <w:rPr>
          <w:rFonts w:ascii="Arial" w:hAnsi="Arial" w:cs="Arial"/>
          <w:color w:val="000000"/>
          <w:lang w:val="es-ES_tradnl" w:eastAsia="es-CO"/>
        </w:rPr>
        <w:t xml:space="preserve"> </w:t>
      </w:r>
      <w:r w:rsidRPr="00514433">
        <w:rPr>
          <w:rFonts w:ascii="Arial" w:hAnsi="Arial" w:cs="Arial"/>
          <w:b/>
          <w:color w:val="000000"/>
          <w:lang w:val="es-ES_tradnl" w:eastAsia="es-CO"/>
        </w:rPr>
        <w:t>Vigencia</w:t>
      </w:r>
      <w:r w:rsidRPr="00514433">
        <w:rPr>
          <w:rFonts w:ascii="Arial" w:hAnsi="Arial" w:cs="Arial"/>
          <w:color w:val="000000"/>
          <w:lang w:val="es-ES_tradnl" w:eastAsia="es-CO"/>
        </w:rPr>
        <w:t xml:space="preserve">. La presente ley rige a partir de la fecha de su </w:t>
      </w:r>
      <w:r w:rsidR="00060820" w:rsidRPr="00514433">
        <w:rPr>
          <w:rFonts w:ascii="Arial" w:hAnsi="Arial" w:cs="Arial"/>
          <w:color w:val="000000"/>
          <w:lang w:val="es-ES_tradnl" w:eastAsia="es-CO"/>
        </w:rPr>
        <w:t>promulgación</w:t>
      </w:r>
      <w:r w:rsidR="003A2EC2" w:rsidRPr="00514433">
        <w:rPr>
          <w:rFonts w:ascii="Arial" w:hAnsi="Arial" w:cs="Arial"/>
          <w:color w:val="000000"/>
          <w:lang w:val="es-ES_tradnl" w:eastAsia="es-CO"/>
        </w:rPr>
        <w:t>.</w:t>
      </w:r>
    </w:p>
    <w:p w:rsidR="008832B4" w:rsidRPr="00514433" w:rsidRDefault="008832B4" w:rsidP="0029656C">
      <w:pPr>
        <w:jc w:val="both"/>
        <w:textAlignment w:val="center"/>
        <w:rPr>
          <w:rFonts w:ascii="Arial" w:hAnsi="Arial" w:cs="Arial"/>
          <w:color w:val="000000"/>
          <w:lang w:val="es-ES_tradnl" w:eastAsia="es-CO"/>
        </w:rPr>
      </w:pPr>
    </w:p>
    <w:p w:rsidR="00865716" w:rsidRPr="00514433" w:rsidRDefault="00865716" w:rsidP="0029656C">
      <w:pPr>
        <w:jc w:val="both"/>
        <w:textAlignment w:val="center"/>
        <w:rPr>
          <w:rFonts w:ascii="Arial" w:hAnsi="Arial" w:cs="Arial"/>
          <w:i/>
          <w:color w:val="000000"/>
          <w:lang w:val="es-ES_tradnl" w:eastAsia="es-CO"/>
        </w:rPr>
      </w:pPr>
    </w:p>
    <w:p w:rsidR="00514433" w:rsidRDefault="00514433" w:rsidP="00514433">
      <w:pPr>
        <w:textAlignment w:val="center"/>
        <w:rPr>
          <w:rFonts w:ascii="Arial" w:hAnsi="Arial" w:cs="Arial"/>
          <w:bCs/>
          <w:color w:val="000000"/>
          <w:lang w:val="es-ES_tradnl" w:eastAsia="es-CO"/>
        </w:rPr>
      </w:pPr>
    </w:p>
    <w:p w:rsidR="00514433" w:rsidRDefault="00514433" w:rsidP="00514433">
      <w:pPr>
        <w:textAlignment w:val="center"/>
        <w:rPr>
          <w:rFonts w:ascii="Arial" w:hAnsi="Arial" w:cs="Arial"/>
          <w:bCs/>
          <w:color w:val="000000"/>
          <w:lang w:val="es-ES_tradnl" w:eastAsia="es-CO"/>
        </w:rPr>
      </w:pPr>
    </w:p>
    <w:p w:rsidR="00514433" w:rsidRDefault="00514433" w:rsidP="00514433">
      <w:pPr>
        <w:textAlignment w:val="center"/>
        <w:rPr>
          <w:rFonts w:ascii="Arial" w:hAnsi="Arial" w:cs="Arial"/>
          <w:bCs/>
          <w:color w:val="000000"/>
          <w:lang w:val="es-ES_tradnl" w:eastAsia="es-CO"/>
        </w:rPr>
      </w:pPr>
    </w:p>
    <w:p w:rsidR="002B0EA7" w:rsidRPr="00514433" w:rsidRDefault="00514433" w:rsidP="00514433">
      <w:pPr>
        <w:textAlignment w:val="center"/>
        <w:rPr>
          <w:rFonts w:ascii="Arial" w:hAnsi="Arial" w:cs="Arial"/>
          <w:bCs/>
          <w:color w:val="000000"/>
          <w:lang w:val="es-ES_tradnl" w:eastAsia="es-CO"/>
        </w:rPr>
      </w:pPr>
      <w:r w:rsidRPr="00514433">
        <w:rPr>
          <w:rFonts w:ascii="Arial" w:hAnsi="Arial" w:cs="Arial"/>
          <w:bCs/>
          <w:color w:val="000000"/>
          <w:lang w:val="es-ES_tradnl" w:eastAsia="es-CO"/>
        </w:rPr>
        <w:t>Cordialmente,</w:t>
      </w:r>
    </w:p>
    <w:p w:rsidR="00514433" w:rsidRPr="00514433" w:rsidRDefault="00514433" w:rsidP="00514433">
      <w:pPr>
        <w:textAlignment w:val="center"/>
        <w:rPr>
          <w:rFonts w:ascii="Arial" w:hAnsi="Arial" w:cs="Arial"/>
          <w:b/>
          <w:bCs/>
          <w:color w:val="000000"/>
          <w:lang w:val="es-ES_tradnl" w:eastAsia="es-CO"/>
        </w:rPr>
      </w:pPr>
    </w:p>
    <w:p w:rsidR="00514433" w:rsidRDefault="00514433" w:rsidP="0029656C">
      <w:pPr>
        <w:rPr>
          <w:rFonts w:ascii="Arial" w:hAnsi="Arial" w:cs="Arial"/>
          <w:b/>
          <w:bCs/>
          <w:color w:val="000000"/>
          <w:lang w:val="es-ES_tradnl" w:eastAsia="es-CO"/>
        </w:rPr>
      </w:pPr>
    </w:p>
    <w:p w:rsidR="00514433" w:rsidRDefault="00514433" w:rsidP="0029656C">
      <w:pPr>
        <w:rPr>
          <w:rFonts w:ascii="Arial" w:hAnsi="Arial" w:cs="Arial"/>
          <w:b/>
          <w:bCs/>
          <w:color w:val="000000"/>
          <w:lang w:val="es-ES_tradnl" w:eastAsia="es-CO"/>
        </w:rPr>
      </w:pPr>
    </w:p>
    <w:p w:rsidR="00514433" w:rsidRDefault="00514433" w:rsidP="0029656C">
      <w:pPr>
        <w:rPr>
          <w:rFonts w:ascii="Arial" w:hAnsi="Arial" w:cs="Arial"/>
          <w:b/>
          <w:bCs/>
          <w:color w:val="000000"/>
          <w:lang w:val="es-ES_tradnl" w:eastAsia="es-CO"/>
        </w:rPr>
      </w:pPr>
    </w:p>
    <w:p w:rsidR="00514433" w:rsidRDefault="00514433" w:rsidP="0029656C">
      <w:pPr>
        <w:rPr>
          <w:rFonts w:ascii="Arial" w:hAnsi="Arial" w:cs="Arial"/>
          <w:b/>
          <w:bCs/>
          <w:color w:val="000000"/>
          <w:lang w:val="es-ES_tradnl" w:eastAsia="es-CO"/>
        </w:rPr>
      </w:pPr>
      <w:r>
        <w:rPr>
          <w:rFonts w:ascii="Arial" w:hAnsi="Arial" w:cs="Arial"/>
          <w:b/>
          <w:bCs/>
          <w:color w:val="000000"/>
          <w:lang w:val="es-ES_tradnl" w:eastAsia="es-CO"/>
        </w:rPr>
        <w:t>MARTHA PATRICIA VILLALBA HODWALKER</w:t>
      </w:r>
    </w:p>
    <w:p w:rsidR="002B0EA7" w:rsidRPr="00514433" w:rsidRDefault="00514433" w:rsidP="0029656C">
      <w:pPr>
        <w:rPr>
          <w:rFonts w:ascii="Arial" w:hAnsi="Arial" w:cs="Arial"/>
          <w:bCs/>
          <w:color w:val="000000"/>
          <w:lang w:val="es-ES_tradnl" w:eastAsia="es-CO"/>
        </w:rPr>
      </w:pPr>
      <w:r w:rsidRPr="00514433">
        <w:rPr>
          <w:rFonts w:ascii="Arial" w:hAnsi="Arial" w:cs="Arial"/>
          <w:bCs/>
          <w:color w:val="000000"/>
          <w:lang w:val="es-ES_tradnl" w:eastAsia="es-CO"/>
        </w:rPr>
        <w:t>Representante a la Cámara</w:t>
      </w:r>
      <w:r w:rsidR="002B0EA7" w:rsidRPr="00514433">
        <w:rPr>
          <w:rFonts w:ascii="Arial" w:hAnsi="Arial" w:cs="Arial"/>
          <w:bCs/>
          <w:color w:val="000000"/>
          <w:lang w:val="es-ES_tradnl" w:eastAsia="es-CO"/>
        </w:rPr>
        <w:br w:type="page"/>
      </w:r>
    </w:p>
    <w:p w:rsidR="00865716" w:rsidRPr="00B06DF3" w:rsidRDefault="00865716" w:rsidP="0029656C">
      <w:pPr>
        <w:ind w:firstLine="283"/>
        <w:jc w:val="center"/>
        <w:textAlignment w:val="center"/>
        <w:rPr>
          <w:rFonts w:ascii="Arial" w:hAnsi="Arial" w:cs="Arial"/>
          <w:b/>
          <w:bCs/>
          <w:color w:val="000000"/>
          <w:lang w:val="es-ES_tradnl" w:eastAsia="es-CO"/>
        </w:rPr>
      </w:pPr>
      <w:r w:rsidRPr="00B06DF3">
        <w:rPr>
          <w:rFonts w:ascii="Arial" w:hAnsi="Arial" w:cs="Arial"/>
          <w:b/>
          <w:bCs/>
          <w:color w:val="000000"/>
          <w:lang w:val="es-ES_tradnl" w:eastAsia="es-CO"/>
        </w:rPr>
        <w:lastRenderedPageBreak/>
        <w:t>EXPOSICIÓN DE MOTIVOS</w:t>
      </w:r>
    </w:p>
    <w:p w:rsidR="00865716" w:rsidRPr="00B06DF3" w:rsidRDefault="00865716" w:rsidP="0029656C">
      <w:pPr>
        <w:ind w:firstLine="283"/>
        <w:jc w:val="center"/>
        <w:textAlignment w:val="center"/>
        <w:rPr>
          <w:rFonts w:ascii="Arial" w:hAnsi="Arial" w:cs="Arial"/>
          <w:color w:val="000000"/>
          <w:lang w:val="es-ES_tradnl" w:eastAsia="es-CO"/>
        </w:rPr>
      </w:pPr>
    </w:p>
    <w:p w:rsidR="00865716" w:rsidRPr="001B7393" w:rsidRDefault="00865716" w:rsidP="0029656C">
      <w:pPr>
        <w:jc w:val="both"/>
        <w:rPr>
          <w:rFonts w:ascii="Arial" w:hAnsi="Arial" w:cs="Arial"/>
          <w:color w:val="000000"/>
          <w:lang w:eastAsia="es-CO"/>
        </w:rPr>
      </w:pPr>
      <w:r w:rsidRPr="00B06DF3">
        <w:rPr>
          <w:rFonts w:ascii="Arial" w:hAnsi="Arial" w:cs="Arial"/>
          <w:color w:val="000000"/>
          <w:lang w:val="es-ES_tradnl" w:eastAsia="es-CO"/>
        </w:rPr>
        <w:t>El artículo 67 de la Cons</w:t>
      </w:r>
      <w:r w:rsidR="00514433">
        <w:rPr>
          <w:rFonts w:ascii="Arial" w:hAnsi="Arial" w:cs="Arial"/>
          <w:color w:val="000000"/>
          <w:lang w:val="es-ES_tradnl" w:eastAsia="es-CO"/>
        </w:rPr>
        <w:t xml:space="preserve">titución Política dispone que </w:t>
      </w:r>
      <w:r w:rsidR="00514433" w:rsidRPr="00B06DF3">
        <w:rPr>
          <w:rFonts w:ascii="Arial" w:hAnsi="Arial" w:cs="Arial"/>
          <w:i/>
          <w:color w:val="000000"/>
          <w:lang w:val="es-ES_tradnl" w:eastAsia="es-CO"/>
        </w:rPr>
        <w:t>“La</w:t>
      </w:r>
      <w:r w:rsidRPr="00B06DF3">
        <w:rPr>
          <w:rFonts w:ascii="Arial" w:hAnsi="Arial" w:cs="Arial"/>
          <w:i/>
          <w:color w:val="000000"/>
          <w:lang w:val="es-ES_tradnl" w:eastAsia="es-CO"/>
        </w:rPr>
        <w:t xml:space="preserve"> educación es un derecho de la persona y un servicio público que tiene una función social; con ella se busca el acceso al conocimiento, a la ciencia, a la técnica, y a los demás bienes y valores de la cultura. La educación formará al colombiano en el respeto a los derechos humanos, a la paz y a la democracia; y en la práctica del trabajo y la recreación, para el mejoramiento cultural, científico, tecnológico y para la protección del ambiente. El Estado, la sociedad y la familia son responsables de la educación, que será obligatoria entre los cinco y los quince años de edad y que comprenderá como mínimo, un año de preescolar y nueve de educación básica. (…) Corresponde al Estado (…) garantizar el adecuado cubrimiento del servicio y asegurar a los </w:t>
      </w:r>
      <w:r w:rsidRPr="001B7393">
        <w:rPr>
          <w:rFonts w:ascii="Arial" w:hAnsi="Arial" w:cs="Arial"/>
          <w:color w:val="000000"/>
          <w:lang w:val="es-ES_tradnl" w:eastAsia="es-CO"/>
        </w:rPr>
        <w:t>menores las condiciones necesarias para su acceso y permanencia en el sistema educativo</w:t>
      </w:r>
      <w:r w:rsidR="000C6B66" w:rsidRPr="001B7393">
        <w:rPr>
          <w:rFonts w:ascii="Arial" w:hAnsi="Arial" w:cs="Arial"/>
          <w:color w:val="000000"/>
          <w:lang w:val="es-ES_tradnl" w:eastAsia="es-CO"/>
        </w:rPr>
        <w:t xml:space="preserve"> </w:t>
      </w:r>
      <w:r w:rsidRPr="00B06DF3">
        <w:rPr>
          <w:rFonts w:ascii="Arial" w:hAnsi="Arial" w:cs="Arial"/>
          <w:color w:val="000000"/>
          <w:lang w:val="es-ES_tradnl" w:eastAsia="es-CO"/>
        </w:rPr>
        <w:t>(…)</w:t>
      </w:r>
      <w:r w:rsidR="00514433">
        <w:rPr>
          <w:rFonts w:ascii="Arial" w:hAnsi="Arial" w:cs="Arial"/>
          <w:color w:val="000000"/>
          <w:lang w:val="es-ES_tradnl" w:eastAsia="es-CO"/>
        </w:rPr>
        <w:t>”</w:t>
      </w:r>
      <w:r w:rsidR="00B72EE5">
        <w:rPr>
          <w:rFonts w:ascii="Arial" w:hAnsi="Arial" w:cs="Arial"/>
          <w:color w:val="000000"/>
          <w:lang w:val="es-ES_tradnl" w:eastAsia="es-CO"/>
        </w:rPr>
        <w:t xml:space="preserve"> </w:t>
      </w:r>
      <w:r w:rsidRPr="001B7393">
        <w:rPr>
          <w:rFonts w:ascii="Arial" w:hAnsi="Arial" w:cs="Arial"/>
          <w:color w:val="000000"/>
          <w:lang w:val="es-ES_tradnl" w:eastAsia="es-CO"/>
        </w:rPr>
        <w:t>Igualmente, el artículo 69 establece la obligación del Estado en facilitar los mecanismos financieros que hagan posible el acceso de todas las personas aptas a la educación superior.</w:t>
      </w:r>
    </w:p>
    <w:p w:rsidR="00865716" w:rsidRPr="00B06DF3" w:rsidRDefault="00865716" w:rsidP="0029656C">
      <w:pPr>
        <w:jc w:val="both"/>
        <w:rPr>
          <w:rFonts w:ascii="Arial" w:hAnsi="Arial" w:cs="Arial"/>
          <w:color w:val="000000"/>
          <w:lang w:eastAsia="es-CO"/>
        </w:rPr>
      </w:pPr>
    </w:p>
    <w:p w:rsidR="001136EB" w:rsidRPr="001136EB" w:rsidRDefault="001136EB" w:rsidP="0029656C">
      <w:pPr>
        <w:jc w:val="both"/>
        <w:rPr>
          <w:rFonts w:ascii="Arial" w:hAnsi="Arial" w:cs="Arial"/>
        </w:rPr>
      </w:pPr>
      <w:r w:rsidRPr="00C712CD">
        <w:rPr>
          <w:rFonts w:ascii="Arial" w:hAnsi="Arial" w:cs="Arial"/>
        </w:rPr>
        <w:t>Por otr</w:t>
      </w:r>
      <w:r w:rsidR="00C37C5A">
        <w:rPr>
          <w:rFonts w:ascii="Arial" w:hAnsi="Arial" w:cs="Arial"/>
        </w:rPr>
        <w:t>a parte</w:t>
      </w:r>
      <w:r w:rsidRPr="00C712CD">
        <w:rPr>
          <w:rFonts w:ascii="Arial" w:hAnsi="Arial" w:cs="Arial"/>
        </w:rPr>
        <w:t xml:space="preserve">, la Ley 1753 de 2015 </w:t>
      </w:r>
      <w:r w:rsidR="00514433">
        <w:rPr>
          <w:rFonts w:ascii="Arial" w:hAnsi="Arial" w:cs="Arial"/>
        </w:rPr>
        <w:t>“</w:t>
      </w:r>
      <w:r w:rsidRPr="00C712CD">
        <w:rPr>
          <w:rFonts w:ascii="Arial" w:hAnsi="Arial" w:cs="Arial"/>
          <w:i/>
        </w:rPr>
        <w:t>Por la</w:t>
      </w:r>
      <w:r w:rsidRPr="001136EB">
        <w:rPr>
          <w:rFonts w:ascii="Arial" w:hAnsi="Arial" w:cs="Arial"/>
          <w:i/>
        </w:rPr>
        <w:t xml:space="preserve"> cual se expide el Plan Nacional de Desarrollo 2014-2018 </w:t>
      </w:r>
      <w:r w:rsidR="00514433">
        <w:rPr>
          <w:rFonts w:ascii="Arial" w:hAnsi="Arial" w:cs="Arial"/>
          <w:i/>
        </w:rPr>
        <w:t>“</w:t>
      </w:r>
      <w:r w:rsidRPr="001136EB">
        <w:rPr>
          <w:rFonts w:ascii="Arial" w:hAnsi="Arial" w:cs="Arial"/>
          <w:i/>
        </w:rPr>
        <w:t>Todos por un nuevo País</w:t>
      </w:r>
      <w:r w:rsidR="00514433">
        <w:rPr>
          <w:rFonts w:ascii="Arial" w:hAnsi="Arial" w:cs="Arial"/>
          <w:i/>
        </w:rPr>
        <w:t>”</w:t>
      </w:r>
      <w:r w:rsidRPr="001136EB">
        <w:rPr>
          <w:rFonts w:ascii="Arial" w:hAnsi="Arial" w:cs="Arial"/>
        </w:rPr>
        <w:t xml:space="preserve"> establece en el artículo</w:t>
      </w:r>
      <w:r w:rsidR="00514433">
        <w:rPr>
          <w:rFonts w:ascii="Arial" w:hAnsi="Arial" w:cs="Arial"/>
        </w:rPr>
        <w:t xml:space="preserve"> 61, entre otros aspectos, que “</w:t>
      </w:r>
      <w:r w:rsidRPr="001136EB">
        <w:rPr>
          <w:rFonts w:ascii="Arial" w:hAnsi="Arial" w:cs="Arial"/>
          <w:i/>
        </w:rPr>
        <w:t>desde 2018 los créditos y becas financiados por el Icetex estarán destinados únicamente a financiar programas que cuenten con acreditación o en su defecto programas en instituciones de educación acreditadas institucionalmente</w:t>
      </w:r>
      <w:r w:rsidR="00514433">
        <w:rPr>
          <w:rFonts w:ascii="Arial" w:hAnsi="Arial" w:cs="Arial"/>
          <w:i/>
        </w:rPr>
        <w:t>”</w:t>
      </w:r>
      <w:r w:rsidRPr="001136EB">
        <w:rPr>
          <w:rFonts w:ascii="Arial" w:hAnsi="Arial" w:cs="Arial"/>
        </w:rPr>
        <w:t xml:space="preserve">. </w:t>
      </w:r>
    </w:p>
    <w:p w:rsidR="001136EB" w:rsidRPr="001136EB" w:rsidRDefault="001136EB" w:rsidP="0029656C">
      <w:pPr>
        <w:jc w:val="both"/>
        <w:rPr>
          <w:rFonts w:ascii="Arial" w:hAnsi="Arial" w:cs="Arial"/>
        </w:rPr>
      </w:pPr>
    </w:p>
    <w:p w:rsidR="00CA1F78" w:rsidRPr="00C712CD" w:rsidRDefault="00C37C5A" w:rsidP="0029656C">
      <w:pPr>
        <w:jc w:val="both"/>
        <w:rPr>
          <w:rFonts w:ascii="Arial" w:hAnsi="Arial" w:cs="Arial"/>
          <w:color w:val="000000"/>
          <w:lang w:val="es-ES_tradnl" w:eastAsia="es-CO"/>
        </w:rPr>
      </w:pPr>
      <w:r>
        <w:rPr>
          <w:rFonts w:ascii="Arial" w:hAnsi="Arial" w:cs="Arial"/>
        </w:rPr>
        <w:t>Al respecto, se resalta que la</w:t>
      </w:r>
      <w:r w:rsidR="001136EB" w:rsidRPr="001136EB">
        <w:rPr>
          <w:rFonts w:ascii="Arial" w:hAnsi="Arial" w:cs="Arial"/>
          <w:color w:val="000000"/>
          <w:lang w:val="es-ES_tradnl" w:eastAsia="es-CO"/>
        </w:rPr>
        <w:t xml:space="preserve"> acreditación de los programas académicos y de las instituciones de educación superior es una refrendación que concede el Estado cuando aquellos ofertan y desarrollan el servicio educativo con condiciones de calidad que superan las previstas en la normatividad vigente (Ley</w:t>
      </w:r>
      <w:r>
        <w:rPr>
          <w:rFonts w:ascii="Arial" w:hAnsi="Arial" w:cs="Arial"/>
          <w:color w:val="000000"/>
          <w:lang w:val="es-ES_tradnl" w:eastAsia="es-CO"/>
        </w:rPr>
        <w:t>es</w:t>
      </w:r>
      <w:r w:rsidR="001136EB" w:rsidRPr="001136EB">
        <w:rPr>
          <w:rFonts w:ascii="Arial" w:hAnsi="Arial" w:cs="Arial"/>
          <w:color w:val="000000"/>
          <w:lang w:val="es-ES_tradnl" w:eastAsia="es-CO"/>
        </w:rPr>
        <w:t xml:space="preserve"> 749 de 2002</w:t>
      </w:r>
      <w:r>
        <w:rPr>
          <w:rFonts w:ascii="Arial" w:hAnsi="Arial" w:cs="Arial"/>
          <w:color w:val="000000"/>
          <w:lang w:val="es-ES_tradnl" w:eastAsia="es-CO"/>
        </w:rPr>
        <w:t xml:space="preserve"> y</w:t>
      </w:r>
      <w:r w:rsidR="001136EB" w:rsidRPr="001136EB">
        <w:rPr>
          <w:rFonts w:ascii="Arial" w:hAnsi="Arial" w:cs="Arial"/>
          <w:color w:val="000000"/>
          <w:lang w:val="es-ES_tradnl" w:eastAsia="es-CO"/>
        </w:rPr>
        <w:t xml:space="preserve"> 1188 de 2008 y Decreto 1075 de 2015), con base en un proceso previo de autoevaluación y verificación en el cual intervienen la institución, las comunidades académicas y el Consejo Nacional de Acreditación (CNA)</w:t>
      </w:r>
      <w:r w:rsidR="001136EB" w:rsidRPr="00C712CD">
        <w:rPr>
          <w:rStyle w:val="Refdenotaalpie"/>
          <w:rFonts w:ascii="Arial" w:hAnsi="Arial" w:cs="Arial"/>
          <w:color w:val="000000"/>
          <w:vertAlign w:val="superscript"/>
          <w:lang w:val="es-ES_tradnl" w:eastAsia="es-CO"/>
        </w:rPr>
        <w:footnoteReference w:id="1"/>
      </w:r>
      <w:r w:rsidR="001136EB" w:rsidRPr="00C712CD">
        <w:rPr>
          <w:rFonts w:ascii="Arial" w:hAnsi="Arial" w:cs="Arial"/>
          <w:color w:val="000000"/>
          <w:lang w:val="es-ES_tradnl" w:eastAsia="es-CO"/>
        </w:rPr>
        <w:t xml:space="preserve">. </w:t>
      </w:r>
    </w:p>
    <w:p w:rsidR="001136EB" w:rsidRPr="001136EB" w:rsidRDefault="001136EB" w:rsidP="0029656C">
      <w:pPr>
        <w:jc w:val="both"/>
        <w:rPr>
          <w:rFonts w:ascii="Arial" w:hAnsi="Arial" w:cs="Arial"/>
          <w:lang w:val="es-ES_tradnl"/>
        </w:rPr>
      </w:pPr>
    </w:p>
    <w:p w:rsidR="00CA1F78" w:rsidRPr="001136EB" w:rsidRDefault="00C37C5A" w:rsidP="0029656C">
      <w:pPr>
        <w:jc w:val="both"/>
        <w:rPr>
          <w:rFonts w:ascii="Arial" w:hAnsi="Arial" w:cs="Arial"/>
        </w:rPr>
      </w:pPr>
      <w:r>
        <w:rPr>
          <w:rFonts w:ascii="Arial" w:hAnsi="Arial" w:cs="Arial"/>
        </w:rPr>
        <w:t xml:space="preserve">Téngase en cuenta que </w:t>
      </w:r>
      <w:r w:rsidR="001136EB" w:rsidRPr="001136EB">
        <w:rPr>
          <w:rFonts w:ascii="Arial" w:hAnsi="Arial" w:cs="Arial"/>
        </w:rPr>
        <w:t>el</w:t>
      </w:r>
      <w:r w:rsidR="00E10991">
        <w:rPr>
          <w:rFonts w:ascii="Arial" w:hAnsi="Arial" w:cs="Arial"/>
        </w:rPr>
        <w:t xml:space="preserve"> inciso 2° del</w:t>
      </w:r>
      <w:r w:rsidR="001136EB" w:rsidRPr="001136EB">
        <w:rPr>
          <w:rFonts w:ascii="Arial" w:hAnsi="Arial" w:cs="Arial"/>
        </w:rPr>
        <w:t xml:space="preserve"> artículo 53 de la Ley 30 de 1992 dispone que &lt;&lt;</w:t>
      </w:r>
      <w:r w:rsidR="001136EB" w:rsidRPr="001136EB">
        <w:rPr>
          <w:rFonts w:ascii="Arial" w:hAnsi="Arial" w:cs="Arial"/>
          <w:i/>
        </w:rPr>
        <w:t>es voluntario de las instituciones de educación superior acogerse al Sistema de Acreditación</w:t>
      </w:r>
      <w:r w:rsidR="001136EB" w:rsidRPr="001136EB">
        <w:rPr>
          <w:rFonts w:ascii="Arial" w:hAnsi="Arial" w:cs="Arial"/>
        </w:rPr>
        <w:t>&gt;&gt;</w:t>
      </w:r>
      <w:r>
        <w:rPr>
          <w:rFonts w:ascii="Arial" w:hAnsi="Arial" w:cs="Arial"/>
        </w:rPr>
        <w:t xml:space="preserve">. En este sentido, </w:t>
      </w:r>
      <w:r w:rsidR="001136EB" w:rsidRPr="001136EB">
        <w:rPr>
          <w:rFonts w:ascii="Arial" w:hAnsi="Arial" w:cs="Arial"/>
        </w:rPr>
        <w:t xml:space="preserve">la acreditación </w:t>
      </w:r>
      <w:r>
        <w:rPr>
          <w:rFonts w:ascii="Arial" w:hAnsi="Arial" w:cs="Arial"/>
        </w:rPr>
        <w:t>de sus programas o la</w:t>
      </w:r>
      <w:r w:rsidR="001136EB" w:rsidRPr="001136EB">
        <w:rPr>
          <w:rFonts w:ascii="Arial" w:hAnsi="Arial" w:cs="Arial"/>
        </w:rPr>
        <w:t xml:space="preserve"> acreditación institucional depende de que </w:t>
      </w:r>
      <w:r>
        <w:rPr>
          <w:rFonts w:ascii="Arial" w:hAnsi="Arial" w:cs="Arial"/>
        </w:rPr>
        <w:t>cada institución, por su propia cuenta, adelante</w:t>
      </w:r>
      <w:r w:rsidR="001136EB" w:rsidRPr="001136EB">
        <w:rPr>
          <w:rFonts w:ascii="Arial" w:hAnsi="Arial" w:cs="Arial"/>
        </w:rPr>
        <w:t xml:space="preserve"> los respectivos trámites y cumpla los requisitos establecidos para tal fin</w:t>
      </w:r>
      <w:r>
        <w:rPr>
          <w:rFonts w:ascii="Arial" w:hAnsi="Arial" w:cs="Arial"/>
        </w:rPr>
        <w:t>,</w:t>
      </w:r>
      <w:r w:rsidR="001136EB" w:rsidRPr="001136EB">
        <w:rPr>
          <w:rFonts w:ascii="Arial" w:hAnsi="Arial" w:cs="Arial"/>
        </w:rPr>
        <w:t xml:space="preserve"> ante el Ministerio de Educación Nacional y el </w:t>
      </w:r>
      <w:r w:rsidR="0029656C">
        <w:rPr>
          <w:rFonts w:ascii="Arial" w:hAnsi="Arial" w:cs="Arial"/>
        </w:rPr>
        <w:t>CNA</w:t>
      </w:r>
      <w:r w:rsidR="001136EB" w:rsidRPr="001136EB">
        <w:rPr>
          <w:rFonts w:ascii="Arial" w:hAnsi="Arial" w:cs="Arial"/>
        </w:rPr>
        <w:t>.</w:t>
      </w:r>
    </w:p>
    <w:p w:rsidR="001136EB" w:rsidRDefault="001136EB" w:rsidP="0029656C">
      <w:pPr>
        <w:jc w:val="both"/>
        <w:rPr>
          <w:rFonts w:ascii="Arial" w:hAnsi="Arial" w:cs="Arial"/>
        </w:rPr>
      </w:pPr>
    </w:p>
    <w:p w:rsidR="000C2D92" w:rsidRDefault="000C2D92" w:rsidP="0029656C">
      <w:pPr>
        <w:jc w:val="both"/>
        <w:rPr>
          <w:rFonts w:ascii="Arial" w:hAnsi="Arial" w:cs="Arial"/>
        </w:rPr>
      </w:pPr>
      <w:r>
        <w:rPr>
          <w:rFonts w:ascii="Arial" w:hAnsi="Arial" w:cs="Arial"/>
        </w:rPr>
        <w:t xml:space="preserve">Así, las instituciones de educación superior </w:t>
      </w:r>
      <w:r w:rsidR="0029656C">
        <w:rPr>
          <w:rFonts w:ascii="Arial" w:hAnsi="Arial" w:cs="Arial"/>
        </w:rPr>
        <w:t xml:space="preserve">(IES) </w:t>
      </w:r>
      <w:r>
        <w:rPr>
          <w:rFonts w:ascii="Arial" w:hAnsi="Arial" w:cs="Arial"/>
        </w:rPr>
        <w:t xml:space="preserve">pueden ofertar y desarrollar sus programas académicos sin que cuenten con acreditación, siempre y cuando tengan el respectivo registro calificado vigente. El registro calificado es el instrumento del </w:t>
      </w:r>
      <w:r w:rsidRPr="000C2D92">
        <w:rPr>
          <w:rFonts w:ascii="Arial" w:hAnsi="Arial" w:cs="Arial"/>
        </w:rPr>
        <w:t>Sistema de Aseguramiento de</w:t>
      </w:r>
      <w:r>
        <w:rPr>
          <w:rFonts w:ascii="Arial" w:hAnsi="Arial" w:cs="Arial"/>
        </w:rPr>
        <w:t xml:space="preserve"> </w:t>
      </w:r>
      <w:r w:rsidRPr="000C2D92">
        <w:rPr>
          <w:rFonts w:ascii="Arial" w:hAnsi="Arial" w:cs="Arial"/>
        </w:rPr>
        <w:t>la Calidad de la Educación Superior mediante el cual el Estado verifica el</w:t>
      </w:r>
      <w:r>
        <w:rPr>
          <w:rFonts w:ascii="Arial" w:hAnsi="Arial" w:cs="Arial"/>
        </w:rPr>
        <w:t xml:space="preserve"> </w:t>
      </w:r>
      <w:r w:rsidRPr="000C2D92">
        <w:rPr>
          <w:rFonts w:ascii="Arial" w:hAnsi="Arial" w:cs="Arial"/>
        </w:rPr>
        <w:t>cumplimiento de las condiciones de calidad por parte de las instituciones de</w:t>
      </w:r>
      <w:r>
        <w:rPr>
          <w:rFonts w:ascii="Arial" w:hAnsi="Arial" w:cs="Arial"/>
        </w:rPr>
        <w:t xml:space="preserve"> </w:t>
      </w:r>
      <w:r w:rsidRPr="000C2D92">
        <w:rPr>
          <w:rFonts w:ascii="Arial" w:hAnsi="Arial" w:cs="Arial"/>
        </w:rPr>
        <w:t>educación superior</w:t>
      </w:r>
      <w:r>
        <w:rPr>
          <w:rFonts w:ascii="Arial" w:hAnsi="Arial" w:cs="Arial"/>
        </w:rPr>
        <w:t>, de acuerdo con lo dispuesto en el artículo 1 de la Ley 1188 de 2008</w:t>
      </w:r>
      <w:r w:rsidRPr="000C2D92">
        <w:rPr>
          <w:rFonts w:ascii="Arial" w:hAnsi="Arial" w:cs="Arial"/>
        </w:rPr>
        <w:t>.</w:t>
      </w:r>
      <w:r w:rsidR="003E014B">
        <w:rPr>
          <w:rFonts w:ascii="Arial" w:hAnsi="Arial" w:cs="Arial"/>
        </w:rPr>
        <w:t xml:space="preserve"> Las instituciones que demuestran </w:t>
      </w:r>
      <w:r w:rsidR="004E3938">
        <w:rPr>
          <w:rFonts w:ascii="Arial" w:hAnsi="Arial" w:cs="Arial"/>
        </w:rPr>
        <w:t>el</w:t>
      </w:r>
      <w:r w:rsidR="003E014B">
        <w:rPr>
          <w:rFonts w:ascii="Arial" w:hAnsi="Arial" w:cs="Arial"/>
        </w:rPr>
        <w:t xml:space="preserve"> cumplimiento de estas condiciones </w:t>
      </w:r>
      <w:r w:rsidR="004E3938">
        <w:rPr>
          <w:rFonts w:ascii="Arial" w:hAnsi="Arial" w:cs="Arial"/>
        </w:rPr>
        <w:t xml:space="preserve">en una medida </w:t>
      </w:r>
      <w:r w:rsidR="003E014B">
        <w:rPr>
          <w:rFonts w:ascii="Arial" w:hAnsi="Arial" w:cs="Arial"/>
        </w:rPr>
        <w:t xml:space="preserve">superior </w:t>
      </w:r>
      <w:r w:rsidR="004E3938">
        <w:rPr>
          <w:rFonts w:ascii="Arial" w:hAnsi="Arial" w:cs="Arial"/>
        </w:rPr>
        <w:t xml:space="preserve">a la que </w:t>
      </w:r>
      <w:r w:rsidR="003E014B">
        <w:rPr>
          <w:rFonts w:ascii="Arial" w:hAnsi="Arial" w:cs="Arial"/>
        </w:rPr>
        <w:t>exige la ley, pueden ser objeto del reconocimiento estatal otorgado con la acreditación de calidad</w:t>
      </w:r>
      <w:r w:rsidR="004E3938">
        <w:rPr>
          <w:rFonts w:ascii="Arial" w:hAnsi="Arial" w:cs="Arial"/>
        </w:rPr>
        <w:t>, ya sea a sus programas académicos (acreditación de programa) o a la misma institución (acreditación institucional)</w:t>
      </w:r>
      <w:r w:rsidR="003E014B">
        <w:rPr>
          <w:rFonts w:ascii="Arial" w:hAnsi="Arial" w:cs="Arial"/>
        </w:rPr>
        <w:t>.</w:t>
      </w:r>
    </w:p>
    <w:p w:rsidR="000C2D92" w:rsidRDefault="000C2D92" w:rsidP="0029656C">
      <w:pPr>
        <w:jc w:val="both"/>
        <w:rPr>
          <w:rFonts w:ascii="Arial" w:hAnsi="Arial" w:cs="Arial"/>
        </w:rPr>
      </w:pPr>
    </w:p>
    <w:p w:rsidR="004D0AA1" w:rsidRDefault="004D0AA1" w:rsidP="0029656C">
      <w:pPr>
        <w:jc w:val="both"/>
        <w:rPr>
          <w:rFonts w:ascii="Arial" w:hAnsi="Arial" w:cs="Arial"/>
          <w:lang w:val="es-CO"/>
        </w:rPr>
      </w:pPr>
      <w:r>
        <w:rPr>
          <w:rFonts w:ascii="Arial" w:hAnsi="Arial" w:cs="Arial"/>
          <w:lang w:val="es-CO"/>
        </w:rPr>
        <w:lastRenderedPageBreak/>
        <w:t>El tiempo promedio de un proceso de evaluación con fines de acreditación es de 11 meses los cuales inician en el momento en que se radica el informe de autoevaluación y finalizan cuando el</w:t>
      </w:r>
      <w:r w:rsidR="00FF371F">
        <w:rPr>
          <w:rFonts w:ascii="Arial" w:hAnsi="Arial" w:cs="Arial"/>
          <w:lang w:val="es-CO"/>
        </w:rPr>
        <w:t xml:space="preserve"> </w:t>
      </w:r>
      <w:r>
        <w:rPr>
          <w:rFonts w:ascii="Arial" w:hAnsi="Arial" w:cs="Arial"/>
          <w:lang w:val="es-CO"/>
        </w:rPr>
        <w:t xml:space="preserve">CNA emite el concepto final recomendando la acreditación o negación de la misma. </w:t>
      </w:r>
    </w:p>
    <w:p w:rsidR="004D0AA1" w:rsidRDefault="004D0AA1" w:rsidP="0029656C">
      <w:pPr>
        <w:jc w:val="both"/>
        <w:rPr>
          <w:rFonts w:ascii="Arial" w:hAnsi="Arial" w:cs="Arial"/>
          <w:lang w:val="es-CO"/>
        </w:rPr>
      </w:pPr>
    </w:p>
    <w:p w:rsidR="004D0AA1" w:rsidRDefault="004D0AA1" w:rsidP="0029656C">
      <w:pPr>
        <w:jc w:val="both"/>
        <w:rPr>
          <w:rFonts w:ascii="Arial" w:hAnsi="Arial" w:cs="Arial"/>
          <w:lang w:val="es-CO"/>
        </w:rPr>
      </w:pPr>
      <w:r>
        <w:rPr>
          <w:rFonts w:ascii="Arial" w:hAnsi="Arial" w:cs="Arial"/>
          <w:lang w:val="es-CO"/>
        </w:rPr>
        <w:t xml:space="preserve">Sin embargo, prepararse para la acreditación, es decir, reunir las condiciones que se requieren para que un programa pueda ser reconocido como de alta calidad, es un proceso que demanda mucho más tiempo y depende del estado de madurez y desarrollo de cada </w:t>
      </w:r>
      <w:r w:rsidR="0029656C">
        <w:rPr>
          <w:rFonts w:ascii="Arial" w:hAnsi="Arial" w:cs="Arial"/>
          <w:lang w:val="es-CO"/>
        </w:rPr>
        <w:t>programa e i</w:t>
      </w:r>
      <w:r>
        <w:rPr>
          <w:rFonts w:ascii="Arial" w:hAnsi="Arial" w:cs="Arial"/>
          <w:lang w:val="es-CO"/>
        </w:rPr>
        <w:t xml:space="preserve">nstitución. Considerando los criterios y exigencias de la evaluación, las acciones que debe adelantar un programa académico para lograr la acreditación pueden alcanzar plazos de entre 2 a 5 años o más, debido a que hay acciones, como por ejemplo conformar grupos de investigación con resultados de producción intelectual o formar profesores de alto nivel (maestría o doctorado), que no se consiguen en el corto plazo. </w:t>
      </w:r>
    </w:p>
    <w:p w:rsidR="004D0AA1" w:rsidRDefault="004D0AA1" w:rsidP="0029656C">
      <w:pPr>
        <w:jc w:val="both"/>
        <w:rPr>
          <w:rFonts w:ascii="Arial" w:hAnsi="Arial" w:cs="Arial"/>
          <w:lang w:val="es-CO"/>
        </w:rPr>
      </w:pPr>
    </w:p>
    <w:p w:rsidR="004D0AA1" w:rsidRDefault="0029656C" w:rsidP="0029656C">
      <w:pPr>
        <w:tabs>
          <w:tab w:val="left" w:pos="284"/>
        </w:tabs>
        <w:jc w:val="both"/>
        <w:rPr>
          <w:rFonts w:ascii="Arial" w:hAnsi="Arial" w:cs="Arial"/>
          <w:lang w:val="es-CO"/>
        </w:rPr>
      </w:pPr>
      <w:r>
        <w:rPr>
          <w:rFonts w:ascii="Arial" w:hAnsi="Arial" w:cs="Arial"/>
          <w:lang w:val="es-CO"/>
        </w:rPr>
        <w:t>Para una mayor ilustración de lo hasta aquí expuesto, podemos señalar que e</w:t>
      </w:r>
      <w:r w:rsidR="004D0AA1">
        <w:rPr>
          <w:rFonts w:ascii="Arial" w:hAnsi="Arial" w:cs="Arial"/>
          <w:lang w:val="es-CO"/>
        </w:rPr>
        <w:t>l proceso de acreditación comprende las siguientes etapas</w:t>
      </w:r>
      <w:r>
        <w:rPr>
          <w:rFonts w:ascii="Arial" w:hAnsi="Arial" w:cs="Arial"/>
          <w:lang w:val="es-CO"/>
        </w:rPr>
        <w:t>:</w:t>
      </w:r>
      <w:r w:rsidR="004D0AA1" w:rsidRPr="002974D4">
        <w:rPr>
          <w:rFonts w:ascii="Arial" w:hAnsi="Arial" w:cs="Arial"/>
          <w:vertAlign w:val="superscript"/>
          <w:lang w:val="es-CO"/>
        </w:rPr>
        <w:t xml:space="preserve"> </w:t>
      </w:r>
    </w:p>
    <w:p w:rsidR="004D0AA1" w:rsidRDefault="004D0AA1" w:rsidP="0029656C">
      <w:pPr>
        <w:tabs>
          <w:tab w:val="left" w:pos="284"/>
        </w:tabs>
        <w:jc w:val="both"/>
        <w:rPr>
          <w:rFonts w:ascii="Arial" w:hAnsi="Arial" w:cs="Arial"/>
          <w:lang w:val="es-CO"/>
        </w:rPr>
      </w:pPr>
    </w:p>
    <w:p w:rsidR="004D0AA1" w:rsidRDefault="004D0AA1" w:rsidP="0029656C">
      <w:pPr>
        <w:numPr>
          <w:ilvl w:val="0"/>
          <w:numId w:val="37"/>
        </w:numPr>
        <w:tabs>
          <w:tab w:val="left" w:pos="284"/>
        </w:tabs>
        <w:ind w:left="0" w:firstLine="0"/>
        <w:contextualSpacing/>
        <w:jc w:val="both"/>
        <w:rPr>
          <w:rFonts w:ascii="Arial" w:hAnsi="Arial" w:cs="Arial"/>
          <w:lang w:val="es-CO"/>
        </w:rPr>
      </w:pPr>
      <w:r>
        <w:rPr>
          <w:rFonts w:ascii="Arial" w:hAnsi="Arial" w:cs="Arial"/>
          <w:b/>
          <w:lang w:val="es-CO"/>
        </w:rPr>
        <w:t>Apreciación de condiciones iniciales.</w:t>
      </w:r>
      <w:r>
        <w:rPr>
          <w:rFonts w:ascii="Arial" w:hAnsi="Arial" w:cs="Arial"/>
          <w:lang w:val="es-CO"/>
        </w:rPr>
        <w:t xml:space="preserve"> Esta etapa inicia una vez la </w:t>
      </w:r>
      <w:r w:rsidR="0029656C">
        <w:rPr>
          <w:rFonts w:ascii="Arial" w:hAnsi="Arial" w:cs="Arial"/>
          <w:lang w:val="es-CO"/>
        </w:rPr>
        <w:t>i</w:t>
      </w:r>
      <w:r>
        <w:rPr>
          <w:rFonts w:ascii="Arial" w:hAnsi="Arial" w:cs="Arial"/>
          <w:lang w:val="es-CO"/>
        </w:rPr>
        <w:t xml:space="preserve">nstitución o programa académico considera que está preparado para ser evaluado con exigencias de alta calidad. Esta es una etapa preliminar en la que se revisan los requisitos básicos para solicitar la acreditación. Cuando se trata de la primera vez que una IES inicia procesos de acreditación, esta etapa incluye además una visita por parte de una comisión del CNA, la cual tiene por objeto determinar qué tan preparada está la Institución y sus programas para adelantar, con probabilidades de éxito, procesos de acreditación. Producto de esa etapa se genera un informe en el que se autoriza a la IES avanzar o no con la etapa de Autoevaluación. </w:t>
      </w:r>
    </w:p>
    <w:p w:rsidR="004D0AA1" w:rsidRDefault="004D0AA1" w:rsidP="0029656C">
      <w:pPr>
        <w:tabs>
          <w:tab w:val="left" w:pos="284"/>
        </w:tabs>
        <w:jc w:val="both"/>
        <w:rPr>
          <w:rFonts w:ascii="Arial" w:hAnsi="Arial" w:cs="Arial"/>
          <w:lang w:val="es-CO"/>
        </w:rPr>
      </w:pPr>
    </w:p>
    <w:p w:rsidR="004D0AA1" w:rsidRDefault="004D0AA1" w:rsidP="0029656C">
      <w:pPr>
        <w:numPr>
          <w:ilvl w:val="0"/>
          <w:numId w:val="37"/>
        </w:numPr>
        <w:tabs>
          <w:tab w:val="left" w:pos="284"/>
        </w:tabs>
        <w:ind w:left="0" w:firstLine="0"/>
        <w:contextualSpacing/>
        <w:jc w:val="both"/>
        <w:rPr>
          <w:rFonts w:ascii="Arial" w:hAnsi="Arial" w:cs="Arial"/>
          <w:lang w:val="es-CO"/>
        </w:rPr>
      </w:pPr>
      <w:r>
        <w:rPr>
          <w:rFonts w:ascii="Arial" w:hAnsi="Arial" w:cs="Arial"/>
          <w:b/>
          <w:lang w:val="es-CO"/>
        </w:rPr>
        <w:t>Autoevaluación.</w:t>
      </w:r>
      <w:r>
        <w:rPr>
          <w:rFonts w:ascii="Arial" w:hAnsi="Arial" w:cs="Arial"/>
          <w:lang w:val="es-CO"/>
        </w:rPr>
        <w:t xml:space="preserve"> Consiste en el autoanálisis que realiza cada IES sobre el conjunto de factores de calidad del (o los) programa(s) académico(s), de acuerdo con los criterios y lineamientos definidos por el CNA. Como resultado de esta etapa, la IES produce un informe de autoevaluación que contiene información sobre: estudiantes, profesores, procesos académicos, bienestar universitario, recursos de infraestructura y de apoyo académico, investigación, movilidad académica, seguimiento a egresados e impacto en el medio, entre otros. Este informe se radica ante el CNA para iniciar en sentido estricto el proceso de evaluación con fines de acreditación. La duración de esta etapa depende de cada programa e IES y no tiene un término establecido, pero generalmente un proceso de autoevaluación bajo el modelo actual toma al menos 1 año.</w:t>
      </w:r>
    </w:p>
    <w:p w:rsidR="004D0AA1" w:rsidRDefault="004D0AA1" w:rsidP="0029656C">
      <w:pPr>
        <w:tabs>
          <w:tab w:val="left" w:pos="284"/>
        </w:tabs>
        <w:rPr>
          <w:rFonts w:ascii="Arial" w:hAnsi="Arial" w:cs="Arial"/>
          <w:lang w:val="es-CO"/>
        </w:rPr>
      </w:pPr>
    </w:p>
    <w:p w:rsidR="004D0AA1" w:rsidRDefault="004D0AA1" w:rsidP="0029656C">
      <w:pPr>
        <w:numPr>
          <w:ilvl w:val="0"/>
          <w:numId w:val="37"/>
        </w:numPr>
        <w:tabs>
          <w:tab w:val="left" w:pos="284"/>
        </w:tabs>
        <w:ind w:left="0" w:firstLine="0"/>
        <w:contextualSpacing/>
        <w:jc w:val="both"/>
        <w:rPr>
          <w:rFonts w:ascii="Arial" w:hAnsi="Arial" w:cs="Arial"/>
          <w:lang w:val="es-CO"/>
        </w:rPr>
      </w:pPr>
      <w:r>
        <w:rPr>
          <w:rFonts w:ascii="Arial" w:hAnsi="Arial" w:cs="Arial"/>
          <w:b/>
          <w:lang w:val="es-CO"/>
        </w:rPr>
        <w:t>Visita de evaluación externa</w:t>
      </w:r>
      <w:r>
        <w:rPr>
          <w:rFonts w:ascii="Arial" w:hAnsi="Arial" w:cs="Arial"/>
          <w:lang w:val="es-CO"/>
        </w:rPr>
        <w:t>. Una vez radicado el informe de autoevaluación por parte de la IES, el CNA realiza una revisión de completitud de la información, y si es aprobado, el proceso pasa a designación de pares evaluadores</w:t>
      </w:r>
      <w:r>
        <w:rPr>
          <w:rStyle w:val="Refdenotaalpie"/>
          <w:rFonts w:ascii="Arial" w:hAnsi="Arial" w:cs="Arial"/>
          <w:vertAlign w:val="superscript"/>
          <w:lang w:val="es-CO"/>
        </w:rPr>
        <w:footnoteReference w:id="2"/>
      </w:r>
      <w:r>
        <w:rPr>
          <w:rFonts w:ascii="Arial" w:hAnsi="Arial" w:cs="Arial"/>
          <w:vertAlign w:val="superscript"/>
          <w:lang w:val="es-CO"/>
        </w:rPr>
        <w:t>.</w:t>
      </w:r>
      <w:r>
        <w:rPr>
          <w:rFonts w:ascii="Arial" w:hAnsi="Arial" w:cs="Arial"/>
          <w:lang w:val="es-CO"/>
        </w:rPr>
        <w:t xml:space="preserve"> Los pares deben revisar el informe de autoevaluación y programar una visita de evaluación externa a la institución y al programa a evaluar. Esta visita tiene una duración de 2.5 días y tiene como fin verificar la veracidad del contenido del informe de autoevaluación presentado por la IES. Producto de esta etapa, los pares evaluadores designados por el CNA deben preparar un informe de evaluación externa en el cual dan cuenta del resultado de la visita y de los juicios sobre el grado de cumplimiento de cada uno de los factores y características de calidad definidos por el CNA. Este informe se </w:t>
      </w:r>
      <w:r>
        <w:rPr>
          <w:rFonts w:ascii="Arial" w:hAnsi="Arial" w:cs="Arial"/>
          <w:lang w:val="es-CO"/>
        </w:rPr>
        <w:lastRenderedPageBreak/>
        <w:t xml:space="preserve">envía a la Institución para que emita sus observaciones. Es la oportunidad para que la IES y el programa amplíen, profundicen o aclaren la información contenida en dicho informe dentro de los 15 días siguientes al recibo del mismo. </w:t>
      </w:r>
    </w:p>
    <w:p w:rsidR="004D0AA1" w:rsidRDefault="004D0AA1" w:rsidP="0029656C">
      <w:pPr>
        <w:tabs>
          <w:tab w:val="left" w:pos="284"/>
        </w:tabs>
        <w:jc w:val="both"/>
        <w:rPr>
          <w:rFonts w:ascii="Arial" w:hAnsi="Arial" w:cs="Arial"/>
          <w:lang w:val="es-CO"/>
        </w:rPr>
      </w:pPr>
    </w:p>
    <w:p w:rsidR="004D0AA1" w:rsidRDefault="004D0AA1" w:rsidP="0029656C">
      <w:pPr>
        <w:numPr>
          <w:ilvl w:val="0"/>
          <w:numId w:val="37"/>
        </w:numPr>
        <w:tabs>
          <w:tab w:val="left" w:pos="284"/>
        </w:tabs>
        <w:ind w:left="0" w:firstLine="0"/>
        <w:contextualSpacing/>
        <w:jc w:val="both"/>
        <w:rPr>
          <w:rFonts w:ascii="Arial" w:hAnsi="Arial" w:cs="Arial"/>
          <w:lang w:val="es-CO"/>
        </w:rPr>
      </w:pPr>
      <w:r>
        <w:rPr>
          <w:rFonts w:ascii="Arial" w:hAnsi="Arial" w:cs="Arial"/>
          <w:b/>
          <w:lang w:val="es-CO"/>
        </w:rPr>
        <w:t>Evaluación final.</w:t>
      </w:r>
      <w:r>
        <w:rPr>
          <w:rFonts w:ascii="Arial" w:hAnsi="Arial" w:cs="Arial"/>
          <w:lang w:val="es-CO"/>
        </w:rPr>
        <w:t xml:space="preserve"> En esta etapa, con base en la información recogida durante el proceso (informe de autoevaluación, informe de evaluación externa y comentarios al informe de evaluación externa), el CNA, en sesión plenaria que se realiza una vez cada mes, estudia las ponencias de cada programa, revisando sus fortalezas y debilidades, y, con base en un análisis integral, conceptúa si el programa puede ser reconocido o no como de alta calidad. Este concepto se envía al Ministerio de Educación Nacional para que adopte la decisión final a través de un acto administrativo (resolución de acreditación).</w:t>
      </w:r>
    </w:p>
    <w:p w:rsidR="004D0AA1" w:rsidRDefault="004D0AA1" w:rsidP="0029656C">
      <w:pPr>
        <w:tabs>
          <w:tab w:val="left" w:pos="284"/>
        </w:tabs>
        <w:rPr>
          <w:rFonts w:ascii="Arial" w:hAnsi="Arial" w:cs="Arial"/>
          <w:lang w:val="es-CO"/>
        </w:rPr>
      </w:pPr>
    </w:p>
    <w:p w:rsidR="004D0AA1" w:rsidRDefault="004D0AA1" w:rsidP="0029656C">
      <w:pPr>
        <w:numPr>
          <w:ilvl w:val="0"/>
          <w:numId w:val="37"/>
        </w:numPr>
        <w:tabs>
          <w:tab w:val="left" w:pos="284"/>
        </w:tabs>
        <w:ind w:left="0" w:firstLine="0"/>
        <w:contextualSpacing/>
        <w:jc w:val="both"/>
        <w:rPr>
          <w:rFonts w:ascii="Arial" w:hAnsi="Arial" w:cs="Arial"/>
        </w:rPr>
      </w:pPr>
      <w:r>
        <w:rPr>
          <w:rFonts w:ascii="Arial" w:hAnsi="Arial" w:cs="Arial"/>
          <w:b/>
          <w:lang w:val="es-CO"/>
        </w:rPr>
        <w:t>Acto administrativo.</w:t>
      </w:r>
      <w:r>
        <w:rPr>
          <w:rFonts w:ascii="Arial" w:hAnsi="Arial" w:cs="Arial"/>
          <w:lang w:val="es-CO"/>
        </w:rPr>
        <w:t xml:space="preserve"> Emisión del acto administrativo de reconocimiento de la acreditación de alta calidad. </w:t>
      </w:r>
      <w:r>
        <w:rPr>
          <w:rFonts w:ascii="Arial" w:hAnsi="Arial" w:cs="Arial"/>
        </w:rPr>
        <w:t>Esta etapa la corresponde al Ministerio de Educación.</w:t>
      </w:r>
    </w:p>
    <w:p w:rsidR="00FF371F" w:rsidRDefault="00FF371F" w:rsidP="0029656C">
      <w:pPr>
        <w:tabs>
          <w:tab w:val="left" w:pos="284"/>
        </w:tabs>
        <w:contextualSpacing/>
        <w:jc w:val="both"/>
        <w:rPr>
          <w:rFonts w:ascii="Arial" w:hAnsi="Arial" w:cs="Arial"/>
        </w:rPr>
      </w:pPr>
    </w:p>
    <w:p w:rsidR="004D0AA1" w:rsidRDefault="004D0AA1" w:rsidP="0029656C">
      <w:pPr>
        <w:tabs>
          <w:tab w:val="left" w:pos="284"/>
        </w:tabs>
        <w:jc w:val="both"/>
        <w:rPr>
          <w:rFonts w:ascii="Arial" w:hAnsi="Arial" w:cs="Arial"/>
          <w:lang w:val="es-CO"/>
        </w:rPr>
      </w:pPr>
      <w:r>
        <w:rPr>
          <w:rFonts w:ascii="Arial" w:hAnsi="Arial" w:cs="Arial"/>
          <w:lang w:val="es-CO"/>
        </w:rPr>
        <w:t>Los requisitos para solicitar la acreditación de alta calidad son los establecidos en el artículo 3 del Acuerdo 02 de 2012 del Consejo Nacional de Educación Superior (CESU)</w:t>
      </w:r>
      <w:r>
        <w:rPr>
          <w:rStyle w:val="Refdenotaalpie"/>
          <w:rFonts w:ascii="Arial" w:hAnsi="Arial" w:cs="Arial"/>
          <w:vertAlign w:val="superscript"/>
          <w:lang w:val="es-CO"/>
        </w:rPr>
        <w:footnoteReference w:id="3"/>
      </w:r>
      <w:r>
        <w:rPr>
          <w:rFonts w:ascii="Arial" w:hAnsi="Arial" w:cs="Arial"/>
          <w:lang w:val="es-CO"/>
        </w:rPr>
        <w:t>.</w:t>
      </w:r>
    </w:p>
    <w:p w:rsidR="004D0AA1" w:rsidRDefault="004D0AA1" w:rsidP="0029656C">
      <w:pPr>
        <w:tabs>
          <w:tab w:val="left" w:pos="284"/>
        </w:tabs>
        <w:jc w:val="both"/>
        <w:rPr>
          <w:rFonts w:ascii="Arial" w:hAnsi="Arial" w:cs="Arial"/>
          <w:lang w:val="es-CO"/>
        </w:rPr>
      </w:pPr>
    </w:p>
    <w:p w:rsidR="004D0AA1" w:rsidRDefault="004D0AA1" w:rsidP="0029656C">
      <w:pPr>
        <w:tabs>
          <w:tab w:val="left" w:pos="284"/>
        </w:tabs>
        <w:jc w:val="both"/>
        <w:rPr>
          <w:rFonts w:ascii="Arial" w:hAnsi="Arial" w:cs="Arial"/>
          <w:lang w:val="es-CO"/>
        </w:rPr>
      </w:pPr>
      <w:r>
        <w:rPr>
          <w:rFonts w:ascii="Arial" w:hAnsi="Arial" w:cs="Arial"/>
          <w:lang w:val="es-CO"/>
        </w:rPr>
        <w:t xml:space="preserve">Además de las condiciones anteriores y de los criterios de evaluación definidos en los lineamientos de acreditación, los programas deben cumplir los siguientes requisitos para solicitar la acreditación: (i) que el programa tenga </w:t>
      </w:r>
      <w:r w:rsidR="0029656C">
        <w:rPr>
          <w:rFonts w:ascii="Arial" w:hAnsi="Arial" w:cs="Arial"/>
          <w:lang w:val="es-CO"/>
        </w:rPr>
        <w:t xml:space="preserve">registro calificado </w:t>
      </w:r>
      <w:r>
        <w:rPr>
          <w:rFonts w:ascii="Arial" w:hAnsi="Arial" w:cs="Arial"/>
          <w:lang w:val="es-CO"/>
        </w:rPr>
        <w:t xml:space="preserve">vigente; (ii) que la IES no esté sancionada por incumplimiento de las normas de educación superior y (iii) que el programa tenga al menos cuatro cohortes de egresados. </w:t>
      </w:r>
    </w:p>
    <w:p w:rsidR="004D0AA1" w:rsidRDefault="004D0AA1" w:rsidP="0029656C">
      <w:pPr>
        <w:tabs>
          <w:tab w:val="left" w:pos="284"/>
        </w:tabs>
        <w:jc w:val="both"/>
        <w:rPr>
          <w:rFonts w:ascii="Arial" w:hAnsi="Arial" w:cs="Arial"/>
          <w:lang w:val="es-CO"/>
        </w:rPr>
      </w:pPr>
    </w:p>
    <w:p w:rsidR="004D0AA1" w:rsidRDefault="004D0AA1" w:rsidP="0029656C">
      <w:pPr>
        <w:tabs>
          <w:tab w:val="left" w:pos="284"/>
        </w:tabs>
        <w:jc w:val="both"/>
        <w:rPr>
          <w:rFonts w:ascii="Arial" w:hAnsi="Arial" w:cs="Arial"/>
          <w:lang w:val="es-CO"/>
        </w:rPr>
      </w:pPr>
      <w:r>
        <w:rPr>
          <w:rFonts w:ascii="Arial" w:hAnsi="Arial" w:cs="Arial"/>
          <w:lang w:val="es-CO"/>
        </w:rPr>
        <w:t xml:space="preserve">Los principales aciertos de la acreditación consisten en haber definido una serie de referentes de calidad de la educación superior en el marco de los cuales las IES y los programas definen sus propias condiciones de calidad y permiten medir sus avances y retos por alcanzar. </w:t>
      </w:r>
    </w:p>
    <w:p w:rsidR="004D0AA1" w:rsidRDefault="004D0AA1" w:rsidP="0029656C">
      <w:pPr>
        <w:tabs>
          <w:tab w:val="left" w:pos="284"/>
        </w:tabs>
        <w:jc w:val="both"/>
        <w:rPr>
          <w:rFonts w:ascii="Arial" w:hAnsi="Arial" w:cs="Arial"/>
          <w:lang w:val="es-CO"/>
        </w:rPr>
      </w:pPr>
    </w:p>
    <w:p w:rsidR="004D0AA1" w:rsidRDefault="004D0AA1" w:rsidP="0029656C">
      <w:pPr>
        <w:tabs>
          <w:tab w:val="left" w:pos="284"/>
        </w:tabs>
        <w:jc w:val="both"/>
        <w:rPr>
          <w:rFonts w:ascii="Arial" w:hAnsi="Arial" w:cs="Arial"/>
          <w:lang w:val="es-CO"/>
        </w:rPr>
      </w:pPr>
      <w:r>
        <w:rPr>
          <w:rFonts w:ascii="Arial" w:hAnsi="Arial" w:cs="Arial"/>
          <w:lang w:val="es-CO"/>
        </w:rPr>
        <w:t xml:space="preserve">Entre las principales dificultades y desafíos está la baja cobertura de programas e IES que han alcanzado hasta ahora la acreditación de la alta calidad (menos del 20%), esto refleja los grandes esfuerzos que aún deben hacer las IES y todo el sector de educación superior para avanzar hacia condiciones de alta calidad. Entre las principales debilidades halladas en las evaluaciones se encuentran temas asociados a plantas de profesores con formación de alto nivel insuficientes, pocos resultados de investigación y producción intelectual, bajo rendimiento académico de los estudiantes, elevadas tasas de deserción, entre otros. Superar estas dificultades supone disponer de planes, proyectos y recursos por parte de las IES, en un horizonte de mediano y largo plazo. </w:t>
      </w:r>
    </w:p>
    <w:p w:rsidR="004D0AA1" w:rsidRPr="001136EB" w:rsidRDefault="004D0AA1" w:rsidP="0029656C">
      <w:pPr>
        <w:jc w:val="both"/>
        <w:rPr>
          <w:rFonts w:ascii="Arial" w:hAnsi="Arial" w:cs="Arial"/>
        </w:rPr>
      </w:pPr>
    </w:p>
    <w:p w:rsidR="001136EB" w:rsidRDefault="001136EB" w:rsidP="0029656C">
      <w:pPr>
        <w:jc w:val="both"/>
        <w:rPr>
          <w:rFonts w:ascii="Arial" w:hAnsi="Arial" w:cs="Arial"/>
        </w:rPr>
      </w:pPr>
      <w:r w:rsidRPr="001136EB">
        <w:rPr>
          <w:rFonts w:ascii="Arial" w:hAnsi="Arial" w:cs="Arial"/>
        </w:rPr>
        <w:t xml:space="preserve">De acuerdo con el </w:t>
      </w:r>
      <w:r w:rsidR="00C37C5A">
        <w:rPr>
          <w:rFonts w:ascii="Arial" w:hAnsi="Arial" w:cs="Arial"/>
        </w:rPr>
        <w:t xml:space="preserve">Sistema de Aseguramiento de la Calidad de la Educación Superior - </w:t>
      </w:r>
      <w:r w:rsidRPr="001136EB">
        <w:rPr>
          <w:rFonts w:ascii="Arial" w:hAnsi="Arial" w:cs="Arial"/>
        </w:rPr>
        <w:t>SACES</w:t>
      </w:r>
      <w:r w:rsidRPr="00C712CD">
        <w:rPr>
          <w:rStyle w:val="Refdenotaalpie"/>
          <w:rFonts w:ascii="Arial" w:hAnsi="Arial" w:cs="Arial"/>
          <w:vertAlign w:val="superscript"/>
        </w:rPr>
        <w:footnoteReference w:id="4"/>
      </w:r>
      <w:r w:rsidRPr="00C712CD">
        <w:rPr>
          <w:rFonts w:ascii="Arial" w:hAnsi="Arial" w:cs="Arial"/>
        </w:rPr>
        <w:t>, a 31 de diciembre de 2016, existían 11.836 programas con registro calificado</w:t>
      </w:r>
      <w:r w:rsidR="00C37C5A">
        <w:rPr>
          <w:rFonts w:ascii="Arial" w:hAnsi="Arial" w:cs="Arial"/>
        </w:rPr>
        <w:t xml:space="preserve"> activo</w:t>
      </w:r>
      <w:r w:rsidRPr="00C712CD">
        <w:rPr>
          <w:rFonts w:ascii="Arial" w:hAnsi="Arial" w:cs="Arial"/>
        </w:rPr>
        <w:t xml:space="preserve"> de los cuales 1.056 contaban con acreditación</w:t>
      </w:r>
      <w:r w:rsidR="00C37C5A">
        <w:rPr>
          <w:rFonts w:ascii="Arial" w:hAnsi="Arial" w:cs="Arial"/>
        </w:rPr>
        <w:t xml:space="preserve">, lo que equivale al </w:t>
      </w:r>
      <w:r w:rsidRPr="00C712CD">
        <w:rPr>
          <w:rFonts w:ascii="Arial" w:hAnsi="Arial" w:cs="Arial"/>
        </w:rPr>
        <w:t>9%</w:t>
      </w:r>
      <w:r w:rsidR="00C37C5A">
        <w:rPr>
          <w:rFonts w:ascii="Arial" w:hAnsi="Arial" w:cs="Arial"/>
        </w:rPr>
        <w:t xml:space="preserve"> del total de la oferta activa</w:t>
      </w:r>
      <w:r w:rsidRPr="00C712CD">
        <w:rPr>
          <w:rFonts w:ascii="Arial" w:hAnsi="Arial" w:cs="Arial"/>
        </w:rPr>
        <w:t>. En el caso de las institucione</w:t>
      </w:r>
      <w:r w:rsidRPr="001136EB">
        <w:rPr>
          <w:rFonts w:ascii="Arial" w:hAnsi="Arial" w:cs="Arial"/>
        </w:rPr>
        <w:t>s de educación superior, se observa que 41 de las 289 existentes, cuentan con acreditación institucional y 6 se encuentran en proceso de renovación (16%), como se muestra en las siguientes gráficas.</w:t>
      </w:r>
    </w:p>
    <w:p w:rsidR="00B72EE5" w:rsidRPr="001136EB" w:rsidRDefault="00B72EE5" w:rsidP="0029656C">
      <w:pPr>
        <w:jc w:val="both"/>
        <w:rPr>
          <w:rFonts w:ascii="Arial" w:hAnsi="Arial" w:cs="Arial"/>
        </w:rPr>
      </w:pPr>
    </w:p>
    <w:p w:rsidR="00B72EE5" w:rsidRDefault="001136EB" w:rsidP="0029656C">
      <w:pPr>
        <w:jc w:val="center"/>
        <w:rPr>
          <w:rFonts w:ascii="Arial" w:hAnsi="Arial" w:cs="Arial"/>
        </w:rPr>
      </w:pPr>
      <w:r w:rsidRPr="00C712CD">
        <w:rPr>
          <w:noProof/>
          <w:lang w:val="es-CO" w:eastAsia="es-CO"/>
        </w:rPr>
        <w:drawing>
          <wp:inline distT="0" distB="0" distL="0" distR="0" wp14:anchorId="0C30AD64" wp14:editId="427894CB">
            <wp:extent cx="5410847" cy="2639060"/>
            <wp:effectExtent l="0" t="0" r="18415" b="8890"/>
            <wp:docPr id="7" name="Gráfico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740A0" w:rsidRDefault="00B72EE5" w:rsidP="0029656C">
      <w:pPr>
        <w:jc w:val="both"/>
        <w:rPr>
          <w:rFonts w:ascii="Arial" w:hAnsi="Arial" w:cs="Arial"/>
          <w:sz w:val="18"/>
          <w:szCs w:val="18"/>
        </w:rPr>
      </w:pPr>
      <w:r>
        <w:rPr>
          <w:rFonts w:ascii="Arial" w:hAnsi="Arial" w:cs="Arial"/>
          <w:sz w:val="18"/>
          <w:szCs w:val="18"/>
        </w:rPr>
        <w:t xml:space="preserve">        </w:t>
      </w:r>
    </w:p>
    <w:p w:rsidR="00B72EE5" w:rsidRDefault="00E609D3" w:rsidP="0029656C">
      <w:pPr>
        <w:jc w:val="both"/>
        <w:rPr>
          <w:rFonts w:ascii="Arial" w:hAnsi="Arial" w:cs="Arial"/>
          <w:sz w:val="18"/>
          <w:szCs w:val="18"/>
        </w:rPr>
      </w:pPr>
      <w:r>
        <w:rPr>
          <w:rFonts w:ascii="Arial" w:hAnsi="Arial" w:cs="Arial"/>
          <w:sz w:val="18"/>
          <w:szCs w:val="18"/>
        </w:rPr>
        <w:t>Gráfico</w:t>
      </w:r>
      <w:r w:rsidR="00C37C5A" w:rsidRPr="00C37C5A">
        <w:rPr>
          <w:rFonts w:ascii="Arial" w:hAnsi="Arial" w:cs="Arial"/>
          <w:sz w:val="18"/>
          <w:szCs w:val="18"/>
        </w:rPr>
        <w:t xml:space="preserve"> No. 1.                                   </w:t>
      </w:r>
      <w:r w:rsidR="00C37C5A">
        <w:rPr>
          <w:rFonts w:ascii="Arial" w:hAnsi="Arial" w:cs="Arial"/>
          <w:sz w:val="18"/>
          <w:szCs w:val="18"/>
        </w:rPr>
        <w:t xml:space="preserve">          </w:t>
      </w:r>
      <w:r w:rsidR="00C37C5A" w:rsidRPr="00C37C5A">
        <w:rPr>
          <w:rFonts w:ascii="Arial" w:hAnsi="Arial" w:cs="Arial"/>
          <w:sz w:val="18"/>
          <w:szCs w:val="18"/>
        </w:rPr>
        <w:t xml:space="preserve"> </w:t>
      </w:r>
      <w:r>
        <w:rPr>
          <w:rFonts w:ascii="Arial" w:hAnsi="Arial" w:cs="Arial"/>
          <w:sz w:val="18"/>
          <w:szCs w:val="18"/>
        </w:rPr>
        <w:t xml:space="preserve">                         </w:t>
      </w:r>
    </w:p>
    <w:p w:rsidR="00B72EE5" w:rsidRDefault="00B72EE5" w:rsidP="0029656C">
      <w:pPr>
        <w:jc w:val="both"/>
        <w:rPr>
          <w:rFonts w:ascii="Arial" w:hAnsi="Arial" w:cs="Arial"/>
          <w:sz w:val="18"/>
          <w:szCs w:val="18"/>
        </w:rPr>
      </w:pPr>
    </w:p>
    <w:p w:rsidR="00B72EE5" w:rsidRDefault="00B72EE5" w:rsidP="00B72EE5">
      <w:pPr>
        <w:jc w:val="center"/>
        <w:rPr>
          <w:rFonts w:ascii="Arial" w:hAnsi="Arial" w:cs="Arial"/>
          <w:sz w:val="18"/>
          <w:szCs w:val="18"/>
        </w:rPr>
      </w:pPr>
      <w:r w:rsidRPr="00596184">
        <w:rPr>
          <w:noProof/>
          <w:lang w:val="es-CO" w:eastAsia="es-CO"/>
        </w:rPr>
        <w:drawing>
          <wp:inline distT="0" distB="0" distL="0" distR="0" wp14:anchorId="41B735B5" wp14:editId="2C944589">
            <wp:extent cx="5460520" cy="2337758"/>
            <wp:effectExtent l="0" t="0" r="6985" b="5715"/>
            <wp:docPr id="8" name="Gráfico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740A0" w:rsidRDefault="00B72EE5" w:rsidP="0029656C">
      <w:pPr>
        <w:jc w:val="both"/>
        <w:rPr>
          <w:rFonts w:ascii="Arial" w:hAnsi="Arial" w:cs="Arial"/>
          <w:sz w:val="18"/>
          <w:szCs w:val="18"/>
        </w:rPr>
      </w:pPr>
      <w:r>
        <w:rPr>
          <w:rFonts w:ascii="Arial" w:hAnsi="Arial" w:cs="Arial"/>
          <w:sz w:val="18"/>
          <w:szCs w:val="18"/>
        </w:rPr>
        <w:t xml:space="preserve"> </w:t>
      </w:r>
      <w:r w:rsidR="00E609D3">
        <w:rPr>
          <w:rFonts w:ascii="Arial" w:hAnsi="Arial" w:cs="Arial"/>
          <w:sz w:val="18"/>
          <w:szCs w:val="18"/>
        </w:rPr>
        <w:t xml:space="preserve">    </w:t>
      </w:r>
    </w:p>
    <w:p w:rsidR="001136EB" w:rsidRPr="00C37C5A" w:rsidRDefault="00E609D3" w:rsidP="0029656C">
      <w:pPr>
        <w:jc w:val="both"/>
        <w:rPr>
          <w:rFonts w:ascii="Arial" w:hAnsi="Arial" w:cs="Arial"/>
          <w:sz w:val="18"/>
          <w:szCs w:val="18"/>
        </w:rPr>
      </w:pPr>
      <w:r>
        <w:rPr>
          <w:rFonts w:ascii="Arial" w:hAnsi="Arial" w:cs="Arial"/>
          <w:sz w:val="18"/>
          <w:szCs w:val="18"/>
        </w:rPr>
        <w:t xml:space="preserve">  Gráfico</w:t>
      </w:r>
      <w:r w:rsidR="00C37C5A" w:rsidRPr="00C37C5A">
        <w:rPr>
          <w:rFonts w:ascii="Arial" w:hAnsi="Arial" w:cs="Arial"/>
          <w:sz w:val="18"/>
          <w:szCs w:val="18"/>
        </w:rPr>
        <w:t xml:space="preserve"> No. 2.</w:t>
      </w:r>
    </w:p>
    <w:p w:rsidR="003E014B" w:rsidRDefault="003E014B" w:rsidP="0029656C">
      <w:pPr>
        <w:jc w:val="both"/>
        <w:rPr>
          <w:rFonts w:ascii="Arial" w:hAnsi="Arial" w:cs="Arial"/>
        </w:rPr>
      </w:pPr>
    </w:p>
    <w:p w:rsidR="003E796D" w:rsidRDefault="003E796D" w:rsidP="0029656C">
      <w:pPr>
        <w:jc w:val="both"/>
        <w:rPr>
          <w:rFonts w:ascii="Arial" w:hAnsi="Arial" w:cs="Arial"/>
        </w:rPr>
      </w:pPr>
      <w:r>
        <w:rPr>
          <w:rFonts w:ascii="Arial" w:hAnsi="Arial" w:cs="Arial"/>
        </w:rPr>
        <w:t xml:space="preserve">De otra parte, teniendo en cuenta el comportamiento de los últimos </w:t>
      </w:r>
      <w:r w:rsidR="00E603F8">
        <w:rPr>
          <w:rFonts w:ascii="Arial" w:hAnsi="Arial" w:cs="Arial"/>
        </w:rPr>
        <w:t>cinco</w:t>
      </w:r>
      <w:r>
        <w:rPr>
          <w:rFonts w:ascii="Arial" w:hAnsi="Arial" w:cs="Arial"/>
        </w:rPr>
        <w:t xml:space="preserve"> años de los desembolsos de recursos que viene realizando el ICETEX para atender la demanda de créditos educativos a nivel nacional, se constata que </w:t>
      </w:r>
      <w:r w:rsidR="00E603F8">
        <w:rPr>
          <w:rFonts w:ascii="Arial" w:hAnsi="Arial" w:cs="Arial"/>
        </w:rPr>
        <w:t>históricamente la mayoría de solicitudes está asociada a programas académicos que no cuentan con acreditación.</w:t>
      </w:r>
      <w:r w:rsidR="00C6053F">
        <w:rPr>
          <w:rFonts w:ascii="Arial" w:hAnsi="Arial" w:cs="Arial"/>
        </w:rPr>
        <w:t xml:space="preserve"> Algunas de los principales motivos de esta circunstancia son: i) el menor costo de matrícula de instituciones y programas no acreditados en comparación con los que sí cuentan con este reconocimiento, y ii) que varias zonas del país no cuentan con una oferta de educación superior acreditada, tal como se expondrá más adelante en esta exposición de motivos.  </w:t>
      </w:r>
    </w:p>
    <w:p w:rsidR="00E603F8" w:rsidRDefault="00E603F8" w:rsidP="0029656C">
      <w:pPr>
        <w:jc w:val="both"/>
        <w:rPr>
          <w:rFonts w:ascii="Arial" w:hAnsi="Arial" w:cs="Arial"/>
        </w:rPr>
      </w:pPr>
    </w:p>
    <w:p w:rsidR="00E603F8" w:rsidRDefault="00E603F8" w:rsidP="0029656C">
      <w:pPr>
        <w:jc w:val="both"/>
        <w:rPr>
          <w:rFonts w:ascii="Arial" w:hAnsi="Arial" w:cs="Arial"/>
        </w:rPr>
      </w:pPr>
      <w:r>
        <w:rPr>
          <w:rFonts w:ascii="Arial" w:hAnsi="Arial" w:cs="Arial"/>
        </w:rPr>
        <w:lastRenderedPageBreak/>
        <w:t xml:space="preserve">En el siguiente gráfico se muestra la tendencia que, si bien refleja un incremento en la demanda de créditos para realizar estudios en </w:t>
      </w:r>
      <w:r w:rsidR="008325AE">
        <w:rPr>
          <w:rFonts w:ascii="Arial" w:hAnsi="Arial" w:cs="Arial"/>
        </w:rPr>
        <w:t xml:space="preserve">instituciones de educación superior acreditadas, </w:t>
      </w:r>
      <w:r>
        <w:rPr>
          <w:rFonts w:ascii="Arial" w:hAnsi="Arial" w:cs="Arial"/>
        </w:rPr>
        <w:t xml:space="preserve">sigue siendo significativamente mayoritaria para </w:t>
      </w:r>
      <w:r w:rsidR="008325AE">
        <w:rPr>
          <w:rFonts w:ascii="Arial" w:hAnsi="Arial" w:cs="Arial"/>
        </w:rPr>
        <w:t>instituciones sin acreditación</w:t>
      </w:r>
      <w:r w:rsidRPr="00E603F8">
        <w:rPr>
          <w:rStyle w:val="Refdenotaalpie"/>
          <w:rFonts w:ascii="Arial" w:hAnsi="Arial" w:cs="Arial"/>
          <w:vertAlign w:val="superscript"/>
        </w:rPr>
        <w:footnoteReference w:id="5"/>
      </w:r>
      <w:r>
        <w:rPr>
          <w:rFonts w:ascii="Arial" w:hAnsi="Arial" w:cs="Arial"/>
        </w:rPr>
        <w:t>.</w:t>
      </w:r>
    </w:p>
    <w:p w:rsidR="003E796D" w:rsidRDefault="003E796D" w:rsidP="0029656C">
      <w:pPr>
        <w:jc w:val="both"/>
        <w:rPr>
          <w:rFonts w:ascii="Arial" w:hAnsi="Arial" w:cs="Arial"/>
        </w:rPr>
      </w:pPr>
    </w:p>
    <w:p w:rsidR="003E796D" w:rsidRDefault="002974D4" w:rsidP="0029656C">
      <w:pPr>
        <w:jc w:val="center"/>
        <w:rPr>
          <w:rFonts w:ascii="Arial" w:hAnsi="Arial" w:cs="Arial"/>
        </w:rPr>
      </w:pPr>
      <w:r>
        <w:rPr>
          <w:noProof/>
          <w:lang w:val="es-CO" w:eastAsia="es-CO"/>
        </w:rPr>
        <w:drawing>
          <wp:inline distT="0" distB="0" distL="0" distR="0" wp14:anchorId="46E4F811" wp14:editId="590D7BEA">
            <wp:extent cx="5727940" cy="2881223"/>
            <wp:effectExtent l="0" t="0" r="6350" b="14605"/>
            <wp:docPr id="1" name="Gráfico 1">
              <a:extLst xmlns:a="http://schemas.openxmlformats.org/drawingml/2006/main">
                <a:ext uri="{FF2B5EF4-FFF2-40B4-BE49-F238E27FC236}">
                  <a16:creationId xmlns:a16="http://schemas.microsoft.com/office/drawing/2014/main" id="{D8B2E7AB-44B2-4AB9-8509-AC3C868035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740A0" w:rsidRDefault="00E07F0E" w:rsidP="0029656C">
      <w:pPr>
        <w:jc w:val="both"/>
        <w:rPr>
          <w:rFonts w:ascii="Arial" w:hAnsi="Arial" w:cs="Arial"/>
          <w:sz w:val="18"/>
          <w:szCs w:val="18"/>
        </w:rPr>
      </w:pPr>
      <w:r>
        <w:rPr>
          <w:rFonts w:ascii="Arial" w:hAnsi="Arial" w:cs="Arial"/>
          <w:sz w:val="18"/>
          <w:szCs w:val="18"/>
        </w:rPr>
        <w:t xml:space="preserve">     </w:t>
      </w:r>
    </w:p>
    <w:p w:rsidR="003E796D" w:rsidRPr="004E3938" w:rsidRDefault="003E796D" w:rsidP="0029656C">
      <w:pPr>
        <w:jc w:val="both"/>
        <w:rPr>
          <w:rFonts w:ascii="Arial" w:hAnsi="Arial" w:cs="Arial"/>
          <w:sz w:val="18"/>
          <w:szCs w:val="18"/>
        </w:rPr>
      </w:pPr>
      <w:r>
        <w:rPr>
          <w:rFonts w:ascii="Arial" w:hAnsi="Arial" w:cs="Arial"/>
          <w:sz w:val="18"/>
          <w:szCs w:val="18"/>
        </w:rPr>
        <w:t xml:space="preserve">Gráfico No. </w:t>
      </w:r>
      <w:r w:rsidR="003A5AF3">
        <w:rPr>
          <w:rFonts w:ascii="Arial" w:hAnsi="Arial" w:cs="Arial"/>
          <w:sz w:val="18"/>
          <w:szCs w:val="18"/>
        </w:rPr>
        <w:t>3</w:t>
      </w:r>
      <w:r>
        <w:rPr>
          <w:rFonts w:ascii="Arial" w:hAnsi="Arial" w:cs="Arial"/>
          <w:sz w:val="18"/>
          <w:szCs w:val="18"/>
        </w:rPr>
        <w:t>.</w:t>
      </w:r>
    </w:p>
    <w:p w:rsidR="003E014B" w:rsidRDefault="003E014B" w:rsidP="0029656C">
      <w:pPr>
        <w:jc w:val="both"/>
        <w:rPr>
          <w:rFonts w:ascii="Arial" w:hAnsi="Arial" w:cs="Arial"/>
        </w:rPr>
      </w:pPr>
    </w:p>
    <w:p w:rsidR="008325AE" w:rsidRDefault="00E603F8" w:rsidP="0029656C">
      <w:pPr>
        <w:jc w:val="both"/>
        <w:rPr>
          <w:rFonts w:ascii="Arial" w:hAnsi="Arial" w:cs="Arial"/>
        </w:rPr>
      </w:pPr>
      <w:r>
        <w:rPr>
          <w:rFonts w:ascii="Arial" w:hAnsi="Arial" w:cs="Arial"/>
        </w:rPr>
        <w:t>En este sentido, de persistir la restricción normativa que impide otorgar créditos educativos a través del ICETEX para cursar</w:t>
      </w:r>
      <w:r w:rsidR="008325AE">
        <w:rPr>
          <w:rFonts w:ascii="Arial" w:hAnsi="Arial" w:cs="Arial"/>
        </w:rPr>
        <w:t xml:space="preserve"> estudios en</w:t>
      </w:r>
      <w:r>
        <w:rPr>
          <w:rFonts w:ascii="Arial" w:hAnsi="Arial" w:cs="Arial"/>
        </w:rPr>
        <w:t xml:space="preserve"> programas de educación superior sin acreditación</w:t>
      </w:r>
      <w:r w:rsidR="008325AE">
        <w:rPr>
          <w:rFonts w:ascii="Arial" w:hAnsi="Arial" w:cs="Arial"/>
        </w:rPr>
        <w:t xml:space="preserve"> o en instituciones de educación superior sin acreditación</w:t>
      </w:r>
      <w:r>
        <w:rPr>
          <w:rFonts w:ascii="Arial" w:hAnsi="Arial" w:cs="Arial"/>
        </w:rPr>
        <w:t xml:space="preserve">, la mayoría de los potenciales </w:t>
      </w:r>
      <w:r w:rsidR="008325AE">
        <w:rPr>
          <w:rFonts w:ascii="Arial" w:hAnsi="Arial" w:cs="Arial"/>
        </w:rPr>
        <w:t xml:space="preserve">jóvenes que demandan el </w:t>
      </w:r>
      <w:r>
        <w:rPr>
          <w:rFonts w:ascii="Arial" w:hAnsi="Arial" w:cs="Arial"/>
        </w:rPr>
        <w:t xml:space="preserve">apoyo financiero estatal </w:t>
      </w:r>
      <w:r w:rsidR="008325AE">
        <w:rPr>
          <w:rFonts w:ascii="Arial" w:hAnsi="Arial" w:cs="Arial"/>
        </w:rPr>
        <w:t>con el cual se les facilita el acceso y permanencia en la educación superior no contarían con estos recursos.</w:t>
      </w:r>
    </w:p>
    <w:p w:rsidR="008325AE" w:rsidRDefault="008325AE" w:rsidP="0029656C">
      <w:pPr>
        <w:jc w:val="both"/>
        <w:rPr>
          <w:rFonts w:ascii="Arial" w:hAnsi="Arial" w:cs="Arial"/>
        </w:rPr>
      </w:pPr>
    </w:p>
    <w:p w:rsidR="003E796D" w:rsidRDefault="008325AE" w:rsidP="0029656C">
      <w:pPr>
        <w:jc w:val="both"/>
        <w:rPr>
          <w:rFonts w:ascii="Arial" w:hAnsi="Arial" w:cs="Arial"/>
        </w:rPr>
      </w:pPr>
      <w:r>
        <w:rPr>
          <w:rFonts w:ascii="Arial" w:hAnsi="Arial" w:cs="Arial"/>
        </w:rPr>
        <w:t xml:space="preserve">Lo anterior puede tener una repercusión negativa en la tasa de cobertura, en tanto que </w:t>
      </w:r>
      <w:r w:rsidR="00084DE0">
        <w:rPr>
          <w:rFonts w:ascii="Arial" w:hAnsi="Arial" w:cs="Arial"/>
        </w:rPr>
        <w:t>al no contar con este apoyo económico los potenciales beneficiarios no podrían acceder a la educación superior</w:t>
      </w:r>
      <w:r>
        <w:rPr>
          <w:rFonts w:ascii="Arial" w:hAnsi="Arial" w:cs="Arial"/>
        </w:rPr>
        <w:t>. Inclusive,</w:t>
      </w:r>
      <w:r w:rsidR="00084DE0">
        <w:rPr>
          <w:rFonts w:ascii="Arial" w:hAnsi="Arial" w:cs="Arial"/>
        </w:rPr>
        <w:t xml:space="preserve"> </w:t>
      </w:r>
      <w:r>
        <w:rPr>
          <w:rFonts w:ascii="Arial" w:hAnsi="Arial" w:cs="Arial"/>
        </w:rPr>
        <w:t xml:space="preserve">podría generar un </w:t>
      </w:r>
      <w:r w:rsidR="00084DE0">
        <w:rPr>
          <w:rFonts w:ascii="Arial" w:hAnsi="Arial" w:cs="Arial"/>
        </w:rPr>
        <w:t>incremento en</w:t>
      </w:r>
      <w:r>
        <w:rPr>
          <w:rFonts w:ascii="Arial" w:hAnsi="Arial" w:cs="Arial"/>
        </w:rPr>
        <w:t xml:space="preserve"> </w:t>
      </w:r>
      <w:r w:rsidR="00084DE0">
        <w:rPr>
          <w:rFonts w:ascii="Arial" w:hAnsi="Arial" w:cs="Arial"/>
        </w:rPr>
        <w:t xml:space="preserve">tasa de </w:t>
      </w:r>
      <w:r>
        <w:rPr>
          <w:rFonts w:ascii="Arial" w:hAnsi="Arial" w:cs="Arial"/>
        </w:rPr>
        <w:t xml:space="preserve">deserción, </w:t>
      </w:r>
      <w:r w:rsidR="00084DE0">
        <w:rPr>
          <w:rFonts w:ascii="Arial" w:hAnsi="Arial" w:cs="Arial"/>
        </w:rPr>
        <w:t xml:space="preserve">pues muchos de los </w:t>
      </w:r>
      <w:r>
        <w:rPr>
          <w:rFonts w:ascii="Arial" w:hAnsi="Arial" w:cs="Arial"/>
        </w:rPr>
        <w:t xml:space="preserve">beneficiarios solicitan su crédito </w:t>
      </w:r>
      <w:r w:rsidR="00084DE0">
        <w:rPr>
          <w:rFonts w:ascii="Arial" w:hAnsi="Arial" w:cs="Arial"/>
        </w:rPr>
        <w:t xml:space="preserve">educativo </w:t>
      </w:r>
      <w:r>
        <w:rPr>
          <w:rFonts w:ascii="Arial" w:hAnsi="Arial" w:cs="Arial"/>
        </w:rPr>
        <w:t>después de haber iniciado sus estudios en educación superior, justamente para financiar los períodos académicos en los que por sí mismos o con el apoyo de sus familias no lo pueden hacer.</w:t>
      </w:r>
    </w:p>
    <w:p w:rsidR="00084DE0" w:rsidRDefault="00084DE0" w:rsidP="0029656C">
      <w:pPr>
        <w:jc w:val="both"/>
        <w:rPr>
          <w:rFonts w:ascii="Arial" w:hAnsi="Arial" w:cs="Arial"/>
        </w:rPr>
      </w:pPr>
    </w:p>
    <w:p w:rsidR="00084DE0" w:rsidRDefault="00084DE0" w:rsidP="0029656C">
      <w:pPr>
        <w:jc w:val="both"/>
        <w:rPr>
          <w:rFonts w:ascii="Arial" w:hAnsi="Arial" w:cs="Arial"/>
        </w:rPr>
      </w:pPr>
      <w:r>
        <w:rPr>
          <w:rFonts w:ascii="Arial" w:hAnsi="Arial" w:cs="Arial"/>
        </w:rPr>
        <w:t xml:space="preserve">Revisando los históricos de desembolsos de créditos educativos del ICETEX, se observa un promedio de </w:t>
      </w:r>
      <w:r w:rsidR="00027DE8">
        <w:rPr>
          <w:rFonts w:ascii="Arial" w:hAnsi="Arial" w:cs="Arial"/>
        </w:rPr>
        <w:t>59.435</w:t>
      </w:r>
      <w:r>
        <w:rPr>
          <w:rFonts w:ascii="Arial" w:hAnsi="Arial" w:cs="Arial"/>
        </w:rPr>
        <w:t xml:space="preserve"> nuevos jóvenes por año que solicitan el apoyo del Estado para financiar sus estudios de educación superior, ya sea para iniciarlos o para continuarlos. De </w:t>
      </w:r>
      <w:r w:rsidR="00C6053F">
        <w:rPr>
          <w:rFonts w:ascii="Arial" w:hAnsi="Arial" w:cs="Arial"/>
        </w:rPr>
        <w:t>e</w:t>
      </w:r>
      <w:r>
        <w:rPr>
          <w:rFonts w:ascii="Arial" w:hAnsi="Arial" w:cs="Arial"/>
        </w:rPr>
        <w:t xml:space="preserve">stos, </w:t>
      </w:r>
      <w:r w:rsidR="00027DE8">
        <w:rPr>
          <w:rFonts w:ascii="Arial" w:hAnsi="Arial" w:cs="Arial"/>
        </w:rPr>
        <w:t>37.103</w:t>
      </w:r>
      <w:r>
        <w:rPr>
          <w:rFonts w:ascii="Arial" w:hAnsi="Arial" w:cs="Arial"/>
        </w:rPr>
        <w:t xml:space="preserve"> demandan dicho apoyo para realizar sus estudios en instituciones de educación superior sin a</w:t>
      </w:r>
      <w:r w:rsidR="00027DE8">
        <w:rPr>
          <w:rFonts w:ascii="Arial" w:hAnsi="Arial" w:cs="Arial"/>
        </w:rPr>
        <w:t>creditación, que equivalen al 62</w:t>
      </w:r>
      <w:r>
        <w:rPr>
          <w:rFonts w:ascii="Arial" w:hAnsi="Arial" w:cs="Arial"/>
        </w:rPr>
        <w:t>% del total de nuevos solicitantes al año, en promedio</w:t>
      </w:r>
      <w:r w:rsidR="00027DE8" w:rsidRPr="004C2E76">
        <w:rPr>
          <w:rStyle w:val="Refdenotaalpie"/>
          <w:rFonts w:ascii="Arial" w:hAnsi="Arial" w:cs="Arial"/>
          <w:vertAlign w:val="superscript"/>
        </w:rPr>
        <w:footnoteReference w:id="6"/>
      </w:r>
      <w:r>
        <w:rPr>
          <w:rFonts w:ascii="Arial" w:hAnsi="Arial" w:cs="Arial"/>
        </w:rPr>
        <w:t>.</w:t>
      </w:r>
    </w:p>
    <w:p w:rsidR="00084DE0" w:rsidRDefault="00084DE0" w:rsidP="0029656C">
      <w:pPr>
        <w:jc w:val="both"/>
        <w:rPr>
          <w:rFonts w:ascii="Arial" w:hAnsi="Arial" w:cs="Arial"/>
        </w:rPr>
      </w:pPr>
    </w:p>
    <w:p w:rsidR="004C2E76" w:rsidRDefault="004C2E76" w:rsidP="0029656C">
      <w:pPr>
        <w:jc w:val="both"/>
        <w:rPr>
          <w:rFonts w:ascii="Arial" w:hAnsi="Arial" w:cs="Arial"/>
        </w:rPr>
      </w:pPr>
      <w:r>
        <w:rPr>
          <w:rFonts w:ascii="Arial" w:hAnsi="Arial" w:cs="Arial"/>
        </w:rPr>
        <w:lastRenderedPageBreak/>
        <w:t>En el siguiente cuadro se presenta el histórico de los desembolsos que ha realizado el ICETEX año a año desde el 2011 y lo corrido del año 2017</w:t>
      </w:r>
      <w:r w:rsidR="005223E3">
        <w:rPr>
          <w:rFonts w:ascii="Arial" w:hAnsi="Arial" w:cs="Arial"/>
        </w:rPr>
        <w:t xml:space="preserve"> (primer semestre)</w:t>
      </w:r>
      <w:r>
        <w:rPr>
          <w:rFonts w:ascii="Arial" w:hAnsi="Arial" w:cs="Arial"/>
        </w:rPr>
        <w:t>, en el que se constata cuántos corresponden a solicitudes para cursar estudios en instituciones de educación sin acreditación y cuantos en instituciones acreditadas.</w:t>
      </w:r>
      <w:r w:rsidR="00864A90">
        <w:rPr>
          <w:rFonts w:ascii="Arial" w:hAnsi="Arial" w:cs="Arial"/>
        </w:rPr>
        <w:t xml:space="preserve"> Con el mismo histórico se </w:t>
      </w:r>
      <w:r w:rsidR="005223E3">
        <w:rPr>
          <w:rFonts w:ascii="Arial" w:hAnsi="Arial" w:cs="Arial"/>
        </w:rPr>
        <w:t>calculó u</w:t>
      </w:r>
      <w:r w:rsidR="00864A90">
        <w:rPr>
          <w:rFonts w:ascii="Arial" w:hAnsi="Arial" w:cs="Arial"/>
        </w:rPr>
        <w:t xml:space="preserve">n promedio anual que se tiene como referente para estimar los potenciales solicitantes de créditos educativos </w:t>
      </w:r>
      <w:r w:rsidR="005223E3">
        <w:rPr>
          <w:rFonts w:ascii="Arial" w:hAnsi="Arial" w:cs="Arial"/>
        </w:rPr>
        <w:t>para el año 2018.</w:t>
      </w:r>
    </w:p>
    <w:p w:rsidR="004C2E76" w:rsidRDefault="004C2E76" w:rsidP="0029656C">
      <w:pPr>
        <w:jc w:val="both"/>
        <w:rPr>
          <w:rFonts w:ascii="Arial" w:hAnsi="Arial" w:cs="Arial"/>
        </w:rPr>
      </w:pPr>
    </w:p>
    <w:tbl>
      <w:tblPr>
        <w:tblW w:w="9202" w:type="dxa"/>
        <w:jc w:val="center"/>
        <w:tblCellMar>
          <w:left w:w="70" w:type="dxa"/>
          <w:right w:w="70" w:type="dxa"/>
        </w:tblCellMar>
        <w:tblLook w:val="04A0" w:firstRow="1" w:lastRow="0" w:firstColumn="1" w:lastColumn="0" w:noHBand="0" w:noVBand="1"/>
      </w:tblPr>
      <w:tblGrid>
        <w:gridCol w:w="3042"/>
        <w:gridCol w:w="880"/>
        <w:gridCol w:w="880"/>
        <w:gridCol w:w="880"/>
        <w:gridCol w:w="880"/>
        <w:gridCol w:w="880"/>
        <w:gridCol w:w="880"/>
        <w:gridCol w:w="880"/>
      </w:tblGrid>
      <w:tr w:rsidR="00177D8E" w:rsidRPr="00177D8E" w:rsidTr="00E07F0E">
        <w:trPr>
          <w:trHeight w:val="255"/>
          <w:jc w:val="center"/>
        </w:trPr>
        <w:tc>
          <w:tcPr>
            <w:tcW w:w="3042" w:type="dxa"/>
            <w:tcBorders>
              <w:top w:val="single" w:sz="4" w:space="0" w:color="auto"/>
              <w:left w:val="single" w:sz="4" w:space="0" w:color="auto"/>
              <w:bottom w:val="single" w:sz="4" w:space="0" w:color="auto"/>
              <w:right w:val="single" w:sz="4" w:space="0" w:color="auto"/>
            </w:tcBorders>
            <w:shd w:val="clear" w:color="000000" w:fill="FFC000"/>
            <w:vAlign w:val="center"/>
            <w:hideMark/>
          </w:tcPr>
          <w:p w:rsidR="00177D8E" w:rsidRPr="00177D8E" w:rsidRDefault="00177D8E" w:rsidP="0029656C">
            <w:pPr>
              <w:rPr>
                <w:rFonts w:ascii="Arial" w:hAnsi="Arial" w:cs="Arial"/>
                <w:b/>
                <w:bCs/>
                <w:color w:val="000000"/>
                <w:sz w:val="20"/>
                <w:szCs w:val="20"/>
              </w:rPr>
            </w:pPr>
            <w:r w:rsidRPr="00177D8E">
              <w:rPr>
                <w:rFonts w:ascii="Arial" w:hAnsi="Arial" w:cs="Arial"/>
                <w:b/>
                <w:bCs/>
                <w:color w:val="000000"/>
                <w:sz w:val="20"/>
                <w:szCs w:val="20"/>
              </w:rPr>
              <w:t>Concepto</w:t>
            </w:r>
          </w:p>
        </w:tc>
        <w:tc>
          <w:tcPr>
            <w:tcW w:w="880" w:type="dxa"/>
            <w:tcBorders>
              <w:top w:val="single" w:sz="4" w:space="0" w:color="auto"/>
              <w:left w:val="nil"/>
              <w:bottom w:val="single" w:sz="4" w:space="0" w:color="auto"/>
              <w:right w:val="single" w:sz="4" w:space="0" w:color="auto"/>
            </w:tcBorders>
            <w:shd w:val="clear" w:color="000000" w:fill="FFC000"/>
            <w:vAlign w:val="center"/>
            <w:hideMark/>
          </w:tcPr>
          <w:p w:rsidR="00177D8E" w:rsidRPr="00177D8E" w:rsidRDefault="00177D8E" w:rsidP="0029656C">
            <w:pPr>
              <w:jc w:val="center"/>
              <w:rPr>
                <w:rFonts w:ascii="Arial" w:hAnsi="Arial" w:cs="Arial"/>
                <w:b/>
                <w:bCs/>
                <w:color w:val="000000"/>
                <w:sz w:val="20"/>
                <w:szCs w:val="20"/>
              </w:rPr>
            </w:pPr>
            <w:r w:rsidRPr="00177D8E">
              <w:rPr>
                <w:rFonts w:ascii="Arial" w:hAnsi="Arial" w:cs="Arial"/>
                <w:b/>
                <w:bCs/>
                <w:color w:val="000000"/>
                <w:sz w:val="20"/>
                <w:szCs w:val="20"/>
              </w:rPr>
              <w:t>2012</w:t>
            </w:r>
          </w:p>
        </w:tc>
        <w:tc>
          <w:tcPr>
            <w:tcW w:w="880" w:type="dxa"/>
            <w:tcBorders>
              <w:top w:val="single" w:sz="4" w:space="0" w:color="auto"/>
              <w:left w:val="nil"/>
              <w:bottom w:val="single" w:sz="4" w:space="0" w:color="auto"/>
              <w:right w:val="single" w:sz="4" w:space="0" w:color="auto"/>
            </w:tcBorders>
            <w:shd w:val="clear" w:color="000000" w:fill="FFC000"/>
            <w:vAlign w:val="center"/>
            <w:hideMark/>
          </w:tcPr>
          <w:p w:rsidR="00177D8E" w:rsidRPr="00177D8E" w:rsidRDefault="00177D8E" w:rsidP="0029656C">
            <w:pPr>
              <w:jc w:val="center"/>
              <w:rPr>
                <w:rFonts w:ascii="Arial" w:hAnsi="Arial" w:cs="Arial"/>
                <w:b/>
                <w:bCs/>
                <w:color w:val="000000"/>
                <w:sz w:val="20"/>
                <w:szCs w:val="20"/>
              </w:rPr>
            </w:pPr>
            <w:r w:rsidRPr="00177D8E">
              <w:rPr>
                <w:rFonts w:ascii="Arial" w:hAnsi="Arial" w:cs="Arial"/>
                <w:b/>
                <w:bCs/>
                <w:color w:val="000000"/>
                <w:sz w:val="20"/>
                <w:szCs w:val="20"/>
              </w:rPr>
              <w:t>2013</w:t>
            </w:r>
          </w:p>
        </w:tc>
        <w:tc>
          <w:tcPr>
            <w:tcW w:w="880" w:type="dxa"/>
            <w:tcBorders>
              <w:top w:val="single" w:sz="4" w:space="0" w:color="auto"/>
              <w:left w:val="nil"/>
              <w:bottom w:val="single" w:sz="4" w:space="0" w:color="auto"/>
              <w:right w:val="single" w:sz="4" w:space="0" w:color="auto"/>
            </w:tcBorders>
            <w:shd w:val="clear" w:color="000000" w:fill="FFC000"/>
            <w:vAlign w:val="center"/>
            <w:hideMark/>
          </w:tcPr>
          <w:p w:rsidR="00177D8E" w:rsidRPr="00177D8E" w:rsidRDefault="00177D8E" w:rsidP="0029656C">
            <w:pPr>
              <w:jc w:val="center"/>
              <w:rPr>
                <w:rFonts w:ascii="Arial" w:hAnsi="Arial" w:cs="Arial"/>
                <w:b/>
                <w:bCs/>
                <w:color w:val="000000"/>
                <w:sz w:val="20"/>
                <w:szCs w:val="20"/>
              </w:rPr>
            </w:pPr>
            <w:r w:rsidRPr="00177D8E">
              <w:rPr>
                <w:rFonts w:ascii="Arial" w:hAnsi="Arial" w:cs="Arial"/>
                <w:b/>
                <w:bCs/>
                <w:color w:val="000000"/>
                <w:sz w:val="20"/>
                <w:szCs w:val="20"/>
              </w:rPr>
              <w:t>2014</w:t>
            </w:r>
          </w:p>
        </w:tc>
        <w:tc>
          <w:tcPr>
            <w:tcW w:w="880" w:type="dxa"/>
            <w:tcBorders>
              <w:top w:val="single" w:sz="4" w:space="0" w:color="auto"/>
              <w:left w:val="nil"/>
              <w:bottom w:val="single" w:sz="4" w:space="0" w:color="auto"/>
              <w:right w:val="single" w:sz="4" w:space="0" w:color="auto"/>
            </w:tcBorders>
            <w:shd w:val="clear" w:color="000000" w:fill="FFC000"/>
            <w:vAlign w:val="center"/>
            <w:hideMark/>
          </w:tcPr>
          <w:p w:rsidR="00177D8E" w:rsidRPr="00177D8E" w:rsidRDefault="00177D8E" w:rsidP="0029656C">
            <w:pPr>
              <w:jc w:val="center"/>
              <w:rPr>
                <w:rFonts w:ascii="Arial" w:hAnsi="Arial" w:cs="Arial"/>
                <w:b/>
                <w:bCs/>
                <w:color w:val="000000"/>
                <w:sz w:val="20"/>
                <w:szCs w:val="20"/>
              </w:rPr>
            </w:pPr>
            <w:r w:rsidRPr="00177D8E">
              <w:rPr>
                <w:rFonts w:ascii="Arial" w:hAnsi="Arial" w:cs="Arial"/>
                <w:b/>
                <w:bCs/>
                <w:color w:val="000000"/>
                <w:sz w:val="20"/>
                <w:szCs w:val="20"/>
              </w:rPr>
              <w:t>2015</w:t>
            </w:r>
          </w:p>
        </w:tc>
        <w:tc>
          <w:tcPr>
            <w:tcW w:w="880" w:type="dxa"/>
            <w:tcBorders>
              <w:top w:val="single" w:sz="4" w:space="0" w:color="auto"/>
              <w:left w:val="nil"/>
              <w:bottom w:val="single" w:sz="4" w:space="0" w:color="auto"/>
              <w:right w:val="single" w:sz="4" w:space="0" w:color="auto"/>
            </w:tcBorders>
            <w:shd w:val="clear" w:color="000000" w:fill="FFC000"/>
            <w:vAlign w:val="center"/>
            <w:hideMark/>
          </w:tcPr>
          <w:p w:rsidR="00177D8E" w:rsidRPr="00177D8E" w:rsidRDefault="00177D8E" w:rsidP="0029656C">
            <w:pPr>
              <w:jc w:val="center"/>
              <w:rPr>
                <w:rFonts w:ascii="Arial" w:hAnsi="Arial" w:cs="Arial"/>
                <w:b/>
                <w:bCs/>
                <w:color w:val="000000"/>
                <w:sz w:val="20"/>
                <w:szCs w:val="20"/>
              </w:rPr>
            </w:pPr>
            <w:r w:rsidRPr="00177D8E">
              <w:rPr>
                <w:rFonts w:ascii="Arial" w:hAnsi="Arial" w:cs="Arial"/>
                <w:b/>
                <w:bCs/>
                <w:color w:val="000000"/>
                <w:sz w:val="20"/>
                <w:szCs w:val="20"/>
              </w:rPr>
              <w:t>2016</w:t>
            </w:r>
          </w:p>
        </w:tc>
        <w:tc>
          <w:tcPr>
            <w:tcW w:w="880" w:type="dxa"/>
            <w:tcBorders>
              <w:top w:val="single" w:sz="4" w:space="0" w:color="auto"/>
              <w:left w:val="nil"/>
              <w:bottom w:val="single" w:sz="4" w:space="0" w:color="auto"/>
              <w:right w:val="single" w:sz="4" w:space="0" w:color="auto"/>
            </w:tcBorders>
            <w:shd w:val="clear" w:color="000000" w:fill="FFC000"/>
            <w:vAlign w:val="center"/>
            <w:hideMark/>
          </w:tcPr>
          <w:p w:rsidR="00177D8E" w:rsidRPr="00177D8E" w:rsidRDefault="00177D8E" w:rsidP="0029656C">
            <w:pPr>
              <w:jc w:val="center"/>
              <w:rPr>
                <w:rFonts w:ascii="Arial" w:hAnsi="Arial" w:cs="Arial"/>
                <w:b/>
                <w:bCs/>
                <w:color w:val="000000"/>
                <w:sz w:val="20"/>
                <w:szCs w:val="20"/>
              </w:rPr>
            </w:pPr>
            <w:r w:rsidRPr="00177D8E">
              <w:rPr>
                <w:rFonts w:ascii="Arial" w:hAnsi="Arial" w:cs="Arial"/>
                <w:b/>
                <w:bCs/>
                <w:color w:val="000000"/>
                <w:sz w:val="20"/>
                <w:szCs w:val="20"/>
              </w:rPr>
              <w:t>2017</w:t>
            </w:r>
          </w:p>
        </w:tc>
        <w:tc>
          <w:tcPr>
            <w:tcW w:w="880" w:type="dxa"/>
            <w:tcBorders>
              <w:top w:val="single" w:sz="4" w:space="0" w:color="auto"/>
              <w:left w:val="nil"/>
              <w:bottom w:val="single" w:sz="4" w:space="0" w:color="auto"/>
              <w:right w:val="single" w:sz="4" w:space="0" w:color="auto"/>
            </w:tcBorders>
            <w:shd w:val="clear" w:color="000000" w:fill="FFC000"/>
            <w:vAlign w:val="center"/>
            <w:hideMark/>
          </w:tcPr>
          <w:p w:rsidR="00177D8E" w:rsidRPr="00177D8E" w:rsidRDefault="00177D8E" w:rsidP="0029656C">
            <w:pPr>
              <w:jc w:val="center"/>
              <w:rPr>
                <w:rFonts w:ascii="Arial" w:hAnsi="Arial" w:cs="Arial"/>
                <w:b/>
                <w:bCs/>
                <w:color w:val="000000"/>
                <w:sz w:val="20"/>
                <w:szCs w:val="20"/>
              </w:rPr>
            </w:pPr>
            <w:r w:rsidRPr="00177D8E">
              <w:rPr>
                <w:rFonts w:ascii="Arial" w:hAnsi="Arial" w:cs="Arial"/>
                <w:b/>
                <w:bCs/>
                <w:color w:val="000000"/>
                <w:sz w:val="20"/>
                <w:szCs w:val="20"/>
              </w:rPr>
              <w:t>2018p</w:t>
            </w:r>
          </w:p>
        </w:tc>
      </w:tr>
      <w:tr w:rsidR="00177D8E" w:rsidRPr="00177D8E" w:rsidTr="00E07F0E">
        <w:trPr>
          <w:trHeight w:val="510"/>
          <w:jc w:val="center"/>
        </w:trPr>
        <w:tc>
          <w:tcPr>
            <w:tcW w:w="3042" w:type="dxa"/>
            <w:tcBorders>
              <w:top w:val="nil"/>
              <w:left w:val="single" w:sz="4" w:space="0" w:color="auto"/>
              <w:bottom w:val="single" w:sz="4" w:space="0" w:color="auto"/>
              <w:right w:val="single" w:sz="4" w:space="0" w:color="auto"/>
            </w:tcBorders>
            <w:shd w:val="clear" w:color="auto" w:fill="auto"/>
            <w:vAlign w:val="center"/>
            <w:hideMark/>
          </w:tcPr>
          <w:p w:rsidR="00177D8E" w:rsidRPr="00177D8E" w:rsidRDefault="00177D8E" w:rsidP="0029656C">
            <w:pPr>
              <w:rPr>
                <w:rFonts w:ascii="Arial" w:hAnsi="Arial" w:cs="Arial"/>
                <w:sz w:val="20"/>
                <w:szCs w:val="20"/>
              </w:rPr>
            </w:pPr>
            <w:r w:rsidRPr="00177D8E">
              <w:rPr>
                <w:rFonts w:ascii="Arial" w:hAnsi="Arial" w:cs="Arial"/>
                <w:sz w:val="20"/>
                <w:szCs w:val="20"/>
              </w:rPr>
              <w:t>Desembolso de créditos y becas para cursar programas sin acreditación</w:t>
            </w:r>
          </w:p>
        </w:tc>
        <w:tc>
          <w:tcPr>
            <w:tcW w:w="880" w:type="dxa"/>
            <w:tcBorders>
              <w:top w:val="nil"/>
              <w:left w:val="nil"/>
              <w:bottom w:val="single" w:sz="4" w:space="0" w:color="auto"/>
              <w:right w:val="single" w:sz="4" w:space="0" w:color="auto"/>
            </w:tcBorders>
            <w:shd w:val="clear" w:color="auto" w:fill="auto"/>
            <w:vAlign w:val="center"/>
            <w:hideMark/>
          </w:tcPr>
          <w:p w:rsidR="00177D8E" w:rsidRPr="00177D8E" w:rsidRDefault="00177D8E" w:rsidP="0029656C">
            <w:pPr>
              <w:rPr>
                <w:rFonts w:ascii="Arial" w:hAnsi="Arial" w:cs="Arial"/>
                <w:sz w:val="20"/>
                <w:szCs w:val="20"/>
              </w:rPr>
            </w:pPr>
            <w:r w:rsidRPr="00177D8E">
              <w:rPr>
                <w:rFonts w:ascii="Arial" w:hAnsi="Arial" w:cs="Arial"/>
                <w:sz w:val="20"/>
                <w:szCs w:val="20"/>
              </w:rPr>
              <w:t xml:space="preserve">  44.798 </w:t>
            </w:r>
          </w:p>
        </w:tc>
        <w:tc>
          <w:tcPr>
            <w:tcW w:w="880" w:type="dxa"/>
            <w:tcBorders>
              <w:top w:val="nil"/>
              <w:left w:val="nil"/>
              <w:bottom w:val="single" w:sz="4" w:space="0" w:color="auto"/>
              <w:right w:val="single" w:sz="4" w:space="0" w:color="auto"/>
            </w:tcBorders>
            <w:shd w:val="clear" w:color="auto" w:fill="auto"/>
            <w:vAlign w:val="center"/>
            <w:hideMark/>
          </w:tcPr>
          <w:p w:rsidR="00177D8E" w:rsidRPr="00177D8E" w:rsidRDefault="00177D8E" w:rsidP="0029656C">
            <w:pPr>
              <w:rPr>
                <w:rFonts w:ascii="Arial" w:hAnsi="Arial" w:cs="Arial"/>
                <w:sz w:val="20"/>
                <w:szCs w:val="20"/>
              </w:rPr>
            </w:pPr>
            <w:r w:rsidRPr="00177D8E">
              <w:rPr>
                <w:rFonts w:ascii="Arial" w:hAnsi="Arial" w:cs="Arial"/>
                <w:sz w:val="20"/>
                <w:szCs w:val="20"/>
              </w:rPr>
              <w:t xml:space="preserve">  39.842 </w:t>
            </w:r>
          </w:p>
        </w:tc>
        <w:tc>
          <w:tcPr>
            <w:tcW w:w="880" w:type="dxa"/>
            <w:tcBorders>
              <w:top w:val="nil"/>
              <w:left w:val="nil"/>
              <w:bottom w:val="single" w:sz="4" w:space="0" w:color="auto"/>
              <w:right w:val="single" w:sz="4" w:space="0" w:color="auto"/>
            </w:tcBorders>
            <w:shd w:val="clear" w:color="auto" w:fill="auto"/>
            <w:vAlign w:val="center"/>
            <w:hideMark/>
          </w:tcPr>
          <w:p w:rsidR="00177D8E" w:rsidRPr="00177D8E" w:rsidRDefault="00177D8E" w:rsidP="0029656C">
            <w:pPr>
              <w:rPr>
                <w:rFonts w:ascii="Arial" w:hAnsi="Arial" w:cs="Arial"/>
                <w:sz w:val="20"/>
                <w:szCs w:val="20"/>
              </w:rPr>
            </w:pPr>
            <w:r w:rsidRPr="00177D8E">
              <w:rPr>
                <w:rFonts w:ascii="Arial" w:hAnsi="Arial" w:cs="Arial"/>
                <w:sz w:val="20"/>
                <w:szCs w:val="20"/>
              </w:rPr>
              <w:t xml:space="preserve">  39.329 </w:t>
            </w:r>
          </w:p>
        </w:tc>
        <w:tc>
          <w:tcPr>
            <w:tcW w:w="880" w:type="dxa"/>
            <w:tcBorders>
              <w:top w:val="nil"/>
              <w:left w:val="nil"/>
              <w:bottom w:val="single" w:sz="4" w:space="0" w:color="auto"/>
              <w:right w:val="single" w:sz="4" w:space="0" w:color="auto"/>
            </w:tcBorders>
            <w:shd w:val="clear" w:color="auto" w:fill="auto"/>
            <w:vAlign w:val="center"/>
            <w:hideMark/>
          </w:tcPr>
          <w:p w:rsidR="00177D8E" w:rsidRPr="00177D8E" w:rsidRDefault="00177D8E" w:rsidP="0029656C">
            <w:pPr>
              <w:rPr>
                <w:rFonts w:ascii="Arial" w:hAnsi="Arial" w:cs="Arial"/>
                <w:sz w:val="20"/>
                <w:szCs w:val="20"/>
              </w:rPr>
            </w:pPr>
            <w:r w:rsidRPr="00177D8E">
              <w:rPr>
                <w:rFonts w:ascii="Arial" w:hAnsi="Arial" w:cs="Arial"/>
                <w:sz w:val="20"/>
                <w:szCs w:val="20"/>
              </w:rPr>
              <w:t xml:space="preserve">  32.239 </w:t>
            </w:r>
          </w:p>
        </w:tc>
        <w:tc>
          <w:tcPr>
            <w:tcW w:w="880" w:type="dxa"/>
            <w:tcBorders>
              <w:top w:val="nil"/>
              <w:left w:val="nil"/>
              <w:bottom w:val="single" w:sz="4" w:space="0" w:color="auto"/>
              <w:right w:val="single" w:sz="4" w:space="0" w:color="auto"/>
            </w:tcBorders>
            <w:shd w:val="clear" w:color="auto" w:fill="auto"/>
            <w:vAlign w:val="center"/>
            <w:hideMark/>
          </w:tcPr>
          <w:p w:rsidR="00177D8E" w:rsidRPr="00177D8E" w:rsidRDefault="00177D8E" w:rsidP="0029656C">
            <w:pPr>
              <w:rPr>
                <w:rFonts w:ascii="Arial" w:hAnsi="Arial" w:cs="Arial"/>
                <w:sz w:val="20"/>
                <w:szCs w:val="20"/>
              </w:rPr>
            </w:pPr>
            <w:r w:rsidRPr="00177D8E">
              <w:rPr>
                <w:rFonts w:ascii="Arial" w:hAnsi="Arial" w:cs="Arial"/>
                <w:sz w:val="20"/>
                <w:szCs w:val="20"/>
              </w:rPr>
              <w:t xml:space="preserve">  29.305 </w:t>
            </w:r>
          </w:p>
        </w:tc>
        <w:tc>
          <w:tcPr>
            <w:tcW w:w="880" w:type="dxa"/>
            <w:tcBorders>
              <w:top w:val="nil"/>
              <w:left w:val="nil"/>
              <w:bottom w:val="single" w:sz="4" w:space="0" w:color="auto"/>
              <w:right w:val="single" w:sz="4" w:space="0" w:color="auto"/>
            </w:tcBorders>
            <w:shd w:val="clear" w:color="auto" w:fill="auto"/>
            <w:vAlign w:val="center"/>
            <w:hideMark/>
          </w:tcPr>
          <w:p w:rsidR="00177D8E" w:rsidRPr="00177D8E" w:rsidRDefault="00177D8E" w:rsidP="0029656C">
            <w:pPr>
              <w:rPr>
                <w:rFonts w:ascii="Arial" w:hAnsi="Arial" w:cs="Arial"/>
                <w:sz w:val="20"/>
                <w:szCs w:val="20"/>
              </w:rPr>
            </w:pPr>
            <w:r w:rsidRPr="00177D8E">
              <w:rPr>
                <w:rFonts w:ascii="Arial" w:hAnsi="Arial" w:cs="Arial"/>
                <w:sz w:val="20"/>
                <w:szCs w:val="20"/>
              </w:rPr>
              <w:t xml:space="preserve">  14.744 </w:t>
            </w:r>
          </w:p>
        </w:tc>
        <w:tc>
          <w:tcPr>
            <w:tcW w:w="880" w:type="dxa"/>
            <w:tcBorders>
              <w:top w:val="nil"/>
              <w:left w:val="nil"/>
              <w:bottom w:val="single" w:sz="4" w:space="0" w:color="auto"/>
              <w:right w:val="single" w:sz="4" w:space="0" w:color="auto"/>
            </w:tcBorders>
            <w:shd w:val="clear" w:color="auto" w:fill="auto"/>
            <w:vAlign w:val="center"/>
            <w:hideMark/>
          </w:tcPr>
          <w:p w:rsidR="00177D8E" w:rsidRPr="00177D8E" w:rsidRDefault="00177D8E" w:rsidP="0029656C">
            <w:pPr>
              <w:rPr>
                <w:rFonts w:ascii="Arial" w:hAnsi="Arial" w:cs="Arial"/>
                <w:sz w:val="20"/>
                <w:szCs w:val="20"/>
              </w:rPr>
            </w:pPr>
            <w:r w:rsidRPr="00177D8E">
              <w:rPr>
                <w:rFonts w:ascii="Arial" w:hAnsi="Arial" w:cs="Arial"/>
                <w:sz w:val="20"/>
                <w:szCs w:val="20"/>
              </w:rPr>
              <w:t xml:space="preserve">  37.103 </w:t>
            </w:r>
          </w:p>
        </w:tc>
      </w:tr>
      <w:tr w:rsidR="00177D8E" w:rsidRPr="00177D8E" w:rsidTr="00E07F0E">
        <w:trPr>
          <w:trHeight w:val="510"/>
          <w:jc w:val="center"/>
        </w:trPr>
        <w:tc>
          <w:tcPr>
            <w:tcW w:w="3042" w:type="dxa"/>
            <w:tcBorders>
              <w:top w:val="nil"/>
              <w:left w:val="single" w:sz="4" w:space="0" w:color="auto"/>
              <w:bottom w:val="single" w:sz="4" w:space="0" w:color="auto"/>
              <w:right w:val="single" w:sz="4" w:space="0" w:color="auto"/>
            </w:tcBorders>
            <w:shd w:val="clear" w:color="auto" w:fill="auto"/>
            <w:vAlign w:val="center"/>
            <w:hideMark/>
          </w:tcPr>
          <w:p w:rsidR="00177D8E" w:rsidRPr="00177D8E" w:rsidRDefault="00177D8E" w:rsidP="0029656C">
            <w:pPr>
              <w:rPr>
                <w:rFonts w:ascii="Arial" w:hAnsi="Arial" w:cs="Arial"/>
                <w:sz w:val="20"/>
                <w:szCs w:val="20"/>
              </w:rPr>
            </w:pPr>
            <w:r w:rsidRPr="00177D8E">
              <w:rPr>
                <w:rFonts w:ascii="Arial" w:hAnsi="Arial" w:cs="Arial"/>
                <w:sz w:val="20"/>
                <w:szCs w:val="20"/>
              </w:rPr>
              <w:t>Desembolso de créditos y becas para cursar programas con acreditación</w:t>
            </w:r>
          </w:p>
        </w:tc>
        <w:tc>
          <w:tcPr>
            <w:tcW w:w="880" w:type="dxa"/>
            <w:tcBorders>
              <w:top w:val="nil"/>
              <w:left w:val="nil"/>
              <w:bottom w:val="single" w:sz="4" w:space="0" w:color="auto"/>
              <w:right w:val="single" w:sz="4" w:space="0" w:color="auto"/>
            </w:tcBorders>
            <w:shd w:val="clear" w:color="auto" w:fill="auto"/>
            <w:vAlign w:val="center"/>
            <w:hideMark/>
          </w:tcPr>
          <w:p w:rsidR="00177D8E" w:rsidRPr="00177D8E" w:rsidRDefault="00177D8E" w:rsidP="0029656C">
            <w:pPr>
              <w:rPr>
                <w:rFonts w:ascii="Arial" w:hAnsi="Arial" w:cs="Arial"/>
                <w:sz w:val="20"/>
                <w:szCs w:val="20"/>
              </w:rPr>
            </w:pPr>
            <w:r w:rsidRPr="00177D8E">
              <w:rPr>
                <w:rFonts w:ascii="Arial" w:hAnsi="Arial" w:cs="Arial"/>
                <w:sz w:val="20"/>
                <w:szCs w:val="20"/>
              </w:rPr>
              <w:t xml:space="preserve">  15.740 </w:t>
            </w:r>
          </w:p>
        </w:tc>
        <w:tc>
          <w:tcPr>
            <w:tcW w:w="880" w:type="dxa"/>
            <w:tcBorders>
              <w:top w:val="nil"/>
              <w:left w:val="nil"/>
              <w:bottom w:val="single" w:sz="4" w:space="0" w:color="auto"/>
              <w:right w:val="single" w:sz="4" w:space="0" w:color="auto"/>
            </w:tcBorders>
            <w:shd w:val="clear" w:color="auto" w:fill="auto"/>
            <w:vAlign w:val="center"/>
            <w:hideMark/>
          </w:tcPr>
          <w:p w:rsidR="00177D8E" w:rsidRPr="00177D8E" w:rsidRDefault="00177D8E" w:rsidP="0029656C">
            <w:pPr>
              <w:rPr>
                <w:rFonts w:ascii="Arial" w:hAnsi="Arial" w:cs="Arial"/>
                <w:sz w:val="20"/>
                <w:szCs w:val="20"/>
              </w:rPr>
            </w:pPr>
            <w:r w:rsidRPr="00177D8E">
              <w:rPr>
                <w:rFonts w:ascii="Arial" w:hAnsi="Arial" w:cs="Arial"/>
                <w:sz w:val="20"/>
                <w:szCs w:val="20"/>
              </w:rPr>
              <w:t xml:space="preserve">  19.624 </w:t>
            </w:r>
          </w:p>
        </w:tc>
        <w:tc>
          <w:tcPr>
            <w:tcW w:w="880" w:type="dxa"/>
            <w:tcBorders>
              <w:top w:val="nil"/>
              <w:left w:val="nil"/>
              <w:bottom w:val="single" w:sz="4" w:space="0" w:color="auto"/>
              <w:right w:val="single" w:sz="4" w:space="0" w:color="auto"/>
            </w:tcBorders>
            <w:shd w:val="clear" w:color="auto" w:fill="auto"/>
            <w:vAlign w:val="center"/>
            <w:hideMark/>
          </w:tcPr>
          <w:p w:rsidR="00177D8E" w:rsidRPr="00177D8E" w:rsidRDefault="00177D8E" w:rsidP="0029656C">
            <w:pPr>
              <w:rPr>
                <w:rFonts w:ascii="Arial" w:hAnsi="Arial" w:cs="Arial"/>
                <w:sz w:val="20"/>
                <w:szCs w:val="20"/>
              </w:rPr>
            </w:pPr>
            <w:r w:rsidRPr="00177D8E">
              <w:rPr>
                <w:rFonts w:ascii="Arial" w:hAnsi="Arial" w:cs="Arial"/>
                <w:sz w:val="20"/>
                <w:szCs w:val="20"/>
              </w:rPr>
              <w:t xml:space="preserve">  25.144 </w:t>
            </w:r>
          </w:p>
        </w:tc>
        <w:tc>
          <w:tcPr>
            <w:tcW w:w="880" w:type="dxa"/>
            <w:tcBorders>
              <w:top w:val="nil"/>
              <w:left w:val="nil"/>
              <w:bottom w:val="single" w:sz="4" w:space="0" w:color="auto"/>
              <w:right w:val="single" w:sz="4" w:space="0" w:color="auto"/>
            </w:tcBorders>
            <w:shd w:val="clear" w:color="auto" w:fill="auto"/>
            <w:vAlign w:val="center"/>
            <w:hideMark/>
          </w:tcPr>
          <w:p w:rsidR="00177D8E" w:rsidRPr="00177D8E" w:rsidRDefault="00177D8E" w:rsidP="0029656C">
            <w:pPr>
              <w:rPr>
                <w:rFonts w:ascii="Arial" w:hAnsi="Arial" w:cs="Arial"/>
                <w:sz w:val="20"/>
                <w:szCs w:val="20"/>
              </w:rPr>
            </w:pPr>
            <w:r w:rsidRPr="00177D8E">
              <w:rPr>
                <w:rFonts w:ascii="Arial" w:hAnsi="Arial" w:cs="Arial"/>
                <w:sz w:val="20"/>
                <w:szCs w:val="20"/>
              </w:rPr>
              <w:t xml:space="preserve">  25.101 </w:t>
            </w:r>
          </w:p>
        </w:tc>
        <w:tc>
          <w:tcPr>
            <w:tcW w:w="880" w:type="dxa"/>
            <w:tcBorders>
              <w:top w:val="nil"/>
              <w:left w:val="nil"/>
              <w:bottom w:val="single" w:sz="4" w:space="0" w:color="auto"/>
              <w:right w:val="single" w:sz="4" w:space="0" w:color="auto"/>
            </w:tcBorders>
            <w:shd w:val="clear" w:color="auto" w:fill="auto"/>
            <w:vAlign w:val="center"/>
            <w:hideMark/>
          </w:tcPr>
          <w:p w:rsidR="00177D8E" w:rsidRPr="00177D8E" w:rsidRDefault="00177D8E" w:rsidP="0029656C">
            <w:pPr>
              <w:rPr>
                <w:rFonts w:ascii="Arial" w:hAnsi="Arial" w:cs="Arial"/>
                <w:sz w:val="20"/>
                <w:szCs w:val="20"/>
              </w:rPr>
            </w:pPr>
            <w:r w:rsidRPr="00177D8E">
              <w:rPr>
                <w:rFonts w:ascii="Arial" w:hAnsi="Arial" w:cs="Arial"/>
                <w:sz w:val="20"/>
                <w:szCs w:val="20"/>
              </w:rPr>
              <w:t xml:space="preserve">  26.052 </w:t>
            </w:r>
          </w:p>
        </w:tc>
        <w:tc>
          <w:tcPr>
            <w:tcW w:w="880" w:type="dxa"/>
            <w:tcBorders>
              <w:top w:val="nil"/>
              <w:left w:val="nil"/>
              <w:bottom w:val="single" w:sz="4" w:space="0" w:color="auto"/>
              <w:right w:val="single" w:sz="4" w:space="0" w:color="auto"/>
            </w:tcBorders>
            <w:shd w:val="clear" w:color="auto" w:fill="auto"/>
            <w:vAlign w:val="center"/>
            <w:hideMark/>
          </w:tcPr>
          <w:p w:rsidR="00177D8E" w:rsidRPr="00177D8E" w:rsidRDefault="00177D8E" w:rsidP="0029656C">
            <w:pPr>
              <w:rPr>
                <w:rFonts w:ascii="Arial" w:hAnsi="Arial" w:cs="Arial"/>
                <w:sz w:val="20"/>
                <w:szCs w:val="20"/>
              </w:rPr>
            </w:pPr>
            <w:r w:rsidRPr="00177D8E">
              <w:rPr>
                <w:rFonts w:ascii="Arial" w:hAnsi="Arial" w:cs="Arial"/>
                <w:sz w:val="20"/>
                <w:szCs w:val="20"/>
              </w:rPr>
              <w:t xml:space="preserve">  11.178 </w:t>
            </w:r>
          </w:p>
        </w:tc>
        <w:tc>
          <w:tcPr>
            <w:tcW w:w="880" w:type="dxa"/>
            <w:tcBorders>
              <w:top w:val="nil"/>
              <w:left w:val="nil"/>
              <w:bottom w:val="single" w:sz="4" w:space="0" w:color="auto"/>
              <w:right w:val="single" w:sz="4" w:space="0" w:color="auto"/>
            </w:tcBorders>
            <w:shd w:val="clear" w:color="auto" w:fill="auto"/>
            <w:vAlign w:val="center"/>
            <w:hideMark/>
          </w:tcPr>
          <w:p w:rsidR="00177D8E" w:rsidRPr="00177D8E" w:rsidRDefault="00177D8E" w:rsidP="0029656C">
            <w:pPr>
              <w:rPr>
                <w:rFonts w:ascii="Arial" w:hAnsi="Arial" w:cs="Arial"/>
                <w:sz w:val="20"/>
                <w:szCs w:val="20"/>
              </w:rPr>
            </w:pPr>
            <w:r w:rsidRPr="00177D8E">
              <w:rPr>
                <w:rFonts w:ascii="Arial" w:hAnsi="Arial" w:cs="Arial"/>
                <w:sz w:val="20"/>
                <w:szCs w:val="20"/>
              </w:rPr>
              <w:t xml:space="preserve">  22.332 </w:t>
            </w:r>
          </w:p>
        </w:tc>
      </w:tr>
      <w:tr w:rsidR="00177D8E" w:rsidRPr="00177D8E" w:rsidTr="00E07F0E">
        <w:trPr>
          <w:trHeight w:val="255"/>
          <w:jc w:val="center"/>
        </w:trPr>
        <w:tc>
          <w:tcPr>
            <w:tcW w:w="3042" w:type="dxa"/>
            <w:tcBorders>
              <w:top w:val="nil"/>
              <w:left w:val="single" w:sz="4" w:space="0" w:color="auto"/>
              <w:bottom w:val="single" w:sz="4" w:space="0" w:color="auto"/>
              <w:right w:val="single" w:sz="4" w:space="0" w:color="auto"/>
            </w:tcBorders>
            <w:shd w:val="clear" w:color="000000" w:fill="BDD7EE"/>
            <w:vAlign w:val="center"/>
            <w:hideMark/>
          </w:tcPr>
          <w:p w:rsidR="00177D8E" w:rsidRPr="00177D8E" w:rsidRDefault="00177D8E" w:rsidP="0029656C">
            <w:pPr>
              <w:rPr>
                <w:rFonts w:ascii="Arial" w:hAnsi="Arial" w:cs="Arial"/>
                <w:b/>
                <w:bCs/>
                <w:sz w:val="20"/>
                <w:szCs w:val="20"/>
              </w:rPr>
            </w:pPr>
            <w:r w:rsidRPr="00177D8E">
              <w:rPr>
                <w:rFonts w:ascii="Arial" w:hAnsi="Arial" w:cs="Arial"/>
                <w:b/>
                <w:bCs/>
                <w:sz w:val="20"/>
                <w:szCs w:val="20"/>
              </w:rPr>
              <w:t xml:space="preserve">Total </w:t>
            </w:r>
            <w:r>
              <w:rPr>
                <w:rFonts w:ascii="Arial" w:hAnsi="Arial" w:cs="Arial"/>
                <w:b/>
                <w:bCs/>
                <w:sz w:val="20"/>
                <w:szCs w:val="20"/>
              </w:rPr>
              <w:t>desembolsos</w:t>
            </w:r>
            <w:r w:rsidR="00864A90">
              <w:rPr>
                <w:rFonts w:ascii="Arial" w:hAnsi="Arial" w:cs="Arial"/>
                <w:b/>
                <w:bCs/>
                <w:sz w:val="20"/>
                <w:szCs w:val="20"/>
              </w:rPr>
              <w:t xml:space="preserve"> del ICETEX</w:t>
            </w:r>
          </w:p>
        </w:tc>
        <w:tc>
          <w:tcPr>
            <w:tcW w:w="880" w:type="dxa"/>
            <w:tcBorders>
              <w:top w:val="nil"/>
              <w:left w:val="nil"/>
              <w:bottom w:val="single" w:sz="4" w:space="0" w:color="auto"/>
              <w:right w:val="single" w:sz="4" w:space="0" w:color="auto"/>
            </w:tcBorders>
            <w:shd w:val="clear" w:color="000000" w:fill="BDD7EE"/>
            <w:vAlign w:val="center"/>
            <w:hideMark/>
          </w:tcPr>
          <w:p w:rsidR="00177D8E" w:rsidRPr="00177D8E" w:rsidRDefault="00177D8E" w:rsidP="0029656C">
            <w:pPr>
              <w:rPr>
                <w:rFonts w:ascii="Arial" w:hAnsi="Arial" w:cs="Arial"/>
                <w:b/>
                <w:bCs/>
                <w:sz w:val="20"/>
                <w:szCs w:val="20"/>
              </w:rPr>
            </w:pPr>
            <w:r w:rsidRPr="00177D8E">
              <w:rPr>
                <w:rFonts w:ascii="Arial" w:hAnsi="Arial" w:cs="Arial"/>
                <w:b/>
                <w:bCs/>
                <w:sz w:val="20"/>
                <w:szCs w:val="20"/>
              </w:rPr>
              <w:t xml:space="preserve">  60.538 </w:t>
            </w:r>
          </w:p>
        </w:tc>
        <w:tc>
          <w:tcPr>
            <w:tcW w:w="880" w:type="dxa"/>
            <w:tcBorders>
              <w:top w:val="nil"/>
              <w:left w:val="nil"/>
              <w:bottom w:val="single" w:sz="4" w:space="0" w:color="auto"/>
              <w:right w:val="single" w:sz="4" w:space="0" w:color="auto"/>
            </w:tcBorders>
            <w:shd w:val="clear" w:color="000000" w:fill="BDD7EE"/>
            <w:vAlign w:val="center"/>
            <w:hideMark/>
          </w:tcPr>
          <w:p w:rsidR="00177D8E" w:rsidRPr="00177D8E" w:rsidRDefault="00177D8E" w:rsidP="0029656C">
            <w:pPr>
              <w:rPr>
                <w:rFonts w:ascii="Arial" w:hAnsi="Arial" w:cs="Arial"/>
                <w:b/>
                <w:bCs/>
                <w:sz w:val="20"/>
                <w:szCs w:val="20"/>
              </w:rPr>
            </w:pPr>
            <w:r w:rsidRPr="00177D8E">
              <w:rPr>
                <w:rFonts w:ascii="Arial" w:hAnsi="Arial" w:cs="Arial"/>
                <w:b/>
                <w:bCs/>
                <w:sz w:val="20"/>
                <w:szCs w:val="20"/>
              </w:rPr>
              <w:t xml:space="preserve">  59.466 </w:t>
            </w:r>
          </w:p>
        </w:tc>
        <w:tc>
          <w:tcPr>
            <w:tcW w:w="880" w:type="dxa"/>
            <w:tcBorders>
              <w:top w:val="nil"/>
              <w:left w:val="nil"/>
              <w:bottom w:val="single" w:sz="4" w:space="0" w:color="auto"/>
              <w:right w:val="single" w:sz="4" w:space="0" w:color="auto"/>
            </w:tcBorders>
            <w:shd w:val="clear" w:color="000000" w:fill="BDD7EE"/>
            <w:vAlign w:val="center"/>
            <w:hideMark/>
          </w:tcPr>
          <w:p w:rsidR="00177D8E" w:rsidRPr="00177D8E" w:rsidRDefault="00177D8E" w:rsidP="0029656C">
            <w:pPr>
              <w:rPr>
                <w:rFonts w:ascii="Arial" w:hAnsi="Arial" w:cs="Arial"/>
                <w:b/>
                <w:bCs/>
                <w:sz w:val="20"/>
                <w:szCs w:val="20"/>
              </w:rPr>
            </w:pPr>
            <w:r w:rsidRPr="00177D8E">
              <w:rPr>
                <w:rFonts w:ascii="Arial" w:hAnsi="Arial" w:cs="Arial"/>
                <w:b/>
                <w:bCs/>
                <w:sz w:val="20"/>
                <w:szCs w:val="20"/>
              </w:rPr>
              <w:t xml:space="preserve">  64.473 </w:t>
            </w:r>
          </w:p>
        </w:tc>
        <w:tc>
          <w:tcPr>
            <w:tcW w:w="880" w:type="dxa"/>
            <w:tcBorders>
              <w:top w:val="nil"/>
              <w:left w:val="nil"/>
              <w:bottom w:val="single" w:sz="4" w:space="0" w:color="auto"/>
              <w:right w:val="single" w:sz="4" w:space="0" w:color="auto"/>
            </w:tcBorders>
            <w:shd w:val="clear" w:color="000000" w:fill="BDD7EE"/>
            <w:vAlign w:val="center"/>
            <w:hideMark/>
          </w:tcPr>
          <w:p w:rsidR="00177D8E" w:rsidRPr="00177D8E" w:rsidRDefault="00177D8E" w:rsidP="0029656C">
            <w:pPr>
              <w:rPr>
                <w:rFonts w:ascii="Arial" w:hAnsi="Arial" w:cs="Arial"/>
                <w:b/>
                <w:bCs/>
                <w:sz w:val="20"/>
                <w:szCs w:val="20"/>
              </w:rPr>
            </w:pPr>
            <w:r w:rsidRPr="00177D8E">
              <w:rPr>
                <w:rFonts w:ascii="Arial" w:hAnsi="Arial" w:cs="Arial"/>
                <w:b/>
                <w:bCs/>
                <w:sz w:val="20"/>
                <w:szCs w:val="20"/>
              </w:rPr>
              <w:t xml:space="preserve">  57.340 </w:t>
            </w:r>
          </w:p>
        </w:tc>
        <w:tc>
          <w:tcPr>
            <w:tcW w:w="880" w:type="dxa"/>
            <w:tcBorders>
              <w:top w:val="nil"/>
              <w:left w:val="nil"/>
              <w:bottom w:val="single" w:sz="4" w:space="0" w:color="auto"/>
              <w:right w:val="single" w:sz="4" w:space="0" w:color="auto"/>
            </w:tcBorders>
            <w:shd w:val="clear" w:color="000000" w:fill="BDD7EE"/>
            <w:vAlign w:val="center"/>
            <w:hideMark/>
          </w:tcPr>
          <w:p w:rsidR="00177D8E" w:rsidRPr="00177D8E" w:rsidRDefault="00177D8E" w:rsidP="0029656C">
            <w:pPr>
              <w:rPr>
                <w:rFonts w:ascii="Arial" w:hAnsi="Arial" w:cs="Arial"/>
                <w:b/>
                <w:bCs/>
                <w:sz w:val="20"/>
                <w:szCs w:val="20"/>
              </w:rPr>
            </w:pPr>
            <w:r w:rsidRPr="00177D8E">
              <w:rPr>
                <w:rFonts w:ascii="Arial" w:hAnsi="Arial" w:cs="Arial"/>
                <w:b/>
                <w:bCs/>
                <w:sz w:val="20"/>
                <w:szCs w:val="20"/>
              </w:rPr>
              <w:t xml:space="preserve">  55.357 </w:t>
            </w:r>
          </w:p>
        </w:tc>
        <w:tc>
          <w:tcPr>
            <w:tcW w:w="880" w:type="dxa"/>
            <w:tcBorders>
              <w:top w:val="nil"/>
              <w:left w:val="nil"/>
              <w:bottom w:val="single" w:sz="4" w:space="0" w:color="auto"/>
              <w:right w:val="single" w:sz="4" w:space="0" w:color="auto"/>
            </w:tcBorders>
            <w:shd w:val="clear" w:color="000000" w:fill="BDD7EE"/>
            <w:vAlign w:val="center"/>
            <w:hideMark/>
          </w:tcPr>
          <w:p w:rsidR="00177D8E" w:rsidRPr="00177D8E" w:rsidRDefault="00177D8E" w:rsidP="0029656C">
            <w:pPr>
              <w:rPr>
                <w:rFonts w:ascii="Arial" w:hAnsi="Arial" w:cs="Arial"/>
                <w:b/>
                <w:bCs/>
                <w:sz w:val="20"/>
                <w:szCs w:val="20"/>
              </w:rPr>
            </w:pPr>
            <w:r w:rsidRPr="00177D8E">
              <w:rPr>
                <w:rFonts w:ascii="Arial" w:hAnsi="Arial" w:cs="Arial"/>
                <w:b/>
                <w:bCs/>
                <w:sz w:val="20"/>
                <w:szCs w:val="20"/>
              </w:rPr>
              <w:t xml:space="preserve">  25.922 </w:t>
            </w:r>
          </w:p>
        </w:tc>
        <w:tc>
          <w:tcPr>
            <w:tcW w:w="880" w:type="dxa"/>
            <w:tcBorders>
              <w:top w:val="nil"/>
              <w:left w:val="nil"/>
              <w:bottom w:val="single" w:sz="4" w:space="0" w:color="auto"/>
              <w:right w:val="single" w:sz="4" w:space="0" w:color="auto"/>
            </w:tcBorders>
            <w:shd w:val="clear" w:color="000000" w:fill="BDD7EE"/>
            <w:vAlign w:val="center"/>
            <w:hideMark/>
          </w:tcPr>
          <w:p w:rsidR="00177D8E" w:rsidRPr="00177D8E" w:rsidRDefault="00177D8E" w:rsidP="0029656C">
            <w:pPr>
              <w:rPr>
                <w:rFonts w:ascii="Arial" w:hAnsi="Arial" w:cs="Arial"/>
                <w:b/>
                <w:bCs/>
                <w:sz w:val="20"/>
                <w:szCs w:val="20"/>
              </w:rPr>
            </w:pPr>
            <w:r w:rsidRPr="00177D8E">
              <w:rPr>
                <w:rFonts w:ascii="Arial" w:hAnsi="Arial" w:cs="Arial"/>
                <w:b/>
                <w:bCs/>
                <w:sz w:val="20"/>
                <w:szCs w:val="20"/>
              </w:rPr>
              <w:t xml:space="preserve">  59.435 </w:t>
            </w:r>
          </w:p>
        </w:tc>
      </w:tr>
    </w:tbl>
    <w:p w:rsidR="005740A0" w:rsidRDefault="00864A90" w:rsidP="0029656C">
      <w:pPr>
        <w:jc w:val="both"/>
        <w:rPr>
          <w:rFonts w:ascii="Arial" w:hAnsi="Arial" w:cs="Arial"/>
          <w:sz w:val="18"/>
          <w:szCs w:val="18"/>
        </w:rPr>
      </w:pPr>
      <w:r>
        <w:rPr>
          <w:rFonts w:ascii="Arial" w:hAnsi="Arial" w:cs="Arial"/>
          <w:sz w:val="18"/>
          <w:szCs w:val="18"/>
        </w:rPr>
        <w:t xml:space="preserve">  </w:t>
      </w:r>
    </w:p>
    <w:p w:rsidR="00864A90" w:rsidRPr="00AF2B7D" w:rsidRDefault="00864A90" w:rsidP="0029656C">
      <w:pPr>
        <w:jc w:val="both"/>
        <w:rPr>
          <w:rFonts w:ascii="Arial" w:hAnsi="Arial" w:cs="Arial"/>
          <w:sz w:val="18"/>
          <w:szCs w:val="18"/>
        </w:rPr>
      </w:pPr>
      <w:r w:rsidRPr="00AF2B7D">
        <w:rPr>
          <w:rFonts w:ascii="Arial" w:hAnsi="Arial" w:cs="Arial"/>
          <w:sz w:val="18"/>
          <w:szCs w:val="18"/>
        </w:rPr>
        <w:t>Cuadro No. 1.</w:t>
      </w:r>
    </w:p>
    <w:p w:rsidR="004C2E76" w:rsidRDefault="004C2E76" w:rsidP="0029656C">
      <w:pPr>
        <w:jc w:val="both"/>
        <w:rPr>
          <w:rFonts w:ascii="Arial" w:hAnsi="Arial" w:cs="Arial"/>
        </w:rPr>
      </w:pPr>
    </w:p>
    <w:p w:rsidR="001B7393" w:rsidRPr="001136EB" w:rsidRDefault="001136EB" w:rsidP="0029656C">
      <w:pPr>
        <w:jc w:val="both"/>
        <w:rPr>
          <w:rFonts w:ascii="Arial" w:hAnsi="Arial" w:cs="Arial"/>
        </w:rPr>
      </w:pPr>
      <w:r w:rsidRPr="001136EB">
        <w:rPr>
          <w:rFonts w:ascii="Arial" w:hAnsi="Arial" w:cs="Arial"/>
        </w:rPr>
        <w:t xml:space="preserve">En cuanto a las instituciones de educación superior, se resalta que hay 15 acreditadas y 4 en proceso de renovación de la acreditación ubicadas en 7 departamentos </w:t>
      </w:r>
      <w:r w:rsidR="003A5AF3">
        <w:rPr>
          <w:rFonts w:ascii="Arial" w:hAnsi="Arial" w:cs="Arial"/>
        </w:rPr>
        <w:t xml:space="preserve">históricamente afectados por el conflicto armado </w:t>
      </w:r>
      <w:r w:rsidRPr="001136EB">
        <w:rPr>
          <w:rFonts w:ascii="Arial" w:hAnsi="Arial" w:cs="Arial"/>
        </w:rPr>
        <w:t xml:space="preserve">(Antioquia, Bolívar, Cauca, Magdalena, Risaralda, Santander, Valle del Cauca). También se resalta que no hay ninguna acreditada en </w:t>
      </w:r>
      <w:r w:rsidR="001B7393">
        <w:rPr>
          <w:rFonts w:ascii="Arial" w:hAnsi="Arial" w:cs="Arial"/>
        </w:rPr>
        <w:t xml:space="preserve">los siguientes </w:t>
      </w:r>
      <w:r w:rsidRPr="001136EB">
        <w:rPr>
          <w:rFonts w:ascii="Arial" w:hAnsi="Arial" w:cs="Arial"/>
        </w:rPr>
        <w:t>13 de</w:t>
      </w:r>
      <w:r w:rsidR="001B7393">
        <w:rPr>
          <w:rFonts w:ascii="Arial" w:hAnsi="Arial" w:cs="Arial"/>
        </w:rPr>
        <w:t>partamentos</w:t>
      </w:r>
      <w:r w:rsidR="003A5AF3">
        <w:rPr>
          <w:rFonts w:ascii="Arial" w:hAnsi="Arial" w:cs="Arial"/>
        </w:rPr>
        <w:t xml:space="preserve"> también afectados por el conflicto armado</w:t>
      </w:r>
      <w:r w:rsidR="001B7393">
        <w:rPr>
          <w:rFonts w:ascii="Arial" w:hAnsi="Arial" w:cs="Arial"/>
        </w:rPr>
        <w:t xml:space="preserve">: </w:t>
      </w:r>
      <w:r w:rsidR="001B7393" w:rsidRPr="001136EB">
        <w:rPr>
          <w:rFonts w:ascii="Arial" w:hAnsi="Arial" w:cs="Arial"/>
        </w:rPr>
        <w:t>Nariño, Córdoba, Sucre, Tolima, Norte de Santander, Meta, Cesar, La Guajira, Chocó, Putumayo, Caquetá, Arauca y Guaviare.</w:t>
      </w:r>
    </w:p>
    <w:p w:rsidR="001136EB" w:rsidRPr="001136EB" w:rsidRDefault="001136EB" w:rsidP="0029656C">
      <w:pPr>
        <w:jc w:val="both"/>
        <w:rPr>
          <w:rFonts w:ascii="Arial" w:hAnsi="Arial" w:cs="Arial"/>
        </w:rPr>
      </w:pPr>
    </w:p>
    <w:p w:rsidR="001136EB" w:rsidRDefault="00BF6AE9" w:rsidP="0029656C">
      <w:pPr>
        <w:jc w:val="both"/>
        <w:rPr>
          <w:rFonts w:ascii="Arial" w:hAnsi="Arial" w:cs="Arial"/>
        </w:rPr>
      </w:pPr>
      <w:r>
        <w:rPr>
          <w:rFonts w:ascii="Arial" w:hAnsi="Arial" w:cs="Arial"/>
        </w:rPr>
        <w:t xml:space="preserve">Nótese también </w:t>
      </w:r>
      <w:r w:rsidR="00704029">
        <w:rPr>
          <w:rFonts w:ascii="Arial" w:hAnsi="Arial" w:cs="Arial"/>
        </w:rPr>
        <w:t>que,</w:t>
      </w:r>
      <w:r>
        <w:rPr>
          <w:rFonts w:ascii="Arial" w:hAnsi="Arial" w:cs="Arial"/>
        </w:rPr>
        <w:t xml:space="preserve"> </w:t>
      </w:r>
      <w:r w:rsidR="001136EB" w:rsidRPr="001136EB">
        <w:rPr>
          <w:rFonts w:ascii="Arial" w:hAnsi="Arial" w:cs="Arial"/>
        </w:rPr>
        <w:t>del total de beneficiarios de los distintos créditos educativos otorgados por el ICETEX</w:t>
      </w:r>
      <w:r w:rsidR="00C6053F">
        <w:rPr>
          <w:rFonts w:ascii="Arial" w:hAnsi="Arial" w:cs="Arial"/>
        </w:rPr>
        <w:t>,</w:t>
      </w:r>
      <w:r w:rsidR="001136EB" w:rsidRPr="001136EB">
        <w:rPr>
          <w:rFonts w:ascii="Arial" w:hAnsi="Arial" w:cs="Arial"/>
        </w:rPr>
        <w:t xml:space="preserve"> el 55,3% est</w:t>
      </w:r>
      <w:r w:rsidR="003A5AF3">
        <w:rPr>
          <w:rFonts w:ascii="Arial" w:hAnsi="Arial" w:cs="Arial"/>
        </w:rPr>
        <w:t>á</w:t>
      </w:r>
      <w:r>
        <w:rPr>
          <w:rFonts w:ascii="Arial" w:hAnsi="Arial" w:cs="Arial"/>
        </w:rPr>
        <w:t xml:space="preserve">n </w:t>
      </w:r>
      <w:r w:rsidR="001136EB" w:rsidRPr="001136EB">
        <w:rPr>
          <w:rFonts w:ascii="Arial" w:hAnsi="Arial" w:cs="Arial"/>
        </w:rPr>
        <w:t xml:space="preserve">ubicados en los 20 departamentos </w:t>
      </w:r>
      <w:r w:rsidR="003A5AF3">
        <w:rPr>
          <w:rFonts w:ascii="Arial" w:hAnsi="Arial" w:cs="Arial"/>
        </w:rPr>
        <w:t xml:space="preserve">antes </w:t>
      </w:r>
      <w:r w:rsidR="001136EB" w:rsidRPr="001136EB">
        <w:rPr>
          <w:rFonts w:ascii="Arial" w:hAnsi="Arial" w:cs="Arial"/>
        </w:rPr>
        <w:t>referidos y el 20,2% se concentran en los 13 departamentos donde no hay oferta educativa acreditada</w:t>
      </w:r>
      <w:r w:rsidR="003A5AF3">
        <w:rPr>
          <w:rFonts w:ascii="Arial" w:hAnsi="Arial" w:cs="Arial"/>
        </w:rPr>
        <w:t>.</w:t>
      </w:r>
      <w:r w:rsidR="001136EB" w:rsidRPr="001136EB">
        <w:rPr>
          <w:rFonts w:ascii="Arial" w:hAnsi="Arial" w:cs="Arial"/>
        </w:rPr>
        <w:t xml:space="preserve"> </w:t>
      </w:r>
    </w:p>
    <w:p w:rsidR="003A5AF3" w:rsidRDefault="003A5AF3" w:rsidP="0029656C">
      <w:pPr>
        <w:jc w:val="both"/>
        <w:rPr>
          <w:rFonts w:ascii="Arial" w:hAnsi="Arial" w:cs="Arial"/>
        </w:rPr>
      </w:pPr>
    </w:p>
    <w:p w:rsidR="003A5AF3" w:rsidRDefault="003A5AF3" w:rsidP="0029656C">
      <w:pPr>
        <w:jc w:val="both"/>
        <w:rPr>
          <w:rFonts w:ascii="Arial" w:hAnsi="Arial" w:cs="Arial"/>
        </w:rPr>
      </w:pPr>
      <w:r>
        <w:rPr>
          <w:rFonts w:ascii="Arial" w:hAnsi="Arial" w:cs="Arial"/>
        </w:rPr>
        <w:t>El gráfico No. 4 muestra la distribución de las instituciones acreditadas y no acreditadas en los 20 departamentos históricamente afectados por el conflicto armado que se acaban de enunciar. El gráfico No. 5 muestra la comparación entre los beneficiarios ubicados en esos departamentos frente a los demás bene</w:t>
      </w:r>
      <w:r w:rsidR="00C6053F">
        <w:rPr>
          <w:rFonts w:ascii="Arial" w:hAnsi="Arial" w:cs="Arial"/>
        </w:rPr>
        <w:t>ficiarios a nivel nacional; en e</w:t>
      </w:r>
      <w:r>
        <w:rPr>
          <w:rFonts w:ascii="Arial" w:hAnsi="Arial" w:cs="Arial"/>
        </w:rPr>
        <w:t>ste</w:t>
      </w:r>
      <w:r w:rsidR="00C6053F">
        <w:rPr>
          <w:rFonts w:ascii="Arial" w:hAnsi="Arial" w:cs="Arial"/>
        </w:rPr>
        <w:t xml:space="preserve"> último</w:t>
      </w:r>
      <w:r>
        <w:rPr>
          <w:rFonts w:ascii="Arial" w:hAnsi="Arial" w:cs="Arial"/>
        </w:rPr>
        <w:t xml:space="preserve"> es particularmente notorio que la mayoría de los jóvenes que demandan el apoyo del Estado mediante créditos educativos a través del ICETEX para acceder y permanecer en la educación superior, está ubicada precisamente en los departamentos históricamente afectados por el conflicto armado.</w:t>
      </w:r>
    </w:p>
    <w:p w:rsidR="003E014B" w:rsidRPr="001136EB" w:rsidRDefault="003E014B" w:rsidP="0029656C">
      <w:pPr>
        <w:jc w:val="both"/>
        <w:rPr>
          <w:rFonts w:ascii="Arial" w:hAnsi="Arial" w:cs="Arial"/>
        </w:rPr>
      </w:pPr>
    </w:p>
    <w:p w:rsidR="001136EB" w:rsidRPr="00C712CD" w:rsidRDefault="001136EB" w:rsidP="00E07F0E">
      <w:pPr>
        <w:jc w:val="center"/>
        <w:rPr>
          <w:rFonts w:ascii="Arial" w:hAnsi="Arial" w:cs="Arial"/>
        </w:rPr>
      </w:pPr>
      <w:r w:rsidRPr="00C712CD">
        <w:rPr>
          <w:noProof/>
          <w:lang w:val="es-CO" w:eastAsia="es-CO"/>
        </w:rPr>
        <w:lastRenderedPageBreak/>
        <w:drawing>
          <wp:inline distT="0" distB="0" distL="0" distR="0" wp14:anchorId="7557B4BE" wp14:editId="40BDDD14">
            <wp:extent cx="5580380" cy="2596550"/>
            <wp:effectExtent l="0" t="0" r="1270" b="13335"/>
            <wp:docPr id="9" name="Gráfico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740A0" w:rsidRDefault="00E07F0E" w:rsidP="0029656C">
      <w:pPr>
        <w:jc w:val="both"/>
        <w:rPr>
          <w:rFonts w:ascii="Arial" w:hAnsi="Arial" w:cs="Arial"/>
          <w:sz w:val="18"/>
          <w:szCs w:val="18"/>
        </w:rPr>
      </w:pPr>
      <w:r>
        <w:rPr>
          <w:rFonts w:ascii="Arial" w:hAnsi="Arial" w:cs="Arial"/>
          <w:sz w:val="18"/>
          <w:szCs w:val="18"/>
        </w:rPr>
        <w:t xml:space="preserve">      </w:t>
      </w:r>
    </w:p>
    <w:p w:rsidR="00E07F0E" w:rsidRDefault="003E796D" w:rsidP="0029656C">
      <w:pPr>
        <w:jc w:val="both"/>
        <w:rPr>
          <w:rFonts w:ascii="Arial" w:hAnsi="Arial" w:cs="Arial"/>
          <w:sz w:val="18"/>
          <w:szCs w:val="18"/>
        </w:rPr>
      </w:pPr>
      <w:r>
        <w:rPr>
          <w:rFonts w:ascii="Arial" w:hAnsi="Arial" w:cs="Arial"/>
          <w:sz w:val="18"/>
          <w:szCs w:val="18"/>
        </w:rPr>
        <w:t>Gráfico No. 4</w:t>
      </w:r>
      <w:r w:rsidR="00E609D3" w:rsidRPr="00C37C5A">
        <w:rPr>
          <w:rFonts w:ascii="Arial" w:hAnsi="Arial" w:cs="Arial"/>
          <w:sz w:val="18"/>
          <w:szCs w:val="18"/>
        </w:rPr>
        <w:t xml:space="preserve">.                                   </w:t>
      </w:r>
      <w:r w:rsidR="00E609D3">
        <w:rPr>
          <w:rFonts w:ascii="Arial" w:hAnsi="Arial" w:cs="Arial"/>
          <w:sz w:val="18"/>
          <w:szCs w:val="18"/>
        </w:rPr>
        <w:t xml:space="preserve">          </w:t>
      </w:r>
      <w:r w:rsidR="00E609D3" w:rsidRPr="00C37C5A">
        <w:rPr>
          <w:rFonts w:ascii="Arial" w:hAnsi="Arial" w:cs="Arial"/>
          <w:sz w:val="18"/>
          <w:szCs w:val="18"/>
        </w:rPr>
        <w:t xml:space="preserve"> </w:t>
      </w:r>
      <w:r w:rsidR="00E609D3">
        <w:rPr>
          <w:rFonts w:ascii="Arial" w:hAnsi="Arial" w:cs="Arial"/>
          <w:sz w:val="18"/>
          <w:szCs w:val="18"/>
        </w:rPr>
        <w:t xml:space="preserve">            </w:t>
      </w:r>
      <w:r>
        <w:rPr>
          <w:rFonts w:ascii="Arial" w:hAnsi="Arial" w:cs="Arial"/>
          <w:sz w:val="18"/>
          <w:szCs w:val="18"/>
        </w:rPr>
        <w:t xml:space="preserve">               </w:t>
      </w:r>
    </w:p>
    <w:p w:rsidR="00E07F0E" w:rsidRDefault="00E07F0E" w:rsidP="0029656C">
      <w:pPr>
        <w:jc w:val="both"/>
        <w:rPr>
          <w:rFonts w:ascii="Arial" w:hAnsi="Arial" w:cs="Arial"/>
          <w:sz w:val="18"/>
          <w:szCs w:val="18"/>
        </w:rPr>
      </w:pPr>
    </w:p>
    <w:p w:rsidR="00E07F0E" w:rsidRDefault="00E07F0E" w:rsidP="00E07F0E">
      <w:pPr>
        <w:jc w:val="center"/>
        <w:rPr>
          <w:rFonts w:ascii="Arial" w:hAnsi="Arial" w:cs="Arial"/>
          <w:sz w:val="18"/>
          <w:szCs w:val="18"/>
        </w:rPr>
      </w:pPr>
      <w:r w:rsidRPr="00C712CD">
        <w:rPr>
          <w:noProof/>
          <w:lang w:val="es-CO" w:eastAsia="es-CO"/>
        </w:rPr>
        <w:drawing>
          <wp:inline distT="0" distB="0" distL="0" distR="0" wp14:anchorId="2662455D" wp14:editId="230BCEF0">
            <wp:extent cx="5572665" cy="2958861"/>
            <wp:effectExtent l="0" t="0" r="9525" b="13335"/>
            <wp:docPr id="11" name="Gráfico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740A0" w:rsidRDefault="003E796D" w:rsidP="0029656C">
      <w:pPr>
        <w:jc w:val="both"/>
        <w:rPr>
          <w:rFonts w:ascii="Arial" w:hAnsi="Arial" w:cs="Arial"/>
          <w:sz w:val="18"/>
          <w:szCs w:val="18"/>
        </w:rPr>
      </w:pPr>
      <w:r>
        <w:rPr>
          <w:rFonts w:ascii="Arial" w:hAnsi="Arial" w:cs="Arial"/>
          <w:sz w:val="18"/>
          <w:szCs w:val="18"/>
        </w:rPr>
        <w:t xml:space="preserve">    </w:t>
      </w:r>
      <w:r w:rsidR="00E07F0E">
        <w:rPr>
          <w:rFonts w:ascii="Arial" w:hAnsi="Arial" w:cs="Arial"/>
          <w:sz w:val="18"/>
          <w:szCs w:val="18"/>
        </w:rPr>
        <w:t xml:space="preserve">  </w:t>
      </w:r>
    </w:p>
    <w:p w:rsidR="00E609D3" w:rsidRPr="00C37C5A" w:rsidRDefault="003E796D" w:rsidP="0029656C">
      <w:pPr>
        <w:jc w:val="both"/>
        <w:rPr>
          <w:rFonts w:ascii="Arial" w:hAnsi="Arial" w:cs="Arial"/>
          <w:sz w:val="18"/>
          <w:szCs w:val="18"/>
        </w:rPr>
      </w:pPr>
      <w:r>
        <w:rPr>
          <w:rFonts w:ascii="Arial" w:hAnsi="Arial" w:cs="Arial"/>
          <w:sz w:val="18"/>
          <w:szCs w:val="18"/>
        </w:rPr>
        <w:t>Gráfico No. 5</w:t>
      </w:r>
      <w:r w:rsidR="00E609D3" w:rsidRPr="00C37C5A">
        <w:rPr>
          <w:rFonts w:ascii="Arial" w:hAnsi="Arial" w:cs="Arial"/>
          <w:sz w:val="18"/>
          <w:szCs w:val="18"/>
        </w:rPr>
        <w:t>.</w:t>
      </w:r>
    </w:p>
    <w:p w:rsidR="003E014B" w:rsidRDefault="003E014B" w:rsidP="0029656C">
      <w:pPr>
        <w:jc w:val="both"/>
        <w:rPr>
          <w:rFonts w:ascii="Arial" w:hAnsi="Arial" w:cs="Arial"/>
        </w:rPr>
      </w:pPr>
    </w:p>
    <w:p w:rsidR="009358A9" w:rsidRDefault="00FA294E" w:rsidP="0029656C">
      <w:pPr>
        <w:jc w:val="both"/>
        <w:rPr>
          <w:rFonts w:ascii="Arial" w:hAnsi="Arial" w:cs="Arial"/>
        </w:rPr>
      </w:pPr>
      <w:r>
        <w:rPr>
          <w:rFonts w:ascii="Arial" w:hAnsi="Arial" w:cs="Arial"/>
        </w:rPr>
        <w:t xml:space="preserve">En términos generales, analizando la </w:t>
      </w:r>
      <w:r w:rsidR="009358A9">
        <w:rPr>
          <w:rFonts w:ascii="Arial" w:hAnsi="Arial" w:cs="Arial"/>
        </w:rPr>
        <w:t xml:space="preserve">demanda </w:t>
      </w:r>
      <w:r>
        <w:rPr>
          <w:rFonts w:ascii="Arial" w:hAnsi="Arial" w:cs="Arial"/>
        </w:rPr>
        <w:t xml:space="preserve">total de créditos para educación superior que </w:t>
      </w:r>
      <w:r w:rsidR="009358A9">
        <w:rPr>
          <w:rFonts w:ascii="Arial" w:hAnsi="Arial" w:cs="Arial"/>
        </w:rPr>
        <w:t xml:space="preserve">han sido </w:t>
      </w:r>
      <w:r>
        <w:rPr>
          <w:rFonts w:ascii="Arial" w:hAnsi="Arial" w:cs="Arial"/>
        </w:rPr>
        <w:t xml:space="preserve">otorgados a través del ICETEX </w:t>
      </w:r>
      <w:r w:rsidR="009358A9">
        <w:rPr>
          <w:rFonts w:ascii="Arial" w:hAnsi="Arial" w:cs="Arial"/>
        </w:rPr>
        <w:t>en los últimos cinco años</w:t>
      </w:r>
      <w:r w:rsidR="00AF2B7D">
        <w:rPr>
          <w:rFonts w:ascii="Arial" w:hAnsi="Arial" w:cs="Arial"/>
        </w:rPr>
        <w:t>,</w:t>
      </w:r>
      <w:r w:rsidR="009358A9">
        <w:rPr>
          <w:rFonts w:ascii="Arial" w:hAnsi="Arial" w:cs="Arial"/>
        </w:rPr>
        <w:t xml:space="preserve"> </w:t>
      </w:r>
      <w:r>
        <w:rPr>
          <w:rFonts w:ascii="Arial" w:hAnsi="Arial" w:cs="Arial"/>
        </w:rPr>
        <w:t xml:space="preserve">se constata que </w:t>
      </w:r>
      <w:r w:rsidR="009358A9">
        <w:rPr>
          <w:rFonts w:ascii="Arial" w:hAnsi="Arial" w:cs="Arial"/>
        </w:rPr>
        <w:t xml:space="preserve">la mayoría son </w:t>
      </w:r>
      <w:r w:rsidR="00AF2B7D">
        <w:rPr>
          <w:rFonts w:ascii="Arial" w:hAnsi="Arial" w:cs="Arial"/>
        </w:rPr>
        <w:t xml:space="preserve">solicitados por los ciudadanos </w:t>
      </w:r>
      <w:r w:rsidR="009358A9">
        <w:rPr>
          <w:rFonts w:ascii="Arial" w:hAnsi="Arial" w:cs="Arial"/>
        </w:rPr>
        <w:t>para realizar estudios en instituciones sin acreditación.</w:t>
      </w:r>
    </w:p>
    <w:p w:rsidR="00AF2B7D" w:rsidRDefault="00AF2B7D" w:rsidP="0029656C">
      <w:pPr>
        <w:jc w:val="both"/>
        <w:rPr>
          <w:rFonts w:ascii="Arial" w:hAnsi="Arial" w:cs="Arial"/>
        </w:rPr>
      </w:pPr>
    </w:p>
    <w:p w:rsidR="004E3938" w:rsidRDefault="00AF2B7D" w:rsidP="0029656C">
      <w:pPr>
        <w:jc w:val="both"/>
        <w:rPr>
          <w:rFonts w:ascii="Arial" w:hAnsi="Arial" w:cs="Arial"/>
        </w:rPr>
      </w:pPr>
      <w:r>
        <w:rPr>
          <w:rFonts w:ascii="Arial" w:hAnsi="Arial" w:cs="Arial"/>
        </w:rPr>
        <w:t xml:space="preserve">Se resalta que la cobertura de las instituciones acreditadas se circunscribe a las principales ciudades del país, mientras que las instituciones no acreditadas tienen cobertura con un alcance mayor en el territorio nacional. </w:t>
      </w:r>
    </w:p>
    <w:p w:rsidR="004E3938" w:rsidRDefault="004E3938" w:rsidP="0029656C">
      <w:pPr>
        <w:jc w:val="both"/>
        <w:rPr>
          <w:rFonts w:ascii="Arial" w:hAnsi="Arial" w:cs="Arial"/>
        </w:rPr>
      </w:pPr>
    </w:p>
    <w:p w:rsidR="00AF2B7D" w:rsidRDefault="00AF2B7D" w:rsidP="0029656C">
      <w:pPr>
        <w:jc w:val="both"/>
        <w:rPr>
          <w:rFonts w:ascii="Arial" w:hAnsi="Arial" w:cs="Arial"/>
        </w:rPr>
      </w:pPr>
      <w:r>
        <w:rPr>
          <w:rFonts w:ascii="Arial" w:hAnsi="Arial" w:cs="Arial"/>
        </w:rPr>
        <w:t xml:space="preserve">A manera de ejemplo se citan las siguientes instituciones que no cuentan con acreditación de calidad, pero su oferta educativa sobresale </w:t>
      </w:r>
      <w:r w:rsidR="00CA1F78">
        <w:rPr>
          <w:rFonts w:ascii="Arial" w:hAnsi="Arial" w:cs="Arial"/>
        </w:rPr>
        <w:t>a nivel nacional frente a otras instituciones que si tienen acreditación:</w:t>
      </w:r>
    </w:p>
    <w:p w:rsidR="00AF2B7D" w:rsidRDefault="00AF2B7D" w:rsidP="0029656C">
      <w:pPr>
        <w:jc w:val="both"/>
        <w:rPr>
          <w:rFonts w:ascii="Arial" w:hAnsi="Arial" w:cs="Arial"/>
        </w:rPr>
      </w:pPr>
    </w:p>
    <w:tbl>
      <w:tblPr>
        <w:tblW w:w="9219" w:type="dxa"/>
        <w:jc w:val="center"/>
        <w:tblCellMar>
          <w:left w:w="70" w:type="dxa"/>
          <w:right w:w="70" w:type="dxa"/>
        </w:tblCellMar>
        <w:tblLook w:val="04A0" w:firstRow="1" w:lastRow="0" w:firstColumn="1" w:lastColumn="0" w:noHBand="0" w:noVBand="1"/>
      </w:tblPr>
      <w:tblGrid>
        <w:gridCol w:w="5078"/>
        <w:gridCol w:w="2015"/>
        <w:gridCol w:w="2126"/>
      </w:tblGrid>
      <w:tr w:rsidR="00CA1F78" w:rsidRPr="004A02C6" w:rsidTr="008279F0">
        <w:trPr>
          <w:trHeight w:val="329"/>
          <w:jc w:val="center"/>
        </w:trPr>
        <w:tc>
          <w:tcPr>
            <w:tcW w:w="5078" w:type="dxa"/>
            <w:tcBorders>
              <w:top w:val="single" w:sz="4" w:space="0" w:color="auto"/>
              <w:left w:val="single" w:sz="4" w:space="0" w:color="auto"/>
              <w:bottom w:val="single" w:sz="4" w:space="0" w:color="auto"/>
              <w:right w:val="single" w:sz="4" w:space="0" w:color="auto"/>
            </w:tcBorders>
            <w:shd w:val="clear" w:color="000000" w:fill="FFC000"/>
            <w:hideMark/>
          </w:tcPr>
          <w:p w:rsidR="00CA1F78" w:rsidRPr="004A02C6" w:rsidRDefault="00CA1F78" w:rsidP="0029656C">
            <w:pPr>
              <w:rPr>
                <w:rFonts w:ascii="Calibri" w:hAnsi="Calibri" w:cs="Calibri"/>
                <w:b/>
                <w:bCs/>
                <w:color w:val="000000"/>
                <w:sz w:val="18"/>
                <w:szCs w:val="18"/>
              </w:rPr>
            </w:pPr>
            <w:r w:rsidRPr="004A02C6">
              <w:rPr>
                <w:rFonts w:ascii="Calibri" w:hAnsi="Calibri" w:cs="Calibri"/>
                <w:b/>
                <w:bCs/>
                <w:color w:val="000000"/>
                <w:sz w:val="18"/>
                <w:szCs w:val="18"/>
              </w:rPr>
              <w:t>Nombre de la IES</w:t>
            </w:r>
          </w:p>
        </w:tc>
        <w:tc>
          <w:tcPr>
            <w:tcW w:w="2015" w:type="dxa"/>
            <w:tcBorders>
              <w:top w:val="single" w:sz="4" w:space="0" w:color="auto"/>
              <w:left w:val="nil"/>
              <w:bottom w:val="single" w:sz="4" w:space="0" w:color="auto"/>
              <w:right w:val="single" w:sz="4" w:space="0" w:color="auto"/>
            </w:tcBorders>
            <w:shd w:val="clear" w:color="000000" w:fill="FFC000"/>
            <w:hideMark/>
          </w:tcPr>
          <w:p w:rsidR="00CA1F78" w:rsidRPr="004A02C6" w:rsidRDefault="00CA1F78" w:rsidP="0029656C">
            <w:pPr>
              <w:rPr>
                <w:rFonts w:ascii="Calibri" w:hAnsi="Calibri" w:cs="Calibri"/>
                <w:b/>
                <w:bCs/>
                <w:color w:val="000000"/>
                <w:sz w:val="18"/>
                <w:szCs w:val="18"/>
              </w:rPr>
            </w:pPr>
            <w:r w:rsidRPr="004A02C6">
              <w:rPr>
                <w:rFonts w:ascii="Calibri" w:hAnsi="Calibri" w:cs="Calibri"/>
                <w:b/>
                <w:bCs/>
                <w:color w:val="000000"/>
                <w:sz w:val="18"/>
                <w:szCs w:val="18"/>
              </w:rPr>
              <w:t>Población Estudiantil del último año</w:t>
            </w:r>
          </w:p>
        </w:tc>
        <w:tc>
          <w:tcPr>
            <w:tcW w:w="2126" w:type="dxa"/>
            <w:tcBorders>
              <w:top w:val="single" w:sz="4" w:space="0" w:color="auto"/>
              <w:left w:val="nil"/>
              <w:bottom w:val="single" w:sz="4" w:space="0" w:color="auto"/>
              <w:right w:val="single" w:sz="4" w:space="0" w:color="auto"/>
            </w:tcBorders>
            <w:shd w:val="clear" w:color="000000" w:fill="FFC000"/>
            <w:hideMark/>
          </w:tcPr>
          <w:p w:rsidR="00CA1F78" w:rsidRPr="004A02C6" w:rsidRDefault="00CA1F78" w:rsidP="0029656C">
            <w:pPr>
              <w:rPr>
                <w:rFonts w:ascii="Calibri" w:hAnsi="Calibri" w:cs="Calibri"/>
                <w:b/>
                <w:bCs/>
                <w:color w:val="000000"/>
                <w:sz w:val="18"/>
                <w:szCs w:val="18"/>
              </w:rPr>
            </w:pPr>
            <w:r w:rsidRPr="004A02C6">
              <w:rPr>
                <w:rFonts w:ascii="Calibri" w:hAnsi="Calibri" w:cs="Calibri"/>
                <w:b/>
                <w:bCs/>
                <w:color w:val="000000"/>
                <w:sz w:val="18"/>
                <w:szCs w:val="18"/>
              </w:rPr>
              <w:t>Número de Municipios donde oferta el servicio</w:t>
            </w:r>
          </w:p>
        </w:tc>
      </w:tr>
      <w:tr w:rsidR="00CA1F78" w:rsidRPr="004A02C6" w:rsidTr="008279F0">
        <w:trPr>
          <w:trHeight w:val="83"/>
          <w:jc w:val="center"/>
        </w:trPr>
        <w:tc>
          <w:tcPr>
            <w:tcW w:w="5078" w:type="dxa"/>
            <w:tcBorders>
              <w:top w:val="nil"/>
              <w:left w:val="single" w:sz="4" w:space="0" w:color="auto"/>
              <w:bottom w:val="single" w:sz="4" w:space="0" w:color="auto"/>
              <w:right w:val="single" w:sz="4" w:space="0" w:color="auto"/>
            </w:tcBorders>
            <w:shd w:val="clear" w:color="auto" w:fill="auto"/>
            <w:noWrap/>
            <w:vAlign w:val="bottom"/>
            <w:hideMark/>
          </w:tcPr>
          <w:p w:rsidR="00CA1F78" w:rsidRPr="004A02C6" w:rsidRDefault="00CA1F78" w:rsidP="0029656C">
            <w:pPr>
              <w:rPr>
                <w:rFonts w:ascii="Calibri" w:hAnsi="Calibri" w:cs="Calibri"/>
                <w:color w:val="000000"/>
                <w:sz w:val="18"/>
                <w:szCs w:val="18"/>
              </w:rPr>
            </w:pPr>
            <w:r w:rsidRPr="004A02C6">
              <w:rPr>
                <w:rFonts w:ascii="Calibri" w:hAnsi="Calibri" w:cs="Calibri"/>
                <w:color w:val="000000"/>
                <w:sz w:val="18"/>
                <w:szCs w:val="18"/>
              </w:rPr>
              <w:t>Universidad Nacional Abierta y a Distancia -UNAD</w:t>
            </w:r>
          </w:p>
        </w:tc>
        <w:tc>
          <w:tcPr>
            <w:tcW w:w="2015" w:type="dxa"/>
            <w:tcBorders>
              <w:top w:val="nil"/>
              <w:left w:val="nil"/>
              <w:bottom w:val="single" w:sz="4" w:space="0" w:color="auto"/>
              <w:right w:val="single" w:sz="4" w:space="0" w:color="auto"/>
            </w:tcBorders>
            <w:shd w:val="clear" w:color="000000" w:fill="FFFFFF"/>
            <w:vAlign w:val="center"/>
            <w:hideMark/>
          </w:tcPr>
          <w:p w:rsidR="00CA1F78" w:rsidRPr="004A02C6" w:rsidRDefault="00CA1F78" w:rsidP="0029656C">
            <w:pPr>
              <w:jc w:val="center"/>
              <w:rPr>
                <w:rFonts w:ascii="Arial" w:hAnsi="Arial" w:cs="Arial"/>
                <w:color w:val="000000"/>
                <w:sz w:val="18"/>
                <w:szCs w:val="18"/>
              </w:rPr>
            </w:pPr>
            <w:r w:rsidRPr="004A02C6">
              <w:rPr>
                <w:rFonts w:ascii="Arial" w:hAnsi="Arial" w:cs="Arial"/>
                <w:color w:val="000000"/>
                <w:sz w:val="18"/>
                <w:szCs w:val="18"/>
              </w:rPr>
              <w:t xml:space="preserve">              69.675 </w:t>
            </w:r>
          </w:p>
        </w:tc>
        <w:tc>
          <w:tcPr>
            <w:tcW w:w="2126" w:type="dxa"/>
            <w:tcBorders>
              <w:top w:val="nil"/>
              <w:left w:val="nil"/>
              <w:bottom w:val="single" w:sz="4" w:space="0" w:color="auto"/>
              <w:right w:val="single" w:sz="4" w:space="0" w:color="auto"/>
            </w:tcBorders>
            <w:shd w:val="clear" w:color="000000" w:fill="FFFFFF"/>
            <w:vAlign w:val="center"/>
            <w:hideMark/>
          </w:tcPr>
          <w:p w:rsidR="00CA1F78" w:rsidRPr="004A02C6" w:rsidRDefault="00CA1F78" w:rsidP="0029656C">
            <w:pPr>
              <w:jc w:val="center"/>
              <w:rPr>
                <w:rFonts w:ascii="Arial" w:hAnsi="Arial" w:cs="Arial"/>
                <w:color w:val="000000"/>
                <w:sz w:val="18"/>
                <w:szCs w:val="18"/>
              </w:rPr>
            </w:pPr>
            <w:r w:rsidRPr="004A02C6">
              <w:rPr>
                <w:rFonts w:ascii="Arial" w:hAnsi="Arial" w:cs="Arial"/>
                <w:color w:val="000000"/>
                <w:sz w:val="18"/>
                <w:szCs w:val="18"/>
              </w:rPr>
              <w:t>60</w:t>
            </w:r>
          </w:p>
        </w:tc>
      </w:tr>
      <w:tr w:rsidR="00CA1F78" w:rsidRPr="004A02C6" w:rsidTr="008279F0">
        <w:trPr>
          <w:trHeight w:val="143"/>
          <w:jc w:val="center"/>
        </w:trPr>
        <w:tc>
          <w:tcPr>
            <w:tcW w:w="5078" w:type="dxa"/>
            <w:tcBorders>
              <w:top w:val="nil"/>
              <w:left w:val="single" w:sz="4" w:space="0" w:color="auto"/>
              <w:bottom w:val="single" w:sz="4" w:space="0" w:color="auto"/>
              <w:right w:val="single" w:sz="4" w:space="0" w:color="auto"/>
            </w:tcBorders>
            <w:shd w:val="clear" w:color="auto" w:fill="auto"/>
            <w:noWrap/>
            <w:vAlign w:val="bottom"/>
            <w:hideMark/>
          </w:tcPr>
          <w:p w:rsidR="00CA1F78" w:rsidRPr="004A02C6" w:rsidRDefault="00CA1F78" w:rsidP="0029656C">
            <w:pPr>
              <w:rPr>
                <w:rFonts w:ascii="Calibri" w:hAnsi="Calibri" w:cs="Calibri"/>
                <w:color w:val="000000"/>
                <w:sz w:val="18"/>
                <w:szCs w:val="18"/>
              </w:rPr>
            </w:pPr>
            <w:r w:rsidRPr="004A02C6">
              <w:rPr>
                <w:rFonts w:ascii="Calibri" w:hAnsi="Calibri" w:cs="Calibri"/>
                <w:color w:val="000000"/>
                <w:sz w:val="18"/>
                <w:szCs w:val="18"/>
              </w:rPr>
              <w:t>Universidad Cooperativa de Colombia</w:t>
            </w:r>
          </w:p>
        </w:tc>
        <w:tc>
          <w:tcPr>
            <w:tcW w:w="2015" w:type="dxa"/>
            <w:tcBorders>
              <w:top w:val="nil"/>
              <w:left w:val="nil"/>
              <w:bottom w:val="single" w:sz="4" w:space="0" w:color="auto"/>
              <w:right w:val="single" w:sz="4" w:space="0" w:color="auto"/>
            </w:tcBorders>
            <w:shd w:val="clear" w:color="000000" w:fill="FFFFFF"/>
            <w:vAlign w:val="center"/>
            <w:hideMark/>
          </w:tcPr>
          <w:p w:rsidR="00CA1F78" w:rsidRPr="004A02C6" w:rsidRDefault="00CA1F78" w:rsidP="0029656C">
            <w:pPr>
              <w:jc w:val="center"/>
              <w:rPr>
                <w:rFonts w:ascii="Arial" w:hAnsi="Arial" w:cs="Arial"/>
                <w:color w:val="000000"/>
                <w:sz w:val="18"/>
                <w:szCs w:val="18"/>
              </w:rPr>
            </w:pPr>
            <w:r w:rsidRPr="004A02C6">
              <w:rPr>
                <w:rFonts w:ascii="Arial" w:hAnsi="Arial" w:cs="Arial"/>
                <w:color w:val="000000"/>
                <w:sz w:val="18"/>
                <w:szCs w:val="18"/>
              </w:rPr>
              <w:t xml:space="preserve">              49.312 </w:t>
            </w:r>
          </w:p>
        </w:tc>
        <w:tc>
          <w:tcPr>
            <w:tcW w:w="2126" w:type="dxa"/>
            <w:tcBorders>
              <w:top w:val="nil"/>
              <w:left w:val="nil"/>
              <w:bottom w:val="single" w:sz="4" w:space="0" w:color="auto"/>
              <w:right w:val="single" w:sz="4" w:space="0" w:color="auto"/>
            </w:tcBorders>
            <w:shd w:val="clear" w:color="000000" w:fill="FFFFFF"/>
            <w:vAlign w:val="center"/>
            <w:hideMark/>
          </w:tcPr>
          <w:p w:rsidR="00CA1F78" w:rsidRPr="004A02C6" w:rsidRDefault="00CA1F78" w:rsidP="0029656C">
            <w:pPr>
              <w:jc w:val="center"/>
              <w:rPr>
                <w:rFonts w:ascii="Arial" w:hAnsi="Arial" w:cs="Arial"/>
                <w:color w:val="000000"/>
                <w:sz w:val="18"/>
                <w:szCs w:val="18"/>
              </w:rPr>
            </w:pPr>
            <w:r w:rsidRPr="004A02C6">
              <w:rPr>
                <w:rFonts w:ascii="Arial" w:hAnsi="Arial" w:cs="Arial"/>
                <w:color w:val="000000"/>
                <w:sz w:val="18"/>
                <w:szCs w:val="18"/>
              </w:rPr>
              <w:t>19</w:t>
            </w:r>
          </w:p>
        </w:tc>
      </w:tr>
      <w:tr w:rsidR="00CA1F78" w:rsidRPr="004A02C6" w:rsidTr="008279F0">
        <w:trPr>
          <w:trHeight w:val="60"/>
          <w:jc w:val="center"/>
        </w:trPr>
        <w:tc>
          <w:tcPr>
            <w:tcW w:w="5078" w:type="dxa"/>
            <w:tcBorders>
              <w:top w:val="nil"/>
              <w:left w:val="single" w:sz="4" w:space="0" w:color="auto"/>
              <w:bottom w:val="single" w:sz="4" w:space="0" w:color="auto"/>
              <w:right w:val="single" w:sz="4" w:space="0" w:color="auto"/>
            </w:tcBorders>
            <w:shd w:val="clear" w:color="auto" w:fill="auto"/>
            <w:noWrap/>
            <w:vAlign w:val="bottom"/>
            <w:hideMark/>
          </w:tcPr>
          <w:p w:rsidR="00CA1F78" w:rsidRPr="004A02C6" w:rsidRDefault="00CA1F78" w:rsidP="0029656C">
            <w:pPr>
              <w:rPr>
                <w:rFonts w:ascii="Calibri" w:hAnsi="Calibri" w:cs="Calibri"/>
                <w:color w:val="000000"/>
                <w:sz w:val="18"/>
                <w:szCs w:val="18"/>
              </w:rPr>
            </w:pPr>
            <w:r w:rsidRPr="004A02C6">
              <w:rPr>
                <w:rFonts w:ascii="Calibri" w:hAnsi="Calibri" w:cs="Calibri"/>
                <w:color w:val="000000"/>
                <w:sz w:val="18"/>
                <w:szCs w:val="18"/>
              </w:rPr>
              <w:t>Universidad Antonio Nariño</w:t>
            </w:r>
          </w:p>
        </w:tc>
        <w:tc>
          <w:tcPr>
            <w:tcW w:w="2015" w:type="dxa"/>
            <w:tcBorders>
              <w:top w:val="nil"/>
              <w:left w:val="nil"/>
              <w:bottom w:val="single" w:sz="4" w:space="0" w:color="auto"/>
              <w:right w:val="single" w:sz="4" w:space="0" w:color="auto"/>
            </w:tcBorders>
            <w:shd w:val="clear" w:color="000000" w:fill="FFFFFF"/>
            <w:vAlign w:val="center"/>
            <w:hideMark/>
          </w:tcPr>
          <w:p w:rsidR="00CA1F78" w:rsidRPr="004A02C6" w:rsidRDefault="00CA1F78" w:rsidP="0029656C">
            <w:pPr>
              <w:jc w:val="center"/>
              <w:rPr>
                <w:rFonts w:ascii="Arial" w:hAnsi="Arial" w:cs="Arial"/>
                <w:color w:val="000000"/>
                <w:sz w:val="18"/>
                <w:szCs w:val="18"/>
              </w:rPr>
            </w:pPr>
            <w:r w:rsidRPr="004A02C6">
              <w:rPr>
                <w:rFonts w:ascii="Arial" w:hAnsi="Arial" w:cs="Arial"/>
                <w:color w:val="000000"/>
                <w:sz w:val="18"/>
                <w:szCs w:val="18"/>
              </w:rPr>
              <w:t xml:space="preserve">              16.702 </w:t>
            </w:r>
          </w:p>
        </w:tc>
        <w:tc>
          <w:tcPr>
            <w:tcW w:w="2126" w:type="dxa"/>
            <w:tcBorders>
              <w:top w:val="nil"/>
              <w:left w:val="nil"/>
              <w:bottom w:val="single" w:sz="4" w:space="0" w:color="auto"/>
              <w:right w:val="single" w:sz="4" w:space="0" w:color="auto"/>
            </w:tcBorders>
            <w:shd w:val="clear" w:color="000000" w:fill="FFFFFF"/>
            <w:vAlign w:val="center"/>
            <w:hideMark/>
          </w:tcPr>
          <w:p w:rsidR="00CA1F78" w:rsidRPr="004A02C6" w:rsidRDefault="00CA1F78" w:rsidP="0029656C">
            <w:pPr>
              <w:jc w:val="center"/>
              <w:rPr>
                <w:rFonts w:ascii="Arial" w:hAnsi="Arial" w:cs="Arial"/>
                <w:color w:val="000000"/>
                <w:sz w:val="18"/>
                <w:szCs w:val="18"/>
              </w:rPr>
            </w:pPr>
            <w:r w:rsidRPr="004A02C6">
              <w:rPr>
                <w:rFonts w:ascii="Arial" w:hAnsi="Arial" w:cs="Arial"/>
                <w:color w:val="000000"/>
                <w:sz w:val="18"/>
                <w:szCs w:val="18"/>
              </w:rPr>
              <w:t>30</w:t>
            </w:r>
          </w:p>
        </w:tc>
      </w:tr>
      <w:tr w:rsidR="00CA1F78" w:rsidRPr="004A02C6" w:rsidTr="008279F0">
        <w:trPr>
          <w:trHeight w:val="60"/>
          <w:jc w:val="center"/>
        </w:trPr>
        <w:tc>
          <w:tcPr>
            <w:tcW w:w="5078" w:type="dxa"/>
            <w:tcBorders>
              <w:top w:val="nil"/>
              <w:left w:val="single" w:sz="4" w:space="0" w:color="auto"/>
              <w:bottom w:val="single" w:sz="4" w:space="0" w:color="auto"/>
              <w:right w:val="single" w:sz="4" w:space="0" w:color="auto"/>
            </w:tcBorders>
            <w:shd w:val="clear" w:color="auto" w:fill="auto"/>
            <w:noWrap/>
            <w:vAlign w:val="bottom"/>
            <w:hideMark/>
          </w:tcPr>
          <w:p w:rsidR="00CA1F78" w:rsidRPr="004A02C6" w:rsidRDefault="00CA1F78" w:rsidP="0029656C">
            <w:pPr>
              <w:rPr>
                <w:rFonts w:ascii="Calibri" w:hAnsi="Calibri" w:cs="Calibri"/>
                <w:color w:val="000000"/>
                <w:sz w:val="18"/>
                <w:szCs w:val="18"/>
              </w:rPr>
            </w:pPr>
            <w:r w:rsidRPr="004A02C6">
              <w:rPr>
                <w:rFonts w:ascii="Calibri" w:hAnsi="Calibri" w:cs="Calibri"/>
                <w:color w:val="000000"/>
                <w:sz w:val="18"/>
                <w:szCs w:val="18"/>
              </w:rPr>
              <w:t>Corporación Unificada Nacional de Educación Superior -CUN</w:t>
            </w:r>
          </w:p>
        </w:tc>
        <w:tc>
          <w:tcPr>
            <w:tcW w:w="2015" w:type="dxa"/>
            <w:tcBorders>
              <w:top w:val="nil"/>
              <w:left w:val="nil"/>
              <w:bottom w:val="single" w:sz="4" w:space="0" w:color="auto"/>
              <w:right w:val="single" w:sz="4" w:space="0" w:color="auto"/>
            </w:tcBorders>
            <w:shd w:val="clear" w:color="000000" w:fill="FFFFFF"/>
            <w:vAlign w:val="center"/>
            <w:hideMark/>
          </w:tcPr>
          <w:p w:rsidR="00CA1F78" w:rsidRPr="004A02C6" w:rsidRDefault="00CA1F78" w:rsidP="0029656C">
            <w:pPr>
              <w:jc w:val="center"/>
              <w:rPr>
                <w:rFonts w:ascii="Arial" w:hAnsi="Arial" w:cs="Arial"/>
                <w:color w:val="000000"/>
                <w:sz w:val="18"/>
                <w:szCs w:val="18"/>
              </w:rPr>
            </w:pPr>
            <w:r w:rsidRPr="004A02C6">
              <w:rPr>
                <w:rFonts w:ascii="Arial" w:hAnsi="Arial" w:cs="Arial"/>
                <w:color w:val="000000"/>
                <w:sz w:val="18"/>
                <w:szCs w:val="18"/>
              </w:rPr>
              <w:t xml:space="preserve">              31.177 </w:t>
            </w:r>
          </w:p>
        </w:tc>
        <w:tc>
          <w:tcPr>
            <w:tcW w:w="2126" w:type="dxa"/>
            <w:tcBorders>
              <w:top w:val="nil"/>
              <w:left w:val="nil"/>
              <w:bottom w:val="single" w:sz="4" w:space="0" w:color="auto"/>
              <w:right w:val="single" w:sz="4" w:space="0" w:color="auto"/>
            </w:tcBorders>
            <w:shd w:val="clear" w:color="000000" w:fill="FFFFFF"/>
            <w:vAlign w:val="center"/>
            <w:hideMark/>
          </w:tcPr>
          <w:p w:rsidR="00CA1F78" w:rsidRPr="004A02C6" w:rsidRDefault="00CA1F78" w:rsidP="0029656C">
            <w:pPr>
              <w:jc w:val="center"/>
              <w:rPr>
                <w:rFonts w:ascii="Arial" w:hAnsi="Arial" w:cs="Arial"/>
                <w:color w:val="000000"/>
                <w:sz w:val="18"/>
                <w:szCs w:val="18"/>
              </w:rPr>
            </w:pPr>
            <w:r w:rsidRPr="004A02C6">
              <w:rPr>
                <w:rFonts w:ascii="Arial" w:hAnsi="Arial" w:cs="Arial"/>
                <w:color w:val="000000"/>
                <w:sz w:val="18"/>
                <w:szCs w:val="18"/>
              </w:rPr>
              <w:t>69</w:t>
            </w:r>
          </w:p>
        </w:tc>
      </w:tr>
      <w:tr w:rsidR="00CA1F78" w:rsidRPr="004A02C6" w:rsidTr="008279F0">
        <w:trPr>
          <w:trHeight w:val="60"/>
          <w:jc w:val="center"/>
        </w:trPr>
        <w:tc>
          <w:tcPr>
            <w:tcW w:w="5078" w:type="dxa"/>
            <w:tcBorders>
              <w:top w:val="nil"/>
              <w:left w:val="single" w:sz="4" w:space="0" w:color="auto"/>
              <w:bottom w:val="single" w:sz="4" w:space="0" w:color="auto"/>
              <w:right w:val="single" w:sz="4" w:space="0" w:color="auto"/>
            </w:tcBorders>
            <w:shd w:val="clear" w:color="auto" w:fill="auto"/>
            <w:noWrap/>
            <w:vAlign w:val="bottom"/>
            <w:hideMark/>
          </w:tcPr>
          <w:p w:rsidR="00CA1F78" w:rsidRPr="004A02C6" w:rsidRDefault="00CA1F78" w:rsidP="0029656C">
            <w:pPr>
              <w:rPr>
                <w:rFonts w:ascii="Calibri" w:hAnsi="Calibri" w:cs="Calibri"/>
                <w:color w:val="000000"/>
                <w:sz w:val="18"/>
                <w:szCs w:val="18"/>
              </w:rPr>
            </w:pPr>
            <w:r w:rsidRPr="004A02C6">
              <w:rPr>
                <w:rFonts w:ascii="Calibri" w:hAnsi="Calibri" w:cs="Calibri"/>
                <w:color w:val="000000"/>
                <w:sz w:val="18"/>
                <w:szCs w:val="18"/>
              </w:rPr>
              <w:t>Corporación Universitaria Minuto de Dios -UNIMINUTO</w:t>
            </w:r>
          </w:p>
        </w:tc>
        <w:tc>
          <w:tcPr>
            <w:tcW w:w="2015" w:type="dxa"/>
            <w:tcBorders>
              <w:top w:val="nil"/>
              <w:left w:val="nil"/>
              <w:bottom w:val="single" w:sz="4" w:space="0" w:color="auto"/>
              <w:right w:val="single" w:sz="4" w:space="0" w:color="auto"/>
            </w:tcBorders>
            <w:shd w:val="clear" w:color="000000" w:fill="FFFFFF"/>
            <w:vAlign w:val="center"/>
            <w:hideMark/>
          </w:tcPr>
          <w:p w:rsidR="00CA1F78" w:rsidRPr="004A02C6" w:rsidRDefault="00CA1F78" w:rsidP="0029656C">
            <w:pPr>
              <w:jc w:val="center"/>
              <w:rPr>
                <w:rFonts w:ascii="Arial" w:hAnsi="Arial" w:cs="Arial"/>
                <w:color w:val="000000"/>
                <w:sz w:val="18"/>
                <w:szCs w:val="18"/>
              </w:rPr>
            </w:pPr>
            <w:r w:rsidRPr="004A02C6">
              <w:rPr>
                <w:rFonts w:ascii="Arial" w:hAnsi="Arial" w:cs="Arial"/>
                <w:color w:val="000000"/>
                <w:sz w:val="18"/>
                <w:szCs w:val="18"/>
              </w:rPr>
              <w:t xml:space="preserve">            108.624 </w:t>
            </w:r>
          </w:p>
        </w:tc>
        <w:tc>
          <w:tcPr>
            <w:tcW w:w="2126" w:type="dxa"/>
            <w:tcBorders>
              <w:top w:val="nil"/>
              <w:left w:val="nil"/>
              <w:bottom w:val="single" w:sz="4" w:space="0" w:color="auto"/>
              <w:right w:val="single" w:sz="4" w:space="0" w:color="auto"/>
            </w:tcBorders>
            <w:shd w:val="clear" w:color="000000" w:fill="FFFFFF"/>
            <w:vAlign w:val="center"/>
            <w:hideMark/>
          </w:tcPr>
          <w:p w:rsidR="00CA1F78" w:rsidRPr="004A02C6" w:rsidRDefault="00CA1F78" w:rsidP="0029656C">
            <w:pPr>
              <w:jc w:val="center"/>
              <w:rPr>
                <w:rFonts w:ascii="Arial" w:hAnsi="Arial" w:cs="Arial"/>
                <w:color w:val="000000"/>
                <w:sz w:val="18"/>
                <w:szCs w:val="18"/>
              </w:rPr>
            </w:pPr>
            <w:r w:rsidRPr="004A02C6">
              <w:rPr>
                <w:rFonts w:ascii="Arial" w:hAnsi="Arial" w:cs="Arial"/>
                <w:color w:val="000000"/>
                <w:sz w:val="18"/>
                <w:szCs w:val="18"/>
              </w:rPr>
              <w:t>27</w:t>
            </w:r>
          </w:p>
        </w:tc>
      </w:tr>
      <w:tr w:rsidR="00CA1F78" w:rsidRPr="004A02C6" w:rsidTr="008279F0">
        <w:trPr>
          <w:trHeight w:val="71"/>
          <w:jc w:val="center"/>
        </w:trPr>
        <w:tc>
          <w:tcPr>
            <w:tcW w:w="5078" w:type="dxa"/>
            <w:tcBorders>
              <w:top w:val="nil"/>
              <w:left w:val="single" w:sz="4" w:space="0" w:color="auto"/>
              <w:bottom w:val="single" w:sz="4" w:space="0" w:color="auto"/>
              <w:right w:val="single" w:sz="4" w:space="0" w:color="auto"/>
            </w:tcBorders>
            <w:shd w:val="clear" w:color="auto" w:fill="auto"/>
            <w:noWrap/>
            <w:vAlign w:val="bottom"/>
            <w:hideMark/>
          </w:tcPr>
          <w:p w:rsidR="00CA1F78" w:rsidRPr="004A02C6" w:rsidRDefault="00CA1F78" w:rsidP="0029656C">
            <w:pPr>
              <w:rPr>
                <w:rFonts w:ascii="Calibri" w:hAnsi="Calibri" w:cs="Calibri"/>
                <w:color w:val="000000"/>
                <w:sz w:val="18"/>
                <w:szCs w:val="18"/>
              </w:rPr>
            </w:pPr>
            <w:r w:rsidRPr="004A02C6">
              <w:rPr>
                <w:rFonts w:ascii="Calibri" w:hAnsi="Calibri" w:cs="Calibri"/>
                <w:color w:val="000000"/>
                <w:sz w:val="18"/>
                <w:szCs w:val="18"/>
              </w:rPr>
              <w:t>Corporación Universitaria Remington</w:t>
            </w:r>
          </w:p>
        </w:tc>
        <w:tc>
          <w:tcPr>
            <w:tcW w:w="2015" w:type="dxa"/>
            <w:tcBorders>
              <w:top w:val="nil"/>
              <w:left w:val="nil"/>
              <w:bottom w:val="single" w:sz="4" w:space="0" w:color="auto"/>
              <w:right w:val="single" w:sz="4" w:space="0" w:color="auto"/>
            </w:tcBorders>
            <w:shd w:val="clear" w:color="000000" w:fill="FFFFFF"/>
            <w:vAlign w:val="center"/>
            <w:hideMark/>
          </w:tcPr>
          <w:p w:rsidR="00CA1F78" w:rsidRPr="004A02C6" w:rsidRDefault="00CA1F78" w:rsidP="0029656C">
            <w:pPr>
              <w:jc w:val="center"/>
              <w:rPr>
                <w:rFonts w:ascii="Arial" w:hAnsi="Arial" w:cs="Arial"/>
                <w:color w:val="000000"/>
                <w:sz w:val="18"/>
                <w:szCs w:val="18"/>
              </w:rPr>
            </w:pPr>
            <w:r w:rsidRPr="004A02C6">
              <w:rPr>
                <w:rFonts w:ascii="Arial" w:hAnsi="Arial" w:cs="Arial"/>
                <w:color w:val="000000"/>
                <w:sz w:val="18"/>
                <w:szCs w:val="18"/>
              </w:rPr>
              <w:t xml:space="preserve">              21.326 </w:t>
            </w:r>
          </w:p>
        </w:tc>
        <w:tc>
          <w:tcPr>
            <w:tcW w:w="2126" w:type="dxa"/>
            <w:tcBorders>
              <w:top w:val="nil"/>
              <w:left w:val="nil"/>
              <w:bottom w:val="single" w:sz="4" w:space="0" w:color="auto"/>
              <w:right w:val="single" w:sz="4" w:space="0" w:color="auto"/>
            </w:tcBorders>
            <w:shd w:val="clear" w:color="000000" w:fill="FFFFFF"/>
            <w:vAlign w:val="center"/>
            <w:hideMark/>
          </w:tcPr>
          <w:p w:rsidR="00CA1F78" w:rsidRPr="004A02C6" w:rsidRDefault="00CA1F78" w:rsidP="0029656C">
            <w:pPr>
              <w:jc w:val="center"/>
              <w:rPr>
                <w:rFonts w:ascii="Arial" w:hAnsi="Arial" w:cs="Arial"/>
                <w:color w:val="000000"/>
                <w:sz w:val="18"/>
                <w:szCs w:val="18"/>
              </w:rPr>
            </w:pPr>
            <w:r w:rsidRPr="004A02C6">
              <w:rPr>
                <w:rFonts w:ascii="Arial" w:hAnsi="Arial" w:cs="Arial"/>
                <w:color w:val="000000"/>
                <w:sz w:val="18"/>
                <w:szCs w:val="18"/>
              </w:rPr>
              <w:t>60</w:t>
            </w:r>
          </w:p>
        </w:tc>
      </w:tr>
    </w:tbl>
    <w:p w:rsidR="005740A0" w:rsidRDefault="00AF2B7D" w:rsidP="0029656C">
      <w:pPr>
        <w:jc w:val="both"/>
        <w:rPr>
          <w:rFonts w:ascii="Arial" w:hAnsi="Arial" w:cs="Arial"/>
          <w:sz w:val="18"/>
          <w:szCs w:val="18"/>
        </w:rPr>
      </w:pPr>
      <w:r>
        <w:rPr>
          <w:rFonts w:ascii="Arial" w:hAnsi="Arial" w:cs="Arial"/>
          <w:sz w:val="18"/>
          <w:szCs w:val="18"/>
        </w:rPr>
        <w:t xml:space="preserve"> </w:t>
      </w:r>
    </w:p>
    <w:p w:rsidR="00AF2B7D" w:rsidRPr="00AF2B7D" w:rsidRDefault="00864A90" w:rsidP="0029656C">
      <w:pPr>
        <w:jc w:val="both"/>
        <w:rPr>
          <w:rFonts w:ascii="Arial" w:hAnsi="Arial" w:cs="Arial"/>
          <w:sz w:val="18"/>
          <w:szCs w:val="18"/>
        </w:rPr>
      </w:pPr>
      <w:r>
        <w:rPr>
          <w:rFonts w:ascii="Arial" w:hAnsi="Arial" w:cs="Arial"/>
          <w:sz w:val="18"/>
          <w:szCs w:val="18"/>
        </w:rPr>
        <w:t>Cuadro No. 2</w:t>
      </w:r>
      <w:r w:rsidR="00AF2B7D" w:rsidRPr="00AF2B7D">
        <w:rPr>
          <w:rFonts w:ascii="Arial" w:hAnsi="Arial" w:cs="Arial"/>
          <w:sz w:val="18"/>
          <w:szCs w:val="18"/>
        </w:rPr>
        <w:t>.</w:t>
      </w:r>
    </w:p>
    <w:p w:rsidR="00F3416B" w:rsidRDefault="00F3416B" w:rsidP="0029656C">
      <w:pPr>
        <w:jc w:val="both"/>
        <w:rPr>
          <w:rFonts w:ascii="Arial" w:hAnsi="Arial" w:cs="Arial"/>
        </w:rPr>
      </w:pPr>
    </w:p>
    <w:p w:rsidR="00CA1F78" w:rsidRDefault="00CA1F78" w:rsidP="0029656C">
      <w:pPr>
        <w:jc w:val="both"/>
        <w:rPr>
          <w:rFonts w:ascii="Arial" w:hAnsi="Arial" w:cs="Arial"/>
        </w:rPr>
      </w:pPr>
      <w:r>
        <w:rPr>
          <w:rFonts w:ascii="Arial" w:hAnsi="Arial" w:cs="Arial"/>
        </w:rPr>
        <w:t>Estas seis instituciones tienen logran ofertar el servicio educativo en promedio a 41 municipios, cada una; sumada su población estudiantil, equivale al 12% del total nacional actual. Como se mostró en el gráfico 2, la mayoría de instituciones de educación superior actualmente no cuentan con acreditación institucional.</w:t>
      </w:r>
    </w:p>
    <w:p w:rsidR="00CA1F78" w:rsidRDefault="00CA1F78" w:rsidP="0029656C">
      <w:pPr>
        <w:jc w:val="both"/>
        <w:rPr>
          <w:rFonts w:ascii="Arial" w:hAnsi="Arial" w:cs="Arial"/>
        </w:rPr>
      </w:pPr>
    </w:p>
    <w:p w:rsidR="00D43ECB" w:rsidRDefault="005E230F" w:rsidP="0029656C">
      <w:pPr>
        <w:jc w:val="both"/>
        <w:rPr>
          <w:rFonts w:ascii="Arial" w:hAnsi="Arial" w:cs="Arial"/>
        </w:rPr>
      </w:pPr>
      <w:r>
        <w:rPr>
          <w:rFonts w:ascii="Arial" w:hAnsi="Arial" w:cs="Arial"/>
        </w:rPr>
        <w:t xml:space="preserve">El siguiente gráfico muestra </w:t>
      </w:r>
      <w:r w:rsidR="00145330">
        <w:rPr>
          <w:rFonts w:ascii="Arial" w:hAnsi="Arial" w:cs="Arial"/>
        </w:rPr>
        <w:t xml:space="preserve">el comportamiento de </w:t>
      </w:r>
      <w:r>
        <w:rPr>
          <w:rFonts w:ascii="Arial" w:hAnsi="Arial" w:cs="Arial"/>
        </w:rPr>
        <w:t xml:space="preserve">la demanda de la población por apoyo económico estatal a través del ICETEX para pagar sus </w:t>
      </w:r>
      <w:r w:rsidR="00145330">
        <w:rPr>
          <w:rFonts w:ascii="Arial" w:hAnsi="Arial" w:cs="Arial"/>
        </w:rPr>
        <w:t xml:space="preserve">estudios de </w:t>
      </w:r>
      <w:r>
        <w:rPr>
          <w:rFonts w:ascii="Arial" w:hAnsi="Arial" w:cs="Arial"/>
        </w:rPr>
        <w:t>educación superior</w:t>
      </w:r>
      <w:r w:rsidR="00AF2B7D">
        <w:rPr>
          <w:rFonts w:ascii="Arial" w:hAnsi="Arial" w:cs="Arial"/>
        </w:rPr>
        <w:t>. En</w:t>
      </w:r>
      <w:r w:rsidR="00E609D3">
        <w:rPr>
          <w:rFonts w:ascii="Arial" w:hAnsi="Arial" w:cs="Arial"/>
        </w:rPr>
        <w:t xml:space="preserve"> </w:t>
      </w:r>
      <w:r w:rsidR="00C0582E">
        <w:rPr>
          <w:rFonts w:ascii="Arial" w:hAnsi="Arial" w:cs="Arial"/>
        </w:rPr>
        <w:t>e</w:t>
      </w:r>
      <w:r w:rsidR="00E609D3">
        <w:rPr>
          <w:rFonts w:ascii="Arial" w:hAnsi="Arial" w:cs="Arial"/>
        </w:rPr>
        <w:t xml:space="preserve">ste se </w:t>
      </w:r>
      <w:r>
        <w:rPr>
          <w:rFonts w:ascii="Arial" w:hAnsi="Arial" w:cs="Arial"/>
        </w:rPr>
        <w:t xml:space="preserve">evidencia </w:t>
      </w:r>
      <w:r w:rsidR="00EC1EAF">
        <w:rPr>
          <w:rFonts w:ascii="Arial" w:hAnsi="Arial" w:cs="Arial"/>
        </w:rPr>
        <w:t xml:space="preserve">que las solicitudes de créditos educativos se caracterizan por una marcada preferencia para cursar </w:t>
      </w:r>
      <w:r>
        <w:rPr>
          <w:rFonts w:ascii="Arial" w:hAnsi="Arial" w:cs="Arial"/>
        </w:rPr>
        <w:t xml:space="preserve">programas </w:t>
      </w:r>
      <w:r w:rsidR="00145330">
        <w:rPr>
          <w:rFonts w:ascii="Arial" w:hAnsi="Arial" w:cs="Arial"/>
        </w:rPr>
        <w:t xml:space="preserve">académicos </w:t>
      </w:r>
      <w:r w:rsidR="00D43ECB">
        <w:rPr>
          <w:rFonts w:ascii="Arial" w:hAnsi="Arial" w:cs="Arial"/>
        </w:rPr>
        <w:t>no acreditados.</w:t>
      </w:r>
    </w:p>
    <w:p w:rsidR="003E014B" w:rsidRDefault="003E014B" w:rsidP="0029656C">
      <w:pPr>
        <w:jc w:val="both"/>
        <w:rPr>
          <w:rFonts w:ascii="Arial" w:hAnsi="Arial" w:cs="Arial"/>
        </w:rPr>
      </w:pPr>
    </w:p>
    <w:p w:rsidR="00A1510A" w:rsidRDefault="003E796D" w:rsidP="0029656C">
      <w:pPr>
        <w:jc w:val="center"/>
        <w:rPr>
          <w:noProof/>
          <w:lang w:val="es-CO" w:eastAsia="es-CO"/>
        </w:rPr>
      </w:pPr>
      <w:r>
        <w:rPr>
          <w:noProof/>
          <w:lang w:val="es-CO" w:eastAsia="es-CO"/>
        </w:rPr>
        <w:drawing>
          <wp:inline distT="0" distB="0" distL="0" distR="0" wp14:anchorId="6533A737" wp14:editId="09A2E285">
            <wp:extent cx="5677535" cy="3217653"/>
            <wp:effectExtent l="0" t="0" r="18415" b="1905"/>
            <wp:docPr id="2" name="Gráfico 2">
              <a:extLst xmlns:a="http://schemas.openxmlformats.org/drawingml/2006/main">
                <a:ext uri="{FF2B5EF4-FFF2-40B4-BE49-F238E27FC236}">
                  <a16:creationId xmlns:a16="http://schemas.microsoft.com/office/drawing/2014/main" id="{C54E56A5-D4DD-4A2B-9B54-6962194ECC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740A0" w:rsidRDefault="003E796D" w:rsidP="0029656C">
      <w:pPr>
        <w:jc w:val="both"/>
        <w:rPr>
          <w:rFonts w:ascii="Arial" w:hAnsi="Arial" w:cs="Arial"/>
          <w:sz w:val="18"/>
          <w:szCs w:val="18"/>
        </w:rPr>
      </w:pPr>
      <w:r>
        <w:rPr>
          <w:rFonts w:ascii="Arial" w:hAnsi="Arial" w:cs="Arial"/>
          <w:sz w:val="18"/>
          <w:szCs w:val="18"/>
        </w:rPr>
        <w:t xml:space="preserve">  </w:t>
      </w:r>
      <w:r w:rsidR="008279F0">
        <w:rPr>
          <w:rFonts w:ascii="Arial" w:hAnsi="Arial" w:cs="Arial"/>
          <w:sz w:val="18"/>
          <w:szCs w:val="18"/>
        </w:rPr>
        <w:t xml:space="preserve"> </w:t>
      </w:r>
    </w:p>
    <w:p w:rsidR="003E796D" w:rsidRPr="00C37C5A" w:rsidRDefault="003E796D" w:rsidP="0029656C">
      <w:pPr>
        <w:jc w:val="both"/>
        <w:rPr>
          <w:rFonts w:ascii="Arial" w:hAnsi="Arial" w:cs="Arial"/>
          <w:sz w:val="18"/>
          <w:szCs w:val="18"/>
        </w:rPr>
      </w:pPr>
      <w:r>
        <w:rPr>
          <w:rFonts w:ascii="Arial" w:hAnsi="Arial" w:cs="Arial"/>
          <w:sz w:val="18"/>
          <w:szCs w:val="18"/>
        </w:rPr>
        <w:t xml:space="preserve"> Gráfico No. 6.</w:t>
      </w:r>
    </w:p>
    <w:p w:rsidR="003E796D" w:rsidRDefault="003E796D" w:rsidP="0029656C">
      <w:pPr>
        <w:jc w:val="center"/>
        <w:rPr>
          <w:rFonts w:ascii="Arial" w:hAnsi="Arial" w:cs="Arial"/>
        </w:rPr>
      </w:pPr>
    </w:p>
    <w:p w:rsidR="001136EB" w:rsidRPr="001136EB" w:rsidRDefault="001136EB" w:rsidP="0029656C">
      <w:pPr>
        <w:jc w:val="both"/>
        <w:rPr>
          <w:rFonts w:ascii="Arial" w:hAnsi="Arial" w:cs="Arial"/>
        </w:rPr>
      </w:pPr>
      <w:r w:rsidRPr="001136EB">
        <w:rPr>
          <w:rFonts w:ascii="Arial" w:hAnsi="Arial" w:cs="Arial"/>
        </w:rPr>
        <w:t xml:space="preserve">De acuerdo con los datos antes indicados, la exigencia legal de otorgar becas y créditos educativos financiados por el ICETEX solamente para cursar programas acreditados o en instituciones acreditadas, tendrá como consecuencia una </w:t>
      </w:r>
      <w:r w:rsidR="00E609D3">
        <w:rPr>
          <w:rFonts w:ascii="Arial" w:hAnsi="Arial" w:cs="Arial"/>
        </w:rPr>
        <w:t>afectación</w:t>
      </w:r>
      <w:r w:rsidRPr="001136EB">
        <w:rPr>
          <w:rFonts w:ascii="Arial" w:hAnsi="Arial" w:cs="Arial"/>
        </w:rPr>
        <w:t xml:space="preserve"> significativa </w:t>
      </w:r>
      <w:r w:rsidR="00E609D3">
        <w:rPr>
          <w:rFonts w:ascii="Arial" w:hAnsi="Arial" w:cs="Arial"/>
        </w:rPr>
        <w:t xml:space="preserve">para los </w:t>
      </w:r>
      <w:r w:rsidRPr="001136EB">
        <w:rPr>
          <w:rFonts w:ascii="Arial" w:hAnsi="Arial" w:cs="Arial"/>
        </w:rPr>
        <w:t xml:space="preserve">potenciales </w:t>
      </w:r>
      <w:r w:rsidR="007A766D">
        <w:rPr>
          <w:rFonts w:ascii="Arial" w:hAnsi="Arial" w:cs="Arial"/>
        </w:rPr>
        <w:t>estudiantes</w:t>
      </w:r>
      <w:r w:rsidR="007A766D" w:rsidRPr="001136EB">
        <w:rPr>
          <w:rFonts w:ascii="Arial" w:hAnsi="Arial" w:cs="Arial"/>
        </w:rPr>
        <w:t xml:space="preserve"> </w:t>
      </w:r>
      <w:r w:rsidRPr="001136EB">
        <w:rPr>
          <w:rFonts w:ascii="Arial" w:hAnsi="Arial" w:cs="Arial"/>
        </w:rPr>
        <w:t xml:space="preserve">que </w:t>
      </w:r>
      <w:r w:rsidR="007A766D">
        <w:rPr>
          <w:rFonts w:ascii="Arial" w:hAnsi="Arial" w:cs="Arial"/>
        </w:rPr>
        <w:t xml:space="preserve">deseen </w:t>
      </w:r>
      <w:r w:rsidR="007A766D" w:rsidRPr="001136EB">
        <w:rPr>
          <w:rFonts w:ascii="Arial" w:hAnsi="Arial" w:cs="Arial"/>
        </w:rPr>
        <w:t>acceder</w:t>
      </w:r>
      <w:r w:rsidRPr="001136EB">
        <w:rPr>
          <w:rFonts w:ascii="Arial" w:hAnsi="Arial" w:cs="Arial"/>
        </w:rPr>
        <w:t xml:space="preserve"> a estos beneficios para </w:t>
      </w:r>
      <w:r w:rsidR="00E609D3">
        <w:rPr>
          <w:rFonts w:ascii="Arial" w:hAnsi="Arial" w:cs="Arial"/>
        </w:rPr>
        <w:t>facilitar</w:t>
      </w:r>
      <w:r w:rsidRPr="001136EB">
        <w:rPr>
          <w:rFonts w:ascii="Arial" w:hAnsi="Arial" w:cs="Arial"/>
        </w:rPr>
        <w:t xml:space="preserve"> su acceso</w:t>
      </w:r>
      <w:r w:rsidR="00E609D3">
        <w:rPr>
          <w:rFonts w:ascii="Arial" w:hAnsi="Arial" w:cs="Arial"/>
        </w:rPr>
        <w:t xml:space="preserve"> y permanencia en</w:t>
      </w:r>
      <w:r w:rsidRPr="001136EB">
        <w:rPr>
          <w:rFonts w:ascii="Arial" w:hAnsi="Arial" w:cs="Arial"/>
        </w:rPr>
        <w:t xml:space="preserve"> la educación superior</w:t>
      </w:r>
      <w:r w:rsidR="007A766D">
        <w:rPr>
          <w:rFonts w:ascii="Arial" w:hAnsi="Arial" w:cs="Arial"/>
        </w:rPr>
        <w:t xml:space="preserve"> a partir del año 2018</w:t>
      </w:r>
      <w:r w:rsidRPr="001136EB">
        <w:rPr>
          <w:rFonts w:ascii="Arial" w:hAnsi="Arial" w:cs="Arial"/>
        </w:rPr>
        <w:t>.</w:t>
      </w:r>
    </w:p>
    <w:p w:rsidR="001136EB" w:rsidRPr="001136EB" w:rsidRDefault="001136EB" w:rsidP="0029656C">
      <w:pPr>
        <w:jc w:val="both"/>
        <w:rPr>
          <w:rFonts w:ascii="Arial" w:hAnsi="Arial" w:cs="Arial"/>
        </w:rPr>
      </w:pPr>
    </w:p>
    <w:p w:rsidR="001136EB" w:rsidRPr="001136EB" w:rsidRDefault="001136EB" w:rsidP="0029656C">
      <w:pPr>
        <w:jc w:val="both"/>
        <w:rPr>
          <w:rFonts w:ascii="Arial" w:hAnsi="Arial" w:cs="Arial"/>
        </w:rPr>
      </w:pPr>
      <w:r w:rsidRPr="001136EB">
        <w:rPr>
          <w:rFonts w:ascii="Arial" w:hAnsi="Arial" w:cs="Arial"/>
        </w:rPr>
        <w:lastRenderedPageBreak/>
        <w:t>Nótese que la oferta educativa acreditada, particularmente en las zonas históricamente afectadas por el conflicto armado es nula en la mayoría de los casos; este hecho impediría al Estado beneficiar a los ciudadanos que residen allí</w:t>
      </w:r>
      <w:r w:rsidR="006073B2">
        <w:rPr>
          <w:rFonts w:ascii="Arial" w:hAnsi="Arial" w:cs="Arial"/>
        </w:rPr>
        <w:t>,</w:t>
      </w:r>
      <w:r w:rsidRPr="001136EB">
        <w:rPr>
          <w:rFonts w:ascii="Arial" w:hAnsi="Arial" w:cs="Arial"/>
        </w:rPr>
        <w:t xml:space="preserve"> si persiste la condición de otorgar créditos y becas solamente para que accedan a oferta educativa acreditada, pero también generaría un impacto negativo en los logros referidos a la ampliación de la cobertura y la reducción de la deserción en este nivel educativo.</w:t>
      </w:r>
    </w:p>
    <w:p w:rsidR="001136EB" w:rsidRPr="001136EB" w:rsidRDefault="001136EB" w:rsidP="0029656C">
      <w:pPr>
        <w:jc w:val="both"/>
        <w:rPr>
          <w:rFonts w:ascii="Arial" w:hAnsi="Arial" w:cs="Arial"/>
        </w:rPr>
      </w:pPr>
    </w:p>
    <w:p w:rsidR="001136EB" w:rsidRPr="001136EB" w:rsidRDefault="001136EB" w:rsidP="0029656C">
      <w:pPr>
        <w:jc w:val="both"/>
        <w:rPr>
          <w:rFonts w:ascii="Arial" w:hAnsi="Arial" w:cs="Arial"/>
        </w:rPr>
      </w:pPr>
      <w:r w:rsidRPr="00DF4064">
        <w:rPr>
          <w:rFonts w:ascii="Arial" w:hAnsi="Arial" w:cs="Arial"/>
        </w:rPr>
        <w:t>La restricción de no poder acceder a becas y créditos para cursar programas académicos sin acreditación o en instituciones de educación superior no acreditadas puede generar un efecto altamente negativo en los ciudadanos de todo el territorio nacional, pues desencadena consecuencias contrarias al principio de equidad</w:t>
      </w:r>
      <w:r w:rsidRPr="00C712CD">
        <w:rPr>
          <w:rFonts w:ascii="Arial" w:hAnsi="Arial" w:cs="Arial"/>
        </w:rPr>
        <w:t xml:space="preserve"> en tanto que, por una parte, se les impide beneficiarse de este apoyo estatal para acceder al servicio educativo como sí lo podrían hacer los demás colombianos que estén en zonas que cuentan con una amplia oferta educativa acreditada</w:t>
      </w:r>
      <w:r w:rsidRPr="001136EB">
        <w:rPr>
          <w:rFonts w:ascii="Arial" w:hAnsi="Arial" w:cs="Arial"/>
        </w:rPr>
        <w:t xml:space="preserve"> y, por otra, se desmejora significativamente sus posibilidades de inserción en el mercado laboral en condiciones competitivas, al no poderse formar profesionalmente para desempeñar una profesión, aspecto que socava sus condiciones de vida.</w:t>
      </w:r>
    </w:p>
    <w:p w:rsidR="001136EB" w:rsidRPr="001136EB" w:rsidRDefault="001136EB" w:rsidP="0029656C">
      <w:pPr>
        <w:jc w:val="both"/>
        <w:rPr>
          <w:rFonts w:ascii="Arial" w:hAnsi="Arial" w:cs="Arial"/>
        </w:rPr>
      </w:pPr>
    </w:p>
    <w:p w:rsidR="001136EB" w:rsidRPr="00C712CD" w:rsidRDefault="001136EB" w:rsidP="0029656C">
      <w:pPr>
        <w:jc w:val="both"/>
        <w:rPr>
          <w:rFonts w:ascii="Arial" w:hAnsi="Arial" w:cs="Arial"/>
        </w:rPr>
      </w:pPr>
      <w:r w:rsidRPr="00DF4064">
        <w:rPr>
          <w:rFonts w:ascii="Arial" w:hAnsi="Arial" w:cs="Arial"/>
        </w:rPr>
        <w:t>Por lo anterior, se hace necesario ampliar el plazo para aplicar la restricción de otor</w:t>
      </w:r>
      <w:r w:rsidR="00816789">
        <w:rPr>
          <w:rFonts w:ascii="Arial" w:hAnsi="Arial" w:cs="Arial"/>
        </w:rPr>
        <w:t>gar créditos y becas financiadas</w:t>
      </w:r>
      <w:r w:rsidRPr="00DF4064">
        <w:rPr>
          <w:rFonts w:ascii="Arial" w:hAnsi="Arial" w:cs="Arial"/>
        </w:rPr>
        <w:t xml:space="preserve"> a través del ICETEX únicamente para realizar estudios en programas que cuenten con acreditación o en su defecto programas en instituciones de educación acreditadas institucionalmente.</w:t>
      </w:r>
      <w:r w:rsidRPr="00C712CD">
        <w:rPr>
          <w:rFonts w:ascii="Arial" w:hAnsi="Arial" w:cs="Arial"/>
        </w:rPr>
        <w:t xml:space="preserve"> </w:t>
      </w:r>
    </w:p>
    <w:p w:rsidR="001136EB" w:rsidRPr="001136EB" w:rsidRDefault="001136EB" w:rsidP="0029656C">
      <w:pPr>
        <w:jc w:val="both"/>
        <w:rPr>
          <w:rFonts w:ascii="Arial" w:hAnsi="Arial" w:cs="Arial"/>
        </w:rPr>
      </w:pPr>
    </w:p>
    <w:p w:rsidR="001136EB" w:rsidRPr="001136EB" w:rsidRDefault="001136EB" w:rsidP="0029656C">
      <w:pPr>
        <w:jc w:val="both"/>
        <w:rPr>
          <w:rFonts w:ascii="Arial" w:hAnsi="Arial" w:cs="Arial"/>
        </w:rPr>
      </w:pPr>
      <w:r w:rsidRPr="00E86468">
        <w:rPr>
          <w:rFonts w:ascii="Arial" w:hAnsi="Arial" w:cs="Arial"/>
        </w:rPr>
        <w:t xml:space="preserve">La medida que se propone </w:t>
      </w:r>
      <w:r w:rsidR="00E86468" w:rsidRPr="005223E3">
        <w:rPr>
          <w:rFonts w:ascii="Arial" w:hAnsi="Arial" w:cs="Arial"/>
        </w:rPr>
        <w:t xml:space="preserve">consiste en </w:t>
      </w:r>
      <w:r w:rsidRPr="00E86468">
        <w:rPr>
          <w:rFonts w:ascii="Arial" w:hAnsi="Arial" w:cs="Arial"/>
        </w:rPr>
        <w:t>conced</w:t>
      </w:r>
      <w:r w:rsidR="007A766D" w:rsidRPr="0059588E">
        <w:rPr>
          <w:rFonts w:ascii="Arial" w:hAnsi="Arial" w:cs="Arial"/>
        </w:rPr>
        <w:t>er</w:t>
      </w:r>
      <w:r w:rsidRPr="0059588E">
        <w:rPr>
          <w:rFonts w:ascii="Arial" w:hAnsi="Arial" w:cs="Arial"/>
        </w:rPr>
        <w:t xml:space="preserve"> un mayor plazo para condicionar los créditos educativos y becas financiados por el ICETEX solamente a la oferta educativa acreditada, </w:t>
      </w:r>
      <w:r w:rsidR="007A766D" w:rsidRPr="0059588E">
        <w:rPr>
          <w:rFonts w:ascii="Arial" w:hAnsi="Arial" w:cs="Arial"/>
        </w:rPr>
        <w:t xml:space="preserve">lo cual </w:t>
      </w:r>
      <w:r w:rsidR="00E86468" w:rsidRPr="0059588E">
        <w:rPr>
          <w:rFonts w:ascii="Arial" w:hAnsi="Arial" w:cs="Arial"/>
        </w:rPr>
        <w:t>permit</w:t>
      </w:r>
      <w:r w:rsidR="00E86468" w:rsidRPr="005223E3">
        <w:rPr>
          <w:rFonts w:ascii="Arial" w:hAnsi="Arial" w:cs="Arial"/>
        </w:rPr>
        <w:t>irá</w:t>
      </w:r>
      <w:r w:rsidR="00E86468" w:rsidRPr="00E86468">
        <w:rPr>
          <w:rFonts w:ascii="Arial" w:hAnsi="Arial" w:cs="Arial"/>
        </w:rPr>
        <w:t xml:space="preserve"> </w:t>
      </w:r>
      <w:r w:rsidR="007A766D" w:rsidRPr="0059588E">
        <w:rPr>
          <w:rFonts w:ascii="Arial" w:hAnsi="Arial" w:cs="Arial"/>
        </w:rPr>
        <w:t>que el</w:t>
      </w:r>
      <w:r w:rsidRPr="0059588E">
        <w:rPr>
          <w:rFonts w:ascii="Arial" w:hAnsi="Arial" w:cs="Arial"/>
        </w:rPr>
        <w:t xml:space="preserve"> Gobierno nacional </w:t>
      </w:r>
      <w:r w:rsidR="0059588E">
        <w:rPr>
          <w:rFonts w:ascii="Arial" w:hAnsi="Arial" w:cs="Arial"/>
        </w:rPr>
        <w:t xml:space="preserve">siga ofreciendo un </w:t>
      </w:r>
      <w:r w:rsidRPr="0059588E">
        <w:rPr>
          <w:rFonts w:ascii="Arial" w:hAnsi="Arial" w:cs="Arial"/>
        </w:rPr>
        <w:t xml:space="preserve">apoyo económico a los ciudadanos en todo el territorio nacional, para que puedan acceder </w:t>
      </w:r>
      <w:r w:rsidR="00E609D3" w:rsidRPr="0059588E">
        <w:rPr>
          <w:rFonts w:ascii="Arial" w:hAnsi="Arial" w:cs="Arial"/>
        </w:rPr>
        <w:t>y permanecer en l</w:t>
      </w:r>
      <w:r w:rsidRPr="0059588E">
        <w:rPr>
          <w:rFonts w:ascii="Arial" w:hAnsi="Arial" w:cs="Arial"/>
        </w:rPr>
        <w:t>a educación superior</w:t>
      </w:r>
      <w:r w:rsidR="00E609D3" w:rsidRPr="004D0AA1">
        <w:rPr>
          <w:rFonts w:ascii="Arial" w:hAnsi="Arial" w:cs="Arial"/>
        </w:rPr>
        <w:t>, realizando sus estudios en programas académicos o instituciones,</w:t>
      </w:r>
      <w:r w:rsidRPr="004D0AA1">
        <w:rPr>
          <w:rFonts w:ascii="Arial" w:hAnsi="Arial" w:cs="Arial"/>
        </w:rPr>
        <w:t xml:space="preserve"> ya sea </w:t>
      </w:r>
      <w:r w:rsidR="00E609D3" w:rsidRPr="00E10991">
        <w:rPr>
          <w:rFonts w:ascii="Arial" w:hAnsi="Arial" w:cs="Arial"/>
        </w:rPr>
        <w:t>que cuenten o no con a</w:t>
      </w:r>
      <w:r w:rsidRPr="00E10991">
        <w:rPr>
          <w:rFonts w:ascii="Arial" w:hAnsi="Arial" w:cs="Arial"/>
        </w:rPr>
        <w:t>creditación, hecho que además amplía el número de potenciales beneficiarios de créditos, con lo cual la aplicación de la norma resulta más beneficiosa para la sociedad.</w:t>
      </w:r>
      <w:r w:rsidRPr="001136EB">
        <w:rPr>
          <w:rFonts w:ascii="Arial" w:hAnsi="Arial" w:cs="Arial"/>
        </w:rPr>
        <w:t xml:space="preserve"> </w:t>
      </w:r>
    </w:p>
    <w:p w:rsidR="001136EB" w:rsidRPr="001136EB" w:rsidRDefault="001136EB" w:rsidP="0029656C">
      <w:pPr>
        <w:jc w:val="both"/>
        <w:rPr>
          <w:rFonts w:ascii="Arial" w:hAnsi="Arial" w:cs="Arial"/>
        </w:rPr>
      </w:pPr>
    </w:p>
    <w:p w:rsidR="001136EB" w:rsidRDefault="001136EB" w:rsidP="0029656C">
      <w:pPr>
        <w:jc w:val="both"/>
        <w:rPr>
          <w:rFonts w:ascii="Arial" w:hAnsi="Arial" w:cs="Arial"/>
        </w:rPr>
      </w:pPr>
      <w:r w:rsidRPr="00DF4064">
        <w:rPr>
          <w:rFonts w:ascii="Arial" w:hAnsi="Arial" w:cs="Arial"/>
        </w:rPr>
        <w:t>De esta manera, al ampliar las posibilidades de otorgamiento de alguna opción de apoyo económico a los ciudadanos colombianos mediante becas o créditos educativos dispuestos a través del ICETEX, se propende por incentivar su acceso y permanencia en la educación superior, pero también por crear condici</w:t>
      </w:r>
      <w:r w:rsidR="00E609D3">
        <w:rPr>
          <w:rFonts w:ascii="Arial" w:hAnsi="Arial" w:cs="Arial"/>
        </w:rPr>
        <w:t>ones de bienestar y buen vivir</w:t>
      </w:r>
      <w:r w:rsidRPr="00DF4064">
        <w:rPr>
          <w:rFonts w:ascii="Arial" w:hAnsi="Arial" w:cs="Arial"/>
        </w:rPr>
        <w:t>. El hecho de contar con un capital humano mejor formado es un factor determinante para promover la igualdad y la equidad social, disminuir los niveles de pobreza y contribuir al pleno disfrute de los derechos para todos los ciudadanos colombianos.</w:t>
      </w:r>
    </w:p>
    <w:p w:rsidR="00F65571" w:rsidRDefault="00F65571" w:rsidP="0029656C">
      <w:pPr>
        <w:jc w:val="both"/>
        <w:rPr>
          <w:rFonts w:ascii="Arial" w:hAnsi="Arial" w:cs="Arial"/>
        </w:rPr>
      </w:pPr>
    </w:p>
    <w:p w:rsidR="007217D0" w:rsidRDefault="00F65571" w:rsidP="0029656C">
      <w:pPr>
        <w:jc w:val="both"/>
        <w:rPr>
          <w:rFonts w:ascii="Arial" w:hAnsi="Arial" w:cs="Arial"/>
        </w:rPr>
      </w:pPr>
      <w:r>
        <w:rPr>
          <w:rFonts w:ascii="Arial" w:hAnsi="Arial" w:cs="Arial"/>
        </w:rPr>
        <w:t>Se resalta que de acuerdo con análisis estadísticos del Departamento Nacional de Estadística -DANE, la tasa de desempleo es significativamente menor en la población que ha logrado un nivel de educación superior, frente a quienes solamente han logrado niveles de educación media; en el primer caso, la tasa de desempleo oscila entre 14,7 y el 8,3%, mientras que en el segundo caso esa tasa equivale en promedio al 41,2% de la población con ese nivel educativo.</w:t>
      </w:r>
      <w:r w:rsidR="007217D0">
        <w:rPr>
          <w:rFonts w:ascii="Arial" w:hAnsi="Arial" w:cs="Arial"/>
        </w:rPr>
        <w:t xml:space="preserve"> </w:t>
      </w:r>
    </w:p>
    <w:p w:rsidR="005223E3" w:rsidRDefault="005223E3" w:rsidP="0029656C">
      <w:pPr>
        <w:jc w:val="both"/>
        <w:rPr>
          <w:rFonts w:ascii="Arial" w:hAnsi="Arial" w:cs="Arial"/>
        </w:rPr>
      </w:pPr>
    </w:p>
    <w:p w:rsidR="005223E3" w:rsidRDefault="005223E3" w:rsidP="0029656C">
      <w:pPr>
        <w:jc w:val="both"/>
        <w:rPr>
          <w:rFonts w:ascii="Arial" w:hAnsi="Arial" w:cs="Arial"/>
        </w:rPr>
      </w:pPr>
      <w:r>
        <w:rPr>
          <w:rFonts w:ascii="Arial" w:hAnsi="Arial" w:cs="Arial"/>
        </w:rPr>
        <w:t xml:space="preserve">En los siguientes cuadros se expone resumidamente los citados análisis en los que se constata el impacto positivo que genera en la población el hecho de contar con un nivel educativo superior en su posibilidad de </w:t>
      </w:r>
      <w:r w:rsidR="00A6241B">
        <w:rPr>
          <w:rFonts w:ascii="Arial" w:hAnsi="Arial" w:cs="Arial"/>
        </w:rPr>
        <w:t>lograr mejores ingresos para satisfacer sus necesidades personales y de sus familias.</w:t>
      </w:r>
      <w:r>
        <w:rPr>
          <w:rFonts w:ascii="Arial" w:hAnsi="Arial" w:cs="Arial"/>
        </w:rPr>
        <w:t xml:space="preserve"> </w:t>
      </w:r>
    </w:p>
    <w:p w:rsidR="007217D0" w:rsidRDefault="007217D0" w:rsidP="0029656C">
      <w:pPr>
        <w:jc w:val="both"/>
        <w:rPr>
          <w:rFonts w:ascii="Arial" w:hAnsi="Arial" w:cs="Arial"/>
        </w:rPr>
      </w:pPr>
    </w:p>
    <w:p w:rsidR="00BD2117" w:rsidRDefault="00BD2117" w:rsidP="0029656C">
      <w:pPr>
        <w:jc w:val="both"/>
        <w:rPr>
          <w:rFonts w:ascii="Arial" w:hAnsi="Arial" w:cs="Arial"/>
        </w:rPr>
      </w:pPr>
    </w:p>
    <w:p w:rsidR="00BD2117" w:rsidRDefault="00BD2117" w:rsidP="0029656C">
      <w:pPr>
        <w:jc w:val="both"/>
        <w:rPr>
          <w:rFonts w:ascii="Arial" w:hAnsi="Arial" w:cs="Arial"/>
        </w:rPr>
      </w:pPr>
      <w:r w:rsidRPr="00BD2117">
        <w:rPr>
          <w:rFonts w:ascii="Arial" w:hAnsi="Arial" w:cs="Arial"/>
          <w:noProof/>
          <w:lang w:val="es-CO" w:eastAsia="es-CO"/>
        </w:rPr>
        <w:drawing>
          <wp:inline distT="0" distB="0" distL="0" distR="0" wp14:anchorId="48D8AD41" wp14:editId="3B7B8582">
            <wp:extent cx="5844209" cy="2870110"/>
            <wp:effectExtent l="0" t="0" r="4445" b="698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lum bright="-20000" contrast="40000"/>
                      <a:extLst>
                        <a:ext uri="{28A0092B-C50C-407E-A947-70E740481C1C}">
                          <a14:useLocalDpi xmlns:a14="http://schemas.microsoft.com/office/drawing/2010/main" val="0"/>
                        </a:ext>
                      </a:extLst>
                    </a:blip>
                    <a:srcRect/>
                    <a:stretch>
                      <a:fillRect/>
                    </a:stretch>
                  </pic:blipFill>
                  <pic:spPr bwMode="auto">
                    <a:xfrm>
                      <a:off x="0" y="0"/>
                      <a:ext cx="5878752" cy="2887074"/>
                    </a:xfrm>
                    <a:prstGeom prst="rect">
                      <a:avLst/>
                    </a:prstGeom>
                    <a:noFill/>
                    <a:ln>
                      <a:noFill/>
                    </a:ln>
                  </pic:spPr>
                </pic:pic>
              </a:graphicData>
            </a:graphic>
          </wp:inline>
        </w:drawing>
      </w:r>
    </w:p>
    <w:p w:rsidR="00BD2117" w:rsidRDefault="00BD2117" w:rsidP="0029656C">
      <w:pPr>
        <w:jc w:val="both"/>
        <w:rPr>
          <w:rFonts w:ascii="Arial" w:hAnsi="Arial" w:cs="Arial"/>
          <w:sz w:val="18"/>
          <w:szCs w:val="18"/>
        </w:rPr>
      </w:pPr>
      <w:r>
        <w:rPr>
          <w:rFonts w:ascii="Arial" w:hAnsi="Arial" w:cs="Arial"/>
          <w:sz w:val="18"/>
          <w:szCs w:val="18"/>
        </w:rPr>
        <w:t>Gráfico No. 7.</w:t>
      </w:r>
    </w:p>
    <w:p w:rsidR="00F65571" w:rsidRDefault="007217D0" w:rsidP="0029656C">
      <w:pPr>
        <w:jc w:val="both"/>
        <w:rPr>
          <w:rFonts w:ascii="Arial" w:hAnsi="Arial" w:cs="Arial"/>
        </w:rPr>
      </w:pPr>
      <w:r>
        <w:rPr>
          <w:rFonts w:ascii="Arial" w:hAnsi="Arial" w:cs="Arial"/>
        </w:rPr>
        <w:t>En cuanto a los niveles de ingresos laborales, los análisis de la misma entidad indican que al lograr un nivel educativo superior, los ciudadanos pueden mejorar sustancialmente sus niveles de ingresos. Al respecto, el DANE informa que l</w:t>
      </w:r>
      <w:r w:rsidRPr="007217D0">
        <w:rPr>
          <w:rFonts w:ascii="Arial" w:hAnsi="Arial" w:cs="Arial"/>
        </w:rPr>
        <w:t>a proporción de ocupados sin ningún nivel educativo logrado que ganaron hasta</w:t>
      </w:r>
      <w:r>
        <w:rPr>
          <w:rFonts w:ascii="Arial" w:hAnsi="Arial" w:cs="Arial"/>
        </w:rPr>
        <w:t xml:space="preserve"> </w:t>
      </w:r>
      <w:r w:rsidRPr="007217D0">
        <w:rPr>
          <w:rFonts w:ascii="Arial" w:hAnsi="Arial" w:cs="Arial"/>
        </w:rPr>
        <w:t>medio SMMLV fue 41,4%</w:t>
      </w:r>
      <w:r>
        <w:rPr>
          <w:rFonts w:ascii="Arial" w:hAnsi="Arial" w:cs="Arial"/>
        </w:rPr>
        <w:t xml:space="preserve">, mientras que la </w:t>
      </w:r>
      <w:r w:rsidRPr="007217D0">
        <w:rPr>
          <w:rFonts w:ascii="Arial" w:hAnsi="Arial" w:cs="Arial"/>
        </w:rPr>
        <w:t>proporción de ocupados que completó</w:t>
      </w:r>
      <w:r>
        <w:rPr>
          <w:rFonts w:ascii="Arial" w:hAnsi="Arial" w:cs="Arial"/>
        </w:rPr>
        <w:t xml:space="preserve"> </w:t>
      </w:r>
      <w:r w:rsidRPr="007217D0">
        <w:rPr>
          <w:rFonts w:ascii="Arial" w:hAnsi="Arial" w:cs="Arial"/>
        </w:rPr>
        <w:t xml:space="preserve">la educación media y ganaban entre 1 SMMLV y 1,5 SMMLV fue 37,1%. </w:t>
      </w:r>
      <w:r>
        <w:rPr>
          <w:rFonts w:ascii="Arial" w:hAnsi="Arial" w:cs="Arial"/>
        </w:rPr>
        <w:t xml:space="preserve">Respecto de los ocupados que completaron su educación universitaria o de posgrado, se destaca que han podido acceder a ingresos superiores a </w:t>
      </w:r>
      <w:r w:rsidRPr="007217D0">
        <w:rPr>
          <w:rFonts w:ascii="Arial" w:hAnsi="Arial" w:cs="Arial"/>
        </w:rPr>
        <w:t>1,5 SMMLV</w:t>
      </w:r>
      <w:r w:rsidRPr="007217D0">
        <w:rPr>
          <w:rStyle w:val="Refdenotaalpie"/>
          <w:rFonts w:ascii="Arial" w:hAnsi="Arial" w:cs="Arial"/>
          <w:vertAlign w:val="superscript"/>
        </w:rPr>
        <w:footnoteReference w:id="7"/>
      </w:r>
      <w:r w:rsidRPr="007217D0">
        <w:rPr>
          <w:rFonts w:ascii="Arial" w:hAnsi="Arial" w:cs="Arial"/>
        </w:rPr>
        <w:t>.</w:t>
      </w:r>
    </w:p>
    <w:p w:rsidR="00BD2117" w:rsidRDefault="00BD2117" w:rsidP="0029656C">
      <w:pPr>
        <w:jc w:val="both"/>
        <w:rPr>
          <w:rFonts w:ascii="Arial" w:hAnsi="Arial" w:cs="Arial"/>
        </w:rPr>
      </w:pPr>
      <w:r w:rsidRPr="00BD2117">
        <w:rPr>
          <w:rFonts w:ascii="Arial" w:hAnsi="Arial" w:cs="Arial"/>
          <w:noProof/>
          <w:lang w:val="es-CO" w:eastAsia="es-CO"/>
        </w:rPr>
        <w:drawing>
          <wp:inline distT="0" distB="0" distL="0" distR="0" wp14:anchorId="0CBD9F7A" wp14:editId="619BB73A">
            <wp:extent cx="5836257" cy="3191886"/>
            <wp:effectExtent l="0" t="0" r="0" b="889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lum bright="-20000" contrast="40000"/>
                      <a:extLst>
                        <a:ext uri="{28A0092B-C50C-407E-A947-70E740481C1C}">
                          <a14:useLocalDpi xmlns:a14="http://schemas.microsoft.com/office/drawing/2010/main" val="0"/>
                        </a:ext>
                      </a:extLst>
                    </a:blip>
                    <a:srcRect/>
                    <a:stretch>
                      <a:fillRect/>
                    </a:stretch>
                  </pic:blipFill>
                  <pic:spPr bwMode="auto">
                    <a:xfrm>
                      <a:off x="0" y="0"/>
                      <a:ext cx="5857135" cy="3203304"/>
                    </a:xfrm>
                    <a:prstGeom prst="rect">
                      <a:avLst/>
                    </a:prstGeom>
                    <a:noFill/>
                    <a:ln>
                      <a:noFill/>
                    </a:ln>
                  </pic:spPr>
                </pic:pic>
              </a:graphicData>
            </a:graphic>
          </wp:inline>
        </w:drawing>
      </w:r>
    </w:p>
    <w:p w:rsidR="00BD2117" w:rsidRDefault="00BD2117" w:rsidP="0029656C">
      <w:pPr>
        <w:jc w:val="both"/>
        <w:rPr>
          <w:rFonts w:ascii="Arial" w:hAnsi="Arial" w:cs="Arial"/>
          <w:sz w:val="18"/>
          <w:szCs w:val="18"/>
        </w:rPr>
      </w:pPr>
      <w:r>
        <w:rPr>
          <w:rFonts w:ascii="Arial" w:hAnsi="Arial" w:cs="Arial"/>
          <w:sz w:val="18"/>
          <w:szCs w:val="18"/>
        </w:rPr>
        <w:t>Gráfico No. 8</w:t>
      </w:r>
    </w:p>
    <w:p w:rsidR="00BD2117" w:rsidRDefault="00BD2117" w:rsidP="0029656C">
      <w:pPr>
        <w:jc w:val="both"/>
        <w:rPr>
          <w:rFonts w:ascii="Arial" w:hAnsi="Arial" w:cs="Arial"/>
        </w:rPr>
      </w:pPr>
      <w:r w:rsidRPr="00BD2117">
        <w:rPr>
          <w:rFonts w:ascii="Arial" w:hAnsi="Arial" w:cs="Arial"/>
          <w:noProof/>
          <w:lang w:val="es-CO" w:eastAsia="es-CO"/>
        </w:rPr>
        <w:lastRenderedPageBreak/>
        <w:drawing>
          <wp:inline distT="0" distB="0" distL="0" distR="0" wp14:anchorId="2DD116D8" wp14:editId="49663017">
            <wp:extent cx="5605670" cy="2551084"/>
            <wp:effectExtent l="0" t="0" r="0" b="190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lum bright="-20000" contrast="40000"/>
                      <a:extLst>
                        <a:ext uri="{28A0092B-C50C-407E-A947-70E740481C1C}">
                          <a14:useLocalDpi xmlns:a14="http://schemas.microsoft.com/office/drawing/2010/main" val="0"/>
                        </a:ext>
                      </a:extLst>
                    </a:blip>
                    <a:srcRect/>
                    <a:stretch>
                      <a:fillRect/>
                    </a:stretch>
                  </pic:blipFill>
                  <pic:spPr bwMode="auto">
                    <a:xfrm>
                      <a:off x="0" y="0"/>
                      <a:ext cx="5628872" cy="2561643"/>
                    </a:xfrm>
                    <a:prstGeom prst="rect">
                      <a:avLst/>
                    </a:prstGeom>
                    <a:noFill/>
                    <a:ln>
                      <a:noFill/>
                    </a:ln>
                  </pic:spPr>
                </pic:pic>
              </a:graphicData>
            </a:graphic>
          </wp:inline>
        </w:drawing>
      </w:r>
    </w:p>
    <w:p w:rsidR="00BD2117" w:rsidRDefault="00BD2117" w:rsidP="0029656C">
      <w:pPr>
        <w:jc w:val="both"/>
        <w:rPr>
          <w:rFonts w:ascii="Arial" w:hAnsi="Arial" w:cs="Arial"/>
          <w:sz w:val="18"/>
          <w:szCs w:val="18"/>
        </w:rPr>
      </w:pPr>
      <w:r>
        <w:rPr>
          <w:rFonts w:ascii="Arial" w:hAnsi="Arial" w:cs="Arial"/>
          <w:sz w:val="18"/>
          <w:szCs w:val="18"/>
        </w:rPr>
        <w:t>Gráfico No. 9</w:t>
      </w:r>
    </w:p>
    <w:p w:rsidR="00BD2117" w:rsidRDefault="00BD2117" w:rsidP="0029656C">
      <w:pPr>
        <w:jc w:val="both"/>
        <w:rPr>
          <w:rFonts w:ascii="Arial" w:hAnsi="Arial" w:cs="Arial"/>
        </w:rPr>
      </w:pPr>
    </w:p>
    <w:p w:rsidR="001136EB" w:rsidRPr="0072225E" w:rsidRDefault="009F491C" w:rsidP="0029656C">
      <w:pPr>
        <w:jc w:val="both"/>
        <w:rPr>
          <w:rFonts w:ascii="Arial" w:hAnsi="Arial" w:cs="Arial"/>
        </w:rPr>
      </w:pPr>
      <w:r>
        <w:rPr>
          <w:rFonts w:ascii="Arial" w:hAnsi="Arial" w:cs="Arial"/>
        </w:rPr>
        <w:t>Por último, t</w:t>
      </w:r>
      <w:r w:rsidR="007217D0">
        <w:rPr>
          <w:rFonts w:ascii="Arial" w:hAnsi="Arial" w:cs="Arial"/>
        </w:rPr>
        <w:t xml:space="preserve">éngase en cuenta que </w:t>
      </w:r>
      <w:r w:rsidR="001136EB" w:rsidRPr="001136EB">
        <w:rPr>
          <w:rFonts w:ascii="Arial" w:hAnsi="Arial" w:cs="Arial"/>
        </w:rPr>
        <w:t>los programas académicos para los cuales se otorgarán las becas y los créditos educativos contarán con el respectivo registro calificado que, de acuerdo con lo establecido por la Ley 1188 de 2008, se constituye en el instrumento del SACES mediante el cual el Estado verifica el cumplimiento de las condiciones de calidad por parte de las instituciones de educación superior.</w:t>
      </w:r>
    </w:p>
    <w:p w:rsidR="001136EB" w:rsidRPr="0072225E" w:rsidRDefault="001136EB" w:rsidP="0029656C">
      <w:pPr>
        <w:jc w:val="both"/>
        <w:rPr>
          <w:rFonts w:ascii="Arial" w:hAnsi="Arial" w:cs="Arial"/>
        </w:rPr>
      </w:pPr>
    </w:p>
    <w:p w:rsidR="001136EB" w:rsidRDefault="001136EB" w:rsidP="0029656C">
      <w:pPr>
        <w:jc w:val="both"/>
        <w:rPr>
          <w:rFonts w:ascii="Arial" w:hAnsi="Arial" w:cs="Arial"/>
        </w:rPr>
      </w:pPr>
      <w:r w:rsidRPr="0072225E">
        <w:rPr>
          <w:rFonts w:ascii="Arial" w:hAnsi="Arial" w:cs="Arial"/>
        </w:rPr>
        <w:t>De acuerdo con lo expuesto, ponemos a consideración del Honorable Congreso el presente proyecto de ley.</w:t>
      </w:r>
    </w:p>
    <w:p w:rsidR="00010064" w:rsidRDefault="00010064" w:rsidP="0029656C">
      <w:pPr>
        <w:tabs>
          <w:tab w:val="left" w:pos="2385"/>
        </w:tabs>
        <w:rPr>
          <w:rFonts w:ascii="Arial" w:hAnsi="Arial" w:cs="Arial"/>
          <w:sz w:val="16"/>
          <w:szCs w:val="16"/>
        </w:rPr>
      </w:pPr>
    </w:p>
    <w:p w:rsidR="00514433" w:rsidRDefault="00514433" w:rsidP="0029656C">
      <w:pPr>
        <w:tabs>
          <w:tab w:val="left" w:pos="2385"/>
        </w:tabs>
        <w:rPr>
          <w:rFonts w:ascii="Arial" w:hAnsi="Arial" w:cs="Arial"/>
          <w:sz w:val="16"/>
          <w:szCs w:val="16"/>
        </w:rPr>
      </w:pPr>
    </w:p>
    <w:p w:rsidR="00514433" w:rsidRDefault="00514433" w:rsidP="0029656C">
      <w:pPr>
        <w:tabs>
          <w:tab w:val="left" w:pos="2385"/>
        </w:tabs>
        <w:rPr>
          <w:rFonts w:ascii="Arial" w:hAnsi="Arial" w:cs="Arial"/>
          <w:b/>
        </w:rPr>
      </w:pPr>
    </w:p>
    <w:p w:rsidR="00514433" w:rsidRDefault="00514433" w:rsidP="0029656C">
      <w:pPr>
        <w:tabs>
          <w:tab w:val="left" w:pos="2385"/>
        </w:tabs>
        <w:rPr>
          <w:rFonts w:ascii="Arial" w:hAnsi="Arial" w:cs="Arial"/>
          <w:b/>
        </w:rPr>
      </w:pPr>
    </w:p>
    <w:p w:rsidR="00514433" w:rsidRDefault="00514433" w:rsidP="0029656C">
      <w:pPr>
        <w:tabs>
          <w:tab w:val="left" w:pos="2385"/>
        </w:tabs>
        <w:rPr>
          <w:rFonts w:ascii="Arial" w:hAnsi="Arial" w:cs="Arial"/>
          <w:b/>
        </w:rPr>
      </w:pPr>
    </w:p>
    <w:p w:rsidR="005740A0" w:rsidRDefault="005740A0" w:rsidP="0029656C">
      <w:pPr>
        <w:tabs>
          <w:tab w:val="left" w:pos="2385"/>
        </w:tabs>
        <w:rPr>
          <w:rFonts w:ascii="Arial" w:hAnsi="Arial" w:cs="Arial"/>
          <w:b/>
        </w:rPr>
      </w:pPr>
    </w:p>
    <w:p w:rsidR="00514433" w:rsidRDefault="00514433" w:rsidP="0029656C">
      <w:pPr>
        <w:tabs>
          <w:tab w:val="left" w:pos="2385"/>
        </w:tabs>
        <w:rPr>
          <w:rFonts w:ascii="Arial" w:hAnsi="Arial" w:cs="Arial"/>
          <w:b/>
        </w:rPr>
      </w:pPr>
    </w:p>
    <w:p w:rsidR="00514433" w:rsidRPr="00514433" w:rsidRDefault="00514433" w:rsidP="0029656C">
      <w:pPr>
        <w:tabs>
          <w:tab w:val="left" w:pos="2385"/>
        </w:tabs>
        <w:rPr>
          <w:rFonts w:ascii="Arial" w:hAnsi="Arial" w:cs="Arial"/>
          <w:b/>
        </w:rPr>
      </w:pPr>
      <w:r w:rsidRPr="00514433">
        <w:rPr>
          <w:rFonts w:ascii="Arial" w:hAnsi="Arial" w:cs="Arial"/>
          <w:b/>
        </w:rPr>
        <w:t>MARTHA PATRICIA VILLALBA HODWALKER</w:t>
      </w:r>
    </w:p>
    <w:p w:rsidR="00514433" w:rsidRPr="00514433" w:rsidRDefault="00514433" w:rsidP="0029656C">
      <w:pPr>
        <w:tabs>
          <w:tab w:val="left" w:pos="2385"/>
        </w:tabs>
        <w:rPr>
          <w:rFonts w:ascii="Arial" w:hAnsi="Arial" w:cs="Arial"/>
        </w:rPr>
      </w:pPr>
      <w:r w:rsidRPr="00514433">
        <w:rPr>
          <w:rFonts w:ascii="Arial" w:hAnsi="Arial" w:cs="Arial"/>
        </w:rPr>
        <w:t>Representante a la Cámara</w:t>
      </w:r>
    </w:p>
    <w:p w:rsidR="00514433" w:rsidRPr="00514433" w:rsidRDefault="00514433" w:rsidP="0029656C">
      <w:pPr>
        <w:tabs>
          <w:tab w:val="left" w:pos="2385"/>
        </w:tabs>
        <w:rPr>
          <w:rFonts w:ascii="Arial" w:hAnsi="Arial" w:cs="Arial"/>
        </w:rPr>
      </w:pPr>
    </w:p>
    <w:sectPr w:rsidR="00514433" w:rsidRPr="00514433" w:rsidSect="00514433">
      <w:headerReference w:type="default" r:id="rId17"/>
      <w:footerReference w:type="default" r:id="rId18"/>
      <w:pgSz w:w="12242" w:h="15842" w:code="1"/>
      <w:pgMar w:top="1418" w:right="1134" w:bottom="1134" w:left="1134" w:header="0" w:footer="30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09B" w:rsidRDefault="003E309B">
      <w:r>
        <w:separator/>
      </w:r>
    </w:p>
  </w:endnote>
  <w:endnote w:type="continuationSeparator" w:id="0">
    <w:p w:rsidR="003E309B" w:rsidRDefault="003E3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D3A" w:rsidRPr="008E1824" w:rsidRDefault="00BF7D3A" w:rsidP="004A02C6">
    <w:pPr>
      <w:pStyle w:val="Piedepgina"/>
      <w:spacing w:after="80"/>
      <w:ind w:left="-851"/>
      <w:jc w:val="right"/>
      <w:rPr>
        <w:rFonts w:ascii="Arial" w:hAnsi="Arial"/>
        <w:sz w:val="16"/>
        <w:szCs w:val="16"/>
        <w:lang w:val="es-ES_tradnl"/>
      </w:rPr>
    </w:pPr>
  </w:p>
  <w:p w:rsidR="00BF7D3A" w:rsidRPr="008E1824" w:rsidRDefault="00BF7D3A" w:rsidP="00F6286F">
    <w:pPr>
      <w:pStyle w:val="Piedepgina"/>
      <w:spacing w:after="80"/>
      <w:ind w:left="-851" w:right="51"/>
      <w:jc w:val="center"/>
      <w:rPr>
        <w:rFonts w:ascii="Arial" w:hAnsi="Arial"/>
        <w:sz w:val="16"/>
        <w:szCs w:val="16"/>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09B" w:rsidRDefault="003E309B">
      <w:r>
        <w:separator/>
      </w:r>
    </w:p>
  </w:footnote>
  <w:footnote w:type="continuationSeparator" w:id="0">
    <w:p w:rsidR="003E309B" w:rsidRDefault="003E309B">
      <w:r>
        <w:continuationSeparator/>
      </w:r>
    </w:p>
  </w:footnote>
  <w:footnote w:id="1">
    <w:p w:rsidR="001136EB" w:rsidRPr="00B343F1" w:rsidRDefault="001136EB" w:rsidP="001136EB">
      <w:pPr>
        <w:pStyle w:val="Sinespaciado"/>
        <w:jc w:val="both"/>
        <w:rPr>
          <w:rFonts w:ascii="Arial" w:hAnsi="Arial" w:cs="Arial"/>
          <w:sz w:val="18"/>
          <w:szCs w:val="18"/>
        </w:rPr>
      </w:pPr>
      <w:r w:rsidRPr="0029656C">
        <w:rPr>
          <w:rStyle w:val="Refdenotaalpie"/>
          <w:rFonts w:ascii="Arial" w:hAnsi="Arial" w:cs="Arial"/>
          <w:sz w:val="18"/>
          <w:szCs w:val="18"/>
          <w:vertAlign w:val="superscript"/>
        </w:rPr>
        <w:footnoteRef/>
      </w:r>
      <w:r w:rsidRPr="0029656C">
        <w:rPr>
          <w:rFonts w:ascii="Arial" w:hAnsi="Arial" w:cs="Arial"/>
          <w:sz w:val="18"/>
          <w:szCs w:val="18"/>
          <w:vertAlign w:val="superscript"/>
        </w:rPr>
        <w:t xml:space="preserve"> </w:t>
      </w:r>
      <w:r w:rsidRPr="00B343F1">
        <w:rPr>
          <w:rFonts w:ascii="Arial" w:hAnsi="Arial" w:cs="Arial"/>
          <w:sz w:val="18"/>
          <w:szCs w:val="18"/>
        </w:rPr>
        <w:t xml:space="preserve">Texto extraído de: </w:t>
      </w:r>
      <w:hyperlink r:id="rId1" w:history="1">
        <w:r w:rsidRPr="00C37C5A">
          <w:rPr>
            <w:rStyle w:val="Hipervnculo"/>
            <w:rFonts w:ascii="Arial" w:hAnsi="Arial" w:cs="Arial"/>
            <w:sz w:val="18"/>
            <w:szCs w:val="18"/>
            <w:u w:val="none"/>
          </w:rPr>
          <w:t>http://www.mineducacion.gov.co/CNA/1741/article-186365.html</w:t>
        </w:r>
      </w:hyperlink>
      <w:r w:rsidRPr="00B343F1">
        <w:rPr>
          <w:rFonts w:ascii="Arial" w:hAnsi="Arial" w:cs="Arial"/>
          <w:sz w:val="18"/>
          <w:szCs w:val="18"/>
        </w:rPr>
        <w:t xml:space="preserve">  </w:t>
      </w:r>
    </w:p>
  </w:footnote>
  <w:footnote w:id="2">
    <w:p w:rsidR="004D0AA1" w:rsidRDefault="004D0AA1" w:rsidP="004D0AA1">
      <w:pPr>
        <w:autoSpaceDE w:val="0"/>
        <w:autoSpaceDN w:val="0"/>
        <w:jc w:val="both"/>
        <w:rPr>
          <w:rFonts w:ascii="Arial" w:hAnsi="Arial" w:cs="Arial"/>
          <w:color w:val="000000"/>
          <w:sz w:val="18"/>
          <w:szCs w:val="18"/>
        </w:rPr>
      </w:pPr>
      <w:r w:rsidRPr="0029656C">
        <w:rPr>
          <w:rStyle w:val="Refdenotaalpie"/>
          <w:rFonts w:ascii="Arial" w:hAnsi="Arial" w:cs="Arial"/>
          <w:sz w:val="18"/>
          <w:szCs w:val="18"/>
          <w:vertAlign w:val="superscript"/>
        </w:rPr>
        <w:footnoteRef/>
      </w:r>
      <w:r w:rsidRPr="0029656C">
        <w:rPr>
          <w:rFonts w:ascii="Arial" w:hAnsi="Arial" w:cs="Arial"/>
          <w:sz w:val="18"/>
          <w:szCs w:val="18"/>
          <w:vertAlign w:val="superscript"/>
        </w:rPr>
        <w:t xml:space="preserve"> </w:t>
      </w:r>
      <w:r>
        <w:rPr>
          <w:rFonts w:ascii="Arial" w:hAnsi="Arial" w:cs="Arial"/>
          <w:sz w:val="18"/>
          <w:szCs w:val="18"/>
        </w:rPr>
        <w:t>P</w:t>
      </w:r>
      <w:r>
        <w:rPr>
          <w:rFonts w:ascii="Arial" w:hAnsi="Arial" w:cs="Arial"/>
          <w:color w:val="000000"/>
          <w:sz w:val="18"/>
          <w:szCs w:val="18"/>
        </w:rPr>
        <w:t>ar académico es la persona autorizada por el Ministerio de Educación Nacional para verificar las condiciones de calidad en trámites institucionales y los de registro calificado, con todos los procesos asociados a los mismos.</w:t>
      </w:r>
    </w:p>
  </w:footnote>
  <w:footnote w:id="3">
    <w:p w:rsidR="004D0AA1" w:rsidRDefault="004D0AA1" w:rsidP="0029656C">
      <w:pPr>
        <w:jc w:val="both"/>
        <w:rPr>
          <w:rFonts w:ascii="Arial" w:hAnsi="Arial" w:cs="Arial"/>
        </w:rPr>
      </w:pPr>
      <w:r w:rsidRPr="0029656C">
        <w:rPr>
          <w:rStyle w:val="Refdenotaalpie"/>
          <w:rFonts w:ascii="Arial" w:hAnsi="Arial" w:cs="Arial"/>
          <w:color w:val="000000"/>
          <w:sz w:val="18"/>
          <w:szCs w:val="18"/>
          <w:vertAlign w:val="superscript"/>
        </w:rPr>
        <w:footnoteRef/>
      </w:r>
      <w:r>
        <w:rPr>
          <w:rFonts w:ascii="Arial" w:hAnsi="Arial" w:cs="Arial"/>
          <w:color w:val="000000"/>
          <w:sz w:val="18"/>
          <w:szCs w:val="18"/>
        </w:rPr>
        <w:t xml:space="preserve"> Información disponible en la página web </w:t>
      </w:r>
      <w:hyperlink r:id="rId2" w:history="1">
        <w:r>
          <w:rPr>
            <w:rStyle w:val="Hipervnculo"/>
            <w:rFonts w:ascii="Arial" w:hAnsi="Arial" w:cs="Arial"/>
            <w:sz w:val="18"/>
            <w:szCs w:val="18"/>
            <w:lang w:val="es-CO"/>
          </w:rPr>
          <w:t>http://www.cna.gov.co/1741/articles-186370_Acuerdo_02_2012.pdf</w:t>
        </w:r>
      </w:hyperlink>
      <w:r>
        <w:rPr>
          <w:rStyle w:val="Hipervnculo"/>
          <w:rFonts w:ascii="Arial" w:hAnsi="Arial" w:cs="Arial"/>
          <w:sz w:val="18"/>
          <w:szCs w:val="18"/>
          <w:lang w:val="es-CO"/>
        </w:rPr>
        <w:t>, consultada el 8 de junio de 2017.</w:t>
      </w:r>
    </w:p>
  </w:footnote>
  <w:footnote w:id="4">
    <w:p w:rsidR="001136EB" w:rsidRDefault="001136EB" w:rsidP="001136EB">
      <w:pPr>
        <w:pStyle w:val="Sinespaciado"/>
        <w:jc w:val="both"/>
      </w:pPr>
      <w:r w:rsidRPr="0029656C">
        <w:rPr>
          <w:rStyle w:val="Refdenotaalpie"/>
          <w:rFonts w:ascii="Arial" w:hAnsi="Arial" w:cs="Arial"/>
          <w:sz w:val="18"/>
          <w:szCs w:val="18"/>
          <w:vertAlign w:val="superscript"/>
        </w:rPr>
        <w:footnoteRef/>
      </w:r>
      <w:r w:rsidRPr="0029656C">
        <w:rPr>
          <w:rFonts w:ascii="Arial" w:hAnsi="Arial" w:cs="Arial"/>
          <w:sz w:val="18"/>
          <w:szCs w:val="18"/>
          <w:vertAlign w:val="superscript"/>
        </w:rPr>
        <w:t xml:space="preserve"> </w:t>
      </w:r>
      <w:r w:rsidRPr="00B343F1">
        <w:rPr>
          <w:rFonts w:ascii="Arial" w:hAnsi="Arial" w:cs="Arial"/>
          <w:sz w:val="18"/>
          <w:szCs w:val="18"/>
        </w:rPr>
        <w:t>Sistema de Aseguramiento de la Calidad de la Educación Superior.</w:t>
      </w:r>
    </w:p>
  </w:footnote>
  <w:footnote w:id="5">
    <w:p w:rsidR="00E603F8" w:rsidRDefault="00E603F8">
      <w:pPr>
        <w:pStyle w:val="Textonotapie"/>
      </w:pPr>
      <w:r>
        <w:rPr>
          <w:rStyle w:val="Refdenotaalpie"/>
        </w:rPr>
        <w:footnoteRef/>
      </w:r>
      <w:r>
        <w:t xml:space="preserve"> Los datos de 2017 son preliminares con corte a junio 30 de 2017.</w:t>
      </w:r>
    </w:p>
  </w:footnote>
  <w:footnote w:id="6">
    <w:p w:rsidR="00027DE8" w:rsidRPr="00C6053F" w:rsidRDefault="00027DE8">
      <w:pPr>
        <w:pStyle w:val="Textonotapie"/>
        <w:rPr>
          <w:rFonts w:ascii="Arial" w:hAnsi="Arial" w:cs="Arial"/>
        </w:rPr>
      </w:pPr>
      <w:r w:rsidRPr="00C6053F">
        <w:rPr>
          <w:rStyle w:val="Refdenotaalpie"/>
          <w:rFonts w:ascii="Arial" w:hAnsi="Arial" w:cs="Arial"/>
          <w:sz w:val="18"/>
          <w:vertAlign w:val="superscript"/>
        </w:rPr>
        <w:footnoteRef/>
      </w:r>
      <w:r w:rsidRPr="00C6053F">
        <w:rPr>
          <w:rFonts w:ascii="Arial" w:hAnsi="Arial" w:cs="Arial"/>
          <w:sz w:val="18"/>
        </w:rPr>
        <w:t xml:space="preserve"> Fuente: Información reportada por el ICETEX</w:t>
      </w:r>
      <w:r w:rsidR="005223E3" w:rsidRPr="00C6053F">
        <w:rPr>
          <w:rFonts w:ascii="Arial" w:hAnsi="Arial" w:cs="Arial"/>
          <w:sz w:val="18"/>
        </w:rPr>
        <w:t xml:space="preserve">, con corte al primer semestre de </w:t>
      </w:r>
      <w:r w:rsidRPr="00C6053F">
        <w:rPr>
          <w:rFonts w:ascii="Arial" w:hAnsi="Arial" w:cs="Arial"/>
          <w:sz w:val="18"/>
        </w:rPr>
        <w:t>2017.</w:t>
      </w:r>
    </w:p>
  </w:footnote>
  <w:footnote w:id="7">
    <w:p w:rsidR="007217D0" w:rsidRPr="007217D0" w:rsidRDefault="007217D0">
      <w:pPr>
        <w:pStyle w:val="Textonotapie"/>
        <w:rPr>
          <w:rFonts w:ascii="Arial" w:hAnsi="Arial" w:cs="Arial"/>
          <w:sz w:val="18"/>
          <w:szCs w:val="18"/>
        </w:rPr>
      </w:pPr>
      <w:r w:rsidRPr="007217D0">
        <w:rPr>
          <w:rStyle w:val="Refdenotaalpie"/>
          <w:rFonts w:ascii="Arial" w:hAnsi="Arial" w:cs="Arial"/>
          <w:sz w:val="18"/>
          <w:szCs w:val="18"/>
        </w:rPr>
        <w:footnoteRef/>
      </w:r>
      <w:r w:rsidRPr="007217D0">
        <w:rPr>
          <w:rFonts w:ascii="Arial" w:hAnsi="Arial" w:cs="Arial"/>
          <w:sz w:val="18"/>
          <w:szCs w:val="18"/>
        </w:rPr>
        <w:t xml:space="preserve"> Fuente: Boletín Técnico. “Fuerza Labora l y Educación 2016”. DANE, marzo 24 de 2017.</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D3A" w:rsidRDefault="00BF7D3A" w:rsidP="0082221C">
    <w:pPr>
      <w:pStyle w:val="Encabezado"/>
      <w:ind w:left="-170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6668C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BE20C9"/>
    <w:multiLevelType w:val="hybridMultilevel"/>
    <w:tmpl w:val="C5387B1A"/>
    <w:lvl w:ilvl="0" w:tplc="F04084DC">
      <w:start w:val="1"/>
      <w:numFmt w:val="decimal"/>
      <w:lvlText w:val="%1."/>
      <w:lvlJc w:val="left"/>
      <w:pPr>
        <w:ind w:left="360" w:hanging="360"/>
      </w:pPr>
      <w:rPr>
        <w:rFonts w:ascii="Arial" w:eastAsia="Times New Roman" w:hAnsi="Arial" w:cs="Arial"/>
        <w:b/>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16F3A80"/>
    <w:multiLevelType w:val="multilevel"/>
    <w:tmpl w:val="A786387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1CE63C6"/>
    <w:multiLevelType w:val="hybridMultilevel"/>
    <w:tmpl w:val="1ED65B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5A2525F"/>
    <w:multiLevelType w:val="hybridMultilevel"/>
    <w:tmpl w:val="B64876CA"/>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6D82CE6"/>
    <w:multiLevelType w:val="hybridMultilevel"/>
    <w:tmpl w:val="CDE2F53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B137D9F"/>
    <w:multiLevelType w:val="hybridMultilevel"/>
    <w:tmpl w:val="C37AC4B4"/>
    <w:lvl w:ilvl="0" w:tplc="44C2346E">
      <w:start w:val="1"/>
      <w:numFmt w:val="bullet"/>
      <w:lvlText w:val="-"/>
      <w:lvlJc w:val="left"/>
      <w:pPr>
        <w:ind w:left="1065" w:hanging="360"/>
      </w:pPr>
      <w:rPr>
        <w:rFonts w:ascii="Arial" w:eastAsia="MS Mincho" w:hAnsi="Arial" w:cs="Arial"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7" w15:restartNumberingAfterBreak="0">
    <w:nsid w:val="0C4E4FBE"/>
    <w:multiLevelType w:val="hybridMultilevel"/>
    <w:tmpl w:val="96A6FDCA"/>
    <w:lvl w:ilvl="0" w:tplc="730CF6D2">
      <w:start w:val="1"/>
      <w:numFmt w:val="lowerRoman"/>
      <w:lvlText w:val="(%1)"/>
      <w:lvlJc w:val="left"/>
      <w:pPr>
        <w:ind w:left="1488" w:hanging="720"/>
      </w:pPr>
      <w:rPr>
        <w:rFonts w:hint="default"/>
        <w:b/>
        <w:color w:val="auto"/>
      </w:rPr>
    </w:lvl>
    <w:lvl w:ilvl="1" w:tplc="240A0019" w:tentative="1">
      <w:start w:val="1"/>
      <w:numFmt w:val="lowerLetter"/>
      <w:lvlText w:val="%2."/>
      <w:lvlJc w:val="left"/>
      <w:pPr>
        <w:ind w:left="1848" w:hanging="360"/>
      </w:pPr>
    </w:lvl>
    <w:lvl w:ilvl="2" w:tplc="240A001B" w:tentative="1">
      <w:start w:val="1"/>
      <w:numFmt w:val="lowerRoman"/>
      <w:lvlText w:val="%3."/>
      <w:lvlJc w:val="right"/>
      <w:pPr>
        <w:ind w:left="2568" w:hanging="180"/>
      </w:pPr>
    </w:lvl>
    <w:lvl w:ilvl="3" w:tplc="240A000F" w:tentative="1">
      <w:start w:val="1"/>
      <w:numFmt w:val="decimal"/>
      <w:lvlText w:val="%4."/>
      <w:lvlJc w:val="left"/>
      <w:pPr>
        <w:ind w:left="3288" w:hanging="360"/>
      </w:pPr>
    </w:lvl>
    <w:lvl w:ilvl="4" w:tplc="240A0019" w:tentative="1">
      <w:start w:val="1"/>
      <w:numFmt w:val="lowerLetter"/>
      <w:lvlText w:val="%5."/>
      <w:lvlJc w:val="left"/>
      <w:pPr>
        <w:ind w:left="4008" w:hanging="360"/>
      </w:pPr>
    </w:lvl>
    <w:lvl w:ilvl="5" w:tplc="240A001B" w:tentative="1">
      <w:start w:val="1"/>
      <w:numFmt w:val="lowerRoman"/>
      <w:lvlText w:val="%6."/>
      <w:lvlJc w:val="right"/>
      <w:pPr>
        <w:ind w:left="4728" w:hanging="180"/>
      </w:pPr>
    </w:lvl>
    <w:lvl w:ilvl="6" w:tplc="240A000F" w:tentative="1">
      <w:start w:val="1"/>
      <w:numFmt w:val="decimal"/>
      <w:lvlText w:val="%7."/>
      <w:lvlJc w:val="left"/>
      <w:pPr>
        <w:ind w:left="5448" w:hanging="360"/>
      </w:pPr>
    </w:lvl>
    <w:lvl w:ilvl="7" w:tplc="240A0019" w:tentative="1">
      <w:start w:val="1"/>
      <w:numFmt w:val="lowerLetter"/>
      <w:lvlText w:val="%8."/>
      <w:lvlJc w:val="left"/>
      <w:pPr>
        <w:ind w:left="6168" w:hanging="360"/>
      </w:pPr>
    </w:lvl>
    <w:lvl w:ilvl="8" w:tplc="240A001B" w:tentative="1">
      <w:start w:val="1"/>
      <w:numFmt w:val="lowerRoman"/>
      <w:lvlText w:val="%9."/>
      <w:lvlJc w:val="right"/>
      <w:pPr>
        <w:ind w:left="6888" w:hanging="180"/>
      </w:pPr>
    </w:lvl>
  </w:abstractNum>
  <w:abstractNum w:abstractNumId="8" w15:restartNumberingAfterBreak="0">
    <w:nsid w:val="0F014480"/>
    <w:multiLevelType w:val="hybridMultilevel"/>
    <w:tmpl w:val="DB0E4102"/>
    <w:lvl w:ilvl="0" w:tplc="998C1250">
      <w:start w:val="1"/>
      <w:numFmt w:val="low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164B6514"/>
    <w:multiLevelType w:val="hybridMultilevel"/>
    <w:tmpl w:val="610A39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7805162"/>
    <w:multiLevelType w:val="hybridMultilevel"/>
    <w:tmpl w:val="85DCEDD6"/>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9AC189B"/>
    <w:multiLevelType w:val="hybridMultilevel"/>
    <w:tmpl w:val="A192FCA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2" w15:restartNumberingAfterBreak="0">
    <w:nsid w:val="1ADA41C9"/>
    <w:multiLevelType w:val="hybridMultilevel"/>
    <w:tmpl w:val="114001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1F6638F5"/>
    <w:multiLevelType w:val="hybridMultilevel"/>
    <w:tmpl w:val="ECC27C94"/>
    <w:lvl w:ilvl="0" w:tplc="6A466C72">
      <w:start w:val="1"/>
      <w:numFmt w:val="upperRoman"/>
      <w:lvlText w:val="%1."/>
      <w:lvlJc w:val="left"/>
      <w:pPr>
        <w:ind w:left="0" w:firstLine="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1F872C39"/>
    <w:multiLevelType w:val="hybridMultilevel"/>
    <w:tmpl w:val="6C209DA2"/>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1503E2A"/>
    <w:multiLevelType w:val="hybridMultilevel"/>
    <w:tmpl w:val="96D4AE7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4671126"/>
    <w:multiLevelType w:val="hybridMultilevel"/>
    <w:tmpl w:val="5C106EA8"/>
    <w:lvl w:ilvl="0" w:tplc="7DA00A9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8C64B0C"/>
    <w:multiLevelType w:val="hybridMultilevel"/>
    <w:tmpl w:val="526A0A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9DB4AB8"/>
    <w:multiLevelType w:val="hybridMultilevel"/>
    <w:tmpl w:val="7DCC77A8"/>
    <w:lvl w:ilvl="0" w:tplc="5764166C">
      <w:start w:val="1"/>
      <w:numFmt w:val="upperRoman"/>
      <w:lvlText w:val="%1."/>
      <w:lvlJc w:val="left"/>
      <w:pPr>
        <w:ind w:left="0" w:firstLine="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CEC778F"/>
    <w:multiLevelType w:val="hybridMultilevel"/>
    <w:tmpl w:val="EE6E80D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D2316EC"/>
    <w:multiLevelType w:val="hybridMultilevel"/>
    <w:tmpl w:val="722A4402"/>
    <w:lvl w:ilvl="0" w:tplc="DF88EF3C">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2DF2DCF"/>
    <w:multiLevelType w:val="hybridMultilevel"/>
    <w:tmpl w:val="55702CF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3F96F7D"/>
    <w:multiLevelType w:val="multilevel"/>
    <w:tmpl w:val="CCDA4F8A"/>
    <w:lvl w:ilvl="0">
      <w:start w:val="1"/>
      <w:numFmt w:val="upperRoman"/>
      <w:lvlText w:val="%1."/>
      <w:lvlJc w:val="left"/>
      <w:pPr>
        <w:ind w:left="786" w:hanging="720"/>
      </w:pPr>
      <w:rPr>
        <w:rFonts w:hint="default"/>
        <w:b/>
        <w:color w:val="auto"/>
      </w:rPr>
    </w:lvl>
    <w:lvl w:ilvl="1">
      <w:start w:val="3"/>
      <w:numFmt w:val="decimal"/>
      <w:isLgl/>
      <w:lvlText w:val="%1.%2."/>
      <w:lvlJc w:val="left"/>
      <w:pPr>
        <w:ind w:left="786" w:hanging="720"/>
      </w:pPr>
      <w:rPr>
        <w:rFonts w:hint="default"/>
      </w:rPr>
    </w:lvl>
    <w:lvl w:ilvl="2">
      <w:start w:val="1"/>
      <w:numFmt w:val="decimal"/>
      <w:isLgl/>
      <w:lvlText w:val="%1.%2.%3."/>
      <w:lvlJc w:val="left"/>
      <w:pPr>
        <w:ind w:left="786" w:hanging="720"/>
      </w:pPr>
      <w:rPr>
        <w:rFonts w:hint="default"/>
      </w:rPr>
    </w:lvl>
    <w:lvl w:ilvl="3">
      <w:start w:val="1"/>
      <w:numFmt w:val="decimal"/>
      <w:isLgl/>
      <w:lvlText w:val="%1.%2.%3.%4."/>
      <w:lvlJc w:val="left"/>
      <w:pPr>
        <w:ind w:left="1146" w:hanging="1080"/>
      </w:pPr>
      <w:rPr>
        <w:rFonts w:hint="default"/>
      </w:rPr>
    </w:lvl>
    <w:lvl w:ilvl="4">
      <w:start w:val="1"/>
      <w:numFmt w:val="decimal"/>
      <w:isLgl/>
      <w:lvlText w:val="%1.%2.%3.%4.%5."/>
      <w:lvlJc w:val="left"/>
      <w:pPr>
        <w:ind w:left="1146" w:hanging="1080"/>
      </w:pPr>
      <w:rPr>
        <w:rFonts w:hint="default"/>
      </w:rPr>
    </w:lvl>
    <w:lvl w:ilvl="5">
      <w:start w:val="1"/>
      <w:numFmt w:val="decimal"/>
      <w:isLgl/>
      <w:lvlText w:val="%1.%2.%3.%4.%5.%6."/>
      <w:lvlJc w:val="left"/>
      <w:pPr>
        <w:ind w:left="1506" w:hanging="1440"/>
      </w:pPr>
      <w:rPr>
        <w:rFonts w:hint="default"/>
      </w:rPr>
    </w:lvl>
    <w:lvl w:ilvl="6">
      <w:start w:val="1"/>
      <w:numFmt w:val="decimal"/>
      <w:isLgl/>
      <w:lvlText w:val="%1.%2.%3.%4.%5.%6.%7."/>
      <w:lvlJc w:val="left"/>
      <w:pPr>
        <w:ind w:left="1506" w:hanging="1440"/>
      </w:pPr>
      <w:rPr>
        <w:rFonts w:hint="default"/>
      </w:rPr>
    </w:lvl>
    <w:lvl w:ilvl="7">
      <w:start w:val="1"/>
      <w:numFmt w:val="decimal"/>
      <w:isLgl/>
      <w:lvlText w:val="%1.%2.%3.%4.%5.%6.%7.%8."/>
      <w:lvlJc w:val="left"/>
      <w:pPr>
        <w:ind w:left="1866" w:hanging="1800"/>
      </w:pPr>
      <w:rPr>
        <w:rFonts w:hint="default"/>
      </w:rPr>
    </w:lvl>
    <w:lvl w:ilvl="8">
      <w:start w:val="1"/>
      <w:numFmt w:val="decimal"/>
      <w:isLgl/>
      <w:lvlText w:val="%1.%2.%3.%4.%5.%6.%7.%8.%9."/>
      <w:lvlJc w:val="left"/>
      <w:pPr>
        <w:ind w:left="1866" w:hanging="1800"/>
      </w:pPr>
      <w:rPr>
        <w:rFonts w:hint="default"/>
      </w:rPr>
    </w:lvl>
  </w:abstractNum>
  <w:abstractNum w:abstractNumId="23" w15:restartNumberingAfterBreak="0">
    <w:nsid w:val="44541B6E"/>
    <w:multiLevelType w:val="hybridMultilevel"/>
    <w:tmpl w:val="2DCEA352"/>
    <w:lvl w:ilvl="0" w:tplc="48100222">
      <w:start w:val="1"/>
      <w:numFmt w:val="upp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15:restartNumberingAfterBreak="0">
    <w:nsid w:val="45E22963"/>
    <w:multiLevelType w:val="hybridMultilevel"/>
    <w:tmpl w:val="99C49ED8"/>
    <w:lvl w:ilvl="0" w:tplc="240A0019">
      <w:start w:val="1"/>
      <w:numFmt w:val="lowerLetter"/>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25" w15:restartNumberingAfterBreak="0">
    <w:nsid w:val="4621268F"/>
    <w:multiLevelType w:val="hybridMultilevel"/>
    <w:tmpl w:val="C2025C50"/>
    <w:lvl w:ilvl="0" w:tplc="A6F0AE00">
      <w:start w:val="1"/>
      <w:numFmt w:val="upperRoman"/>
      <w:lvlText w:val="%1."/>
      <w:lvlJc w:val="left"/>
      <w:pPr>
        <w:ind w:left="0" w:firstLine="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15:restartNumberingAfterBreak="0">
    <w:nsid w:val="55107CE6"/>
    <w:multiLevelType w:val="hybridMultilevel"/>
    <w:tmpl w:val="59CEC22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AFB0FCB"/>
    <w:multiLevelType w:val="hybridMultilevel"/>
    <w:tmpl w:val="D61ECEF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8" w15:restartNumberingAfterBreak="0">
    <w:nsid w:val="605742A5"/>
    <w:multiLevelType w:val="hybridMultilevel"/>
    <w:tmpl w:val="6A4E992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15:restartNumberingAfterBreak="0">
    <w:nsid w:val="614F6507"/>
    <w:multiLevelType w:val="hybridMultilevel"/>
    <w:tmpl w:val="B8448A6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81A0AE4"/>
    <w:multiLevelType w:val="hybridMultilevel"/>
    <w:tmpl w:val="E8C8E9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1AB6E86"/>
    <w:multiLevelType w:val="hybridMultilevel"/>
    <w:tmpl w:val="1436C4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A067EBF"/>
    <w:multiLevelType w:val="hybridMultilevel"/>
    <w:tmpl w:val="D61ECEF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3" w15:restartNumberingAfterBreak="0">
    <w:nsid w:val="7BB93E16"/>
    <w:multiLevelType w:val="hybridMultilevel"/>
    <w:tmpl w:val="85DCEDD6"/>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C005ACB"/>
    <w:multiLevelType w:val="hybridMultilevel"/>
    <w:tmpl w:val="96D4AE7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CE40F6E"/>
    <w:multiLevelType w:val="hybridMultilevel"/>
    <w:tmpl w:val="8B12DA5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DB151D6"/>
    <w:multiLevelType w:val="hybridMultilevel"/>
    <w:tmpl w:val="6B80AE4E"/>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6"/>
  </w:num>
  <w:num w:numId="3">
    <w:abstractNumId w:val="12"/>
  </w:num>
  <w:num w:numId="4">
    <w:abstractNumId w:val="5"/>
  </w:num>
  <w:num w:numId="5">
    <w:abstractNumId w:val="9"/>
  </w:num>
  <w:num w:numId="6">
    <w:abstractNumId w:val="22"/>
  </w:num>
  <w:num w:numId="7">
    <w:abstractNumId w:val="20"/>
  </w:num>
  <w:num w:numId="8">
    <w:abstractNumId w:val="34"/>
  </w:num>
  <w:num w:numId="9">
    <w:abstractNumId w:val="2"/>
  </w:num>
  <w:num w:numId="10">
    <w:abstractNumId w:val="19"/>
  </w:num>
  <w:num w:numId="11">
    <w:abstractNumId w:val="15"/>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23"/>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num>
  <w:num w:numId="17">
    <w:abstractNumId w:val="35"/>
  </w:num>
  <w:num w:numId="18">
    <w:abstractNumId w:val="29"/>
  </w:num>
  <w:num w:numId="19">
    <w:abstractNumId w:val="3"/>
  </w:num>
  <w:num w:numId="20">
    <w:abstractNumId w:val="17"/>
  </w:num>
  <w:num w:numId="21">
    <w:abstractNumId w:val="31"/>
  </w:num>
  <w:num w:numId="22">
    <w:abstractNumId w:val="26"/>
  </w:num>
  <w:num w:numId="23">
    <w:abstractNumId w:val="7"/>
  </w:num>
  <w:num w:numId="24">
    <w:abstractNumId w:val="21"/>
  </w:num>
  <w:num w:numId="25">
    <w:abstractNumId w:val="1"/>
  </w:num>
  <w:num w:numId="26">
    <w:abstractNumId w:val="6"/>
  </w:num>
  <w:num w:numId="27">
    <w:abstractNumId w:val="28"/>
  </w:num>
  <w:num w:numId="28">
    <w:abstractNumId w:val="8"/>
  </w:num>
  <w:num w:numId="29">
    <w:abstractNumId w:val="13"/>
  </w:num>
  <w:num w:numId="30">
    <w:abstractNumId w:val="25"/>
  </w:num>
  <w:num w:numId="31">
    <w:abstractNumId w:val="18"/>
  </w:num>
  <w:num w:numId="32">
    <w:abstractNumId w:val="36"/>
  </w:num>
  <w:num w:numId="33">
    <w:abstractNumId w:val="33"/>
  </w:num>
  <w:num w:numId="34">
    <w:abstractNumId w:val="10"/>
  </w:num>
  <w:num w:numId="35">
    <w:abstractNumId w:val="14"/>
  </w:num>
  <w:num w:numId="36">
    <w:abstractNumId w:val="4"/>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3AC"/>
    <w:rsid w:val="00000CA9"/>
    <w:rsid w:val="00006274"/>
    <w:rsid w:val="00010064"/>
    <w:rsid w:val="00011304"/>
    <w:rsid w:val="00011FAB"/>
    <w:rsid w:val="00012775"/>
    <w:rsid w:val="000168A1"/>
    <w:rsid w:val="000223DC"/>
    <w:rsid w:val="000240A9"/>
    <w:rsid w:val="00027DE8"/>
    <w:rsid w:val="00032531"/>
    <w:rsid w:val="00032826"/>
    <w:rsid w:val="00036395"/>
    <w:rsid w:val="00036636"/>
    <w:rsid w:val="00037AB2"/>
    <w:rsid w:val="00042E46"/>
    <w:rsid w:val="000438E3"/>
    <w:rsid w:val="0004458C"/>
    <w:rsid w:val="00046979"/>
    <w:rsid w:val="00053F33"/>
    <w:rsid w:val="00055CCD"/>
    <w:rsid w:val="0005653B"/>
    <w:rsid w:val="000577BC"/>
    <w:rsid w:val="00060820"/>
    <w:rsid w:val="00064CE6"/>
    <w:rsid w:val="0006525A"/>
    <w:rsid w:val="00066DB7"/>
    <w:rsid w:val="0007043C"/>
    <w:rsid w:val="00080789"/>
    <w:rsid w:val="000828C4"/>
    <w:rsid w:val="00082CDE"/>
    <w:rsid w:val="00084862"/>
    <w:rsid w:val="00084DE0"/>
    <w:rsid w:val="00085621"/>
    <w:rsid w:val="00090CEB"/>
    <w:rsid w:val="000934E9"/>
    <w:rsid w:val="00094C9A"/>
    <w:rsid w:val="00094DE0"/>
    <w:rsid w:val="0009559F"/>
    <w:rsid w:val="0009747F"/>
    <w:rsid w:val="000A0783"/>
    <w:rsid w:val="000A612F"/>
    <w:rsid w:val="000A6BB9"/>
    <w:rsid w:val="000B1F74"/>
    <w:rsid w:val="000B3780"/>
    <w:rsid w:val="000B55E6"/>
    <w:rsid w:val="000B69CC"/>
    <w:rsid w:val="000C1CC0"/>
    <w:rsid w:val="000C2D92"/>
    <w:rsid w:val="000C5B22"/>
    <w:rsid w:val="000C6B66"/>
    <w:rsid w:val="000C6E28"/>
    <w:rsid w:val="000C7C25"/>
    <w:rsid w:val="000D11B0"/>
    <w:rsid w:val="000D4AA1"/>
    <w:rsid w:val="000D4DB9"/>
    <w:rsid w:val="000E1737"/>
    <w:rsid w:val="000E1BAB"/>
    <w:rsid w:val="000E3B82"/>
    <w:rsid w:val="000E736C"/>
    <w:rsid w:val="000F220B"/>
    <w:rsid w:val="000F29D3"/>
    <w:rsid w:val="000F398C"/>
    <w:rsid w:val="000F3F79"/>
    <w:rsid w:val="000F5D98"/>
    <w:rsid w:val="000F7C52"/>
    <w:rsid w:val="00110087"/>
    <w:rsid w:val="0011055D"/>
    <w:rsid w:val="00111AE7"/>
    <w:rsid w:val="001136EB"/>
    <w:rsid w:val="0011551C"/>
    <w:rsid w:val="00116299"/>
    <w:rsid w:val="00116569"/>
    <w:rsid w:val="00124634"/>
    <w:rsid w:val="00126588"/>
    <w:rsid w:val="00127070"/>
    <w:rsid w:val="001316C7"/>
    <w:rsid w:val="00140F7F"/>
    <w:rsid w:val="00143589"/>
    <w:rsid w:val="00145330"/>
    <w:rsid w:val="00152BDB"/>
    <w:rsid w:val="0015440F"/>
    <w:rsid w:val="0015477C"/>
    <w:rsid w:val="00163387"/>
    <w:rsid w:val="00165D11"/>
    <w:rsid w:val="00165DDE"/>
    <w:rsid w:val="00166F3C"/>
    <w:rsid w:val="00171D49"/>
    <w:rsid w:val="00172B96"/>
    <w:rsid w:val="00173E0E"/>
    <w:rsid w:val="00177D8E"/>
    <w:rsid w:val="00180D85"/>
    <w:rsid w:val="001822BE"/>
    <w:rsid w:val="00182955"/>
    <w:rsid w:val="00182977"/>
    <w:rsid w:val="00182A49"/>
    <w:rsid w:val="00182CB9"/>
    <w:rsid w:val="00182CD5"/>
    <w:rsid w:val="001833EE"/>
    <w:rsid w:val="00183D5A"/>
    <w:rsid w:val="001855D4"/>
    <w:rsid w:val="00191CEB"/>
    <w:rsid w:val="001927D8"/>
    <w:rsid w:val="00196567"/>
    <w:rsid w:val="001A0FD3"/>
    <w:rsid w:val="001A172B"/>
    <w:rsid w:val="001A2102"/>
    <w:rsid w:val="001A572F"/>
    <w:rsid w:val="001A5761"/>
    <w:rsid w:val="001B6910"/>
    <w:rsid w:val="001B7006"/>
    <w:rsid w:val="001B7393"/>
    <w:rsid w:val="001C3AB8"/>
    <w:rsid w:val="001C4C17"/>
    <w:rsid w:val="001C66E1"/>
    <w:rsid w:val="001D10A5"/>
    <w:rsid w:val="001D373D"/>
    <w:rsid w:val="001D6AFB"/>
    <w:rsid w:val="001D6C0C"/>
    <w:rsid w:val="001E2896"/>
    <w:rsid w:val="001E43EF"/>
    <w:rsid w:val="001E65C8"/>
    <w:rsid w:val="001E6F67"/>
    <w:rsid w:val="001F04F4"/>
    <w:rsid w:val="001F1628"/>
    <w:rsid w:val="001F1AD2"/>
    <w:rsid w:val="001F2ECE"/>
    <w:rsid w:val="001F3627"/>
    <w:rsid w:val="001F671D"/>
    <w:rsid w:val="002009BD"/>
    <w:rsid w:val="00201492"/>
    <w:rsid w:val="00202255"/>
    <w:rsid w:val="00202F5F"/>
    <w:rsid w:val="00207451"/>
    <w:rsid w:val="00210614"/>
    <w:rsid w:val="00212B91"/>
    <w:rsid w:val="00212CD4"/>
    <w:rsid w:val="00212E5C"/>
    <w:rsid w:val="002145C5"/>
    <w:rsid w:val="0021648E"/>
    <w:rsid w:val="00216D86"/>
    <w:rsid w:val="00221FCB"/>
    <w:rsid w:val="00225A7D"/>
    <w:rsid w:val="002273AC"/>
    <w:rsid w:val="00231D92"/>
    <w:rsid w:val="002336B9"/>
    <w:rsid w:val="00234DE9"/>
    <w:rsid w:val="00235D06"/>
    <w:rsid w:val="002366BC"/>
    <w:rsid w:val="002373A1"/>
    <w:rsid w:val="0024179E"/>
    <w:rsid w:val="00244AB0"/>
    <w:rsid w:val="00256E47"/>
    <w:rsid w:val="00260398"/>
    <w:rsid w:val="00263168"/>
    <w:rsid w:val="00263547"/>
    <w:rsid w:val="002648A6"/>
    <w:rsid w:val="00265C9E"/>
    <w:rsid w:val="00266037"/>
    <w:rsid w:val="0027460D"/>
    <w:rsid w:val="00283F21"/>
    <w:rsid w:val="00285675"/>
    <w:rsid w:val="00287143"/>
    <w:rsid w:val="00287B0F"/>
    <w:rsid w:val="00290394"/>
    <w:rsid w:val="0029049F"/>
    <w:rsid w:val="002944A0"/>
    <w:rsid w:val="002949B3"/>
    <w:rsid w:val="0029656C"/>
    <w:rsid w:val="00296DB4"/>
    <w:rsid w:val="002970D3"/>
    <w:rsid w:val="002974D4"/>
    <w:rsid w:val="002A303F"/>
    <w:rsid w:val="002A3C4D"/>
    <w:rsid w:val="002A70C8"/>
    <w:rsid w:val="002A756E"/>
    <w:rsid w:val="002B0406"/>
    <w:rsid w:val="002B0EA7"/>
    <w:rsid w:val="002B6598"/>
    <w:rsid w:val="002B6647"/>
    <w:rsid w:val="002C23CE"/>
    <w:rsid w:val="002C2637"/>
    <w:rsid w:val="002C2A27"/>
    <w:rsid w:val="002C2F84"/>
    <w:rsid w:val="002C38A0"/>
    <w:rsid w:val="002C68F5"/>
    <w:rsid w:val="002C7496"/>
    <w:rsid w:val="002D08C9"/>
    <w:rsid w:val="002D14B4"/>
    <w:rsid w:val="002D1BDF"/>
    <w:rsid w:val="002D3B96"/>
    <w:rsid w:val="002D4364"/>
    <w:rsid w:val="002D7426"/>
    <w:rsid w:val="002D76E7"/>
    <w:rsid w:val="002D7B87"/>
    <w:rsid w:val="002E0087"/>
    <w:rsid w:val="002E2D37"/>
    <w:rsid w:val="002F091B"/>
    <w:rsid w:val="002F1528"/>
    <w:rsid w:val="002F1CD0"/>
    <w:rsid w:val="002F2B50"/>
    <w:rsid w:val="002F544B"/>
    <w:rsid w:val="002F6C52"/>
    <w:rsid w:val="00302AC6"/>
    <w:rsid w:val="00307930"/>
    <w:rsid w:val="00312171"/>
    <w:rsid w:val="00314483"/>
    <w:rsid w:val="00314C26"/>
    <w:rsid w:val="003154D0"/>
    <w:rsid w:val="003162DF"/>
    <w:rsid w:val="00317E66"/>
    <w:rsid w:val="003205A1"/>
    <w:rsid w:val="00320DB7"/>
    <w:rsid w:val="0032295A"/>
    <w:rsid w:val="00322DC3"/>
    <w:rsid w:val="003244E5"/>
    <w:rsid w:val="003249CB"/>
    <w:rsid w:val="00326083"/>
    <w:rsid w:val="00326CB5"/>
    <w:rsid w:val="003273CE"/>
    <w:rsid w:val="00331E06"/>
    <w:rsid w:val="0033382C"/>
    <w:rsid w:val="00334B0F"/>
    <w:rsid w:val="0033760D"/>
    <w:rsid w:val="00340493"/>
    <w:rsid w:val="00341A7E"/>
    <w:rsid w:val="003435A0"/>
    <w:rsid w:val="00344B6E"/>
    <w:rsid w:val="00345180"/>
    <w:rsid w:val="0034628E"/>
    <w:rsid w:val="00346DCE"/>
    <w:rsid w:val="00347E23"/>
    <w:rsid w:val="0035379D"/>
    <w:rsid w:val="00354BA0"/>
    <w:rsid w:val="003559D7"/>
    <w:rsid w:val="00355CCC"/>
    <w:rsid w:val="00355FD2"/>
    <w:rsid w:val="00356D30"/>
    <w:rsid w:val="00357629"/>
    <w:rsid w:val="00360349"/>
    <w:rsid w:val="003614E5"/>
    <w:rsid w:val="003640BB"/>
    <w:rsid w:val="00370051"/>
    <w:rsid w:val="003719FB"/>
    <w:rsid w:val="00372495"/>
    <w:rsid w:val="003745ED"/>
    <w:rsid w:val="00375E1F"/>
    <w:rsid w:val="003766F3"/>
    <w:rsid w:val="00377B10"/>
    <w:rsid w:val="0038081A"/>
    <w:rsid w:val="00381C5F"/>
    <w:rsid w:val="003838C9"/>
    <w:rsid w:val="003874EC"/>
    <w:rsid w:val="0038786E"/>
    <w:rsid w:val="003908D9"/>
    <w:rsid w:val="00391763"/>
    <w:rsid w:val="00391A5D"/>
    <w:rsid w:val="00393939"/>
    <w:rsid w:val="00395AB2"/>
    <w:rsid w:val="003970F9"/>
    <w:rsid w:val="003A11A8"/>
    <w:rsid w:val="003A2EC2"/>
    <w:rsid w:val="003A2F35"/>
    <w:rsid w:val="003A57EE"/>
    <w:rsid w:val="003A5AF3"/>
    <w:rsid w:val="003A5B2B"/>
    <w:rsid w:val="003B0660"/>
    <w:rsid w:val="003B170A"/>
    <w:rsid w:val="003B2B60"/>
    <w:rsid w:val="003B318C"/>
    <w:rsid w:val="003B60C1"/>
    <w:rsid w:val="003B750E"/>
    <w:rsid w:val="003C2985"/>
    <w:rsid w:val="003C2E4C"/>
    <w:rsid w:val="003C4233"/>
    <w:rsid w:val="003D127B"/>
    <w:rsid w:val="003D29C7"/>
    <w:rsid w:val="003D61CD"/>
    <w:rsid w:val="003D7828"/>
    <w:rsid w:val="003E014B"/>
    <w:rsid w:val="003E309B"/>
    <w:rsid w:val="003E67B1"/>
    <w:rsid w:val="003E796D"/>
    <w:rsid w:val="003F2709"/>
    <w:rsid w:val="003F28CD"/>
    <w:rsid w:val="003F2911"/>
    <w:rsid w:val="003F297A"/>
    <w:rsid w:val="003F3DD8"/>
    <w:rsid w:val="003F41C4"/>
    <w:rsid w:val="003F49F6"/>
    <w:rsid w:val="00406548"/>
    <w:rsid w:val="00407228"/>
    <w:rsid w:val="00407F35"/>
    <w:rsid w:val="004108ED"/>
    <w:rsid w:val="004131A2"/>
    <w:rsid w:val="00413A88"/>
    <w:rsid w:val="004150FC"/>
    <w:rsid w:val="00421D85"/>
    <w:rsid w:val="00423F49"/>
    <w:rsid w:val="00433FAD"/>
    <w:rsid w:val="00436E44"/>
    <w:rsid w:val="004403B6"/>
    <w:rsid w:val="00444141"/>
    <w:rsid w:val="00444BE2"/>
    <w:rsid w:val="004460A7"/>
    <w:rsid w:val="00447658"/>
    <w:rsid w:val="00447A73"/>
    <w:rsid w:val="00447D63"/>
    <w:rsid w:val="00450376"/>
    <w:rsid w:val="004542EE"/>
    <w:rsid w:val="00455099"/>
    <w:rsid w:val="004577E2"/>
    <w:rsid w:val="004578BE"/>
    <w:rsid w:val="004579D9"/>
    <w:rsid w:val="00462CE0"/>
    <w:rsid w:val="00486355"/>
    <w:rsid w:val="00486E73"/>
    <w:rsid w:val="00494EF9"/>
    <w:rsid w:val="00496279"/>
    <w:rsid w:val="004962A2"/>
    <w:rsid w:val="004A02C6"/>
    <w:rsid w:val="004A1330"/>
    <w:rsid w:val="004A5840"/>
    <w:rsid w:val="004A64D9"/>
    <w:rsid w:val="004B3432"/>
    <w:rsid w:val="004B64B0"/>
    <w:rsid w:val="004B70CE"/>
    <w:rsid w:val="004C2E76"/>
    <w:rsid w:val="004C3CAA"/>
    <w:rsid w:val="004C799F"/>
    <w:rsid w:val="004D0AA1"/>
    <w:rsid w:val="004D0DCB"/>
    <w:rsid w:val="004D11AE"/>
    <w:rsid w:val="004D3D50"/>
    <w:rsid w:val="004E14AA"/>
    <w:rsid w:val="004E2042"/>
    <w:rsid w:val="004E2238"/>
    <w:rsid w:val="004E2785"/>
    <w:rsid w:val="004E2808"/>
    <w:rsid w:val="004E3938"/>
    <w:rsid w:val="004E4BF4"/>
    <w:rsid w:val="004E4FE6"/>
    <w:rsid w:val="004E6AC5"/>
    <w:rsid w:val="004E7E54"/>
    <w:rsid w:val="004F37FA"/>
    <w:rsid w:val="004F3B6D"/>
    <w:rsid w:val="004F580A"/>
    <w:rsid w:val="00502C19"/>
    <w:rsid w:val="00504281"/>
    <w:rsid w:val="00504F3E"/>
    <w:rsid w:val="0051019C"/>
    <w:rsid w:val="005115A8"/>
    <w:rsid w:val="00512047"/>
    <w:rsid w:val="005121CA"/>
    <w:rsid w:val="00514433"/>
    <w:rsid w:val="005150CA"/>
    <w:rsid w:val="00520C2B"/>
    <w:rsid w:val="005223E3"/>
    <w:rsid w:val="005238F1"/>
    <w:rsid w:val="00530DD1"/>
    <w:rsid w:val="00533567"/>
    <w:rsid w:val="00535DD0"/>
    <w:rsid w:val="005435D9"/>
    <w:rsid w:val="005445E2"/>
    <w:rsid w:val="005468AF"/>
    <w:rsid w:val="005475D1"/>
    <w:rsid w:val="00547E00"/>
    <w:rsid w:val="0055579A"/>
    <w:rsid w:val="00555E93"/>
    <w:rsid w:val="005562ED"/>
    <w:rsid w:val="005564CB"/>
    <w:rsid w:val="00556A45"/>
    <w:rsid w:val="0055798D"/>
    <w:rsid w:val="00563795"/>
    <w:rsid w:val="00564C42"/>
    <w:rsid w:val="00565AF6"/>
    <w:rsid w:val="00567650"/>
    <w:rsid w:val="00567DCC"/>
    <w:rsid w:val="00570484"/>
    <w:rsid w:val="00570D7D"/>
    <w:rsid w:val="0057200A"/>
    <w:rsid w:val="00573D14"/>
    <w:rsid w:val="005740A0"/>
    <w:rsid w:val="00574B24"/>
    <w:rsid w:val="00574E9F"/>
    <w:rsid w:val="00576546"/>
    <w:rsid w:val="005769C9"/>
    <w:rsid w:val="00580395"/>
    <w:rsid w:val="00590245"/>
    <w:rsid w:val="00590E28"/>
    <w:rsid w:val="00595240"/>
    <w:rsid w:val="0059588E"/>
    <w:rsid w:val="00596184"/>
    <w:rsid w:val="005A2580"/>
    <w:rsid w:val="005A3B31"/>
    <w:rsid w:val="005A62CE"/>
    <w:rsid w:val="005A7CED"/>
    <w:rsid w:val="005B59FD"/>
    <w:rsid w:val="005C1DC4"/>
    <w:rsid w:val="005C3B3C"/>
    <w:rsid w:val="005C4E49"/>
    <w:rsid w:val="005C4EDA"/>
    <w:rsid w:val="005C5D88"/>
    <w:rsid w:val="005C619E"/>
    <w:rsid w:val="005D4FBB"/>
    <w:rsid w:val="005D6799"/>
    <w:rsid w:val="005E230F"/>
    <w:rsid w:val="005E6B60"/>
    <w:rsid w:val="005E7240"/>
    <w:rsid w:val="005F0EC3"/>
    <w:rsid w:val="005F2E56"/>
    <w:rsid w:val="005F516F"/>
    <w:rsid w:val="00602002"/>
    <w:rsid w:val="00604D1D"/>
    <w:rsid w:val="006065E3"/>
    <w:rsid w:val="00606EBB"/>
    <w:rsid w:val="006073B2"/>
    <w:rsid w:val="00607BB2"/>
    <w:rsid w:val="00614069"/>
    <w:rsid w:val="006159E3"/>
    <w:rsid w:val="006177D8"/>
    <w:rsid w:val="00620F27"/>
    <w:rsid w:val="006217D6"/>
    <w:rsid w:val="006222E3"/>
    <w:rsid w:val="00624783"/>
    <w:rsid w:val="00626BAC"/>
    <w:rsid w:val="00630535"/>
    <w:rsid w:val="00632003"/>
    <w:rsid w:val="00632D3B"/>
    <w:rsid w:val="00636637"/>
    <w:rsid w:val="006437E8"/>
    <w:rsid w:val="00643F86"/>
    <w:rsid w:val="006460A6"/>
    <w:rsid w:val="00646CF3"/>
    <w:rsid w:val="0065012C"/>
    <w:rsid w:val="00650D4F"/>
    <w:rsid w:val="006513CE"/>
    <w:rsid w:val="00655094"/>
    <w:rsid w:val="00660B39"/>
    <w:rsid w:val="0066328A"/>
    <w:rsid w:val="00666F23"/>
    <w:rsid w:val="00667728"/>
    <w:rsid w:val="00670F87"/>
    <w:rsid w:val="006718CB"/>
    <w:rsid w:val="00671A10"/>
    <w:rsid w:val="0067406A"/>
    <w:rsid w:val="00677092"/>
    <w:rsid w:val="006770B8"/>
    <w:rsid w:val="00680731"/>
    <w:rsid w:val="0068082F"/>
    <w:rsid w:val="00692220"/>
    <w:rsid w:val="006952EC"/>
    <w:rsid w:val="00695C38"/>
    <w:rsid w:val="006A056C"/>
    <w:rsid w:val="006A0B8A"/>
    <w:rsid w:val="006A102D"/>
    <w:rsid w:val="006A11A1"/>
    <w:rsid w:val="006A30E8"/>
    <w:rsid w:val="006A538F"/>
    <w:rsid w:val="006A5843"/>
    <w:rsid w:val="006B1720"/>
    <w:rsid w:val="006B4144"/>
    <w:rsid w:val="006B46B3"/>
    <w:rsid w:val="006C3203"/>
    <w:rsid w:val="006C38D8"/>
    <w:rsid w:val="006C395E"/>
    <w:rsid w:val="006C69FF"/>
    <w:rsid w:val="006C6AB0"/>
    <w:rsid w:val="006D05EE"/>
    <w:rsid w:val="006D165A"/>
    <w:rsid w:val="006D281A"/>
    <w:rsid w:val="006D3BD7"/>
    <w:rsid w:val="006D42D8"/>
    <w:rsid w:val="006D45E8"/>
    <w:rsid w:val="006E0534"/>
    <w:rsid w:val="006E1799"/>
    <w:rsid w:val="006F0632"/>
    <w:rsid w:val="006F16D6"/>
    <w:rsid w:val="006F1D79"/>
    <w:rsid w:val="006F3A92"/>
    <w:rsid w:val="006F7370"/>
    <w:rsid w:val="007015EC"/>
    <w:rsid w:val="00704029"/>
    <w:rsid w:val="00705720"/>
    <w:rsid w:val="007071A3"/>
    <w:rsid w:val="00710AA2"/>
    <w:rsid w:val="00710B2F"/>
    <w:rsid w:val="0071134A"/>
    <w:rsid w:val="00711DC0"/>
    <w:rsid w:val="00714039"/>
    <w:rsid w:val="00715D49"/>
    <w:rsid w:val="007175E4"/>
    <w:rsid w:val="00717812"/>
    <w:rsid w:val="00721776"/>
    <w:rsid w:val="007217D0"/>
    <w:rsid w:val="00721F9F"/>
    <w:rsid w:val="00722DBF"/>
    <w:rsid w:val="0072300F"/>
    <w:rsid w:val="00723F17"/>
    <w:rsid w:val="00727279"/>
    <w:rsid w:val="00727F54"/>
    <w:rsid w:val="007310C9"/>
    <w:rsid w:val="0073311F"/>
    <w:rsid w:val="00733ACE"/>
    <w:rsid w:val="00735C03"/>
    <w:rsid w:val="00735F70"/>
    <w:rsid w:val="007363D2"/>
    <w:rsid w:val="00737F5F"/>
    <w:rsid w:val="00741C21"/>
    <w:rsid w:val="007459B4"/>
    <w:rsid w:val="00751AA8"/>
    <w:rsid w:val="00752451"/>
    <w:rsid w:val="00755F39"/>
    <w:rsid w:val="0075682D"/>
    <w:rsid w:val="00756ED7"/>
    <w:rsid w:val="00757AC2"/>
    <w:rsid w:val="00760D30"/>
    <w:rsid w:val="00761F0F"/>
    <w:rsid w:val="007651D4"/>
    <w:rsid w:val="00765F54"/>
    <w:rsid w:val="00770342"/>
    <w:rsid w:val="007706FA"/>
    <w:rsid w:val="007803CB"/>
    <w:rsid w:val="0078189B"/>
    <w:rsid w:val="00782210"/>
    <w:rsid w:val="007836A3"/>
    <w:rsid w:val="00792671"/>
    <w:rsid w:val="007932AE"/>
    <w:rsid w:val="00793852"/>
    <w:rsid w:val="0079538F"/>
    <w:rsid w:val="00795607"/>
    <w:rsid w:val="007A234B"/>
    <w:rsid w:val="007A418E"/>
    <w:rsid w:val="007A5BB1"/>
    <w:rsid w:val="007A766D"/>
    <w:rsid w:val="007B0D34"/>
    <w:rsid w:val="007B1414"/>
    <w:rsid w:val="007B18EA"/>
    <w:rsid w:val="007B627C"/>
    <w:rsid w:val="007C0026"/>
    <w:rsid w:val="007C2743"/>
    <w:rsid w:val="007C4A9D"/>
    <w:rsid w:val="007C4E30"/>
    <w:rsid w:val="007C59B1"/>
    <w:rsid w:val="007D179B"/>
    <w:rsid w:val="007D1EF1"/>
    <w:rsid w:val="007D5FFB"/>
    <w:rsid w:val="007D635F"/>
    <w:rsid w:val="007E2A2D"/>
    <w:rsid w:val="007E5139"/>
    <w:rsid w:val="007E5E79"/>
    <w:rsid w:val="007E630C"/>
    <w:rsid w:val="007F20C6"/>
    <w:rsid w:val="007F2197"/>
    <w:rsid w:val="007F2CD3"/>
    <w:rsid w:val="007F37B0"/>
    <w:rsid w:val="007F5CB8"/>
    <w:rsid w:val="007F72E4"/>
    <w:rsid w:val="00800ABD"/>
    <w:rsid w:val="00802A04"/>
    <w:rsid w:val="00803389"/>
    <w:rsid w:val="00804013"/>
    <w:rsid w:val="0080556A"/>
    <w:rsid w:val="00806177"/>
    <w:rsid w:val="0080718D"/>
    <w:rsid w:val="0080738D"/>
    <w:rsid w:val="008133B2"/>
    <w:rsid w:val="00814D57"/>
    <w:rsid w:val="008158B1"/>
    <w:rsid w:val="00815C28"/>
    <w:rsid w:val="00816789"/>
    <w:rsid w:val="00817E67"/>
    <w:rsid w:val="00820E37"/>
    <w:rsid w:val="0082221C"/>
    <w:rsid w:val="008279F0"/>
    <w:rsid w:val="008317A7"/>
    <w:rsid w:val="008325AE"/>
    <w:rsid w:val="00832BE4"/>
    <w:rsid w:val="008374FC"/>
    <w:rsid w:val="00837BC2"/>
    <w:rsid w:val="00841621"/>
    <w:rsid w:val="008429F7"/>
    <w:rsid w:val="00842D8D"/>
    <w:rsid w:val="00842EC5"/>
    <w:rsid w:val="00843FB8"/>
    <w:rsid w:val="0085650F"/>
    <w:rsid w:val="00856C38"/>
    <w:rsid w:val="00857618"/>
    <w:rsid w:val="0085779E"/>
    <w:rsid w:val="00860D7F"/>
    <w:rsid w:val="00863164"/>
    <w:rsid w:val="00863C48"/>
    <w:rsid w:val="00864A90"/>
    <w:rsid w:val="00865716"/>
    <w:rsid w:val="00865AFC"/>
    <w:rsid w:val="00871058"/>
    <w:rsid w:val="00874D4D"/>
    <w:rsid w:val="008761AF"/>
    <w:rsid w:val="00877A49"/>
    <w:rsid w:val="00880615"/>
    <w:rsid w:val="008832B4"/>
    <w:rsid w:val="00883826"/>
    <w:rsid w:val="008851B9"/>
    <w:rsid w:val="008870C5"/>
    <w:rsid w:val="00890FAA"/>
    <w:rsid w:val="008A0937"/>
    <w:rsid w:val="008A1699"/>
    <w:rsid w:val="008A50F8"/>
    <w:rsid w:val="008A7DFE"/>
    <w:rsid w:val="008B2046"/>
    <w:rsid w:val="008B5879"/>
    <w:rsid w:val="008B6443"/>
    <w:rsid w:val="008B7DD4"/>
    <w:rsid w:val="008C0ECC"/>
    <w:rsid w:val="008C1089"/>
    <w:rsid w:val="008C3F0E"/>
    <w:rsid w:val="008C6F68"/>
    <w:rsid w:val="008D0506"/>
    <w:rsid w:val="008D219C"/>
    <w:rsid w:val="008D3BBA"/>
    <w:rsid w:val="008D3C95"/>
    <w:rsid w:val="008D4616"/>
    <w:rsid w:val="008D4B18"/>
    <w:rsid w:val="008D5DC1"/>
    <w:rsid w:val="008D6383"/>
    <w:rsid w:val="008D6D39"/>
    <w:rsid w:val="008D7890"/>
    <w:rsid w:val="008E1037"/>
    <w:rsid w:val="008E1824"/>
    <w:rsid w:val="008E3343"/>
    <w:rsid w:val="008E3C8E"/>
    <w:rsid w:val="008E41FC"/>
    <w:rsid w:val="008E636C"/>
    <w:rsid w:val="008F1C2B"/>
    <w:rsid w:val="008F4506"/>
    <w:rsid w:val="008F574F"/>
    <w:rsid w:val="008F7D44"/>
    <w:rsid w:val="008F7D69"/>
    <w:rsid w:val="008F7DF8"/>
    <w:rsid w:val="00900B94"/>
    <w:rsid w:val="00902A25"/>
    <w:rsid w:val="009054C0"/>
    <w:rsid w:val="00905C9A"/>
    <w:rsid w:val="00912A82"/>
    <w:rsid w:val="00913B4B"/>
    <w:rsid w:val="009162A3"/>
    <w:rsid w:val="00917924"/>
    <w:rsid w:val="009224C4"/>
    <w:rsid w:val="00924454"/>
    <w:rsid w:val="0092576C"/>
    <w:rsid w:val="00930284"/>
    <w:rsid w:val="00930F9C"/>
    <w:rsid w:val="009358A9"/>
    <w:rsid w:val="009429BE"/>
    <w:rsid w:val="00944AB8"/>
    <w:rsid w:val="00946B86"/>
    <w:rsid w:val="00947AD9"/>
    <w:rsid w:val="00950C15"/>
    <w:rsid w:val="0095299D"/>
    <w:rsid w:val="00952CFB"/>
    <w:rsid w:val="00957AB8"/>
    <w:rsid w:val="0096336E"/>
    <w:rsid w:val="00964BA9"/>
    <w:rsid w:val="00964F6F"/>
    <w:rsid w:val="00965216"/>
    <w:rsid w:val="00966F36"/>
    <w:rsid w:val="0097312B"/>
    <w:rsid w:val="009735D1"/>
    <w:rsid w:val="00974FCB"/>
    <w:rsid w:val="009821B6"/>
    <w:rsid w:val="00983374"/>
    <w:rsid w:val="00985451"/>
    <w:rsid w:val="00990F15"/>
    <w:rsid w:val="0099493A"/>
    <w:rsid w:val="00996B9F"/>
    <w:rsid w:val="009975B7"/>
    <w:rsid w:val="009A4512"/>
    <w:rsid w:val="009A5654"/>
    <w:rsid w:val="009B0641"/>
    <w:rsid w:val="009B1D36"/>
    <w:rsid w:val="009C6EA6"/>
    <w:rsid w:val="009D0696"/>
    <w:rsid w:val="009D09E3"/>
    <w:rsid w:val="009D0A88"/>
    <w:rsid w:val="009D2DEE"/>
    <w:rsid w:val="009D4E33"/>
    <w:rsid w:val="009D68A1"/>
    <w:rsid w:val="009D760E"/>
    <w:rsid w:val="009D7BB5"/>
    <w:rsid w:val="009E0521"/>
    <w:rsid w:val="009E217F"/>
    <w:rsid w:val="009E3630"/>
    <w:rsid w:val="009E3F57"/>
    <w:rsid w:val="009E741C"/>
    <w:rsid w:val="009F09FF"/>
    <w:rsid w:val="009F491C"/>
    <w:rsid w:val="00A0081A"/>
    <w:rsid w:val="00A00CEA"/>
    <w:rsid w:val="00A038A0"/>
    <w:rsid w:val="00A04FD7"/>
    <w:rsid w:val="00A06F9C"/>
    <w:rsid w:val="00A0773F"/>
    <w:rsid w:val="00A077DF"/>
    <w:rsid w:val="00A1376B"/>
    <w:rsid w:val="00A1510A"/>
    <w:rsid w:val="00A1560E"/>
    <w:rsid w:val="00A204EC"/>
    <w:rsid w:val="00A219F1"/>
    <w:rsid w:val="00A223F8"/>
    <w:rsid w:val="00A22F1F"/>
    <w:rsid w:val="00A2374E"/>
    <w:rsid w:val="00A266FA"/>
    <w:rsid w:val="00A27130"/>
    <w:rsid w:val="00A30307"/>
    <w:rsid w:val="00A3569E"/>
    <w:rsid w:val="00A36CDC"/>
    <w:rsid w:val="00A378CD"/>
    <w:rsid w:val="00A4083A"/>
    <w:rsid w:val="00A424AC"/>
    <w:rsid w:val="00A45151"/>
    <w:rsid w:val="00A466FE"/>
    <w:rsid w:val="00A47AE4"/>
    <w:rsid w:val="00A504C7"/>
    <w:rsid w:val="00A52007"/>
    <w:rsid w:val="00A60DA1"/>
    <w:rsid w:val="00A616DE"/>
    <w:rsid w:val="00A6241B"/>
    <w:rsid w:val="00A6328F"/>
    <w:rsid w:val="00A63817"/>
    <w:rsid w:val="00A63B59"/>
    <w:rsid w:val="00A658A1"/>
    <w:rsid w:val="00A674DE"/>
    <w:rsid w:val="00A6751C"/>
    <w:rsid w:val="00A70839"/>
    <w:rsid w:val="00A70B7A"/>
    <w:rsid w:val="00A71433"/>
    <w:rsid w:val="00A71AF6"/>
    <w:rsid w:val="00A7343C"/>
    <w:rsid w:val="00A762B6"/>
    <w:rsid w:val="00A811A9"/>
    <w:rsid w:val="00A81418"/>
    <w:rsid w:val="00A84D21"/>
    <w:rsid w:val="00A86E10"/>
    <w:rsid w:val="00A92CB9"/>
    <w:rsid w:val="00A97A3D"/>
    <w:rsid w:val="00AA0CD8"/>
    <w:rsid w:val="00AA57B2"/>
    <w:rsid w:val="00AA6CBC"/>
    <w:rsid w:val="00AA7ACE"/>
    <w:rsid w:val="00AA7DBD"/>
    <w:rsid w:val="00AB0B85"/>
    <w:rsid w:val="00AB5ECB"/>
    <w:rsid w:val="00AB7336"/>
    <w:rsid w:val="00AB7446"/>
    <w:rsid w:val="00AC2197"/>
    <w:rsid w:val="00AC373B"/>
    <w:rsid w:val="00AC4D2B"/>
    <w:rsid w:val="00AC6406"/>
    <w:rsid w:val="00AC7353"/>
    <w:rsid w:val="00AC73CD"/>
    <w:rsid w:val="00AD2F7F"/>
    <w:rsid w:val="00AD3A68"/>
    <w:rsid w:val="00AD6A66"/>
    <w:rsid w:val="00AE5F7C"/>
    <w:rsid w:val="00AE76F5"/>
    <w:rsid w:val="00AE7836"/>
    <w:rsid w:val="00AF092B"/>
    <w:rsid w:val="00AF29B8"/>
    <w:rsid w:val="00AF2B7D"/>
    <w:rsid w:val="00AF652F"/>
    <w:rsid w:val="00B010BA"/>
    <w:rsid w:val="00B03EF5"/>
    <w:rsid w:val="00B142CD"/>
    <w:rsid w:val="00B15B0A"/>
    <w:rsid w:val="00B15D6A"/>
    <w:rsid w:val="00B17DB3"/>
    <w:rsid w:val="00B21F8D"/>
    <w:rsid w:val="00B2444B"/>
    <w:rsid w:val="00B26442"/>
    <w:rsid w:val="00B300AE"/>
    <w:rsid w:val="00B3307C"/>
    <w:rsid w:val="00B33E8F"/>
    <w:rsid w:val="00B35092"/>
    <w:rsid w:val="00B405DE"/>
    <w:rsid w:val="00B40601"/>
    <w:rsid w:val="00B42579"/>
    <w:rsid w:val="00B44B67"/>
    <w:rsid w:val="00B45B2D"/>
    <w:rsid w:val="00B45E06"/>
    <w:rsid w:val="00B50A3E"/>
    <w:rsid w:val="00B52795"/>
    <w:rsid w:val="00B53D33"/>
    <w:rsid w:val="00B55E3F"/>
    <w:rsid w:val="00B55E95"/>
    <w:rsid w:val="00B569C0"/>
    <w:rsid w:val="00B56BB2"/>
    <w:rsid w:val="00B57735"/>
    <w:rsid w:val="00B646A7"/>
    <w:rsid w:val="00B649D6"/>
    <w:rsid w:val="00B72EE5"/>
    <w:rsid w:val="00B75647"/>
    <w:rsid w:val="00B76A78"/>
    <w:rsid w:val="00B77644"/>
    <w:rsid w:val="00B779B4"/>
    <w:rsid w:val="00B77C8D"/>
    <w:rsid w:val="00B80277"/>
    <w:rsid w:val="00B80478"/>
    <w:rsid w:val="00B805BD"/>
    <w:rsid w:val="00B808E0"/>
    <w:rsid w:val="00B80CF2"/>
    <w:rsid w:val="00B8369D"/>
    <w:rsid w:val="00B87DBE"/>
    <w:rsid w:val="00B913F9"/>
    <w:rsid w:val="00B91BE8"/>
    <w:rsid w:val="00B92EA6"/>
    <w:rsid w:val="00B94FB5"/>
    <w:rsid w:val="00B96685"/>
    <w:rsid w:val="00B97599"/>
    <w:rsid w:val="00BA028F"/>
    <w:rsid w:val="00BA3D54"/>
    <w:rsid w:val="00BA45A1"/>
    <w:rsid w:val="00BA5A5A"/>
    <w:rsid w:val="00BA5ED8"/>
    <w:rsid w:val="00BB41D7"/>
    <w:rsid w:val="00BB4E1C"/>
    <w:rsid w:val="00BB6853"/>
    <w:rsid w:val="00BC084C"/>
    <w:rsid w:val="00BC1A25"/>
    <w:rsid w:val="00BC2B15"/>
    <w:rsid w:val="00BC46B3"/>
    <w:rsid w:val="00BC54C9"/>
    <w:rsid w:val="00BC5FCF"/>
    <w:rsid w:val="00BC6467"/>
    <w:rsid w:val="00BD163D"/>
    <w:rsid w:val="00BD2117"/>
    <w:rsid w:val="00BD2A1F"/>
    <w:rsid w:val="00BD2BD3"/>
    <w:rsid w:val="00BD438D"/>
    <w:rsid w:val="00BD5F7C"/>
    <w:rsid w:val="00BD64E3"/>
    <w:rsid w:val="00BE445D"/>
    <w:rsid w:val="00BE6A66"/>
    <w:rsid w:val="00BE7B56"/>
    <w:rsid w:val="00BF244F"/>
    <w:rsid w:val="00BF2CB2"/>
    <w:rsid w:val="00BF40EE"/>
    <w:rsid w:val="00BF48CD"/>
    <w:rsid w:val="00BF4F21"/>
    <w:rsid w:val="00BF613C"/>
    <w:rsid w:val="00BF6AE9"/>
    <w:rsid w:val="00BF7A0F"/>
    <w:rsid w:val="00BF7D3A"/>
    <w:rsid w:val="00C01882"/>
    <w:rsid w:val="00C02BFE"/>
    <w:rsid w:val="00C05130"/>
    <w:rsid w:val="00C0582E"/>
    <w:rsid w:val="00C05D11"/>
    <w:rsid w:val="00C12317"/>
    <w:rsid w:val="00C13685"/>
    <w:rsid w:val="00C150A2"/>
    <w:rsid w:val="00C15E46"/>
    <w:rsid w:val="00C23827"/>
    <w:rsid w:val="00C265F5"/>
    <w:rsid w:val="00C275A9"/>
    <w:rsid w:val="00C27795"/>
    <w:rsid w:val="00C311D4"/>
    <w:rsid w:val="00C32ABE"/>
    <w:rsid w:val="00C37C5A"/>
    <w:rsid w:val="00C41B6B"/>
    <w:rsid w:val="00C420FA"/>
    <w:rsid w:val="00C4266D"/>
    <w:rsid w:val="00C443C3"/>
    <w:rsid w:val="00C45800"/>
    <w:rsid w:val="00C53988"/>
    <w:rsid w:val="00C560AB"/>
    <w:rsid w:val="00C567E1"/>
    <w:rsid w:val="00C6053F"/>
    <w:rsid w:val="00C63B75"/>
    <w:rsid w:val="00C6439C"/>
    <w:rsid w:val="00C712CD"/>
    <w:rsid w:val="00C7130E"/>
    <w:rsid w:val="00C7510E"/>
    <w:rsid w:val="00C755F8"/>
    <w:rsid w:val="00C75F7F"/>
    <w:rsid w:val="00C82E6F"/>
    <w:rsid w:val="00C950D4"/>
    <w:rsid w:val="00C96638"/>
    <w:rsid w:val="00C96C53"/>
    <w:rsid w:val="00CA1111"/>
    <w:rsid w:val="00CA1F78"/>
    <w:rsid w:val="00CA2DDD"/>
    <w:rsid w:val="00CA2F53"/>
    <w:rsid w:val="00CA3ACC"/>
    <w:rsid w:val="00CA42D7"/>
    <w:rsid w:val="00CA63C1"/>
    <w:rsid w:val="00CB04CD"/>
    <w:rsid w:val="00CB1F22"/>
    <w:rsid w:val="00CB2CAC"/>
    <w:rsid w:val="00CB2CF6"/>
    <w:rsid w:val="00CB5AD0"/>
    <w:rsid w:val="00CB7C20"/>
    <w:rsid w:val="00CC0F75"/>
    <w:rsid w:val="00CC2E66"/>
    <w:rsid w:val="00CC3147"/>
    <w:rsid w:val="00CC4557"/>
    <w:rsid w:val="00CD23F9"/>
    <w:rsid w:val="00CD53A6"/>
    <w:rsid w:val="00CD6F35"/>
    <w:rsid w:val="00CE0223"/>
    <w:rsid w:val="00CE179F"/>
    <w:rsid w:val="00CE311F"/>
    <w:rsid w:val="00CE3A4B"/>
    <w:rsid w:val="00CE5286"/>
    <w:rsid w:val="00CE57BF"/>
    <w:rsid w:val="00CE5CE1"/>
    <w:rsid w:val="00CE7FE7"/>
    <w:rsid w:val="00CF05D5"/>
    <w:rsid w:val="00CF0AB7"/>
    <w:rsid w:val="00CF0BB8"/>
    <w:rsid w:val="00CF4008"/>
    <w:rsid w:val="00CF67A9"/>
    <w:rsid w:val="00CF7C17"/>
    <w:rsid w:val="00CF7E1B"/>
    <w:rsid w:val="00D01E18"/>
    <w:rsid w:val="00D05D50"/>
    <w:rsid w:val="00D069A3"/>
    <w:rsid w:val="00D06B33"/>
    <w:rsid w:val="00D129E8"/>
    <w:rsid w:val="00D13304"/>
    <w:rsid w:val="00D13789"/>
    <w:rsid w:val="00D14393"/>
    <w:rsid w:val="00D14C3D"/>
    <w:rsid w:val="00D14D8E"/>
    <w:rsid w:val="00D16316"/>
    <w:rsid w:val="00D20390"/>
    <w:rsid w:val="00D2053B"/>
    <w:rsid w:val="00D20ECF"/>
    <w:rsid w:val="00D22DF2"/>
    <w:rsid w:val="00D25A77"/>
    <w:rsid w:val="00D261C4"/>
    <w:rsid w:val="00D26C6F"/>
    <w:rsid w:val="00D3365A"/>
    <w:rsid w:val="00D34CFA"/>
    <w:rsid w:val="00D359F2"/>
    <w:rsid w:val="00D372C8"/>
    <w:rsid w:val="00D4109B"/>
    <w:rsid w:val="00D42559"/>
    <w:rsid w:val="00D438E9"/>
    <w:rsid w:val="00D43ECB"/>
    <w:rsid w:val="00D4553A"/>
    <w:rsid w:val="00D47910"/>
    <w:rsid w:val="00D501AC"/>
    <w:rsid w:val="00D51C7A"/>
    <w:rsid w:val="00D523A2"/>
    <w:rsid w:val="00D608AD"/>
    <w:rsid w:val="00D65473"/>
    <w:rsid w:val="00D67282"/>
    <w:rsid w:val="00D67B49"/>
    <w:rsid w:val="00D719DE"/>
    <w:rsid w:val="00D80D53"/>
    <w:rsid w:val="00D80E23"/>
    <w:rsid w:val="00D82708"/>
    <w:rsid w:val="00D82FAE"/>
    <w:rsid w:val="00D83332"/>
    <w:rsid w:val="00D85915"/>
    <w:rsid w:val="00D9574F"/>
    <w:rsid w:val="00DA0ED7"/>
    <w:rsid w:val="00DA10EA"/>
    <w:rsid w:val="00DA53BE"/>
    <w:rsid w:val="00DA6F27"/>
    <w:rsid w:val="00DA7AB7"/>
    <w:rsid w:val="00DB2F3F"/>
    <w:rsid w:val="00DB3A7C"/>
    <w:rsid w:val="00DB3AB1"/>
    <w:rsid w:val="00DB40BB"/>
    <w:rsid w:val="00DB4FB2"/>
    <w:rsid w:val="00DB62B4"/>
    <w:rsid w:val="00DB712B"/>
    <w:rsid w:val="00DC17DB"/>
    <w:rsid w:val="00DC214C"/>
    <w:rsid w:val="00DC3BA8"/>
    <w:rsid w:val="00DC5A8B"/>
    <w:rsid w:val="00DC5D61"/>
    <w:rsid w:val="00DC5F37"/>
    <w:rsid w:val="00DC75E7"/>
    <w:rsid w:val="00DD0B90"/>
    <w:rsid w:val="00DD4C60"/>
    <w:rsid w:val="00DE124E"/>
    <w:rsid w:val="00DE23D5"/>
    <w:rsid w:val="00DE25E7"/>
    <w:rsid w:val="00DE58CC"/>
    <w:rsid w:val="00DF3815"/>
    <w:rsid w:val="00DF3DB5"/>
    <w:rsid w:val="00DF4064"/>
    <w:rsid w:val="00DF471E"/>
    <w:rsid w:val="00DF58C3"/>
    <w:rsid w:val="00DF635D"/>
    <w:rsid w:val="00E07CBE"/>
    <w:rsid w:val="00E07F0E"/>
    <w:rsid w:val="00E105BA"/>
    <w:rsid w:val="00E10991"/>
    <w:rsid w:val="00E1609E"/>
    <w:rsid w:val="00E162D4"/>
    <w:rsid w:val="00E16372"/>
    <w:rsid w:val="00E1705F"/>
    <w:rsid w:val="00E209CC"/>
    <w:rsid w:val="00E2146C"/>
    <w:rsid w:val="00E23F73"/>
    <w:rsid w:val="00E242E6"/>
    <w:rsid w:val="00E250A4"/>
    <w:rsid w:val="00E255CC"/>
    <w:rsid w:val="00E26B8F"/>
    <w:rsid w:val="00E31AA3"/>
    <w:rsid w:val="00E334A1"/>
    <w:rsid w:val="00E365FC"/>
    <w:rsid w:val="00E414AA"/>
    <w:rsid w:val="00E43D2F"/>
    <w:rsid w:val="00E53290"/>
    <w:rsid w:val="00E532A7"/>
    <w:rsid w:val="00E535F8"/>
    <w:rsid w:val="00E548BB"/>
    <w:rsid w:val="00E56B10"/>
    <w:rsid w:val="00E603F8"/>
    <w:rsid w:val="00E609D3"/>
    <w:rsid w:val="00E61E15"/>
    <w:rsid w:val="00E64E02"/>
    <w:rsid w:val="00E65210"/>
    <w:rsid w:val="00E66414"/>
    <w:rsid w:val="00E67750"/>
    <w:rsid w:val="00E705A1"/>
    <w:rsid w:val="00E712DA"/>
    <w:rsid w:val="00E86468"/>
    <w:rsid w:val="00E86A8F"/>
    <w:rsid w:val="00E913F9"/>
    <w:rsid w:val="00E91B05"/>
    <w:rsid w:val="00E9291E"/>
    <w:rsid w:val="00E92A09"/>
    <w:rsid w:val="00E94A41"/>
    <w:rsid w:val="00E956F2"/>
    <w:rsid w:val="00E97053"/>
    <w:rsid w:val="00E97620"/>
    <w:rsid w:val="00EA0E4D"/>
    <w:rsid w:val="00EA2347"/>
    <w:rsid w:val="00EA3BA3"/>
    <w:rsid w:val="00EA62D8"/>
    <w:rsid w:val="00EA67AE"/>
    <w:rsid w:val="00EA6B56"/>
    <w:rsid w:val="00EB32C5"/>
    <w:rsid w:val="00EB4CE3"/>
    <w:rsid w:val="00EB4FEB"/>
    <w:rsid w:val="00EB54E3"/>
    <w:rsid w:val="00EB5EFB"/>
    <w:rsid w:val="00EB61FC"/>
    <w:rsid w:val="00EB633C"/>
    <w:rsid w:val="00EC0B2D"/>
    <w:rsid w:val="00EC1EAF"/>
    <w:rsid w:val="00EC6F48"/>
    <w:rsid w:val="00ED0D14"/>
    <w:rsid w:val="00ED37A0"/>
    <w:rsid w:val="00ED3E4A"/>
    <w:rsid w:val="00EE10B0"/>
    <w:rsid w:val="00EE227D"/>
    <w:rsid w:val="00EE31D8"/>
    <w:rsid w:val="00EE335C"/>
    <w:rsid w:val="00EE3839"/>
    <w:rsid w:val="00EE4207"/>
    <w:rsid w:val="00EE4CCA"/>
    <w:rsid w:val="00EF0853"/>
    <w:rsid w:val="00EF45D7"/>
    <w:rsid w:val="00EF4ED6"/>
    <w:rsid w:val="00EF4FA2"/>
    <w:rsid w:val="00F000AE"/>
    <w:rsid w:val="00F008D1"/>
    <w:rsid w:val="00F02430"/>
    <w:rsid w:val="00F05B2C"/>
    <w:rsid w:val="00F07E97"/>
    <w:rsid w:val="00F102DA"/>
    <w:rsid w:val="00F11019"/>
    <w:rsid w:val="00F139DA"/>
    <w:rsid w:val="00F151DE"/>
    <w:rsid w:val="00F17AB9"/>
    <w:rsid w:val="00F22929"/>
    <w:rsid w:val="00F22960"/>
    <w:rsid w:val="00F23A2C"/>
    <w:rsid w:val="00F23F86"/>
    <w:rsid w:val="00F278DB"/>
    <w:rsid w:val="00F30425"/>
    <w:rsid w:val="00F3110F"/>
    <w:rsid w:val="00F33030"/>
    <w:rsid w:val="00F33B05"/>
    <w:rsid w:val="00F3416B"/>
    <w:rsid w:val="00F36E6C"/>
    <w:rsid w:val="00F43687"/>
    <w:rsid w:val="00F50005"/>
    <w:rsid w:val="00F50F68"/>
    <w:rsid w:val="00F51760"/>
    <w:rsid w:val="00F56CBC"/>
    <w:rsid w:val="00F60329"/>
    <w:rsid w:val="00F61257"/>
    <w:rsid w:val="00F6286F"/>
    <w:rsid w:val="00F62BBA"/>
    <w:rsid w:val="00F6353C"/>
    <w:rsid w:val="00F6425C"/>
    <w:rsid w:val="00F649A1"/>
    <w:rsid w:val="00F650CE"/>
    <w:rsid w:val="00F65571"/>
    <w:rsid w:val="00F67D93"/>
    <w:rsid w:val="00F74B85"/>
    <w:rsid w:val="00F75BCF"/>
    <w:rsid w:val="00F760FB"/>
    <w:rsid w:val="00F81CD9"/>
    <w:rsid w:val="00F85D85"/>
    <w:rsid w:val="00F86007"/>
    <w:rsid w:val="00F86D6B"/>
    <w:rsid w:val="00F90662"/>
    <w:rsid w:val="00F911C9"/>
    <w:rsid w:val="00F91A54"/>
    <w:rsid w:val="00F91BC1"/>
    <w:rsid w:val="00F922C6"/>
    <w:rsid w:val="00F92BD5"/>
    <w:rsid w:val="00F93628"/>
    <w:rsid w:val="00F93B75"/>
    <w:rsid w:val="00F95D53"/>
    <w:rsid w:val="00F96114"/>
    <w:rsid w:val="00F96DC2"/>
    <w:rsid w:val="00FA1AE8"/>
    <w:rsid w:val="00FA294E"/>
    <w:rsid w:val="00FA4866"/>
    <w:rsid w:val="00FA707D"/>
    <w:rsid w:val="00FA731A"/>
    <w:rsid w:val="00FB0ED2"/>
    <w:rsid w:val="00FB3C91"/>
    <w:rsid w:val="00FB3CEB"/>
    <w:rsid w:val="00FB4250"/>
    <w:rsid w:val="00FB648A"/>
    <w:rsid w:val="00FB7E48"/>
    <w:rsid w:val="00FC0D77"/>
    <w:rsid w:val="00FD0119"/>
    <w:rsid w:val="00FD181D"/>
    <w:rsid w:val="00FD2D91"/>
    <w:rsid w:val="00FD33CC"/>
    <w:rsid w:val="00FE1EC1"/>
    <w:rsid w:val="00FE214D"/>
    <w:rsid w:val="00FE4218"/>
    <w:rsid w:val="00FE6E7E"/>
    <w:rsid w:val="00FF1D79"/>
    <w:rsid w:val="00FF262F"/>
    <w:rsid w:val="00FF371F"/>
    <w:rsid w:val="00FF5B28"/>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1808CC1C-A19A-4427-B3E9-E6B21597F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5">
    <w:name w:val="heading 5"/>
    <w:basedOn w:val="Normal"/>
    <w:link w:val="Ttulo5Car"/>
    <w:uiPriority w:val="9"/>
    <w:qFormat/>
    <w:rsid w:val="00AC2197"/>
    <w:pPr>
      <w:spacing w:before="100" w:beforeAutospacing="1" w:after="100" w:afterAutospacing="1"/>
      <w:outlineLvl w:val="4"/>
    </w:pPr>
    <w:rPr>
      <w:b/>
      <w:bCs/>
      <w:sz w:val="20"/>
      <w:szCs w:val="20"/>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2273AC"/>
    <w:pPr>
      <w:tabs>
        <w:tab w:val="center" w:pos="4252"/>
        <w:tab w:val="right" w:pos="8504"/>
      </w:tabs>
    </w:pPr>
  </w:style>
  <w:style w:type="paragraph" w:styleId="Piedepgina">
    <w:name w:val="footer"/>
    <w:basedOn w:val="Normal"/>
    <w:link w:val="PiedepginaCar"/>
    <w:uiPriority w:val="99"/>
    <w:rsid w:val="002273AC"/>
    <w:pPr>
      <w:tabs>
        <w:tab w:val="center" w:pos="4252"/>
        <w:tab w:val="right" w:pos="8504"/>
      </w:tabs>
    </w:pPr>
    <w:rPr>
      <w:lang w:eastAsia="x-none"/>
    </w:rPr>
  </w:style>
  <w:style w:type="character" w:styleId="Hipervnculo">
    <w:name w:val="Hyperlink"/>
    <w:uiPriority w:val="99"/>
    <w:unhideWhenUsed/>
    <w:rsid w:val="00C02CCE"/>
    <w:rPr>
      <w:color w:val="0000FF"/>
      <w:u w:val="single"/>
    </w:rPr>
  </w:style>
  <w:style w:type="character" w:customStyle="1" w:styleId="PiedepginaCar">
    <w:name w:val="Pie de página Car"/>
    <w:link w:val="Piedepgina"/>
    <w:uiPriority w:val="99"/>
    <w:rsid w:val="006D3BD7"/>
    <w:rPr>
      <w:sz w:val="24"/>
      <w:szCs w:val="24"/>
      <w:lang w:val="es-ES"/>
    </w:rPr>
  </w:style>
  <w:style w:type="character" w:styleId="Refdecomentario">
    <w:name w:val="annotation reference"/>
    <w:uiPriority w:val="99"/>
    <w:rsid w:val="00DB4FB2"/>
    <w:rPr>
      <w:sz w:val="16"/>
      <w:szCs w:val="16"/>
    </w:rPr>
  </w:style>
  <w:style w:type="paragraph" w:styleId="Textocomentario">
    <w:name w:val="annotation text"/>
    <w:basedOn w:val="Normal"/>
    <w:link w:val="TextocomentarioCar"/>
    <w:rsid w:val="00DB4FB2"/>
    <w:rPr>
      <w:sz w:val="20"/>
      <w:szCs w:val="20"/>
    </w:rPr>
  </w:style>
  <w:style w:type="character" w:customStyle="1" w:styleId="TextocomentarioCar">
    <w:name w:val="Texto comentario Car"/>
    <w:link w:val="Textocomentario"/>
    <w:rsid w:val="00DB4FB2"/>
    <w:rPr>
      <w:lang w:val="es-ES" w:eastAsia="es-ES"/>
    </w:rPr>
  </w:style>
  <w:style w:type="paragraph" w:styleId="Asuntodelcomentario">
    <w:name w:val="annotation subject"/>
    <w:basedOn w:val="Textocomentario"/>
    <w:next w:val="Textocomentario"/>
    <w:link w:val="AsuntodelcomentarioCar"/>
    <w:rsid w:val="00DB4FB2"/>
    <w:rPr>
      <w:b/>
      <w:bCs/>
    </w:rPr>
  </w:style>
  <w:style w:type="character" w:customStyle="1" w:styleId="AsuntodelcomentarioCar">
    <w:name w:val="Asunto del comentario Car"/>
    <w:link w:val="Asuntodelcomentario"/>
    <w:rsid w:val="00DB4FB2"/>
    <w:rPr>
      <w:b/>
      <w:bCs/>
      <w:lang w:val="es-ES" w:eastAsia="es-ES"/>
    </w:rPr>
  </w:style>
  <w:style w:type="paragraph" w:styleId="Textodeglobo">
    <w:name w:val="Balloon Text"/>
    <w:basedOn w:val="Normal"/>
    <w:link w:val="TextodegloboCar"/>
    <w:rsid w:val="00DB4FB2"/>
    <w:rPr>
      <w:rFonts w:ascii="Tahoma" w:hAnsi="Tahoma" w:cs="Tahoma"/>
      <w:sz w:val="16"/>
      <w:szCs w:val="16"/>
    </w:rPr>
  </w:style>
  <w:style w:type="character" w:customStyle="1" w:styleId="TextodegloboCar">
    <w:name w:val="Texto de globo Car"/>
    <w:link w:val="Textodeglobo"/>
    <w:rsid w:val="00DB4FB2"/>
    <w:rPr>
      <w:rFonts w:ascii="Tahoma" w:hAnsi="Tahoma" w:cs="Tahoma"/>
      <w:sz w:val="16"/>
      <w:szCs w:val="16"/>
      <w:lang w:val="es-ES" w:eastAsia="es-ES"/>
    </w:rPr>
  </w:style>
  <w:style w:type="paragraph" w:styleId="Prrafodelista">
    <w:name w:val="List Paragraph"/>
    <w:basedOn w:val="Normal"/>
    <w:uiPriority w:val="34"/>
    <w:qFormat/>
    <w:rsid w:val="00F61257"/>
    <w:pPr>
      <w:ind w:left="708"/>
    </w:pPr>
  </w:style>
  <w:style w:type="paragraph" w:styleId="NormalWeb">
    <w:name w:val="Normal (Web)"/>
    <w:basedOn w:val="Normal"/>
    <w:uiPriority w:val="99"/>
    <w:unhideWhenUsed/>
    <w:rsid w:val="00F61257"/>
    <w:rPr>
      <w:rFonts w:eastAsia="Calibri"/>
      <w:lang w:val="es-CO" w:eastAsia="es-CO"/>
    </w:rPr>
  </w:style>
  <w:style w:type="character" w:customStyle="1" w:styleId="EncabezadoCar">
    <w:name w:val="Encabezado Car"/>
    <w:link w:val="Encabezado"/>
    <w:rsid w:val="00D13789"/>
    <w:rPr>
      <w:sz w:val="24"/>
      <w:szCs w:val="24"/>
      <w:lang w:val="es-ES" w:eastAsia="es-ES"/>
    </w:rPr>
  </w:style>
  <w:style w:type="paragraph" w:styleId="Firma">
    <w:name w:val="Signature"/>
    <w:basedOn w:val="Normal"/>
    <w:link w:val="FirmaCar"/>
    <w:unhideWhenUsed/>
    <w:rsid w:val="00BC2B15"/>
    <w:pPr>
      <w:ind w:left="4252"/>
    </w:pPr>
    <w:rPr>
      <w:sz w:val="20"/>
      <w:szCs w:val="20"/>
    </w:rPr>
  </w:style>
  <w:style w:type="character" w:customStyle="1" w:styleId="FirmaCar">
    <w:name w:val="Firma Car"/>
    <w:link w:val="Firma"/>
    <w:rsid w:val="00BC2B15"/>
    <w:rPr>
      <w:lang w:val="es-ES" w:eastAsia="es-ES"/>
    </w:rPr>
  </w:style>
  <w:style w:type="paragraph" w:customStyle="1" w:styleId="Default">
    <w:name w:val="Default"/>
    <w:rsid w:val="00B3307C"/>
    <w:pPr>
      <w:autoSpaceDE w:val="0"/>
      <w:autoSpaceDN w:val="0"/>
      <w:adjustRightInd w:val="0"/>
    </w:pPr>
    <w:rPr>
      <w:rFonts w:ascii="Arial" w:hAnsi="Arial" w:cs="Arial"/>
      <w:color w:val="000000"/>
      <w:sz w:val="24"/>
      <w:szCs w:val="24"/>
      <w:lang w:val="es-CO" w:eastAsia="es-CO"/>
    </w:rPr>
  </w:style>
  <w:style w:type="paragraph" w:styleId="Sangradetextonormal">
    <w:name w:val="Body Text Indent"/>
    <w:basedOn w:val="Normal"/>
    <w:link w:val="SangradetextonormalCar"/>
    <w:uiPriority w:val="99"/>
    <w:unhideWhenUsed/>
    <w:rsid w:val="003D29C7"/>
    <w:pPr>
      <w:spacing w:before="100" w:beforeAutospacing="1" w:after="100" w:afterAutospacing="1"/>
    </w:pPr>
    <w:rPr>
      <w:lang w:val="es-CO" w:eastAsia="es-CO"/>
    </w:rPr>
  </w:style>
  <w:style w:type="character" w:customStyle="1" w:styleId="SangradetextonormalCar">
    <w:name w:val="Sangría de texto normal Car"/>
    <w:link w:val="Sangradetextonormal"/>
    <w:uiPriority w:val="99"/>
    <w:rsid w:val="003D29C7"/>
    <w:rPr>
      <w:sz w:val="24"/>
      <w:szCs w:val="24"/>
    </w:rPr>
  </w:style>
  <w:style w:type="paragraph" w:customStyle="1" w:styleId="nospacing">
    <w:name w:val="nospacing"/>
    <w:basedOn w:val="Normal"/>
    <w:rsid w:val="00AA0CD8"/>
    <w:pPr>
      <w:spacing w:before="100" w:beforeAutospacing="1" w:after="100" w:afterAutospacing="1"/>
    </w:pPr>
    <w:rPr>
      <w:lang w:val="es-CO" w:eastAsia="es-CO"/>
    </w:rPr>
  </w:style>
  <w:style w:type="character" w:styleId="Refdenotaalpie">
    <w:name w:val="footnote reference"/>
    <w:aliases w:val="Texto de nota al pie,referencia nota al pie,Footnote symbol,Footnote,FC,BVI fnr,Ref. de nota al pie2,Nota de pie,Ref,de nota al pie,Pie de pagina,Texto nota al pie,Appel note de bas de p"/>
    <w:uiPriority w:val="99"/>
    <w:unhideWhenUsed/>
    <w:rsid w:val="00AA0CD8"/>
  </w:style>
  <w:style w:type="character" w:styleId="nfasis">
    <w:name w:val="Emphasis"/>
    <w:qFormat/>
    <w:rsid w:val="005562ED"/>
    <w:rPr>
      <w:i/>
      <w:iCs/>
    </w:rPr>
  </w:style>
  <w:style w:type="paragraph" w:styleId="Textonotapie">
    <w:name w:val="footnote text"/>
    <w:aliases w:val="Footnote Text Char Char Char Char Char,Footnote Text Char Char Char Char,Footnote reference,FA Fu,texto de nota al pie,Footnote Text Char Char Char,Footnote Text Char,Footnote Text Char Char Char Char Char Char Char Cha"/>
    <w:basedOn w:val="Normal"/>
    <w:link w:val="TextonotapieCar"/>
    <w:uiPriority w:val="99"/>
    <w:unhideWhenUsed/>
    <w:rsid w:val="00EB32C5"/>
    <w:pPr>
      <w:spacing w:after="200" w:line="276" w:lineRule="auto"/>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texto de nota al pie Car,Footnote Text Char Char Char Car,Footnote Text Char Car"/>
    <w:link w:val="Textonotapie"/>
    <w:uiPriority w:val="99"/>
    <w:rsid w:val="00EB32C5"/>
    <w:rPr>
      <w:rFonts w:ascii="Calibri" w:eastAsia="Calibri" w:hAnsi="Calibri"/>
      <w:lang w:eastAsia="en-US"/>
    </w:rPr>
  </w:style>
  <w:style w:type="paragraph" w:styleId="Sinespaciado">
    <w:name w:val="No Spacing"/>
    <w:link w:val="SinespaciadoCar"/>
    <w:qFormat/>
    <w:rsid w:val="00A71AF6"/>
    <w:rPr>
      <w:rFonts w:ascii="PMingLiU" w:eastAsia="MS Mincho" w:hAnsi="PMingLiU"/>
      <w:sz w:val="22"/>
      <w:szCs w:val="22"/>
      <w:lang w:val="es-ES_tradnl"/>
    </w:rPr>
  </w:style>
  <w:style w:type="character" w:customStyle="1" w:styleId="SinespaciadoCar">
    <w:name w:val="Sin espaciado Car"/>
    <w:link w:val="Sinespaciado"/>
    <w:rsid w:val="00A71AF6"/>
    <w:rPr>
      <w:rFonts w:ascii="PMingLiU" w:eastAsia="MS Mincho" w:hAnsi="PMingLiU"/>
      <w:sz w:val="22"/>
      <w:szCs w:val="22"/>
      <w:lang w:val="es-ES_tradnl" w:eastAsia="es-ES"/>
    </w:rPr>
  </w:style>
  <w:style w:type="character" w:customStyle="1" w:styleId="apple-converted-space">
    <w:name w:val="apple-converted-space"/>
    <w:rsid w:val="003273CE"/>
  </w:style>
  <w:style w:type="character" w:styleId="Textoennegrita">
    <w:name w:val="Strong"/>
    <w:uiPriority w:val="22"/>
    <w:qFormat/>
    <w:rsid w:val="00317E66"/>
    <w:rPr>
      <w:b/>
      <w:bCs/>
    </w:rPr>
  </w:style>
  <w:style w:type="paragraph" w:styleId="Revisin">
    <w:name w:val="Revision"/>
    <w:hidden/>
    <w:uiPriority w:val="99"/>
    <w:semiHidden/>
    <w:rsid w:val="00C7510E"/>
    <w:rPr>
      <w:sz w:val="24"/>
      <w:szCs w:val="24"/>
    </w:rPr>
  </w:style>
  <w:style w:type="paragraph" w:styleId="Textoindependiente">
    <w:name w:val="Body Text"/>
    <w:basedOn w:val="Normal"/>
    <w:link w:val="TextoindependienteCar"/>
    <w:rsid w:val="00AB7336"/>
    <w:pPr>
      <w:spacing w:after="120"/>
    </w:pPr>
  </w:style>
  <w:style w:type="character" w:customStyle="1" w:styleId="TextoindependienteCar">
    <w:name w:val="Texto independiente Car"/>
    <w:link w:val="Textoindependiente"/>
    <w:rsid w:val="00AB7336"/>
    <w:rPr>
      <w:sz w:val="24"/>
      <w:szCs w:val="24"/>
      <w:lang w:val="es-ES" w:eastAsia="es-ES"/>
    </w:rPr>
  </w:style>
  <w:style w:type="paragraph" w:customStyle="1" w:styleId="margender0punto5">
    <w:name w:val="margen_der_0punto5"/>
    <w:basedOn w:val="Normal"/>
    <w:rsid w:val="0097312B"/>
    <w:pPr>
      <w:spacing w:before="100" w:beforeAutospacing="1" w:after="100" w:afterAutospacing="1"/>
    </w:pPr>
    <w:rPr>
      <w:lang w:val="es-CO" w:eastAsia="es-CO"/>
    </w:rPr>
  </w:style>
  <w:style w:type="character" w:customStyle="1" w:styleId="letra14pt">
    <w:name w:val="letra14pt"/>
    <w:rsid w:val="0097312B"/>
  </w:style>
  <w:style w:type="character" w:customStyle="1" w:styleId="iaj">
    <w:name w:val="i_aj"/>
    <w:rsid w:val="0097312B"/>
  </w:style>
  <w:style w:type="paragraph" w:styleId="Textonotaalfinal">
    <w:name w:val="endnote text"/>
    <w:basedOn w:val="Normal"/>
    <w:link w:val="TextonotaalfinalCar"/>
    <w:rsid w:val="009224C4"/>
    <w:rPr>
      <w:sz w:val="20"/>
      <w:szCs w:val="20"/>
    </w:rPr>
  </w:style>
  <w:style w:type="character" w:customStyle="1" w:styleId="TextonotaalfinalCar">
    <w:name w:val="Texto nota al final Car"/>
    <w:link w:val="Textonotaalfinal"/>
    <w:rsid w:val="009224C4"/>
    <w:rPr>
      <w:lang w:val="es-ES" w:eastAsia="es-ES"/>
    </w:rPr>
  </w:style>
  <w:style w:type="character" w:styleId="Refdenotaalfinal">
    <w:name w:val="endnote reference"/>
    <w:rsid w:val="009224C4"/>
    <w:rPr>
      <w:vertAlign w:val="superscript"/>
    </w:rPr>
  </w:style>
  <w:style w:type="paragraph" w:customStyle="1" w:styleId="fuentedeprrafopredet">
    <w:name w:val="fuentedeprrafopredet"/>
    <w:basedOn w:val="Normal"/>
    <w:rsid w:val="003C2E4C"/>
    <w:pPr>
      <w:spacing w:before="100" w:beforeAutospacing="1" w:after="100" w:afterAutospacing="1"/>
    </w:pPr>
    <w:rPr>
      <w:lang w:val="es-CO" w:eastAsia="es-CO"/>
    </w:rPr>
  </w:style>
  <w:style w:type="character" w:customStyle="1" w:styleId="Ttulo5Car">
    <w:name w:val="Título 5 Car"/>
    <w:link w:val="Ttulo5"/>
    <w:uiPriority w:val="9"/>
    <w:rsid w:val="00AC21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80653">
      <w:bodyDiv w:val="1"/>
      <w:marLeft w:val="0"/>
      <w:marRight w:val="0"/>
      <w:marTop w:val="0"/>
      <w:marBottom w:val="0"/>
      <w:divBdr>
        <w:top w:val="none" w:sz="0" w:space="0" w:color="auto"/>
        <w:left w:val="none" w:sz="0" w:space="0" w:color="auto"/>
        <w:bottom w:val="none" w:sz="0" w:space="0" w:color="auto"/>
        <w:right w:val="none" w:sz="0" w:space="0" w:color="auto"/>
      </w:divBdr>
    </w:div>
    <w:div w:id="66617111">
      <w:bodyDiv w:val="1"/>
      <w:marLeft w:val="0"/>
      <w:marRight w:val="0"/>
      <w:marTop w:val="0"/>
      <w:marBottom w:val="0"/>
      <w:divBdr>
        <w:top w:val="none" w:sz="0" w:space="0" w:color="auto"/>
        <w:left w:val="none" w:sz="0" w:space="0" w:color="auto"/>
        <w:bottom w:val="none" w:sz="0" w:space="0" w:color="auto"/>
        <w:right w:val="none" w:sz="0" w:space="0" w:color="auto"/>
      </w:divBdr>
    </w:div>
    <w:div w:id="189152276">
      <w:bodyDiv w:val="1"/>
      <w:marLeft w:val="0"/>
      <w:marRight w:val="0"/>
      <w:marTop w:val="0"/>
      <w:marBottom w:val="0"/>
      <w:divBdr>
        <w:top w:val="none" w:sz="0" w:space="0" w:color="auto"/>
        <w:left w:val="none" w:sz="0" w:space="0" w:color="auto"/>
        <w:bottom w:val="none" w:sz="0" w:space="0" w:color="auto"/>
        <w:right w:val="none" w:sz="0" w:space="0" w:color="auto"/>
      </w:divBdr>
    </w:div>
    <w:div w:id="192380499">
      <w:bodyDiv w:val="1"/>
      <w:marLeft w:val="0"/>
      <w:marRight w:val="0"/>
      <w:marTop w:val="0"/>
      <w:marBottom w:val="0"/>
      <w:divBdr>
        <w:top w:val="none" w:sz="0" w:space="0" w:color="auto"/>
        <w:left w:val="none" w:sz="0" w:space="0" w:color="auto"/>
        <w:bottom w:val="none" w:sz="0" w:space="0" w:color="auto"/>
        <w:right w:val="none" w:sz="0" w:space="0" w:color="auto"/>
      </w:divBdr>
    </w:div>
    <w:div w:id="278418944">
      <w:bodyDiv w:val="1"/>
      <w:marLeft w:val="0"/>
      <w:marRight w:val="0"/>
      <w:marTop w:val="0"/>
      <w:marBottom w:val="0"/>
      <w:divBdr>
        <w:top w:val="none" w:sz="0" w:space="0" w:color="auto"/>
        <w:left w:val="none" w:sz="0" w:space="0" w:color="auto"/>
        <w:bottom w:val="none" w:sz="0" w:space="0" w:color="auto"/>
        <w:right w:val="none" w:sz="0" w:space="0" w:color="auto"/>
      </w:divBdr>
    </w:div>
    <w:div w:id="286736797">
      <w:bodyDiv w:val="1"/>
      <w:marLeft w:val="0"/>
      <w:marRight w:val="0"/>
      <w:marTop w:val="0"/>
      <w:marBottom w:val="0"/>
      <w:divBdr>
        <w:top w:val="none" w:sz="0" w:space="0" w:color="auto"/>
        <w:left w:val="none" w:sz="0" w:space="0" w:color="auto"/>
        <w:bottom w:val="none" w:sz="0" w:space="0" w:color="auto"/>
        <w:right w:val="none" w:sz="0" w:space="0" w:color="auto"/>
      </w:divBdr>
    </w:div>
    <w:div w:id="305285087">
      <w:bodyDiv w:val="1"/>
      <w:marLeft w:val="0"/>
      <w:marRight w:val="0"/>
      <w:marTop w:val="0"/>
      <w:marBottom w:val="0"/>
      <w:divBdr>
        <w:top w:val="none" w:sz="0" w:space="0" w:color="auto"/>
        <w:left w:val="none" w:sz="0" w:space="0" w:color="auto"/>
        <w:bottom w:val="none" w:sz="0" w:space="0" w:color="auto"/>
        <w:right w:val="none" w:sz="0" w:space="0" w:color="auto"/>
      </w:divBdr>
      <w:divsChild>
        <w:div w:id="782967781">
          <w:marLeft w:val="0"/>
          <w:marRight w:val="0"/>
          <w:marTop w:val="0"/>
          <w:marBottom w:val="0"/>
          <w:divBdr>
            <w:top w:val="none" w:sz="0" w:space="0" w:color="auto"/>
            <w:left w:val="none" w:sz="0" w:space="0" w:color="auto"/>
            <w:bottom w:val="none" w:sz="0" w:space="0" w:color="auto"/>
            <w:right w:val="none" w:sz="0" w:space="0" w:color="auto"/>
          </w:divBdr>
        </w:div>
      </w:divsChild>
    </w:div>
    <w:div w:id="316418712">
      <w:bodyDiv w:val="1"/>
      <w:marLeft w:val="0"/>
      <w:marRight w:val="0"/>
      <w:marTop w:val="0"/>
      <w:marBottom w:val="0"/>
      <w:divBdr>
        <w:top w:val="none" w:sz="0" w:space="0" w:color="auto"/>
        <w:left w:val="none" w:sz="0" w:space="0" w:color="auto"/>
        <w:bottom w:val="none" w:sz="0" w:space="0" w:color="auto"/>
        <w:right w:val="none" w:sz="0" w:space="0" w:color="auto"/>
      </w:divBdr>
    </w:div>
    <w:div w:id="317348747">
      <w:bodyDiv w:val="1"/>
      <w:marLeft w:val="0"/>
      <w:marRight w:val="0"/>
      <w:marTop w:val="0"/>
      <w:marBottom w:val="0"/>
      <w:divBdr>
        <w:top w:val="none" w:sz="0" w:space="0" w:color="auto"/>
        <w:left w:val="none" w:sz="0" w:space="0" w:color="auto"/>
        <w:bottom w:val="none" w:sz="0" w:space="0" w:color="auto"/>
        <w:right w:val="none" w:sz="0" w:space="0" w:color="auto"/>
      </w:divBdr>
    </w:div>
    <w:div w:id="450511622">
      <w:bodyDiv w:val="1"/>
      <w:marLeft w:val="0"/>
      <w:marRight w:val="0"/>
      <w:marTop w:val="0"/>
      <w:marBottom w:val="0"/>
      <w:divBdr>
        <w:top w:val="none" w:sz="0" w:space="0" w:color="auto"/>
        <w:left w:val="none" w:sz="0" w:space="0" w:color="auto"/>
        <w:bottom w:val="none" w:sz="0" w:space="0" w:color="auto"/>
        <w:right w:val="none" w:sz="0" w:space="0" w:color="auto"/>
      </w:divBdr>
      <w:divsChild>
        <w:div w:id="1061758926">
          <w:marLeft w:val="0"/>
          <w:marRight w:val="0"/>
          <w:marTop w:val="0"/>
          <w:marBottom w:val="0"/>
          <w:divBdr>
            <w:top w:val="none" w:sz="0" w:space="0" w:color="auto"/>
            <w:left w:val="none" w:sz="0" w:space="0" w:color="auto"/>
            <w:bottom w:val="none" w:sz="0" w:space="0" w:color="auto"/>
            <w:right w:val="none" w:sz="0" w:space="0" w:color="auto"/>
          </w:divBdr>
          <w:divsChild>
            <w:div w:id="1104573196">
              <w:marLeft w:val="0"/>
              <w:marRight w:val="0"/>
              <w:marTop w:val="0"/>
              <w:marBottom w:val="0"/>
              <w:divBdr>
                <w:top w:val="none" w:sz="0" w:space="0" w:color="auto"/>
                <w:left w:val="none" w:sz="0" w:space="0" w:color="auto"/>
                <w:bottom w:val="none" w:sz="0" w:space="0" w:color="auto"/>
                <w:right w:val="none" w:sz="0" w:space="0" w:color="auto"/>
              </w:divBdr>
              <w:divsChild>
                <w:div w:id="601377906">
                  <w:marLeft w:val="0"/>
                  <w:marRight w:val="0"/>
                  <w:marTop w:val="0"/>
                  <w:marBottom w:val="0"/>
                  <w:divBdr>
                    <w:top w:val="none" w:sz="0" w:space="0" w:color="auto"/>
                    <w:left w:val="none" w:sz="0" w:space="0" w:color="auto"/>
                    <w:bottom w:val="none" w:sz="0" w:space="0" w:color="auto"/>
                    <w:right w:val="none" w:sz="0" w:space="0" w:color="auto"/>
                  </w:divBdr>
                  <w:divsChild>
                    <w:div w:id="61074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865342">
      <w:bodyDiv w:val="1"/>
      <w:marLeft w:val="0"/>
      <w:marRight w:val="0"/>
      <w:marTop w:val="0"/>
      <w:marBottom w:val="0"/>
      <w:divBdr>
        <w:top w:val="none" w:sz="0" w:space="0" w:color="auto"/>
        <w:left w:val="none" w:sz="0" w:space="0" w:color="auto"/>
        <w:bottom w:val="none" w:sz="0" w:space="0" w:color="auto"/>
        <w:right w:val="none" w:sz="0" w:space="0" w:color="auto"/>
      </w:divBdr>
    </w:div>
    <w:div w:id="555118424">
      <w:bodyDiv w:val="1"/>
      <w:marLeft w:val="0"/>
      <w:marRight w:val="0"/>
      <w:marTop w:val="0"/>
      <w:marBottom w:val="0"/>
      <w:divBdr>
        <w:top w:val="none" w:sz="0" w:space="0" w:color="auto"/>
        <w:left w:val="none" w:sz="0" w:space="0" w:color="auto"/>
        <w:bottom w:val="none" w:sz="0" w:space="0" w:color="auto"/>
        <w:right w:val="none" w:sz="0" w:space="0" w:color="auto"/>
      </w:divBdr>
    </w:div>
    <w:div w:id="611516503">
      <w:bodyDiv w:val="1"/>
      <w:marLeft w:val="0"/>
      <w:marRight w:val="0"/>
      <w:marTop w:val="0"/>
      <w:marBottom w:val="0"/>
      <w:divBdr>
        <w:top w:val="none" w:sz="0" w:space="0" w:color="auto"/>
        <w:left w:val="none" w:sz="0" w:space="0" w:color="auto"/>
        <w:bottom w:val="none" w:sz="0" w:space="0" w:color="auto"/>
        <w:right w:val="none" w:sz="0" w:space="0" w:color="auto"/>
      </w:divBdr>
    </w:div>
    <w:div w:id="641733292">
      <w:bodyDiv w:val="1"/>
      <w:marLeft w:val="0"/>
      <w:marRight w:val="0"/>
      <w:marTop w:val="0"/>
      <w:marBottom w:val="0"/>
      <w:divBdr>
        <w:top w:val="none" w:sz="0" w:space="0" w:color="auto"/>
        <w:left w:val="none" w:sz="0" w:space="0" w:color="auto"/>
        <w:bottom w:val="none" w:sz="0" w:space="0" w:color="auto"/>
        <w:right w:val="none" w:sz="0" w:space="0" w:color="auto"/>
      </w:divBdr>
    </w:div>
    <w:div w:id="744497296">
      <w:bodyDiv w:val="1"/>
      <w:marLeft w:val="0"/>
      <w:marRight w:val="0"/>
      <w:marTop w:val="0"/>
      <w:marBottom w:val="0"/>
      <w:divBdr>
        <w:top w:val="none" w:sz="0" w:space="0" w:color="auto"/>
        <w:left w:val="none" w:sz="0" w:space="0" w:color="auto"/>
        <w:bottom w:val="none" w:sz="0" w:space="0" w:color="auto"/>
        <w:right w:val="none" w:sz="0" w:space="0" w:color="auto"/>
      </w:divBdr>
    </w:div>
    <w:div w:id="750657647">
      <w:bodyDiv w:val="1"/>
      <w:marLeft w:val="0"/>
      <w:marRight w:val="0"/>
      <w:marTop w:val="0"/>
      <w:marBottom w:val="0"/>
      <w:divBdr>
        <w:top w:val="none" w:sz="0" w:space="0" w:color="auto"/>
        <w:left w:val="none" w:sz="0" w:space="0" w:color="auto"/>
        <w:bottom w:val="none" w:sz="0" w:space="0" w:color="auto"/>
        <w:right w:val="none" w:sz="0" w:space="0" w:color="auto"/>
      </w:divBdr>
    </w:div>
    <w:div w:id="784928254">
      <w:bodyDiv w:val="1"/>
      <w:marLeft w:val="0"/>
      <w:marRight w:val="0"/>
      <w:marTop w:val="0"/>
      <w:marBottom w:val="0"/>
      <w:divBdr>
        <w:top w:val="none" w:sz="0" w:space="0" w:color="auto"/>
        <w:left w:val="none" w:sz="0" w:space="0" w:color="auto"/>
        <w:bottom w:val="none" w:sz="0" w:space="0" w:color="auto"/>
        <w:right w:val="none" w:sz="0" w:space="0" w:color="auto"/>
      </w:divBdr>
    </w:div>
    <w:div w:id="806704879">
      <w:bodyDiv w:val="1"/>
      <w:marLeft w:val="0"/>
      <w:marRight w:val="0"/>
      <w:marTop w:val="0"/>
      <w:marBottom w:val="0"/>
      <w:divBdr>
        <w:top w:val="none" w:sz="0" w:space="0" w:color="auto"/>
        <w:left w:val="none" w:sz="0" w:space="0" w:color="auto"/>
        <w:bottom w:val="none" w:sz="0" w:space="0" w:color="auto"/>
        <w:right w:val="none" w:sz="0" w:space="0" w:color="auto"/>
      </w:divBdr>
    </w:div>
    <w:div w:id="837961543">
      <w:bodyDiv w:val="1"/>
      <w:marLeft w:val="0"/>
      <w:marRight w:val="0"/>
      <w:marTop w:val="0"/>
      <w:marBottom w:val="0"/>
      <w:divBdr>
        <w:top w:val="none" w:sz="0" w:space="0" w:color="auto"/>
        <w:left w:val="none" w:sz="0" w:space="0" w:color="auto"/>
        <w:bottom w:val="none" w:sz="0" w:space="0" w:color="auto"/>
        <w:right w:val="none" w:sz="0" w:space="0" w:color="auto"/>
      </w:divBdr>
      <w:divsChild>
        <w:div w:id="1631128131">
          <w:marLeft w:val="0"/>
          <w:marRight w:val="0"/>
          <w:marTop w:val="0"/>
          <w:marBottom w:val="0"/>
          <w:divBdr>
            <w:top w:val="none" w:sz="0" w:space="0" w:color="auto"/>
            <w:left w:val="none" w:sz="0" w:space="0" w:color="auto"/>
            <w:bottom w:val="none" w:sz="0" w:space="0" w:color="auto"/>
            <w:right w:val="none" w:sz="0" w:space="0" w:color="auto"/>
          </w:divBdr>
          <w:divsChild>
            <w:div w:id="2048600009">
              <w:marLeft w:val="0"/>
              <w:marRight w:val="0"/>
              <w:marTop w:val="0"/>
              <w:marBottom w:val="0"/>
              <w:divBdr>
                <w:top w:val="none" w:sz="0" w:space="0" w:color="auto"/>
                <w:left w:val="none" w:sz="0" w:space="0" w:color="auto"/>
                <w:bottom w:val="none" w:sz="0" w:space="0" w:color="auto"/>
                <w:right w:val="none" w:sz="0" w:space="0" w:color="auto"/>
              </w:divBdr>
              <w:divsChild>
                <w:div w:id="427431133">
                  <w:marLeft w:val="0"/>
                  <w:marRight w:val="0"/>
                  <w:marTop w:val="0"/>
                  <w:marBottom w:val="0"/>
                  <w:divBdr>
                    <w:top w:val="none" w:sz="0" w:space="0" w:color="auto"/>
                    <w:left w:val="none" w:sz="0" w:space="0" w:color="auto"/>
                    <w:bottom w:val="none" w:sz="0" w:space="0" w:color="auto"/>
                    <w:right w:val="none" w:sz="0" w:space="0" w:color="auto"/>
                  </w:divBdr>
                  <w:divsChild>
                    <w:div w:id="138871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503881">
      <w:bodyDiv w:val="1"/>
      <w:marLeft w:val="0"/>
      <w:marRight w:val="0"/>
      <w:marTop w:val="0"/>
      <w:marBottom w:val="0"/>
      <w:divBdr>
        <w:top w:val="none" w:sz="0" w:space="0" w:color="auto"/>
        <w:left w:val="none" w:sz="0" w:space="0" w:color="auto"/>
        <w:bottom w:val="none" w:sz="0" w:space="0" w:color="auto"/>
        <w:right w:val="none" w:sz="0" w:space="0" w:color="auto"/>
      </w:divBdr>
    </w:div>
    <w:div w:id="932082947">
      <w:bodyDiv w:val="1"/>
      <w:marLeft w:val="0"/>
      <w:marRight w:val="0"/>
      <w:marTop w:val="0"/>
      <w:marBottom w:val="0"/>
      <w:divBdr>
        <w:top w:val="none" w:sz="0" w:space="0" w:color="auto"/>
        <w:left w:val="none" w:sz="0" w:space="0" w:color="auto"/>
        <w:bottom w:val="none" w:sz="0" w:space="0" w:color="auto"/>
        <w:right w:val="none" w:sz="0" w:space="0" w:color="auto"/>
      </w:divBdr>
    </w:div>
    <w:div w:id="983241463">
      <w:bodyDiv w:val="1"/>
      <w:marLeft w:val="0"/>
      <w:marRight w:val="0"/>
      <w:marTop w:val="0"/>
      <w:marBottom w:val="0"/>
      <w:divBdr>
        <w:top w:val="none" w:sz="0" w:space="0" w:color="auto"/>
        <w:left w:val="none" w:sz="0" w:space="0" w:color="auto"/>
        <w:bottom w:val="none" w:sz="0" w:space="0" w:color="auto"/>
        <w:right w:val="none" w:sz="0" w:space="0" w:color="auto"/>
      </w:divBdr>
    </w:div>
    <w:div w:id="1056245866">
      <w:bodyDiv w:val="1"/>
      <w:marLeft w:val="0"/>
      <w:marRight w:val="0"/>
      <w:marTop w:val="0"/>
      <w:marBottom w:val="0"/>
      <w:divBdr>
        <w:top w:val="none" w:sz="0" w:space="0" w:color="auto"/>
        <w:left w:val="none" w:sz="0" w:space="0" w:color="auto"/>
        <w:bottom w:val="none" w:sz="0" w:space="0" w:color="auto"/>
        <w:right w:val="none" w:sz="0" w:space="0" w:color="auto"/>
      </w:divBdr>
    </w:div>
    <w:div w:id="1059135817">
      <w:bodyDiv w:val="1"/>
      <w:marLeft w:val="0"/>
      <w:marRight w:val="0"/>
      <w:marTop w:val="0"/>
      <w:marBottom w:val="0"/>
      <w:divBdr>
        <w:top w:val="none" w:sz="0" w:space="0" w:color="auto"/>
        <w:left w:val="none" w:sz="0" w:space="0" w:color="auto"/>
        <w:bottom w:val="none" w:sz="0" w:space="0" w:color="auto"/>
        <w:right w:val="none" w:sz="0" w:space="0" w:color="auto"/>
      </w:divBdr>
    </w:div>
    <w:div w:id="1083456877">
      <w:bodyDiv w:val="1"/>
      <w:marLeft w:val="0"/>
      <w:marRight w:val="0"/>
      <w:marTop w:val="0"/>
      <w:marBottom w:val="0"/>
      <w:divBdr>
        <w:top w:val="none" w:sz="0" w:space="0" w:color="auto"/>
        <w:left w:val="none" w:sz="0" w:space="0" w:color="auto"/>
        <w:bottom w:val="none" w:sz="0" w:space="0" w:color="auto"/>
        <w:right w:val="none" w:sz="0" w:space="0" w:color="auto"/>
      </w:divBdr>
      <w:divsChild>
        <w:div w:id="1204363588">
          <w:marLeft w:val="0"/>
          <w:marRight w:val="0"/>
          <w:marTop w:val="0"/>
          <w:marBottom w:val="0"/>
          <w:divBdr>
            <w:top w:val="none" w:sz="0" w:space="0" w:color="auto"/>
            <w:left w:val="none" w:sz="0" w:space="0" w:color="auto"/>
            <w:bottom w:val="none" w:sz="0" w:space="0" w:color="auto"/>
            <w:right w:val="none" w:sz="0" w:space="0" w:color="auto"/>
          </w:divBdr>
        </w:div>
      </w:divsChild>
    </w:div>
    <w:div w:id="1139570202">
      <w:bodyDiv w:val="1"/>
      <w:marLeft w:val="0"/>
      <w:marRight w:val="0"/>
      <w:marTop w:val="0"/>
      <w:marBottom w:val="0"/>
      <w:divBdr>
        <w:top w:val="none" w:sz="0" w:space="0" w:color="auto"/>
        <w:left w:val="none" w:sz="0" w:space="0" w:color="auto"/>
        <w:bottom w:val="none" w:sz="0" w:space="0" w:color="auto"/>
        <w:right w:val="none" w:sz="0" w:space="0" w:color="auto"/>
      </w:divBdr>
    </w:div>
    <w:div w:id="1166016707">
      <w:bodyDiv w:val="1"/>
      <w:marLeft w:val="0"/>
      <w:marRight w:val="0"/>
      <w:marTop w:val="0"/>
      <w:marBottom w:val="0"/>
      <w:divBdr>
        <w:top w:val="none" w:sz="0" w:space="0" w:color="auto"/>
        <w:left w:val="none" w:sz="0" w:space="0" w:color="auto"/>
        <w:bottom w:val="none" w:sz="0" w:space="0" w:color="auto"/>
        <w:right w:val="none" w:sz="0" w:space="0" w:color="auto"/>
      </w:divBdr>
    </w:div>
    <w:div w:id="1168521372">
      <w:bodyDiv w:val="1"/>
      <w:marLeft w:val="0"/>
      <w:marRight w:val="0"/>
      <w:marTop w:val="0"/>
      <w:marBottom w:val="0"/>
      <w:divBdr>
        <w:top w:val="none" w:sz="0" w:space="0" w:color="auto"/>
        <w:left w:val="none" w:sz="0" w:space="0" w:color="auto"/>
        <w:bottom w:val="none" w:sz="0" w:space="0" w:color="auto"/>
        <w:right w:val="none" w:sz="0" w:space="0" w:color="auto"/>
      </w:divBdr>
    </w:div>
    <w:div w:id="1192301190">
      <w:bodyDiv w:val="1"/>
      <w:marLeft w:val="0"/>
      <w:marRight w:val="0"/>
      <w:marTop w:val="0"/>
      <w:marBottom w:val="0"/>
      <w:divBdr>
        <w:top w:val="none" w:sz="0" w:space="0" w:color="auto"/>
        <w:left w:val="none" w:sz="0" w:space="0" w:color="auto"/>
        <w:bottom w:val="none" w:sz="0" w:space="0" w:color="auto"/>
        <w:right w:val="none" w:sz="0" w:space="0" w:color="auto"/>
      </w:divBdr>
    </w:div>
    <w:div w:id="1204098545">
      <w:bodyDiv w:val="1"/>
      <w:marLeft w:val="0"/>
      <w:marRight w:val="0"/>
      <w:marTop w:val="0"/>
      <w:marBottom w:val="0"/>
      <w:divBdr>
        <w:top w:val="none" w:sz="0" w:space="0" w:color="auto"/>
        <w:left w:val="none" w:sz="0" w:space="0" w:color="auto"/>
        <w:bottom w:val="none" w:sz="0" w:space="0" w:color="auto"/>
        <w:right w:val="none" w:sz="0" w:space="0" w:color="auto"/>
      </w:divBdr>
      <w:divsChild>
        <w:div w:id="805663138">
          <w:marLeft w:val="0"/>
          <w:marRight w:val="0"/>
          <w:marTop w:val="0"/>
          <w:marBottom w:val="0"/>
          <w:divBdr>
            <w:top w:val="none" w:sz="0" w:space="0" w:color="auto"/>
            <w:left w:val="none" w:sz="0" w:space="0" w:color="auto"/>
            <w:bottom w:val="none" w:sz="0" w:space="0" w:color="auto"/>
            <w:right w:val="none" w:sz="0" w:space="0" w:color="auto"/>
          </w:divBdr>
        </w:div>
        <w:div w:id="2011758884">
          <w:marLeft w:val="0"/>
          <w:marRight w:val="0"/>
          <w:marTop w:val="0"/>
          <w:marBottom w:val="0"/>
          <w:divBdr>
            <w:top w:val="none" w:sz="0" w:space="0" w:color="auto"/>
            <w:left w:val="none" w:sz="0" w:space="0" w:color="auto"/>
            <w:bottom w:val="none" w:sz="0" w:space="0" w:color="auto"/>
            <w:right w:val="none" w:sz="0" w:space="0" w:color="auto"/>
          </w:divBdr>
        </w:div>
      </w:divsChild>
    </w:div>
    <w:div w:id="1233387912">
      <w:bodyDiv w:val="1"/>
      <w:marLeft w:val="0"/>
      <w:marRight w:val="0"/>
      <w:marTop w:val="0"/>
      <w:marBottom w:val="0"/>
      <w:divBdr>
        <w:top w:val="none" w:sz="0" w:space="0" w:color="auto"/>
        <w:left w:val="none" w:sz="0" w:space="0" w:color="auto"/>
        <w:bottom w:val="none" w:sz="0" w:space="0" w:color="auto"/>
        <w:right w:val="none" w:sz="0" w:space="0" w:color="auto"/>
      </w:divBdr>
      <w:divsChild>
        <w:div w:id="1896352200">
          <w:marLeft w:val="0"/>
          <w:marRight w:val="0"/>
          <w:marTop w:val="0"/>
          <w:marBottom w:val="0"/>
          <w:divBdr>
            <w:top w:val="none" w:sz="0" w:space="0" w:color="auto"/>
            <w:left w:val="none" w:sz="0" w:space="0" w:color="auto"/>
            <w:bottom w:val="none" w:sz="0" w:space="0" w:color="auto"/>
            <w:right w:val="none" w:sz="0" w:space="0" w:color="auto"/>
          </w:divBdr>
        </w:div>
      </w:divsChild>
    </w:div>
    <w:div w:id="1244677902">
      <w:bodyDiv w:val="1"/>
      <w:marLeft w:val="0"/>
      <w:marRight w:val="0"/>
      <w:marTop w:val="0"/>
      <w:marBottom w:val="0"/>
      <w:divBdr>
        <w:top w:val="none" w:sz="0" w:space="0" w:color="auto"/>
        <w:left w:val="none" w:sz="0" w:space="0" w:color="auto"/>
        <w:bottom w:val="none" w:sz="0" w:space="0" w:color="auto"/>
        <w:right w:val="none" w:sz="0" w:space="0" w:color="auto"/>
      </w:divBdr>
    </w:div>
    <w:div w:id="1275939775">
      <w:bodyDiv w:val="1"/>
      <w:marLeft w:val="0"/>
      <w:marRight w:val="0"/>
      <w:marTop w:val="0"/>
      <w:marBottom w:val="0"/>
      <w:divBdr>
        <w:top w:val="none" w:sz="0" w:space="0" w:color="auto"/>
        <w:left w:val="none" w:sz="0" w:space="0" w:color="auto"/>
        <w:bottom w:val="none" w:sz="0" w:space="0" w:color="auto"/>
        <w:right w:val="none" w:sz="0" w:space="0" w:color="auto"/>
      </w:divBdr>
    </w:div>
    <w:div w:id="1304239834">
      <w:bodyDiv w:val="1"/>
      <w:marLeft w:val="0"/>
      <w:marRight w:val="0"/>
      <w:marTop w:val="0"/>
      <w:marBottom w:val="0"/>
      <w:divBdr>
        <w:top w:val="none" w:sz="0" w:space="0" w:color="auto"/>
        <w:left w:val="none" w:sz="0" w:space="0" w:color="auto"/>
        <w:bottom w:val="none" w:sz="0" w:space="0" w:color="auto"/>
        <w:right w:val="none" w:sz="0" w:space="0" w:color="auto"/>
      </w:divBdr>
    </w:div>
    <w:div w:id="1315647273">
      <w:bodyDiv w:val="1"/>
      <w:marLeft w:val="0"/>
      <w:marRight w:val="0"/>
      <w:marTop w:val="0"/>
      <w:marBottom w:val="0"/>
      <w:divBdr>
        <w:top w:val="none" w:sz="0" w:space="0" w:color="auto"/>
        <w:left w:val="none" w:sz="0" w:space="0" w:color="auto"/>
        <w:bottom w:val="none" w:sz="0" w:space="0" w:color="auto"/>
        <w:right w:val="none" w:sz="0" w:space="0" w:color="auto"/>
      </w:divBdr>
    </w:div>
    <w:div w:id="1412775721">
      <w:bodyDiv w:val="1"/>
      <w:marLeft w:val="0"/>
      <w:marRight w:val="0"/>
      <w:marTop w:val="0"/>
      <w:marBottom w:val="0"/>
      <w:divBdr>
        <w:top w:val="none" w:sz="0" w:space="0" w:color="auto"/>
        <w:left w:val="none" w:sz="0" w:space="0" w:color="auto"/>
        <w:bottom w:val="none" w:sz="0" w:space="0" w:color="auto"/>
        <w:right w:val="none" w:sz="0" w:space="0" w:color="auto"/>
      </w:divBdr>
    </w:div>
    <w:div w:id="1419208582">
      <w:bodyDiv w:val="1"/>
      <w:marLeft w:val="0"/>
      <w:marRight w:val="0"/>
      <w:marTop w:val="0"/>
      <w:marBottom w:val="0"/>
      <w:divBdr>
        <w:top w:val="none" w:sz="0" w:space="0" w:color="auto"/>
        <w:left w:val="none" w:sz="0" w:space="0" w:color="auto"/>
        <w:bottom w:val="none" w:sz="0" w:space="0" w:color="auto"/>
        <w:right w:val="none" w:sz="0" w:space="0" w:color="auto"/>
      </w:divBdr>
    </w:div>
    <w:div w:id="1508599836">
      <w:bodyDiv w:val="1"/>
      <w:marLeft w:val="0"/>
      <w:marRight w:val="0"/>
      <w:marTop w:val="0"/>
      <w:marBottom w:val="0"/>
      <w:divBdr>
        <w:top w:val="none" w:sz="0" w:space="0" w:color="auto"/>
        <w:left w:val="none" w:sz="0" w:space="0" w:color="auto"/>
        <w:bottom w:val="none" w:sz="0" w:space="0" w:color="auto"/>
        <w:right w:val="none" w:sz="0" w:space="0" w:color="auto"/>
      </w:divBdr>
    </w:div>
    <w:div w:id="1515612615">
      <w:bodyDiv w:val="1"/>
      <w:marLeft w:val="0"/>
      <w:marRight w:val="0"/>
      <w:marTop w:val="0"/>
      <w:marBottom w:val="0"/>
      <w:divBdr>
        <w:top w:val="none" w:sz="0" w:space="0" w:color="auto"/>
        <w:left w:val="none" w:sz="0" w:space="0" w:color="auto"/>
        <w:bottom w:val="none" w:sz="0" w:space="0" w:color="auto"/>
        <w:right w:val="none" w:sz="0" w:space="0" w:color="auto"/>
      </w:divBdr>
    </w:div>
    <w:div w:id="1567301730">
      <w:bodyDiv w:val="1"/>
      <w:marLeft w:val="0"/>
      <w:marRight w:val="0"/>
      <w:marTop w:val="0"/>
      <w:marBottom w:val="0"/>
      <w:divBdr>
        <w:top w:val="none" w:sz="0" w:space="0" w:color="auto"/>
        <w:left w:val="none" w:sz="0" w:space="0" w:color="auto"/>
        <w:bottom w:val="none" w:sz="0" w:space="0" w:color="auto"/>
        <w:right w:val="none" w:sz="0" w:space="0" w:color="auto"/>
      </w:divBdr>
    </w:div>
    <w:div w:id="1600290517">
      <w:bodyDiv w:val="1"/>
      <w:marLeft w:val="0"/>
      <w:marRight w:val="0"/>
      <w:marTop w:val="0"/>
      <w:marBottom w:val="0"/>
      <w:divBdr>
        <w:top w:val="none" w:sz="0" w:space="0" w:color="auto"/>
        <w:left w:val="none" w:sz="0" w:space="0" w:color="auto"/>
        <w:bottom w:val="none" w:sz="0" w:space="0" w:color="auto"/>
        <w:right w:val="none" w:sz="0" w:space="0" w:color="auto"/>
      </w:divBdr>
      <w:divsChild>
        <w:div w:id="447310644">
          <w:marLeft w:val="0"/>
          <w:marRight w:val="0"/>
          <w:marTop w:val="0"/>
          <w:marBottom w:val="0"/>
          <w:divBdr>
            <w:top w:val="none" w:sz="0" w:space="0" w:color="auto"/>
            <w:left w:val="none" w:sz="0" w:space="0" w:color="auto"/>
            <w:bottom w:val="none" w:sz="0" w:space="0" w:color="auto"/>
            <w:right w:val="none" w:sz="0" w:space="0" w:color="auto"/>
          </w:divBdr>
          <w:divsChild>
            <w:div w:id="1608385423">
              <w:marLeft w:val="0"/>
              <w:marRight w:val="0"/>
              <w:marTop w:val="0"/>
              <w:marBottom w:val="0"/>
              <w:divBdr>
                <w:top w:val="none" w:sz="0" w:space="0" w:color="auto"/>
                <w:left w:val="none" w:sz="0" w:space="0" w:color="auto"/>
                <w:bottom w:val="none" w:sz="0" w:space="0" w:color="auto"/>
                <w:right w:val="none" w:sz="0" w:space="0" w:color="auto"/>
              </w:divBdr>
              <w:divsChild>
                <w:div w:id="812793603">
                  <w:marLeft w:val="0"/>
                  <w:marRight w:val="0"/>
                  <w:marTop w:val="0"/>
                  <w:marBottom w:val="0"/>
                  <w:divBdr>
                    <w:top w:val="none" w:sz="0" w:space="0" w:color="auto"/>
                    <w:left w:val="none" w:sz="0" w:space="0" w:color="auto"/>
                    <w:bottom w:val="none" w:sz="0" w:space="0" w:color="auto"/>
                    <w:right w:val="none" w:sz="0" w:space="0" w:color="auto"/>
                  </w:divBdr>
                  <w:divsChild>
                    <w:div w:id="79391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271520">
      <w:bodyDiv w:val="1"/>
      <w:marLeft w:val="0"/>
      <w:marRight w:val="0"/>
      <w:marTop w:val="0"/>
      <w:marBottom w:val="0"/>
      <w:divBdr>
        <w:top w:val="none" w:sz="0" w:space="0" w:color="auto"/>
        <w:left w:val="none" w:sz="0" w:space="0" w:color="auto"/>
        <w:bottom w:val="none" w:sz="0" w:space="0" w:color="auto"/>
        <w:right w:val="none" w:sz="0" w:space="0" w:color="auto"/>
      </w:divBdr>
    </w:div>
    <w:div w:id="1657102511">
      <w:bodyDiv w:val="1"/>
      <w:marLeft w:val="0"/>
      <w:marRight w:val="0"/>
      <w:marTop w:val="0"/>
      <w:marBottom w:val="0"/>
      <w:divBdr>
        <w:top w:val="none" w:sz="0" w:space="0" w:color="auto"/>
        <w:left w:val="none" w:sz="0" w:space="0" w:color="auto"/>
        <w:bottom w:val="none" w:sz="0" w:space="0" w:color="auto"/>
        <w:right w:val="none" w:sz="0" w:space="0" w:color="auto"/>
      </w:divBdr>
    </w:div>
    <w:div w:id="1682470757">
      <w:bodyDiv w:val="1"/>
      <w:marLeft w:val="0"/>
      <w:marRight w:val="0"/>
      <w:marTop w:val="0"/>
      <w:marBottom w:val="0"/>
      <w:divBdr>
        <w:top w:val="none" w:sz="0" w:space="0" w:color="auto"/>
        <w:left w:val="none" w:sz="0" w:space="0" w:color="auto"/>
        <w:bottom w:val="none" w:sz="0" w:space="0" w:color="auto"/>
        <w:right w:val="none" w:sz="0" w:space="0" w:color="auto"/>
      </w:divBdr>
    </w:div>
    <w:div w:id="1726947524">
      <w:bodyDiv w:val="1"/>
      <w:marLeft w:val="0"/>
      <w:marRight w:val="0"/>
      <w:marTop w:val="0"/>
      <w:marBottom w:val="0"/>
      <w:divBdr>
        <w:top w:val="none" w:sz="0" w:space="0" w:color="auto"/>
        <w:left w:val="none" w:sz="0" w:space="0" w:color="auto"/>
        <w:bottom w:val="none" w:sz="0" w:space="0" w:color="auto"/>
        <w:right w:val="none" w:sz="0" w:space="0" w:color="auto"/>
      </w:divBdr>
    </w:div>
    <w:div w:id="1745495024">
      <w:bodyDiv w:val="1"/>
      <w:marLeft w:val="0"/>
      <w:marRight w:val="0"/>
      <w:marTop w:val="0"/>
      <w:marBottom w:val="0"/>
      <w:divBdr>
        <w:top w:val="none" w:sz="0" w:space="0" w:color="auto"/>
        <w:left w:val="none" w:sz="0" w:space="0" w:color="auto"/>
        <w:bottom w:val="none" w:sz="0" w:space="0" w:color="auto"/>
        <w:right w:val="none" w:sz="0" w:space="0" w:color="auto"/>
      </w:divBdr>
    </w:div>
    <w:div w:id="1771928331">
      <w:bodyDiv w:val="1"/>
      <w:marLeft w:val="0"/>
      <w:marRight w:val="0"/>
      <w:marTop w:val="0"/>
      <w:marBottom w:val="0"/>
      <w:divBdr>
        <w:top w:val="none" w:sz="0" w:space="0" w:color="auto"/>
        <w:left w:val="none" w:sz="0" w:space="0" w:color="auto"/>
        <w:bottom w:val="none" w:sz="0" w:space="0" w:color="auto"/>
        <w:right w:val="none" w:sz="0" w:space="0" w:color="auto"/>
      </w:divBdr>
    </w:div>
    <w:div w:id="1881553665">
      <w:bodyDiv w:val="1"/>
      <w:marLeft w:val="0"/>
      <w:marRight w:val="0"/>
      <w:marTop w:val="0"/>
      <w:marBottom w:val="0"/>
      <w:divBdr>
        <w:top w:val="none" w:sz="0" w:space="0" w:color="auto"/>
        <w:left w:val="none" w:sz="0" w:space="0" w:color="auto"/>
        <w:bottom w:val="none" w:sz="0" w:space="0" w:color="auto"/>
        <w:right w:val="none" w:sz="0" w:space="0" w:color="auto"/>
      </w:divBdr>
    </w:div>
    <w:div w:id="1888759034">
      <w:bodyDiv w:val="1"/>
      <w:marLeft w:val="0"/>
      <w:marRight w:val="0"/>
      <w:marTop w:val="0"/>
      <w:marBottom w:val="0"/>
      <w:divBdr>
        <w:top w:val="none" w:sz="0" w:space="0" w:color="auto"/>
        <w:left w:val="none" w:sz="0" w:space="0" w:color="auto"/>
        <w:bottom w:val="none" w:sz="0" w:space="0" w:color="auto"/>
        <w:right w:val="none" w:sz="0" w:space="0" w:color="auto"/>
      </w:divBdr>
    </w:div>
    <w:div w:id="1917202456">
      <w:bodyDiv w:val="1"/>
      <w:marLeft w:val="0"/>
      <w:marRight w:val="0"/>
      <w:marTop w:val="0"/>
      <w:marBottom w:val="0"/>
      <w:divBdr>
        <w:top w:val="none" w:sz="0" w:space="0" w:color="auto"/>
        <w:left w:val="none" w:sz="0" w:space="0" w:color="auto"/>
        <w:bottom w:val="none" w:sz="0" w:space="0" w:color="auto"/>
        <w:right w:val="none" w:sz="0" w:space="0" w:color="auto"/>
      </w:divBdr>
    </w:div>
    <w:div w:id="1968513308">
      <w:bodyDiv w:val="1"/>
      <w:marLeft w:val="0"/>
      <w:marRight w:val="0"/>
      <w:marTop w:val="0"/>
      <w:marBottom w:val="0"/>
      <w:divBdr>
        <w:top w:val="none" w:sz="0" w:space="0" w:color="auto"/>
        <w:left w:val="none" w:sz="0" w:space="0" w:color="auto"/>
        <w:bottom w:val="none" w:sz="0" w:space="0" w:color="auto"/>
        <w:right w:val="none" w:sz="0" w:space="0" w:color="auto"/>
      </w:divBdr>
    </w:div>
    <w:div w:id="2040276127">
      <w:bodyDiv w:val="1"/>
      <w:marLeft w:val="0"/>
      <w:marRight w:val="0"/>
      <w:marTop w:val="0"/>
      <w:marBottom w:val="0"/>
      <w:divBdr>
        <w:top w:val="none" w:sz="0" w:space="0" w:color="auto"/>
        <w:left w:val="none" w:sz="0" w:space="0" w:color="auto"/>
        <w:bottom w:val="none" w:sz="0" w:space="0" w:color="auto"/>
        <w:right w:val="none" w:sz="0" w:space="0" w:color="auto"/>
      </w:divBdr>
    </w:div>
    <w:div w:id="2056848933">
      <w:bodyDiv w:val="1"/>
      <w:marLeft w:val="0"/>
      <w:marRight w:val="0"/>
      <w:marTop w:val="0"/>
      <w:marBottom w:val="0"/>
      <w:divBdr>
        <w:top w:val="none" w:sz="0" w:space="0" w:color="auto"/>
        <w:left w:val="none" w:sz="0" w:space="0" w:color="auto"/>
        <w:bottom w:val="none" w:sz="0" w:space="0" w:color="auto"/>
        <w:right w:val="none" w:sz="0" w:space="0" w:color="auto"/>
      </w:divBdr>
    </w:div>
    <w:div w:id="2073231790">
      <w:bodyDiv w:val="1"/>
      <w:marLeft w:val="0"/>
      <w:marRight w:val="0"/>
      <w:marTop w:val="0"/>
      <w:marBottom w:val="0"/>
      <w:divBdr>
        <w:top w:val="none" w:sz="0" w:space="0" w:color="auto"/>
        <w:left w:val="none" w:sz="0" w:space="0" w:color="auto"/>
        <w:bottom w:val="none" w:sz="0" w:space="0" w:color="auto"/>
        <w:right w:val="none" w:sz="0" w:space="0" w:color="auto"/>
      </w:divBdr>
    </w:div>
    <w:div w:id="2089426264">
      <w:bodyDiv w:val="1"/>
      <w:marLeft w:val="0"/>
      <w:marRight w:val="0"/>
      <w:marTop w:val="0"/>
      <w:marBottom w:val="0"/>
      <w:divBdr>
        <w:top w:val="none" w:sz="0" w:space="0" w:color="auto"/>
        <w:left w:val="none" w:sz="0" w:space="0" w:color="auto"/>
        <w:bottom w:val="none" w:sz="0" w:space="0" w:color="auto"/>
        <w:right w:val="none" w:sz="0" w:space="0" w:color="auto"/>
      </w:divBdr>
    </w:div>
    <w:div w:id="2107967580">
      <w:bodyDiv w:val="1"/>
      <w:marLeft w:val="0"/>
      <w:marRight w:val="0"/>
      <w:marTop w:val="0"/>
      <w:marBottom w:val="0"/>
      <w:divBdr>
        <w:top w:val="none" w:sz="0" w:space="0" w:color="auto"/>
        <w:left w:val="none" w:sz="0" w:space="0" w:color="auto"/>
        <w:bottom w:val="none" w:sz="0" w:space="0" w:color="auto"/>
        <w:right w:val="none" w:sz="0" w:space="0" w:color="auto"/>
      </w:divBdr>
    </w:div>
    <w:div w:id="2109502616">
      <w:bodyDiv w:val="1"/>
      <w:marLeft w:val="0"/>
      <w:marRight w:val="0"/>
      <w:marTop w:val="0"/>
      <w:marBottom w:val="0"/>
      <w:divBdr>
        <w:top w:val="none" w:sz="0" w:space="0" w:color="auto"/>
        <w:left w:val="none" w:sz="0" w:space="0" w:color="auto"/>
        <w:bottom w:val="none" w:sz="0" w:space="0" w:color="auto"/>
        <w:right w:val="none" w:sz="0" w:space="0" w:color="auto"/>
      </w:divBdr>
      <w:divsChild>
        <w:div w:id="1997800398">
          <w:marLeft w:val="0"/>
          <w:marRight w:val="0"/>
          <w:marTop w:val="0"/>
          <w:marBottom w:val="0"/>
          <w:divBdr>
            <w:top w:val="none" w:sz="0" w:space="0" w:color="auto"/>
            <w:left w:val="none" w:sz="0" w:space="0" w:color="auto"/>
            <w:bottom w:val="none" w:sz="0" w:space="0" w:color="auto"/>
            <w:right w:val="none" w:sz="0" w:space="0" w:color="auto"/>
          </w:divBdr>
        </w:div>
      </w:divsChild>
    </w:div>
    <w:div w:id="2121951984">
      <w:bodyDiv w:val="1"/>
      <w:marLeft w:val="0"/>
      <w:marRight w:val="0"/>
      <w:marTop w:val="0"/>
      <w:marBottom w:val="0"/>
      <w:divBdr>
        <w:top w:val="none" w:sz="0" w:space="0" w:color="auto"/>
        <w:left w:val="none" w:sz="0" w:space="0" w:color="auto"/>
        <w:bottom w:val="none" w:sz="0" w:space="0" w:color="auto"/>
        <w:right w:val="none" w:sz="0" w:space="0" w:color="auto"/>
      </w:divBdr>
    </w:div>
    <w:div w:id="2124954918">
      <w:bodyDiv w:val="1"/>
      <w:marLeft w:val="0"/>
      <w:marRight w:val="0"/>
      <w:marTop w:val="0"/>
      <w:marBottom w:val="0"/>
      <w:divBdr>
        <w:top w:val="none" w:sz="0" w:space="0" w:color="auto"/>
        <w:left w:val="none" w:sz="0" w:space="0" w:color="auto"/>
        <w:bottom w:val="none" w:sz="0" w:space="0" w:color="auto"/>
        <w:right w:val="none" w:sz="0" w:space="0" w:color="auto"/>
      </w:divBdr>
    </w:div>
    <w:div w:id="2142648672">
      <w:bodyDiv w:val="1"/>
      <w:marLeft w:val="0"/>
      <w:marRight w:val="0"/>
      <w:marTop w:val="0"/>
      <w:marBottom w:val="0"/>
      <w:divBdr>
        <w:top w:val="none" w:sz="0" w:space="0" w:color="auto"/>
        <w:left w:val="none" w:sz="0" w:space="0" w:color="auto"/>
        <w:bottom w:val="none" w:sz="0" w:space="0" w:color="auto"/>
        <w:right w:val="none" w:sz="0" w:space="0" w:color="auto"/>
      </w:divBdr>
    </w:div>
    <w:div w:id="2143107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1.emf"/></Relationships>
</file>

<file path=word/_rels/footnotes.xml.rels><?xml version="1.0" encoding="UTF-8" standalone="yes"?>
<Relationships xmlns="http://schemas.openxmlformats.org/package/2006/relationships"><Relationship Id="rId2" Type="http://schemas.openxmlformats.org/officeDocument/2006/relationships/hyperlink" Target="http://www.cna.gov.co/1741/articles-186370_Acuerdo_02_2012.pdf" TargetMode="External"/><Relationship Id="rId1" Type="http://schemas.openxmlformats.org/officeDocument/2006/relationships/hyperlink" Target="http://www.mineducacion.gov.co/CNA/1741/article-186365.html"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D:\Documents\1-Apoyo%20a%20las%20IES\9-Proyectos%20normativos\9-Proyectos%20de%20decreto\Decreto%20ley%20Transitorio%20Licenciaturas%20y%20Creditos-Art%2061%20Ley%201753%20de%202015\Estadisticas%20de%20Programas%20e%20IES%20acreditados-May%2011%202017.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Libro1"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D:\Documents\1-Apoyo%20a%20las%20IES\9-Proyectos%20normativos\9-Protectos%20de%20ley\Ley%20Transitorio%20Licenciaturas%20y%20Creditos-Art%2061%20Ley%201753%20de%202015\Estadisticas%20de%20Programas%20e%20IES%20acreditados-Jun%2016%202017.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D:\Documents\1-Apoyo%20a%20las%20IES\9-Proyectos%20normativos\9-Proyectos%20de%20decreto\Decreto%20ley%20Transitorio%20Licenciaturas%20y%20Creditos-Art%2061%20Ley%201753%20de%202015\Estadisticas%20de%20Programas%20e%20IES%20acreditados-May%2011%202017.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D:\Documents\1-Apoyo%20a%20las%20IES\9-Proyectos%20normativos\9-Proyectos%20de%20decreto\Decreto%20ley%20Transitorio%20Licenciaturas%20y%20Creditos-Art%2061%20Ley%201753%20de%202015\Estadisticas%20de%20Programas%20e%20IES%20acreditados-May%2011%202017.xlsx" TargetMode="External"/></Relationships>
</file>

<file path=word/charts/_rels/chart6.xml.rels><?xml version="1.0" encoding="UTF-8" standalone="yes"?>
<Relationships xmlns="http://schemas.openxmlformats.org/package/2006/relationships"><Relationship Id="rId3" Type="http://schemas.openxmlformats.org/officeDocument/2006/relationships/oleObject" Target="file:///D:\Documents\1-Apoyo%20a%20las%20IES\9-Proyectos%20normativos\9-Protectos%20de%20ley\Ley%20Transitorio%20Licenciaturas%20y%20Creditos-Art%2061%20Ley%201753%20de%202015\Estadisticas%20de%20Programas%20e%20IES%20acreditados-Jun%2016%202017.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Oferta</a:t>
            </a:r>
            <a:r>
              <a:rPr lang="es-CO" baseline="0"/>
              <a:t> de programas académicos</a:t>
            </a:r>
            <a:endParaRPr lang="es-CO"/>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9710750441909001E-2"/>
          <c:y val="0.27228073763506799"/>
          <c:w val="0.80017033585087605"/>
          <c:h val="0.68526536455670295"/>
        </c:manualLayout>
      </c:layout>
      <c:pie3DChart>
        <c:varyColors val="1"/>
        <c:ser>
          <c:idx val="0"/>
          <c:order val="0"/>
          <c:spPr>
            <a:solidFill>
              <a:schemeClr val="accent4">
                <a:lumMod val="60000"/>
                <a:lumOff val="40000"/>
              </a:schemeClr>
            </a:solidFill>
            <a:scene3d>
              <a:camera prst="orthographicFront"/>
              <a:lightRig rig="threePt" dir="t"/>
            </a:scene3d>
            <a:sp3d>
              <a:bevelT/>
              <a:contourClr>
                <a:srgbClr val="000000"/>
              </a:contourClr>
            </a:sp3d>
          </c:spPr>
          <c:dPt>
            <c:idx val="0"/>
            <c:bubble3D val="0"/>
            <c:spPr>
              <a:solidFill>
                <a:schemeClr val="accent6">
                  <a:lumMod val="75000"/>
                </a:schemeClr>
              </a:solidFill>
              <a:ln w="25400">
                <a:solidFill>
                  <a:schemeClr val="lt1"/>
                </a:solidFill>
              </a:ln>
              <a:effectLst/>
              <a:scene3d>
                <a:camera prst="orthographicFront"/>
                <a:lightRig rig="threePt" dir="t"/>
              </a:scene3d>
              <a:sp3d contourW="25400">
                <a:bevelT/>
                <a:contourClr>
                  <a:schemeClr val="lt1"/>
                </a:contourClr>
              </a:sp3d>
            </c:spPr>
            <c:extLst>
              <c:ext xmlns:c16="http://schemas.microsoft.com/office/drawing/2014/chart" uri="{C3380CC4-5D6E-409C-BE32-E72D297353CC}">
                <c16:uniqueId val="{00000001-9B91-4D91-9773-E01778AB7767}"/>
              </c:ext>
            </c:extLst>
          </c:dPt>
          <c:dPt>
            <c:idx val="1"/>
            <c:bubble3D val="0"/>
            <c:spPr>
              <a:solidFill>
                <a:srgbClr val="FFC000"/>
              </a:solidFill>
              <a:ln w="25400">
                <a:solidFill>
                  <a:schemeClr val="lt1"/>
                </a:solidFill>
              </a:ln>
              <a:effectLst/>
              <a:scene3d>
                <a:camera prst="orthographicFront"/>
                <a:lightRig rig="threePt" dir="t"/>
              </a:scene3d>
              <a:sp3d contourW="25400">
                <a:bevelT/>
                <a:contourClr>
                  <a:schemeClr val="lt1"/>
                </a:contourClr>
              </a:sp3d>
            </c:spPr>
            <c:extLst>
              <c:ext xmlns:c16="http://schemas.microsoft.com/office/drawing/2014/chart" uri="{C3380CC4-5D6E-409C-BE32-E72D297353CC}">
                <c16:uniqueId val="{00000003-9B91-4D91-9773-E01778AB7767}"/>
              </c:ext>
            </c:extLst>
          </c:dPt>
          <c:dLbls>
            <c:dLbl>
              <c:idx val="0"/>
              <c:layout>
                <c:manualLayout>
                  <c:x val="0.20889632545931799"/>
                  <c:y val="6.4301181102362201E-2"/>
                </c:manualLayout>
              </c:layou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1-9B91-4D91-9773-E01778AB7767}"/>
                </c:ext>
              </c:extLst>
            </c:dLbl>
            <c:dLbl>
              <c:idx val="1"/>
              <c:layout>
                <c:manualLayout>
                  <c:x val="-0.161602656810756"/>
                  <c:y val="-0.59988035586460797"/>
                </c:manualLayout>
              </c:layou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3-9B91-4D91-9773-E01778AB7767}"/>
                </c:ext>
              </c:extLst>
            </c:dLbl>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mn-lt"/>
                    <a:ea typeface="+mn-ea"/>
                    <a:cs typeface="+mn-cs"/>
                  </a:defRPr>
                </a:pPr>
                <a:endParaRPr lang="es-CO"/>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Hoja1!$B$7:$B$8</c:f>
              <c:strCache>
                <c:ptCount val="2"/>
                <c:pt idx="0">
                  <c:v>Programas acreditados</c:v>
                </c:pt>
                <c:pt idx="1">
                  <c:v>Programas sin acreditación</c:v>
                </c:pt>
              </c:strCache>
            </c:strRef>
          </c:cat>
          <c:val>
            <c:numRef>
              <c:f>Hoja1!$C$7:$C$8</c:f>
              <c:numCache>
                <c:formatCode>General</c:formatCode>
                <c:ptCount val="2"/>
                <c:pt idx="0">
                  <c:v>1056</c:v>
                </c:pt>
                <c:pt idx="1">
                  <c:v>10780</c:v>
                </c:pt>
              </c:numCache>
            </c:numRef>
          </c:val>
          <c:extLst>
            <c:ext xmlns:c16="http://schemas.microsoft.com/office/drawing/2014/chart" uri="{C3380CC4-5D6E-409C-BE32-E72D297353CC}">
              <c16:uniqueId val="{00000004-9B91-4D91-9773-E01778AB7767}"/>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Instituciones de Educación Superior</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spPr>
            <a:solidFill>
              <a:schemeClr val="accent1"/>
            </a:solidFill>
            <a:ln>
              <a:noFill/>
            </a:ln>
            <a:effectLst/>
            <a:scene3d>
              <a:camera prst="orthographicFront"/>
              <a:lightRig rig="threePt" dir="t"/>
            </a:scene3d>
            <a:sp3d>
              <a:bevelT/>
            </a:sp3d>
          </c:spPr>
          <c:invertIfNegative val="0"/>
          <c:dPt>
            <c:idx val="1"/>
            <c:invertIfNegative val="0"/>
            <c:bubble3D val="0"/>
            <c:spPr>
              <a:solidFill>
                <a:srgbClr val="006600"/>
              </a:solidFill>
              <a:ln>
                <a:noFill/>
              </a:ln>
              <a:effectLst/>
              <a:scene3d>
                <a:camera prst="orthographicFront"/>
                <a:lightRig rig="threePt" dir="t"/>
              </a:scene3d>
              <a:sp3d>
                <a:bevelT/>
              </a:sp3d>
            </c:spPr>
            <c:extLst>
              <c:ext xmlns:c16="http://schemas.microsoft.com/office/drawing/2014/chart" uri="{C3380CC4-5D6E-409C-BE32-E72D297353CC}">
                <c16:uniqueId val="{00000001-8881-490E-87C6-B2B5F4021ADA}"/>
              </c:ext>
            </c:extLst>
          </c:dPt>
          <c:dPt>
            <c:idx val="2"/>
            <c:invertIfNegative val="0"/>
            <c:bubble3D val="0"/>
            <c:spPr>
              <a:solidFill>
                <a:srgbClr val="FFC000"/>
              </a:solidFill>
              <a:ln>
                <a:noFill/>
              </a:ln>
              <a:effectLst/>
              <a:scene3d>
                <a:camera prst="orthographicFront"/>
                <a:lightRig rig="threePt" dir="t"/>
              </a:scene3d>
              <a:sp3d>
                <a:bevelT/>
              </a:sp3d>
            </c:spPr>
            <c:extLst>
              <c:ext xmlns:c16="http://schemas.microsoft.com/office/drawing/2014/chart" uri="{C3380CC4-5D6E-409C-BE32-E72D297353CC}">
                <c16:uniqueId val="{00000003-8881-490E-87C6-B2B5F4021ADA}"/>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chemeClr val="dk1">
                        <a:lumMod val="65000"/>
                        <a:lumOff val="3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layout/>
                <c15:showLeaderLines val="0"/>
              </c:ext>
            </c:extLst>
          </c:dLbls>
          <c:cat>
            <c:strRef>
              <c:f>Hoja1!$B$11:$B$13</c:f>
              <c:strCache>
                <c:ptCount val="3"/>
                <c:pt idx="0">
                  <c:v>En proceso de renovación de la acreditación</c:v>
                </c:pt>
                <c:pt idx="1">
                  <c:v>Acreditadas</c:v>
                </c:pt>
                <c:pt idx="2">
                  <c:v>Sin acreditación</c:v>
                </c:pt>
              </c:strCache>
            </c:strRef>
          </c:cat>
          <c:val>
            <c:numRef>
              <c:f>Hoja1!$C$11:$C$13</c:f>
              <c:numCache>
                <c:formatCode>General</c:formatCode>
                <c:ptCount val="3"/>
                <c:pt idx="0">
                  <c:v>6</c:v>
                </c:pt>
                <c:pt idx="1">
                  <c:v>41</c:v>
                </c:pt>
                <c:pt idx="2">
                  <c:v>242</c:v>
                </c:pt>
              </c:numCache>
            </c:numRef>
          </c:val>
          <c:extLst>
            <c:ext xmlns:c16="http://schemas.microsoft.com/office/drawing/2014/chart" uri="{C3380CC4-5D6E-409C-BE32-E72D297353CC}">
              <c16:uniqueId val="{00000004-8881-490E-87C6-B2B5F4021ADA}"/>
            </c:ext>
          </c:extLst>
        </c:ser>
        <c:dLbls>
          <c:showLegendKey val="0"/>
          <c:showVal val="0"/>
          <c:showCatName val="0"/>
          <c:showSerName val="0"/>
          <c:showPercent val="0"/>
          <c:showBubbleSize val="0"/>
        </c:dLbls>
        <c:gapWidth val="150"/>
        <c:shape val="box"/>
        <c:axId val="1387385856"/>
        <c:axId val="1288424480"/>
        <c:axId val="0"/>
      </c:bar3DChart>
      <c:catAx>
        <c:axId val="138738585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es-CO"/>
          </a:p>
        </c:txPr>
        <c:crossAx val="1288424480"/>
        <c:crosses val="autoZero"/>
        <c:auto val="1"/>
        <c:lblAlgn val="ctr"/>
        <c:lblOffset val="100"/>
        <c:noMultiLvlLbl val="0"/>
      </c:catAx>
      <c:valAx>
        <c:axId val="12884244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3873858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s-CO" b="1"/>
              <a:t>Creditos desembolsados por el ICETEX</a:t>
            </a:r>
          </a:p>
        </c:rich>
      </c:tx>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CO"/>
        </a:p>
      </c:txPr>
    </c:title>
    <c:autoTitleDeleted val="0"/>
    <c:view3D>
      <c:rotX val="15"/>
      <c:rotY val="20"/>
      <c:depthPercent val="100"/>
      <c:rAngAx val="1"/>
    </c:view3D>
    <c:floor>
      <c:thickness val="0"/>
      <c:spPr>
        <a:solidFill>
          <a:schemeClr val="bg1">
            <a:lumMod val="8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Hoja1!$B$73</c:f>
              <c:strCache>
                <c:ptCount val="1"/>
                <c:pt idx="0">
                  <c:v>Ccréditos y becas para cursar estudios en IES sin acreditación</c:v>
                </c:pt>
              </c:strCache>
            </c:strRef>
          </c:tx>
          <c:spPr>
            <a:solidFill>
              <a:srgbClr val="FFC000"/>
            </a:solidFill>
            <a:ln>
              <a:noFill/>
            </a:ln>
            <a:effectLst/>
            <a:scene3d>
              <a:camera prst="orthographicFront"/>
              <a:lightRig rig="threePt" dir="t"/>
            </a:scene3d>
            <a:sp3d>
              <a:bevel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Hoja1!$C$72:$H$72</c:f>
              <c:numCache>
                <c:formatCode>General</c:formatCode>
                <c:ptCount val="6"/>
                <c:pt idx="0">
                  <c:v>2012</c:v>
                </c:pt>
                <c:pt idx="1">
                  <c:v>2013</c:v>
                </c:pt>
                <c:pt idx="2">
                  <c:v>2014</c:v>
                </c:pt>
                <c:pt idx="3">
                  <c:v>2015</c:v>
                </c:pt>
                <c:pt idx="4">
                  <c:v>2016</c:v>
                </c:pt>
                <c:pt idx="5">
                  <c:v>2017</c:v>
                </c:pt>
              </c:numCache>
            </c:numRef>
          </c:cat>
          <c:val>
            <c:numRef>
              <c:f>Hoja1!$C$73:$H$73</c:f>
              <c:numCache>
                <c:formatCode>0%</c:formatCode>
                <c:ptCount val="6"/>
                <c:pt idx="0">
                  <c:v>0.73999801777396013</c:v>
                </c:pt>
                <c:pt idx="1">
                  <c:v>0.66999630040695524</c:v>
                </c:pt>
                <c:pt idx="2">
                  <c:v>0.61000728987328023</c:v>
                </c:pt>
                <c:pt idx="3">
                  <c:v>0.56224276246948024</c:v>
                </c:pt>
                <c:pt idx="4">
                  <c:v>0.52938201130841633</c:v>
                </c:pt>
                <c:pt idx="5">
                  <c:v>0.56878327289560993</c:v>
                </c:pt>
              </c:numCache>
            </c:numRef>
          </c:val>
          <c:extLst>
            <c:ext xmlns:c16="http://schemas.microsoft.com/office/drawing/2014/chart" uri="{C3380CC4-5D6E-409C-BE32-E72D297353CC}">
              <c16:uniqueId val="{00000000-9D32-4383-8A7E-95F71DBB5B42}"/>
            </c:ext>
          </c:extLst>
        </c:ser>
        <c:ser>
          <c:idx val="1"/>
          <c:order val="1"/>
          <c:tx>
            <c:strRef>
              <c:f>Hoja1!$B$74</c:f>
              <c:strCache>
                <c:ptCount val="1"/>
                <c:pt idx="0">
                  <c:v>Créditos y becas para cursar estudios en IES con acreditación</c:v>
                </c:pt>
              </c:strCache>
            </c:strRef>
          </c:tx>
          <c:spPr>
            <a:solidFill>
              <a:srgbClr val="006600"/>
            </a:solidFill>
            <a:ln>
              <a:noFill/>
            </a:ln>
            <a:effectLst/>
            <a:scene3d>
              <a:camera prst="orthographicFront"/>
              <a:lightRig rig="threePt" dir="t"/>
            </a:scene3d>
            <a:sp3d>
              <a:bevel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FFFF00"/>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Hoja1!$C$72:$H$72</c:f>
              <c:numCache>
                <c:formatCode>General</c:formatCode>
                <c:ptCount val="6"/>
                <c:pt idx="0">
                  <c:v>2012</c:v>
                </c:pt>
                <c:pt idx="1">
                  <c:v>2013</c:v>
                </c:pt>
                <c:pt idx="2">
                  <c:v>2014</c:v>
                </c:pt>
                <c:pt idx="3">
                  <c:v>2015</c:v>
                </c:pt>
                <c:pt idx="4">
                  <c:v>2016</c:v>
                </c:pt>
                <c:pt idx="5">
                  <c:v>2017</c:v>
                </c:pt>
              </c:numCache>
            </c:numRef>
          </c:cat>
          <c:val>
            <c:numRef>
              <c:f>Hoja1!$C$74:$H$74</c:f>
              <c:numCache>
                <c:formatCode>0%</c:formatCode>
                <c:ptCount val="6"/>
                <c:pt idx="0">
                  <c:v>0.26000198222603982</c:v>
                </c:pt>
                <c:pt idx="1">
                  <c:v>0.33000369959304476</c:v>
                </c:pt>
                <c:pt idx="2">
                  <c:v>0.38999271012671971</c:v>
                </c:pt>
                <c:pt idx="3">
                  <c:v>0.4377572375305197</c:v>
                </c:pt>
                <c:pt idx="4">
                  <c:v>0.47061798869158372</c:v>
                </c:pt>
                <c:pt idx="5">
                  <c:v>0.43121672710439007</c:v>
                </c:pt>
              </c:numCache>
            </c:numRef>
          </c:val>
          <c:extLst>
            <c:ext xmlns:c16="http://schemas.microsoft.com/office/drawing/2014/chart" uri="{C3380CC4-5D6E-409C-BE32-E72D297353CC}">
              <c16:uniqueId val="{00000001-9D32-4383-8A7E-95F71DBB5B42}"/>
            </c:ext>
          </c:extLst>
        </c:ser>
        <c:dLbls>
          <c:showLegendKey val="0"/>
          <c:showVal val="0"/>
          <c:showCatName val="0"/>
          <c:showSerName val="0"/>
          <c:showPercent val="0"/>
          <c:showBubbleSize val="0"/>
        </c:dLbls>
        <c:gapWidth val="150"/>
        <c:shape val="box"/>
        <c:axId val="1288420128"/>
        <c:axId val="1288423392"/>
        <c:axId val="0"/>
      </c:bar3DChart>
      <c:catAx>
        <c:axId val="128842012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s-CO"/>
          </a:p>
        </c:txPr>
        <c:crossAx val="1288423392"/>
        <c:crosses val="autoZero"/>
        <c:auto val="1"/>
        <c:lblAlgn val="ctr"/>
        <c:lblOffset val="100"/>
        <c:noMultiLvlLbl val="0"/>
      </c:catAx>
      <c:valAx>
        <c:axId val="128842339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28842012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baseline="0"/>
              <a:t>Departamentos afectados</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spPr>
            <a:solidFill>
              <a:schemeClr val="accent1"/>
            </a:solidFill>
            <a:ln>
              <a:noFill/>
            </a:ln>
            <a:effectLst/>
            <a:scene3d>
              <a:camera prst="orthographicFront"/>
              <a:lightRig rig="threePt" dir="t"/>
            </a:scene3d>
            <a:sp3d>
              <a:bevelT/>
            </a:sp3d>
          </c:spPr>
          <c:invertIfNegative val="0"/>
          <c:dPt>
            <c:idx val="1"/>
            <c:invertIfNegative val="0"/>
            <c:bubble3D val="0"/>
            <c:spPr>
              <a:solidFill>
                <a:schemeClr val="accent2">
                  <a:lumMod val="75000"/>
                </a:schemeClr>
              </a:solidFill>
              <a:ln>
                <a:noFill/>
              </a:ln>
              <a:effectLst/>
              <a:scene3d>
                <a:camera prst="orthographicFront"/>
                <a:lightRig rig="threePt" dir="t"/>
              </a:scene3d>
              <a:sp3d>
                <a:bevelT/>
              </a:sp3d>
            </c:spPr>
            <c:extLst>
              <c:ext xmlns:c16="http://schemas.microsoft.com/office/drawing/2014/chart" uri="{C3380CC4-5D6E-409C-BE32-E72D297353CC}">
                <c16:uniqueId val="{00000001-B2BD-4373-B286-739454DC48DF}"/>
              </c:ext>
            </c:extLst>
          </c:dPt>
          <c:dPt>
            <c:idx val="2"/>
            <c:invertIfNegative val="0"/>
            <c:bubble3D val="0"/>
            <c:spPr>
              <a:solidFill>
                <a:srgbClr val="92D050"/>
              </a:solidFill>
              <a:ln>
                <a:noFill/>
              </a:ln>
              <a:effectLst/>
              <a:scene3d>
                <a:camera prst="orthographicFront"/>
                <a:lightRig rig="threePt" dir="t"/>
              </a:scene3d>
              <a:sp3d>
                <a:bevelT/>
              </a:sp3d>
            </c:spPr>
            <c:extLst>
              <c:ext xmlns:c16="http://schemas.microsoft.com/office/drawing/2014/chart" uri="{C3380CC4-5D6E-409C-BE32-E72D297353CC}">
                <c16:uniqueId val="{00000003-B2BD-4373-B286-739454DC48DF}"/>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1" i="0" u="none" strike="noStrike" kern="1200" baseline="0">
                    <a:solidFill>
                      <a:schemeClr val="dk1">
                        <a:lumMod val="65000"/>
                        <a:lumOff val="3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oundRectCallout">
                    <a:avLst/>
                  </a:prstGeom>
                  <a:noFill/>
                  <a:ln>
                    <a:noFill/>
                  </a:ln>
                </c15:spPr>
                <c15:layout/>
                <c15:showLeaderLines val="1"/>
                <c15:leaderLines>
                  <c:spPr>
                    <a:ln w="9525" cap="flat" cmpd="sng" algn="ctr">
                      <a:solidFill>
                        <a:schemeClr val="tx1">
                          <a:lumMod val="35000"/>
                          <a:lumOff val="65000"/>
                        </a:schemeClr>
                      </a:solidFill>
                      <a:round/>
                    </a:ln>
                    <a:effectLst/>
                  </c:spPr>
                </c15:leaderLines>
              </c:ext>
            </c:extLst>
          </c:dLbls>
          <c:cat>
            <c:strRef>
              <c:f>Hoja1!$B$23:$B$25</c:f>
              <c:strCache>
                <c:ptCount val="3"/>
                <c:pt idx="0">
                  <c:v>Con instituciones acreditadas</c:v>
                </c:pt>
                <c:pt idx="1">
                  <c:v>Sin instituciones acreditadas</c:v>
                </c:pt>
                <c:pt idx="2">
                  <c:v>Total departamentos afectados</c:v>
                </c:pt>
              </c:strCache>
            </c:strRef>
          </c:cat>
          <c:val>
            <c:numRef>
              <c:f>Hoja1!$C$23:$C$25</c:f>
              <c:numCache>
                <c:formatCode>General</c:formatCode>
                <c:ptCount val="3"/>
                <c:pt idx="0">
                  <c:v>7</c:v>
                </c:pt>
                <c:pt idx="1">
                  <c:v>13</c:v>
                </c:pt>
                <c:pt idx="2">
                  <c:v>20</c:v>
                </c:pt>
              </c:numCache>
            </c:numRef>
          </c:val>
          <c:extLst>
            <c:ext xmlns:c16="http://schemas.microsoft.com/office/drawing/2014/chart" uri="{C3380CC4-5D6E-409C-BE32-E72D297353CC}">
              <c16:uniqueId val="{00000004-B2BD-4373-B286-739454DC48DF}"/>
            </c:ext>
          </c:extLst>
        </c:ser>
        <c:dLbls>
          <c:showLegendKey val="0"/>
          <c:showVal val="0"/>
          <c:showCatName val="0"/>
          <c:showSerName val="0"/>
          <c:showPercent val="0"/>
          <c:showBubbleSize val="0"/>
        </c:dLbls>
        <c:gapWidth val="150"/>
        <c:shape val="box"/>
        <c:axId val="1288422848"/>
        <c:axId val="1288417408"/>
        <c:axId val="0"/>
      </c:bar3DChart>
      <c:catAx>
        <c:axId val="128842284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s-CO"/>
          </a:p>
        </c:txPr>
        <c:crossAx val="1288417408"/>
        <c:crosses val="autoZero"/>
        <c:auto val="1"/>
        <c:lblAlgn val="ctr"/>
        <c:lblOffset val="100"/>
        <c:noMultiLvlLbl val="0"/>
      </c:catAx>
      <c:valAx>
        <c:axId val="1288417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2884228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Ubicación de beneficiarios de créditos</a:t>
            </a:r>
            <a:r>
              <a:rPr lang="es-CO" baseline="0"/>
              <a:t> ICETEX</a:t>
            </a:r>
            <a:endParaRPr lang="es-CO"/>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32567893299052"/>
          <c:y val="0.28536251150424402"/>
          <c:w val="0.66751727462638599"/>
          <c:h val="0.51663428435082004"/>
        </c:manualLayout>
      </c:layout>
      <c:pie3DChart>
        <c:varyColors val="1"/>
        <c:ser>
          <c:idx val="0"/>
          <c:order val="0"/>
          <c:spPr>
            <a:solidFill>
              <a:srgbClr val="FFC000"/>
            </a:solidFill>
            <a:scene3d>
              <a:camera prst="orthographicFront"/>
              <a:lightRig rig="threePt" dir="t"/>
            </a:scene3d>
            <a:sp3d>
              <a:bevelT/>
              <a:contourClr>
                <a:srgbClr val="000000"/>
              </a:contourClr>
            </a:sp3d>
          </c:spPr>
          <c:dPt>
            <c:idx val="0"/>
            <c:bubble3D val="0"/>
            <c:spPr>
              <a:solidFill>
                <a:srgbClr val="FFC000"/>
              </a:solidFill>
              <a:ln w="25400">
                <a:solidFill>
                  <a:schemeClr val="lt1"/>
                </a:solidFill>
              </a:ln>
              <a:effectLst/>
              <a:scene3d>
                <a:camera prst="orthographicFront"/>
                <a:lightRig rig="threePt" dir="t"/>
              </a:scene3d>
              <a:sp3d contourW="25400">
                <a:bevelT/>
                <a:contourClr>
                  <a:schemeClr val="lt1"/>
                </a:contourClr>
              </a:sp3d>
            </c:spPr>
            <c:extLst>
              <c:ext xmlns:c16="http://schemas.microsoft.com/office/drawing/2014/chart" uri="{C3380CC4-5D6E-409C-BE32-E72D297353CC}">
                <c16:uniqueId val="{00000001-87EB-4EE6-87AB-381412C3A94B}"/>
              </c:ext>
            </c:extLst>
          </c:dPt>
          <c:dPt>
            <c:idx val="1"/>
            <c:bubble3D val="0"/>
            <c:spPr>
              <a:solidFill>
                <a:schemeClr val="accent6">
                  <a:lumMod val="50000"/>
                </a:schemeClr>
              </a:solidFill>
              <a:ln w="25400">
                <a:solidFill>
                  <a:schemeClr val="lt1"/>
                </a:solidFill>
              </a:ln>
              <a:effectLst/>
              <a:scene3d>
                <a:camera prst="orthographicFront"/>
                <a:lightRig rig="threePt" dir="t"/>
              </a:scene3d>
              <a:sp3d contourW="25400">
                <a:bevelT/>
                <a:contourClr>
                  <a:schemeClr val="lt1"/>
                </a:contourClr>
              </a:sp3d>
            </c:spPr>
            <c:extLst>
              <c:ext xmlns:c16="http://schemas.microsoft.com/office/drawing/2014/chart" uri="{C3380CC4-5D6E-409C-BE32-E72D297353CC}">
                <c16:uniqueId val="{00000003-87EB-4EE6-87AB-381412C3A94B}"/>
              </c:ext>
            </c:extLst>
          </c:dPt>
          <c:dPt>
            <c:idx val="2"/>
            <c:bubble3D val="0"/>
            <c:spPr>
              <a:solidFill>
                <a:srgbClr val="C00000"/>
              </a:solidFill>
              <a:ln w="25400">
                <a:solidFill>
                  <a:schemeClr val="lt1"/>
                </a:solidFill>
              </a:ln>
              <a:effectLst/>
              <a:scene3d>
                <a:camera prst="orthographicFront"/>
                <a:lightRig rig="threePt" dir="t"/>
              </a:scene3d>
              <a:sp3d contourW="25400">
                <a:bevelT/>
                <a:contourClr>
                  <a:schemeClr val="lt1"/>
                </a:contourClr>
              </a:sp3d>
            </c:spPr>
            <c:extLst>
              <c:ext xmlns:c16="http://schemas.microsoft.com/office/drawing/2014/chart" uri="{C3380CC4-5D6E-409C-BE32-E72D297353CC}">
                <c16:uniqueId val="{00000005-87EB-4EE6-87AB-381412C3A94B}"/>
              </c:ext>
            </c:extLst>
          </c:dPt>
          <c:dLbls>
            <c:dLbl>
              <c:idx val="0"/>
              <c:layout>
                <c:manualLayout>
                  <c:x val="-1.2329798060956699E-2"/>
                  <c:y val="0.229167944915976"/>
                </c:manualLayout>
              </c:layout>
              <c:showLegendKey val="0"/>
              <c:showVal val="1"/>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1-87EB-4EE6-87AB-381412C3A94B}"/>
                </c:ext>
              </c:extLst>
            </c:dLbl>
            <c:dLbl>
              <c:idx val="1"/>
              <c:layout>
                <c:manualLayout>
                  <c:x val="6.8027210884353704E-3"/>
                  <c:y val="0.100850121007601"/>
                </c:manualLayout>
              </c:layout>
              <c:tx>
                <c:rich>
                  <a:bodyPr/>
                  <a:lstStyle/>
                  <a:p>
                    <a:fld id="{DA564D7D-5330-4F4F-855F-B9C00A5B887D}" type="CATEGORYNAME">
                      <a:rPr lang="en-US"/>
                      <a:pPr/>
                      <a:t>[NOMBRE DE CATEGORÍA]</a:t>
                    </a:fld>
                    <a:r>
                      <a:rPr lang="en-US" baseline="0"/>
                      <a:t>; </a:t>
                    </a:r>
                    <a:fld id="{19DC2354-CF30-4AFB-A949-D957A3E61AE2}" type="VALUE">
                      <a:rPr lang="en-US" baseline="0"/>
                      <a:pPr/>
                      <a:t>[VALOR]</a:t>
                    </a:fld>
                    <a:r>
                      <a:rPr lang="en-US" baseline="0"/>
                      <a:t>; </a:t>
                    </a:r>
                    <a:fld id="{F3B65E89-E407-455F-8869-0C1EBE2F37AC}" type="PERCENTAGE">
                      <a:rPr lang="en-US" baseline="0"/>
                      <a:pPr/>
                      <a:t>[PORCENTAJE]</a:t>
                    </a:fld>
                    <a:endParaRPr lang="en-US" baseline="0"/>
                  </a:p>
                </c:rich>
              </c:tx>
              <c:showLegendKey val="0"/>
              <c:showVal val="1"/>
              <c:showCatName val="1"/>
              <c:showSerName val="0"/>
              <c:showPercent val="1"/>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3-87EB-4EE6-87AB-381412C3A94B}"/>
                </c:ext>
              </c:extLst>
            </c:dLbl>
            <c:dLbl>
              <c:idx val="2"/>
              <c:layout>
                <c:manualLayout>
                  <c:x val="-7.5158692545430297E-2"/>
                  <c:y val="-1.7592460033404901E-2"/>
                </c:manualLayout>
              </c:layout>
              <c:showLegendKey val="0"/>
              <c:showVal val="1"/>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5-87EB-4EE6-87AB-381412C3A94B}"/>
                </c:ext>
              </c:extLst>
            </c:dLbl>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mn-lt"/>
                    <a:ea typeface="+mn-ea"/>
                    <a:cs typeface="+mn-cs"/>
                  </a:defRPr>
                </a:pPr>
                <a:endParaRPr lang="es-CO"/>
              </a:p>
            </c:txPr>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Hoja1!$B$28:$B$30</c:f>
              <c:strCache>
                <c:ptCount val="3"/>
                <c:pt idx="0">
                  <c:v>En los 20 departamentos afectados</c:v>
                </c:pt>
                <c:pt idx="1">
                  <c:v>en 13 departamentos sin oferta acreditada</c:v>
                </c:pt>
                <c:pt idx="2">
                  <c:v>En el resto del país</c:v>
                </c:pt>
              </c:strCache>
            </c:strRef>
          </c:cat>
          <c:val>
            <c:numRef>
              <c:f>Hoja1!$C$28:$C$30</c:f>
              <c:numCache>
                <c:formatCode>_(* #,##0_);_(* \(#,##0\);_(* "-"??_);_(@_)</c:formatCode>
                <c:ptCount val="3"/>
                <c:pt idx="0">
                  <c:v>347703.17400000012</c:v>
                </c:pt>
                <c:pt idx="1">
                  <c:v>127009.11599999999</c:v>
                </c:pt>
                <c:pt idx="2">
                  <c:v>154045.7099999999</c:v>
                </c:pt>
              </c:numCache>
            </c:numRef>
          </c:val>
          <c:extLst>
            <c:ext xmlns:c16="http://schemas.microsoft.com/office/drawing/2014/chart" uri="{C3380CC4-5D6E-409C-BE32-E72D297353CC}">
              <c16:uniqueId val="{00000006-87EB-4EE6-87AB-381412C3A94B}"/>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bar"/>
        <c:grouping val="percentStacked"/>
        <c:varyColors val="0"/>
        <c:ser>
          <c:idx val="0"/>
          <c:order val="0"/>
          <c:tx>
            <c:strRef>
              <c:f>Hoja1!$D$51</c:f>
              <c:strCache>
                <c:ptCount val="1"/>
                <c:pt idx="0">
                  <c:v>% Programa Acreditado</c:v>
                </c:pt>
              </c:strCache>
            </c:strRef>
          </c:tx>
          <c:spPr>
            <a:solidFill>
              <a:srgbClr val="006600"/>
            </a:solidFill>
            <a:ln>
              <a:noFill/>
            </a:ln>
            <a:effectLst/>
            <a:scene3d>
              <a:camera prst="orthographicFront"/>
              <a:lightRig rig="threePt" dir="t"/>
            </a:scene3d>
            <a:sp3d>
              <a:bevelT/>
            </a:sp3d>
          </c:spPr>
          <c:invertIfNegative val="0"/>
          <c:cat>
            <c:strRef>
              <c:f>Hoja1!$B$52:$B$58</c:f>
              <c:strCache>
                <c:ptCount val="7"/>
                <c:pt idx="0">
                  <c:v>Total solicitudes de créditos educativos</c:v>
                </c:pt>
                <c:pt idx="1">
                  <c:v>Líneas de Tú Eliges</c:v>
                </c:pt>
                <c:pt idx="2">
                  <c:v>ACCES</c:v>
                </c:pt>
                <c:pt idx="3">
                  <c:v>Curso oficial y/o Suboficial</c:v>
                </c:pt>
                <c:pt idx="4">
                  <c:v>Posgrados</c:v>
                </c:pt>
                <c:pt idx="5">
                  <c:v>Población con especial protección const.</c:v>
                </c:pt>
                <c:pt idx="6">
                  <c:v>Pregrado mediano y largo plazo</c:v>
                </c:pt>
              </c:strCache>
            </c:strRef>
          </c:cat>
          <c:val>
            <c:numRef>
              <c:f>Hoja1!$D$52:$D$58</c:f>
              <c:numCache>
                <c:formatCode>0%</c:formatCode>
                <c:ptCount val="7"/>
                <c:pt idx="0">
                  <c:v>0.32572223975377063</c:v>
                </c:pt>
                <c:pt idx="1">
                  <c:v>0.11500935896493739</c:v>
                </c:pt>
                <c:pt idx="2">
                  <c:v>0.12992318299910516</c:v>
                </c:pt>
                <c:pt idx="3">
                  <c:v>5.2090312930933866E-3</c:v>
                </c:pt>
                <c:pt idx="4">
                  <c:v>1.6815876954467447E-3</c:v>
                </c:pt>
                <c:pt idx="5">
                  <c:v>1.2103973129179654E-3</c:v>
                </c:pt>
                <c:pt idx="6">
                  <c:v>4.8614743503840853E-2</c:v>
                </c:pt>
              </c:numCache>
            </c:numRef>
          </c:val>
          <c:extLst>
            <c:ext xmlns:c16="http://schemas.microsoft.com/office/drawing/2014/chart" uri="{C3380CC4-5D6E-409C-BE32-E72D297353CC}">
              <c16:uniqueId val="{00000000-3744-43A7-851C-159A1DB4F819}"/>
            </c:ext>
          </c:extLst>
        </c:ser>
        <c:ser>
          <c:idx val="1"/>
          <c:order val="1"/>
          <c:tx>
            <c:strRef>
              <c:f>Hoja1!$E$51</c:f>
              <c:strCache>
                <c:ptCount val="1"/>
                <c:pt idx="0">
                  <c:v>% Programa No Acreditado</c:v>
                </c:pt>
              </c:strCache>
            </c:strRef>
          </c:tx>
          <c:spPr>
            <a:solidFill>
              <a:srgbClr val="FFC000"/>
            </a:solidFill>
            <a:ln>
              <a:noFill/>
            </a:ln>
            <a:effectLst/>
            <a:scene3d>
              <a:camera prst="orthographicFront"/>
              <a:lightRig rig="threePt" dir="t"/>
            </a:scene3d>
            <a:sp3d>
              <a:bevelT/>
            </a:sp3d>
          </c:spPr>
          <c:invertIfNegative val="0"/>
          <c:cat>
            <c:strRef>
              <c:f>Hoja1!$B$52:$B$58</c:f>
              <c:strCache>
                <c:ptCount val="7"/>
                <c:pt idx="0">
                  <c:v>Total solicitudes de créditos educativos</c:v>
                </c:pt>
                <c:pt idx="1">
                  <c:v>Líneas de Tú Eliges</c:v>
                </c:pt>
                <c:pt idx="2">
                  <c:v>ACCES</c:v>
                </c:pt>
                <c:pt idx="3">
                  <c:v>Curso oficial y/o Suboficial</c:v>
                </c:pt>
                <c:pt idx="4">
                  <c:v>Posgrados</c:v>
                </c:pt>
                <c:pt idx="5">
                  <c:v>Población con especial protección const.</c:v>
                </c:pt>
                <c:pt idx="6">
                  <c:v>Pregrado mediano y largo plazo</c:v>
                </c:pt>
              </c:strCache>
            </c:strRef>
          </c:cat>
          <c:val>
            <c:numRef>
              <c:f>Hoja1!$E$52:$E$58</c:f>
              <c:numCache>
                <c:formatCode>0%</c:formatCode>
                <c:ptCount val="7"/>
                <c:pt idx="0">
                  <c:v>0.67427776024622943</c:v>
                </c:pt>
                <c:pt idx="1">
                  <c:v>0.22453302439382869</c:v>
                </c:pt>
                <c:pt idx="2">
                  <c:v>0.22930544808476239</c:v>
                </c:pt>
                <c:pt idx="3">
                  <c:v>1.6729420003544736E-3</c:v>
                </c:pt>
                <c:pt idx="4">
                  <c:v>4.6388477017581024E-2</c:v>
                </c:pt>
                <c:pt idx="5">
                  <c:v>4.1672250344747088E-3</c:v>
                </c:pt>
                <c:pt idx="6">
                  <c:v>8.1053391490042315E-2</c:v>
                </c:pt>
              </c:numCache>
            </c:numRef>
          </c:val>
          <c:extLst>
            <c:ext xmlns:c16="http://schemas.microsoft.com/office/drawing/2014/chart" uri="{C3380CC4-5D6E-409C-BE32-E72D297353CC}">
              <c16:uniqueId val="{00000001-3744-43A7-851C-159A1DB4F819}"/>
            </c:ext>
          </c:extLst>
        </c:ser>
        <c:dLbls>
          <c:showLegendKey val="0"/>
          <c:showVal val="0"/>
          <c:showCatName val="0"/>
          <c:showSerName val="0"/>
          <c:showPercent val="0"/>
          <c:showBubbleSize val="0"/>
        </c:dLbls>
        <c:gapWidth val="150"/>
        <c:overlap val="100"/>
        <c:axId val="1231402256"/>
        <c:axId val="1231414224"/>
      </c:barChart>
      <c:catAx>
        <c:axId val="12314022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s-CO"/>
          </a:p>
        </c:txPr>
        <c:crossAx val="1231414224"/>
        <c:crosses val="autoZero"/>
        <c:auto val="1"/>
        <c:lblAlgn val="ctr"/>
        <c:lblOffset val="100"/>
        <c:noMultiLvlLbl val="0"/>
      </c:catAx>
      <c:valAx>
        <c:axId val="123141422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s-CO"/>
          </a:p>
        </c:txPr>
        <c:crossAx val="123140225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FB1A6-D482-4CF1-9072-FA6917C13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3568</Words>
  <Characters>19601</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MEN</Company>
  <LinksUpToDate>false</LinksUpToDate>
  <CharactersWithSpaces>23123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Andrea Barrios Lozano</dc:creator>
  <cp:lastModifiedBy>Hasbleidy Súarez Sánchez</cp:lastModifiedBy>
  <cp:revision>2</cp:revision>
  <cp:lastPrinted>2017-08-15T19:52:00Z</cp:lastPrinted>
  <dcterms:created xsi:type="dcterms:W3CDTF">2017-08-16T15:20:00Z</dcterms:created>
  <dcterms:modified xsi:type="dcterms:W3CDTF">2017-08-16T15:20:00Z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vt:lpwstr>
  </property>
</Properties>
</file>