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535"/>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PROYECTO DE LEY No ___ de 2024 CÁMARA </w:t>
      </w:r>
    </w:p>
    <w:p w:rsidR="00000000" w:rsidDel="00000000" w:rsidP="00000000" w:rsidRDefault="00000000" w:rsidRPr="00000000" w14:paraId="00000002">
      <w:pPr>
        <w:tabs>
          <w:tab w:val="left" w:leader="none" w:pos="2535"/>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“POR MEDIO DE LA CUAL SE ESTABLECE LA ENSEÑANZA OBLIGATORIA  SOBRE LA PROTECCIÓN LEGAL Y CONSTITUCIONAL A LA MUJER”-</w:t>
      </w:r>
    </w:p>
    <w:p w:rsidR="00000000" w:rsidDel="00000000" w:rsidP="00000000" w:rsidRDefault="00000000" w:rsidRPr="00000000" w14:paraId="00000003">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tabs>
          <w:tab w:val="left" w:leader="none" w:pos="2535"/>
        </w:tabs>
        <w:spacing w:after="160" w:line="276" w:lineRule="auto"/>
        <w:jc w:val="center"/>
        <w:rPr>
          <w:rFonts w:ascii="Times New Roman" w:cs="Times New Roman" w:eastAsia="Times New Roman" w:hAnsi="Times New Roman"/>
          <w:b w:val="1"/>
        </w:rPr>
      </w:pPr>
      <w:bookmarkStart w:colFirst="0" w:colLast="0" w:name="_heading=h.agee7fnuck18" w:id="0"/>
      <w:bookmarkEnd w:id="0"/>
      <w:r w:rsidDel="00000000" w:rsidR="00000000" w:rsidRPr="00000000">
        <w:rPr>
          <w:rFonts w:ascii="Times New Roman" w:cs="Times New Roman" w:eastAsia="Times New Roman" w:hAnsi="Times New Roman"/>
          <w:b w:val="1"/>
          <w:rtl w:val="0"/>
        </w:rPr>
        <w:t xml:space="preserve">EL CONGRESO DE COLOMBIA </w:t>
      </w:r>
    </w:p>
    <w:p w:rsidR="00000000" w:rsidDel="00000000" w:rsidP="00000000" w:rsidRDefault="00000000" w:rsidRPr="00000000" w14:paraId="00000005">
      <w:pPr>
        <w:tabs>
          <w:tab w:val="left" w:leader="none" w:pos="2535"/>
        </w:tabs>
        <w:spacing w:after="160" w:line="276" w:lineRule="auto"/>
        <w:jc w:val="center"/>
        <w:rPr>
          <w:rFonts w:ascii="Times New Roman" w:cs="Times New Roman" w:eastAsia="Times New Roman" w:hAnsi="Times New Roman"/>
          <w:b w:val="1"/>
        </w:rPr>
      </w:pPr>
      <w:bookmarkStart w:colFirst="0" w:colLast="0" w:name="_heading=h.5y4ik5qde1mt" w:id="1"/>
      <w:bookmarkEnd w:id="1"/>
      <w:r w:rsidDel="00000000" w:rsidR="00000000" w:rsidRPr="00000000">
        <w:rPr>
          <w:rtl w:val="0"/>
        </w:rPr>
      </w:r>
    </w:p>
    <w:p w:rsidR="00000000" w:rsidDel="00000000" w:rsidP="00000000" w:rsidRDefault="00000000" w:rsidRPr="00000000" w14:paraId="00000006">
      <w:pPr>
        <w:tabs>
          <w:tab w:val="left" w:leader="none" w:pos="2535"/>
        </w:tabs>
        <w:spacing w:after="160" w:line="276" w:lineRule="auto"/>
        <w:jc w:val="center"/>
        <w:rPr>
          <w:rFonts w:ascii="Times New Roman" w:cs="Times New Roman" w:eastAsia="Times New Roman" w:hAnsi="Times New Roman"/>
          <w:b w:val="1"/>
        </w:rPr>
      </w:pPr>
      <w:bookmarkStart w:colFirst="0" w:colLast="0" w:name="_heading=h.ecb2gtrbk1x0" w:id="2"/>
      <w:bookmarkEnd w:id="2"/>
      <w:r w:rsidDel="00000000" w:rsidR="00000000" w:rsidRPr="00000000">
        <w:rPr>
          <w:rFonts w:ascii="Times New Roman" w:cs="Times New Roman" w:eastAsia="Times New Roman" w:hAnsi="Times New Roman"/>
          <w:b w:val="1"/>
          <w:rtl w:val="0"/>
        </w:rPr>
        <w:t xml:space="preserve">DECRETA:</w:t>
      </w:r>
    </w:p>
    <w:p w:rsidR="00000000" w:rsidDel="00000000" w:rsidP="00000000" w:rsidRDefault="00000000" w:rsidRPr="00000000" w14:paraId="00000007">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1º. </w:t>
      </w:r>
      <w:r w:rsidDel="00000000" w:rsidR="00000000" w:rsidRPr="00000000">
        <w:rPr>
          <w:rFonts w:ascii="Times New Roman" w:cs="Times New Roman" w:eastAsia="Times New Roman" w:hAnsi="Times New Roman"/>
          <w:b w:val="1"/>
          <w:i w:val="1"/>
          <w:rtl w:val="0"/>
        </w:rPr>
        <w:t xml:space="preserve">Objeto.</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La presente ley tiene como objeto establecer la enseñanza obligatoria sobre la protección legal y constitucional de la mujer, enfatizando en la prevención de cualquier forma de violencia que pueda aplicarse en su contra</w:t>
      </w:r>
    </w:p>
    <w:p w:rsidR="00000000" w:rsidDel="00000000" w:rsidP="00000000" w:rsidRDefault="00000000" w:rsidRPr="00000000" w14:paraId="00000008">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2º. </w:t>
      </w:r>
      <w:r w:rsidDel="00000000" w:rsidR="00000000" w:rsidRPr="00000000">
        <w:rPr>
          <w:rFonts w:ascii="Times New Roman" w:cs="Times New Roman" w:eastAsia="Times New Roman" w:hAnsi="Times New Roman"/>
          <w:b w:val="1"/>
          <w:i w:val="1"/>
          <w:rtl w:val="0"/>
        </w:rPr>
        <w:t xml:space="preserve">Enseñanza sobre la protección legal y constitucional de la mujer en Colombia.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Modifíquese el literal e) del artículo 14º de la Ley 115 de 1994, que define la enseñanza obligatoria en los establecimientos oficiales o privados que ofrezcan educación formal, el cual quedará así:</w:t>
      </w:r>
    </w:p>
    <w:p w:rsidR="00000000" w:rsidDel="00000000" w:rsidP="00000000" w:rsidRDefault="00000000" w:rsidRPr="00000000" w14:paraId="0000000A">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tabs>
          <w:tab w:val="left" w:leader="none" w:pos="2535"/>
        </w:tabs>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La educación sexual, impartida en cada caso de acuerdo con las necesidades psíquicas, físicas, afectivas de los educandos según su edad  y la enseñanza de la protección legal y constitucional a la mujer en Colombia.</w:t>
      </w:r>
    </w:p>
    <w:p w:rsidR="00000000" w:rsidDel="00000000" w:rsidP="00000000" w:rsidRDefault="00000000" w:rsidRPr="00000000" w14:paraId="0000000C">
      <w:pPr>
        <w:tabs>
          <w:tab w:val="left" w:leader="none" w:pos="2535"/>
        </w:tabs>
        <w:spacing w:line="276" w:lineRule="auto"/>
        <w:ind w:left="0" w:right="333"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3º. </w:t>
      </w:r>
      <w:r w:rsidDel="00000000" w:rsidR="00000000" w:rsidRPr="00000000">
        <w:rPr>
          <w:rFonts w:ascii="Times New Roman" w:cs="Times New Roman" w:eastAsia="Times New Roman" w:hAnsi="Times New Roman"/>
          <w:b w:val="1"/>
          <w:i w:val="1"/>
          <w:rtl w:val="0"/>
        </w:rPr>
        <w:t xml:space="preserve">Contenido.</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Los contenidos transversales, temáticos y de estudio sobre la protección legal y constitucional a la mujer en Colombia, serán fijados por el Ministerio de Educación y construidos con base en la ley, y la jurisprudencia.</w:t>
      </w:r>
    </w:p>
    <w:p w:rsidR="00000000" w:rsidDel="00000000" w:rsidP="00000000" w:rsidRDefault="00000000" w:rsidRPr="00000000" w14:paraId="0000000E">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4º. </w:t>
      </w:r>
      <w:r w:rsidDel="00000000" w:rsidR="00000000" w:rsidRPr="00000000">
        <w:rPr>
          <w:rFonts w:ascii="Times New Roman" w:cs="Times New Roman" w:eastAsia="Times New Roman" w:hAnsi="Times New Roman"/>
          <w:b w:val="1"/>
          <w:i w:val="1"/>
          <w:rtl w:val="0"/>
        </w:rPr>
        <w:t xml:space="preserve">Transitoriedad.</w:t>
      </w:r>
      <w:r w:rsidDel="00000000" w:rsidR="00000000" w:rsidRPr="00000000">
        <w:rPr>
          <w:rFonts w:ascii="Times New Roman" w:cs="Times New Roman" w:eastAsia="Times New Roman" w:hAnsi="Times New Roman"/>
          <w:rtl w:val="0"/>
        </w:rPr>
        <w:t xml:space="preserve"> El Ministerio de Educación tendrá un año como máximo para la construcción y adaptación de los contenidos curriculares al presente requerimiento, y a su reglamentación. </w:t>
      </w:r>
    </w:p>
    <w:p w:rsidR="00000000" w:rsidDel="00000000" w:rsidP="00000000" w:rsidRDefault="00000000" w:rsidRPr="00000000" w14:paraId="00000010">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ARTÍCULO 5º. </w:t>
      </w:r>
      <w:r w:rsidDel="00000000" w:rsidR="00000000" w:rsidRPr="00000000">
        <w:rPr>
          <w:rFonts w:ascii="Times New Roman" w:cs="Times New Roman" w:eastAsia="Times New Roman" w:hAnsi="Times New Roman"/>
          <w:b w:val="1"/>
          <w:i w:val="1"/>
          <w:rtl w:val="0"/>
        </w:rPr>
        <w:t xml:space="preserve">Vigencia.</w:t>
      </w:r>
      <w:r w:rsidDel="00000000" w:rsidR="00000000" w:rsidRPr="00000000">
        <w:rPr>
          <w:rFonts w:ascii="Times New Roman" w:cs="Times New Roman" w:eastAsia="Times New Roman" w:hAnsi="Times New Roman"/>
          <w:rtl w:val="0"/>
        </w:rPr>
        <w:t xml:space="preserve"> La presente Ley rige a partir de la fecha de su promulgación y deroga todas las disposiciones que le sean contrarias.</w:t>
      </w:r>
      <w:r w:rsidDel="00000000" w:rsidR="00000000" w:rsidRPr="00000000">
        <w:rPr>
          <w:rtl w:val="0"/>
        </w:rPr>
      </w:r>
    </w:p>
    <w:p w:rsidR="00000000" w:rsidDel="00000000" w:rsidP="00000000" w:rsidRDefault="00000000" w:rsidRPr="00000000" w14:paraId="00000012">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spacing w:after="160" w:line="276"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160" w:line="276"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160" w:line="276"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160" w:line="276"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Atentamente:</w:t>
      </w:r>
    </w:p>
    <w:p w:rsidR="00000000" w:rsidDel="00000000" w:rsidP="00000000" w:rsidRDefault="00000000" w:rsidRPr="00000000" w14:paraId="00000017">
      <w:pPr>
        <w:spacing w:after="160" w:line="276"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160" w:line="276"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16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w:t>
      </w:r>
    </w:p>
    <w:p w:rsidR="00000000" w:rsidDel="00000000" w:rsidP="00000000" w:rsidRDefault="00000000" w:rsidRPr="00000000" w14:paraId="0000001B">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HERNANDO GONZÁLEZ </w:t>
      </w:r>
    </w:p>
    <w:p w:rsidR="00000000" w:rsidDel="00000000" w:rsidP="00000000" w:rsidRDefault="00000000" w:rsidRPr="00000000" w14:paraId="0000001C">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Representante a la Cámara</w:t>
      </w:r>
    </w:p>
    <w:p w:rsidR="00000000" w:rsidDel="00000000" w:rsidP="00000000" w:rsidRDefault="00000000" w:rsidRPr="00000000" w14:paraId="0000001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Departamento del Valle del Cauca</w:t>
      </w:r>
      <w:r w:rsidDel="00000000" w:rsidR="00000000" w:rsidRPr="00000000">
        <w:rPr>
          <w:rtl w:val="0"/>
        </w:rPr>
      </w:r>
    </w:p>
    <w:p w:rsidR="00000000" w:rsidDel="00000000" w:rsidP="00000000" w:rsidRDefault="00000000" w:rsidRPr="00000000" w14:paraId="0000001E">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tabs>
          <w:tab w:val="left" w:leader="none" w:pos="2535"/>
        </w:tabs>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__________________________</w:t>
      </w:r>
    </w:p>
    <w:p w:rsidR="00000000" w:rsidDel="00000000" w:rsidP="00000000" w:rsidRDefault="00000000" w:rsidRPr="00000000" w14:paraId="0000003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_________________________                                               _________________________</w:t>
      </w:r>
    </w:p>
    <w:p w:rsidR="00000000" w:rsidDel="00000000" w:rsidP="00000000" w:rsidRDefault="00000000" w:rsidRPr="00000000" w14:paraId="0000004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w:t>
      </w:r>
    </w:p>
    <w:p w:rsidR="00000000" w:rsidDel="00000000" w:rsidP="00000000" w:rsidRDefault="00000000" w:rsidRPr="00000000" w14:paraId="0000004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w:t>
      </w:r>
    </w:p>
    <w:p w:rsidR="00000000" w:rsidDel="00000000" w:rsidP="00000000" w:rsidRDefault="00000000" w:rsidRPr="00000000" w14:paraId="0000004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w:t>
      </w:r>
    </w:p>
    <w:p w:rsidR="00000000" w:rsidDel="00000000" w:rsidP="00000000" w:rsidRDefault="00000000" w:rsidRPr="00000000" w14:paraId="0000005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tabs>
          <w:tab w:val="left" w:leader="none" w:pos="2535"/>
        </w:tabs>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tabs>
          <w:tab w:val="left" w:leader="none" w:pos="2535"/>
        </w:tabs>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tabs>
          <w:tab w:val="left" w:leader="none" w:pos="2535"/>
        </w:tabs>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tabs>
          <w:tab w:val="left" w:leader="none" w:pos="2535"/>
        </w:tabs>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tabs>
          <w:tab w:val="left" w:leader="none" w:pos="2535"/>
        </w:tabs>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tabs>
          <w:tab w:val="left" w:leader="none" w:pos="2535"/>
        </w:tabs>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tabs>
          <w:tab w:val="left" w:leader="none" w:pos="2535"/>
        </w:tabs>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tabs>
          <w:tab w:val="left" w:leader="none" w:pos="2535"/>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Exposición de motivos al Proyecto de Ley</w:t>
      </w:r>
    </w:p>
    <w:p w:rsidR="00000000" w:rsidDel="00000000" w:rsidP="00000000" w:rsidRDefault="00000000" w:rsidRPr="00000000" w14:paraId="0000005D">
      <w:pPr>
        <w:tabs>
          <w:tab w:val="left" w:leader="none" w:pos="2535"/>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“Por medio de la cual se establece la enseñanza de la protección legal y constitucional a la mujer en Colombia en los establecimientos de educación formal”</w:t>
      </w:r>
    </w:p>
    <w:p w:rsidR="00000000" w:rsidDel="00000000" w:rsidP="00000000" w:rsidRDefault="00000000" w:rsidRPr="00000000" w14:paraId="0000005E">
      <w:pPr>
        <w:tabs>
          <w:tab w:val="left" w:leader="none" w:pos="2535"/>
        </w:tabs>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ANTECEDENTES</w:t>
      </w:r>
    </w:p>
    <w:p w:rsidR="00000000" w:rsidDel="00000000" w:rsidP="00000000" w:rsidRDefault="00000000" w:rsidRPr="00000000" w14:paraId="00000060">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iniciativa ya había sido presentada como ley “ni una más” en la legislatura 2019- 2020, por parte de la HS Emma Claudia Castellanos y la HR Angela Sanchez Leal, miembros del partido Cambio Radical. La iniciativa tuvo apoyo unánime del Congreso de la República en sus cuatro debates, lamentablemente hubo una diferencia en los textos salientes de las Cámaras, por lo cual la iniciativa se hundió en Julio de 2021-</w:t>
      </w:r>
    </w:p>
    <w:p w:rsidR="00000000" w:rsidDel="00000000" w:rsidP="00000000" w:rsidRDefault="00000000" w:rsidRPr="00000000" w14:paraId="00000062">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actividad educativa es una actividad de amplia y magna prospectiva que debería pensar en el futuro y, en consecuencia, adelantarse a él para así formar personas aptas para controlar y mejorar la vida en sociedad. Por tanto, la educación no es solamente un derecho humano básico, sino también un componente esencial del desarrollo económico y social, y que, al planificarse adecuadamente las inversiones en educación, se obtiene un buen dividendo, y especialmente en los países menos desarrollados, donde se logra reducir la pobreza.</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La educación es un derecho humano fundamental y un bien público porque gracias a ella nos desarrollamos como personas y como especie, y contribuimos al desarrollo de la sociedad. El ser humano necesita de la educación para desarrollarse plenamente como tal. Desde este punto de vista, finalidad de la educación es cultivar la humanidad</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por lo que la educación tiene un valor en sí misma y no sólo como herramienta para el crecimiento económico o el desarrollo social, como suele concebirse desde visiones más utilitaristas. El pleno desarrollo de la personalidad humana es la principal finalidad que se le atribuye a la educación en los instrumentos de Derechos Humanos de carácter internacional. </w:t>
      </w:r>
    </w:p>
    <w:p w:rsidR="00000000" w:rsidDel="00000000" w:rsidP="00000000" w:rsidRDefault="00000000" w:rsidRPr="00000000" w14:paraId="00000064">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Declaración Universal de los Derechos Humanos se expresa que la educación tiene por objeto el pleno desarrollo de la personalidad humana y el fortalecimiento del respeto a los derechos humanos y a las libertades fundamentales; y que ha de favorecer la comprensión, la tolerancia y la amistad entre todas las naciones y todos los grupos étnicos o religiosos. En la Convención de los Derechos Económicos, Sociales y Culturales se agrega el desarrollo del sentido de dignidad y de capacitar a todas las personas para participar efectivamente en una sociedad libre. En la Convención de los Derechos del Niño se añade a lo anterior la finalidad de inculcar al niño el respeto por el medio ambiente natural, por su identidad cultural, su idioma y el respeto a los valores nacionales y al de otras civilizaciones. El derecho a la educación hace posible el ejercicio de otros derechos humanos fundamentales y, en consecuencia, de la ciudadanía. Difícilmente se podrá acceder a un empleo digno, o ejercer la libertad de expresión o de participación, si no se tiene educación. Esto supone que no puede ser considerada como un mero servicio o una mercancía negociable, sino como un derecho que el Estado tiene la obligación de respetar, asegurar, proteger y promover. Los servicios pueden ser diferidos, pospuestos y hasta negados, mientras que un derecho es exigible y justiciable por las consecuencias que se derivan de su violación o irrespeto</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6">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tabs>
          <w:tab w:val="left" w:leader="none" w:pos="2535"/>
        </w:tabs>
        <w:spacing w:line="276" w:lineRule="auto"/>
        <w:jc w:val="both"/>
        <w:rPr>
          <w:rFonts w:ascii="Times New Roman" w:cs="Times New Roman" w:eastAsia="Times New Roman" w:hAnsi="Times New Roman"/>
          <w:b w:val="1"/>
          <w:strike w:val="1"/>
        </w:rPr>
      </w:pPr>
      <w:r w:rsidDel="00000000" w:rsidR="00000000" w:rsidRPr="00000000">
        <w:rPr>
          <w:rFonts w:ascii="Times New Roman" w:cs="Times New Roman" w:eastAsia="Times New Roman" w:hAnsi="Times New Roman"/>
          <w:rtl w:val="0"/>
        </w:rPr>
        <w:t xml:space="preserve">Como la educación constituye un derecho social básico y un elemento impulsor del desarrollo de los pueblos, se convierte en el principal recurso y en la mayor riqueza que puede tener un país, es decir, se convierte en el medio más adecuado para garantizar el ejercicio de una ciudadanía democrática y responsable, indispensable para la construcción de sociedades avanzadas y justas que persiguen los Objetivos de Desarrollo de Sostenible. Es por eso por lo que educación basada en las prerrogativas de respeto de la dignidad humana y de la igualdad podrían significar una baja notable en las cifras de violencia por lo cual resulta fundamental apoyar este proyecto de ley, el cual está fundamentado en la educación para lograr a mediano y largo plazo un cambio radical en la concepción de los derechos de los demás, en este caso de la mujer.</w:t>
      </w:r>
      <w:r w:rsidDel="00000000" w:rsidR="00000000" w:rsidRPr="00000000">
        <w:rPr>
          <w:rtl w:val="0"/>
        </w:rPr>
      </w:r>
    </w:p>
    <w:p w:rsidR="00000000" w:rsidDel="00000000" w:rsidP="00000000" w:rsidRDefault="00000000" w:rsidRPr="00000000" w14:paraId="00000068">
      <w:pPr>
        <w:tabs>
          <w:tab w:val="left" w:leader="none" w:pos="2535"/>
        </w:tabs>
        <w:spacing w:line="276" w:lineRule="auto"/>
        <w:jc w:val="both"/>
        <w:rPr>
          <w:rFonts w:ascii="Times New Roman" w:cs="Times New Roman" w:eastAsia="Times New Roman" w:hAnsi="Times New Roman"/>
          <w:b w:val="1"/>
          <w:strike w:val="1"/>
        </w:rPr>
      </w:pPr>
      <w:r w:rsidDel="00000000" w:rsidR="00000000" w:rsidRPr="00000000">
        <w:rPr>
          <w:rtl w:val="0"/>
        </w:rPr>
      </w:r>
    </w:p>
    <w:p w:rsidR="00000000" w:rsidDel="00000000" w:rsidP="00000000" w:rsidRDefault="00000000" w:rsidRPr="00000000" w14:paraId="00000069">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Avances legislativos en américa latina en prevención de violencia contra la mujer</w:t>
      </w:r>
    </w:p>
    <w:tbl>
      <w:tblPr>
        <w:tblStyle w:val="Table1"/>
        <w:tblW w:w="9570.0" w:type="dxa"/>
        <w:jc w:val="left"/>
        <w:tblInd w:w="-397.0" w:type="dxa"/>
        <w:tblBorders>
          <w:top w:color="7f7f7f" w:space="0" w:sz="4" w:val="single"/>
          <w:left w:color="bdd7ee" w:space="0" w:sz="4" w:val="single"/>
          <w:bottom w:color="7f7f7f" w:space="0" w:sz="4" w:val="single"/>
          <w:right w:color="bdd7ee" w:space="0" w:sz="4" w:val="single"/>
          <w:insideH w:color="bdd7ee" w:space="0" w:sz="4" w:val="single"/>
          <w:insideV w:color="bdd7ee" w:space="0" w:sz="4" w:val="single"/>
        </w:tblBorders>
        <w:tblLayout w:type="fixed"/>
        <w:tblLook w:val="0400"/>
      </w:tblPr>
      <w:tblGrid>
        <w:gridCol w:w="2130"/>
        <w:gridCol w:w="1665"/>
        <w:gridCol w:w="1920"/>
        <w:gridCol w:w="3855"/>
        <w:tblGridChange w:id="0">
          <w:tblGrid>
            <w:gridCol w:w="2130"/>
            <w:gridCol w:w="1665"/>
            <w:gridCol w:w="1920"/>
            <w:gridCol w:w="3855"/>
          </w:tblGrid>
        </w:tblGridChange>
      </w:tblGrid>
      <w:tr>
        <w:trPr>
          <w:cantSplit w:val="0"/>
          <w:tblHeader w:val="0"/>
        </w:trPr>
        <w:tc>
          <w:tcPr/>
          <w:p w:rsidR="00000000" w:rsidDel="00000000" w:rsidP="00000000" w:rsidRDefault="00000000" w:rsidRPr="00000000" w14:paraId="0000006A">
            <w:pPr>
              <w:tabs>
                <w:tab w:val="left" w:leader="none" w:pos="2535"/>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País</w:t>
            </w:r>
          </w:p>
        </w:tc>
        <w:tc>
          <w:tcPr/>
          <w:p w:rsidR="00000000" w:rsidDel="00000000" w:rsidP="00000000" w:rsidRDefault="00000000" w:rsidRPr="00000000" w14:paraId="0000006B">
            <w:pPr>
              <w:tabs>
                <w:tab w:val="left" w:leader="none" w:pos="2535"/>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de normas principales</w:t>
            </w:r>
          </w:p>
        </w:tc>
        <w:tc>
          <w:tcPr/>
          <w:p w:rsidR="00000000" w:rsidDel="00000000" w:rsidP="00000000" w:rsidRDefault="00000000" w:rsidRPr="00000000" w14:paraId="0000006C">
            <w:pPr>
              <w:tabs>
                <w:tab w:val="left" w:leader="none" w:pos="2535"/>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de normas Complementarias</w:t>
            </w:r>
          </w:p>
        </w:tc>
        <w:tc>
          <w:tcPr/>
          <w:p w:rsidR="00000000" w:rsidDel="00000000" w:rsidP="00000000" w:rsidRDefault="00000000" w:rsidRPr="00000000" w14:paraId="0000006D">
            <w:pPr>
              <w:tabs>
                <w:tab w:val="left" w:leader="none" w:pos="2535"/>
              </w:tabs>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tabs>
                <w:tab w:val="left" w:leader="none" w:pos="2535"/>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Eficiencia</w:t>
            </w:r>
          </w:p>
        </w:tc>
      </w:tr>
      <w:tr>
        <w:trPr>
          <w:cantSplit w:val="0"/>
          <w:trHeight w:val="220" w:hRule="atLeast"/>
          <w:tblHeader w:val="0"/>
        </w:trPr>
        <w:tc>
          <w:tcPr/>
          <w:p w:rsidR="00000000" w:rsidDel="00000000" w:rsidP="00000000" w:rsidRDefault="00000000" w:rsidRPr="00000000" w14:paraId="0000006F">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Anguila </w:t>
            </w:r>
          </w:p>
        </w:tc>
        <w:tc>
          <w:tcPr/>
          <w:p w:rsidR="00000000" w:rsidDel="00000000" w:rsidP="00000000" w:rsidRDefault="00000000" w:rsidRPr="00000000" w14:paraId="00000070">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71">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72">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73">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Antigua y Barbados</w:t>
            </w:r>
          </w:p>
        </w:tc>
        <w:tc>
          <w:tcPr/>
          <w:p w:rsidR="00000000" w:rsidDel="00000000" w:rsidP="00000000" w:rsidRDefault="00000000" w:rsidRPr="00000000" w14:paraId="00000074">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75">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76">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rHeight w:val="300" w:hRule="atLeast"/>
          <w:tblHeader w:val="0"/>
        </w:trPr>
        <w:tc>
          <w:tcPr/>
          <w:p w:rsidR="00000000" w:rsidDel="00000000" w:rsidP="00000000" w:rsidRDefault="00000000" w:rsidRPr="00000000" w14:paraId="00000077">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078">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79">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7A">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7B">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Aruba </w:t>
            </w:r>
          </w:p>
        </w:tc>
        <w:tc>
          <w:tcPr/>
          <w:p w:rsidR="00000000" w:rsidDel="00000000" w:rsidP="00000000" w:rsidRDefault="00000000" w:rsidRPr="00000000" w14:paraId="0000007C">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7D">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7E">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7F">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Bahamas </w:t>
            </w:r>
          </w:p>
        </w:tc>
        <w:tc>
          <w:tcPr/>
          <w:p w:rsidR="00000000" w:rsidDel="00000000" w:rsidP="00000000" w:rsidRDefault="00000000" w:rsidRPr="00000000" w14:paraId="00000080">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81">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82">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83">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Barbados</w:t>
            </w:r>
          </w:p>
        </w:tc>
        <w:tc>
          <w:tcPr/>
          <w:p w:rsidR="00000000" w:rsidDel="00000000" w:rsidP="00000000" w:rsidRDefault="00000000" w:rsidRPr="00000000" w14:paraId="00000084">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85">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86">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87">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Belice </w:t>
            </w:r>
          </w:p>
        </w:tc>
        <w:tc>
          <w:tcPr/>
          <w:p w:rsidR="00000000" w:rsidDel="00000000" w:rsidP="00000000" w:rsidRDefault="00000000" w:rsidRPr="00000000" w14:paraId="00000088">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89">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8A">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8B">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Bolivia</w:t>
            </w:r>
          </w:p>
        </w:tc>
        <w:tc>
          <w:tcPr/>
          <w:p w:rsidR="00000000" w:rsidDel="00000000" w:rsidP="00000000" w:rsidRDefault="00000000" w:rsidRPr="00000000" w14:paraId="0000008C">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8D">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8E">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Muy baja</w:t>
            </w:r>
          </w:p>
        </w:tc>
      </w:tr>
      <w:tr>
        <w:trPr>
          <w:cantSplit w:val="0"/>
          <w:tblHeader w:val="0"/>
        </w:trPr>
        <w:tc>
          <w:tcPr/>
          <w:p w:rsidR="00000000" w:rsidDel="00000000" w:rsidP="00000000" w:rsidRDefault="00000000" w:rsidRPr="00000000" w14:paraId="0000008F">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090">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91">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92">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93">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Chile </w:t>
            </w:r>
          </w:p>
        </w:tc>
        <w:tc>
          <w:tcPr/>
          <w:p w:rsidR="00000000" w:rsidDel="00000000" w:rsidP="00000000" w:rsidRDefault="00000000" w:rsidRPr="00000000" w14:paraId="00000094">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95">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96">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w:t>
            </w:r>
          </w:p>
        </w:tc>
      </w:tr>
      <w:tr>
        <w:trPr>
          <w:cantSplit w:val="0"/>
          <w:tblHeader w:val="0"/>
        </w:trPr>
        <w:tc>
          <w:tcPr/>
          <w:p w:rsidR="00000000" w:rsidDel="00000000" w:rsidP="00000000" w:rsidRDefault="00000000" w:rsidRPr="00000000" w14:paraId="00000097">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Rica</w:t>
            </w:r>
          </w:p>
        </w:tc>
        <w:tc>
          <w:tcPr/>
          <w:p w:rsidR="00000000" w:rsidDel="00000000" w:rsidP="00000000" w:rsidRDefault="00000000" w:rsidRPr="00000000" w14:paraId="00000098">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99">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9A">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9B">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Cuba</w:t>
            </w:r>
          </w:p>
        </w:tc>
        <w:tc>
          <w:tcPr/>
          <w:p w:rsidR="00000000" w:rsidDel="00000000" w:rsidP="00000000" w:rsidRDefault="00000000" w:rsidRPr="00000000" w14:paraId="0000009C">
            <w:pPr>
              <w:tabs>
                <w:tab w:val="left" w:leader="none" w:pos="2535"/>
              </w:tabs>
              <w:spacing w:line="276"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D">
            <w:pPr>
              <w:tabs>
                <w:tab w:val="left" w:leader="none" w:pos="2535"/>
              </w:tabs>
              <w:spacing w:line="276"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E">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 (datos no oficiales)</w:t>
            </w:r>
          </w:p>
        </w:tc>
      </w:tr>
      <w:tr>
        <w:trPr>
          <w:cantSplit w:val="0"/>
          <w:tblHeader w:val="0"/>
        </w:trPr>
        <w:tc>
          <w:tcPr/>
          <w:p w:rsidR="00000000" w:rsidDel="00000000" w:rsidP="00000000" w:rsidRDefault="00000000" w:rsidRPr="00000000" w14:paraId="0000009F">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Dominica</w:t>
            </w:r>
          </w:p>
        </w:tc>
        <w:tc>
          <w:tcPr/>
          <w:p w:rsidR="00000000" w:rsidDel="00000000" w:rsidP="00000000" w:rsidRDefault="00000000" w:rsidRPr="00000000" w14:paraId="000000A0">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A1">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A2">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 (sanciona violencia sexual pero no existen garantías de protección legal a la mujer violentada)</w:t>
            </w:r>
          </w:p>
        </w:tc>
      </w:tr>
      <w:tr>
        <w:trPr>
          <w:cantSplit w:val="0"/>
          <w:tblHeader w:val="0"/>
        </w:trPr>
        <w:tc>
          <w:tcPr/>
          <w:p w:rsidR="00000000" w:rsidDel="00000000" w:rsidP="00000000" w:rsidRDefault="00000000" w:rsidRPr="00000000" w14:paraId="000000A3">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Ecuador </w:t>
            </w:r>
          </w:p>
        </w:tc>
        <w:tc>
          <w:tcPr/>
          <w:p w:rsidR="00000000" w:rsidDel="00000000" w:rsidP="00000000" w:rsidRDefault="00000000" w:rsidRPr="00000000" w14:paraId="000000A4">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A5">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A6">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A7">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Salvador</w:t>
            </w:r>
          </w:p>
        </w:tc>
        <w:tc>
          <w:tcPr/>
          <w:p w:rsidR="00000000" w:rsidDel="00000000" w:rsidP="00000000" w:rsidRDefault="00000000" w:rsidRPr="00000000" w14:paraId="000000A8">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A9">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AA">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AB">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España </w:t>
            </w:r>
          </w:p>
        </w:tc>
        <w:tc>
          <w:tcPr/>
          <w:p w:rsidR="00000000" w:rsidDel="00000000" w:rsidP="00000000" w:rsidRDefault="00000000" w:rsidRPr="00000000" w14:paraId="000000AC">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AD">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AE">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 con mejoras pequeñas.</w:t>
            </w:r>
          </w:p>
        </w:tc>
      </w:tr>
      <w:tr>
        <w:trPr>
          <w:cantSplit w:val="0"/>
          <w:tblHeader w:val="0"/>
        </w:trPr>
        <w:tc>
          <w:tcPr/>
          <w:p w:rsidR="00000000" w:rsidDel="00000000" w:rsidP="00000000" w:rsidRDefault="00000000" w:rsidRPr="00000000" w14:paraId="000000AF">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Granada </w:t>
            </w:r>
          </w:p>
        </w:tc>
        <w:tc>
          <w:tcPr/>
          <w:p w:rsidR="00000000" w:rsidDel="00000000" w:rsidP="00000000" w:rsidRDefault="00000000" w:rsidRPr="00000000" w14:paraId="000000B0">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B1">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B2">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B3">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Guatemala</w:t>
            </w:r>
          </w:p>
        </w:tc>
        <w:tc>
          <w:tcPr/>
          <w:p w:rsidR="00000000" w:rsidDel="00000000" w:rsidP="00000000" w:rsidRDefault="00000000" w:rsidRPr="00000000" w14:paraId="000000B4">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B5">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B6">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B7">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Guyana </w:t>
            </w:r>
          </w:p>
        </w:tc>
        <w:tc>
          <w:tcPr/>
          <w:p w:rsidR="00000000" w:rsidDel="00000000" w:rsidP="00000000" w:rsidRDefault="00000000" w:rsidRPr="00000000" w14:paraId="000000B8">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B9">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BA">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BB">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Haití</w:t>
            </w:r>
          </w:p>
        </w:tc>
        <w:tc>
          <w:tcPr/>
          <w:p w:rsidR="00000000" w:rsidDel="00000000" w:rsidP="00000000" w:rsidRDefault="00000000" w:rsidRPr="00000000" w14:paraId="000000BC">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BD">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BE">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BF">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Honduras </w:t>
            </w:r>
          </w:p>
        </w:tc>
        <w:tc>
          <w:tcPr/>
          <w:p w:rsidR="00000000" w:rsidDel="00000000" w:rsidP="00000000" w:rsidRDefault="00000000" w:rsidRPr="00000000" w14:paraId="000000C0">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C1">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C2">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C3">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Jamaica </w:t>
            </w:r>
          </w:p>
        </w:tc>
        <w:tc>
          <w:tcPr/>
          <w:p w:rsidR="00000000" w:rsidDel="00000000" w:rsidP="00000000" w:rsidRDefault="00000000" w:rsidRPr="00000000" w14:paraId="000000C4">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C5">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C6">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C7">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México </w:t>
            </w:r>
          </w:p>
        </w:tc>
        <w:tc>
          <w:tcPr/>
          <w:p w:rsidR="00000000" w:rsidDel="00000000" w:rsidP="00000000" w:rsidRDefault="00000000" w:rsidRPr="00000000" w14:paraId="000000C8">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C9">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CA">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CB">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Nicaragua</w:t>
            </w:r>
          </w:p>
        </w:tc>
        <w:tc>
          <w:tcPr/>
          <w:p w:rsidR="00000000" w:rsidDel="00000000" w:rsidP="00000000" w:rsidRDefault="00000000" w:rsidRPr="00000000" w14:paraId="000000CC">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CD">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CE">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CF">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Panamá</w:t>
            </w:r>
          </w:p>
        </w:tc>
        <w:tc>
          <w:tcPr/>
          <w:p w:rsidR="00000000" w:rsidDel="00000000" w:rsidP="00000000" w:rsidRDefault="00000000" w:rsidRPr="00000000" w14:paraId="000000D0">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D1">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D2">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D3">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Paraguay</w:t>
            </w:r>
          </w:p>
        </w:tc>
        <w:tc>
          <w:tcPr/>
          <w:p w:rsidR="00000000" w:rsidDel="00000000" w:rsidP="00000000" w:rsidRDefault="00000000" w:rsidRPr="00000000" w14:paraId="000000D4">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D5">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D6">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D7">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Perú</w:t>
            </w:r>
          </w:p>
        </w:tc>
        <w:tc>
          <w:tcPr/>
          <w:p w:rsidR="00000000" w:rsidDel="00000000" w:rsidP="00000000" w:rsidRDefault="00000000" w:rsidRPr="00000000" w14:paraId="000000D8">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0D9">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DA">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DB">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Puerto Rico</w:t>
            </w:r>
          </w:p>
        </w:tc>
        <w:tc>
          <w:tcPr/>
          <w:p w:rsidR="00000000" w:rsidDel="00000000" w:rsidP="00000000" w:rsidRDefault="00000000" w:rsidRPr="00000000" w14:paraId="000000DC">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DD">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DE">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DF">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República Dominicana</w:t>
            </w:r>
          </w:p>
        </w:tc>
        <w:tc>
          <w:tcPr/>
          <w:p w:rsidR="00000000" w:rsidDel="00000000" w:rsidP="00000000" w:rsidRDefault="00000000" w:rsidRPr="00000000" w14:paraId="000000E0">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E1">
            <w:pPr>
              <w:tabs>
                <w:tab w:val="left" w:leader="none" w:pos="2535"/>
              </w:tabs>
              <w:spacing w:line="276"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2">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E3">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 Cristóbal y Nieves</w:t>
            </w:r>
          </w:p>
        </w:tc>
        <w:tc>
          <w:tcPr/>
          <w:p w:rsidR="00000000" w:rsidDel="00000000" w:rsidP="00000000" w:rsidRDefault="00000000" w:rsidRPr="00000000" w14:paraId="000000E4">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E5">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E6">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E7">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 Vicente y las granadinas</w:t>
            </w:r>
          </w:p>
        </w:tc>
        <w:tc>
          <w:tcPr/>
          <w:p w:rsidR="00000000" w:rsidDel="00000000" w:rsidP="00000000" w:rsidRDefault="00000000" w:rsidRPr="00000000" w14:paraId="000000E8">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E9">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EA">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EB">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Santa Lucia</w:t>
            </w:r>
          </w:p>
        </w:tc>
        <w:tc>
          <w:tcPr/>
          <w:p w:rsidR="00000000" w:rsidDel="00000000" w:rsidP="00000000" w:rsidRDefault="00000000" w:rsidRPr="00000000" w14:paraId="000000EC">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ED">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EE">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EF">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Surinam</w:t>
            </w:r>
          </w:p>
        </w:tc>
        <w:tc>
          <w:tcPr/>
          <w:p w:rsidR="00000000" w:rsidDel="00000000" w:rsidP="00000000" w:rsidRDefault="00000000" w:rsidRPr="00000000" w14:paraId="000000F0">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F1">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F2">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F3">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Uruguay </w:t>
            </w:r>
          </w:p>
        </w:tc>
        <w:tc>
          <w:tcPr/>
          <w:p w:rsidR="00000000" w:rsidDel="00000000" w:rsidP="00000000" w:rsidRDefault="00000000" w:rsidRPr="00000000" w14:paraId="000000F4">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F5">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F6">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Baja</w:t>
            </w:r>
          </w:p>
        </w:tc>
      </w:tr>
      <w:tr>
        <w:trPr>
          <w:cantSplit w:val="0"/>
          <w:tblHeader w:val="0"/>
        </w:trPr>
        <w:tc>
          <w:tcPr/>
          <w:p w:rsidR="00000000" w:rsidDel="00000000" w:rsidP="00000000" w:rsidRDefault="00000000" w:rsidRPr="00000000" w14:paraId="000000F7">
            <w:pPr>
              <w:tabs>
                <w:tab w:val="left" w:leader="none" w:pos="2535"/>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Venezuela </w:t>
            </w:r>
          </w:p>
        </w:tc>
        <w:tc>
          <w:tcPr/>
          <w:p w:rsidR="00000000" w:rsidDel="00000000" w:rsidP="00000000" w:rsidRDefault="00000000" w:rsidRPr="00000000" w14:paraId="000000F8">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F9">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FA">
            <w:pPr>
              <w:tabs>
                <w:tab w:val="left" w:leader="none" w:pos="2535"/>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datos actuales</w:t>
            </w:r>
          </w:p>
        </w:tc>
      </w:tr>
    </w:tbl>
    <w:p w:rsidR="00000000" w:rsidDel="00000000" w:rsidP="00000000" w:rsidRDefault="00000000" w:rsidRPr="00000000" w14:paraId="000000FB">
      <w:pPr>
        <w:numPr>
          <w:ilvl w:val="0"/>
          <w:numId w:val="1"/>
        </w:numPr>
        <w:tabs>
          <w:tab w:val="left" w:leader="none" w:pos="2535"/>
        </w:tabs>
        <w:spacing w:line="276" w:lineRule="auto"/>
        <w:ind w:left="720" w:hanging="36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*datos de la CEPAL.</w:t>
      </w:r>
    </w:p>
    <w:p w:rsidR="00000000" w:rsidDel="00000000" w:rsidP="00000000" w:rsidRDefault="00000000" w:rsidRPr="00000000" w14:paraId="000000FC">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cifras anteriores consolidan la premisa de que no existen legislaciones que minimicen de manera categórica de violencia contra la mujer, es una problemática a nivel internacional que ha generado el pronunciamiento de múltiples especialistas en el tema, que han venido definiendo la violencia, desde sus diferentes formas, y/o fuentes, puesto que en los últimos años las lesiones personales y el feminicidio han sido frecuentes en las cifras de violencia en Latinoamérica.</w:t>
      </w:r>
    </w:p>
    <w:p w:rsidR="00000000" w:rsidDel="00000000" w:rsidP="00000000" w:rsidRDefault="00000000" w:rsidRPr="00000000" w14:paraId="000000FD">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el caso del feminicidio, concepto atribuido a Diana Russell, originaria de Sudáfrica quien lo definió como “</w:t>
      </w:r>
      <w:r w:rsidDel="00000000" w:rsidR="00000000" w:rsidRPr="00000000">
        <w:rPr>
          <w:rFonts w:ascii="Times New Roman" w:cs="Times New Roman" w:eastAsia="Times New Roman" w:hAnsi="Times New Roman"/>
          <w:i w:val="1"/>
          <w:rtl w:val="0"/>
        </w:rPr>
        <w:t xml:space="preserve">el asesinato de mujeres por parte de hombres por el hecho de ser mujeres</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Dicho concepto ha venido variando y adaptándose a diferentes contextos, así Marcela Lagarde, mexicana, cuyo foco de investigación han sido los asesinatos en mujeres en Ciudad Juárez, vincula el concepto de feminicidio al componente de impunidad definiéndolo como un “</w:t>
      </w:r>
      <w:r w:rsidDel="00000000" w:rsidR="00000000" w:rsidRPr="00000000">
        <w:rPr>
          <w:rFonts w:ascii="Times New Roman" w:cs="Times New Roman" w:eastAsia="Times New Roman" w:hAnsi="Times New Roman"/>
          <w:i w:val="1"/>
          <w:rtl w:val="0"/>
        </w:rPr>
        <w:t xml:space="preserve">conjunto de delitos de lesa humanidad que contienen los crímenes, los secuestros y desapariciones de niñas y mujeres en un cuadro de colapso institucional. Se trata de una fractura del Estado que favorece la impunidad. </w:t>
      </w:r>
      <w:r w:rsidDel="00000000" w:rsidR="00000000" w:rsidRPr="00000000">
        <w:rPr>
          <w:rFonts w:ascii="Times New Roman" w:cs="Times New Roman" w:eastAsia="Times New Roman" w:hAnsi="Times New Roman"/>
          <w:i w:val="1"/>
          <w:u w:val="single"/>
          <w:rtl w:val="0"/>
        </w:rPr>
        <w:t xml:space="preserve">El feminicidio es un crimen de Estado</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E">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violencia filioparental por su parte, es un fenómeno que se ha ido abordando progresivamente en los estudios de violencia intrafamiliar, lo que no quiere decir que no hayan existido previamente casos de dicha violencia; de hecho, desde antes de la década de los sesenta del siglo XX, ya existía literatura que la describe específicamente. Llama la atención que hay literatura que apunta a que la población preadolescente es la que mayor tendencia tiene a realizar este tipo de maltrato, aunque hay estudios que orientan a que es la población adolescente la que tiene la mayor tendencia. En cuanto a las características de la persona autora de la agresión en el contexto de la violencia filioparental, hay literatura contradictoria entre sí, dado que hay estudios que sugieren que los varones son quienes más cometen este tipo de violencia, mientras que otros sostienen que son las mujeres; no se observa una concordancia tampoco en la modalidad de agresión empleada dependiendo si la persona agresora es un varón o una mujer</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Sin embargo, se ha visto que el modelo familiar monoparental es el más correlacionado con la violencia filio parental, así como aquellos hogares con dificultades de índole financiero.</w:t>
      </w:r>
    </w:p>
    <w:p w:rsidR="00000000" w:rsidDel="00000000" w:rsidP="00000000" w:rsidRDefault="00000000" w:rsidRPr="00000000" w14:paraId="000000FF">
      <w:pPr>
        <w:tabs>
          <w:tab w:val="left" w:leader="none" w:pos="2535"/>
        </w:tabs>
        <w:spacing w:line="276" w:lineRule="auto"/>
        <w:jc w:val="both"/>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100">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OBJETO DEL PROYECTO DE LEY</w:t>
      </w:r>
    </w:p>
    <w:p w:rsidR="00000000" w:rsidDel="00000000" w:rsidP="00000000" w:rsidRDefault="00000000" w:rsidRPr="00000000" w14:paraId="00000101">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presente ley tiene como objeto establecer la enseñanza obligatoria sobre la protección legal y constitucional a la mujer, en su favor, y en contra de cualquier forma de violencia que pueda aplicarse en su contra. La educación como motor de cambio está llamada a ser transformadora de la sociedad, por eso este proyecto de ley busca en el fondo de que los estudiantes de educación formal adquieran competencias desde edades tempranas para así lograr desde la escuela una transformación cultural en el país en lo que tiene que ver con la violencia hacia la mujer.</w:t>
      </w:r>
    </w:p>
    <w:p w:rsidR="00000000" w:rsidDel="00000000" w:rsidP="00000000" w:rsidRDefault="00000000" w:rsidRPr="00000000" w14:paraId="00000102">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JUSTIFICACIÓN </w:t>
      </w:r>
    </w:p>
    <w:p w:rsidR="00000000" w:rsidDel="00000000" w:rsidP="00000000" w:rsidRDefault="00000000" w:rsidRPr="00000000" w14:paraId="00000104">
      <w:pPr>
        <w:tabs>
          <w:tab w:val="left" w:leader="none" w:pos="2535"/>
        </w:tabs>
        <w:spacing w:line="276" w:lineRule="auto"/>
        <w:jc w:val="both"/>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Colombia tiene una de las más ricas legislaciones en el mundo en consonancia con la protección a la mujer, desde la promulgación de la Constitución de 1991 el legislador ha dirigido sus esfuerzos en mitigar las diferentes formas de violencia hacia las mujeres. Sin embargo, las cifras siguen creciendo año a año, y no parece que exista una fórmula que nos permita disminuir las devastadoras cifras que han venido impactando negativamente a las mujeres </w:t>
      </w:r>
      <w:r w:rsidDel="00000000" w:rsidR="00000000" w:rsidRPr="00000000">
        <w:rPr>
          <w:rtl w:val="0"/>
        </w:rPr>
      </w:r>
    </w:p>
    <w:p w:rsidR="00000000" w:rsidDel="00000000" w:rsidP="00000000" w:rsidRDefault="00000000" w:rsidRPr="00000000" w14:paraId="00000105">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¿Cifras actuales de violencia contra la mujer en Colombia?</w:t>
      </w:r>
    </w:p>
    <w:p w:rsidR="00000000" w:rsidDel="00000000" w:rsidP="00000000" w:rsidRDefault="00000000" w:rsidRPr="00000000" w14:paraId="00000107">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pesar del gran compendio normativo que existe en Colombia, y de su amplia estructura legal en comparación con otros países latinoamericanos, para prevenir y sancionar todas las formas de violencia contra la mujer, las cifras de los últimos años en Colombia nos indican que la medicina en vez de menguar parece incrementar la violencia de manera progresiva.</w:t>
      </w:r>
    </w:p>
    <w:p w:rsidR="00000000" w:rsidDel="00000000" w:rsidP="00000000" w:rsidRDefault="00000000" w:rsidRPr="00000000" w14:paraId="00000108">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hd w:fill="ffffff" w:val="clear"/>
        <w:tabs>
          <w:tab w:val="left" w:leader="none" w:pos="2535"/>
        </w:tabs>
        <w:spacing w:after="16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Violencia física (cifras sivigila)</w:t>
      </w:r>
    </w:p>
    <w:p w:rsidR="00000000" w:rsidDel="00000000" w:rsidP="00000000" w:rsidRDefault="00000000" w:rsidRPr="00000000" w14:paraId="0000010A">
      <w:pPr>
        <w:shd w:fill="ffffff" w:val="clear"/>
        <w:tabs>
          <w:tab w:val="left" w:leader="none" w:pos="2535"/>
        </w:tabs>
        <w:spacing w:after="16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acuerdo con el aplicativo del Ministerio, SIVIGILA, en 2022 se registraron 66.624 casos de violencia física. De este total, 83% se presentaron contra mujeres, adolescentes y niñas; de ese total, 30% fue contra mujeres entre los 18 y 28 años. Los principales agresores son: 39.3%, la pareja; 21.7%, la expareja: 15%, un familiar. En conclusión, en promedio, cada hora 4 mujeres fueron víctimas de violencia física a manos de su pareja o expareja.</w:t>
      </w:r>
    </w:p>
    <w:p w:rsidR="00000000" w:rsidDel="00000000" w:rsidP="00000000" w:rsidRDefault="00000000" w:rsidRPr="00000000" w14:paraId="0000010B">
      <w:pPr>
        <w:shd w:fill="ffffff" w:val="clear"/>
        <w:tabs>
          <w:tab w:val="left" w:leader="none" w:pos="2535"/>
        </w:tabs>
        <w:spacing w:after="16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Violencia sexual (cifras sivigila)</w:t>
      </w:r>
    </w:p>
    <w:p w:rsidR="00000000" w:rsidDel="00000000" w:rsidP="00000000" w:rsidRDefault="00000000" w:rsidRPr="00000000" w14:paraId="0000010C">
      <w:pPr>
        <w:shd w:fill="ffffff" w:val="clear"/>
        <w:tabs>
          <w:tab w:val="left" w:leader="none" w:pos="2535"/>
        </w:tabs>
        <w:spacing w:after="16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el mismo aplicativo, en dicho período se registraron 37.480 casos, de los cuales 87% de las víctimas fueron mujeres; de este total, 66% fueron niñas y adolescentes menores de 18 años. En cuanto al lugar de ocurrencia, el 65,8% ocurrió al interior de la vivienda. Lo anterior indica que cada hora 2 niñas o adolescentes fueron víctimas de algún tipo de violencia sexual en el país.</w:t>
      </w:r>
    </w:p>
    <w:p w:rsidR="00000000" w:rsidDel="00000000" w:rsidP="00000000" w:rsidRDefault="00000000" w:rsidRPr="00000000" w14:paraId="0000010D">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Feminicidio (cifras sivigila)</w:t>
      </w:r>
    </w:p>
    <w:p w:rsidR="00000000" w:rsidDel="00000000" w:rsidP="00000000" w:rsidRDefault="00000000" w:rsidRPr="00000000" w14:paraId="0000010F">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0">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2023, Colombia reportó 238 feminicidios. Esta cifra representa un aumento en comparación con años anteriores y refleja una preocupación persistente sobre la violencia de género en el país. </w:t>
      </w:r>
    </w:p>
    <w:p w:rsidR="00000000" w:rsidDel="00000000" w:rsidP="00000000" w:rsidRDefault="00000000" w:rsidRPr="00000000" w14:paraId="00000111">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2">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¿Por qué es necesario una iniciativa así?</w:t>
      </w:r>
    </w:p>
    <w:p w:rsidR="00000000" w:rsidDel="00000000" w:rsidP="00000000" w:rsidRDefault="00000000" w:rsidRPr="00000000" w14:paraId="00000113">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Lastimosamente las normas existentes hoy en día, sancionan las conductas posteriores a la violencia, pero este proyecto de ley genera competencias tanto en hombres como en mujeres en su formación básica y media que les permitan ser ciudadanos respetuosos y coherentes frente a la protección de la mujer. Con este proyecto, se previene desde la escuela toda conducta que atente contra las mujeres haciendo hincapié en los derechos consagrados por la constitución y la ley a la mujer en el país</w:t>
      </w:r>
    </w:p>
    <w:p w:rsidR="00000000" w:rsidDel="00000000" w:rsidP="00000000" w:rsidRDefault="00000000" w:rsidRPr="00000000" w14:paraId="00000115">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solo es educar al hombre en las cuestiones de respeto a la mujer, sino también a la mujer en los asuntos de igualdad, dignidad humana y respeto. Por lo anterior, este proyecto de ley está enfocado en disminuir esas cifras a mediano y largo plazo a través del fortalecimiento en la educación formal de los derechos de las mujeres.</w:t>
      </w:r>
    </w:p>
    <w:p w:rsidR="00000000" w:rsidDel="00000000" w:rsidP="00000000" w:rsidRDefault="00000000" w:rsidRPr="00000000" w14:paraId="00000117">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FUNDAMENTO JURÍDICO </w:t>
      </w:r>
    </w:p>
    <w:p w:rsidR="00000000" w:rsidDel="00000000" w:rsidP="00000000" w:rsidRDefault="00000000" w:rsidRPr="00000000" w14:paraId="00000119">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Desde la promulgación de la carta magna en Colombia el legislador de manera atenta ha visto la necesidad de que en el país se implementen contenidos normativos que protejan a la mujer de toda situación de violencia. De las normas que protegen a la mujer de violencia en el país encontramos las siguientes:</w:t>
      </w:r>
    </w:p>
    <w:p w:rsidR="00000000" w:rsidDel="00000000" w:rsidP="00000000" w:rsidRDefault="00000000" w:rsidRPr="00000000" w14:paraId="0000011A">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spacing w:after="16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Fundamento Constitucional</w:t>
      </w:r>
    </w:p>
    <w:p w:rsidR="00000000" w:rsidDel="00000000" w:rsidP="00000000" w:rsidRDefault="00000000" w:rsidRPr="00000000" w14:paraId="0000011C">
      <w:pPr>
        <w:numPr>
          <w:ilvl w:val="0"/>
          <w:numId w:val="1"/>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u w:val="single"/>
          <w:rtl w:val="0"/>
        </w:rPr>
        <w:t xml:space="preserve">Artículo 11. </w:t>
      </w:r>
      <w:r w:rsidDel="00000000" w:rsidR="00000000" w:rsidRPr="00000000">
        <w:rPr>
          <w:rFonts w:ascii="Times New Roman" w:cs="Times New Roman" w:eastAsia="Times New Roman" w:hAnsi="Times New Roman"/>
          <w:highlight w:val="white"/>
          <w:rtl w:val="0"/>
        </w:rPr>
        <w:t xml:space="preserve">El derecho a la vida es inviolable. No habrá pena de muerte. </w:t>
      </w:r>
      <w:r w:rsidDel="00000000" w:rsidR="00000000" w:rsidRPr="00000000">
        <w:rPr>
          <w:rtl w:val="0"/>
        </w:rPr>
      </w:r>
    </w:p>
    <w:p w:rsidR="00000000" w:rsidDel="00000000" w:rsidP="00000000" w:rsidRDefault="00000000" w:rsidRPr="00000000" w14:paraId="0000011D">
      <w:pPr>
        <w:numPr>
          <w:ilvl w:val="0"/>
          <w:numId w:val="1"/>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u w:val="single"/>
          <w:rtl w:val="0"/>
        </w:rPr>
        <w:t xml:space="preserve">Artículo 13</w:t>
      </w:r>
      <w:r w:rsidDel="00000000" w:rsidR="00000000" w:rsidRPr="00000000">
        <w:rPr>
          <w:rFonts w:ascii="Times New Roman" w:cs="Times New Roman" w:eastAsia="Times New Roman" w:hAnsi="Times New Roman"/>
          <w:highlight w:val="white"/>
          <w:rtl w:val="0"/>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 </w:t>
      </w:r>
      <w:r w:rsidDel="00000000" w:rsidR="00000000" w:rsidRPr="00000000">
        <w:rPr>
          <w:rtl w:val="0"/>
        </w:rPr>
      </w:r>
    </w:p>
    <w:p w:rsidR="00000000" w:rsidDel="00000000" w:rsidP="00000000" w:rsidRDefault="00000000" w:rsidRPr="00000000" w14:paraId="0000011E">
      <w:pPr>
        <w:numPr>
          <w:ilvl w:val="0"/>
          <w:numId w:val="1"/>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Artículo 42</w:t>
      </w:r>
      <w:r w:rsidDel="00000000" w:rsidR="00000000" w:rsidRPr="00000000">
        <w:rPr>
          <w:rFonts w:ascii="Times New Roman" w:cs="Times New Roman" w:eastAsia="Times New Roman" w:hAnsi="Times New Roman"/>
          <w:rtl w:val="0"/>
        </w:rPr>
        <w:t xml:space="preserve">. 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Los hijos habidos en el matrimonio o fuera de él, adoptados o procreados naturalmente o con asistencia científica, tienen iguales derechos y deberes. La ley reglamentará la progenitura responsable. La pareja tiene derecho a decidir libre y responsablemente el número de sus hijos, y deberá sostenerlos y educarlos mientras sean menores o impedidos. Las formas del matrimonio, la edad y capacidad para contraerlo, los deberes y derechos de los cónyuges, su separación y la disolución del vínculo, se rigen por la ley civil. Los matrimonios religiosos tendrán efectos civiles en los términos que establezca la ley. Los efectos civiles de todo matrimonio cesarán por divorcio con arreglo a la ley civil. También tendrán efectos civiles las sentencias de nulidad de los matrimonios religiosos dictadas por las autoridades de la respectiva religión, en los términos que establezca la ley. La ley determinará lo relativo al estado civil de las personas y los consiguientes derechos y deberes. </w:t>
      </w:r>
    </w:p>
    <w:p w:rsidR="00000000" w:rsidDel="00000000" w:rsidP="00000000" w:rsidRDefault="00000000" w:rsidRPr="00000000" w14:paraId="0000011F">
      <w:pPr>
        <w:numPr>
          <w:ilvl w:val="0"/>
          <w:numId w:val="1"/>
        </w:numPr>
        <w:spacing w:after="16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Artículo 43.</w:t>
      </w:r>
      <w:r w:rsidDel="00000000" w:rsidR="00000000" w:rsidRPr="00000000">
        <w:rPr>
          <w:rFonts w:ascii="Times New Roman" w:cs="Times New Roman" w:eastAsia="Times New Roman" w:hAnsi="Times New Roman"/>
          <w:rtl w:val="0"/>
        </w:rPr>
        <w:t xml:space="preserve"> 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El Estado apoyará de manera especial a la mujer cabeza de familia.</w:t>
      </w:r>
    </w:p>
    <w:p w:rsidR="00000000" w:rsidDel="00000000" w:rsidP="00000000" w:rsidRDefault="00000000" w:rsidRPr="00000000" w14:paraId="00000120">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Fundamento legal.</w:t>
      </w:r>
    </w:p>
    <w:p w:rsidR="00000000" w:rsidDel="00000000" w:rsidP="00000000" w:rsidRDefault="00000000" w:rsidRPr="00000000" w14:paraId="00000121">
      <w:pPr>
        <w:numPr>
          <w:ilvl w:val="0"/>
          <w:numId w:val="1"/>
        </w:numPr>
        <w:tabs>
          <w:tab w:val="left" w:leader="none" w:pos="2535"/>
        </w:tabs>
        <w:spacing w:line="276" w:lineRule="auto"/>
        <w:ind w:left="720" w:hanging="360"/>
        <w:jc w:val="both"/>
        <w:rPr>
          <w:rFonts w:ascii="Arial Narrow" w:cs="Arial Narrow" w:eastAsia="Arial Narrow" w:hAnsi="Arial Narrow"/>
        </w:rPr>
      </w:pPr>
      <w:r w:rsidDel="00000000" w:rsidR="00000000" w:rsidRPr="00000000">
        <w:rPr>
          <w:rFonts w:ascii="Times New Roman" w:cs="Times New Roman" w:eastAsia="Times New Roman" w:hAnsi="Times New Roman"/>
          <w:b w:val="1"/>
          <w:rtl w:val="0"/>
        </w:rPr>
        <w:t xml:space="preserve">Ley 248 de 1995</w:t>
      </w:r>
      <w:r w:rsidDel="00000000" w:rsidR="00000000" w:rsidRPr="00000000">
        <w:rPr>
          <w:rFonts w:ascii="Times New Roman" w:cs="Times New Roman" w:eastAsia="Times New Roman" w:hAnsi="Times New Roman"/>
          <w:rtl w:val="0"/>
        </w:rPr>
        <w:t xml:space="preserve"> aprueba la Convención Interamericana para Prevenir, Sancionar y Erradicar la Violencia contra la Mujer; entró en vigor el 15 de diciembre de 1996 A los efectos de esa convención, debe entenderse por violencia contra la mujer toda acción o conducta basada en su género que le cause muerte, daño o sufrimiento físico, sexual o psicológico, tanto en el ámbito público como en el privado.</w:t>
      </w:r>
    </w:p>
    <w:p w:rsidR="00000000" w:rsidDel="00000000" w:rsidP="00000000" w:rsidRDefault="00000000" w:rsidRPr="00000000" w14:paraId="00000122">
      <w:pPr>
        <w:numPr>
          <w:ilvl w:val="0"/>
          <w:numId w:val="1"/>
        </w:numPr>
        <w:tabs>
          <w:tab w:val="left" w:leader="none" w:pos="2535"/>
        </w:tabs>
        <w:spacing w:line="276" w:lineRule="auto"/>
        <w:ind w:left="720" w:hanging="360"/>
        <w:jc w:val="both"/>
        <w:rPr>
          <w:rFonts w:ascii="Arial Narrow" w:cs="Arial Narrow" w:eastAsia="Arial Narrow" w:hAnsi="Arial Narrow"/>
        </w:rPr>
      </w:pPr>
      <w:r w:rsidDel="00000000" w:rsidR="00000000" w:rsidRPr="00000000">
        <w:rPr>
          <w:rFonts w:ascii="Times New Roman" w:cs="Times New Roman" w:eastAsia="Times New Roman" w:hAnsi="Times New Roman"/>
          <w:b w:val="1"/>
          <w:rtl w:val="0"/>
        </w:rPr>
        <w:t xml:space="preserve">Ley 294 de 1996</w:t>
      </w:r>
      <w:r w:rsidDel="00000000" w:rsidR="00000000" w:rsidRPr="00000000">
        <w:rPr>
          <w:rFonts w:ascii="Times New Roman" w:cs="Times New Roman" w:eastAsia="Times New Roman" w:hAnsi="Times New Roman"/>
          <w:rtl w:val="0"/>
        </w:rPr>
        <w:t xml:space="preserve"> por medio de la cual se desarrolla el artículo 42 de la Constitución Política y se dictan normas para prevenir, remediar y sancionar la violencia intrafamiliar Esta ley tiene por objeto desarrollar el artículo 42, inciso 5º de la Constitución Política, mediante un tratamiento integral de las diferentes modalidades de violencia en la familia a efectos de asegurar su armonía y unidad. Define medidas para proteger a las víctimas y establece procedimientos para los distintos casos.</w:t>
      </w:r>
    </w:p>
    <w:p w:rsidR="00000000" w:rsidDel="00000000" w:rsidP="00000000" w:rsidRDefault="00000000" w:rsidRPr="00000000" w14:paraId="00000123">
      <w:pPr>
        <w:numPr>
          <w:ilvl w:val="0"/>
          <w:numId w:val="1"/>
        </w:numPr>
        <w:tabs>
          <w:tab w:val="left" w:leader="none" w:pos="2535"/>
        </w:tabs>
        <w:spacing w:line="276" w:lineRule="auto"/>
        <w:ind w:left="720" w:hanging="360"/>
        <w:jc w:val="both"/>
        <w:rPr>
          <w:rFonts w:ascii="Arial Narrow" w:cs="Arial Narrow" w:eastAsia="Arial Narrow" w:hAnsi="Arial Narrow"/>
        </w:rPr>
      </w:pPr>
      <w:r w:rsidDel="00000000" w:rsidR="00000000" w:rsidRPr="00000000">
        <w:rPr>
          <w:rFonts w:ascii="Times New Roman" w:cs="Times New Roman" w:eastAsia="Times New Roman" w:hAnsi="Times New Roman"/>
          <w:b w:val="1"/>
          <w:rtl w:val="0"/>
        </w:rPr>
        <w:t xml:space="preserve">Ley 575 de 2000,</w:t>
      </w:r>
      <w:r w:rsidDel="00000000" w:rsidR="00000000" w:rsidRPr="00000000">
        <w:rPr>
          <w:rFonts w:ascii="Times New Roman" w:cs="Times New Roman" w:eastAsia="Times New Roman" w:hAnsi="Times New Roman"/>
          <w:rtl w:val="0"/>
        </w:rPr>
        <w:t xml:space="preserve"> que modifica parcialmente la Ley 294 de 1996 Traslada la competencia en materia de violencia intrafamiliar de los jueces de familia a los comisarios de familia y, a falta de estos, a los inspectores de policía. Otorga asistencia a las víctimas de maltrato y tipifica los delitos contra la armonía y la unidad familiar: maltrato físico, psíquico o sexual.</w:t>
      </w:r>
    </w:p>
    <w:p w:rsidR="00000000" w:rsidDel="00000000" w:rsidP="00000000" w:rsidRDefault="00000000" w:rsidRPr="00000000" w14:paraId="00000124">
      <w:pPr>
        <w:numPr>
          <w:ilvl w:val="0"/>
          <w:numId w:val="1"/>
        </w:numPr>
        <w:tabs>
          <w:tab w:val="left" w:leader="none" w:pos="2535"/>
        </w:tabs>
        <w:spacing w:line="276" w:lineRule="auto"/>
        <w:ind w:left="720" w:hanging="360"/>
        <w:jc w:val="both"/>
        <w:rPr>
          <w:rFonts w:ascii="Arial Narrow" w:cs="Arial Narrow" w:eastAsia="Arial Narrow" w:hAnsi="Arial Narrow"/>
        </w:rPr>
      </w:pPr>
      <w:r w:rsidDel="00000000" w:rsidR="00000000" w:rsidRPr="00000000">
        <w:rPr>
          <w:rFonts w:ascii="Times New Roman" w:cs="Times New Roman" w:eastAsia="Times New Roman" w:hAnsi="Times New Roman"/>
          <w:b w:val="1"/>
          <w:rtl w:val="0"/>
        </w:rPr>
        <w:t xml:space="preserve">Ley 1.257 de 2008</w:t>
      </w:r>
      <w:r w:rsidDel="00000000" w:rsidR="00000000" w:rsidRPr="00000000">
        <w:rPr>
          <w:rFonts w:ascii="Times New Roman" w:cs="Times New Roman" w:eastAsia="Times New Roman" w:hAnsi="Times New Roman"/>
          <w:rtl w:val="0"/>
        </w:rPr>
        <w:t xml:space="preserve">, por la cual se dictan normas de sensibilización, prevención y sanción de formas de violencia y discriminación contra la mujer, se reforman el Códigos Penal, el de Procedimiento Penal, la Ley 294 de 1996 y se dictan otras disposiciones.</w:t>
      </w:r>
    </w:p>
    <w:p w:rsidR="00000000" w:rsidDel="00000000" w:rsidP="00000000" w:rsidRDefault="00000000" w:rsidRPr="00000000" w14:paraId="00000125">
      <w:pPr>
        <w:numPr>
          <w:ilvl w:val="0"/>
          <w:numId w:val="1"/>
        </w:numPr>
        <w:tabs>
          <w:tab w:val="left" w:leader="none" w:pos="2535"/>
        </w:tabs>
        <w:spacing w:line="276" w:lineRule="auto"/>
        <w:ind w:left="720" w:hanging="360"/>
        <w:jc w:val="both"/>
        <w:rPr>
          <w:rFonts w:ascii="Arial Narrow" w:cs="Arial Narrow" w:eastAsia="Arial Narrow" w:hAnsi="Arial Narrow"/>
        </w:rPr>
      </w:pPr>
      <w:r w:rsidDel="00000000" w:rsidR="00000000" w:rsidRPr="00000000">
        <w:rPr>
          <w:rFonts w:ascii="Times New Roman" w:cs="Times New Roman" w:eastAsia="Times New Roman" w:hAnsi="Times New Roman"/>
          <w:b w:val="1"/>
          <w:rtl w:val="0"/>
        </w:rPr>
        <w:t xml:space="preserve">Ley 1.542 de 2012</w:t>
      </w:r>
      <w:r w:rsidDel="00000000" w:rsidR="00000000" w:rsidRPr="00000000">
        <w:rPr>
          <w:rFonts w:ascii="Times New Roman" w:cs="Times New Roman" w:eastAsia="Times New Roman" w:hAnsi="Times New Roman"/>
          <w:rtl w:val="0"/>
        </w:rPr>
        <w:t xml:space="preserve"> Con el propósito de fortalecer los mecanismos de protección a los derechos de las mujeres, esta ley suprime el carácter de querellable y desistible a los delitos de violencia intrafamiliar e inasistencia alimentaria, y establece la investigación oficiosa de éstos. Reforma el artículo 74 de la Ley 906 de 1994, Código de procedimiento penal.</w:t>
      </w:r>
    </w:p>
    <w:p w:rsidR="00000000" w:rsidDel="00000000" w:rsidP="00000000" w:rsidRDefault="00000000" w:rsidRPr="00000000" w14:paraId="00000126">
      <w:pPr>
        <w:numPr>
          <w:ilvl w:val="0"/>
          <w:numId w:val="1"/>
        </w:numPr>
        <w:tabs>
          <w:tab w:val="left" w:leader="none" w:pos="2535"/>
        </w:tabs>
        <w:spacing w:line="276" w:lineRule="auto"/>
        <w:ind w:left="720" w:hanging="360"/>
        <w:jc w:val="both"/>
        <w:rPr>
          <w:rFonts w:ascii="Arial Narrow" w:cs="Arial Narrow" w:eastAsia="Arial Narrow" w:hAnsi="Arial Narrow"/>
        </w:rPr>
      </w:pPr>
      <w:r w:rsidDel="00000000" w:rsidR="00000000" w:rsidRPr="00000000">
        <w:rPr>
          <w:rFonts w:ascii="Times New Roman" w:cs="Times New Roman" w:eastAsia="Times New Roman" w:hAnsi="Times New Roman"/>
          <w:b w:val="1"/>
          <w:highlight w:val="white"/>
          <w:rtl w:val="0"/>
        </w:rPr>
        <w:t xml:space="preserve">Ley 1639 2013 </w:t>
      </w:r>
      <w:r w:rsidDel="00000000" w:rsidR="00000000" w:rsidRPr="00000000">
        <w:rPr>
          <w:rFonts w:ascii="Times New Roman" w:cs="Times New Roman" w:eastAsia="Times New Roman" w:hAnsi="Times New Roman"/>
          <w:highlight w:val="white"/>
          <w:rtl w:val="0"/>
        </w:rPr>
        <w:t xml:space="preserve">Por la cual se fortalecen las medidas de protección a la integridad de las víctimas de crímenes con ácido.</w:t>
      </w:r>
      <w:r w:rsidDel="00000000" w:rsidR="00000000" w:rsidRPr="00000000">
        <w:rPr>
          <w:rtl w:val="0"/>
        </w:rPr>
      </w:r>
    </w:p>
    <w:p w:rsidR="00000000" w:rsidDel="00000000" w:rsidP="00000000" w:rsidRDefault="00000000" w:rsidRPr="00000000" w14:paraId="00000127">
      <w:pPr>
        <w:numPr>
          <w:ilvl w:val="0"/>
          <w:numId w:val="1"/>
        </w:numPr>
        <w:tabs>
          <w:tab w:val="left" w:leader="none" w:pos="2535"/>
        </w:tabs>
        <w:spacing w:line="276" w:lineRule="auto"/>
        <w:ind w:left="720" w:hanging="360"/>
        <w:jc w:val="both"/>
        <w:rPr>
          <w:rFonts w:ascii="Arial Narrow" w:cs="Arial Narrow" w:eastAsia="Arial Narrow" w:hAnsi="Arial Narrow"/>
        </w:rPr>
      </w:pPr>
      <w:r w:rsidDel="00000000" w:rsidR="00000000" w:rsidRPr="00000000">
        <w:rPr>
          <w:rFonts w:ascii="Times New Roman" w:cs="Times New Roman" w:eastAsia="Times New Roman" w:hAnsi="Times New Roman"/>
          <w:b w:val="1"/>
          <w:rtl w:val="0"/>
        </w:rPr>
        <w:t xml:space="preserve">Ley 1.719 de 2014 </w:t>
      </w:r>
      <w:r w:rsidDel="00000000" w:rsidR="00000000" w:rsidRPr="00000000">
        <w:rPr>
          <w:rFonts w:ascii="Times New Roman" w:cs="Times New Roman" w:eastAsia="Times New Roman" w:hAnsi="Times New Roman"/>
          <w:rtl w:val="0"/>
        </w:rPr>
        <w:t xml:space="preserve">or la cual se modifican a artículos de las leyes 599 de 2000, 906 de 2004 y se adoptan medidas para garantizar el acceso a la justicia de las víctimas de violencia sexual, en especial la violencia sexual con ocasión del conflicto armado.</w:t>
      </w:r>
    </w:p>
    <w:p w:rsidR="00000000" w:rsidDel="00000000" w:rsidP="00000000" w:rsidRDefault="00000000" w:rsidRPr="00000000" w14:paraId="00000128">
      <w:pPr>
        <w:numPr>
          <w:ilvl w:val="0"/>
          <w:numId w:val="1"/>
        </w:numPr>
        <w:tabs>
          <w:tab w:val="left" w:leader="none" w:pos="2535"/>
        </w:tabs>
        <w:spacing w:line="276" w:lineRule="auto"/>
        <w:ind w:left="720" w:hanging="360"/>
        <w:jc w:val="both"/>
        <w:rPr>
          <w:rFonts w:ascii="Arial Narrow" w:cs="Arial Narrow" w:eastAsia="Arial Narrow" w:hAnsi="Arial Narrow"/>
        </w:rPr>
      </w:pPr>
      <w:r w:rsidDel="00000000" w:rsidR="00000000" w:rsidRPr="00000000">
        <w:rPr>
          <w:rFonts w:ascii="Times New Roman" w:cs="Times New Roman" w:eastAsia="Times New Roman" w:hAnsi="Times New Roman"/>
          <w:b w:val="1"/>
          <w:rtl w:val="0"/>
        </w:rPr>
        <w:t xml:space="preserve">Ley 1761 de 2015,</w:t>
      </w:r>
      <w:r w:rsidDel="00000000" w:rsidR="00000000" w:rsidRPr="00000000">
        <w:rPr>
          <w:rFonts w:ascii="Times New Roman" w:cs="Times New Roman" w:eastAsia="Times New Roman" w:hAnsi="Times New Roman"/>
          <w:rtl w:val="0"/>
        </w:rPr>
        <w:t xml:space="preserve"> por la cual se crea el tipo penal de feminicidio como delito autónomo y se dictan otras disposiciones (Ley Rosa Elvira Cely)</w:t>
      </w:r>
    </w:p>
    <w:p w:rsidR="00000000" w:rsidDel="00000000" w:rsidP="00000000" w:rsidRDefault="00000000" w:rsidRPr="00000000" w14:paraId="00000129">
      <w:pPr>
        <w:tabs>
          <w:tab w:val="left" w:leader="none" w:pos="2535"/>
        </w:tabs>
        <w:spacing w:line="276" w:lineRule="auto"/>
        <w:ind w:left="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Decretos </w:t>
      </w:r>
    </w:p>
    <w:p w:rsidR="00000000" w:rsidDel="00000000" w:rsidP="00000000" w:rsidRDefault="00000000" w:rsidRPr="00000000" w14:paraId="0000012B">
      <w:pPr>
        <w:numPr>
          <w:ilvl w:val="0"/>
          <w:numId w:val="1"/>
        </w:numPr>
        <w:tabs>
          <w:tab w:val="left" w:leader="none" w:pos="2535"/>
        </w:tabs>
        <w:spacing w:line="276" w:lineRule="auto"/>
        <w:ind w:left="720" w:hanging="360"/>
        <w:jc w:val="both"/>
        <w:rPr>
          <w:rFonts w:ascii="Arial Narrow" w:cs="Arial Narrow" w:eastAsia="Arial Narrow" w:hAnsi="Arial Narrow"/>
          <w:b w:val="1"/>
        </w:rPr>
      </w:pPr>
      <w:r w:rsidDel="00000000" w:rsidR="00000000" w:rsidRPr="00000000">
        <w:rPr>
          <w:rFonts w:ascii="Times New Roman" w:cs="Times New Roman" w:eastAsia="Times New Roman" w:hAnsi="Times New Roman"/>
          <w:b w:val="1"/>
          <w:rtl w:val="0"/>
        </w:rPr>
        <w:t xml:space="preserve">Decreto 652 de 2011.</w:t>
      </w:r>
      <w:r w:rsidDel="00000000" w:rsidR="00000000" w:rsidRPr="00000000">
        <w:rPr>
          <w:rFonts w:ascii="Times New Roman" w:cs="Times New Roman" w:eastAsia="Times New Roman" w:hAnsi="Times New Roman"/>
          <w:rtl w:val="0"/>
        </w:rPr>
        <w:t xml:space="preserve">Reglamenta la Ley 294 de 1996 reformada parcialmente por la Ley 575 de 2000.</w:t>
      </w:r>
      <w:r w:rsidDel="00000000" w:rsidR="00000000" w:rsidRPr="00000000">
        <w:rPr>
          <w:rtl w:val="0"/>
        </w:rPr>
      </w:r>
    </w:p>
    <w:p w:rsidR="00000000" w:rsidDel="00000000" w:rsidP="00000000" w:rsidRDefault="00000000" w:rsidRPr="00000000" w14:paraId="0000012C">
      <w:pPr>
        <w:numPr>
          <w:ilvl w:val="0"/>
          <w:numId w:val="1"/>
        </w:numPr>
        <w:tabs>
          <w:tab w:val="left" w:leader="none" w:pos="2535"/>
        </w:tabs>
        <w:spacing w:line="276" w:lineRule="auto"/>
        <w:ind w:left="720" w:hanging="360"/>
        <w:jc w:val="both"/>
        <w:rPr>
          <w:rFonts w:ascii="Arial Narrow" w:cs="Arial Narrow" w:eastAsia="Arial Narrow" w:hAnsi="Arial Narrow"/>
          <w:b w:val="1"/>
        </w:rPr>
      </w:pPr>
      <w:r w:rsidDel="00000000" w:rsidR="00000000" w:rsidRPr="00000000">
        <w:rPr>
          <w:rFonts w:ascii="Times New Roman" w:cs="Times New Roman" w:eastAsia="Times New Roman" w:hAnsi="Times New Roman"/>
          <w:b w:val="1"/>
          <w:rtl w:val="0"/>
        </w:rPr>
        <w:t xml:space="preserve">Decreto 4.796 de 2011.</w:t>
      </w:r>
      <w:r w:rsidDel="00000000" w:rsidR="00000000" w:rsidRPr="00000000">
        <w:rPr>
          <w:rFonts w:ascii="Times New Roman" w:cs="Times New Roman" w:eastAsia="Times New Roman" w:hAnsi="Times New Roman"/>
          <w:rtl w:val="0"/>
        </w:rPr>
        <w:t xml:space="preserve"> Define las acciones necesarias para detectar, prevenir y atender integralmente a las mujeres víctimas de violencia a través de los servicios que garantiza el Sistema General de Seguridad Social en Salud, e implementar mecanismos para hacer efectivo el derecho a la salud.</w:t>
      </w:r>
      <w:r w:rsidDel="00000000" w:rsidR="00000000" w:rsidRPr="00000000">
        <w:rPr>
          <w:rtl w:val="0"/>
        </w:rPr>
      </w:r>
    </w:p>
    <w:p w:rsidR="00000000" w:rsidDel="00000000" w:rsidP="00000000" w:rsidRDefault="00000000" w:rsidRPr="00000000" w14:paraId="0000012D">
      <w:pPr>
        <w:numPr>
          <w:ilvl w:val="0"/>
          <w:numId w:val="1"/>
        </w:numPr>
        <w:tabs>
          <w:tab w:val="left" w:leader="none" w:pos="2535"/>
        </w:tabs>
        <w:spacing w:line="276" w:lineRule="auto"/>
        <w:ind w:left="720" w:hanging="360"/>
        <w:jc w:val="both"/>
        <w:rPr>
          <w:rFonts w:ascii="Arial Narrow" w:cs="Arial Narrow" w:eastAsia="Arial Narrow" w:hAnsi="Arial Narrow"/>
          <w:b w:val="1"/>
        </w:rPr>
      </w:pPr>
      <w:r w:rsidDel="00000000" w:rsidR="00000000" w:rsidRPr="00000000">
        <w:rPr>
          <w:rFonts w:ascii="Times New Roman" w:cs="Times New Roman" w:eastAsia="Times New Roman" w:hAnsi="Times New Roman"/>
          <w:b w:val="1"/>
          <w:rtl w:val="0"/>
        </w:rPr>
        <w:t xml:space="preserve">Decreto 4.798 de 2011.</w:t>
      </w:r>
      <w:r w:rsidDel="00000000" w:rsidR="00000000" w:rsidRPr="00000000">
        <w:rPr>
          <w:rFonts w:ascii="Times New Roman" w:cs="Times New Roman" w:eastAsia="Times New Roman" w:hAnsi="Times New Roman"/>
          <w:rtl w:val="0"/>
        </w:rPr>
        <w:t xml:space="preserve"> Establece para el Ministerio de Educación Nacional, </w:t>
      </w:r>
      <w:r w:rsidDel="00000000" w:rsidR="00000000" w:rsidRPr="00000000">
        <w:rPr>
          <w:rFonts w:ascii="Times New Roman" w:cs="Times New Roman" w:eastAsia="Times New Roman" w:hAnsi="Times New Roman"/>
          <w:strike w:val="1"/>
          <w:rtl w:val="0"/>
        </w:rPr>
        <w:t xml:space="preserve">para</w:t>
      </w:r>
      <w:r w:rsidDel="00000000" w:rsidR="00000000" w:rsidRPr="00000000">
        <w:rPr>
          <w:rFonts w:ascii="Times New Roman" w:cs="Times New Roman" w:eastAsia="Times New Roman" w:hAnsi="Times New Roman"/>
          <w:rtl w:val="0"/>
        </w:rPr>
        <w:t xml:space="preserve"> las secretarias de educación de entidades territoriales certificadas en educación y </w:t>
      </w:r>
      <w:r w:rsidDel="00000000" w:rsidR="00000000" w:rsidRPr="00000000">
        <w:rPr>
          <w:rFonts w:ascii="Times New Roman" w:cs="Times New Roman" w:eastAsia="Times New Roman" w:hAnsi="Times New Roman"/>
          <w:strike w:val="1"/>
          <w:rtl w:val="0"/>
        </w:rPr>
        <w:t xml:space="preserve">para</w:t>
      </w:r>
      <w:r w:rsidDel="00000000" w:rsidR="00000000" w:rsidRPr="00000000">
        <w:rPr>
          <w:rFonts w:ascii="Times New Roman" w:cs="Times New Roman" w:eastAsia="Times New Roman" w:hAnsi="Times New Roman"/>
          <w:rtl w:val="0"/>
        </w:rPr>
        <w:t xml:space="preserve"> los establecimientos educativos, obligaciones en torno a la identificación, denuncia, prevención y abordaje de situaciones de violencia contra la mujer en el contexto educativo; y regula las acciones de formación y sensibilización de la comunidad educativa frente a las violencias contra la mujer, y estrategias que permitan crear ambientes escolares protectores de situaciones de violencia.</w:t>
      </w:r>
      <w:r w:rsidDel="00000000" w:rsidR="00000000" w:rsidRPr="00000000">
        <w:rPr>
          <w:rtl w:val="0"/>
        </w:rPr>
      </w:r>
    </w:p>
    <w:p w:rsidR="00000000" w:rsidDel="00000000" w:rsidP="00000000" w:rsidRDefault="00000000" w:rsidRPr="00000000" w14:paraId="0000012E">
      <w:pPr>
        <w:numPr>
          <w:ilvl w:val="0"/>
          <w:numId w:val="1"/>
        </w:numPr>
        <w:tabs>
          <w:tab w:val="left" w:leader="none" w:pos="2535"/>
        </w:tabs>
        <w:spacing w:line="276" w:lineRule="auto"/>
        <w:ind w:left="720" w:hanging="360"/>
        <w:jc w:val="both"/>
        <w:rPr>
          <w:rFonts w:ascii="Arial Narrow" w:cs="Arial Narrow" w:eastAsia="Arial Narrow" w:hAnsi="Arial Narrow"/>
        </w:rPr>
      </w:pPr>
      <w:r w:rsidDel="00000000" w:rsidR="00000000" w:rsidRPr="00000000">
        <w:rPr>
          <w:rFonts w:ascii="Times New Roman" w:cs="Times New Roman" w:eastAsia="Times New Roman" w:hAnsi="Times New Roman"/>
          <w:b w:val="1"/>
          <w:rtl w:val="0"/>
        </w:rPr>
        <w:t xml:space="preserve">Decreto 2.733 de 2012.</w:t>
      </w:r>
      <w:r w:rsidDel="00000000" w:rsidR="00000000" w:rsidRPr="00000000">
        <w:rPr>
          <w:rFonts w:ascii="Times New Roman" w:cs="Times New Roman" w:eastAsia="Times New Roman" w:hAnsi="Times New Roman"/>
          <w:rtl w:val="0"/>
        </w:rPr>
        <w:t xml:space="preserve"> El decreto tiene el objetivo de establecer los requisitos necesarios para hacer efectiva la deducción de que trata el artículo 23 de la Ley 1.257 de 2008.</w:t>
      </w:r>
    </w:p>
    <w:p w:rsidR="00000000" w:rsidDel="00000000" w:rsidP="00000000" w:rsidRDefault="00000000" w:rsidRPr="00000000" w14:paraId="0000012F">
      <w:pPr>
        <w:numPr>
          <w:ilvl w:val="0"/>
          <w:numId w:val="1"/>
        </w:numPr>
        <w:tabs>
          <w:tab w:val="left" w:leader="none" w:pos="2535"/>
        </w:tabs>
        <w:spacing w:line="276" w:lineRule="auto"/>
        <w:ind w:left="720" w:hanging="360"/>
        <w:jc w:val="both"/>
        <w:rPr>
          <w:rFonts w:ascii="Arial Narrow" w:cs="Arial Narrow" w:eastAsia="Arial Narrow" w:hAnsi="Arial Narrow"/>
        </w:rPr>
      </w:pPr>
      <w:r w:rsidDel="00000000" w:rsidR="00000000" w:rsidRPr="00000000">
        <w:rPr>
          <w:rFonts w:ascii="Times New Roman" w:cs="Times New Roman" w:eastAsia="Times New Roman" w:hAnsi="Times New Roman"/>
          <w:b w:val="1"/>
          <w:rtl w:val="0"/>
        </w:rPr>
        <w:t xml:space="preserve">Decreto 2.734 de 2012. </w:t>
      </w:r>
      <w:r w:rsidDel="00000000" w:rsidR="00000000" w:rsidRPr="00000000">
        <w:rPr>
          <w:rFonts w:ascii="Times New Roman" w:cs="Times New Roman" w:eastAsia="Times New Roman" w:hAnsi="Times New Roman"/>
          <w:rtl w:val="0"/>
        </w:rPr>
        <w:t xml:space="preserve">El decreto tiene el objetivo de establecer los criterios, condiciones y procedimientos para el otorgamiento de las medidas de atención definidas en el artículo 19 de la Ley 1257 de 2008.Decreto. </w:t>
      </w:r>
    </w:p>
    <w:p w:rsidR="00000000" w:rsidDel="00000000" w:rsidP="00000000" w:rsidRDefault="00000000" w:rsidRPr="00000000" w14:paraId="00000130">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Jurisprudencia relacionada</w:t>
      </w:r>
    </w:p>
    <w:p w:rsidR="00000000" w:rsidDel="00000000" w:rsidP="00000000" w:rsidRDefault="00000000" w:rsidRPr="00000000" w14:paraId="00000131">
      <w:pPr>
        <w:numPr>
          <w:ilvl w:val="0"/>
          <w:numId w:val="1"/>
        </w:numPr>
        <w:tabs>
          <w:tab w:val="left" w:leader="none" w:pos="2535"/>
        </w:tabs>
        <w:spacing w:before="240" w:line="276" w:lineRule="auto"/>
        <w:ind w:left="720" w:hanging="360"/>
        <w:jc w:val="both"/>
        <w:rPr>
          <w:rFonts w:ascii="Arial Narrow" w:cs="Arial Narrow" w:eastAsia="Arial Narrow" w:hAnsi="Arial Narrow"/>
          <w:b w:val="1"/>
        </w:rPr>
      </w:pPr>
      <w:r w:rsidDel="00000000" w:rsidR="00000000" w:rsidRPr="00000000">
        <w:rPr>
          <w:rFonts w:ascii="Times New Roman" w:cs="Times New Roman" w:eastAsia="Times New Roman" w:hAnsi="Times New Roman"/>
          <w:b w:val="1"/>
          <w:rtl w:val="0"/>
        </w:rPr>
        <w:t xml:space="preserve">C297-16 (sentencia feminicidio) </w:t>
      </w:r>
      <w:r w:rsidDel="00000000" w:rsidR="00000000" w:rsidRPr="00000000">
        <w:rPr>
          <w:rFonts w:ascii="Times New Roman" w:cs="Times New Roman" w:eastAsia="Times New Roman" w:hAnsi="Times New Roman"/>
          <w:rtl w:val="0"/>
        </w:rPr>
        <w:t xml:space="preserve">en el derecho internacional de los derechos humanos, la obligación de garantizar el derecho de las mujeres a estar libres de violencia tiene dos fuentes. de un lado, surge de la lectura sistemática de las disposiciones neutras que proscriben la violencia y reconocen los deberes de protección a la vida, la seguridad personal, la integridad, la honra, la salud y la dignidad de las personas, entre otros, con aquellas normas que establecen: (i) el derecho a la igualdad en el reconocimiento y protección de esos derechos; y (ii) la prohibición de discriminación por razón del sexo, pues imponen un deber de protección especial por razón al género. de otro lado, surge de las disposiciones que explícitamente consagran protecciones y deberes alrededor de la erradicación de la discriminación contra de la mujer y de la prevención, investigación y sanción de la violencia contra ésta.</w:t>
      </w:r>
      <w:r w:rsidDel="00000000" w:rsidR="00000000" w:rsidRPr="00000000">
        <w:rPr>
          <w:rtl w:val="0"/>
        </w:rPr>
      </w:r>
    </w:p>
    <w:p w:rsidR="00000000" w:rsidDel="00000000" w:rsidP="00000000" w:rsidRDefault="00000000" w:rsidRPr="00000000" w14:paraId="00000132">
      <w:pPr>
        <w:numPr>
          <w:ilvl w:val="0"/>
          <w:numId w:val="1"/>
        </w:numPr>
        <w:tabs>
          <w:tab w:val="left" w:leader="none" w:pos="2535"/>
        </w:tabs>
        <w:spacing w:line="276" w:lineRule="auto"/>
        <w:ind w:left="720" w:hanging="360"/>
        <w:jc w:val="both"/>
        <w:rPr>
          <w:rFonts w:ascii="Arial Narrow" w:cs="Arial Narrow" w:eastAsia="Arial Narrow" w:hAnsi="Arial Narrow"/>
          <w:b w:val="1"/>
        </w:rPr>
      </w:pPr>
      <w:r w:rsidDel="00000000" w:rsidR="00000000" w:rsidRPr="00000000">
        <w:rPr>
          <w:rFonts w:ascii="Times New Roman" w:cs="Times New Roman" w:eastAsia="Times New Roman" w:hAnsi="Times New Roman"/>
          <w:b w:val="1"/>
          <w:rtl w:val="0"/>
        </w:rPr>
        <w:t xml:space="preserve">T27-17 (Protección especial de la mujer) </w:t>
      </w:r>
      <w:r w:rsidDel="00000000" w:rsidR="00000000" w:rsidRPr="00000000">
        <w:rPr>
          <w:rFonts w:ascii="Times New Roman" w:cs="Times New Roman" w:eastAsia="Times New Roman" w:hAnsi="Times New Roman"/>
          <w:rtl w:val="0"/>
        </w:rPr>
        <w:t xml:space="preserve">La Corte Constitucional, en cumplimiento de los mandatos constitucionales y legales, ha reconocido en su jurisprudencia que las mujeres son sujetos de especial protección constitucional debido a que presentan una “(…) situación de desventaja que se ha extendido a todos los ámbitos de la sociedad y especialmente a la familiar, a la educación y al trabajo”. En este sentido, y en el marco de un ámbito investigativo y de juzgamiento de la violencia de género, la Corte ha amparado los derechos fundamentales de este grupo poblacional cuando se ha demostrado que las autoridades de conocimiento han vulnerado el derecho al debido proceso al momento de evaluar la necesidad de brindar medidas de protección por violencia intrafamiliar.</w:t>
      </w:r>
      <w:r w:rsidDel="00000000" w:rsidR="00000000" w:rsidRPr="00000000">
        <w:rPr>
          <w:rtl w:val="0"/>
        </w:rPr>
      </w:r>
    </w:p>
    <w:p w:rsidR="00000000" w:rsidDel="00000000" w:rsidP="00000000" w:rsidRDefault="00000000" w:rsidRPr="00000000" w14:paraId="00000133">
      <w:pPr>
        <w:numPr>
          <w:ilvl w:val="0"/>
          <w:numId w:val="1"/>
        </w:numPr>
        <w:tabs>
          <w:tab w:val="left" w:leader="none" w:pos="2535"/>
        </w:tabs>
        <w:spacing w:line="276" w:lineRule="auto"/>
        <w:ind w:left="720" w:hanging="360"/>
        <w:jc w:val="both"/>
        <w:rPr>
          <w:rFonts w:ascii="Arial Narrow" w:cs="Arial Narrow" w:eastAsia="Arial Narrow" w:hAnsi="Arial Narrow"/>
          <w:b w:val="1"/>
        </w:rPr>
      </w:pPr>
      <w:r w:rsidDel="00000000" w:rsidR="00000000" w:rsidRPr="00000000">
        <w:rPr>
          <w:rFonts w:ascii="Times New Roman" w:cs="Times New Roman" w:eastAsia="Times New Roman" w:hAnsi="Times New Roman"/>
          <w:b w:val="1"/>
          <w:rtl w:val="0"/>
        </w:rPr>
        <w:t xml:space="preserve">T239-18 </w:t>
      </w:r>
      <w:r w:rsidDel="00000000" w:rsidR="00000000" w:rsidRPr="00000000">
        <w:rPr>
          <w:rFonts w:ascii="Times New Roman" w:cs="Times New Roman" w:eastAsia="Times New Roman" w:hAnsi="Times New Roman"/>
          <w:rtl w:val="0"/>
        </w:rPr>
        <w:t xml:space="preserve">Entre las obligaciones que el Estado debe desarrollar, se encuentran acciones de prevención que incluyen la promoción de la igualdad y la prohibición de discriminación en razón en el ámbito educativo, así como el fomento a la denuncia de conductas que atenten contra los citados valores, y la información acerca de los mecanismos jurídicos de los cuales disponen las víctimas para que se desarrolle adecuadamente la investigación y sanción de delitos como el acoso o el abuso sexual.</w:t>
      </w:r>
    </w:p>
    <w:p w:rsidR="00000000" w:rsidDel="00000000" w:rsidP="00000000" w:rsidRDefault="00000000" w:rsidRPr="00000000" w14:paraId="00000134">
      <w:pPr>
        <w:tabs>
          <w:tab w:val="left" w:leader="none" w:pos="2535"/>
        </w:tabs>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CONTENIDO DEL PROYECTO DE LEY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6">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presente proyecto de Ley consta de 5 artículos, necesarios para que de manera transversal se trabaje desde la educación por combatir todas las formas de agresión contra la mujer, y ayudar a que las mujeres sean conscientes de sus derechos, y de las protecciones legales a las que ellas mismas pueden acceder, pero también busca formar valores cívicos en los estudiantes de educación formal para que en su vida adulta tengan criterios propios que eviten la violencia contra la mujer.</w:t>
      </w:r>
    </w:p>
    <w:p w:rsidR="00000000" w:rsidDel="00000000" w:rsidP="00000000" w:rsidRDefault="00000000" w:rsidRPr="00000000" w14:paraId="00000137">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por esta razón, que la presente iniciativa será un gran aporte que se articula así: </w:t>
      </w:r>
    </w:p>
    <w:p w:rsidR="00000000" w:rsidDel="00000000" w:rsidP="00000000" w:rsidRDefault="00000000" w:rsidRPr="00000000" w14:paraId="00000139">
      <w:pPr>
        <w:numPr>
          <w:ilvl w:val="0"/>
          <w:numId w:val="1"/>
        </w:numPr>
        <w:tabs>
          <w:tab w:val="left" w:leader="none" w:pos="2535"/>
        </w:tabs>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artículo primero incluye el objeto del proyecto de ley el cual es implementar en la enseñanza de los derechos de las mujeres en la educación básica y media.</w:t>
      </w:r>
    </w:p>
    <w:p w:rsidR="00000000" w:rsidDel="00000000" w:rsidP="00000000" w:rsidRDefault="00000000" w:rsidRPr="00000000" w14:paraId="0000013A">
      <w:pPr>
        <w:numPr>
          <w:ilvl w:val="0"/>
          <w:numId w:val="1"/>
        </w:numPr>
        <w:tabs>
          <w:tab w:val="left" w:leader="none" w:pos="2535"/>
        </w:tabs>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segundo artículo establece la enseñanza de los derechos de las mujeres de manera obligatoria en las instituciones de educación formal.</w:t>
      </w:r>
    </w:p>
    <w:p w:rsidR="00000000" w:rsidDel="00000000" w:rsidP="00000000" w:rsidRDefault="00000000" w:rsidRPr="00000000" w14:paraId="0000013B">
      <w:pPr>
        <w:numPr>
          <w:ilvl w:val="0"/>
          <w:numId w:val="1"/>
        </w:numPr>
        <w:tabs>
          <w:tab w:val="left" w:leader="none" w:pos="2535"/>
        </w:tabs>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artículo tercero, establece que la autoridad para fijar las temáticas de enseñanza será el ministerio de educación.</w:t>
      </w:r>
    </w:p>
    <w:p w:rsidR="00000000" w:rsidDel="00000000" w:rsidP="00000000" w:rsidRDefault="00000000" w:rsidRPr="00000000" w14:paraId="0000013C">
      <w:pPr>
        <w:numPr>
          <w:ilvl w:val="0"/>
          <w:numId w:val="1"/>
        </w:numPr>
        <w:tabs>
          <w:tab w:val="left" w:leader="none" w:pos="2535"/>
        </w:tabs>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artículo cuarto le da un término al ministerio de educación de un año a la promulgación de la ley para que la enseñanza de los derechos de las mujeres comience a operar en el país.</w:t>
      </w:r>
    </w:p>
    <w:p w:rsidR="00000000" w:rsidDel="00000000" w:rsidP="00000000" w:rsidRDefault="00000000" w:rsidRPr="00000000" w14:paraId="0000013D">
      <w:pPr>
        <w:numPr>
          <w:ilvl w:val="0"/>
          <w:numId w:val="1"/>
        </w:numPr>
        <w:tabs>
          <w:tab w:val="left" w:leader="none" w:pos="2535"/>
        </w:tabs>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artículo final establece la vigencia</w:t>
      </w:r>
    </w:p>
    <w:p w:rsidR="00000000" w:rsidDel="00000000" w:rsidP="00000000" w:rsidRDefault="00000000" w:rsidRPr="00000000" w14:paraId="0000013E">
      <w:pPr>
        <w:tabs>
          <w:tab w:val="left" w:leader="none" w:pos="2535"/>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0">
      <w:pPr>
        <w:tabs>
          <w:tab w:val="left" w:leader="none" w:pos="2535"/>
        </w:tabs>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IMPACTO FISCAL</w:t>
      </w:r>
    </w:p>
    <w:p w:rsidR="00000000" w:rsidDel="00000000" w:rsidP="00000000" w:rsidRDefault="00000000" w:rsidRPr="00000000" w14:paraId="00000141">
      <w:pPr>
        <w:tabs>
          <w:tab w:val="left" w:leader="none" w:pos="2535"/>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presente proyecto de ley, al no ordenar gasto, no comprende un impacto fiscal y en consecuencia no requiere cumplir con lo establecido en el artículo 7° de la Ley 819 de 2003, ni se encuentra condicionado al aval del Ministerio de Hacienda y Crédito Público</w:t>
      </w:r>
    </w:p>
    <w:p w:rsidR="00000000" w:rsidDel="00000000" w:rsidP="00000000" w:rsidRDefault="00000000" w:rsidRPr="00000000" w14:paraId="00000142">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3">
      <w:pPr>
        <w:tabs>
          <w:tab w:val="left" w:leader="none" w:pos="2535"/>
        </w:tabs>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PROPOSICIÓN</w:t>
      </w:r>
    </w:p>
    <w:p w:rsidR="00000000" w:rsidDel="00000000" w:rsidP="00000000" w:rsidRDefault="00000000" w:rsidRPr="00000000" w14:paraId="0000014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concordancia con los términos anteriores, en nuestra condición de miembros del Congreso de la República, y en uso del derecho consagrado en el artículo 152 de la Constitución Política de Colombia, nos permitimos  poner a consideración de los Honorables Miembros del Congreso de la República el presente proyecto de ley, teniendo en cuenta que el mismo preserva los principios constitucionales de especial protección a la población vulnerable, existencia de la necesidad de garantía de derechos fundamentales como la vida, y el deber del Estado de protegerla en condiciones dignas, para su discusión y votación.  </w:t>
      </w:r>
    </w:p>
    <w:p w:rsidR="00000000" w:rsidDel="00000000" w:rsidP="00000000" w:rsidRDefault="00000000" w:rsidRPr="00000000" w14:paraId="00000145">
      <w:pPr>
        <w:tabs>
          <w:tab w:val="left" w:leader="none" w:pos="2535"/>
        </w:tabs>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6">
      <w:pPr>
        <w:tabs>
          <w:tab w:val="left" w:leader="none" w:pos="253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Cordialmente, </w:t>
      </w:r>
    </w:p>
    <w:p w:rsidR="00000000" w:rsidDel="00000000" w:rsidP="00000000" w:rsidRDefault="00000000" w:rsidRPr="00000000" w14:paraId="00000147">
      <w:pPr>
        <w:spacing w:after="160" w:line="276"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Atentamente:</w:t>
      </w:r>
    </w:p>
    <w:p w:rsidR="00000000" w:rsidDel="00000000" w:rsidP="00000000" w:rsidRDefault="00000000" w:rsidRPr="00000000" w14:paraId="00000148">
      <w:pPr>
        <w:spacing w:after="160" w:line="276"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spacing w:after="160" w:line="276"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spacing w:after="160" w:line="276"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spacing w:after="160" w:line="276"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w:t>
      </w:r>
      <w:r w:rsidDel="00000000" w:rsidR="00000000" w:rsidRPr="00000000">
        <w:rPr>
          <w:rFonts w:ascii="Times New Roman" w:cs="Times New Roman" w:eastAsia="Times New Roman" w:hAnsi="Times New Roman"/>
          <w:rtl w:val="0"/>
        </w:rPr>
        <w:t xml:space="preserve">_______</w:t>
      </w:r>
    </w:p>
    <w:p w:rsidR="00000000" w:rsidDel="00000000" w:rsidP="00000000" w:rsidRDefault="00000000" w:rsidRPr="00000000" w14:paraId="0000014C">
      <w:pPr>
        <w:spacing w:after="160" w:line="276" w:lineRule="auto"/>
        <w:ind w:left="70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HERNANDO GONZÁLEZ</w:t>
      </w:r>
    </w:p>
    <w:p w:rsidR="00000000" w:rsidDel="00000000" w:rsidP="00000000" w:rsidRDefault="00000000" w:rsidRPr="00000000" w14:paraId="0000014D">
      <w:pPr>
        <w:spacing w:after="160" w:line="276" w:lineRule="auto"/>
        <w:ind w:left="70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Representante a la cámara por el Valle del Cauca</w:t>
      </w:r>
    </w:p>
    <w:p w:rsidR="00000000" w:rsidDel="00000000" w:rsidP="00000000" w:rsidRDefault="00000000" w:rsidRPr="00000000" w14:paraId="0000014E">
      <w:pPr>
        <w:spacing w:after="160" w:line="276" w:lineRule="auto"/>
        <w:ind w:left="70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Cambio Radical</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3">
      <w:pPr>
        <w:jc w:val="both"/>
        <w:rPr>
          <w:rFonts w:ascii="Century Gothic" w:cs="Century Gothic" w:eastAsia="Century Gothic" w:hAnsi="Century Gothic"/>
          <w:sz w:val="26"/>
          <w:szCs w:val="26"/>
        </w:rPr>
      </w:pPr>
      <w:bookmarkStart w:colFirst="0" w:colLast="0" w:name="_heading=h.gjdgxs" w:id="3"/>
      <w:bookmarkEnd w:id="3"/>
      <w:r w:rsidDel="00000000" w:rsidR="00000000" w:rsidRPr="00000000">
        <w:rPr>
          <w:rtl w:val="0"/>
        </w:rPr>
      </w:r>
    </w:p>
    <w:sectPr>
      <w:headerReference r:id="rId8" w:type="default"/>
      <w:footerReference r:id="rId9" w:type="default"/>
      <w:pgSz w:h="15840" w:w="12240" w:orient="portrait"/>
      <w:pgMar w:bottom="1560" w:top="269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-1052465</wp:posOffset>
          </wp:positionH>
          <wp:positionV relativeFrom="paragraph">
            <wp:posOffset>-322305</wp:posOffset>
          </wp:positionV>
          <wp:extent cx="7804800" cy="1224000"/>
          <wp:effectExtent b="0" l="0" r="0" t="0"/>
          <wp:wrapNone/>
          <wp:docPr id="3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04800" cy="122400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REICE. Revista Iberoamericana sobre Calidad, Eficacia y Cambio en Educación, 2007</w:t>
      </w:r>
    </w:p>
  </w:footnote>
  <w:footnote w:id="1">
    <w:p w:rsidR="00000000" w:rsidDel="00000000" w:rsidP="00000000" w:rsidRDefault="00000000" w:rsidRPr="00000000" w14:paraId="0000015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Savater, Fernando, educar es universalizar, 2000.</w:t>
      </w:r>
    </w:p>
  </w:footnote>
  <w:footnote w:id="2">
    <w:p w:rsidR="00000000" w:rsidDel="00000000" w:rsidP="00000000" w:rsidRDefault="00000000" w:rsidRPr="00000000" w14:paraId="0000015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sz w:val="20"/>
          <w:szCs w:val="20"/>
          <w:rtl w:val="0"/>
        </w:rPr>
        <w:t xml:space="preserve">Blanco, R. (2006). La equidad y la inclusión social: uno de los desafíos de la educación y la escuela hoy. Revista electrónica Iberoamericana sobre Calidad, Eficacia y Cambio en Educación, 4(3), pp. 1-15.</w:t>
      </w:r>
      <w:r w:rsidDel="00000000" w:rsidR="00000000" w:rsidRPr="00000000">
        <w:rPr>
          <w:rtl w:val="0"/>
        </w:rPr>
      </w:r>
    </w:p>
  </w:footnote>
  <w:footnote w:id="3">
    <w:p w:rsidR="00000000" w:rsidDel="00000000" w:rsidP="00000000" w:rsidRDefault="00000000" w:rsidRPr="00000000" w14:paraId="0000015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Russell, Diana. The origin and Importance of the term Femicide. (Consultado: 3-04-2019). Disponible en: http://www.dianarussell.com/origin_of_femicide.html</w:t>
      </w:r>
    </w:p>
  </w:footnote>
  <w:footnote w:id="4">
    <w:p w:rsidR="00000000" w:rsidDel="00000000" w:rsidP="00000000" w:rsidRDefault="00000000" w:rsidRPr="00000000" w14:paraId="0000015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Informe Forensis 2018, página 70</w:t>
      </w:r>
    </w:p>
  </w:footnote>
  <w:footnote w:id="5">
    <w:p w:rsidR="00000000" w:rsidDel="00000000" w:rsidP="00000000" w:rsidRDefault="00000000" w:rsidRPr="00000000" w14:paraId="0000015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Marín, S. y Martínez Luz (2016). Violencia Filio Parental: un fenómeno emergente. Tesis Inédita. Departamento de Trabajo Social, Facultad de Ciencias Sociales y Humanas, Universidad de Antioquia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-900428</wp:posOffset>
          </wp:positionH>
          <wp:positionV relativeFrom="paragraph">
            <wp:posOffset>-961207</wp:posOffset>
          </wp:positionV>
          <wp:extent cx="7822565" cy="2159635"/>
          <wp:effectExtent b="0" l="0" r="0" t="0"/>
          <wp:wrapNone/>
          <wp:docPr id="3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822565" cy="21596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7D7504"/>
    <w:pPr>
      <w:tabs>
        <w:tab w:val="center" w:pos="4252"/>
        <w:tab w:val="right" w:pos="8504"/>
      </w:tabs>
    </w:pPr>
  </w:style>
  <w:style w:type="character" w:styleId="EncabezadoCar" w:customStyle="1">
    <w:name w:val="Encabezado Car"/>
    <w:basedOn w:val="Fuentedeprrafopredeter"/>
    <w:link w:val="Encabezado"/>
    <w:uiPriority w:val="99"/>
    <w:rsid w:val="007D7504"/>
  </w:style>
  <w:style w:type="paragraph" w:styleId="Piedepgina">
    <w:name w:val="footer"/>
    <w:basedOn w:val="Normal"/>
    <w:link w:val="PiedepginaCar"/>
    <w:uiPriority w:val="99"/>
    <w:unhideWhenUsed w:val="1"/>
    <w:rsid w:val="007D7504"/>
    <w:pPr>
      <w:tabs>
        <w:tab w:val="center" w:pos="4252"/>
        <w:tab w:val="right" w:pos="8504"/>
      </w:tabs>
    </w:pPr>
  </w:style>
  <w:style w:type="character" w:styleId="PiedepginaCar" w:customStyle="1">
    <w:name w:val="Pie de página Car"/>
    <w:basedOn w:val="Fuentedeprrafopredeter"/>
    <w:link w:val="Piedepgina"/>
    <w:uiPriority w:val="99"/>
    <w:rsid w:val="007D7504"/>
  </w:style>
  <w:style w:type="paragraph" w:styleId="Sinespaciado">
    <w:name w:val="No Spacing"/>
    <w:aliases w:val="Gráficos"/>
    <w:link w:val="SinespaciadoCar"/>
    <w:uiPriority w:val="1"/>
    <w:qFormat w:val="1"/>
    <w:rsid w:val="00494836"/>
    <w:rPr>
      <w:rFonts w:cs="Times New Roman"/>
      <w:sz w:val="22"/>
      <w:szCs w:val="22"/>
    </w:rPr>
  </w:style>
  <w:style w:type="character" w:styleId="SinespaciadoCar" w:customStyle="1">
    <w:name w:val="Sin espaciado Car"/>
    <w:aliases w:val="Gráficos Car"/>
    <w:link w:val="Sinespaciado"/>
    <w:uiPriority w:val="1"/>
    <w:rsid w:val="00494836"/>
    <w:rPr>
      <w:rFonts w:ascii="Calibri" w:cs="Times New Roman" w:eastAsia="Calibri" w:hAnsi="Calibri"/>
      <w:sz w:val="22"/>
      <w:szCs w:val="22"/>
    </w:rPr>
  </w:style>
  <w:style w:type="character" w:styleId="Hipervnculo">
    <w:name w:val="Hyperlink"/>
    <w:basedOn w:val="Fuentedeprrafopredeter"/>
    <w:uiPriority w:val="99"/>
    <w:unhideWhenUsed w:val="1"/>
    <w:rsid w:val="008359AE"/>
    <w:rPr>
      <w:color w:val="0563c1" w:themeColor="hyperlink"/>
      <w:u w:val="single"/>
    </w:rPr>
  </w:style>
  <w:style w:type="character" w:styleId="UnresolvedMention" w:customStyle="1">
    <w:name w:val="Unresolved Mention"/>
    <w:basedOn w:val="Fuentedeprrafopredeter"/>
    <w:uiPriority w:val="99"/>
    <w:semiHidden w:val="1"/>
    <w:unhideWhenUsed w:val="1"/>
    <w:rsid w:val="008359AE"/>
    <w:rPr>
      <w:color w:val="605e5c"/>
      <w:shd w:color="auto" w:fill="e1dfdd" w:val="clear"/>
    </w:rPr>
  </w:style>
  <w:style w:type="character" w:styleId="Hipervnculovisitado">
    <w:name w:val="FollowedHyperlink"/>
    <w:basedOn w:val="Fuentedeprrafopredeter"/>
    <w:uiPriority w:val="99"/>
    <w:semiHidden w:val="1"/>
    <w:unhideWhenUsed w:val="1"/>
    <w:rsid w:val="009F39CA"/>
    <w:rPr>
      <w:color w:val="954f72" w:themeColor="followed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4KXRV3lwXK4cuZOIDurDreLUg==">CgMxLjAyDmguYWdlZTdmbnVjazE4Mg5oLjV5NGlrNXFkZTFtdDIOaC5lY2IyZ3RyYmsxeDAyCGguZ2pkZ3hzOAByITFQMjdBNk0tcDhfVk9YU1VXTTdjdkRzSGhXenJ1NWlRUg==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2024-09-16T14:54:00Z</dcterms:created>
  <dc:creator>Microsoft Office User</dc:creator>
</cp:coreProperties>
</file>