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F5" w:rsidRDefault="00B42F2C" w:rsidP="00B42F2C">
      <w:pPr>
        <w:pStyle w:val="Sinespaciado"/>
        <w:jc w:val="center"/>
        <w:rPr>
          <w:rFonts w:ascii="Bookman Old Style" w:hAnsi="Bookman Old Style" w:cs="Segoe UI"/>
          <w:b/>
          <w:color w:val="212121"/>
          <w:sz w:val="24"/>
          <w:szCs w:val="24"/>
          <w:shd w:val="clear" w:color="auto" w:fill="FFFFFF"/>
        </w:rPr>
      </w:pPr>
      <w:r w:rsidRPr="00B42F2C">
        <w:rPr>
          <w:rFonts w:ascii="Bookman Old Style" w:hAnsi="Bookman Old Style" w:cs="Segoe UI"/>
          <w:b/>
          <w:color w:val="212121"/>
          <w:sz w:val="24"/>
          <w:szCs w:val="24"/>
          <w:shd w:val="clear" w:color="auto" w:fill="FFFFFF"/>
        </w:rPr>
        <w:t xml:space="preserve">PROYECTO DE LEY         </w:t>
      </w:r>
      <w:r w:rsidR="00A270F5">
        <w:rPr>
          <w:rFonts w:ascii="Bookman Old Style" w:hAnsi="Bookman Old Style" w:cs="Segoe UI"/>
          <w:b/>
          <w:color w:val="212121"/>
          <w:sz w:val="24"/>
          <w:szCs w:val="24"/>
          <w:shd w:val="clear" w:color="auto" w:fill="FFFFFF"/>
        </w:rPr>
        <w:t>DE 2018</w:t>
      </w:r>
      <w:r w:rsidR="00D46A54">
        <w:rPr>
          <w:rFonts w:ascii="Bookman Old Style" w:hAnsi="Bookman Old Style" w:cs="Segoe UI"/>
          <w:b/>
          <w:color w:val="212121"/>
          <w:sz w:val="24"/>
          <w:szCs w:val="24"/>
          <w:shd w:val="clear" w:color="auto" w:fill="FFFFFF"/>
        </w:rPr>
        <w:t xml:space="preserve"> </w:t>
      </w:r>
      <w:r w:rsidR="00A270F5">
        <w:rPr>
          <w:rFonts w:ascii="Bookman Old Style" w:hAnsi="Bookman Old Style" w:cs="Segoe UI"/>
          <w:b/>
          <w:color w:val="212121"/>
          <w:sz w:val="24"/>
          <w:szCs w:val="24"/>
          <w:shd w:val="clear" w:color="auto" w:fill="FFFFFF"/>
        </w:rPr>
        <w:t>CÁMARA</w:t>
      </w:r>
    </w:p>
    <w:p w:rsidR="00A270F5" w:rsidRDefault="00A270F5" w:rsidP="00B42F2C">
      <w:pPr>
        <w:pStyle w:val="Sinespaciado"/>
        <w:jc w:val="center"/>
        <w:rPr>
          <w:rFonts w:ascii="Bookman Old Style" w:hAnsi="Bookman Old Style" w:cs="Segoe UI"/>
          <w:b/>
          <w:color w:val="212121"/>
          <w:sz w:val="24"/>
          <w:szCs w:val="24"/>
          <w:shd w:val="clear" w:color="auto" w:fill="FFFFFF"/>
        </w:rPr>
      </w:pPr>
    </w:p>
    <w:p w:rsidR="00763F92" w:rsidRDefault="00B42F2C" w:rsidP="00B42F2C">
      <w:pPr>
        <w:pStyle w:val="Sinespaciado"/>
        <w:jc w:val="center"/>
        <w:rPr>
          <w:rFonts w:ascii="Bookman Old Style" w:hAnsi="Bookman Old Style" w:cs="Segoe UI"/>
          <w:b/>
          <w:color w:val="212121"/>
          <w:sz w:val="24"/>
          <w:szCs w:val="24"/>
          <w:shd w:val="clear" w:color="auto" w:fill="FFFFFF"/>
        </w:rPr>
      </w:pPr>
      <w:r w:rsidRPr="00B42F2C">
        <w:rPr>
          <w:rFonts w:ascii="Bookman Old Style" w:hAnsi="Bookman Old Style" w:cs="Segoe UI"/>
          <w:b/>
          <w:color w:val="212121"/>
          <w:sz w:val="24"/>
          <w:szCs w:val="24"/>
          <w:shd w:val="clear" w:color="auto" w:fill="FFFFFF"/>
        </w:rPr>
        <w:t>“POR MEDIO DEL CUAL SE ESTABLECE UNA LÍNEA ESPECIAL DE CRÉDITO EDUCATIVO AL ICETEX QUE PERMITA DISMINUIR EN LAS REGIONES LAS BRECHAS EN COBERTURA DE EDUCACIÓN SUPERIOR Y SE DICTAN OTRAS DISPOSICIONES”</w:t>
      </w:r>
    </w:p>
    <w:p w:rsidR="005F64F3" w:rsidRDefault="005F64F3" w:rsidP="00B42F2C">
      <w:pPr>
        <w:pStyle w:val="Sinespaciado"/>
        <w:jc w:val="center"/>
        <w:rPr>
          <w:rFonts w:ascii="Bookman Old Style" w:hAnsi="Bookman Old Style" w:cs="Segoe UI"/>
          <w:b/>
          <w:color w:val="212121"/>
          <w:sz w:val="24"/>
          <w:szCs w:val="24"/>
          <w:shd w:val="clear" w:color="auto" w:fill="FFFFFF"/>
        </w:rPr>
      </w:pPr>
    </w:p>
    <w:p w:rsidR="005F64F3" w:rsidRDefault="00B42F2C" w:rsidP="005F64F3">
      <w:pPr>
        <w:pStyle w:val="Sinespaciado"/>
        <w:jc w:val="center"/>
        <w:rPr>
          <w:rFonts w:ascii="Bookman Old Style" w:hAnsi="Bookman Old Style"/>
          <w:sz w:val="24"/>
          <w:szCs w:val="24"/>
        </w:rPr>
      </w:pPr>
      <w:r w:rsidRPr="005F64F3">
        <w:rPr>
          <w:rFonts w:ascii="Bookman Old Style" w:hAnsi="Bookman Old Style"/>
          <w:b/>
          <w:sz w:val="24"/>
          <w:szCs w:val="24"/>
        </w:rPr>
        <w:t>EXPOSICIÓN DE MOTIVOS</w:t>
      </w:r>
    </w:p>
    <w:p w:rsidR="005F64F3" w:rsidRDefault="005F64F3" w:rsidP="005F64F3">
      <w:pPr>
        <w:pStyle w:val="Sinespaciado"/>
        <w:jc w:val="center"/>
        <w:rPr>
          <w:rFonts w:ascii="Bookman Old Style" w:hAnsi="Bookman Old Style"/>
          <w:sz w:val="24"/>
          <w:szCs w:val="24"/>
        </w:rPr>
      </w:pPr>
    </w:p>
    <w:p w:rsidR="005F64F3" w:rsidRDefault="00B42F2C" w:rsidP="005F64F3">
      <w:pPr>
        <w:pStyle w:val="Sinespaciado"/>
        <w:jc w:val="both"/>
        <w:rPr>
          <w:rFonts w:ascii="Bookman Old Style" w:hAnsi="Bookman Old Style"/>
          <w:sz w:val="24"/>
          <w:szCs w:val="24"/>
        </w:rPr>
      </w:pPr>
      <w:r w:rsidRPr="005F64F3">
        <w:rPr>
          <w:rFonts w:ascii="Bookman Old Style" w:hAnsi="Bookman Old Style"/>
          <w:sz w:val="24"/>
          <w:szCs w:val="24"/>
        </w:rPr>
        <w:t>Según el último reporte del Ministerio de Educación Nacional la tasa de cobertura bruta</w:t>
      </w:r>
      <w:r w:rsidR="00A247C6">
        <w:rPr>
          <w:rFonts w:ascii="Bookman Old Style" w:hAnsi="Bookman Old Style"/>
          <w:sz w:val="24"/>
          <w:szCs w:val="24"/>
        </w:rPr>
        <w:t xml:space="preserve"> nacional</w:t>
      </w:r>
      <w:r w:rsidRPr="005F64F3">
        <w:rPr>
          <w:rFonts w:ascii="Bookman Old Style" w:hAnsi="Bookman Old Style"/>
          <w:sz w:val="24"/>
          <w:szCs w:val="24"/>
        </w:rPr>
        <w:t xml:space="preserve"> en Educación Superior es del 52.8 %. para el 2017. Significa lo anterior que se presentó un crecimiento de 15 puntos porcentuales frente al año 2010 donde la cobertura alcanzó el 37.1 %. Comparados con otros países, estamos con menor cobertura. Así, se puede registrar que Chile presenta una tasa del 74%, Argentina del 76% y los países promedio de la OCDE, están próximos al 72%. Las estadísticas colombianas se vuelven preocupantes si miramos que al interior de los departamentos de Colombia 24</w:t>
      </w:r>
      <w:r w:rsidR="00A247C6">
        <w:rPr>
          <w:rFonts w:ascii="Bookman Old Style" w:hAnsi="Bookman Old Style"/>
          <w:sz w:val="24"/>
          <w:szCs w:val="24"/>
        </w:rPr>
        <w:t xml:space="preserve"> (Ver cuadros anexos)</w:t>
      </w:r>
      <w:r w:rsidRPr="005F64F3">
        <w:rPr>
          <w:rFonts w:ascii="Bookman Old Style" w:hAnsi="Bookman Old Style"/>
          <w:sz w:val="24"/>
          <w:szCs w:val="24"/>
        </w:rPr>
        <w:t xml:space="preserve"> de estas entidades territoriales están por debajo del promedio de la tasa de cobertura bruta nacional. Quiere decir lo anterior que 8 departamentos más Bogotá se encuentran por encima del promedio nacional de cobertura en Educación Superior. Dichos indicadores, tienen además la dificultad que no tienen en cuenta la región de donde proviene el </w:t>
      </w:r>
      <w:r w:rsidR="005F64F3" w:rsidRPr="005F64F3">
        <w:rPr>
          <w:rFonts w:ascii="Bookman Old Style" w:hAnsi="Bookman Old Style"/>
          <w:sz w:val="24"/>
          <w:szCs w:val="24"/>
        </w:rPr>
        <w:t>estudiante,</w:t>
      </w:r>
      <w:r w:rsidRPr="005F64F3">
        <w:rPr>
          <w:rFonts w:ascii="Bookman Old Style" w:hAnsi="Bookman Old Style"/>
          <w:sz w:val="24"/>
          <w:szCs w:val="24"/>
        </w:rPr>
        <w:t xml:space="preserve"> pero si es un referente poderoso de la concentración de los programas en algunas ciudades que estimulan el desplazamiento de estudiantes distintos de su lugar de origen incrementando los costos y el desarraigo familiar y territorial. No pocos de los jóvenes estudiantes que se reubican académicamente jamás regresan a sus regiones.</w:t>
      </w:r>
    </w:p>
    <w:p w:rsidR="00A247C6" w:rsidRPr="00573A53" w:rsidRDefault="00A247C6" w:rsidP="005F64F3">
      <w:pPr>
        <w:pStyle w:val="Sinespaciado"/>
        <w:jc w:val="both"/>
        <w:rPr>
          <w:rFonts w:ascii="Bookman Old Style" w:hAnsi="Bookman Old Style"/>
          <w:sz w:val="16"/>
          <w:szCs w:val="16"/>
        </w:rPr>
      </w:pPr>
    </w:p>
    <w:p w:rsidR="00A247C6" w:rsidRPr="00A247C6" w:rsidRDefault="00A247C6" w:rsidP="005F64F3">
      <w:pPr>
        <w:pStyle w:val="Sinespaciado"/>
        <w:jc w:val="both"/>
        <w:rPr>
          <w:rFonts w:ascii="Bookman Old Style" w:hAnsi="Bookman Old Style"/>
          <w:b/>
          <w:sz w:val="24"/>
          <w:szCs w:val="24"/>
        </w:rPr>
      </w:pPr>
      <w:r>
        <w:rPr>
          <w:rFonts w:ascii="Bookman Old Style" w:hAnsi="Bookman Old Style"/>
          <w:b/>
          <w:sz w:val="24"/>
          <w:szCs w:val="24"/>
        </w:rPr>
        <w:t>Tasa de Cobertura Bruta en Educación Superior por Departamento, para Departamentos con Tasas Inferiores a la Nacional</w:t>
      </w:r>
      <w:r w:rsidR="00573A53">
        <w:rPr>
          <w:rFonts w:ascii="Bookman Old Style" w:hAnsi="Bookman Old Style"/>
          <w:b/>
          <w:sz w:val="24"/>
          <w:szCs w:val="24"/>
        </w:rPr>
        <w:t xml:space="preserve"> (Fuente Ministerio de Educación Nacional)</w:t>
      </w:r>
    </w:p>
    <w:p w:rsidR="00A247C6" w:rsidRPr="00573A53" w:rsidRDefault="00A247C6" w:rsidP="005F64F3">
      <w:pPr>
        <w:pStyle w:val="Sinespaciado"/>
        <w:jc w:val="both"/>
        <w:rPr>
          <w:rFonts w:ascii="Bookman Old Style" w:hAnsi="Bookman Old Style"/>
          <w:sz w:val="16"/>
          <w:szCs w:val="16"/>
        </w:rPr>
      </w:pPr>
    </w:p>
    <w:tbl>
      <w:tblPr>
        <w:tblStyle w:val="Tablaconcuadrcula"/>
        <w:tblW w:w="9918" w:type="dxa"/>
        <w:tblLayout w:type="fixed"/>
        <w:tblLook w:val="04A0" w:firstRow="1" w:lastRow="0" w:firstColumn="1" w:lastColumn="0" w:noHBand="0" w:noVBand="1"/>
      </w:tblPr>
      <w:tblGrid>
        <w:gridCol w:w="4390"/>
        <w:gridCol w:w="1559"/>
        <w:gridCol w:w="1559"/>
        <w:gridCol w:w="2410"/>
      </w:tblGrid>
      <w:tr w:rsidR="00A247C6" w:rsidRPr="00A247C6" w:rsidTr="00F20FCF">
        <w:tc>
          <w:tcPr>
            <w:tcW w:w="4390" w:type="dxa"/>
          </w:tcPr>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DEPARTAMENTO</w:t>
            </w:r>
          </w:p>
        </w:tc>
        <w:tc>
          <w:tcPr>
            <w:tcW w:w="1559" w:type="dxa"/>
          </w:tcPr>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MATRÍCULA</w:t>
            </w:r>
          </w:p>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PREGRADO</w:t>
            </w:r>
          </w:p>
        </w:tc>
        <w:tc>
          <w:tcPr>
            <w:tcW w:w="1559" w:type="dxa"/>
          </w:tcPr>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POBLACIÓN</w:t>
            </w:r>
          </w:p>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17 – 21</w:t>
            </w:r>
          </w:p>
        </w:tc>
        <w:tc>
          <w:tcPr>
            <w:tcW w:w="2410" w:type="dxa"/>
          </w:tcPr>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TASA DE</w:t>
            </w:r>
          </w:p>
          <w:p w:rsidR="00A247C6" w:rsidRPr="00A247C6" w:rsidRDefault="00A247C6" w:rsidP="00A247C6">
            <w:pPr>
              <w:pStyle w:val="Sinespaciado"/>
              <w:jc w:val="center"/>
              <w:rPr>
                <w:rFonts w:ascii="Bookman Old Style" w:hAnsi="Bookman Old Style"/>
                <w:b/>
                <w:sz w:val="20"/>
                <w:szCs w:val="20"/>
              </w:rPr>
            </w:pPr>
            <w:r w:rsidRPr="00A247C6">
              <w:rPr>
                <w:rFonts w:ascii="Bookman Old Style" w:hAnsi="Bookman Old Style"/>
                <w:b/>
                <w:sz w:val="20"/>
                <w:szCs w:val="20"/>
              </w:rPr>
              <w:t>COBERTURA BRUTA</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Vaupés</w:t>
            </w:r>
          </w:p>
        </w:tc>
        <w:tc>
          <w:tcPr>
            <w:tcW w:w="1559"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210</w:t>
            </w:r>
          </w:p>
        </w:tc>
        <w:tc>
          <w:tcPr>
            <w:tcW w:w="1559"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4.623</w:t>
            </w:r>
          </w:p>
        </w:tc>
        <w:tc>
          <w:tcPr>
            <w:tcW w:w="2410"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425%</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Arauca</w:t>
            </w:r>
          </w:p>
        </w:tc>
        <w:tc>
          <w:tcPr>
            <w:tcW w:w="1559"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2.822</w:t>
            </w:r>
          </w:p>
        </w:tc>
        <w:tc>
          <w:tcPr>
            <w:tcW w:w="1559"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26.417</w:t>
            </w:r>
          </w:p>
        </w:tc>
        <w:tc>
          <w:tcPr>
            <w:tcW w:w="2410"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10.7%</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Amazonas</w:t>
            </w:r>
          </w:p>
        </w:tc>
        <w:tc>
          <w:tcPr>
            <w:tcW w:w="1559"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910</w:t>
            </w:r>
          </w:p>
        </w:tc>
        <w:tc>
          <w:tcPr>
            <w:tcW w:w="1559" w:type="dxa"/>
          </w:tcPr>
          <w:p w:rsidR="00A247C6" w:rsidRPr="00A247C6" w:rsidRDefault="00F20FCF" w:rsidP="00F20FCF">
            <w:pPr>
              <w:pStyle w:val="Sinespaciado"/>
              <w:jc w:val="center"/>
              <w:rPr>
                <w:rFonts w:ascii="Bookman Old Style" w:hAnsi="Bookman Old Style"/>
                <w:sz w:val="20"/>
                <w:szCs w:val="20"/>
              </w:rPr>
            </w:pPr>
            <w:r>
              <w:rPr>
                <w:rFonts w:ascii="Bookman Old Style" w:hAnsi="Bookman Old Style"/>
                <w:sz w:val="20"/>
                <w:szCs w:val="20"/>
              </w:rPr>
              <w:t>8.388</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10.8%</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Vichada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898</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7.814</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11.5%</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Guainía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573</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4.959</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11.6%</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Putumayo</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5.186</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36.946</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14.0%</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lastRenderedPageBreak/>
              <w:t>Guaviare</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2.060</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11.757</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17.5%</w:t>
            </w:r>
          </w:p>
        </w:tc>
      </w:tr>
      <w:tr w:rsidR="00A247C6" w:rsidTr="00F20FCF">
        <w:tc>
          <w:tcPr>
            <w:tcW w:w="4390" w:type="dxa"/>
          </w:tcPr>
          <w:p w:rsidR="00A247C6" w:rsidRPr="00A247C6" w:rsidRDefault="00A247C6" w:rsidP="005F64F3">
            <w:pPr>
              <w:pStyle w:val="Sinespaciado"/>
              <w:jc w:val="both"/>
              <w:rPr>
                <w:rFonts w:ascii="Bookman Old Style" w:hAnsi="Bookman Old Style"/>
                <w:sz w:val="20"/>
                <w:szCs w:val="20"/>
              </w:rPr>
            </w:pPr>
            <w:r w:rsidRPr="00A247C6">
              <w:rPr>
                <w:rFonts w:ascii="Bookman Old Style" w:hAnsi="Bookman Old Style"/>
                <w:sz w:val="20"/>
                <w:szCs w:val="20"/>
              </w:rPr>
              <w:t>San Andrés, Providencia y Santa Catalina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1.291</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6.634</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19.5%</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La Guajira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19.864</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91.735</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21.7%</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Chocó</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12.098</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53.328</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22.7%</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Córdoba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37.991</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165.503</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23.0%</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Caquetá</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11.324</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48.181</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23.5%</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Nariño</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39.780</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161.738</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24.6%</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Sucre</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22.362</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83.450</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26.8%</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Casanare</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10.026</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35.772</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28.0%</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Magdalena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38.026</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125.665</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30.3%</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Cundinamarca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73.835</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241.200</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30.6%</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Cesar</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33.006</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102.569</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32.2%</w:t>
            </w:r>
          </w:p>
        </w:tc>
      </w:tr>
      <w:tr w:rsidR="00A247C6" w:rsidTr="00F20FCF">
        <w:tc>
          <w:tcPr>
            <w:tcW w:w="4390" w:type="dxa"/>
          </w:tcPr>
          <w:p w:rsidR="00A247C6" w:rsidRPr="00A247C6" w:rsidRDefault="00F20FCF" w:rsidP="005F64F3">
            <w:pPr>
              <w:pStyle w:val="Sinespaciado"/>
              <w:jc w:val="both"/>
              <w:rPr>
                <w:rFonts w:ascii="Bookman Old Style" w:hAnsi="Bookman Old Style"/>
                <w:sz w:val="20"/>
                <w:szCs w:val="20"/>
              </w:rPr>
            </w:pPr>
            <w:r>
              <w:rPr>
                <w:rFonts w:ascii="Bookman Old Style" w:hAnsi="Bookman Old Style"/>
                <w:sz w:val="20"/>
                <w:szCs w:val="20"/>
              </w:rPr>
              <w:t>Cauca</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45.249</w:t>
            </w:r>
          </w:p>
        </w:tc>
        <w:tc>
          <w:tcPr>
            <w:tcW w:w="1559"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134.242</w:t>
            </w:r>
          </w:p>
        </w:tc>
        <w:tc>
          <w:tcPr>
            <w:tcW w:w="2410" w:type="dxa"/>
          </w:tcPr>
          <w:p w:rsidR="00A247C6"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33.7%</w:t>
            </w:r>
          </w:p>
        </w:tc>
      </w:tr>
      <w:tr w:rsidR="00F20FCF" w:rsidTr="00F20FCF">
        <w:tc>
          <w:tcPr>
            <w:tcW w:w="4390" w:type="dxa"/>
          </w:tcPr>
          <w:p w:rsidR="00F20FCF" w:rsidRDefault="00F20FCF" w:rsidP="005F64F3">
            <w:pPr>
              <w:pStyle w:val="Sinespaciado"/>
              <w:jc w:val="both"/>
              <w:rPr>
                <w:rFonts w:ascii="Bookman Old Style" w:hAnsi="Bookman Old Style"/>
                <w:sz w:val="20"/>
                <w:szCs w:val="20"/>
              </w:rPr>
            </w:pPr>
            <w:r>
              <w:rPr>
                <w:rFonts w:ascii="Bookman Old Style" w:hAnsi="Bookman Old Style"/>
                <w:sz w:val="20"/>
                <w:szCs w:val="20"/>
              </w:rPr>
              <w:t>Huila</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38.185</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112.326</w:t>
            </w:r>
          </w:p>
        </w:tc>
        <w:tc>
          <w:tcPr>
            <w:tcW w:w="2410"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34.%</w:t>
            </w:r>
          </w:p>
        </w:tc>
      </w:tr>
      <w:tr w:rsidR="00F20FCF" w:rsidTr="00F20FCF">
        <w:tc>
          <w:tcPr>
            <w:tcW w:w="4390" w:type="dxa"/>
          </w:tcPr>
          <w:p w:rsidR="00F20FCF" w:rsidRDefault="00F20FCF" w:rsidP="005F64F3">
            <w:pPr>
              <w:pStyle w:val="Sinespaciado"/>
              <w:jc w:val="both"/>
              <w:rPr>
                <w:rFonts w:ascii="Bookman Old Style" w:hAnsi="Bookman Old Style"/>
                <w:sz w:val="20"/>
                <w:szCs w:val="20"/>
              </w:rPr>
            </w:pPr>
            <w:r>
              <w:rPr>
                <w:rFonts w:ascii="Bookman Old Style" w:hAnsi="Bookman Old Style"/>
                <w:sz w:val="20"/>
                <w:szCs w:val="20"/>
              </w:rPr>
              <w:t>Meta</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32.647</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87.338</w:t>
            </w:r>
          </w:p>
        </w:tc>
        <w:tc>
          <w:tcPr>
            <w:tcW w:w="2410"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37.4%</w:t>
            </w:r>
          </w:p>
        </w:tc>
      </w:tr>
      <w:tr w:rsidR="00F20FCF" w:rsidTr="00F20FCF">
        <w:tc>
          <w:tcPr>
            <w:tcW w:w="4390" w:type="dxa"/>
          </w:tcPr>
          <w:p w:rsidR="00F20FCF" w:rsidRDefault="00F20FCF" w:rsidP="005F64F3">
            <w:pPr>
              <w:pStyle w:val="Sinespaciado"/>
              <w:jc w:val="both"/>
              <w:rPr>
                <w:rFonts w:ascii="Bookman Old Style" w:hAnsi="Bookman Old Style"/>
                <w:sz w:val="20"/>
                <w:szCs w:val="20"/>
              </w:rPr>
            </w:pPr>
            <w:r>
              <w:rPr>
                <w:rFonts w:ascii="Bookman Old Style" w:hAnsi="Bookman Old Style"/>
                <w:sz w:val="20"/>
                <w:szCs w:val="20"/>
              </w:rPr>
              <w:t>Tolima</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48.533</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126.746</w:t>
            </w:r>
          </w:p>
        </w:tc>
        <w:tc>
          <w:tcPr>
            <w:tcW w:w="2410"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38.3%</w:t>
            </w:r>
          </w:p>
        </w:tc>
      </w:tr>
      <w:tr w:rsidR="00F20FCF" w:rsidTr="00F20FCF">
        <w:tc>
          <w:tcPr>
            <w:tcW w:w="4390" w:type="dxa"/>
          </w:tcPr>
          <w:p w:rsidR="00F20FCF" w:rsidRDefault="00F20FCF" w:rsidP="005F64F3">
            <w:pPr>
              <w:pStyle w:val="Sinespaciado"/>
              <w:jc w:val="both"/>
              <w:rPr>
                <w:rFonts w:ascii="Bookman Old Style" w:hAnsi="Bookman Old Style"/>
                <w:sz w:val="20"/>
                <w:szCs w:val="20"/>
              </w:rPr>
            </w:pPr>
            <w:r>
              <w:rPr>
                <w:rFonts w:ascii="Bookman Old Style" w:hAnsi="Bookman Old Style"/>
                <w:sz w:val="20"/>
                <w:szCs w:val="20"/>
              </w:rPr>
              <w:t>Bolívar</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77.355</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201.387</w:t>
            </w:r>
          </w:p>
        </w:tc>
        <w:tc>
          <w:tcPr>
            <w:tcW w:w="2410"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38.4%</w:t>
            </w:r>
          </w:p>
        </w:tc>
      </w:tr>
      <w:tr w:rsidR="00F20FCF" w:rsidTr="00F20FCF">
        <w:tc>
          <w:tcPr>
            <w:tcW w:w="4390" w:type="dxa"/>
          </w:tcPr>
          <w:p w:rsidR="00F20FCF" w:rsidRDefault="00F20FCF" w:rsidP="005F64F3">
            <w:pPr>
              <w:pStyle w:val="Sinespaciado"/>
              <w:jc w:val="both"/>
              <w:rPr>
                <w:rFonts w:ascii="Bookman Old Style" w:hAnsi="Bookman Old Style"/>
                <w:sz w:val="20"/>
                <w:szCs w:val="20"/>
              </w:rPr>
            </w:pPr>
            <w:r>
              <w:rPr>
                <w:rFonts w:ascii="Bookman Old Style" w:hAnsi="Bookman Old Style"/>
                <w:sz w:val="20"/>
                <w:szCs w:val="20"/>
              </w:rPr>
              <w:t>Valle del Cauca</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168.773</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394.878</w:t>
            </w:r>
          </w:p>
        </w:tc>
        <w:tc>
          <w:tcPr>
            <w:tcW w:w="2410"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42.7%</w:t>
            </w:r>
          </w:p>
        </w:tc>
      </w:tr>
      <w:tr w:rsidR="00F20FCF" w:rsidTr="00F20FCF">
        <w:tc>
          <w:tcPr>
            <w:tcW w:w="4390" w:type="dxa"/>
          </w:tcPr>
          <w:p w:rsidR="00F20FCF" w:rsidRDefault="00F20FCF" w:rsidP="005F64F3">
            <w:pPr>
              <w:pStyle w:val="Sinespaciado"/>
              <w:jc w:val="both"/>
              <w:rPr>
                <w:rFonts w:ascii="Bookman Old Style" w:hAnsi="Bookman Old Style"/>
                <w:sz w:val="20"/>
                <w:szCs w:val="20"/>
              </w:rPr>
            </w:pPr>
            <w:r>
              <w:rPr>
                <w:rFonts w:ascii="Bookman Old Style" w:hAnsi="Bookman Old Style"/>
                <w:sz w:val="20"/>
                <w:szCs w:val="20"/>
              </w:rPr>
              <w:t>Nacional</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2.234.285</w:t>
            </w:r>
          </w:p>
        </w:tc>
        <w:tc>
          <w:tcPr>
            <w:tcW w:w="1559"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4.336.577</w:t>
            </w:r>
          </w:p>
        </w:tc>
        <w:tc>
          <w:tcPr>
            <w:tcW w:w="2410" w:type="dxa"/>
          </w:tcPr>
          <w:p w:rsidR="00F20FCF" w:rsidRPr="00A247C6" w:rsidRDefault="000A73A4" w:rsidP="00F20FCF">
            <w:pPr>
              <w:pStyle w:val="Sinespaciado"/>
              <w:jc w:val="center"/>
              <w:rPr>
                <w:rFonts w:ascii="Bookman Old Style" w:hAnsi="Bookman Old Style"/>
                <w:sz w:val="20"/>
                <w:szCs w:val="20"/>
              </w:rPr>
            </w:pPr>
            <w:r>
              <w:rPr>
                <w:rFonts w:ascii="Bookman Old Style" w:hAnsi="Bookman Old Style"/>
                <w:sz w:val="20"/>
                <w:szCs w:val="20"/>
              </w:rPr>
              <w:t>51.5%</w:t>
            </w:r>
          </w:p>
        </w:tc>
      </w:tr>
    </w:tbl>
    <w:p w:rsidR="00A247C6" w:rsidRDefault="00A247C6" w:rsidP="005F64F3">
      <w:pPr>
        <w:pStyle w:val="Sinespaciado"/>
        <w:jc w:val="both"/>
        <w:rPr>
          <w:rFonts w:ascii="Bookman Old Style" w:hAnsi="Bookman Old Style"/>
          <w:sz w:val="24"/>
          <w:szCs w:val="24"/>
        </w:rPr>
      </w:pPr>
    </w:p>
    <w:p w:rsidR="000A73A4" w:rsidRDefault="000A73A4" w:rsidP="005F64F3">
      <w:pPr>
        <w:pStyle w:val="Sinespaciado"/>
        <w:jc w:val="both"/>
        <w:rPr>
          <w:rFonts w:ascii="Bookman Old Style" w:hAnsi="Bookman Old Style"/>
          <w:b/>
          <w:sz w:val="24"/>
          <w:szCs w:val="24"/>
        </w:rPr>
      </w:pPr>
      <w:r>
        <w:rPr>
          <w:rFonts w:ascii="Bookman Old Style" w:hAnsi="Bookman Old Style"/>
          <w:b/>
          <w:sz w:val="24"/>
          <w:szCs w:val="24"/>
        </w:rPr>
        <w:t>Tasa de Cobertura Bruta en Educación Superior por Departamento, para Departamentos con Tasas Superiores a la Nacional</w:t>
      </w:r>
      <w:r w:rsidR="00573A53">
        <w:rPr>
          <w:rFonts w:ascii="Bookman Old Style" w:hAnsi="Bookman Old Style"/>
          <w:b/>
          <w:sz w:val="24"/>
          <w:szCs w:val="24"/>
        </w:rPr>
        <w:t xml:space="preserve"> (Fuente Ministerio de Educación Nacional)</w:t>
      </w:r>
    </w:p>
    <w:p w:rsidR="000A73A4" w:rsidRDefault="000A73A4" w:rsidP="005F64F3">
      <w:pPr>
        <w:pStyle w:val="Sinespaciado"/>
        <w:jc w:val="both"/>
        <w:rPr>
          <w:rFonts w:ascii="Bookman Old Style" w:hAnsi="Bookman Old Style"/>
          <w:b/>
          <w:sz w:val="24"/>
          <w:szCs w:val="24"/>
        </w:rPr>
      </w:pPr>
    </w:p>
    <w:tbl>
      <w:tblPr>
        <w:tblStyle w:val="Tablaconcuadrcula"/>
        <w:tblW w:w="9918" w:type="dxa"/>
        <w:tblLook w:val="04A0" w:firstRow="1" w:lastRow="0" w:firstColumn="1" w:lastColumn="0" w:noHBand="0" w:noVBand="1"/>
      </w:tblPr>
      <w:tblGrid>
        <w:gridCol w:w="2899"/>
        <w:gridCol w:w="1995"/>
        <w:gridCol w:w="2472"/>
        <w:gridCol w:w="2552"/>
      </w:tblGrid>
      <w:tr w:rsidR="00C90744" w:rsidTr="00C90744">
        <w:tc>
          <w:tcPr>
            <w:tcW w:w="2899" w:type="dxa"/>
          </w:tcPr>
          <w:p w:rsidR="00C90744" w:rsidRDefault="00C90744" w:rsidP="00C90744">
            <w:pPr>
              <w:pStyle w:val="Sinespaciado"/>
              <w:jc w:val="center"/>
              <w:rPr>
                <w:rFonts w:ascii="Bookman Old Style" w:hAnsi="Bookman Old Style"/>
                <w:b/>
                <w:sz w:val="24"/>
                <w:szCs w:val="24"/>
              </w:rPr>
            </w:pPr>
            <w:r>
              <w:rPr>
                <w:rFonts w:ascii="Bookman Old Style" w:hAnsi="Bookman Old Style"/>
                <w:b/>
                <w:sz w:val="24"/>
                <w:szCs w:val="24"/>
              </w:rPr>
              <w:t>DEPARTAMENTO</w:t>
            </w:r>
          </w:p>
        </w:tc>
        <w:tc>
          <w:tcPr>
            <w:tcW w:w="1995" w:type="dxa"/>
          </w:tcPr>
          <w:p w:rsidR="00C90744" w:rsidRDefault="00C90744" w:rsidP="00C90744">
            <w:pPr>
              <w:pStyle w:val="Sinespaciado"/>
              <w:jc w:val="center"/>
              <w:rPr>
                <w:rFonts w:ascii="Bookman Old Style" w:hAnsi="Bookman Old Style"/>
                <w:b/>
                <w:sz w:val="24"/>
                <w:szCs w:val="24"/>
              </w:rPr>
            </w:pPr>
            <w:r>
              <w:rPr>
                <w:rFonts w:ascii="Bookman Old Style" w:hAnsi="Bookman Old Style"/>
                <w:b/>
                <w:sz w:val="24"/>
                <w:szCs w:val="24"/>
              </w:rPr>
              <w:t>MATRÍCULA PREGRADO</w:t>
            </w:r>
          </w:p>
        </w:tc>
        <w:tc>
          <w:tcPr>
            <w:tcW w:w="2472" w:type="dxa"/>
          </w:tcPr>
          <w:p w:rsidR="00C90744" w:rsidRDefault="00C90744" w:rsidP="00C90744">
            <w:pPr>
              <w:pStyle w:val="Sinespaciado"/>
              <w:jc w:val="center"/>
              <w:rPr>
                <w:rFonts w:ascii="Bookman Old Style" w:hAnsi="Bookman Old Style"/>
                <w:b/>
                <w:sz w:val="24"/>
                <w:szCs w:val="24"/>
              </w:rPr>
            </w:pPr>
            <w:r>
              <w:rPr>
                <w:rFonts w:ascii="Bookman Old Style" w:hAnsi="Bookman Old Style"/>
                <w:b/>
                <w:sz w:val="24"/>
                <w:szCs w:val="24"/>
              </w:rPr>
              <w:t xml:space="preserve">POBLACIÓN </w:t>
            </w:r>
          </w:p>
          <w:p w:rsidR="00C90744" w:rsidRDefault="00C90744" w:rsidP="00C90744">
            <w:pPr>
              <w:pStyle w:val="Sinespaciado"/>
              <w:jc w:val="center"/>
              <w:rPr>
                <w:rFonts w:ascii="Bookman Old Style" w:hAnsi="Bookman Old Style"/>
                <w:b/>
                <w:sz w:val="24"/>
                <w:szCs w:val="24"/>
              </w:rPr>
            </w:pPr>
            <w:r>
              <w:rPr>
                <w:rFonts w:ascii="Bookman Old Style" w:hAnsi="Bookman Old Style"/>
                <w:b/>
                <w:sz w:val="24"/>
                <w:szCs w:val="24"/>
              </w:rPr>
              <w:t>17 – 21</w:t>
            </w:r>
          </w:p>
        </w:tc>
        <w:tc>
          <w:tcPr>
            <w:tcW w:w="2552" w:type="dxa"/>
          </w:tcPr>
          <w:p w:rsidR="00C90744" w:rsidRDefault="00C90744" w:rsidP="00C90744">
            <w:pPr>
              <w:pStyle w:val="Sinespaciado"/>
              <w:ind w:right="-112"/>
              <w:jc w:val="center"/>
              <w:rPr>
                <w:rFonts w:ascii="Bookman Old Style" w:hAnsi="Bookman Old Style"/>
                <w:b/>
                <w:sz w:val="24"/>
                <w:szCs w:val="24"/>
              </w:rPr>
            </w:pPr>
            <w:r>
              <w:rPr>
                <w:rFonts w:ascii="Bookman Old Style" w:hAnsi="Bookman Old Style"/>
                <w:b/>
                <w:sz w:val="24"/>
                <w:szCs w:val="24"/>
              </w:rPr>
              <w:t>TASA DE COBERTURA BRUTA</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Nacional</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2.234.285</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4.336.577</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51.5%</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sidRPr="00C90744">
              <w:rPr>
                <w:rFonts w:ascii="Bookman Old Style" w:hAnsi="Bookman Old Style"/>
                <w:sz w:val="24"/>
                <w:szCs w:val="24"/>
              </w:rPr>
              <w:t>Norte de Santander</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68.543</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132.876</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51.6%</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Boyacá</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58.892</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110.190</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53.4%</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Antioquia</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307.402</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558.790</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55.0%</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Caldas</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44.326</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80.038</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55.4%</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Risaralda</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47.367</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80.748</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58.7%</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Atlántico</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128.495</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215.529</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59.6%</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Quindío</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29.579</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47.914</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61.7%</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 xml:space="preserve">Santander </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115.129</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180.397</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63.8%</w:t>
            </w:r>
          </w:p>
        </w:tc>
      </w:tr>
      <w:tr w:rsidR="00C90744" w:rsidTr="00C90744">
        <w:tc>
          <w:tcPr>
            <w:tcW w:w="2899" w:type="dxa"/>
          </w:tcPr>
          <w:p w:rsidR="00C90744" w:rsidRPr="00C90744" w:rsidRDefault="00C90744" w:rsidP="00C90744">
            <w:pPr>
              <w:pStyle w:val="Sinespaciado"/>
              <w:jc w:val="both"/>
              <w:rPr>
                <w:rFonts w:ascii="Bookman Old Style" w:hAnsi="Bookman Old Style"/>
                <w:sz w:val="24"/>
                <w:szCs w:val="24"/>
              </w:rPr>
            </w:pPr>
            <w:r>
              <w:rPr>
                <w:rFonts w:ascii="Bookman Old Style" w:hAnsi="Bookman Old Style"/>
                <w:sz w:val="24"/>
                <w:szCs w:val="24"/>
              </w:rPr>
              <w:t>Bogotá D.C.</w:t>
            </w:r>
          </w:p>
        </w:tc>
        <w:tc>
          <w:tcPr>
            <w:tcW w:w="1995"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711.548|</w:t>
            </w:r>
          </w:p>
        </w:tc>
        <w:tc>
          <w:tcPr>
            <w:tcW w:w="2472" w:type="dxa"/>
          </w:tcPr>
          <w:p w:rsidR="00C90744" w:rsidRPr="00C90744" w:rsidRDefault="00C90744" w:rsidP="00C90744">
            <w:pPr>
              <w:pStyle w:val="Sinespaciado"/>
              <w:jc w:val="center"/>
              <w:rPr>
                <w:rFonts w:ascii="Bookman Old Style" w:hAnsi="Bookman Old Style"/>
                <w:sz w:val="24"/>
                <w:szCs w:val="24"/>
              </w:rPr>
            </w:pPr>
            <w:r>
              <w:rPr>
                <w:rFonts w:ascii="Bookman Old Style" w:hAnsi="Bookman Old Style"/>
                <w:sz w:val="24"/>
                <w:szCs w:val="24"/>
              </w:rPr>
              <w:t>656.499</w:t>
            </w:r>
          </w:p>
        </w:tc>
        <w:tc>
          <w:tcPr>
            <w:tcW w:w="2552" w:type="dxa"/>
          </w:tcPr>
          <w:p w:rsidR="00C90744" w:rsidRPr="00C90744" w:rsidRDefault="00C90744" w:rsidP="00C90744">
            <w:pPr>
              <w:pStyle w:val="Sinespaciado"/>
              <w:ind w:right="-112"/>
              <w:jc w:val="center"/>
              <w:rPr>
                <w:rFonts w:ascii="Bookman Old Style" w:hAnsi="Bookman Old Style"/>
                <w:sz w:val="24"/>
                <w:szCs w:val="24"/>
              </w:rPr>
            </w:pPr>
            <w:r>
              <w:rPr>
                <w:rFonts w:ascii="Bookman Old Style" w:hAnsi="Bookman Old Style"/>
                <w:sz w:val="24"/>
                <w:szCs w:val="24"/>
              </w:rPr>
              <w:t>108.4%</w:t>
            </w:r>
          </w:p>
        </w:tc>
      </w:tr>
    </w:tbl>
    <w:p w:rsidR="000A73A4" w:rsidRPr="000A73A4" w:rsidRDefault="000A73A4" w:rsidP="005F64F3">
      <w:pPr>
        <w:pStyle w:val="Sinespaciado"/>
        <w:jc w:val="both"/>
        <w:rPr>
          <w:rFonts w:ascii="Bookman Old Style" w:hAnsi="Bookman Old Style"/>
          <w:b/>
          <w:sz w:val="24"/>
          <w:szCs w:val="24"/>
        </w:rPr>
      </w:pPr>
    </w:p>
    <w:p w:rsidR="005F64F3" w:rsidRPr="005F64F3" w:rsidRDefault="00B42F2C" w:rsidP="005F64F3">
      <w:pPr>
        <w:pStyle w:val="Sinespaciado"/>
        <w:jc w:val="both"/>
        <w:rPr>
          <w:rFonts w:ascii="Bookman Old Style" w:hAnsi="Bookman Old Style"/>
          <w:sz w:val="24"/>
          <w:szCs w:val="24"/>
        </w:rPr>
      </w:pPr>
      <w:r w:rsidRPr="005F64F3">
        <w:rPr>
          <w:rFonts w:ascii="Bookman Old Style" w:hAnsi="Bookman Old Style"/>
          <w:sz w:val="24"/>
          <w:szCs w:val="24"/>
        </w:rPr>
        <w:t>Ahora bien, vamos a</w:t>
      </w:r>
      <w:r w:rsidR="005F64F3">
        <w:rPr>
          <w:rFonts w:ascii="Bookman Old Style" w:hAnsi="Bookman Old Style"/>
          <w:sz w:val="24"/>
          <w:szCs w:val="24"/>
        </w:rPr>
        <w:t xml:space="preserve"> mostrar como</w:t>
      </w:r>
      <w:r w:rsidRPr="005F64F3">
        <w:rPr>
          <w:rFonts w:ascii="Bookman Old Style" w:hAnsi="Bookman Old Style"/>
          <w:sz w:val="24"/>
          <w:szCs w:val="24"/>
        </w:rPr>
        <w:t xml:space="preserve"> de otro lado, estos departamentos (incluido Bogotá D.C), con las tasas de cobertura bruta en Ed</w:t>
      </w:r>
      <w:r w:rsidR="005F64F3">
        <w:rPr>
          <w:rFonts w:ascii="Bookman Old Style" w:hAnsi="Bookman Old Style"/>
          <w:sz w:val="24"/>
          <w:szCs w:val="24"/>
        </w:rPr>
        <w:t xml:space="preserve">ucación Superior por encima del </w:t>
      </w:r>
      <w:r w:rsidRPr="005F64F3">
        <w:rPr>
          <w:rFonts w:ascii="Bookman Old Style" w:hAnsi="Bookman Old Style"/>
          <w:sz w:val="24"/>
          <w:szCs w:val="24"/>
        </w:rPr>
        <w:t>promedio nacional, coinciden con la</w:t>
      </w:r>
      <w:r w:rsidR="005F64F3">
        <w:rPr>
          <w:rFonts w:ascii="Bookman Old Style" w:hAnsi="Bookman Old Style"/>
          <w:sz w:val="24"/>
          <w:szCs w:val="24"/>
        </w:rPr>
        <w:t xml:space="preserve"> mayoría de los </w:t>
      </w:r>
      <w:r w:rsidR="005F64F3">
        <w:rPr>
          <w:rFonts w:ascii="Bookman Old Style" w:hAnsi="Bookman Old Style"/>
          <w:sz w:val="24"/>
          <w:szCs w:val="24"/>
        </w:rPr>
        <w:lastRenderedPageBreak/>
        <w:t>departamentos (</w:t>
      </w:r>
      <w:r w:rsidRPr="005F64F3">
        <w:rPr>
          <w:rFonts w:ascii="Bookman Old Style" w:hAnsi="Bookman Old Style"/>
          <w:sz w:val="24"/>
          <w:szCs w:val="24"/>
        </w:rPr>
        <w:t>incluida Bogotá D.C), que tienen el mayor número de beneficiarios de créditos educativos del ICETEX.</w:t>
      </w:r>
    </w:p>
    <w:p w:rsidR="005F64F3" w:rsidRDefault="005F64F3" w:rsidP="00B42F2C">
      <w:pPr>
        <w:pStyle w:val="Sinespaciado"/>
        <w:jc w:val="both"/>
        <w:rPr>
          <w:rFonts w:ascii="Segoe UI" w:hAnsi="Segoe UI" w:cs="Segoe UI"/>
          <w:color w:val="212121"/>
          <w:shd w:val="clear" w:color="auto" w:fill="FFFFFF"/>
        </w:rPr>
      </w:pPr>
    </w:p>
    <w:tbl>
      <w:tblPr>
        <w:tblStyle w:val="Tablaconcuadrcula"/>
        <w:tblpPr w:leftFromText="141" w:rightFromText="141" w:vertAnchor="page" w:horzAnchor="margin" w:tblpXSpec="center" w:tblpY="4555"/>
        <w:tblW w:w="4112" w:type="dxa"/>
        <w:tblLayout w:type="fixed"/>
        <w:tblLook w:val="04A0" w:firstRow="1" w:lastRow="0" w:firstColumn="1" w:lastColumn="0" w:noHBand="0" w:noVBand="1"/>
      </w:tblPr>
      <w:tblGrid>
        <w:gridCol w:w="2127"/>
        <w:gridCol w:w="1985"/>
      </w:tblGrid>
      <w:tr w:rsidR="00C90744" w:rsidRPr="00897A2F" w:rsidTr="00A270F5">
        <w:tc>
          <w:tcPr>
            <w:tcW w:w="2127" w:type="dxa"/>
            <w:shd w:val="clear" w:color="auto" w:fill="0070C0"/>
          </w:tcPr>
          <w:p w:rsidR="00C90744" w:rsidRDefault="00C90744" w:rsidP="00A270F5">
            <w:pPr>
              <w:pStyle w:val="Sinespaciado"/>
              <w:jc w:val="center"/>
              <w:rPr>
                <w:rFonts w:ascii="Bookman Old Style" w:hAnsi="Bookman Old Style"/>
                <w:b/>
                <w:sz w:val="20"/>
                <w:szCs w:val="20"/>
              </w:rPr>
            </w:pPr>
          </w:p>
          <w:p w:rsidR="00C90744" w:rsidRDefault="00C90744" w:rsidP="00A270F5">
            <w:pPr>
              <w:pStyle w:val="Sinespaciado"/>
              <w:jc w:val="center"/>
              <w:rPr>
                <w:rFonts w:ascii="Bookman Old Style" w:hAnsi="Bookman Old Style"/>
                <w:b/>
                <w:sz w:val="20"/>
                <w:szCs w:val="20"/>
              </w:rPr>
            </w:pPr>
          </w:p>
          <w:p w:rsidR="00C90744" w:rsidRPr="00897A2F" w:rsidRDefault="00C90744" w:rsidP="00A270F5">
            <w:pPr>
              <w:pStyle w:val="Sinespaciado"/>
              <w:jc w:val="center"/>
              <w:rPr>
                <w:rFonts w:ascii="Bookman Old Style" w:hAnsi="Bookman Old Style"/>
                <w:b/>
                <w:sz w:val="20"/>
                <w:szCs w:val="20"/>
              </w:rPr>
            </w:pPr>
            <w:r w:rsidRPr="00897A2F">
              <w:rPr>
                <w:rFonts w:ascii="Bookman Old Style" w:hAnsi="Bookman Old Style"/>
                <w:b/>
                <w:sz w:val="20"/>
                <w:szCs w:val="20"/>
              </w:rPr>
              <w:t>DEP</w:t>
            </w:r>
            <w:r>
              <w:rPr>
                <w:rFonts w:ascii="Bookman Old Style" w:hAnsi="Bookman Old Style"/>
                <w:b/>
                <w:sz w:val="20"/>
                <w:szCs w:val="20"/>
              </w:rPr>
              <w:t>ARTAMENTO</w:t>
            </w:r>
          </w:p>
        </w:tc>
        <w:tc>
          <w:tcPr>
            <w:tcW w:w="1985" w:type="dxa"/>
            <w:shd w:val="clear" w:color="auto" w:fill="0070C0"/>
          </w:tcPr>
          <w:p w:rsidR="00C90744" w:rsidRDefault="00C90744" w:rsidP="00A270F5">
            <w:pPr>
              <w:pStyle w:val="Sinespaciado"/>
              <w:jc w:val="center"/>
              <w:rPr>
                <w:rFonts w:ascii="Bookman Old Style" w:hAnsi="Bookman Old Style"/>
                <w:b/>
                <w:sz w:val="20"/>
                <w:szCs w:val="20"/>
              </w:rPr>
            </w:pPr>
          </w:p>
          <w:p w:rsidR="00C90744" w:rsidRDefault="00C90744" w:rsidP="00A270F5">
            <w:pPr>
              <w:pStyle w:val="Sinespaciado"/>
              <w:jc w:val="center"/>
              <w:rPr>
                <w:rFonts w:ascii="Bookman Old Style" w:hAnsi="Bookman Old Style"/>
                <w:b/>
                <w:sz w:val="20"/>
                <w:szCs w:val="20"/>
              </w:rPr>
            </w:pPr>
            <w:r>
              <w:rPr>
                <w:rFonts w:ascii="Bookman Old Style" w:hAnsi="Bookman Old Style"/>
                <w:b/>
                <w:sz w:val="20"/>
                <w:szCs w:val="20"/>
              </w:rPr>
              <w:t>NO.</w:t>
            </w:r>
          </w:p>
          <w:p w:rsidR="00C90744" w:rsidRPr="00897A2F" w:rsidRDefault="00C90744" w:rsidP="00A270F5">
            <w:pPr>
              <w:pStyle w:val="Sinespaciado"/>
              <w:jc w:val="center"/>
              <w:rPr>
                <w:rFonts w:ascii="Bookman Old Style" w:hAnsi="Bookman Old Style"/>
                <w:b/>
                <w:sz w:val="20"/>
                <w:szCs w:val="20"/>
              </w:rPr>
            </w:pPr>
            <w:r>
              <w:rPr>
                <w:rFonts w:ascii="Bookman Old Style" w:hAnsi="Bookman Old Style"/>
                <w:b/>
                <w:sz w:val="20"/>
                <w:szCs w:val="20"/>
              </w:rPr>
              <w:t>BENEFICIARIOS</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Distrito Capital</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102.497</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Valle del Cauca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34.759</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Atlántico</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32.415</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Antioquia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30.398</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Santander</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22.992</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Cundinamarca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22.958</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Bolívar</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19.081</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Córdoba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14.327</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Sucre</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12.602</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Nariño</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11.122</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Boyacá</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10.154</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Tolima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9.812</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Risaralda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9.499</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Norte de Santander</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9.202</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Cauca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8.669</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Caldas</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8.268</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Huila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6.666</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Meta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6.270</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Quindío</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5.821</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Magdalena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5.231</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Casanare</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4.366</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Cesar</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3.957</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Putumayo</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3.291</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Caquetá</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2.810</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La Guajira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2.878</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Arauca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2.538</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Guaviare</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488</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Amazonas</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373</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Choco</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346</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San Andrés</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385</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Guainía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111</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Vichada</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62</w:t>
            </w:r>
          </w:p>
        </w:tc>
      </w:tr>
      <w:tr w:rsidR="00C90744" w:rsidTr="00A270F5">
        <w:tc>
          <w:tcPr>
            <w:tcW w:w="2127" w:type="dxa"/>
          </w:tcPr>
          <w:p w:rsidR="00C90744" w:rsidRPr="00897A2F" w:rsidRDefault="00C90744" w:rsidP="00A270F5">
            <w:pPr>
              <w:pStyle w:val="Sinespaciado"/>
              <w:jc w:val="both"/>
              <w:rPr>
                <w:rFonts w:ascii="Bookman Old Style" w:hAnsi="Bookman Old Style"/>
                <w:sz w:val="20"/>
                <w:szCs w:val="20"/>
              </w:rPr>
            </w:pPr>
            <w:r>
              <w:rPr>
                <w:rFonts w:ascii="Bookman Old Style" w:hAnsi="Bookman Old Style"/>
                <w:sz w:val="20"/>
                <w:szCs w:val="20"/>
              </w:rPr>
              <w:t>Vaupés</w:t>
            </w:r>
          </w:p>
        </w:tc>
        <w:tc>
          <w:tcPr>
            <w:tcW w:w="1985" w:type="dxa"/>
          </w:tcPr>
          <w:p w:rsidR="00C90744" w:rsidRPr="00897A2F" w:rsidRDefault="00C90744" w:rsidP="00A270F5">
            <w:pPr>
              <w:pStyle w:val="Sinespaciado"/>
              <w:jc w:val="center"/>
              <w:rPr>
                <w:rFonts w:ascii="Bookman Old Style" w:hAnsi="Bookman Old Style"/>
                <w:sz w:val="20"/>
                <w:szCs w:val="20"/>
              </w:rPr>
            </w:pPr>
            <w:r>
              <w:rPr>
                <w:rFonts w:ascii="Bookman Old Style" w:hAnsi="Bookman Old Style"/>
                <w:sz w:val="20"/>
                <w:szCs w:val="20"/>
              </w:rPr>
              <w:t>9</w:t>
            </w:r>
          </w:p>
        </w:tc>
      </w:tr>
    </w:tbl>
    <w:p w:rsidR="00A247C6" w:rsidRDefault="00B42F2C" w:rsidP="005F64F3">
      <w:pPr>
        <w:pStyle w:val="Sinespaciado"/>
        <w:jc w:val="both"/>
        <w:rPr>
          <w:rFonts w:ascii="Bookman Old Style" w:hAnsi="Bookman Old Style"/>
          <w:sz w:val="24"/>
          <w:szCs w:val="24"/>
        </w:rPr>
      </w:pPr>
      <w:r>
        <w:rPr>
          <w:rFonts w:ascii="Segoe UI" w:hAnsi="Segoe UI" w:cs="Segoe UI"/>
          <w:color w:val="212121"/>
        </w:rPr>
        <w:br/>
      </w: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47C6" w:rsidRDefault="00A247C6" w:rsidP="005F64F3">
      <w:pPr>
        <w:pStyle w:val="Sinespaciado"/>
        <w:jc w:val="both"/>
        <w:rPr>
          <w:rFonts w:ascii="Bookman Old Style" w:hAnsi="Bookman Old Style"/>
          <w:sz w:val="24"/>
          <w:szCs w:val="24"/>
        </w:rPr>
      </w:pPr>
    </w:p>
    <w:p w:rsidR="00A270F5" w:rsidRDefault="00A270F5" w:rsidP="005F64F3">
      <w:pPr>
        <w:pStyle w:val="Sinespaciado"/>
        <w:jc w:val="both"/>
        <w:rPr>
          <w:rFonts w:ascii="Bookman Old Style" w:hAnsi="Bookman Old Style"/>
          <w:sz w:val="24"/>
          <w:szCs w:val="24"/>
        </w:rPr>
      </w:pPr>
    </w:p>
    <w:p w:rsidR="00A270F5" w:rsidRDefault="00A270F5" w:rsidP="005F64F3">
      <w:pPr>
        <w:pStyle w:val="Sinespaciado"/>
        <w:jc w:val="both"/>
        <w:rPr>
          <w:rFonts w:ascii="Bookman Old Style" w:hAnsi="Bookman Old Style"/>
          <w:sz w:val="24"/>
          <w:szCs w:val="24"/>
        </w:rPr>
      </w:pPr>
    </w:p>
    <w:p w:rsidR="00573A53" w:rsidRDefault="00573A53" w:rsidP="005F64F3">
      <w:pPr>
        <w:pStyle w:val="Sinespaciado"/>
        <w:jc w:val="both"/>
        <w:rPr>
          <w:rFonts w:ascii="Bookman Old Style" w:hAnsi="Bookman Old Style"/>
          <w:sz w:val="24"/>
          <w:szCs w:val="24"/>
        </w:rPr>
      </w:pPr>
      <w:r>
        <w:rPr>
          <w:rFonts w:ascii="Bookman Old Style" w:hAnsi="Bookman Old Style"/>
          <w:sz w:val="24"/>
          <w:szCs w:val="24"/>
        </w:rPr>
        <w:t>(Fuente ICETEX)</w:t>
      </w:r>
    </w:p>
    <w:p w:rsidR="00573A53" w:rsidRDefault="00573A53" w:rsidP="005F64F3">
      <w:pPr>
        <w:pStyle w:val="Sinespaciado"/>
        <w:jc w:val="both"/>
        <w:rPr>
          <w:rFonts w:ascii="Bookman Old Style" w:hAnsi="Bookman Old Style"/>
          <w:sz w:val="24"/>
          <w:szCs w:val="24"/>
        </w:rPr>
      </w:pPr>
    </w:p>
    <w:p w:rsidR="005F64F3" w:rsidRDefault="00B42F2C" w:rsidP="005F64F3">
      <w:pPr>
        <w:pStyle w:val="Sinespaciado"/>
        <w:jc w:val="both"/>
        <w:rPr>
          <w:rFonts w:ascii="Bookman Old Style" w:hAnsi="Bookman Old Style"/>
          <w:sz w:val="24"/>
          <w:szCs w:val="24"/>
        </w:rPr>
      </w:pPr>
      <w:r w:rsidRPr="005F64F3">
        <w:rPr>
          <w:rFonts w:ascii="Bookman Old Style" w:hAnsi="Bookman Old Style"/>
          <w:sz w:val="24"/>
          <w:szCs w:val="24"/>
        </w:rPr>
        <w:lastRenderedPageBreak/>
        <w:t>Uno de los instrumentos que se utilizan para el acceso de los jóvenes bachilleres a la educación superior en las regiones son las modalidades vigentes de crédito educativo que existen actualmente en los programas del ICETEX. En modalidades se encuentran las siguientes Pregrado (</w:t>
      </w:r>
      <w:r w:rsidR="005F64F3">
        <w:rPr>
          <w:rFonts w:ascii="Bookman Old Style" w:hAnsi="Bookman Old Style"/>
          <w:sz w:val="24"/>
          <w:szCs w:val="24"/>
        </w:rPr>
        <w:t>Tú</w:t>
      </w:r>
      <w:r w:rsidRPr="005F64F3">
        <w:rPr>
          <w:rFonts w:ascii="Bookman Old Style" w:hAnsi="Bookman Old Style"/>
          <w:sz w:val="24"/>
          <w:szCs w:val="24"/>
        </w:rPr>
        <w:t xml:space="preserve"> eliges), Posgrado País, Idiomas (Pasantías, Investigación), Zonas Especiales (Línea Zonas Especiales), Protección Constituc</w:t>
      </w:r>
      <w:r w:rsidR="005F64F3">
        <w:rPr>
          <w:rFonts w:ascii="Bookman Old Style" w:hAnsi="Bookman Old Style"/>
          <w:sz w:val="24"/>
          <w:szCs w:val="24"/>
        </w:rPr>
        <w:t>ional.</w:t>
      </w:r>
    </w:p>
    <w:p w:rsidR="00C90744" w:rsidRDefault="00C90744" w:rsidP="005F64F3">
      <w:pPr>
        <w:pStyle w:val="Sinespaciado"/>
        <w:jc w:val="both"/>
        <w:rPr>
          <w:rFonts w:ascii="Bookman Old Style" w:hAnsi="Bookman Old Style"/>
          <w:sz w:val="24"/>
          <w:szCs w:val="24"/>
        </w:rPr>
      </w:pPr>
    </w:p>
    <w:p w:rsidR="00CF5465" w:rsidRDefault="00B42F2C" w:rsidP="005F64F3">
      <w:pPr>
        <w:pStyle w:val="Sinespaciado"/>
        <w:jc w:val="both"/>
        <w:rPr>
          <w:rFonts w:ascii="Bookman Old Style" w:hAnsi="Bookman Old Style"/>
          <w:sz w:val="24"/>
          <w:szCs w:val="24"/>
        </w:rPr>
      </w:pPr>
      <w:r w:rsidRPr="005F64F3">
        <w:rPr>
          <w:rFonts w:ascii="Bookman Old Style" w:hAnsi="Bookman Old Style"/>
          <w:sz w:val="24"/>
          <w:szCs w:val="24"/>
        </w:rPr>
        <w:t xml:space="preserve">Significa todo lo anterior que la concentración de los beneficiarios en estas entidades territoriales tiene como causa principal que cuentan con una mayor oferta de educación superior, independientemente del total de población ya que no hay proporcionalidad entre el porcentaje de los jóvenes que estudian con el porcentaje de población total por cada departamento. </w:t>
      </w:r>
      <w:r w:rsidRPr="005F64F3">
        <w:rPr>
          <w:rFonts w:ascii="Bookman Old Style" w:hAnsi="Bookman Old Style"/>
          <w:sz w:val="24"/>
          <w:szCs w:val="24"/>
        </w:rPr>
        <w:br/>
      </w:r>
      <w:r w:rsidRPr="005F64F3">
        <w:rPr>
          <w:rFonts w:ascii="Bookman Old Style" w:hAnsi="Bookman Old Style"/>
          <w:sz w:val="24"/>
          <w:szCs w:val="24"/>
        </w:rPr>
        <w:br/>
        <w:t>Por tanto, disminuir las brechas regionales en las tasas de cobertura bruta en Educación Superior pasa por el fortalecimiento de la oferta educativa de las IES Públicas</w:t>
      </w:r>
      <w:r w:rsidR="00C90744">
        <w:rPr>
          <w:rFonts w:ascii="Bookman Old Style" w:hAnsi="Bookman Old Style"/>
          <w:sz w:val="24"/>
          <w:szCs w:val="24"/>
        </w:rPr>
        <w:t>, lo que se lograría con la reforma a los Artículos 86 y 87 de la Ley 30 de 1992</w:t>
      </w:r>
      <w:r w:rsidR="001C405E">
        <w:rPr>
          <w:rFonts w:ascii="Bookman Old Style" w:hAnsi="Bookman Old Style"/>
          <w:sz w:val="24"/>
          <w:szCs w:val="24"/>
        </w:rPr>
        <w:t>, y de otro lado</w:t>
      </w:r>
      <w:r w:rsidRPr="005F64F3">
        <w:rPr>
          <w:rFonts w:ascii="Bookman Old Style" w:hAnsi="Bookman Old Style"/>
          <w:sz w:val="24"/>
          <w:szCs w:val="24"/>
        </w:rPr>
        <w:t xml:space="preserve"> la mejor racionalidad de la inversión en el subsidio a la demanda. A juicio del Ministerio de Educación Nacional ( radicado 2018-ER-075181) “</w:t>
      </w:r>
      <w:r w:rsidR="001C405E">
        <w:rPr>
          <w:rFonts w:ascii="Bookman Old Style" w:hAnsi="Bookman Old Style"/>
          <w:sz w:val="24"/>
          <w:szCs w:val="24"/>
        </w:rPr>
        <w:t>C</w:t>
      </w:r>
      <w:r w:rsidRPr="005F64F3">
        <w:rPr>
          <w:rFonts w:ascii="Bookman Old Style" w:hAnsi="Bookman Old Style"/>
          <w:sz w:val="24"/>
          <w:szCs w:val="24"/>
        </w:rPr>
        <w:t>ontar con la oferta necesaria para poder garantizar la atención de la población directamente en su región es un proceso que se dificulta en el corto plazo, dado que implica: I) Llevar oferta pública que cumpla con las condiciones básicas de calidad, lo que se supone realizar grandes inversiones en infraestructura, dotación, personal docente y administrativo y recursos tecnológicos y II) Lograr el concurso del sector del sector privado para llevar oferta de calidad a regiones de difícil acceso donde los costos de operación son muy altos</w:t>
      </w:r>
      <w:r w:rsidR="001C405E">
        <w:rPr>
          <w:rFonts w:ascii="Bookman Old Style" w:hAnsi="Bookman Old Style"/>
          <w:sz w:val="24"/>
          <w:szCs w:val="24"/>
        </w:rPr>
        <w:t>”</w:t>
      </w:r>
      <w:r w:rsidRPr="005F64F3">
        <w:rPr>
          <w:rFonts w:ascii="Bookman Old Style" w:hAnsi="Bookman Old Style"/>
          <w:sz w:val="24"/>
          <w:szCs w:val="24"/>
        </w:rPr>
        <w:t>.</w:t>
      </w:r>
    </w:p>
    <w:p w:rsidR="00CF5465" w:rsidRDefault="00B42F2C" w:rsidP="005F64F3">
      <w:pPr>
        <w:pStyle w:val="Sinespaciado"/>
        <w:jc w:val="both"/>
        <w:rPr>
          <w:rFonts w:ascii="Bookman Old Style" w:hAnsi="Bookman Old Style"/>
          <w:sz w:val="24"/>
          <w:szCs w:val="24"/>
        </w:rPr>
      </w:pPr>
      <w:r w:rsidRPr="005F64F3">
        <w:rPr>
          <w:rFonts w:ascii="Bookman Old Style" w:hAnsi="Bookman Old Style"/>
          <w:sz w:val="24"/>
          <w:szCs w:val="24"/>
        </w:rPr>
        <w:br/>
        <w:t xml:space="preserve">Dado el volumen de recursos que moviliza el ICETEX- </w:t>
      </w:r>
      <w:r w:rsidR="00CF5465" w:rsidRPr="005F64F3">
        <w:rPr>
          <w:rFonts w:ascii="Bookman Old Style" w:hAnsi="Bookman Old Style"/>
          <w:sz w:val="24"/>
          <w:szCs w:val="24"/>
        </w:rPr>
        <w:t>podría</w:t>
      </w:r>
      <w:r w:rsidRPr="005F64F3">
        <w:rPr>
          <w:rFonts w:ascii="Bookman Old Style" w:hAnsi="Bookman Old Style"/>
          <w:sz w:val="24"/>
          <w:szCs w:val="24"/>
        </w:rPr>
        <w:t xml:space="preserve"> cumplir un papel muy importante en la </w:t>
      </w:r>
      <w:r w:rsidR="00CF5465" w:rsidRPr="005F64F3">
        <w:rPr>
          <w:rFonts w:ascii="Bookman Old Style" w:hAnsi="Bookman Old Style"/>
          <w:sz w:val="24"/>
          <w:szCs w:val="24"/>
        </w:rPr>
        <w:t>desconcentración</w:t>
      </w:r>
      <w:r w:rsidR="00CF5465">
        <w:rPr>
          <w:rFonts w:ascii="Bookman Old Style" w:hAnsi="Bookman Old Style"/>
          <w:sz w:val="24"/>
          <w:szCs w:val="24"/>
        </w:rPr>
        <w:t xml:space="preserve"> de la oferta</w:t>
      </w:r>
      <w:r w:rsidR="001C405E">
        <w:rPr>
          <w:rFonts w:ascii="Bookman Old Style" w:hAnsi="Bookman Old Style"/>
          <w:sz w:val="24"/>
          <w:szCs w:val="24"/>
        </w:rPr>
        <w:t xml:space="preserve"> educativa</w:t>
      </w:r>
      <w:r w:rsidR="00CF5465">
        <w:rPr>
          <w:rFonts w:ascii="Bookman Old Style" w:hAnsi="Bookman Old Style"/>
          <w:sz w:val="24"/>
          <w:szCs w:val="24"/>
        </w:rPr>
        <w:t xml:space="preserve"> y es así, que el </w:t>
      </w:r>
      <w:r w:rsidRPr="005F64F3">
        <w:rPr>
          <w:rFonts w:ascii="Bookman Old Style" w:hAnsi="Bookman Old Style"/>
          <w:sz w:val="24"/>
          <w:szCs w:val="24"/>
        </w:rPr>
        <w:t>presente proyecto de ley establece que el ICETEX, adelantara un estudio que permita crear una nueva línea de crédito especial que coadyuve al cierre de las brechas regionales.</w:t>
      </w:r>
    </w:p>
    <w:p w:rsidR="00A270F5" w:rsidRDefault="00A270F5" w:rsidP="00CF5465">
      <w:pPr>
        <w:pStyle w:val="Sinespaciado"/>
        <w:jc w:val="center"/>
        <w:rPr>
          <w:rFonts w:ascii="Bookman Old Style" w:hAnsi="Bookman Old Style"/>
          <w:sz w:val="24"/>
          <w:szCs w:val="24"/>
        </w:rPr>
      </w:pPr>
    </w:p>
    <w:p w:rsidR="00A270F5" w:rsidRDefault="00A270F5" w:rsidP="00CF5465">
      <w:pPr>
        <w:pStyle w:val="Sinespaciado"/>
        <w:jc w:val="center"/>
        <w:rPr>
          <w:rFonts w:ascii="Bookman Old Style" w:hAnsi="Bookman Old Style"/>
          <w:sz w:val="24"/>
          <w:szCs w:val="24"/>
        </w:rPr>
      </w:pPr>
    </w:p>
    <w:p w:rsidR="00A270F5" w:rsidRDefault="00A270F5" w:rsidP="00CF5465">
      <w:pPr>
        <w:pStyle w:val="Sinespaciado"/>
        <w:jc w:val="center"/>
        <w:rPr>
          <w:rFonts w:ascii="Bookman Old Style" w:hAnsi="Bookman Old Style"/>
          <w:sz w:val="24"/>
          <w:szCs w:val="24"/>
        </w:rPr>
      </w:pPr>
    </w:p>
    <w:p w:rsidR="00A270F5" w:rsidRDefault="00A270F5" w:rsidP="00CF5465">
      <w:pPr>
        <w:pStyle w:val="Sinespaciado"/>
        <w:jc w:val="center"/>
        <w:rPr>
          <w:rFonts w:ascii="Bookman Old Style" w:hAnsi="Bookman Old Style"/>
          <w:sz w:val="24"/>
          <w:szCs w:val="24"/>
        </w:rPr>
      </w:pPr>
    </w:p>
    <w:p w:rsidR="00A270F5" w:rsidRDefault="00A270F5" w:rsidP="00CF5465">
      <w:pPr>
        <w:pStyle w:val="Sinespaciado"/>
        <w:jc w:val="center"/>
        <w:rPr>
          <w:rFonts w:ascii="Bookman Old Style" w:hAnsi="Bookman Old Style"/>
          <w:sz w:val="24"/>
          <w:szCs w:val="24"/>
        </w:rPr>
      </w:pPr>
    </w:p>
    <w:p w:rsidR="00A270F5" w:rsidRDefault="00A270F5" w:rsidP="00CF5465">
      <w:pPr>
        <w:pStyle w:val="Sinespaciado"/>
        <w:jc w:val="center"/>
        <w:rPr>
          <w:rFonts w:ascii="Bookman Old Style" w:hAnsi="Bookman Old Style"/>
          <w:sz w:val="24"/>
          <w:szCs w:val="24"/>
        </w:rPr>
      </w:pPr>
    </w:p>
    <w:p w:rsidR="00A270F5" w:rsidRDefault="00A270F5" w:rsidP="00CF5465">
      <w:pPr>
        <w:pStyle w:val="Sinespaciado"/>
        <w:jc w:val="center"/>
        <w:rPr>
          <w:rFonts w:ascii="Bookman Old Style" w:hAnsi="Bookman Old Style"/>
          <w:sz w:val="24"/>
          <w:szCs w:val="24"/>
        </w:rPr>
      </w:pPr>
    </w:p>
    <w:p w:rsidR="00CF5465" w:rsidRPr="00CF5465" w:rsidRDefault="00B42F2C" w:rsidP="00CF5465">
      <w:pPr>
        <w:pStyle w:val="Sinespaciado"/>
        <w:jc w:val="center"/>
        <w:rPr>
          <w:rFonts w:ascii="Bookman Old Style" w:hAnsi="Bookman Old Style"/>
          <w:b/>
          <w:sz w:val="24"/>
          <w:szCs w:val="24"/>
        </w:rPr>
      </w:pPr>
      <w:r w:rsidRPr="005F64F3">
        <w:rPr>
          <w:rFonts w:ascii="Bookman Old Style" w:hAnsi="Bookman Old Style"/>
          <w:sz w:val="24"/>
          <w:szCs w:val="24"/>
        </w:rPr>
        <w:lastRenderedPageBreak/>
        <w:br/>
      </w:r>
      <w:r w:rsidR="00A270F5">
        <w:rPr>
          <w:rFonts w:ascii="Bookman Old Style" w:hAnsi="Bookman Old Style"/>
          <w:b/>
          <w:sz w:val="24"/>
          <w:szCs w:val="24"/>
        </w:rPr>
        <w:t xml:space="preserve">ARTICULADO PROPUESTO </w:t>
      </w:r>
      <w:r w:rsidR="001C405E">
        <w:rPr>
          <w:rFonts w:ascii="Bookman Old Style" w:hAnsi="Bookman Old Style"/>
          <w:b/>
          <w:sz w:val="24"/>
          <w:szCs w:val="24"/>
        </w:rPr>
        <w:t>PARA DEBATE</w:t>
      </w:r>
    </w:p>
    <w:p w:rsidR="00A270F5" w:rsidRDefault="00B42F2C" w:rsidP="00A270F5">
      <w:pPr>
        <w:pStyle w:val="Sinespaciado"/>
        <w:jc w:val="center"/>
        <w:rPr>
          <w:rFonts w:ascii="Bookman Old Style" w:hAnsi="Bookman Old Style"/>
          <w:b/>
          <w:sz w:val="24"/>
          <w:szCs w:val="24"/>
        </w:rPr>
      </w:pPr>
      <w:r w:rsidRPr="00CF5465">
        <w:rPr>
          <w:rFonts w:ascii="Bookman Old Style" w:hAnsi="Bookman Old Style"/>
          <w:b/>
          <w:sz w:val="24"/>
          <w:szCs w:val="24"/>
        </w:rPr>
        <w:br/>
        <w:t>PROYECTO DE LEY</w:t>
      </w:r>
      <w:r w:rsidR="00A270F5">
        <w:rPr>
          <w:rFonts w:ascii="Bookman Old Style" w:hAnsi="Bookman Old Style"/>
          <w:b/>
          <w:sz w:val="24"/>
          <w:szCs w:val="24"/>
        </w:rPr>
        <w:t xml:space="preserve"> No.         DE 2018 CÁMARA</w:t>
      </w:r>
    </w:p>
    <w:p w:rsidR="00A270F5" w:rsidRDefault="00A270F5" w:rsidP="00A270F5">
      <w:pPr>
        <w:pStyle w:val="Sinespaciado"/>
        <w:jc w:val="center"/>
        <w:rPr>
          <w:rFonts w:ascii="Bookman Old Style" w:hAnsi="Bookman Old Style"/>
          <w:b/>
          <w:sz w:val="24"/>
          <w:szCs w:val="24"/>
        </w:rPr>
      </w:pPr>
    </w:p>
    <w:p w:rsidR="00A270F5" w:rsidRDefault="00B42F2C" w:rsidP="00A270F5">
      <w:pPr>
        <w:pStyle w:val="Sinespaciado"/>
        <w:jc w:val="center"/>
        <w:rPr>
          <w:rFonts w:ascii="Bookman Old Style" w:hAnsi="Bookman Old Style"/>
          <w:b/>
          <w:sz w:val="24"/>
          <w:szCs w:val="24"/>
        </w:rPr>
      </w:pPr>
      <w:r w:rsidRPr="00CF5465">
        <w:rPr>
          <w:rFonts w:ascii="Bookman Old Style" w:hAnsi="Bookman Old Style"/>
          <w:b/>
          <w:sz w:val="24"/>
          <w:szCs w:val="24"/>
        </w:rPr>
        <w:t>“POR MEDIO DEL CUAL SE ESTABLECE UNA LÍNEA ESPECIAL DE CRÉDITO EDUCATIVO AL ICETEX QUE PERMITA DISMINUIR EN LAS REGIONES LAS BRECHAS EN COBERTURA DE EDUCACIÓN SUPERIOR Y</w:t>
      </w:r>
      <w:r w:rsidR="00CF5465">
        <w:rPr>
          <w:rFonts w:ascii="Bookman Old Style" w:hAnsi="Bookman Old Style"/>
          <w:b/>
          <w:sz w:val="24"/>
          <w:szCs w:val="24"/>
        </w:rPr>
        <w:t xml:space="preserve"> SE DICTAN OTRAS DISPOSICIONES”</w:t>
      </w:r>
    </w:p>
    <w:p w:rsidR="00A270F5" w:rsidRDefault="00A270F5" w:rsidP="00A270F5">
      <w:pPr>
        <w:pStyle w:val="Sinespaciado"/>
        <w:jc w:val="center"/>
        <w:rPr>
          <w:rFonts w:ascii="Bookman Old Style" w:hAnsi="Bookman Old Style"/>
          <w:b/>
          <w:sz w:val="24"/>
          <w:szCs w:val="24"/>
        </w:rPr>
      </w:pPr>
    </w:p>
    <w:p w:rsidR="00A270F5" w:rsidRDefault="00A270F5" w:rsidP="00A270F5">
      <w:pPr>
        <w:pStyle w:val="Sinespaciado"/>
        <w:jc w:val="center"/>
        <w:rPr>
          <w:rFonts w:ascii="Bookman Old Style" w:hAnsi="Bookman Old Style"/>
          <w:b/>
          <w:sz w:val="24"/>
          <w:szCs w:val="24"/>
        </w:rPr>
      </w:pPr>
      <w:r>
        <w:rPr>
          <w:rFonts w:ascii="Bookman Old Style" w:hAnsi="Bookman Old Style"/>
          <w:b/>
          <w:sz w:val="24"/>
          <w:szCs w:val="24"/>
        </w:rPr>
        <w:t>EL CONGRESO DE COLOMBIA,</w:t>
      </w:r>
    </w:p>
    <w:p w:rsidR="00A270F5" w:rsidRDefault="00A270F5" w:rsidP="00A270F5">
      <w:pPr>
        <w:pStyle w:val="Sinespaciado"/>
        <w:jc w:val="center"/>
        <w:rPr>
          <w:rFonts w:ascii="Bookman Old Style" w:hAnsi="Bookman Old Style"/>
          <w:b/>
          <w:sz w:val="24"/>
          <w:szCs w:val="24"/>
        </w:rPr>
      </w:pPr>
    </w:p>
    <w:p w:rsidR="00A7309D" w:rsidRDefault="00A270F5" w:rsidP="00A7309D">
      <w:pPr>
        <w:pStyle w:val="Sinespaciado"/>
        <w:jc w:val="center"/>
        <w:rPr>
          <w:rFonts w:ascii="Bookman Old Style" w:hAnsi="Bookman Old Style"/>
          <w:b/>
          <w:sz w:val="24"/>
          <w:szCs w:val="24"/>
        </w:rPr>
      </w:pPr>
      <w:r>
        <w:rPr>
          <w:rFonts w:ascii="Bookman Old Style" w:hAnsi="Bookman Old Style"/>
          <w:b/>
          <w:sz w:val="24"/>
          <w:szCs w:val="24"/>
        </w:rPr>
        <w:t>DECRETA</w:t>
      </w:r>
    </w:p>
    <w:p w:rsidR="00A7309D" w:rsidRDefault="00A7309D" w:rsidP="00A7309D">
      <w:pPr>
        <w:pStyle w:val="Sinespaciado"/>
        <w:jc w:val="center"/>
        <w:rPr>
          <w:rFonts w:ascii="Bookman Old Style" w:hAnsi="Bookman Old Style"/>
          <w:b/>
          <w:sz w:val="24"/>
          <w:szCs w:val="24"/>
        </w:rPr>
      </w:pPr>
    </w:p>
    <w:p w:rsidR="00CF5465" w:rsidRDefault="00B42F2C" w:rsidP="00A7309D">
      <w:pPr>
        <w:pStyle w:val="Sinespaciado"/>
        <w:jc w:val="both"/>
        <w:rPr>
          <w:rFonts w:ascii="Bookman Old Style" w:hAnsi="Bookman Old Style"/>
          <w:sz w:val="24"/>
          <w:szCs w:val="24"/>
        </w:rPr>
      </w:pPr>
      <w:bookmarkStart w:id="0" w:name="_GoBack"/>
      <w:bookmarkEnd w:id="0"/>
      <w:r w:rsidRPr="00CF5465">
        <w:rPr>
          <w:rFonts w:ascii="Bookman Old Style" w:hAnsi="Bookman Old Style"/>
          <w:b/>
          <w:sz w:val="24"/>
          <w:szCs w:val="24"/>
        </w:rPr>
        <w:t>ARTÍCULO PRIMERO.</w:t>
      </w:r>
      <w:r w:rsidRPr="005F64F3">
        <w:rPr>
          <w:rFonts w:ascii="Bookman Old Style" w:hAnsi="Bookman Old Style"/>
          <w:sz w:val="24"/>
          <w:szCs w:val="24"/>
        </w:rPr>
        <w:t xml:space="preserve"> El Instituto Colombiano de Crédito Educativo y Estudios Técnicos en el Exterior ICETEX, creará una línea de crédito educativo especial dirigida al fortalecimiento de la oferta educativa para jóvenes de IES regionales donde la tasa de cobertura en Educación Superior es inferior al promedio nacional.</w:t>
      </w:r>
    </w:p>
    <w:p w:rsidR="001C405E" w:rsidRDefault="001C405E" w:rsidP="00A270F5">
      <w:pPr>
        <w:pStyle w:val="Sinespaciado"/>
        <w:jc w:val="both"/>
        <w:rPr>
          <w:rFonts w:ascii="Bookman Old Style" w:hAnsi="Bookman Old Style"/>
          <w:sz w:val="24"/>
          <w:szCs w:val="24"/>
        </w:rPr>
      </w:pPr>
    </w:p>
    <w:p w:rsidR="00CF5465" w:rsidRDefault="00CF5465" w:rsidP="00CF5465">
      <w:pPr>
        <w:pStyle w:val="Sinespaciado"/>
        <w:jc w:val="both"/>
        <w:rPr>
          <w:rFonts w:ascii="Bookman Old Style" w:hAnsi="Bookman Old Style"/>
          <w:sz w:val="24"/>
          <w:szCs w:val="24"/>
        </w:rPr>
      </w:pPr>
      <w:r w:rsidRPr="00CF5465">
        <w:rPr>
          <w:rFonts w:ascii="Bookman Old Style" w:hAnsi="Bookman Old Style"/>
          <w:b/>
          <w:sz w:val="24"/>
          <w:szCs w:val="24"/>
        </w:rPr>
        <w:t>Pará</w:t>
      </w:r>
      <w:r w:rsidR="00B42F2C" w:rsidRPr="00CF5465">
        <w:rPr>
          <w:rFonts w:ascii="Bookman Old Style" w:hAnsi="Bookman Old Style"/>
          <w:b/>
          <w:sz w:val="24"/>
          <w:szCs w:val="24"/>
        </w:rPr>
        <w:t>grafo.</w:t>
      </w:r>
      <w:r w:rsidR="00B42F2C" w:rsidRPr="005F64F3">
        <w:rPr>
          <w:rFonts w:ascii="Bookman Old Style" w:hAnsi="Bookman Old Style"/>
          <w:sz w:val="24"/>
          <w:szCs w:val="24"/>
        </w:rPr>
        <w:t xml:space="preserve"> Para implementar la línea de crédito educativo especial de que trata el presente artículo el ICETEX deberá adelantar previamente un estudio donde se presenten varias alternativas posibles para el mejor cumplimiento de su cometido como créditos</w:t>
      </w:r>
      <w:r w:rsidR="001C405E">
        <w:rPr>
          <w:rFonts w:ascii="Bookman Old Style" w:hAnsi="Bookman Old Style"/>
          <w:sz w:val="24"/>
          <w:szCs w:val="24"/>
        </w:rPr>
        <w:t xml:space="preserve"> educativos</w:t>
      </w:r>
      <w:r w:rsidR="00B42F2C" w:rsidRPr="005F64F3">
        <w:rPr>
          <w:rFonts w:ascii="Bookman Old Style" w:hAnsi="Bookman Old Style"/>
          <w:sz w:val="24"/>
          <w:szCs w:val="24"/>
        </w:rPr>
        <w:t xml:space="preserve"> especiales para alianzas entre IES Nacionales y Regionales, créditos educativos por programas, o ampliación de zonas especiales como beneficiarias.</w:t>
      </w:r>
    </w:p>
    <w:p w:rsidR="00CF5465" w:rsidRDefault="00B42F2C" w:rsidP="00CF5465">
      <w:pPr>
        <w:pStyle w:val="Sinespaciado"/>
        <w:jc w:val="both"/>
        <w:rPr>
          <w:rFonts w:ascii="Bookman Old Style" w:hAnsi="Bookman Old Style"/>
          <w:sz w:val="24"/>
          <w:szCs w:val="24"/>
        </w:rPr>
      </w:pPr>
      <w:r w:rsidRPr="005F64F3">
        <w:rPr>
          <w:rFonts w:ascii="Bookman Old Style" w:hAnsi="Bookman Old Style"/>
          <w:sz w:val="24"/>
          <w:szCs w:val="24"/>
        </w:rPr>
        <w:br/>
      </w:r>
      <w:r w:rsidRPr="00CF5465">
        <w:rPr>
          <w:rFonts w:ascii="Bookman Old Style" w:hAnsi="Bookman Old Style"/>
          <w:b/>
          <w:sz w:val="24"/>
          <w:szCs w:val="24"/>
        </w:rPr>
        <w:t>ARTÍCULO SEGUNDO.</w:t>
      </w:r>
      <w:r w:rsidRPr="005F64F3">
        <w:rPr>
          <w:rFonts w:ascii="Bookman Old Style" w:hAnsi="Bookman Old Style"/>
          <w:sz w:val="24"/>
          <w:szCs w:val="24"/>
        </w:rPr>
        <w:t xml:space="preserve"> El presente proyecto de ley rige a partir de su promulgación.</w:t>
      </w:r>
      <w:r w:rsidRPr="005F64F3">
        <w:rPr>
          <w:rFonts w:ascii="Bookman Old Style" w:hAnsi="Bookman Old Style"/>
          <w:sz w:val="24"/>
          <w:szCs w:val="24"/>
        </w:rPr>
        <w:br/>
      </w:r>
      <w:r w:rsidRPr="005F64F3">
        <w:rPr>
          <w:rFonts w:ascii="Bookman Old Style" w:hAnsi="Bookman Old Style"/>
          <w:sz w:val="24"/>
          <w:szCs w:val="24"/>
        </w:rPr>
        <w:br/>
        <w:t>Presentado por,</w:t>
      </w:r>
    </w:p>
    <w:p w:rsidR="00A270F5" w:rsidRDefault="00A270F5" w:rsidP="00CF5465">
      <w:pPr>
        <w:pStyle w:val="Sinespaciado"/>
        <w:jc w:val="both"/>
        <w:rPr>
          <w:rFonts w:ascii="Bookman Old Style" w:hAnsi="Bookman Old Style"/>
          <w:sz w:val="24"/>
          <w:szCs w:val="24"/>
        </w:rPr>
      </w:pPr>
    </w:p>
    <w:p w:rsidR="00A270F5" w:rsidRDefault="00A270F5" w:rsidP="00CF5465">
      <w:pPr>
        <w:pStyle w:val="Sinespaciado"/>
        <w:jc w:val="both"/>
        <w:rPr>
          <w:rFonts w:ascii="Bookman Old Style" w:hAnsi="Bookman Old Style"/>
          <w:sz w:val="24"/>
          <w:szCs w:val="24"/>
        </w:rPr>
      </w:pPr>
    </w:p>
    <w:p w:rsidR="00B42F2C" w:rsidRDefault="00B42F2C" w:rsidP="00CF5465">
      <w:pPr>
        <w:pStyle w:val="Sinespaciado"/>
        <w:jc w:val="both"/>
        <w:rPr>
          <w:rFonts w:ascii="Bookman Old Style" w:hAnsi="Bookman Old Style"/>
          <w:b/>
          <w:sz w:val="24"/>
          <w:szCs w:val="24"/>
        </w:rPr>
      </w:pPr>
      <w:r w:rsidRPr="005F64F3">
        <w:rPr>
          <w:rFonts w:ascii="Bookman Old Style" w:hAnsi="Bookman Old Style"/>
          <w:sz w:val="24"/>
          <w:szCs w:val="24"/>
        </w:rPr>
        <w:br/>
      </w:r>
      <w:r w:rsidRPr="00CF5465">
        <w:rPr>
          <w:rFonts w:ascii="Bookman Old Style" w:hAnsi="Bookman Old Style"/>
          <w:b/>
          <w:sz w:val="24"/>
          <w:szCs w:val="24"/>
        </w:rPr>
        <w:t>HÉCTOR JAVIER OSORIO BOTELLO</w:t>
      </w:r>
    </w:p>
    <w:p w:rsidR="00D46A54" w:rsidRPr="00CF5465" w:rsidRDefault="00D46A54" w:rsidP="00CF5465">
      <w:pPr>
        <w:pStyle w:val="Sinespaciado"/>
        <w:jc w:val="both"/>
        <w:rPr>
          <w:rFonts w:ascii="Bookman Old Style" w:hAnsi="Bookman Old Style"/>
          <w:b/>
          <w:sz w:val="24"/>
          <w:szCs w:val="24"/>
          <w:shd w:val="clear" w:color="auto" w:fill="FFFFFF"/>
        </w:rPr>
      </w:pPr>
      <w:r>
        <w:rPr>
          <w:rFonts w:ascii="Bookman Old Style" w:hAnsi="Bookman Old Style"/>
          <w:b/>
          <w:sz w:val="24"/>
          <w:szCs w:val="24"/>
        </w:rPr>
        <w:t>Representante a la Cámara por el Departamento del Huila</w:t>
      </w:r>
    </w:p>
    <w:p w:rsidR="00B42F2C" w:rsidRDefault="00B42F2C" w:rsidP="009E5756">
      <w:pPr>
        <w:pStyle w:val="Sinespaciado"/>
        <w:jc w:val="both"/>
        <w:rPr>
          <w:rFonts w:ascii="Segoe UI" w:hAnsi="Segoe UI" w:cs="Segoe UI"/>
          <w:color w:val="212121"/>
          <w:shd w:val="clear" w:color="auto" w:fill="FFFFFF"/>
        </w:rPr>
      </w:pPr>
    </w:p>
    <w:p w:rsidR="00B42F2C" w:rsidRPr="009E5756" w:rsidRDefault="00B42F2C" w:rsidP="009E5756">
      <w:pPr>
        <w:pStyle w:val="Sinespaciado"/>
        <w:jc w:val="both"/>
        <w:rPr>
          <w:rFonts w:ascii="Bookman Old Style" w:hAnsi="Bookman Old Style"/>
          <w:sz w:val="24"/>
          <w:szCs w:val="24"/>
        </w:rPr>
      </w:pPr>
    </w:p>
    <w:sectPr w:rsidR="00B42F2C" w:rsidRPr="009E5756" w:rsidSect="005F64F3">
      <w:pgSz w:w="12240" w:h="15840"/>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D0"/>
    <w:rsid w:val="000A73A4"/>
    <w:rsid w:val="001C405E"/>
    <w:rsid w:val="001F2DD0"/>
    <w:rsid w:val="00500773"/>
    <w:rsid w:val="00573A53"/>
    <w:rsid w:val="005F64F3"/>
    <w:rsid w:val="00647B3B"/>
    <w:rsid w:val="00763F92"/>
    <w:rsid w:val="00804FDE"/>
    <w:rsid w:val="00897A2F"/>
    <w:rsid w:val="009C470B"/>
    <w:rsid w:val="009E5756"/>
    <w:rsid w:val="00A247C6"/>
    <w:rsid w:val="00A270F5"/>
    <w:rsid w:val="00A7309D"/>
    <w:rsid w:val="00AB25C4"/>
    <w:rsid w:val="00AF5269"/>
    <w:rsid w:val="00AF5C4E"/>
    <w:rsid w:val="00B42F2C"/>
    <w:rsid w:val="00C90744"/>
    <w:rsid w:val="00CE370B"/>
    <w:rsid w:val="00CF5465"/>
    <w:rsid w:val="00D46A54"/>
    <w:rsid w:val="00E73D7C"/>
    <w:rsid w:val="00F20F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1D1A"/>
  <w15:chartTrackingRefBased/>
  <w15:docId w15:val="{1DF6B6A6-4C1B-4B4C-B143-06A21EDB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5756"/>
    <w:pPr>
      <w:spacing w:after="0" w:line="240" w:lineRule="auto"/>
    </w:pPr>
  </w:style>
  <w:style w:type="table" w:styleId="Tablaconcuadrcula">
    <w:name w:val="Table Grid"/>
    <w:basedOn w:val="Tablanormal"/>
    <w:uiPriority w:val="39"/>
    <w:rsid w:val="0089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3A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1135</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osorio</dc:creator>
  <cp:keywords/>
  <dc:description/>
  <cp:lastModifiedBy>CONTRATISTA CS. SECRETARIA GENERAL</cp:lastModifiedBy>
  <cp:revision>15</cp:revision>
  <cp:lastPrinted>2018-06-07T18:47:00Z</cp:lastPrinted>
  <dcterms:created xsi:type="dcterms:W3CDTF">2018-06-07T12:42:00Z</dcterms:created>
  <dcterms:modified xsi:type="dcterms:W3CDTF">2018-06-07T18:48:00Z</dcterms:modified>
</cp:coreProperties>
</file>