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F1E08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  <w:bookmarkStart w:id="0" w:name="OLE_LINK1"/>
      <w:bookmarkStart w:id="1" w:name="OLE_LINK2"/>
      <w:bookmarkStart w:id="2" w:name="_GoBack"/>
      <w:bookmarkEnd w:id="2"/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Bogotá, 21 de julio de 2020</w:t>
      </w:r>
    </w:p>
    <w:p w14:paraId="4F0FDA3E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2E346559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2B20E598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b/>
          <w:caps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eastAsia="Times New Roman" w:hAnsi="Century Gothic" w:cs="Arial"/>
          <w:b/>
          <w:caps/>
          <w:color w:val="000000" w:themeColor="text1"/>
          <w:sz w:val="24"/>
          <w:szCs w:val="24"/>
          <w:lang w:val="es-ES" w:eastAsia="es-ES"/>
        </w:rPr>
        <w:t>jorge humberto mantilla</w:t>
      </w:r>
    </w:p>
    <w:p w14:paraId="038488F5" w14:textId="77777777" w:rsidR="00E75780" w:rsidRPr="00907100" w:rsidRDefault="00912E95" w:rsidP="006B5033">
      <w:pPr>
        <w:jc w:val="both"/>
        <w:rPr>
          <w:rFonts w:ascii="Century Gothic" w:eastAsia="Times New Roman" w:hAnsi="Century Gothic" w:cs="Arial"/>
          <w:caps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Secretario General</w:t>
      </w:r>
    </w:p>
    <w:p w14:paraId="3EF13BF8" w14:textId="0E86DEFF" w:rsidR="00912E95" w:rsidRPr="00907100" w:rsidRDefault="00912E95" w:rsidP="006B5033">
      <w:pPr>
        <w:jc w:val="both"/>
        <w:rPr>
          <w:rFonts w:ascii="Century Gothic" w:eastAsia="Times New Roman" w:hAnsi="Century Gothic" w:cs="Arial"/>
          <w:caps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 xml:space="preserve">Cámara De Representantes </w:t>
      </w:r>
    </w:p>
    <w:p w14:paraId="73567A63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caps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Ciudad</w:t>
      </w:r>
    </w:p>
    <w:p w14:paraId="02A10EBC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caps/>
          <w:color w:val="000000" w:themeColor="text1"/>
          <w:sz w:val="24"/>
          <w:szCs w:val="24"/>
          <w:lang w:val="es-ES" w:eastAsia="es-ES"/>
        </w:rPr>
      </w:pPr>
    </w:p>
    <w:p w14:paraId="4424F435" w14:textId="7D17B4D6" w:rsidR="00016E01" w:rsidRPr="00907100" w:rsidRDefault="00912E95" w:rsidP="00016E0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 xml:space="preserve">Asunto: Radicación de Proyecto </w:t>
      </w:r>
      <w:r w:rsidR="00E75780"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>de Ley</w:t>
      </w:r>
      <w:r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 xml:space="preserve"> </w:t>
      </w:r>
      <w:bookmarkStart w:id="3" w:name="OLE_LINK5"/>
      <w:r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>“</w:t>
      </w:r>
      <w:r w:rsidR="00016E01" w:rsidRPr="00907100">
        <w:rPr>
          <w:rFonts w:ascii="Century Gothic" w:hAnsi="Century Gothic"/>
          <w:sz w:val="24"/>
          <w:szCs w:val="24"/>
        </w:rPr>
        <w:t>Por medio del cual se garantiza matrícula cero”</w:t>
      </w:r>
    </w:p>
    <w:bookmarkEnd w:id="3"/>
    <w:p w14:paraId="73B0E10F" w14:textId="77777777" w:rsidR="00912E95" w:rsidRPr="00907100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7BE53CFC" w14:textId="4B4C5F41" w:rsidR="00912E95" w:rsidRPr="00907100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 xml:space="preserve">Señor </w:t>
      </w:r>
      <w:r w:rsidR="00E83DAB"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secretario</w:t>
      </w:r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,</w:t>
      </w:r>
    </w:p>
    <w:p w14:paraId="79035788" w14:textId="77777777" w:rsidR="00590D0C" w:rsidRPr="00907100" w:rsidRDefault="00912E95" w:rsidP="00590D0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 xml:space="preserve">De conformidad con el artículo 139 de la Ley 5 de 1992, presento ante su despacho Proyecto de </w:t>
      </w:r>
      <w:r w:rsidR="00E75780"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>Ley</w:t>
      </w:r>
      <w:r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 xml:space="preserve"> </w:t>
      </w:r>
      <w:r w:rsidR="00590D0C"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>“</w:t>
      </w:r>
      <w:r w:rsidR="00590D0C" w:rsidRPr="00907100">
        <w:rPr>
          <w:rFonts w:ascii="Century Gothic" w:hAnsi="Century Gothic"/>
          <w:sz w:val="24"/>
          <w:szCs w:val="24"/>
        </w:rPr>
        <w:t>Por medio del cual se garantiza matrícula cero”</w:t>
      </w:r>
    </w:p>
    <w:p w14:paraId="24617FA4" w14:textId="5F9F300D" w:rsidR="00912E95" w:rsidRPr="00907100" w:rsidRDefault="00912E95" w:rsidP="006B5033">
      <w:pPr>
        <w:tabs>
          <w:tab w:val="left" w:pos="720"/>
        </w:tabs>
        <w:jc w:val="both"/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>para el t</w:t>
      </w:r>
      <w:r w:rsidR="00E75780" w:rsidRPr="00907100">
        <w:rPr>
          <w:rFonts w:ascii="Century Gothic" w:hAnsi="Century Gothic" w:cs="Arial"/>
          <w:color w:val="000000" w:themeColor="text1"/>
          <w:sz w:val="24"/>
          <w:szCs w:val="24"/>
          <w:lang w:val="es-ES" w:eastAsia="es-ES"/>
        </w:rPr>
        <w:t xml:space="preserve">rámite establecido en la Ley 5 de 1992. </w:t>
      </w:r>
    </w:p>
    <w:p w14:paraId="44417050" w14:textId="77777777" w:rsidR="00E75780" w:rsidRPr="00907100" w:rsidRDefault="00E75780" w:rsidP="006B5033">
      <w:pPr>
        <w:tabs>
          <w:tab w:val="left" w:pos="720"/>
        </w:tabs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</w:p>
    <w:p w14:paraId="4B6A863A" w14:textId="7A205D6D" w:rsidR="00912E95" w:rsidRPr="00907100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  <w:r w:rsidRPr="0090710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Cordialmente,</w:t>
      </w:r>
    </w:p>
    <w:p w14:paraId="57DCD8DE" w14:textId="3E8D7C2F" w:rsidR="00912E95" w:rsidRDefault="00912E95" w:rsidP="006B5033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541B16FB" w14:textId="1442F33C" w:rsidR="00C041DB" w:rsidRPr="00907100" w:rsidRDefault="00C041DB" w:rsidP="003A0E9D">
      <w:pPr>
        <w:ind w:left="708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6A7AE2F8" w14:textId="41C3EC09" w:rsidR="00471E50" w:rsidRDefault="0063490D" w:rsidP="003A0E9D">
      <w:pPr>
        <w:ind w:firstLine="708"/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  <w:t xml:space="preserve"> </w:t>
      </w:r>
    </w:p>
    <w:p w14:paraId="5E2DFCF0" w14:textId="6466DB3A" w:rsidR="00471E50" w:rsidRDefault="0063490D" w:rsidP="00C94DB9">
      <w:pP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 xml:space="preserve">              </w:t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  <w:t xml:space="preserve">     </w:t>
      </w:r>
    </w:p>
    <w:p w14:paraId="25C85244" w14:textId="16D94D1E" w:rsidR="0063490D" w:rsidRDefault="0063490D" w:rsidP="0063490D">
      <w:pPr>
        <w:ind w:left="708"/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</w:p>
    <w:p w14:paraId="1108C4A9" w14:textId="47A7EBBA" w:rsidR="00471E50" w:rsidRDefault="00471E50" w:rsidP="00471E50">
      <w:pP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ab/>
        <w:t xml:space="preserve">      </w:t>
      </w:r>
    </w:p>
    <w:p w14:paraId="6E2FD578" w14:textId="77777777" w:rsidR="00471E50" w:rsidRDefault="00471E50" w:rsidP="00907100">
      <w:pPr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</w:p>
    <w:p w14:paraId="6779EFBB" w14:textId="77777777" w:rsidR="00A03FF7" w:rsidRDefault="00A03FF7" w:rsidP="00907100">
      <w:pPr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</w:p>
    <w:p w14:paraId="3C1D4352" w14:textId="77777777" w:rsidR="00471E50" w:rsidRDefault="00471E50" w:rsidP="00907100">
      <w:pPr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</w:p>
    <w:p w14:paraId="4F8A52B9" w14:textId="77777777" w:rsidR="00590D0C" w:rsidRPr="00907100" w:rsidRDefault="00590D0C" w:rsidP="006B503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7798D8A6" w14:textId="77777777" w:rsidR="00590D0C" w:rsidRPr="00907100" w:rsidRDefault="00590D0C" w:rsidP="00907100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907100">
        <w:rPr>
          <w:rFonts w:ascii="Century Gothic" w:hAnsi="Century Gothic"/>
          <w:b/>
          <w:sz w:val="24"/>
          <w:szCs w:val="24"/>
          <w:lang w:val="es-MX"/>
        </w:rPr>
        <w:lastRenderedPageBreak/>
        <w:t>Exposición de motivos</w:t>
      </w:r>
    </w:p>
    <w:p w14:paraId="73CA0068" w14:textId="3DBC4759" w:rsidR="001F73E7" w:rsidRPr="00907100" w:rsidRDefault="001F73E7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</w:p>
    <w:p w14:paraId="22A33AB7" w14:textId="1A4BEC32" w:rsidR="00504AEA" w:rsidRPr="00907100" w:rsidRDefault="001F73E7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>La Educación superior en Colombia es un eje fundamental de la</w:t>
      </w:r>
      <w:r w:rsidR="00932BE5">
        <w:rPr>
          <w:rFonts w:ascii="Century Gothic" w:hAnsi="Century Gothic"/>
          <w:sz w:val="24"/>
          <w:szCs w:val="24"/>
          <w:lang w:val="es-MX"/>
        </w:rPr>
        <w:t>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política</w:t>
      </w:r>
      <w:r w:rsidR="00932BE5">
        <w:rPr>
          <w:rFonts w:ascii="Century Gothic" w:hAnsi="Century Gothic"/>
          <w:sz w:val="24"/>
          <w:szCs w:val="24"/>
          <w:lang w:val="es-MX"/>
        </w:rPr>
        <w:t>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pública</w:t>
      </w:r>
      <w:r w:rsidR="00932BE5">
        <w:rPr>
          <w:rFonts w:ascii="Century Gothic" w:hAnsi="Century Gothic"/>
          <w:sz w:val="24"/>
          <w:szCs w:val="24"/>
          <w:lang w:val="es-MX"/>
        </w:rPr>
        <w:t>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, </w:t>
      </w:r>
      <w:r w:rsidR="00932BE5">
        <w:rPr>
          <w:rFonts w:ascii="Century Gothic" w:hAnsi="Century Gothic"/>
          <w:sz w:val="24"/>
          <w:szCs w:val="24"/>
          <w:lang w:val="es-MX"/>
        </w:rPr>
        <w:t xml:space="preserve">en términos del desarrollo, la superación de la pobreza y la desigualdad. </w:t>
      </w:r>
    </w:p>
    <w:p w14:paraId="277E89B2" w14:textId="6BCE2E2E" w:rsidR="001F73E7" w:rsidRPr="00907100" w:rsidRDefault="001F73E7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>En las gráficas 1 y 2 se observa que entre mayor sea el nivel educativo</w:t>
      </w:r>
      <w:r w:rsidR="003E1DDA">
        <w:rPr>
          <w:rFonts w:ascii="Century Gothic" w:hAnsi="Century Gothic"/>
          <w:sz w:val="24"/>
          <w:szCs w:val="24"/>
          <w:lang w:val="es-MX"/>
        </w:rPr>
        <w:t xml:space="preserve"> pueden percibirse más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ingreso y</w:t>
      </w:r>
      <w:r w:rsidR="003E1DDA">
        <w:rPr>
          <w:rFonts w:ascii="Century Gothic" w:hAnsi="Century Gothic"/>
          <w:sz w:val="24"/>
          <w:szCs w:val="24"/>
          <w:lang w:val="es-MX"/>
        </w:rPr>
        <w:t xml:space="preserve"> se cuenta con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  <w:r w:rsidR="0074654C" w:rsidRPr="00907100">
        <w:rPr>
          <w:rFonts w:ascii="Century Gothic" w:hAnsi="Century Gothic"/>
          <w:sz w:val="24"/>
          <w:szCs w:val="24"/>
          <w:lang w:val="es-MX"/>
        </w:rPr>
        <w:t>mayor</w:t>
      </w:r>
      <w:r w:rsidR="0074654C">
        <w:rPr>
          <w:rFonts w:ascii="Century Gothic" w:hAnsi="Century Gothic"/>
          <w:sz w:val="24"/>
          <w:szCs w:val="24"/>
          <w:lang w:val="es-MX"/>
        </w:rPr>
        <w:t>es</w:t>
      </w:r>
      <w:r w:rsidR="0074654C" w:rsidRPr="00907100">
        <w:rPr>
          <w:rFonts w:ascii="Century Gothic" w:hAnsi="Century Gothic"/>
          <w:sz w:val="24"/>
          <w:szCs w:val="24"/>
          <w:lang w:val="es-MX"/>
        </w:rPr>
        <w:t xml:space="preserve"> posibilidades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de encontrar trabajo. Por lo tanto,</w:t>
      </w:r>
      <w:r w:rsidR="0074654C">
        <w:rPr>
          <w:rFonts w:ascii="Century Gothic" w:hAnsi="Century Gothic"/>
          <w:sz w:val="24"/>
          <w:szCs w:val="24"/>
          <w:lang w:val="es-MX"/>
        </w:rPr>
        <w:t xml:space="preserve"> la ampliación de la </w:t>
      </w:r>
      <w:r w:rsidRPr="00907100">
        <w:rPr>
          <w:rFonts w:ascii="Century Gothic" w:hAnsi="Century Gothic"/>
          <w:sz w:val="24"/>
          <w:szCs w:val="24"/>
          <w:lang w:val="es-MX"/>
        </w:rPr>
        <w:t>cobertura, acceso y calidad</w:t>
      </w:r>
      <w:r w:rsidR="0074654C">
        <w:rPr>
          <w:rFonts w:ascii="Century Gothic" w:hAnsi="Century Gothic"/>
          <w:sz w:val="24"/>
          <w:szCs w:val="24"/>
          <w:lang w:val="es-MX"/>
        </w:rPr>
        <w:t xml:space="preserve"> son </w:t>
      </w:r>
      <w:r w:rsidRPr="00907100">
        <w:rPr>
          <w:rFonts w:ascii="Century Gothic" w:hAnsi="Century Gothic"/>
          <w:sz w:val="24"/>
          <w:szCs w:val="24"/>
          <w:lang w:val="es-MX"/>
        </w:rPr>
        <w:t>fundamental</w:t>
      </w:r>
      <w:r w:rsidR="0074654C">
        <w:rPr>
          <w:rFonts w:ascii="Century Gothic" w:hAnsi="Century Gothic"/>
          <w:sz w:val="24"/>
          <w:szCs w:val="24"/>
          <w:lang w:val="es-MX"/>
        </w:rPr>
        <w:t>es para construir equidad y cerrar algunas de las brechas humanas que afectan nuestro país.</w:t>
      </w:r>
      <w:r w:rsidR="00504AEA"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</w:p>
    <w:p w14:paraId="7B0A02A9" w14:textId="77777777" w:rsidR="00590D0C" w:rsidRPr="00907100" w:rsidRDefault="00590D0C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3C754B81" w14:textId="5A7E01A1" w:rsidR="001F73E7" w:rsidRPr="00907100" w:rsidRDefault="00907100" w:rsidP="00907100">
      <w:pPr>
        <w:ind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Gráfico 1. </w:t>
      </w:r>
      <w:r w:rsidR="001F73E7" w:rsidRPr="00907100">
        <w:rPr>
          <w:rFonts w:ascii="Century Gothic" w:hAnsi="Century Gothic"/>
          <w:sz w:val="24"/>
          <w:szCs w:val="24"/>
        </w:rPr>
        <w:t>Ingreso Promedio por Nivel de Estudios (2017)</w:t>
      </w:r>
    </w:p>
    <w:p w14:paraId="7ADE6588" w14:textId="64AB9EA5" w:rsidR="001F73E7" w:rsidRPr="00907100" w:rsidRDefault="001F73E7" w:rsidP="001F73E7">
      <w:pPr>
        <w:jc w:val="center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78657CB6" wp14:editId="3EDE31C7">
            <wp:extent cx="5217160" cy="2348865"/>
            <wp:effectExtent l="0" t="0" r="15240" b="1333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EA1229" w14:textId="0DF1CD66" w:rsidR="001F73E7" w:rsidRPr="00907100" w:rsidRDefault="001F73E7" w:rsidP="001F73E7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  <w:r w:rsidRPr="00907100">
        <w:rPr>
          <w:rFonts w:ascii="Century Gothic" w:hAnsi="Century Gothic" w:cstheme="minorHAnsi"/>
          <w:sz w:val="24"/>
          <w:szCs w:val="24"/>
          <w:lang w:val="es-ES"/>
        </w:rPr>
        <w:t>Fuente: Elaboración propia con datos del DANE (2017)</w:t>
      </w:r>
    </w:p>
    <w:p w14:paraId="10616A98" w14:textId="044306F7" w:rsidR="001F73E7" w:rsidRPr="00907100" w:rsidRDefault="001F73E7" w:rsidP="001F73E7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1A6ED89F" w14:textId="297909A7" w:rsidR="001F73E7" w:rsidRPr="00907100" w:rsidRDefault="001F73E7" w:rsidP="001F73E7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237426DC" w14:textId="3A037B92" w:rsidR="001F73E7" w:rsidRPr="00907100" w:rsidRDefault="001F73E7" w:rsidP="001F73E7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32A86BFA" w14:textId="02432ACB" w:rsidR="001F73E7" w:rsidRPr="00907100" w:rsidRDefault="001F73E7" w:rsidP="001F73E7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65CD6078" w14:textId="77777777" w:rsidR="001F73E7" w:rsidRPr="00907100" w:rsidRDefault="001F73E7" w:rsidP="001F73E7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6EC77D31" w14:textId="7ACE61DE" w:rsidR="001F73E7" w:rsidRDefault="001F73E7" w:rsidP="00907100">
      <w:pPr>
        <w:ind w:firstLine="708"/>
        <w:rPr>
          <w:rFonts w:ascii="Century Gothic" w:hAnsi="Century Gothic" w:cstheme="minorHAnsi"/>
          <w:sz w:val="24"/>
          <w:szCs w:val="24"/>
        </w:rPr>
      </w:pPr>
      <w:r w:rsidRPr="00907100">
        <w:rPr>
          <w:rFonts w:ascii="Century Gothic" w:hAnsi="Century Gothic"/>
          <w:sz w:val="24"/>
          <w:szCs w:val="24"/>
        </w:rPr>
        <w:t>Gráfico 2</w:t>
      </w:r>
      <w:r w:rsidR="00907100">
        <w:rPr>
          <w:rFonts w:ascii="Century Gothic" w:hAnsi="Century Gothic" w:cstheme="minorHAnsi"/>
          <w:sz w:val="24"/>
          <w:szCs w:val="24"/>
        </w:rPr>
        <w:t xml:space="preserve">. </w:t>
      </w:r>
      <w:r w:rsidRPr="00907100">
        <w:rPr>
          <w:rFonts w:ascii="Century Gothic" w:hAnsi="Century Gothic" w:cstheme="minorHAnsi"/>
          <w:sz w:val="24"/>
          <w:szCs w:val="24"/>
        </w:rPr>
        <w:t>Porcentaje de Jóvenes ocup</w:t>
      </w:r>
      <w:r w:rsidR="00907100">
        <w:rPr>
          <w:rFonts w:ascii="Century Gothic" w:hAnsi="Century Gothic" w:cstheme="minorHAnsi"/>
          <w:sz w:val="24"/>
          <w:szCs w:val="24"/>
        </w:rPr>
        <w:t xml:space="preserve">ados, según nivel de formación. </w:t>
      </w:r>
      <w:r w:rsidRPr="00907100">
        <w:rPr>
          <w:rFonts w:ascii="Century Gothic" w:hAnsi="Century Gothic" w:cstheme="minorHAnsi"/>
          <w:sz w:val="24"/>
          <w:szCs w:val="24"/>
        </w:rPr>
        <w:t>Seis regiones 2017</w:t>
      </w:r>
    </w:p>
    <w:p w14:paraId="39A38DE6" w14:textId="77777777" w:rsidR="00471E50" w:rsidRPr="00907100" w:rsidRDefault="00471E50" w:rsidP="00907100">
      <w:pPr>
        <w:ind w:firstLine="708"/>
        <w:rPr>
          <w:rFonts w:ascii="Century Gothic" w:hAnsi="Century Gothic" w:cstheme="minorHAnsi"/>
          <w:sz w:val="24"/>
          <w:szCs w:val="24"/>
        </w:rPr>
      </w:pPr>
    </w:p>
    <w:p w14:paraId="292DD92C" w14:textId="416D2651" w:rsidR="007D19B8" w:rsidRPr="00907100" w:rsidRDefault="001671ED" w:rsidP="001F73E7">
      <w:pPr>
        <w:rPr>
          <w:rFonts w:ascii="Century Gothic" w:hAnsi="Century Gothic" w:cstheme="minorHAnsi"/>
          <w:sz w:val="24"/>
          <w:szCs w:val="24"/>
          <w:lang w:val="es-ES"/>
        </w:rPr>
      </w:pPr>
      <w:r w:rsidRPr="00907100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7290A2B3" wp14:editId="5A0655D5">
            <wp:extent cx="5714365" cy="2920838"/>
            <wp:effectExtent l="0" t="0" r="635" b="63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907100">
        <w:rPr>
          <w:rFonts w:ascii="Century Gothic" w:hAnsi="Century Gothic" w:cstheme="minorHAnsi"/>
          <w:sz w:val="24"/>
          <w:szCs w:val="24"/>
        </w:rPr>
        <w:br/>
      </w:r>
      <w:r w:rsidRPr="00907100">
        <w:rPr>
          <w:rFonts w:ascii="Century Gothic" w:hAnsi="Century Gothic" w:cstheme="minorHAnsi"/>
          <w:sz w:val="24"/>
          <w:szCs w:val="24"/>
          <w:lang w:val="es-ES"/>
        </w:rPr>
        <w:t>Fuente: Elaboración propia con datos del DANE (2017)</w:t>
      </w:r>
    </w:p>
    <w:p w14:paraId="1363DA54" w14:textId="78BB8761" w:rsidR="007D19B8" w:rsidRPr="00907100" w:rsidRDefault="007D19B8" w:rsidP="001F73E7">
      <w:pPr>
        <w:rPr>
          <w:rFonts w:ascii="Century Gothic" w:hAnsi="Century Gothic" w:cstheme="minorHAnsi"/>
          <w:sz w:val="24"/>
          <w:szCs w:val="24"/>
          <w:lang w:val="es-ES"/>
        </w:rPr>
      </w:pPr>
    </w:p>
    <w:p w14:paraId="47D02FF4" w14:textId="7A2B9612" w:rsidR="00504AEA" w:rsidRPr="00907100" w:rsidRDefault="008C226E" w:rsidP="00504AEA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  <w:r>
        <w:rPr>
          <w:rFonts w:ascii="Century Gothic" w:hAnsi="Century Gothic" w:cstheme="minorHAnsi"/>
          <w:sz w:val="24"/>
          <w:szCs w:val="24"/>
          <w:lang w:val="es-ES"/>
        </w:rPr>
        <w:t>L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a educación </w:t>
      </w:r>
      <w:r>
        <w:rPr>
          <w:rFonts w:ascii="Century Gothic" w:hAnsi="Century Gothic" w:cstheme="minorHAnsi"/>
          <w:sz w:val="24"/>
          <w:szCs w:val="24"/>
          <w:lang w:val="es-ES"/>
        </w:rPr>
        <w:t>además de ser un elemento para la realización individual</w:t>
      </w:r>
      <w:r w:rsidR="00DA0265">
        <w:rPr>
          <w:rFonts w:ascii="Century Gothic" w:hAnsi="Century Gothic" w:cstheme="minorHAnsi"/>
          <w:sz w:val="24"/>
          <w:szCs w:val="24"/>
          <w:lang w:val="es-ES"/>
        </w:rPr>
        <w:t>,</w:t>
      </w:r>
      <w:r>
        <w:rPr>
          <w:rFonts w:ascii="Century Gothic" w:hAnsi="Century Gothic" w:cstheme="minorHAnsi"/>
          <w:sz w:val="24"/>
          <w:szCs w:val="24"/>
          <w:lang w:val="es-ES"/>
        </w:rPr>
        <w:t xml:space="preserve"> es uno de los motores del 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>desarrollo económico de las sociedades</w:t>
      </w:r>
      <w:r w:rsidR="006267B3">
        <w:rPr>
          <w:rFonts w:ascii="Century Gothic" w:hAnsi="Century Gothic" w:cstheme="minorHAnsi"/>
          <w:sz w:val="24"/>
          <w:szCs w:val="24"/>
          <w:lang w:val="es-ES"/>
        </w:rPr>
        <w:t>. En la actualidad asistimos a una revolución tecnológica en la que el conocimiento debe potencializar i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>nnova</w:t>
      </w:r>
      <w:r w:rsidR="006267B3">
        <w:rPr>
          <w:rFonts w:ascii="Century Gothic" w:hAnsi="Century Gothic" w:cstheme="minorHAnsi"/>
          <w:sz w:val="24"/>
          <w:szCs w:val="24"/>
          <w:lang w:val="es-ES"/>
        </w:rPr>
        <w:t>ciones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 en </w:t>
      </w:r>
      <w:r w:rsidR="006267B3">
        <w:rPr>
          <w:rFonts w:ascii="Century Gothic" w:hAnsi="Century Gothic" w:cstheme="minorHAnsi"/>
          <w:sz w:val="24"/>
          <w:szCs w:val="24"/>
          <w:lang w:val="es-ES"/>
        </w:rPr>
        <w:t>los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 procesos productivos genera</w:t>
      </w:r>
      <w:r>
        <w:rPr>
          <w:rFonts w:ascii="Century Gothic" w:hAnsi="Century Gothic" w:cstheme="minorHAnsi"/>
          <w:sz w:val="24"/>
          <w:szCs w:val="24"/>
          <w:lang w:val="es-ES"/>
        </w:rPr>
        <w:t xml:space="preserve">ndo 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>alt</w:t>
      </w:r>
      <w:r>
        <w:rPr>
          <w:rFonts w:ascii="Century Gothic" w:hAnsi="Century Gothic" w:cstheme="minorHAnsi"/>
          <w:sz w:val="24"/>
          <w:szCs w:val="24"/>
          <w:lang w:val="es-ES"/>
        </w:rPr>
        <w:t xml:space="preserve">o 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>valor agregado</w:t>
      </w:r>
      <w:r w:rsidR="006267B3">
        <w:rPr>
          <w:rFonts w:ascii="Century Gothic" w:hAnsi="Century Gothic" w:cstheme="minorHAnsi"/>
          <w:sz w:val="24"/>
          <w:szCs w:val="24"/>
          <w:lang w:val="es-ES"/>
        </w:rPr>
        <w:t xml:space="preserve"> y condiciones para la adaptación al complejo entorno que genera para la humanidad la amenaza del cambio climático.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 </w:t>
      </w:r>
    </w:p>
    <w:p w14:paraId="7A217064" w14:textId="77777777" w:rsidR="00504AEA" w:rsidRPr="00907100" w:rsidRDefault="00504AEA" w:rsidP="00504AEA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59D16C10" w14:textId="7B50F9B9" w:rsidR="00471E50" w:rsidRDefault="004135DC" w:rsidP="00590D0C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  <w:r>
        <w:rPr>
          <w:rFonts w:ascii="Century Gothic" w:hAnsi="Century Gothic" w:cstheme="minorHAnsi"/>
          <w:sz w:val="24"/>
          <w:szCs w:val="24"/>
          <w:lang w:val="es-ES"/>
        </w:rPr>
        <w:t>E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n las últimas décadas </w:t>
      </w:r>
      <w:r w:rsidR="00467E33">
        <w:rPr>
          <w:rFonts w:ascii="Century Gothic" w:hAnsi="Century Gothic" w:cstheme="minorHAnsi"/>
          <w:sz w:val="24"/>
          <w:szCs w:val="24"/>
          <w:lang w:val="es-ES"/>
        </w:rPr>
        <w:t xml:space="preserve">en Colombia 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>la educación superior ha</w:t>
      </w:r>
      <w:r w:rsidR="00467E33">
        <w:rPr>
          <w:rFonts w:ascii="Century Gothic" w:hAnsi="Century Gothic" w:cstheme="minorHAnsi"/>
          <w:sz w:val="24"/>
          <w:szCs w:val="24"/>
          <w:lang w:val="es-ES"/>
        </w:rPr>
        <w:t xml:space="preserve"> sido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 relegad</w:t>
      </w:r>
      <w:r w:rsidR="00467E33">
        <w:rPr>
          <w:rFonts w:ascii="Century Gothic" w:hAnsi="Century Gothic" w:cstheme="minorHAnsi"/>
          <w:sz w:val="24"/>
          <w:szCs w:val="24"/>
          <w:lang w:val="es-ES"/>
        </w:rPr>
        <w:t>a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 a un papel secundario. Muestra de ello es que según el SUE (2018), </w:t>
      </w:r>
      <w:r w:rsidR="00DA0265">
        <w:rPr>
          <w:rFonts w:ascii="Century Gothic" w:hAnsi="Century Gothic" w:cstheme="minorHAnsi"/>
          <w:sz w:val="24"/>
          <w:szCs w:val="24"/>
          <w:lang w:val="es-ES"/>
        </w:rPr>
        <w:t xml:space="preserve">esta 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tiene un déficit de $18 billones de pesos, lo que se traduce en baja calidad y poca cobertura. </w:t>
      </w:r>
      <w:r w:rsidR="00467E33">
        <w:rPr>
          <w:rFonts w:ascii="Century Gothic" w:hAnsi="Century Gothic" w:cstheme="minorHAnsi"/>
          <w:sz w:val="24"/>
          <w:szCs w:val="24"/>
          <w:lang w:val="es-ES"/>
        </w:rPr>
        <w:t>Sobre este último aspecto y e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 xml:space="preserve">n comparación con países de la OCDE, Colombia </w:t>
      </w:r>
      <w:r w:rsidR="00467E33">
        <w:rPr>
          <w:rFonts w:ascii="Century Gothic" w:hAnsi="Century Gothic" w:cstheme="minorHAnsi"/>
          <w:sz w:val="24"/>
          <w:szCs w:val="24"/>
          <w:lang w:val="es-ES"/>
        </w:rPr>
        <w:t xml:space="preserve">no está bien posicionada, </w:t>
      </w:r>
      <w:r w:rsidR="00504AEA" w:rsidRPr="00907100">
        <w:rPr>
          <w:rFonts w:ascii="Century Gothic" w:hAnsi="Century Gothic" w:cstheme="minorHAnsi"/>
          <w:sz w:val="24"/>
          <w:szCs w:val="24"/>
          <w:lang w:val="es-ES"/>
        </w:rPr>
        <w:t>como se observa en la siguiente gráfica</w:t>
      </w:r>
      <w:r w:rsidR="00467E33">
        <w:rPr>
          <w:rFonts w:ascii="Century Gothic" w:hAnsi="Century Gothic" w:cstheme="minorHAnsi"/>
          <w:sz w:val="24"/>
          <w:szCs w:val="24"/>
          <w:lang w:val="es-ES"/>
        </w:rPr>
        <w:t>:</w:t>
      </w:r>
    </w:p>
    <w:p w14:paraId="6B305072" w14:textId="77777777" w:rsidR="00471E50" w:rsidRDefault="00471E50" w:rsidP="00590D0C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</w:p>
    <w:p w14:paraId="72488DC5" w14:textId="522B88EA" w:rsidR="007D19B8" w:rsidRDefault="00504AEA" w:rsidP="00590D0C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  <w:r w:rsidRPr="00907100">
        <w:rPr>
          <w:rFonts w:ascii="Century Gothic" w:hAnsi="Century Gothic" w:cstheme="minorHAnsi"/>
          <w:sz w:val="24"/>
          <w:szCs w:val="24"/>
          <w:lang w:val="es-ES"/>
        </w:rPr>
        <w:t xml:space="preserve"> </w:t>
      </w:r>
    </w:p>
    <w:p w14:paraId="1AFDC9CA" w14:textId="67031336" w:rsidR="00943F5A" w:rsidRPr="00943F5A" w:rsidRDefault="00943F5A" w:rsidP="00943F5A">
      <w:pPr>
        <w:ind w:firstLine="708"/>
        <w:rPr>
          <w:rFonts w:ascii="Century Gothic" w:hAnsi="Century Gothic"/>
          <w:sz w:val="24"/>
          <w:szCs w:val="24"/>
          <w:lang w:val="es-ES"/>
        </w:rPr>
      </w:pPr>
      <w:r w:rsidRPr="00943F5A">
        <w:rPr>
          <w:rFonts w:ascii="Century Gothic" w:hAnsi="Century Gothic"/>
          <w:sz w:val="24"/>
          <w:szCs w:val="24"/>
        </w:rPr>
        <w:lastRenderedPageBreak/>
        <w:t>Gráfico 3</w:t>
      </w:r>
      <w:r w:rsidRPr="00943F5A">
        <w:rPr>
          <w:rFonts w:ascii="Century Gothic" w:hAnsi="Century Gothic" w:cstheme="minorHAnsi"/>
          <w:sz w:val="24"/>
          <w:szCs w:val="24"/>
        </w:rPr>
        <w:t xml:space="preserve">. </w:t>
      </w:r>
      <w:r w:rsidRPr="00943F5A">
        <w:rPr>
          <w:rFonts w:ascii="Century Gothic" w:hAnsi="Century Gothic"/>
          <w:sz w:val="24"/>
          <w:szCs w:val="24"/>
          <w:lang w:val="es-ES"/>
        </w:rPr>
        <w:t>Inscripción escolar, nivel terciario países OCDE (% bruto)</w:t>
      </w:r>
      <w:r w:rsidRPr="00943F5A">
        <w:rPr>
          <w:rFonts w:ascii="Century Gothic" w:hAnsi="Century Gothic"/>
          <w:sz w:val="24"/>
          <w:szCs w:val="24"/>
          <w:lang w:val="es-ES"/>
        </w:rPr>
        <w:br/>
        <w:t>2017</w:t>
      </w:r>
    </w:p>
    <w:p w14:paraId="1FDDE284" w14:textId="00CE84A0" w:rsidR="00943F5A" w:rsidRDefault="00943F5A" w:rsidP="004E473A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noProof/>
          <w:lang w:eastAsia="es-CO"/>
        </w:rPr>
        <w:drawing>
          <wp:inline distT="0" distB="0" distL="0" distR="0" wp14:anchorId="0DC2A533" wp14:editId="5B955267">
            <wp:extent cx="5612130" cy="2675890"/>
            <wp:effectExtent l="0" t="0" r="1270" b="1651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04E02C" w14:textId="49ECC73C" w:rsidR="00943F5A" w:rsidRDefault="00943F5A" w:rsidP="004E473A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Fuente: Elaboración propia con datos del Banco Mundial</w:t>
      </w:r>
      <w:r>
        <w:rPr>
          <w:rStyle w:val="Refdenotaalpie"/>
          <w:rFonts w:ascii="Century Gothic" w:hAnsi="Century Gothic"/>
          <w:sz w:val="24"/>
          <w:szCs w:val="24"/>
          <w:lang w:val="es-ES"/>
        </w:rPr>
        <w:footnoteReference w:id="1"/>
      </w:r>
    </w:p>
    <w:p w14:paraId="07476FC6" w14:textId="77777777" w:rsidR="00943F5A" w:rsidRDefault="00943F5A" w:rsidP="004E473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45F1968A" w14:textId="743F36E4" w:rsidR="004E473A" w:rsidRPr="00907100" w:rsidRDefault="004E473A" w:rsidP="004E473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907100">
        <w:rPr>
          <w:rFonts w:ascii="Century Gothic" w:hAnsi="Century Gothic"/>
          <w:sz w:val="24"/>
          <w:szCs w:val="24"/>
          <w:lang w:val="es-ES"/>
        </w:rPr>
        <w:t xml:space="preserve">Es importante </w:t>
      </w:r>
      <w:r w:rsidR="00820A8E">
        <w:rPr>
          <w:rFonts w:ascii="Century Gothic" w:hAnsi="Century Gothic"/>
          <w:sz w:val="24"/>
          <w:szCs w:val="24"/>
          <w:lang w:val="es-ES"/>
        </w:rPr>
        <w:t>a</w:t>
      </w:r>
      <w:r w:rsidRPr="00907100">
        <w:rPr>
          <w:rFonts w:ascii="Century Gothic" w:hAnsi="Century Gothic"/>
          <w:sz w:val="24"/>
          <w:szCs w:val="24"/>
          <w:lang w:val="es-ES"/>
        </w:rPr>
        <w:t>notar que países como Grecia, Francia, Chile, Suecia, Noruega o Finlandia, tienen matrícula cero o el pago por la matricula educativa es muy bajo</w:t>
      </w:r>
      <w:r w:rsidR="00746FB7">
        <w:rPr>
          <w:rFonts w:ascii="Century Gothic" w:hAnsi="Century Gothic"/>
          <w:sz w:val="24"/>
          <w:szCs w:val="24"/>
          <w:lang w:val="es-ES"/>
        </w:rPr>
        <w:t xml:space="preserve"> respecto a su nivel de ingresos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. </w:t>
      </w:r>
    </w:p>
    <w:p w14:paraId="29FF19F2" w14:textId="6BC92BBB" w:rsidR="001B4B3E" w:rsidRPr="00907100" w:rsidRDefault="001B4B3E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6948609D" w14:textId="35F6D388" w:rsidR="001F73E7" w:rsidRPr="00907100" w:rsidRDefault="001F73E7" w:rsidP="001F73E7">
      <w:pPr>
        <w:jc w:val="both"/>
        <w:rPr>
          <w:rFonts w:ascii="Century Gothic" w:hAnsi="Century Gothic"/>
          <w:b/>
          <w:color w:val="000000" w:themeColor="text1"/>
          <w:sz w:val="24"/>
          <w:szCs w:val="24"/>
          <w:lang w:val="es-ES"/>
        </w:rPr>
      </w:pPr>
      <w:r w:rsidRPr="00907100">
        <w:rPr>
          <w:rFonts w:ascii="Century Gothic" w:hAnsi="Century Gothic"/>
          <w:b/>
          <w:color w:val="000000" w:themeColor="text1"/>
          <w:sz w:val="24"/>
          <w:szCs w:val="24"/>
          <w:lang w:val="es-ES"/>
        </w:rPr>
        <w:t>Sobre la ley 30</w:t>
      </w:r>
    </w:p>
    <w:p w14:paraId="2446FB09" w14:textId="77777777" w:rsidR="004E473A" w:rsidRPr="00907100" w:rsidRDefault="004E473A" w:rsidP="001F73E7">
      <w:pPr>
        <w:jc w:val="both"/>
        <w:rPr>
          <w:rFonts w:ascii="Century Gothic" w:hAnsi="Century Gothic"/>
          <w:color w:val="000000" w:themeColor="text1"/>
          <w:sz w:val="24"/>
          <w:szCs w:val="24"/>
          <w:lang w:val="es-ES"/>
        </w:rPr>
      </w:pPr>
    </w:p>
    <w:p w14:paraId="2E075532" w14:textId="29A30D60" w:rsidR="004E473A" w:rsidRDefault="001F73E7" w:rsidP="001F73E7">
      <w:pPr>
        <w:jc w:val="both"/>
        <w:rPr>
          <w:rFonts w:ascii="Century Gothic" w:hAnsi="Century Gothic"/>
          <w:sz w:val="24"/>
          <w:szCs w:val="24"/>
        </w:rPr>
      </w:pPr>
      <w:r w:rsidRPr="00907100">
        <w:rPr>
          <w:rFonts w:ascii="Century Gothic" w:hAnsi="Century Gothic"/>
          <w:sz w:val="24"/>
          <w:szCs w:val="24"/>
          <w:lang w:val="es-ES"/>
        </w:rPr>
        <w:t>En la Ley 30 de 1992 se</w:t>
      </w:r>
      <w:r w:rsidR="003A2673">
        <w:rPr>
          <w:rFonts w:ascii="Century Gothic" w:hAnsi="Century Gothic"/>
          <w:sz w:val="24"/>
          <w:szCs w:val="24"/>
          <w:lang w:val="es-ES"/>
        </w:rPr>
        <w:t xml:space="preserve"> consignan </w:t>
      </w:r>
      <w:r w:rsidRPr="00907100">
        <w:rPr>
          <w:rFonts w:ascii="Century Gothic" w:hAnsi="Century Gothic"/>
          <w:sz w:val="24"/>
          <w:szCs w:val="24"/>
          <w:lang w:val="es-ES"/>
        </w:rPr>
        <w:t>los objetivos del sistema de educación pública,</w:t>
      </w:r>
      <w:r w:rsidR="003A2673">
        <w:rPr>
          <w:rFonts w:ascii="Century Gothic" w:hAnsi="Century Gothic"/>
          <w:sz w:val="24"/>
          <w:szCs w:val="24"/>
          <w:lang w:val="es-ES"/>
        </w:rPr>
        <w:t xml:space="preserve"> dentro de ella se establece q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ue la educación superior </w:t>
      </w:r>
      <w:r w:rsidR="003A2673">
        <w:rPr>
          <w:rFonts w:ascii="Century Gothic" w:hAnsi="Century Gothic"/>
          <w:sz w:val="24"/>
          <w:szCs w:val="24"/>
          <w:lang w:val="es-ES"/>
        </w:rPr>
        <w:t xml:space="preserve">debe encontrarse 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al servicio de </w:t>
      </w:r>
      <w:r w:rsidR="003A2673">
        <w:rPr>
          <w:rFonts w:ascii="Century Gothic" w:hAnsi="Century Gothic"/>
          <w:sz w:val="24"/>
          <w:szCs w:val="24"/>
          <w:lang w:val="es-ES"/>
        </w:rPr>
        <w:t xml:space="preserve">la </w:t>
      </w:r>
      <w:r w:rsidRPr="00907100">
        <w:rPr>
          <w:rFonts w:ascii="Century Gothic" w:hAnsi="Century Gothic"/>
          <w:sz w:val="24"/>
          <w:szCs w:val="24"/>
          <w:lang w:val="es-ES"/>
        </w:rPr>
        <w:t>soluci</w:t>
      </w:r>
      <w:r w:rsidR="003A2673">
        <w:rPr>
          <w:rFonts w:ascii="Century Gothic" w:hAnsi="Century Gothic"/>
          <w:sz w:val="24"/>
          <w:szCs w:val="24"/>
          <w:lang w:val="es-ES"/>
        </w:rPr>
        <w:t>ón de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 los problemas del país por medio programas educativos de calidad. E</w:t>
      </w:r>
      <w:r w:rsidR="001B4B3E" w:rsidRPr="00907100">
        <w:rPr>
          <w:rFonts w:ascii="Century Gothic" w:hAnsi="Century Gothic"/>
          <w:sz w:val="24"/>
          <w:szCs w:val="24"/>
          <w:lang w:val="es-ES"/>
        </w:rPr>
        <w:t>n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 el capítulo V de esta</w:t>
      </w:r>
      <w:r w:rsidR="003A2673">
        <w:rPr>
          <w:rFonts w:ascii="Century Gothic" w:hAnsi="Century Gothic"/>
          <w:sz w:val="24"/>
          <w:szCs w:val="24"/>
          <w:lang w:val="es-ES"/>
        </w:rPr>
        <w:t xml:space="preserve"> disposición normativa</w:t>
      </w:r>
      <w:r w:rsidRPr="00907100">
        <w:rPr>
          <w:rFonts w:ascii="Century Gothic" w:hAnsi="Century Gothic"/>
          <w:sz w:val="24"/>
          <w:szCs w:val="24"/>
          <w:lang w:val="es-ES"/>
        </w:rPr>
        <w:t>, en el cual se expone el régimen financiero de la educación pública, se</w:t>
      </w:r>
      <w:r w:rsidR="00770512" w:rsidRPr="00907100">
        <w:rPr>
          <w:rFonts w:ascii="Century Gothic" w:hAnsi="Century Gothic"/>
          <w:sz w:val="24"/>
          <w:szCs w:val="24"/>
          <w:lang w:val="es-ES"/>
        </w:rPr>
        <w:t xml:space="preserve"> define que </w:t>
      </w:r>
      <w:r w:rsidR="00C82D8B" w:rsidRPr="00907100">
        <w:rPr>
          <w:rFonts w:ascii="Century Gothic" w:hAnsi="Century Gothic"/>
          <w:sz w:val="24"/>
          <w:szCs w:val="24"/>
          <w:lang w:val="es-ES"/>
        </w:rPr>
        <w:t>las univer</w:t>
      </w:r>
      <w:r w:rsidR="00504AEA" w:rsidRPr="00907100">
        <w:rPr>
          <w:rFonts w:ascii="Century Gothic" w:hAnsi="Century Gothic"/>
          <w:sz w:val="24"/>
          <w:szCs w:val="24"/>
          <w:lang w:val="es-ES"/>
        </w:rPr>
        <w:t xml:space="preserve">sidades estatales u oficiales </w:t>
      </w:r>
      <w:r w:rsidR="00C82D8B" w:rsidRPr="00907100">
        <w:rPr>
          <w:rFonts w:ascii="Century Gothic" w:hAnsi="Century Gothic"/>
          <w:sz w:val="24"/>
          <w:szCs w:val="24"/>
          <w:lang w:val="es-ES"/>
        </w:rPr>
        <w:t xml:space="preserve">anualmente </w:t>
      </w:r>
      <w:r w:rsidR="00504AEA" w:rsidRPr="00907100">
        <w:rPr>
          <w:rFonts w:ascii="Century Gothic" w:hAnsi="Century Gothic"/>
          <w:sz w:val="24"/>
          <w:szCs w:val="24"/>
          <w:lang w:val="es-ES"/>
        </w:rPr>
        <w:t xml:space="preserve">tendrán un incremento real de financiamiento estatal. </w:t>
      </w:r>
      <w:r w:rsidR="00F10F4D" w:rsidRPr="00907100">
        <w:rPr>
          <w:rFonts w:ascii="Century Gothic" w:hAnsi="Century Gothic"/>
          <w:sz w:val="24"/>
          <w:szCs w:val="24"/>
          <w:lang w:val="es-ES"/>
        </w:rPr>
        <w:t xml:space="preserve"> A partir del sexto año de la vigencia de </w:t>
      </w:r>
      <w:r w:rsidR="00DA0265">
        <w:rPr>
          <w:rFonts w:ascii="Century Gothic" w:hAnsi="Century Gothic"/>
          <w:sz w:val="24"/>
          <w:szCs w:val="24"/>
          <w:lang w:val="es-ES"/>
        </w:rPr>
        <w:t>dicha</w:t>
      </w:r>
      <w:r w:rsidR="00F10F4D" w:rsidRPr="00907100">
        <w:rPr>
          <w:rFonts w:ascii="Century Gothic" w:hAnsi="Century Gothic"/>
          <w:sz w:val="24"/>
          <w:szCs w:val="24"/>
          <w:lang w:val="es-ES"/>
        </w:rPr>
        <w:t xml:space="preserve"> ley, el Gobierno Nacional incrementará sus aportes </w:t>
      </w:r>
      <w:r w:rsidR="00F10F4D" w:rsidRPr="00907100">
        <w:rPr>
          <w:rFonts w:ascii="Century Gothic" w:hAnsi="Century Gothic"/>
          <w:sz w:val="24"/>
          <w:szCs w:val="24"/>
          <w:lang w:val="es-ES"/>
        </w:rPr>
        <w:lastRenderedPageBreak/>
        <w:t>para las universidades estatales u oficiales, en un porcentaje no inferior al 30% del incremento real del Producto Interno Bruto.</w:t>
      </w:r>
    </w:p>
    <w:p w14:paraId="62E6D355" w14:textId="17592CF3" w:rsidR="00781BC4" w:rsidRDefault="00781BC4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Aunque este modelo </w:t>
      </w:r>
      <w:r w:rsidR="00DA0265">
        <w:rPr>
          <w:rFonts w:ascii="Century Gothic" w:hAnsi="Century Gothic"/>
          <w:sz w:val="24"/>
          <w:szCs w:val="24"/>
          <w:lang w:val="es-ES"/>
        </w:rPr>
        <w:t xml:space="preserve">parece bondadoso </w:t>
      </w:r>
      <w:r>
        <w:rPr>
          <w:rFonts w:ascii="Century Gothic" w:hAnsi="Century Gothic"/>
          <w:sz w:val="24"/>
          <w:szCs w:val="24"/>
          <w:lang w:val="es-ES"/>
        </w:rPr>
        <w:t xml:space="preserve">porque los ingresos </w:t>
      </w:r>
      <w:r w:rsidR="00DA0265">
        <w:rPr>
          <w:rFonts w:ascii="Century Gothic" w:hAnsi="Century Gothic"/>
          <w:sz w:val="24"/>
          <w:szCs w:val="24"/>
          <w:lang w:val="es-ES"/>
        </w:rPr>
        <w:t xml:space="preserve">para las universidades </w:t>
      </w:r>
      <w:r>
        <w:rPr>
          <w:rFonts w:ascii="Century Gothic" w:hAnsi="Century Gothic"/>
          <w:sz w:val="24"/>
          <w:szCs w:val="24"/>
          <w:lang w:val="es-ES"/>
        </w:rPr>
        <w:t>son crecientes</w:t>
      </w:r>
      <w:r w:rsidR="00145342">
        <w:rPr>
          <w:rFonts w:ascii="Century Gothic" w:hAnsi="Century Gothic"/>
          <w:sz w:val="24"/>
          <w:szCs w:val="24"/>
          <w:lang w:val="es-ES"/>
        </w:rPr>
        <w:t>,</w:t>
      </w:r>
      <w:r>
        <w:rPr>
          <w:rFonts w:ascii="Century Gothic" w:hAnsi="Century Gothic"/>
          <w:sz w:val="24"/>
          <w:szCs w:val="24"/>
          <w:lang w:val="es-ES"/>
        </w:rPr>
        <w:t xml:space="preserve"> en términos reales,</w:t>
      </w:r>
      <w:r w:rsidR="00145342">
        <w:rPr>
          <w:rFonts w:ascii="Century Gothic" w:hAnsi="Century Gothic"/>
          <w:sz w:val="24"/>
          <w:szCs w:val="24"/>
          <w:lang w:val="es-ES"/>
        </w:rPr>
        <w:t xml:space="preserve"> </w:t>
      </w:r>
      <w:r w:rsidR="00DA0265">
        <w:rPr>
          <w:rFonts w:ascii="Century Gothic" w:hAnsi="Century Gothic"/>
          <w:sz w:val="24"/>
          <w:szCs w:val="24"/>
          <w:lang w:val="es-ES"/>
        </w:rPr>
        <w:t>resulta insuficiente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 xml:space="preserve"> para mantener una financiación apropiada</w:t>
      </w:r>
      <w:r w:rsidR="00B839D6">
        <w:rPr>
          <w:rFonts w:ascii="Century Gothic" w:hAnsi="Century Gothic"/>
          <w:sz w:val="24"/>
          <w:szCs w:val="24"/>
          <w:lang w:val="es-ES"/>
        </w:rPr>
        <w:t xml:space="preserve">. Lo anterior 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 xml:space="preserve">por dos razones </w:t>
      </w:r>
      <w:r w:rsidR="00B839D6">
        <w:rPr>
          <w:rFonts w:ascii="Century Gothic" w:hAnsi="Century Gothic"/>
          <w:sz w:val="24"/>
          <w:szCs w:val="24"/>
          <w:lang w:val="es-ES"/>
        </w:rPr>
        <w:t>esenciales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>. Primer</w:t>
      </w:r>
      <w:r w:rsidR="00145342">
        <w:rPr>
          <w:rFonts w:ascii="Century Gothic" w:hAnsi="Century Gothic"/>
          <w:sz w:val="24"/>
          <w:szCs w:val="24"/>
          <w:lang w:val="es-ES"/>
        </w:rPr>
        <w:t>a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>, la cobertura de la educación superior pública ha aumentado mucho más de lo que puede cubrir su financiación</w:t>
      </w:r>
      <w:r w:rsidR="00B839D6">
        <w:rPr>
          <w:rFonts w:ascii="Century Gothic" w:hAnsi="Century Gothic"/>
          <w:sz w:val="24"/>
          <w:szCs w:val="24"/>
          <w:lang w:val="es-ES"/>
        </w:rPr>
        <w:t>, pues e</w:t>
      </w:r>
      <w:r>
        <w:rPr>
          <w:rFonts w:ascii="Century Gothic" w:hAnsi="Century Gothic"/>
          <w:sz w:val="24"/>
          <w:szCs w:val="24"/>
          <w:lang w:val="es-ES"/>
        </w:rPr>
        <w:t>ntre el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 xml:space="preserve"> 2002</w:t>
      </w:r>
      <w:r>
        <w:rPr>
          <w:rFonts w:ascii="Century Gothic" w:hAnsi="Century Gothic"/>
          <w:sz w:val="24"/>
          <w:szCs w:val="24"/>
          <w:lang w:val="es-ES"/>
        </w:rPr>
        <w:t xml:space="preserve"> y e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 xml:space="preserve">l 2018 </w:t>
      </w:r>
      <w:r>
        <w:rPr>
          <w:rFonts w:ascii="Century Gothic" w:hAnsi="Century Gothic"/>
          <w:sz w:val="24"/>
          <w:szCs w:val="24"/>
          <w:lang w:val="es-ES"/>
        </w:rPr>
        <w:t xml:space="preserve">el incremento </w:t>
      </w:r>
      <w:r w:rsidR="00B839D6">
        <w:rPr>
          <w:rFonts w:ascii="Century Gothic" w:hAnsi="Century Gothic"/>
          <w:sz w:val="24"/>
          <w:szCs w:val="24"/>
          <w:lang w:val="es-ES"/>
        </w:rPr>
        <w:t>fue</w:t>
      </w:r>
      <w:r>
        <w:rPr>
          <w:rFonts w:ascii="Century Gothic" w:hAnsi="Century Gothic"/>
          <w:sz w:val="24"/>
          <w:szCs w:val="24"/>
          <w:lang w:val="es-ES"/>
        </w:rPr>
        <w:t xml:space="preserve"> 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>del 356%</w:t>
      </w:r>
      <w:r w:rsidR="00E84E82" w:rsidRPr="00907100">
        <w:rPr>
          <w:rFonts w:ascii="Century Gothic" w:hAnsi="Century Gothic"/>
          <w:sz w:val="24"/>
          <w:szCs w:val="24"/>
          <w:lang w:val="es-ES"/>
        </w:rPr>
        <w:t xml:space="preserve">, mientras que el aporte de la </w:t>
      </w:r>
      <w:r w:rsidR="00B839D6">
        <w:rPr>
          <w:rFonts w:ascii="Century Gothic" w:hAnsi="Century Gothic"/>
          <w:sz w:val="24"/>
          <w:szCs w:val="24"/>
          <w:lang w:val="es-ES"/>
        </w:rPr>
        <w:t>n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 xml:space="preserve">ación a las universidades públicas ha disminuido de manera relativa con </w:t>
      </w:r>
      <w:r w:rsidR="00145342">
        <w:rPr>
          <w:rFonts w:ascii="Century Gothic" w:hAnsi="Century Gothic"/>
          <w:sz w:val="24"/>
          <w:szCs w:val="24"/>
          <w:lang w:val="es-ES"/>
        </w:rPr>
        <w:t xml:space="preserve">respecto 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>al gasto total en educación</w:t>
      </w:r>
      <w:r w:rsidR="00B839D6">
        <w:rPr>
          <w:rFonts w:ascii="Century Gothic" w:hAnsi="Century Gothic"/>
          <w:sz w:val="24"/>
          <w:szCs w:val="24"/>
          <w:lang w:val="es-ES"/>
        </w:rPr>
        <w:t>,</w:t>
      </w:r>
      <w:r>
        <w:rPr>
          <w:rFonts w:ascii="Century Gothic" w:hAnsi="Century Gothic"/>
          <w:sz w:val="24"/>
          <w:szCs w:val="24"/>
          <w:lang w:val="es-ES"/>
        </w:rPr>
        <w:t xml:space="preserve"> como se muestra en el gráfico 5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>.  Por otro lado, el esquema no toma en cuenta las características propias de la educación superi</w:t>
      </w:r>
      <w:r w:rsidR="00E84E82" w:rsidRPr="00907100">
        <w:rPr>
          <w:rFonts w:ascii="Century Gothic" w:hAnsi="Century Gothic"/>
          <w:sz w:val="24"/>
          <w:szCs w:val="24"/>
          <w:lang w:val="es-ES"/>
        </w:rPr>
        <w:t>or, ya que sus costos crecen más rápido que la inflación medida por el IPC. Entre</w:t>
      </w:r>
      <w:r w:rsidR="001F73E7" w:rsidRPr="00907100">
        <w:rPr>
          <w:rFonts w:ascii="Century Gothic" w:hAnsi="Century Gothic"/>
          <w:sz w:val="24"/>
          <w:szCs w:val="24"/>
          <w:lang w:val="es-ES"/>
        </w:rPr>
        <w:t xml:space="preserve"> enero de 2010 y diciembre de 2018, el IPC ha variado de forma acumulada en 23,91%, mientras que los costos de la educación superior han incrementado en 45,2% (Dane, 2019).</w:t>
      </w:r>
    </w:p>
    <w:p w14:paraId="52877D81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32E6AC9C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5678A1FB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6CEAF4B2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0CBA3AB1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5F6A4CAD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0C0C616B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5201EDCF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2F0CF0EC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1E835598" w14:textId="77777777" w:rsidR="00471E50" w:rsidRDefault="00471E50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33C4E3F7" w14:textId="77777777" w:rsidR="00317DA4" w:rsidRDefault="00317DA4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4BEEB5D8" w14:textId="77777777" w:rsidR="00A03FF7" w:rsidRDefault="00A03FF7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236A59F7" w14:textId="77777777" w:rsidR="00317DA4" w:rsidRDefault="00317DA4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4C465372" w14:textId="77777777" w:rsidR="00781BC4" w:rsidRPr="00907100" w:rsidRDefault="00781BC4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632F6738" w14:textId="7012006E" w:rsidR="001F73E7" w:rsidRPr="00907100" w:rsidRDefault="00943F5A" w:rsidP="00907100">
      <w:pPr>
        <w:ind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Gráfico 4</w:t>
      </w:r>
      <w:r w:rsidR="00907100">
        <w:rPr>
          <w:rFonts w:ascii="Century Gothic" w:hAnsi="Century Gothic"/>
          <w:sz w:val="24"/>
          <w:szCs w:val="24"/>
        </w:rPr>
        <w:t xml:space="preserve">. Matrícula en educación superior. </w:t>
      </w:r>
      <w:r w:rsidR="001F73E7" w:rsidRPr="00907100">
        <w:rPr>
          <w:rFonts w:ascii="Century Gothic" w:hAnsi="Century Gothic"/>
          <w:sz w:val="24"/>
          <w:szCs w:val="24"/>
        </w:rPr>
        <w:t>Desagregada por semestres (2000-2018)</w:t>
      </w:r>
    </w:p>
    <w:p w14:paraId="2C97B878" w14:textId="010A3E2A" w:rsidR="001F73E7" w:rsidRPr="00907100" w:rsidRDefault="001F73E7" w:rsidP="001F73E7">
      <w:pPr>
        <w:rPr>
          <w:rFonts w:ascii="Century Gothic" w:hAnsi="Century Gothic"/>
          <w:sz w:val="24"/>
          <w:szCs w:val="24"/>
          <w:lang w:val="es-ES"/>
        </w:rPr>
      </w:pPr>
      <w:r w:rsidRPr="00907100">
        <w:rPr>
          <w:rFonts w:ascii="Century Gothic" w:hAnsi="Century Gothic"/>
          <w:noProof/>
          <w:sz w:val="24"/>
          <w:szCs w:val="24"/>
          <w:lang w:eastAsia="es-CO"/>
        </w:rPr>
        <w:drawing>
          <wp:inline distT="0" distB="0" distL="0" distR="0" wp14:anchorId="681A2AFC" wp14:editId="76A7D19E">
            <wp:extent cx="5623560" cy="2755265"/>
            <wp:effectExtent l="0" t="0" r="15240" b="1333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907100">
        <w:rPr>
          <w:rFonts w:ascii="Century Gothic" w:hAnsi="Century Gothic"/>
          <w:sz w:val="24"/>
          <w:szCs w:val="24"/>
          <w:lang w:val="es-ES"/>
        </w:rPr>
        <w:br/>
        <w:t xml:space="preserve">Fuente: Elaboración propia con datos del Ministerio de Educación. </w:t>
      </w:r>
    </w:p>
    <w:p w14:paraId="3CDD48E6" w14:textId="4D64241F" w:rsidR="00781BC4" w:rsidRDefault="00B839D6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 xml:space="preserve">Pese a que los </w:t>
      </w:r>
      <w:r w:rsidR="00781BC4">
        <w:rPr>
          <w:rFonts w:ascii="Century Gothic" w:hAnsi="Century Gothic"/>
          <w:sz w:val="24"/>
          <w:szCs w:val="24"/>
          <w:lang w:val="es-ES"/>
        </w:rPr>
        <w:t>recursos son crecientes en términos reales, e</w:t>
      </w:r>
      <w:r w:rsidR="00943F5A">
        <w:rPr>
          <w:rFonts w:ascii="Century Gothic" w:hAnsi="Century Gothic"/>
          <w:sz w:val="24"/>
          <w:szCs w:val="24"/>
          <w:lang w:val="es-ES"/>
        </w:rPr>
        <w:t xml:space="preserve">n la siguiente gráfica </w:t>
      </w:r>
      <w:r>
        <w:rPr>
          <w:rFonts w:ascii="Century Gothic" w:hAnsi="Century Gothic"/>
          <w:sz w:val="24"/>
          <w:szCs w:val="24"/>
          <w:lang w:val="es-ES"/>
        </w:rPr>
        <w:t xml:space="preserve">puede observarse </w:t>
      </w:r>
      <w:r w:rsidR="00781BC4">
        <w:rPr>
          <w:rFonts w:ascii="Century Gothic" w:hAnsi="Century Gothic"/>
          <w:sz w:val="24"/>
          <w:szCs w:val="24"/>
          <w:lang w:val="es-ES"/>
        </w:rPr>
        <w:t>que</w:t>
      </w:r>
      <w:r w:rsidR="00943F5A">
        <w:rPr>
          <w:rFonts w:ascii="Century Gothic" w:hAnsi="Century Gothic"/>
          <w:sz w:val="24"/>
          <w:szCs w:val="24"/>
          <w:lang w:val="es-ES"/>
        </w:rPr>
        <w:t xml:space="preserve"> año tras año el Estado destina meno</w:t>
      </w:r>
      <w:r>
        <w:rPr>
          <w:rFonts w:ascii="Century Gothic" w:hAnsi="Century Gothic"/>
          <w:sz w:val="24"/>
          <w:szCs w:val="24"/>
          <w:lang w:val="es-ES"/>
        </w:rPr>
        <w:t>r proporción de</w:t>
      </w:r>
      <w:r w:rsidR="00943F5A">
        <w:rPr>
          <w:rFonts w:ascii="Century Gothic" w:hAnsi="Century Gothic"/>
          <w:sz w:val="24"/>
          <w:szCs w:val="24"/>
          <w:lang w:val="es-ES"/>
        </w:rPr>
        <w:t xml:space="preserve"> gasto público de educación </w:t>
      </w:r>
      <w:r w:rsidR="00781BC4">
        <w:rPr>
          <w:rFonts w:ascii="Century Gothic" w:hAnsi="Century Gothic"/>
          <w:sz w:val="24"/>
          <w:szCs w:val="24"/>
          <w:lang w:val="es-ES"/>
        </w:rPr>
        <w:t>superior en las universidades p</w:t>
      </w:r>
      <w:r w:rsidR="00943F5A">
        <w:rPr>
          <w:rFonts w:ascii="Century Gothic" w:hAnsi="Century Gothic"/>
          <w:sz w:val="24"/>
          <w:szCs w:val="24"/>
          <w:lang w:val="es-ES"/>
        </w:rPr>
        <w:t xml:space="preserve">úblicas. </w:t>
      </w:r>
      <w:r w:rsidR="00781BC4">
        <w:rPr>
          <w:rFonts w:ascii="Century Gothic" w:hAnsi="Century Gothic"/>
          <w:sz w:val="24"/>
          <w:szCs w:val="24"/>
          <w:lang w:val="es-ES"/>
        </w:rPr>
        <w:t xml:space="preserve">Para el año 2002, el 57% de los recursos girados para educación superior iban a la base presupuestal para las universidades públicas, esta cifra para 2016 </w:t>
      </w:r>
      <w:r>
        <w:rPr>
          <w:rFonts w:ascii="Century Gothic" w:hAnsi="Century Gothic"/>
          <w:sz w:val="24"/>
          <w:szCs w:val="24"/>
          <w:lang w:val="es-ES"/>
        </w:rPr>
        <w:t>fue</w:t>
      </w:r>
      <w:r w:rsidR="00781BC4">
        <w:rPr>
          <w:rFonts w:ascii="Century Gothic" w:hAnsi="Century Gothic"/>
          <w:sz w:val="24"/>
          <w:szCs w:val="24"/>
          <w:lang w:val="es-ES"/>
        </w:rPr>
        <w:t xml:space="preserve"> de 37%. </w:t>
      </w:r>
      <w:r w:rsidR="00943F5A" w:rsidRPr="0005620B">
        <w:rPr>
          <w:rFonts w:ascii="Century Gothic" w:hAnsi="Century Gothic"/>
          <w:sz w:val="24"/>
          <w:szCs w:val="24"/>
          <w:lang w:val="es-ES"/>
        </w:rPr>
        <w:t xml:space="preserve">Esto quiere decir, que el Estado </w:t>
      </w:r>
      <w:r w:rsidRPr="0005620B">
        <w:rPr>
          <w:rFonts w:ascii="Century Gothic" w:hAnsi="Century Gothic"/>
          <w:sz w:val="24"/>
          <w:szCs w:val="24"/>
          <w:lang w:val="es-ES"/>
        </w:rPr>
        <w:t>fortalece</w:t>
      </w:r>
      <w:r w:rsidR="00943F5A" w:rsidRPr="0005620B">
        <w:rPr>
          <w:rFonts w:ascii="Century Gothic" w:hAnsi="Century Gothic"/>
          <w:sz w:val="24"/>
          <w:szCs w:val="24"/>
          <w:lang w:val="es-ES"/>
        </w:rPr>
        <w:t xml:space="preserve"> presupuestalmente a </w:t>
      </w:r>
      <w:r w:rsidR="00781BC4" w:rsidRPr="0005620B">
        <w:rPr>
          <w:rFonts w:ascii="Century Gothic" w:hAnsi="Century Gothic"/>
          <w:sz w:val="24"/>
          <w:szCs w:val="24"/>
          <w:lang w:val="es-ES"/>
        </w:rPr>
        <w:t>programas por vía de la demanda.</w:t>
      </w:r>
    </w:p>
    <w:p w14:paraId="2F77631D" w14:textId="77777777" w:rsidR="00471E5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12222089" w14:textId="77777777" w:rsidR="00471E5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4246E8CF" w14:textId="77777777" w:rsidR="00471E5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355E1A27" w14:textId="77777777" w:rsidR="00471E5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761E128C" w14:textId="77777777" w:rsidR="00471E5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7ABA7087" w14:textId="77777777" w:rsidR="00471E5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76196056" w14:textId="77777777" w:rsidR="00471E50" w:rsidRPr="00907100" w:rsidRDefault="00471E50" w:rsidP="00943F5A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538CA75D" w14:textId="1C11377E" w:rsidR="001F73E7" w:rsidRPr="00907100" w:rsidRDefault="001F73E7" w:rsidP="00907100">
      <w:pPr>
        <w:ind w:firstLine="708"/>
        <w:jc w:val="both"/>
        <w:rPr>
          <w:rFonts w:ascii="Century Gothic" w:hAnsi="Century Gothic"/>
          <w:sz w:val="24"/>
          <w:szCs w:val="24"/>
          <w:lang w:val="es-ES"/>
        </w:rPr>
      </w:pPr>
      <w:r w:rsidRPr="00907100">
        <w:rPr>
          <w:rFonts w:ascii="Century Gothic" w:hAnsi="Century Gothic"/>
          <w:sz w:val="24"/>
          <w:szCs w:val="24"/>
          <w:lang w:val="es-ES"/>
        </w:rPr>
        <w:lastRenderedPageBreak/>
        <w:t xml:space="preserve">Gráfico </w:t>
      </w:r>
      <w:r w:rsidR="00943F5A">
        <w:rPr>
          <w:rFonts w:ascii="Century Gothic" w:hAnsi="Century Gothic"/>
          <w:sz w:val="24"/>
          <w:szCs w:val="24"/>
          <w:lang w:val="es-ES"/>
        </w:rPr>
        <w:t>5</w:t>
      </w:r>
      <w:r w:rsidR="00907100">
        <w:rPr>
          <w:rFonts w:ascii="MingLiU" w:eastAsia="MingLiU" w:hAnsi="MingLiU" w:cs="MingLiU"/>
          <w:sz w:val="24"/>
          <w:szCs w:val="24"/>
          <w:lang w:val="es-ES"/>
        </w:rPr>
        <w:t xml:space="preserve">. 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Relación </w:t>
      </w:r>
      <w:r w:rsidR="00907100" w:rsidRPr="00907100">
        <w:rPr>
          <w:rFonts w:ascii="Century Gothic" w:hAnsi="Century Gothic"/>
          <w:sz w:val="24"/>
          <w:szCs w:val="24"/>
          <w:lang w:val="es-ES"/>
        </w:rPr>
        <w:t>Aportes Nación Universidades Públicas como porcentaje del gasto público en educación superior en Colo</w:t>
      </w:r>
      <w:r w:rsidRPr="00907100">
        <w:rPr>
          <w:rFonts w:ascii="Century Gothic" w:hAnsi="Century Gothic"/>
          <w:sz w:val="24"/>
          <w:szCs w:val="24"/>
          <w:lang w:val="es-ES"/>
        </w:rPr>
        <w:t xml:space="preserve">mbia (2002-2016) </w:t>
      </w:r>
    </w:p>
    <w:p w14:paraId="55FD7778" w14:textId="6EC3DD94" w:rsidR="001F73E7" w:rsidRPr="00907100" w:rsidRDefault="00907100" w:rsidP="00907100">
      <w:pPr>
        <w:jc w:val="center"/>
        <w:rPr>
          <w:rFonts w:ascii="Century Gothic" w:hAnsi="Century Gothic"/>
          <w:sz w:val="24"/>
          <w:szCs w:val="24"/>
          <w:lang w:val="es-ES"/>
        </w:rPr>
      </w:pPr>
      <w:r w:rsidRPr="00907100">
        <w:rPr>
          <w:noProof/>
          <w:lang w:eastAsia="es-CO"/>
        </w:rPr>
        <w:drawing>
          <wp:inline distT="0" distB="0" distL="0" distR="0" wp14:anchorId="6B1866EE" wp14:editId="780B50C0">
            <wp:extent cx="4572000" cy="27432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DD2AE1" w14:textId="1D5BD9DA" w:rsidR="001F73E7" w:rsidRPr="00907100" w:rsidRDefault="001F73E7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05620B">
        <w:rPr>
          <w:rFonts w:ascii="Century Gothic" w:hAnsi="Century Gothic"/>
          <w:sz w:val="24"/>
          <w:szCs w:val="24"/>
          <w:lang w:val="es-ES"/>
        </w:rPr>
        <w:t>Fuente: Vicerrectoría administrativa y Financiera UTP</w:t>
      </w:r>
      <w:r w:rsidR="0005620B" w:rsidRPr="0005620B">
        <w:rPr>
          <w:rFonts w:ascii="Century Gothic" w:hAnsi="Century Gothic"/>
          <w:sz w:val="24"/>
          <w:szCs w:val="24"/>
          <w:lang w:val="es-ES"/>
        </w:rPr>
        <w:t xml:space="preserve"> (2017)</w:t>
      </w:r>
      <w:r w:rsidRPr="0005620B">
        <w:rPr>
          <w:rFonts w:ascii="Century Gothic" w:hAnsi="Century Gothic"/>
          <w:sz w:val="24"/>
          <w:szCs w:val="24"/>
          <w:lang w:val="es-ES"/>
        </w:rPr>
        <w:t xml:space="preserve"> </w:t>
      </w:r>
    </w:p>
    <w:p w14:paraId="7AC2F657" w14:textId="77777777" w:rsidR="001F73E7" w:rsidRPr="00907100" w:rsidRDefault="001F73E7" w:rsidP="001F73E7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75A562EF" w14:textId="30939484" w:rsidR="0026146B" w:rsidRDefault="00E84E82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>Un</w:t>
      </w:r>
      <w:r w:rsidR="001F73E7" w:rsidRPr="00907100">
        <w:rPr>
          <w:rFonts w:ascii="Century Gothic" w:hAnsi="Century Gothic"/>
          <w:sz w:val="24"/>
          <w:szCs w:val="24"/>
          <w:lang w:val="es-MX"/>
        </w:rPr>
        <w:t xml:space="preserve"> fenómeno que también se evidencia es que la cobertura de la educación superior pública ha crecido en términos absolutos y relativos más que la educación privada, pero no así en términos presupuestales, ya que la financiación de la educación superior se ha centrado en </w:t>
      </w:r>
      <w:r w:rsidRPr="00907100">
        <w:rPr>
          <w:rFonts w:ascii="Century Gothic" w:hAnsi="Century Gothic"/>
          <w:sz w:val="24"/>
          <w:szCs w:val="24"/>
          <w:lang w:val="es-MX"/>
        </w:rPr>
        <w:t>los créditos y becas del ICETE</w:t>
      </w:r>
      <w:r w:rsidR="005C25F0">
        <w:rPr>
          <w:rFonts w:ascii="Century Gothic" w:hAnsi="Century Gothic"/>
          <w:sz w:val="24"/>
          <w:szCs w:val="24"/>
          <w:lang w:val="es-MX"/>
        </w:rPr>
        <w:t>X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. </w:t>
      </w:r>
      <w:r w:rsidRPr="00943F5A">
        <w:rPr>
          <w:rFonts w:ascii="Century Gothic" w:hAnsi="Century Gothic"/>
          <w:sz w:val="24"/>
          <w:szCs w:val="24"/>
          <w:lang w:val="es-MX"/>
        </w:rPr>
        <w:t>Entre 2010 y 2016</w:t>
      </w:r>
      <w:r w:rsidR="001F73E7" w:rsidRPr="00943F5A">
        <w:rPr>
          <w:rFonts w:ascii="Century Gothic" w:hAnsi="Century Gothic"/>
          <w:sz w:val="24"/>
          <w:szCs w:val="24"/>
          <w:lang w:val="es-MX"/>
        </w:rPr>
        <w:t xml:space="preserve"> los aportes de la Nación para el ICETEX han aumentado en 677%</w:t>
      </w:r>
      <w:r w:rsidR="005C25F0">
        <w:rPr>
          <w:rFonts w:ascii="Century Gothic" w:hAnsi="Century Gothic"/>
          <w:sz w:val="24"/>
          <w:szCs w:val="24"/>
          <w:lang w:val="es-MX"/>
        </w:rPr>
        <w:t>.</w:t>
      </w:r>
      <w:r w:rsidR="001F73E7" w:rsidRPr="00943F5A">
        <w:rPr>
          <w:rFonts w:ascii="Century Gothic" w:hAnsi="Century Gothic"/>
          <w:sz w:val="24"/>
          <w:szCs w:val="24"/>
          <w:lang w:val="es-MX"/>
        </w:rPr>
        <w:t xml:space="preserve"> </w:t>
      </w:r>
      <w:r w:rsidR="005C25F0">
        <w:rPr>
          <w:rFonts w:ascii="Century Gothic" w:hAnsi="Century Gothic"/>
          <w:sz w:val="24"/>
          <w:szCs w:val="24"/>
          <w:lang w:val="es-MX"/>
        </w:rPr>
        <w:t>Entre tanto,</w:t>
      </w:r>
      <w:r w:rsidR="001F73E7" w:rsidRPr="00943F5A">
        <w:rPr>
          <w:rFonts w:ascii="Century Gothic" w:hAnsi="Century Gothic"/>
          <w:sz w:val="24"/>
          <w:szCs w:val="24"/>
          <w:lang w:val="es-MX"/>
        </w:rPr>
        <w:t xml:space="preserve"> los aportes de la Nación para la oferta educativa han incrementado en 50,4% (MHCP, 2018).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Se presenta aquí </w:t>
      </w:r>
      <w:r w:rsidR="005C25F0">
        <w:rPr>
          <w:rFonts w:ascii="Century Gothic" w:hAnsi="Century Gothic"/>
          <w:sz w:val="24"/>
          <w:szCs w:val="24"/>
          <w:lang w:val="es-MX"/>
        </w:rPr>
        <w:t>el primer problema</w:t>
      </w:r>
      <w:r w:rsidR="001F73E7" w:rsidRPr="00907100">
        <w:rPr>
          <w:rFonts w:ascii="Century Gothic" w:hAnsi="Century Gothic"/>
          <w:sz w:val="24"/>
          <w:szCs w:val="24"/>
          <w:lang w:val="es-MX"/>
        </w:rPr>
        <w:t xml:space="preserve"> estructural de la educación superior</w:t>
      </w:r>
      <w:r w:rsidR="005C25F0">
        <w:rPr>
          <w:rFonts w:ascii="Century Gothic" w:hAnsi="Century Gothic"/>
          <w:sz w:val="24"/>
          <w:szCs w:val="24"/>
          <w:lang w:val="es-MX"/>
        </w:rPr>
        <w:t xml:space="preserve"> y es el que concierne a que</w:t>
      </w:r>
      <w:r w:rsidR="001F73E7"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la financiación se ha ido fundamentalmente al fortalecimiento </w:t>
      </w:r>
      <w:r w:rsidR="005C25F0">
        <w:rPr>
          <w:rFonts w:ascii="Century Gothic" w:hAnsi="Century Gothic"/>
          <w:sz w:val="24"/>
          <w:szCs w:val="24"/>
          <w:lang w:val="es-MX"/>
        </w:rPr>
        <w:t xml:space="preserve">de </w:t>
      </w:r>
      <w:r w:rsidRPr="00907100">
        <w:rPr>
          <w:rFonts w:ascii="Century Gothic" w:hAnsi="Century Gothic"/>
          <w:sz w:val="24"/>
          <w:szCs w:val="24"/>
          <w:lang w:val="es-MX"/>
        </w:rPr>
        <w:t>políticas de demanda y no a la oferta.</w:t>
      </w:r>
      <w:r w:rsidR="001F73E7"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</w:p>
    <w:p w14:paraId="09F028BB" w14:textId="77777777" w:rsidR="00781BC4" w:rsidRDefault="00781BC4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5D573365" w14:textId="1D03A799" w:rsidR="00781BC4" w:rsidRDefault="00781BC4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 xml:space="preserve">Como consecuencia de esta situación, se adeudan $18 billones de pesos a las universidades públicas. Esta deuda se traduce en falta de infraestructura pertinente para atender las clases, </w:t>
      </w:r>
      <w:r w:rsidR="0076106E">
        <w:rPr>
          <w:rFonts w:ascii="Century Gothic" w:hAnsi="Century Gothic"/>
          <w:sz w:val="24"/>
          <w:szCs w:val="24"/>
          <w:lang w:val="es-MX"/>
        </w:rPr>
        <w:t xml:space="preserve">un escaso número de </w:t>
      </w:r>
      <w:r>
        <w:rPr>
          <w:rFonts w:ascii="Century Gothic" w:hAnsi="Century Gothic"/>
          <w:sz w:val="24"/>
          <w:szCs w:val="24"/>
          <w:lang w:val="es-MX"/>
        </w:rPr>
        <w:t xml:space="preserve">profesores, bajos salarios para la planta administrativa y profesoral, </w:t>
      </w:r>
      <w:r w:rsidR="0076106E">
        <w:rPr>
          <w:rFonts w:ascii="Century Gothic" w:hAnsi="Century Gothic"/>
          <w:sz w:val="24"/>
          <w:szCs w:val="24"/>
          <w:lang w:val="es-MX"/>
        </w:rPr>
        <w:t>carencia</w:t>
      </w:r>
      <w:r>
        <w:rPr>
          <w:rFonts w:ascii="Century Gothic" w:hAnsi="Century Gothic"/>
          <w:sz w:val="24"/>
          <w:szCs w:val="24"/>
          <w:lang w:val="es-MX"/>
        </w:rPr>
        <w:t xml:space="preserve"> de recursos para </w:t>
      </w:r>
      <w:r w:rsidR="0076106E">
        <w:rPr>
          <w:rFonts w:ascii="Century Gothic" w:hAnsi="Century Gothic"/>
          <w:sz w:val="24"/>
          <w:szCs w:val="24"/>
          <w:lang w:val="es-MX"/>
        </w:rPr>
        <w:lastRenderedPageBreak/>
        <w:t xml:space="preserve">el </w:t>
      </w:r>
      <w:r>
        <w:rPr>
          <w:rFonts w:ascii="Century Gothic" w:hAnsi="Century Gothic"/>
          <w:sz w:val="24"/>
          <w:szCs w:val="24"/>
          <w:lang w:val="es-MX"/>
        </w:rPr>
        <w:t>bienestar universitario</w:t>
      </w:r>
      <w:r w:rsidR="0076106E">
        <w:rPr>
          <w:rFonts w:ascii="Century Gothic" w:hAnsi="Century Gothic"/>
          <w:sz w:val="24"/>
          <w:szCs w:val="24"/>
          <w:lang w:val="es-MX"/>
        </w:rPr>
        <w:t>,</w:t>
      </w:r>
      <w:r>
        <w:rPr>
          <w:rFonts w:ascii="Century Gothic" w:hAnsi="Century Gothic"/>
          <w:sz w:val="24"/>
          <w:szCs w:val="24"/>
          <w:lang w:val="es-MX"/>
        </w:rPr>
        <w:t xml:space="preserve"> entre otros. Esta situación afecta transversalmente la calidad y la cobertura de la educación superior en el país. </w:t>
      </w:r>
    </w:p>
    <w:p w14:paraId="743D0E15" w14:textId="77777777" w:rsidR="00781BC4" w:rsidRPr="00943F5A" w:rsidRDefault="00781BC4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3516BDFF" w14:textId="59541DC4" w:rsidR="00200063" w:rsidRPr="00907100" w:rsidRDefault="00200063" w:rsidP="00200063">
      <w:pPr>
        <w:jc w:val="both"/>
        <w:rPr>
          <w:rFonts w:ascii="Century Gothic" w:hAnsi="Century Gothic"/>
          <w:b/>
          <w:sz w:val="24"/>
          <w:szCs w:val="24"/>
          <w:lang w:val="es-MX"/>
        </w:rPr>
      </w:pPr>
      <w:r w:rsidRPr="00907100">
        <w:rPr>
          <w:rFonts w:ascii="Century Gothic" w:hAnsi="Century Gothic"/>
          <w:b/>
          <w:sz w:val="24"/>
          <w:szCs w:val="24"/>
          <w:lang w:val="es-MX"/>
        </w:rPr>
        <w:t xml:space="preserve">Los Efectos del Covid-19 en la </w:t>
      </w:r>
      <w:r w:rsidR="00781BC4">
        <w:rPr>
          <w:rFonts w:ascii="Century Gothic" w:hAnsi="Century Gothic"/>
          <w:b/>
          <w:sz w:val="24"/>
          <w:szCs w:val="24"/>
          <w:lang w:val="es-MX"/>
        </w:rPr>
        <w:t>educación</w:t>
      </w:r>
    </w:p>
    <w:p w14:paraId="32C4B653" w14:textId="77777777" w:rsidR="00200063" w:rsidRPr="00907100" w:rsidRDefault="00200063" w:rsidP="00200063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7FD28313" w14:textId="114D1C2D" w:rsidR="004C2025" w:rsidRPr="00907100" w:rsidRDefault="00200063" w:rsidP="00200063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 xml:space="preserve">Sumada a esta situación, la pandemia del Covid-19 originó una afectación importante sobre </w:t>
      </w:r>
      <w:r w:rsidR="00D702CD" w:rsidRPr="00907100">
        <w:rPr>
          <w:rFonts w:ascii="Century Gothic" w:hAnsi="Century Gothic"/>
          <w:sz w:val="24"/>
          <w:szCs w:val="24"/>
          <w:lang w:val="es-MX"/>
        </w:rPr>
        <w:t>la economía del país. De acuerdo con el Banco de la República, las pérdidas económicas para el país pueden llegar a ser entre $4.6 y $59 billones de pesos por mes</w:t>
      </w:r>
      <w:r w:rsidR="002F532C">
        <w:rPr>
          <w:rFonts w:ascii="Century Gothic" w:hAnsi="Century Gothic"/>
          <w:sz w:val="24"/>
          <w:szCs w:val="24"/>
          <w:lang w:val="es-MX"/>
        </w:rPr>
        <w:t>,</w:t>
      </w:r>
      <w:r w:rsidR="00D702CD" w:rsidRPr="00907100">
        <w:rPr>
          <w:rFonts w:ascii="Century Gothic" w:hAnsi="Century Gothic"/>
          <w:sz w:val="24"/>
          <w:szCs w:val="24"/>
          <w:lang w:val="es-MX"/>
        </w:rPr>
        <w:t xml:space="preserve"> dependiendo de los escenarios de aislamiento que se establezcan lo que representa entre 0,6 y</w:t>
      </w:r>
      <w:r w:rsidR="004C2025" w:rsidRPr="00907100">
        <w:rPr>
          <w:rFonts w:ascii="Century Gothic" w:hAnsi="Century Gothic"/>
          <w:sz w:val="24"/>
          <w:szCs w:val="24"/>
          <w:lang w:val="es-MX"/>
        </w:rPr>
        <w:t xml:space="preserve"> 6,1% del PIB.</w:t>
      </w:r>
      <w:r w:rsidR="00D702CD" w:rsidRPr="00907100">
        <w:rPr>
          <w:rFonts w:ascii="Century Gothic" w:hAnsi="Century Gothic"/>
          <w:sz w:val="24"/>
          <w:szCs w:val="24"/>
          <w:lang w:val="es-MX"/>
        </w:rPr>
        <w:t xml:space="preserve"> Para el FMI, Colombia tendría un crecimiento de -7,8% en 2020. </w:t>
      </w:r>
    </w:p>
    <w:p w14:paraId="4B95E9BF" w14:textId="77777777" w:rsidR="004C2025" w:rsidRPr="00907100" w:rsidRDefault="004C2025" w:rsidP="00200063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2A16F618" w14:textId="6188AA7C" w:rsidR="00781BC4" w:rsidRDefault="002F532C" w:rsidP="00200063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De otra parte</w:t>
      </w:r>
      <w:r w:rsidR="00D702CD" w:rsidRPr="00907100">
        <w:rPr>
          <w:rFonts w:ascii="Century Gothic" w:hAnsi="Century Gothic"/>
          <w:sz w:val="24"/>
          <w:szCs w:val="24"/>
          <w:lang w:val="es-MX"/>
        </w:rPr>
        <w:t xml:space="preserve">, en materia de ingresos, según el Dane (2020), 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para </w:t>
      </w:r>
      <w:r>
        <w:rPr>
          <w:rFonts w:ascii="Century Gothic" w:hAnsi="Century Gothic"/>
          <w:sz w:val="24"/>
          <w:szCs w:val="24"/>
          <w:lang w:val="es-MX"/>
        </w:rPr>
        <w:t>m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ayo de 2020 la tasa de desempleo había alcanzado máximos históricos, ubicándose en 21,4%. </w:t>
      </w:r>
      <w:r w:rsidR="00BA2B1A">
        <w:rPr>
          <w:rFonts w:ascii="Century Gothic" w:hAnsi="Century Gothic"/>
          <w:sz w:val="24"/>
          <w:szCs w:val="24"/>
          <w:lang w:val="es-MX"/>
        </w:rPr>
        <w:t>Esto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 impacta </w:t>
      </w:r>
      <w:r w:rsidR="00781BC4">
        <w:rPr>
          <w:rFonts w:ascii="Century Gothic" w:hAnsi="Century Gothic"/>
          <w:sz w:val="24"/>
          <w:szCs w:val="24"/>
          <w:lang w:val="es-MX"/>
        </w:rPr>
        <w:t>el consumo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 de los hogares, quienes deberán destinar sus ahorros al consumo de alimentos y de bienes de supervivencia bá</w:t>
      </w:r>
      <w:r w:rsidR="00D702CD" w:rsidRPr="00907100">
        <w:rPr>
          <w:rFonts w:ascii="Century Gothic" w:hAnsi="Century Gothic"/>
          <w:sz w:val="24"/>
          <w:szCs w:val="24"/>
          <w:lang w:val="es-MX"/>
        </w:rPr>
        <w:t xml:space="preserve">sica. </w:t>
      </w:r>
      <w:r w:rsidR="00BA2B1A">
        <w:rPr>
          <w:rFonts w:ascii="Century Gothic" w:hAnsi="Century Gothic"/>
          <w:sz w:val="24"/>
          <w:szCs w:val="24"/>
          <w:lang w:val="es-MX"/>
        </w:rPr>
        <w:t xml:space="preserve">De acuerdo con otras </w:t>
      </w:r>
      <w:r w:rsidR="00907100">
        <w:rPr>
          <w:rFonts w:ascii="Century Gothic" w:hAnsi="Century Gothic"/>
          <w:sz w:val="24"/>
          <w:szCs w:val="24"/>
          <w:lang w:val="es-MX"/>
        </w:rPr>
        <w:t>cifras del Dane (2020), el 44% de los colombianos tuvieron una afectació</w:t>
      </w:r>
      <w:r w:rsidR="00B319BA">
        <w:rPr>
          <w:rFonts w:ascii="Century Gothic" w:hAnsi="Century Gothic"/>
          <w:sz w:val="24"/>
          <w:szCs w:val="24"/>
          <w:lang w:val="es-MX"/>
        </w:rPr>
        <w:t>n negativa sobre sus ingresos</w:t>
      </w:r>
      <w:r w:rsidR="00BA2B1A">
        <w:rPr>
          <w:rFonts w:ascii="Century Gothic" w:hAnsi="Century Gothic"/>
          <w:sz w:val="24"/>
          <w:szCs w:val="24"/>
          <w:lang w:val="es-MX"/>
        </w:rPr>
        <w:t>;</w:t>
      </w:r>
      <w:r w:rsidR="00781BC4">
        <w:rPr>
          <w:rFonts w:ascii="Century Gothic" w:hAnsi="Century Gothic"/>
          <w:sz w:val="24"/>
          <w:szCs w:val="24"/>
          <w:lang w:val="es-MX"/>
        </w:rPr>
        <w:t xml:space="preserve"> el 30% de los colombianos tienen dificultades para compra de alimentos y el 34% tienen dificultades para el pago de deudas y servicios públicos</w:t>
      </w:r>
      <w:r w:rsidR="00B319BA">
        <w:rPr>
          <w:rFonts w:ascii="Century Gothic" w:hAnsi="Century Gothic"/>
          <w:sz w:val="24"/>
          <w:szCs w:val="24"/>
          <w:lang w:val="es-MX"/>
        </w:rPr>
        <w:t>.</w:t>
      </w:r>
      <w:r w:rsidR="00781BC4">
        <w:rPr>
          <w:rFonts w:ascii="Century Gothic" w:hAnsi="Century Gothic"/>
          <w:sz w:val="24"/>
          <w:szCs w:val="24"/>
          <w:lang w:val="es-MX"/>
        </w:rPr>
        <w:t xml:space="preserve"> </w:t>
      </w:r>
    </w:p>
    <w:p w14:paraId="66C19CC1" w14:textId="77777777" w:rsidR="00781BC4" w:rsidRDefault="00781BC4" w:rsidP="00200063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389B0C80" w14:textId="3B4D606C" w:rsidR="00E9242D" w:rsidRDefault="002264AF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Aunado a lo anterior</w:t>
      </w:r>
      <w:r w:rsidR="00E9242D">
        <w:rPr>
          <w:rFonts w:ascii="Century Gothic" w:hAnsi="Century Gothic"/>
          <w:sz w:val="24"/>
          <w:szCs w:val="24"/>
          <w:lang w:val="es-MX"/>
        </w:rPr>
        <w:t>, una buena parte de los estudiantes se costean su educación</w:t>
      </w:r>
      <w:r w:rsidR="0000317E">
        <w:rPr>
          <w:rFonts w:ascii="Century Gothic" w:hAnsi="Century Gothic"/>
          <w:sz w:val="24"/>
          <w:szCs w:val="24"/>
          <w:lang w:val="es-MX"/>
        </w:rPr>
        <w:t xml:space="preserve">, al tiempo que </w:t>
      </w:r>
      <w:r w:rsidR="00E9242D">
        <w:rPr>
          <w:rFonts w:ascii="Century Gothic" w:hAnsi="Century Gothic"/>
          <w:sz w:val="24"/>
          <w:szCs w:val="24"/>
          <w:lang w:val="es-MX"/>
        </w:rPr>
        <w:t xml:space="preserve">trabajan en alguna actividad de servicios. </w:t>
      </w:r>
      <w:r w:rsidR="0000317E">
        <w:rPr>
          <w:rFonts w:ascii="Century Gothic" w:hAnsi="Century Gothic"/>
          <w:sz w:val="24"/>
          <w:szCs w:val="24"/>
          <w:lang w:val="es-MX"/>
        </w:rPr>
        <w:t xml:space="preserve">Frente a la </w:t>
      </w:r>
      <w:r w:rsidR="00E9242D">
        <w:rPr>
          <w:rFonts w:ascii="Century Gothic" w:hAnsi="Century Gothic"/>
          <w:sz w:val="24"/>
          <w:szCs w:val="24"/>
          <w:lang w:val="es-MX"/>
        </w:rPr>
        <w:t>pérdida de</w:t>
      </w:r>
      <w:r w:rsidR="0000317E">
        <w:rPr>
          <w:rFonts w:ascii="Century Gothic" w:hAnsi="Century Gothic"/>
          <w:sz w:val="24"/>
          <w:szCs w:val="24"/>
          <w:lang w:val="es-MX"/>
        </w:rPr>
        <w:t xml:space="preserve"> empleo e</w:t>
      </w:r>
      <w:r w:rsidR="00E9242D">
        <w:rPr>
          <w:rFonts w:ascii="Century Gothic" w:hAnsi="Century Gothic"/>
          <w:sz w:val="24"/>
          <w:szCs w:val="24"/>
          <w:lang w:val="es-MX"/>
        </w:rPr>
        <w:t xml:space="preserve"> ingresos</w:t>
      </w:r>
      <w:r w:rsidR="0000317E">
        <w:rPr>
          <w:rFonts w:ascii="Century Gothic" w:hAnsi="Century Gothic"/>
          <w:sz w:val="24"/>
          <w:szCs w:val="24"/>
          <w:lang w:val="es-MX"/>
        </w:rPr>
        <w:t xml:space="preserve"> que pueden experimentar</w:t>
      </w:r>
      <w:r w:rsidR="00E9242D">
        <w:rPr>
          <w:rFonts w:ascii="Century Gothic" w:hAnsi="Century Gothic"/>
          <w:sz w:val="24"/>
          <w:szCs w:val="24"/>
          <w:lang w:val="es-MX"/>
        </w:rPr>
        <w:t>, los estudiantes</w:t>
      </w:r>
      <w:r w:rsidR="0026146B" w:rsidRPr="00907100">
        <w:rPr>
          <w:rFonts w:ascii="Century Gothic" w:hAnsi="Century Gothic"/>
          <w:sz w:val="24"/>
          <w:szCs w:val="24"/>
          <w:lang w:val="es-MX"/>
        </w:rPr>
        <w:t xml:space="preserve"> no contarán con los recursos suficientes para costear su educación</w:t>
      </w:r>
      <w:r w:rsidR="0000317E">
        <w:rPr>
          <w:rFonts w:ascii="Century Gothic" w:hAnsi="Century Gothic"/>
          <w:sz w:val="24"/>
          <w:szCs w:val="24"/>
          <w:lang w:val="es-MX"/>
        </w:rPr>
        <w:t>,</w:t>
      </w:r>
      <w:r w:rsidR="0026146B" w:rsidRPr="00907100">
        <w:rPr>
          <w:rFonts w:ascii="Century Gothic" w:hAnsi="Century Gothic"/>
          <w:sz w:val="24"/>
          <w:szCs w:val="24"/>
          <w:lang w:val="es-MX"/>
        </w:rPr>
        <w:t xml:space="preserve"> por lo que </w:t>
      </w:r>
      <w:r w:rsidR="00D702CD" w:rsidRPr="00907100">
        <w:rPr>
          <w:rFonts w:ascii="Century Gothic" w:hAnsi="Century Gothic"/>
          <w:sz w:val="24"/>
          <w:szCs w:val="24"/>
          <w:lang w:val="es-MX"/>
        </w:rPr>
        <w:t xml:space="preserve">habrá </w:t>
      </w:r>
      <w:r w:rsidR="0026146B" w:rsidRPr="00907100">
        <w:rPr>
          <w:rFonts w:ascii="Century Gothic" w:hAnsi="Century Gothic"/>
          <w:sz w:val="24"/>
          <w:szCs w:val="24"/>
          <w:lang w:val="es-MX"/>
        </w:rPr>
        <w:t>una masiva deserción educativa.</w:t>
      </w:r>
    </w:p>
    <w:p w14:paraId="67C13671" w14:textId="77777777" w:rsidR="0005620B" w:rsidRPr="00907100" w:rsidRDefault="0005620B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7CD386AA" w14:textId="77777777" w:rsidR="00D702CD" w:rsidRPr="00907100" w:rsidRDefault="00D702CD" w:rsidP="001F73E7">
      <w:pPr>
        <w:jc w:val="both"/>
        <w:rPr>
          <w:rFonts w:ascii="Century Gothic" w:hAnsi="Century Gothic"/>
          <w:b/>
          <w:sz w:val="24"/>
          <w:szCs w:val="24"/>
          <w:lang w:val="es-MX"/>
        </w:rPr>
      </w:pPr>
      <w:r w:rsidRPr="00907100">
        <w:rPr>
          <w:rFonts w:ascii="Century Gothic" w:hAnsi="Century Gothic"/>
          <w:b/>
          <w:sz w:val="24"/>
          <w:szCs w:val="24"/>
          <w:lang w:val="es-MX"/>
        </w:rPr>
        <w:t>Propuesta del proyecto de ley</w:t>
      </w:r>
    </w:p>
    <w:p w14:paraId="54015BAA" w14:textId="77777777" w:rsidR="00D702CD" w:rsidRPr="00907100" w:rsidRDefault="00D702CD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24198FB4" w14:textId="77777777" w:rsidR="00D77C13" w:rsidRDefault="00D702CD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 xml:space="preserve">Dado la </w:t>
      </w:r>
      <w:r w:rsidR="00D77C13">
        <w:rPr>
          <w:rFonts w:ascii="Century Gothic" w:hAnsi="Century Gothic"/>
          <w:sz w:val="24"/>
          <w:szCs w:val="24"/>
          <w:lang w:val="es-MX"/>
        </w:rPr>
        <w:t>emergencia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económica derivada del Covid-19, y ante la necesidad de eliminar barreras de entrada a la educación superior</w:t>
      </w:r>
      <w:r w:rsidR="00D77C13">
        <w:rPr>
          <w:rFonts w:ascii="Century Gothic" w:hAnsi="Century Gothic"/>
          <w:sz w:val="24"/>
          <w:szCs w:val="24"/>
          <w:lang w:val="es-MX"/>
        </w:rPr>
        <w:t>;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se plantea que el Estado defina una política de matrícula cero para </w:t>
      </w:r>
      <w:r w:rsidRPr="00907100">
        <w:rPr>
          <w:rFonts w:ascii="Century Gothic" w:hAnsi="Century Gothic"/>
          <w:sz w:val="24"/>
          <w:szCs w:val="24"/>
          <w:lang w:val="es-MX"/>
        </w:rPr>
        <w:lastRenderedPageBreak/>
        <w:t xml:space="preserve">estudiantes de pregrado y posgrado de instituciones técnicas, tecnológicas y universitarias de educación superior en Colombia. </w:t>
      </w:r>
      <w:r w:rsidR="001A6213" w:rsidRPr="00907100">
        <w:rPr>
          <w:rFonts w:ascii="Century Gothic" w:hAnsi="Century Gothic"/>
          <w:sz w:val="24"/>
          <w:szCs w:val="24"/>
          <w:lang w:val="es-MX"/>
        </w:rPr>
        <w:t xml:space="preserve">Esta medida </w:t>
      </w:r>
      <w:r w:rsidR="00D77C13">
        <w:rPr>
          <w:rFonts w:ascii="Century Gothic" w:hAnsi="Century Gothic"/>
          <w:sz w:val="24"/>
          <w:szCs w:val="24"/>
          <w:lang w:val="es-MX"/>
        </w:rPr>
        <w:t xml:space="preserve">podría ser pertinente para enfrentar la </w:t>
      </w:r>
      <w:r w:rsidRPr="00907100">
        <w:rPr>
          <w:rFonts w:ascii="Century Gothic" w:hAnsi="Century Gothic"/>
          <w:sz w:val="24"/>
          <w:szCs w:val="24"/>
          <w:lang w:val="es-MX"/>
        </w:rPr>
        <w:t>deserción</w:t>
      </w:r>
      <w:r w:rsidR="00D77C13">
        <w:rPr>
          <w:rFonts w:ascii="Century Gothic" w:hAnsi="Century Gothic"/>
          <w:sz w:val="24"/>
          <w:szCs w:val="24"/>
          <w:lang w:val="es-MX"/>
        </w:rPr>
        <w:t xml:space="preserve"> y </w:t>
      </w:r>
      <w:r w:rsidR="00532255">
        <w:rPr>
          <w:rFonts w:ascii="Century Gothic" w:hAnsi="Century Gothic"/>
          <w:sz w:val="24"/>
          <w:szCs w:val="24"/>
          <w:lang w:val="es-MX"/>
        </w:rPr>
        <w:t xml:space="preserve">beneficiaría </w:t>
      </w:r>
      <w:r w:rsidR="00D77C13">
        <w:rPr>
          <w:rFonts w:ascii="Century Gothic" w:hAnsi="Century Gothic"/>
          <w:sz w:val="24"/>
          <w:szCs w:val="24"/>
          <w:lang w:val="es-MX"/>
        </w:rPr>
        <w:t xml:space="preserve">a </w:t>
      </w:r>
      <w:r w:rsidR="00532255">
        <w:rPr>
          <w:rFonts w:ascii="Century Gothic" w:hAnsi="Century Gothic"/>
          <w:sz w:val="24"/>
          <w:szCs w:val="24"/>
          <w:lang w:val="es-MX"/>
        </w:rPr>
        <w:t>1,1 milló</w:t>
      </w:r>
      <w:r w:rsidR="00500D9F">
        <w:rPr>
          <w:rFonts w:ascii="Century Gothic" w:hAnsi="Century Gothic"/>
          <w:sz w:val="24"/>
          <w:szCs w:val="24"/>
          <w:lang w:val="es-MX"/>
        </w:rPr>
        <w:t xml:space="preserve">n de estudiantes y 3,3 millones de familias. </w:t>
      </w:r>
    </w:p>
    <w:p w14:paraId="46F43497" w14:textId="77777777" w:rsidR="00D77C13" w:rsidRDefault="00D77C13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14:paraId="7E0EA45E" w14:textId="7F93D9DB" w:rsidR="00907100" w:rsidRDefault="00D77C13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El costo de la matrícula cero pa</w:t>
      </w:r>
      <w:r w:rsidR="001A6213" w:rsidRPr="00907100">
        <w:rPr>
          <w:rFonts w:ascii="Century Gothic" w:hAnsi="Century Gothic"/>
          <w:sz w:val="24"/>
          <w:szCs w:val="24"/>
          <w:lang w:val="es-MX"/>
        </w:rPr>
        <w:t>ra el año 2020</w:t>
      </w:r>
      <w:r>
        <w:rPr>
          <w:rFonts w:ascii="Century Gothic" w:hAnsi="Century Gothic"/>
          <w:sz w:val="24"/>
          <w:szCs w:val="24"/>
          <w:lang w:val="es-MX"/>
        </w:rPr>
        <w:t xml:space="preserve"> sería </w:t>
      </w:r>
      <w:r w:rsidR="001A6213" w:rsidRPr="00907100">
        <w:rPr>
          <w:rFonts w:ascii="Century Gothic" w:hAnsi="Century Gothic"/>
          <w:sz w:val="24"/>
          <w:szCs w:val="24"/>
          <w:lang w:val="es-MX"/>
        </w:rPr>
        <w:t>de $1,8 billones de pesos</w:t>
      </w:r>
      <w:r>
        <w:rPr>
          <w:rFonts w:ascii="Century Gothic" w:hAnsi="Century Gothic"/>
          <w:sz w:val="24"/>
          <w:szCs w:val="24"/>
          <w:lang w:val="es-MX"/>
        </w:rPr>
        <w:t>,</w:t>
      </w:r>
      <w:r w:rsidR="0026146B"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907100">
        <w:rPr>
          <w:rFonts w:ascii="Century Gothic" w:hAnsi="Century Gothic"/>
          <w:sz w:val="24"/>
          <w:szCs w:val="24"/>
          <w:lang w:val="es-MX"/>
        </w:rPr>
        <w:t>según</w:t>
      </w:r>
      <w:r w:rsidR="0026146B" w:rsidRPr="00907100">
        <w:rPr>
          <w:rFonts w:ascii="Century Gothic" w:hAnsi="Century Gothic"/>
          <w:sz w:val="24"/>
          <w:szCs w:val="24"/>
          <w:lang w:val="es-MX"/>
        </w:rPr>
        <w:t xml:space="preserve"> la</w:t>
      </w:r>
      <w:r w:rsidR="001A6213" w:rsidRPr="00907100">
        <w:rPr>
          <w:rFonts w:ascii="Century Gothic" w:hAnsi="Century Gothic"/>
          <w:sz w:val="24"/>
          <w:szCs w:val="24"/>
          <w:lang w:val="es-MX"/>
        </w:rPr>
        <w:t xml:space="preserve"> Asociación de </w:t>
      </w:r>
      <w:r>
        <w:rPr>
          <w:rFonts w:ascii="Century Gothic" w:hAnsi="Century Gothic"/>
          <w:sz w:val="24"/>
          <w:szCs w:val="24"/>
          <w:lang w:val="es-MX"/>
        </w:rPr>
        <w:t>P</w:t>
      </w:r>
      <w:r w:rsidR="001A6213" w:rsidRPr="00907100">
        <w:rPr>
          <w:rFonts w:ascii="Century Gothic" w:hAnsi="Century Gothic"/>
          <w:sz w:val="24"/>
          <w:szCs w:val="24"/>
          <w:lang w:val="es-MX"/>
        </w:rPr>
        <w:t xml:space="preserve">rofesores </w:t>
      </w:r>
      <w:r>
        <w:rPr>
          <w:rFonts w:ascii="Century Gothic" w:hAnsi="Century Gothic"/>
          <w:sz w:val="24"/>
          <w:szCs w:val="24"/>
          <w:lang w:val="es-MX"/>
        </w:rPr>
        <w:t>U</w:t>
      </w:r>
      <w:r w:rsidR="001A6213" w:rsidRPr="00907100">
        <w:rPr>
          <w:rFonts w:ascii="Century Gothic" w:hAnsi="Century Gothic"/>
          <w:sz w:val="24"/>
          <w:szCs w:val="24"/>
          <w:lang w:val="es-MX"/>
        </w:rPr>
        <w:t>niversitarios de Colombia.</w:t>
      </w:r>
    </w:p>
    <w:p w14:paraId="5B163EEA" w14:textId="40E65A25" w:rsidR="00480E51" w:rsidRPr="00907100" w:rsidRDefault="00E9242D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Tabla 1</w:t>
      </w:r>
      <w:r w:rsidR="001F73E7" w:rsidRPr="00907100">
        <w:rPr>
          <w:rFonts w:ascii="Century Gothic" w:hAnsi="Century Gothic"/>
          <w:sz w:val="24"/>
          <w:szCs w:val="24"/>
          <w:lang w:val="es-MX"/>
        </w:rPr>
        <w:t xml:space="preserve">. </w:t>
      </w:r>
      <w:r w:rsidR="008569E9" w:rsidRPr="00907100">
        <w:rPr>
          <w:rFonts w:ascii="Century Gothic" w:hAnsi="Century Gothic"/>
          <w:sz w:val="24"/>
          <w:szCs w:val="24"/>
          <w:lang w:val="es-MX"/>
        </w:rPr>
        <w:t>Costo de la medida entre 2018 y 2020 en millones de pesos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80E51" w:rsidRPr="00907100" w14:paraId="034001B3" w14:textId="77777777" w:rsidTr="00480E51">
        <w:tc>
          <w:tcPr>
            <w:tcW w:w="2207" w:type="dxa"/>
          </w:tcPr>
          <w:p w14:paraId="06213A36" w14:textId="77777777" w:rsidR="00480E51" w:rsidRPr="00907100" w:rsidRDefault="00480E51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</w:p>
        </w:tc>
        <w:tc>
          <w:tcPr>
            <w:tcW w:w="2207" w:type="dxa"/>
          </w:tcPr>
          <w:p w14:paraId="43C2D2FA" w14:textId="14429E17" w:rsidR="00480E51" w:rsidRPr="00907100" w:rsidRDefault="00480E51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hAnsi="Century Gothic"/>
                <w:szCs w:val="24"/>
                <w:lang w:val="es-MX"/>
              </w:rPr>
              <w:t>2018</w:t>
            </w:r>
          </w:p>
        </w:tc>
        <w:tc>
          <w:tcPr>
            <w:tcW w:w="2207" w:type="dxa"/>
          </w:tcPr>
          <w:p w14:paraId="2424A4DA" w14:textId="6D922F32" w:rsidR="00480E51" w:rsidRPr="00907100" w:rsidRDefault="00480E51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hAnsi="Century Gothic"/>
                <w:szCs w:val="24"/>
                <w:lang w:val="es-MX"/>
              </w:rPr>
              <w:t>2019</w:t>
            </w:r>
          </w:p>
        </w:tc>
        <w:tc>
          <w:tcPr>
            <w:tcW w:w="2207" w:type="dxa"/>
          </w:tcPr>
          <w:p w14:paraId="2CD5057B" w14:textId="1C2986F4" w:rsidR="00480E51" w:rsidRPr="00907100" w:rsidRDefault="00480E51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hAnsi="Century Gothic"/>
                <w:szCs w:val="24"/>
                <w:lang w:val="es-MX"/>
              </w:rPr>
              <w:t>2020</w:t>
            </w:r>
          </w:p>
        </w:tc>
      </w:tr>
      <w:tr w:rsidR="00480E51" w:rsidRPr="00907100" w14:paraId="4DBBC43D" w14:textId="77777777" w:rsidTr="00480E51">
        <w:tc>
          <w:tcPr>
            <w:tcW w:w="2207" w:type="dxa"/>
          </w:tcPr>
          <w:p w14:paraId="2D2DE377" w14:textId="002B06CD" w:rsidR="00480E51" w:rsidRPr="00907100" w:rsidRDefault="00480E51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hAnsi="Century Gothic"/>
                <w:szCs w:val="24"/>
                <w:lang w:val="es-MX"/>
              </w:rPr>
              <w:t>Costo de la medida</w:t>
            </w:r>
          </w:p>
        </w:tc>
        <w:tc>
          <w:tcPr>
            <w:tcW w:w="2207" w:type="dxa"/>
          </w:tcPr>
          <w:p w14:paraId="547C1822" w14:textId="7CF6736B" w:rsidR="00480E51" w:rsidRPr="00907100" w:rsidRDefault="00480E51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eastAsia="Times New Roman" w:hAnsi="Century Gothic" w:cs="Calibri"/>
                <w:bCs/>
                <w:color w:val="000000"/>
                <w:szCs w:val="24"/>
                <w:lang w:val="en-US"/>
              </w:rPr>
              <w:t>1.713.519</w:t>
            </w:r>
          </w:p>
        </w:tc>
        <w:tc>
          <w:tcPr>
            <w:tcW w:w="2207" w:type="dxa"/>
          </w:tcPr>
          <w:p w14:paraId="37B6AA44" w14:textId="5F3944FA" w:rsidR="00480E51" w:rsidRPr="00907100" w:rsidRDefault="008569E9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eastAsia="Times New Roman" w:hAnsi="Century Gothic" w:cs="Calibri"/>
                <w:bCs/>
                <w:color w:val="000000"/>
                <w:szCs w:val="24"/>
                <w:lang w:val="en-US"/>
              </w:rPr>
              <w:t>1.768.352</w:t>
            </w:r>
          </w:p>
        </w:tc>
        <w:tc>
          <w:tcPr>
            <w:tcW w:w="2207" w:type="dxa"/>
          </w:tcPr>
          <w:p w14:paraId="75AECB57" w14:textId="08B4DD5B" w:rsidR="00480E51" w:rsidRPr="00907100" w:rsidRDefault="008569E9" w:rsidP="009D5CD9">
            <w:pPr>
              <w:jc w:val="center"/>
              <w:rPr>
                <w:rFonts w:ascii="Century Gothic" w:hAnsi="Century Gothic"/>
                <w:szCs w:val="24"/>
                <w:lang w:val="es-MX"/>
              </w:rPr>
            </w:pPr>
            <w:r w:rsidRPr="00907100">
              <w:rPr>
                <w:rFonts w:ascii="Century Gothic" w:eastAsia="Times New Roman" w:hAnsi="Century Gothic" w:cs="Calibri"/>
                <w:bCs/>
                <w:color w:val="000000"/>
                <w:szCs w:val="24"/>
                <w:lang w:val="en-US"/>
              </w:rPr>
              <w:t>1.839.086</w:t>
            </w:r>
          </w:p>
        </w:tc>
      </w:tr>
    </w:tbl>
    <w:p w14:paraId="3687BFF4" w14:textId="4555DC20" w:rsidR="001A6213" w:rsidRDefault="001F73E7" w:rsidP="002C1DFE">
      <w:pPr>
        <w:ind w:firstLine="708"/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 xml:space="preserve">Fuente: ASPU con </w:t>
      </w:r>
      <w:r w:rsidR="001F4E2F" w:rsidRPr="00907100">
        <w:rPr>
          <w:rFonts w:ascii="Century Gothic" w:hAnsi="Century Gothic"/>
          <w:sz w:val="24"/>
          <w:szCs w:val="24"/>
          <w:lang w:val="es-MX"/>
        </w:rPr>
        <w:t>datos del Ministerio de Educaci</w:t>
      </w:r>
      <w:r w:rsidR="00694479" w:rsidRPr="00907100">
        <w:rPr>
          <w:rFonts w:ascii="Century Gothic" w:hAnsi="Century Gothic"/>
          <w:sz w:val="24"/>
          <w:szCs w:val="24"/>
          <w:lang w:val="es-MX"/>
        </w:rPr>
        <w:t>ón</w:t>
      </w:r>
    </w:p>
    <w:p w14:paraId="12C4B3C2" w14:textId="77777777" w:rsidR="00907100" w:rsidRPr="00907100" w:rsidRDefault="00907100" w:rsidP="002C1DFE">
      <w:pPr>
        <w:ind w:firstLine="708"/>
        <w:jc w:val="both"/>
        <w:rPr>
          <w:rFonts w:ascii="Century Gothic" w:hAnsi="Century Gothic"/>
          <w:sz w:val="24"/>
          <w:szCs w:val="24"/>
          <w:lang w:val="es-MX"/>
        </w:rPr>
      </w:pPr>
    </w:p>
    <w:p w14:paraId="13CA1498" w14:textId="77777777" w:rsidR="00D77C13" w:rsidRDefault="001A6213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 xml:space="preserve">Los recursos para </w:t>
      </w:r>
      <w:r w:rsidR="00D77C13">
        <w:rPr>
          <w:rFonts w:ascii="Century Gothic" w:hAnsi="Century Gothic"/>
          <w:sz w:val="24"/>
          <w:szCs w:val="24"/>
          <w:lang w:val="es-MX"/>
        </w:rPr>
        <w:t xml:space="preserve">la materialización de 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esta política se garantizarían 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>a través del Presupuesto General</w:t>
      </w:r>
      <w:r w:rsidR="00D77C13">
        <w:rPr>
          <w:rFonts w:ascii="Century Gothic" w:hAnsi="Century Gothic"/>
          <w:sz w:val="24"/>
          <w:szCs w:val="24"/>
          <w:lang w:val="es-MX"/>
        </w:rPr>
        <w:t>,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con la inversión planteada en la ley 1955 de 2019 “Pacto por Colombia, Pacto por la Equidad”. Según </w:t>
      </w:r>
      <w:r w:rsidR="00D77C13">
        <w:rPr>
          <w:rFonts w:ascii="Century Gothic" w:hAnsi="Century Gothic"/>
          <w:sz w:val="24"/>
          <w:szCs w:val="24"/>
          <w:lang w:val="es-MX"/>
        </w:rPr>
        <w:t>dicha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ley, 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el Gobierno Nacional hará un gasto de $216 billones de pesos entre 2018 y 2022 en materia de educación, siendo este el principal sector con el cual se busca </w:t>
      </w:r>
      <w:r w:rsidR="00D77C13">
        <w:rPr>
          <w:rFonts w:ascii="Century Gothic" w:hAnsi="Century Gothic"/>
          <w:sz w:val="24"/>
          <w:szCs w:val="24"/>
          <w:lang w:val="es-MX"/>
        </w:rPr>
        <w:t>promover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 equidad. </w:t>
      </w:r>
    </w:p>
    <w:p w14:paraId="040E7499" w14:textId="7A527A5E" w:rsidR="00471E50" w:rsidRDefault="002C1DFE" w:rsidP="001F73E7">
      <w:pPr>
        <w:jc w:val="both"/>
        <w:rPr>
          <w:rFonts w:ascii="Century Gothic" w:hAnsi="Century Gothic"/>
          <w:sz w:val="24"/>
          <w:szCs w:val="24"/>
          <w:lang w:val="es-MX"/>
        </w:rPr>
      </w:pPr>
      <w:r w:rsidRPr="00907100">
        <w:rPr>
          <w:rFonts w:ascii="Century Gothic" w:hAnsi="Century Gothic"/>
          <w:sz w:val="24"/>
          <w:szCs w:val="24"/>
          <w:lang w:val="es-MX"/>
        </w:rPr>
        <w:t>La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 inversión en matrícula cero </w:t>
      </w:r>
      <w:r w:rsidR="00D77C13">
        <w:rPr>
          <w:rFonts w:ascii="Century Gothic" w:hAnsi="Century Gothic"/>
          <w:sz w:val="24"/>
          <w:szCs w:val="24"/>
          <w:lang w:val="es-MX"/>
        </w:rPr>
        <w:t>solo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 xml:space="preserve"> representaría el 3,3% del total de los recursos destinados al sector educativo</w:t>
      </w:r>
      <w:r w:rsidR="002D4C84" w:rsidRPr="00907100">
        <w:rPr>
          <w:rFonts w:ascii="Century Gothic" w:hAnsi="Century Gothic"/>
          <w:sz w:val="24"/>
          <w:szCs w:val="24"/>
          <w:lang w:val="es-MX"/>
        </w:rPr>
        <w:t xml:space="preserve"> en el Plan de Desarrollo Nacional</w:t>
      </w:r>
      <w:r w:rsidR="00200063" w:rsidRPr="00907100">
        <w:rPr>
          <w:rFonts w:ascii="Century Gothic" w:hAnsi="Century Gothic"/>
          <w:sz w:val="24"/>
          <w:szCs w:val="24"/>
          <w:lang w:val="es-MX"/>
        </w:rPr>
        <w:t>.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En caso de necesitar recursos extraordinarios para garantizar esta medida, se pueden crear impuestos progresivos</w:t>
      </w:r>
      <w:r w:rsidR="00D77C13">
        <w:rPr>
          <w:rFonts w:ascii="Century Gothic" w:hAnsi="Century Gothic"/>
          <w:sz w:val="24"/>
          <w:szCs w:val="24"/>
          <w:lang w:val="es-MX"/>
        </w:rPr>
        <w:t>, pagados por las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personas de ingresos más altos</w:t>
      </w:r>
      <w:r w:rsidR="00D77C13">
        <w:rPr>
          <w:rFonts w:ascii="Century Gothic" w:hAnsi="Century Gothic"/>
          <w:sz w:val="24"/>
          <w:szCs w:val="24"/>
          <w:lang w:val="es-MX"/>
        </w:rPr>
        <w:t xml:space="preserve"> en el país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. Con una ampliación de la base gravable del impuesto </w:t>
      </w:r>
      <w:r w:rsidR="00E9242D">
        <w:rPr>
          <w:rFonts w:ascii="Century Gothic" w:hAnsi="Century Gothic"/>
          <w:sz w:val="24"/>
          <w:szCs w:val="24"/>
          <w:lang w:val="es-MX"/>
        </w:rPr>
        <w:t>del patrimonio, y un aumento de tarifa de impuesta de renta al</w:t>
      </w:r>
      <w:r w:rsidRPr="00907100">
        <w:rPr>
          <w:rFonts w:ascii="Century Gothic" w:hAnsi="Century Gothic"/>
          <w:sz w:val="24"/>
          <w:szCs w:val="24"/>
          <w:lang w:val="es-MX"/>
        </w:rPr>
        <w:t>1% más rico de la población</w:t>
      </w:r>
      <w:r w:rsidR="00D77C13">
        <w:rPr>
          <w:rFonts w:ascii="Century Gothic" w:hAnsi="Century Gothic"/>
          <w:sz w:val="24"/>
          <w:szCs w:val="24"/>
          <w:lang w:val="es-MX"/>
        </w:rPr>
        <w:t>,</w:t>
      </w:r>
      <w:r w:rsidR="00E9242D">
        <w:rPr>
          <w:rFonts w:ascii="Century Gothic" w:hAnsi="Century Gothic"/>
          <w:sz w:val="24"/>
          <w:szCs w:val="24"/>
          <w:lang w:val="es-MX"/>
        </w:rPr>
        <w:t xml:space="preserve"> se podrían cubrir los recursos faltantes. </w:t>
      </w:r>
      <w:r w:rsidRPr="00907100">
        <w:rPr>
          <w:rFonts w:ascii="Century Gothic" w:hAnsi="Century Gothic"/>
          <w:sz w:val="24"/>
          <w:szCs w:val="24"/>
          <w:lang w:val="es-MX"/>
        </w:rPr>
        <w:t xml:space="preserve"> </w:t>
      </w:r>
    </w:p>
    <w:p w14:paraId="720D06F9" w14:textId="669423EA" w:rsidR="003A0E9D" w:rsidRPr="00907100" w:rsidRDefault="003A0E9D" w:rsidP="003A0E9D">
      <w:pPr>
        <w:ind w:left="708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78D1687A" w14:textId="55959579" w:rsidR="00A03FF7" w:rsidRDefault="003A0E9D" w:rsidP="00A03FF7">
      <w:pPr>
        <w:ind w:firstLine="708"/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14:paraId="2807A34F" w14:textId="5C32A37E" w:rsidR="003A0E9D" w:rsidRDefault="003A0E9D" w:rsidP="003A0E9D">
      <w:pPr>
        <w:ind w:left="1416"/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</w:p>
    <w:p w14:paraId="0DE8AB33" w14:textId="77777777" w:rsidR="003A0E9D" w:rsidRDefault="003A0E9D" w:rsidP="003A0E9D">
      <w:pP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</w:p>
    <w:p w14:paraId="31FC719C" w14:textId="77777777" w:rsidR="003A0E9D" w:rsidRDefault="003A0E9D" w:rsidP="003A0E9D">
      <w:pPr>
        <w:ind w:left="708"/>
        <w:jc w:val="both"/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 xml:space="preserve">                                                  </w:t>
      </w:r>
    </w:p>
    <w:p w14:paraId="00A6F9FC" w14:textId="63F614EA" w:rsidR="0005620B" w:rsidRPr="00A03FF7" w:rsidRDefault="003A0E9D" w:rsidP="00A03FF7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 xml:space="preserve">                </w:t>
      </w:r>
      <w:bookmarkEnd w:id="0"/>
      <w:bookmarkEnd w:id="1"/>
    </w:p>
    <w:p w14:paraId="1757F2EA" w14:textId="77777777" w:rsidR="00D77C13" w:rsidRDefault="00D77C13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67FAAD2E" w14:textId="16D2A3FE" w:rsidR="00BF5459" w:rsidRDefault="00BF5459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Proyecto de ley ____2020</w:t>
      </w:r>
    </w:p>
    <w:p w14:paraId="2B9073F1" w14:textId="77777777" w:rsidR="00471E50" w:rsidRPr="00B319BA" w:rsidRDefault="00471E50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FEC4D6F" w14:textId="77777777" w:rsidR="00BF5459" w:rsidRPr="00907100" w:rsidRDefault="00BF5459" w:rsidP="002D4C8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4A45C17F" w14:textId="1CF2CAA9" w:rsidR="002D4C84" w:rsidRDefault="00BF5459" w:rsidP="002D4C8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907100">
        <w:rPr>
          <w:rFonts w:ascii="Century Gothic" w:hAnsi="Century Gothic"/>
          <w:sz w:val="24"/>
          <w:szCs w:val="24"/>
        </w:rPr>
        <w:t xml:space="preserve">Por medio del cual se garantiza matrícula cero </w:t>
      </w:r>
    </w:p>
    <w:p w14:paraId="5FBCA1C4" w14:textId="77777777" w:rsidR="00471E50" w:rsidRPr="00907100" w:rsidRDefault="00471E50" w:rsidP="002D4C8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503220FA" w14:textId="77777777" w:rsidR="002D4C84" w:rsidRPr="00907100" w:rsidRDefault="002D4C84" w:rsidP="002D4C8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0AE95EBF" w14:textId="31F76531" w:rsidR="00BF5459" w:rsidRDefault="00BF5459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 xml:space="preserve">El Congreso de la República </w:t>
      </w:r>
    </w:p>
    <w:p w14:paraId="6106BA08" w14:textId="77777777" w:rsidR="00471E50" w:rsidRDefault="00471E50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729440D0" w14:textId="77777777" w:rsidR="00471E50" w:rsidRDefault="00471E50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6296C567" w14:textId="77777777" w:rsidR="00471E50" w:rsidRPr="00B319BA" w:rsidRDefault="00471E50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47C5C8E" w14:textId="77777777" w:rsidR="00BF5459" w:rsidRPr="00B319BA" w:rsidRDefault="00BF5459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2E27FDD9" w14:textId="3B5D1353" w:rsidR="002D4C84" w:rsidRDefault="002D4C84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Decreta</w:t>
      </w:r>
    </w:p>
    <w:p w14:paraId="3C875909" w14:textId="77777777" w:rsidR="00471E50" w:rsidRDefault="00471E50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4D1FDB28" w14:textId="77777777" w:rsidR="00471E50" w:rsidRPr="00B319BA" w:rsidRDefault="00471E50" w:rsidP="002D4C84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4F423E4E" w14:textId="77777777" w:rsidR="002D4C84" w:rsidRPr="00907100" w:rsidRDefault="002D4C84" w:rsidP="002D4C8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7CBB1A96" w14:textId="0F69220E" w:rsidR="002D4C84" w:rsidRPr="00907100" w:rsidRDefault="002D4C84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Artículo 1. Objetivo</w:t>
      </w:r>
      <w:r w:rsidRPr="00907100">
        <w:rPr>
          <w:rFonts w:ascii="Century Gothic" w:hAnsi="Century Gothic"/>
          <w:sz w:val="24"/>
          <w:szCs w:val="24"/>
        </w:rPr>
        <w:t xml:space="preserve">. Se busca garantizar matricula cero en instituciones </w:t>
      </w:r>
      <w:r w:rsidR="00BF5459" w:rsidRPr="00907100">
        <w:rPr>
          <w:rFonts w:ascii="Century Gothic" w:hAnsi="Century Gothic"/>
          <w:sz w:val="24"/>
          <w:szCs w:val="24"/>
        </w:rPr>
        <w:t>estatales u oficiales de educación</w:t>
      </w:r>
      <w:r w:rsidRPr="00907100">
        <w:rPr>
          <w:rFonts w:ascii="Century Gothic" w:hAnsi="Century Gothic"/>
          <w:sz w:val="24"/>
          <w:szCs w:val="24"/>
        </w:rPr>
        <w:t xml:space="preserve"> superior en el país con el fin de eliminar barreras de acceso y </w:t>
      </w:r>
      <w:r w:rsidR="00DE5F91">
        <w:rPr>
          <w:rFonts w:ascii="Century Gothic" w:hAnsi="Century Gothic"/>
          <w:sz w:val="24"/>
          <w:szCs w:val="24"/>
        </w:rPr>
        <w:t xml:space="preserve">garantizar la </w:t>
      </w:r>
      <w:r w:rsidRPr="00907100">
        <w:rPr>
          <w:rFonts w:ascii="Century Gothic" w:hAnsi="Century Gothic"/>
          <w:sz w:val="24"/>
          <w:szCs w:val="24"/>
        </w:rPr>
        <w:t xml:space="preserve">permanencia educativa. </w:t>
      </w:r>
    </w:p>
    <w:p w14:paraId="018D5B2A" w14:textId="77777777" w:rsidR="002D4C84" w:rsidRDefault="002D4C84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F6F7048" w14:textId="77777777" w:rsidR="00471E50" w:rsidRPr="00907100" w:rsidRDefault="00471E50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422697F" w14:textId="4978E15C" w:rsidR="0002161B" w:rsidRPr="00907100" w:rsidRDefault="002D4C84" w:rsidP="0002161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Artículo 2. Matrícula cero.</w:t>
      </w:r>
      <w:r w:rsidRPr="00907100">
        <w:rPr>
          <w:rFonts w:ascii="Century Gothic" w:hAnsi="Century Gothic"/>
          <w:sz w:val="24"/>
          <w:szCs w:val="24"/>
        </w:rPr>
        <w:t xml:space="preserve"> A partir de la vigencia de la presente ley, </w:t>
      </w:r>
      <w:r w:rsidR="0002161B" w:rsidRPr="00907100">
        <w:rPr>
          <w:rFonts w:ascii="Century Gothic" w:hAnsi="Century Gothic"/>
          <w:sz w:val="24"/>
          <w:szCs w:val="24"/>
        </w:rPr>
        <w:t xml:space="preserve">ningún estudiante de pregrado ni de posgrado de una institución de educación superior </w:t>
      </w:r>
      <w:r w:rsidR="0089781F" w:rsidRPr="00907100">
        <w:rPr>
          <w:rFonts w:ascii="Century Gothic" w:hAnsi="Century Gothic"/>
          <w:sz w:val="24"/>
          <w:szCs w:val="24"/>
        </w:rPr>
        <w:t>estatal u oficial</w:t>
      </w:r>
      <w:r w:rsidR="0002161B" w:rsidRPr="00907100">
        <w:rPr>
          <w:rFonts w:ascii="Century Gothic" w:hAnsi="Century Gothic"/>
          <w:sz w:val="24"/>
          <w:szCs w:val="24"/>
        </w:rPr>
        <w:t xml:space="preserve"> pagará algún recurso monetario por el concepto de matrícula educativa. </w:t>
      </w:r>
    </w:p>
    <w:p w14:paraId="47360541" w14:textId="77777777" w:rsidR="0002161B" w:rsidRPr="00907100" w:rsidRDefault="0002161B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619058C" w14:textId="3D04F868" w:rsidR="0002161B" w:rsidRPr="00907100" w:rsidRDefault="0002161B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Parágrafo 1.</w:t>
      </w:r>
      <w:r w:rsidRPr="00907100">
        <w:rPr>
          <w:rFonts w:ascii="Century Gothic" w:hAnsi="Century Gothic"/>
          <w:sz w:val="24"/>
          <w:szCs w:val="24"/>
        </w:rPr>
        <w:t xml:space="preserve"> Se entiende que las instituciones de educación superior comprenden instituciones técnicas, tecnológicas o universitarias</w:t>
      </w:r>
      <w:r w:rsidR="0089781F" w:rsidRPr="00907100">
        <w:rPr>
          <w:rFonts w:ascii="Century Gothic" w:hAnsi="Century Gothic"/>
          <w:sz w:val="24"/>
          <w:szCs w:val="24"/>
        </w:rPr>
        <w:t xml:space="preserve"> definidas en el capítulo IV la ley 30 de 1992</w:t>
      </w:r>
      <w:r w:rsidRPr="00907100">
        <w:rPr>
          <w:rFonts w:ascii="Century Gothic" w:hAnsi="Century Gothic"/>
          <w:sz w:val="24"/>
          <w:szCs w:val="24"/>
        </w:rPr>
        <w:t>.</w:t>
      </w:r>
    </w:p>
    <w:p w14:paraId="4FADB551" w14:textId="77777777" w:rsidR="0002161B" w:rsidRPr="00907100" w:rsidRDefault="0002161B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FCBBEBF" w14:textId="10399510" w:rsidR="0002161B" w:rsidRPr="00907100" w:rsidRDefault="0002161B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Parágrafo 2.</w:t>
      </w:r>
      <w:r w:rsidRPr="00907100">
        <w:rPr>
          <w:rFonts w:ascii="Century Gothic" w:hAnsi="Century Gothic"/>
          <w:sz w:val="24"/>
          <w:szCs w:val="24"/>
        </w:rPr>
        <w:t xml:space="preserve"> En el marco de la autonomía universitaria, las instituciones de educación superior</w:t>
      </w:r>
      <w:r w:rsidR="0089781F" w:rsidRPr="00907100">
        <w:rPr>
          <w:rFonts w:ascii="Century Gothic" w:hAnsi="Century Gothic"/>
          <w:sz w:val="24"/>
          <w:szCs w:val="24"/>
        </w:rPr>
        <w:t xml:space="preserve"> estatales u oficiales</w:t>
      </w:r>
      <w:r w:rsidRPr="00907100">
        <w:rPr>
          <w:rFonts w:ascii="Century Gothic" w:hAnsi="Century Gothic"/>
          <w:sz w:val="24"/>
          <w:szCs w:val="24"/>
        </w:rPr>
        <w:t xml:space="preserve"> podrán hacer cobros </w:t>
      </w:r>
      <w:r w:rsidR="00BF5459" w:rsidRPr="00907100">
        <w:rPr>
          <w:rFonts w:ascii="Century Gothic" w:hAnsi="Century Gothic"/>
          <w:sz w:val="24"/>
          <w:szCs w:val="24"/>
        </w:rPr>
        <w:t xml:space="preserve">monetarios </w:t>
      </w:r>
      <w:r w:rsidRPr="00907100">
        <w:rPr>
          <w:rFonts w:ascii="Century Gothic" w:hAnsi="Century Gothic"/>
          <w:sz w:val="24"/>
          <w:szCs w:val="24"/>
        </w:rPr>
        <w:t xml:space="preserve">por el pago de cursos de extensión que no se encuentren en la malla curricular de alguna carrera de posgrado y/o pregrado.  </w:t>
      </w:r>
    </w:p>
    <w:p w14:paraId="7194A560" w14:textId="77777777" w:rsidR="0002161B" w:rsidRDefault="0002161B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7C89EFC" w14:textId="77777777" w:rsidR="00471E50" w:rsidRPr="00907100" w:rsidRDefault="00471E50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D7B6520" w14:textId="05726C58" w:rsidR="002D4C84" w:rsidRDefault="0002161B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>Artículo 3. Financiación.</w:t>
      </w:r>
      <w:r w:rsidRPr="00907100">
        <w:rPr>
          <w:rFonts w:ascii="Century Gothic" w:hAnsi="Century Gothic"/>
          <w:sz w:val="24"/>
          <w:szCs w:val="24"/>
        </w:rPr>
        <w:t xml:space="preserve"> Esta política se financiará a</w:t>
      </w:r>
      <w:r w:rsidR="002D4C84" w:rsidRPr="00907100">
        <w:rPr>
          <w:rFonts w:ascii="Century Gothic" w:hAnsi="Century Gothic"/>
          <w:sz w:val="24"/>
          <w:szCs w:val="24"/>
        </w:rPr>
        <w:t xml:space="preserve"> través </w:t>
      </w:r>
      <w:r w:rsidRPr="00907100">
        <w:rPr>
          <w:rFonts w:ascii="Century Gothic" w:hAnsi="Century Gothic"/>
          <w:sz w:val="24"/>
          <w:szCs w:val="24"/>
        </w:rPr>
        <w:t>de las inversiones propuestas en la ley 1955 de 2019 para el eje equidad</w:t>
      </w:r>
      <w:r w:rsidR="009E6661">
        <w:rPr>
          <w:rFonts w:ascii="Century Gothic" w:hAnsi="Century Gothic"/>
          <w:sz w:val="24"/>
          <w:szCs w:val="24"/>
        </w:rPr>
        <w:t xml:space="preserve"> y de los recursos contemplados en la ley 30 de 1992</w:t>
      </w:r>
      <w:r w:rsidRPr="00907100">
        <w:rPr>
          <w:rFonts w:ascii="Century Gothic" w:hAnsi="Century Gothic"/>
          <w:sz w:val="24"/>
          <w:szCs w:val="24"/>
        </w:rPr>
        <w:t xml:space="preserve">. Los recursos estarán a cargo del Presupuesto General de la Nación. </w:t>
      </w:r>
      <w:r w:rsidR="0089781F" w:rsidRPr="00907100">
        <w:rPr>
          <w:rFonts w:ascii="Century Gothic" w:hAnsi="Century Gothic"/>
          <w:sz w:val="24"/>
          <w:szCs w:val="24"/>
        </w:rPr>
        <w:t xml:space="preserve">Los Gobiernos locales podrán </w:t>
      </w:r>
      <w:r w:rsidR="00EA452E" w:rsidRPr="00907100">
        <w:rPr>
          <w:rFonts w:ascii="Century Gothic" w:hAnsi="Century Gothic"/>
          <w:sz w:val="24"/>
          <w:szCs w:val="24"/>
        </w:rPr>
        <w:t>coadyuvar</w:t>
      </w:r>
      <w:r w:rsidR="0089781F" w:rsidRPr="00907100">
        <w:rPr>
          <w:rFonts w:ascii="Century Gothic" w:hAnsi="Century Gothic"/>
          <w:sz w:val="24"/>
          <w:szCs w:val="24"/>
        </w:rPr>
        <w:t xml:space="preserve"> </w:t>
      </w:r>
      <w:r w:rsidR="0089781F" w:rsidRPr="00907100">
        <w:rPr>
          <w:rFonts w:ascii="Century Gothic" w:hAnsi="Century Gothic"/>
          <w:sz w:val="24"/>
          <w:szCs w:val="24"/>
        </w:rPr>
        <w:lastRenderedPageBreak/>
        <w:t xml:space="preserve">en la financiación </w:t>
      </w:r>
      <w:r w:rsidR="00DE5F91">
        <w:rPr>
          <w:rFonts w:ascii="Century Gothic" w:hAnsi="Century Gothic"/>
          <w:sz w:val="24"/>
          <w:szCs w:val="24"/>
        </w:rPr>
        <w:t>de las</w:t>
      </w:r>
      <w:r w:rsidR="0089781F" w:rsidRPr="00907100">
        <w:rPr>
          <w:rFonts w:ascii="Century Gothic" w:hAnsi="Century Gothic"/>
          <w:sz w:val="24"/>
          <w:szCs w:val="24"/>
        </w:rPr>
        <w:t xml:space="preserve"> </w:t>
      </w:r>
      <w:r w:rsidRPr="00907100">
        <w:rPr>
          <w:rFonts w:ascii="Century Gothic" w:hAnsi="Century Gothic"/>
          <w:sz w:val="24"/>
          <w:szCs w:val="24"/>
        </w:rPr>
        <w:t xml:space="preserve">instituciones de educación superior </w:t>
      </w:r>
      <w:r w:rsidR="0089781F" w:rsidRPr="00907100">
        <w:rPr>
          <w:rFonts w:ascii="Century Gothic" w:hAnsi="Century Gothic"/>
          <w:sz w:val="24"/>
          <w:szCs w:val="24"/>
        </w:rPr>
        <w:t>estatales u oficiales de orden departamental</w:t>
      </w:r>
      <w:r w:rsidR="00BF5459" w:rsidRPr="00907100">
        <w:rPr>
          <w:rFonts w:ascii="Century Gothic" w:hAnsi="Century Gothic"/>
          <w:sz w:val="24"/>
          <w:szCs w:val="24"/>
        </w:rPr>
        <w:t xml:space="preserve"> y/o municipal</w:t>
      </w:r>
      <w:r w:rsidR="0089781F" w:rsidRPr="00907100">
        <w:rPr>
          <w:rFonts w:ascii="Century Gothic" w:hAnsi="Century Gothic"/>
          <w:sz w:val="24"/>
          <w:szCs w:val="24"/>
        </w:rPr>
        <w:t>.</w:t>
      </w:r>
    </w:p>
    <w:p w14:paraId="7A4A1813" w14:textId="77777777" w:rsidR="009E6661" w:rsidRDefault="009E6661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B608A0B" w14:textId="3FB45962" w:rsidR="00AC36D3" w:rsidRPr="00AC36D3" w:rsidRDefault="00AC36D3" w:rsidP="00AC36D3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C36D3">
        <w:rPr>
          <w:rFonts w:ascii="Century Gothic" w:hAnsi="Century Gothic"/>
          <w:b/>
          <w:sz w:val="24"/>
          <w:szCs w:val="24"/>
        </w:rPr>
        <w:t>Parágrafo 1.</w:t>
      </w:r>
      <w:r w:rsidRPr="00AC36D3">
        <w:rPr>
          <w:rFonts w:ascii="Century Gothic" w:hAnsi="Century Gothic"/>
          <w:sz w:val="24"/>
          <w:szCs w:val="24"/>
        </w:rPr>
        <w:t xml:space="preserve"> En ningún caso está política podrá afectar los presupuestos actuales de las IES</w:t>
      </w:r>
      <w:r w:rsidR="00F0204C">
        <w:rPr>
          <w:rFonts w:ascii="Century Gothic" w:hAnsi="Century Gothic"/>
          <w:sz w:val="24"/>
          <w:szCs w:val="24"/>
        </w:rPr>
        <w:t xml:space="preserve"> y</w:t>
      </w:r>
      <w:r w:rsidR="00EA452E">
        <w:rPr>
          <w:rFonts w:ascii="Century Gothic" w:hAnsi="Century Gothic"/>
          <w:sz w:val="24"/>
          <w:szCs w:val="24"/>
        </w:rPr>
        <w:t xml:space="preserve"> s</w:t>
      </w:r>
      <w:r w:rsidRPr="00AC36D3">
        <w:rPr>
          <w:rFonts w:ascii="Century Gothic" w:hAnsi="Century Gothic"/>
          <w:sz w:val="24"/>
          <w:szCs w:val="24"/>
        </w:rPr>
        <w:t xml:space="preserve">u financiación </w:t>
      </w:r>
      <w:r w:rsidR="00EA452E">
        <w:rPr>
          <w:rFonts w:ascii="Century Gothic" w:hAnsi="Century Gothic"/>
          <w:sz w:val="24"/>
          <w:szCs w:val="24"/>
        </w:rPr>
        <w:t xml:space="preserve">será exclusivamente proveniente </w:t>
      </w:r>
      <w:r w:rsidRPr="00AC36D3">
        <w:rPr>
          <w:rFonts w:ascii="Century Gothic" w:hAnsi="Century Gothic"/>
          <w:sz w:val="24"/>
          <w:szCs w:val="24"/>
        </w:rPr>
        <w:t>de recursos adicionales dispuestos por el Gobierno Nacional para tal fin.</w:t>
      </w:r>
    </w:p>
    <w:p w14:paraId="219CC13B" w14:textId="77777777" w:rsidR="00AC36D3" w:rsidRPr="00AC36D3" w:rsidRDefault="00AC36D3" w:rsidP="00AC36D3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5ADCA3B" w14:textId="570A71EB" w:rsidR="00AC36D3" w:rsidRPr="00AC36D3" w:rsidRDefault="00AC36D3" w:rsidP="00AC36D3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C36D3">
        <w:rPr>
          <w:rFonts w:ascii="Century Gothic" w:hAnsi="Century Gothic"/>
          <w:b/>
          <w:sz w:val="24"/>
          <w:szCs w:val="24"/>
        </w:rPr>
        <w:t>Parágrafo 2.</w:t>
      </w:r>
      <w:r w:rsidRPr="00AC36D3">
        <w:rPr>
          <w:rFonts w:ascii="Century Gothic" w:hAnsi="Century Gothic"/>
          <w:sz w:val="24"/>
          <w:szCs w:val="24"/>
        </w:rPr>
        <w:t xml:space="preserve"> Como medida temporal y hasta que sea de definida la distribución presupuestal por parte del Ministerio de Educación Nacional y el Sistema de Universidades Estatales (SUE) para el año 2021, los recursos adicionales que sean dispuestos serán administrados a través del Fondo Solidario para la Educación creado mediante decreto 662 de 2020. </w:t>
      </w:r>
    </w:p>
    <w:p w14:paraId="49ED2A3A" w14:textId="77777777" w:rsidR="00AC36D3" w:rsidRPr="00907100" w:rsidRDefault="00AC36D3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297CB17" w14:textId="77777777" w:rsidR="0089781F" w:rsidRPr="00907100" w:rsidRDefault="0089781F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2A1678E" w14:textId="29922DFB" w:rsidR="0089781F" w:rsidRDefault="0089781F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B319BA">
        <w:rPr>
          <w:rFonts w:ascii="Century Gothic" w:hAnsi="Century Gothic"/>
          <w:b/>
          <w:sz w:val="24"/>
          <w:szCs w:val="24"/>
        </w:rPr>
        <w:t xml:space="preserve">Artículo 4. </w:t>
      </w:r>
      <w:r w:rsidR="00BF5459" w:rsidRPr="00B319BA">
        <w:rPr>
          <w:rFonts w:ascii="Century Gothic" w:hAnsi="Century Gothic"/>
          <w:b/>
          <w:sz w:val="24"/>
          <w:szCs w:val="24"/>
        </w:rPr>
        <w:t>Vigencia y derogatorias.</w:t>
      </w:r>
      <w:r w:rsidR="00BF5459" w:rsidRPr="00907100">
        <w:rPr>
          <w:rFonts w:ascii="Century Gothic" w:hAnsi="Century Gothic"/>
          <w:sz w:val="24"/>
          <w:szCs w:val="24"/>
        </w:rPr>
        <w:t xml:space="preserve"> Esta Ley rige a partir de su promulgación y deroga las disposiciones que le sean contrarias.</w:t>
      </w:r>
    </w:p>
    <w:p w14:paraId="78440709" w14:textId="77777777" w:rsidR="00471E50" w:rsidRDefault="00471E50" w:rsidP="002D4C8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6E7DCDC" w14:textId="4FBBD9AD" w:rsidR="003A0E9D" w:rsidRPr="00907100" w:rsidRDefault="003A0E9D" w:rsidP="003A0E9D">
      <w:pPr>
        <w:ind w:left="708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</w:p>
    <w:p w14:paraId="3810CF72" w14:textId="6F37EE3F" w:rsidR="00A03FF7" w:rsidRPr="0005620B" w:rsidRDefault="003A0E9D" w:rsidP="00A03FF7">
      <w:pPr>
        <w:ind w:firstLine="708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eastAsia="Times New Roman" w:hAnsi="Century Gothic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14:paraId="29984C49" w14:textId="5828434A" w:rsidR="00471E50" w:rsidRPr="0005620B" w:rsidRDefault="00471E50" w:rsidP="0005620B">
      <w:pPr>
        <w:jc w:val="both"/>
        <w:rPr>
          <w:rFonts w:ascii="Century Gothic" w:hAnsi="Century Gothic"/>
          <w:sz w:val="24"/>
          <w:szCs w:val="24"/>
          <w:lang w:val="es-MX"/>
        </w:rPr>
      </w:pPr>
    </w:p>
    <w:sectPr w:rsidR="00471E50" w:rsidRPr="0005620B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19C05" w14:textId="77777777" w:rsidR="002856ED" w:rsidRDefault="002856ED">
      <w:pPr>
        <w:spacing w:after="0" w:line="240" w:lineRule="auto"/>
      </w:pPr>
      <w:r>
        <w:separator/>
      </w:r>
    </w:p>
  </w:endnote>
  <w:endnote w:type="continuationSeparator" w:id="0">
    <w:p w14:paraId="06273A12" w14:textId="77777777" w:rsidR="002856ED" w:rsidRDefault="0028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Microsoft JhengHei"/>
    <w:panose1 w:val="02010609000101010101"/>
    <w:charset w:val="88"/>
    <w:family w:val="auto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B9A4" w14:textId="77777777" w:rsidR="005149CC" w:rsidRDefault="005149CC" w:rsidP="005149CC">
    <w:pPr>
      <w:pStyle w:val="Piedepgina"/>
      <w:jc w:val="both"/>
      <w:rPr>
        <w:noProof/>
        <w:lang w:eastAsia="es-CO"/>
      </w:rPr>
    </w:pPr>
  </w:p>
  <w:p w14:paraId="2591AE68" w14:textId="01C4F58F" w:rsidR="005149CC" w:rsidRDefault="005149CC" w:rsidP="005149CC">
    <w:pPr>
      <w:pStyle w:val="Piedepgina"/>
      <w:jc w:val="both"/>
      <w:rPr>
        <w:noProof/>
        <w:lang w:eastAsia="es-CO"/>
      </w:rPr>
    </w:pPr>
  </w:p>
  <w:p w14:paraId="60DC9FED" w14:textId="73077FF6" w:rsidR="005149CC" w:rsidRDefault="005149CC" w:rsidP="005149CC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946EA" w14:textId="77777777" w:rsidR="002856ED" w:rsidRDefault="002856ED">
      <w:pPr>
        <w:spacing w:after="0" w:line="240" w:lineRule="auto"/>
      </w:pPr>
      <w:r>
        <w:separator/>
      </w:r>
    </w:p>
  </w:footnote>
  <w:footnote w:type="continuationSeparator" w:id="0">
    <w:p w14:paraId="48102E81" w14:textId="77777777" w:rsidR="002856ED" w:rsidRDefault="002856ED">
      <w:pPr>
        <w:spacing w:after="0" w:line="240" w:lineRule="auto"/>
      </w:pPr>
      <w:r>
        <w:continuationSeparator/>
      </w:r>
    </w:p>
  </w:footnote>
  <w:footnote w:id="1">
    <w:p w14:paraId="1BA42DCE" w14:textId="1985BAE2" w:rsidR="00943F5A" w:rsidRPr="00943F5A" w:rsidRDefault="00943F5A">
      <w:pPr>
        <w:pStyle w:val="Textonotapie"/>
        <w:rPr>
          <w:rFonts w:ascii="Century Gothic" w:hAnsi="Century Gothic"/>
        </w:rPr>
      </w:pPr>
      <w:r>
        <w:rPr>
          <w:rStyle w:val="Refdenotaalpie"/>
        </w:rPr>
        <w:footnoteRef/>
      </w:r>
      <w:r>
        <w:t xml:space="preserve"> </w:t>
      </w:r>
      <w:r w:rsidRPr="00943F5A">
        <w:rPr>
          <w:rFonts w:ascii="Century Gothic" w:hAnsi="Century Gothic"/>
          <w:sz w:val="18"/>
          <w:szCs w:val="18"/>
        </w:rPr>
        <w:t xml:space="preserve">Este índice se calcula </w:t>
      </w:r>
      <w:r w:rsidR="001C440F">
        <w:rPr>
          <w:rFonts w:ascii="Century Gothic" w:hAnsi="Century Gothic"/>
          <w:sz w:val="18"/>
          <w:szCs w:val="18"/>
        </w:rPr>
        <w:t>con</w:t>
      </w:r>
      <w:r w:rsidRPr="00943F5A">
        <w:rPr>
          <w:rFonts w:ascii="Century Gothic" w:hAnsi="Century Gothic"/>
          <w:sz w:val="18"/>
          <w:szCs w:val="18"/>
        </w:rPr>
        <w:t xml:space="preserve"> población en educación terciaria como porcentaje de jóvenes en edad de estudiar en educación superior</w:t>
      </w:r>
      <w:r w:rsidR="004E3FCF">
        <w:rPr>
          <w:rFonts w:ascii="Century Gothic" w:hAnsi="Century Gothic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F3AD" w14:textId="2039E3F3" w:rsidR="005149CC" w:rsidRPr="004135DB" w:rsidRDefault="00396072" w:rsidP="00577459">
    <w:pPr>
      <w:pStyle w:val="Encabezado"/>
    </w:pPr>
    <w:r>
      <w:rPr>
        <w:noProof/>
      </w:rPr>
      <w:t xml:space="preserve">   </w:t>
    </w:r>
    <w:r w:rsidRPr="008B1AE1">
      <w:rPr>
        <w:noProof/>
      </w:rPr>
      <w:t xml:space="preserve"> </w:t>
    </w:r>
    <w:r>
      <w:rPr>
        <w:noProof/>
      </w:rPr>
      <w:t xml:space="preserve">  </w:t>
    </w:r>
    <w:r w:rsidR="00577459">
      <w:rPr>
        <w:noProof/>
      </w:rPr>
      <w:t xml:space="preserve">           </w:t>
    </w:r>
    <w:r w:rsidR="00686787">
      <w:rPr>
        <w:noProof/>
      </w:rPr>
      <w:t xml:space="preserve"> </w:t>
    </w:r>
    <w:r w:rsidR="00577459">
      <w:rPr>
        <w:noProof/>
      </w:rPr>
      <w:t xml:space="preserve">                       </w:t>
    </w:r>
    <w:r w:rsidR="00686787">
      <w:rPr>
        <w:noProof/>
      </w:rPr>
      <w:t xml:space="preserve">                 </w:t>
    </w:r>
    <w:r>
      <w:rPr>
        <w:noProof/>
      </w:rPr>
      <w:t xml:space="preserve">   </w:t>
    </w:r>
    <w:r w:rsidR="00577459">
      <w:rPr>
        <w:noProof/>
      </w:rPr>
      <w:t xml:space="preserve">    </w:t>
    </w:r>
    <w:r>
      <w:rPr>
        <w:noProof/>
        <w:lang w:eastAsia="es-CO"/>
      </w:rPr>
      <w:drawing>
        <wp:inline distT="0" distB="0" distL="0" distR="0" wp14:anchorId="61043E08" wp14:editId="418D33D0">
          <wp:extent cx="1548607" cy="583768"/>
          <wp:effectExtent l="0" t="0" r="1270" b="635"/>
          <wp:docPr id="2" name="Imagen 2" descr="Resultado de imagen de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CAMARA DE REPRESENTANT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0" t="15912" r="9518" b="16665"/>
                  <a:stretch/>
                </pic:blipFill>
                <pic:spPr bwMode="auto">
                  <a:xfrm>
                    <a:off x="0" y="0"/>
                    <a:ext cx="2019026" cy="761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</w:p>
  <w:p w14:paraId="086F28E4" w14:textId="77777777" w:rsidR="005149CC" w:rsidRPr="003810B2" w:rsidRDefault="005149CC" w:rsidP="005149CC">
    <w:pPr>
      <w:pStyle w:val="Encabezado"/>
      <w:jc w:val="center"/>
      <w:rPr>
        <w:u w:val="single"/>
      </w:rPr>
    </w:pPr>
  </w:p>
  <w:p w14:paraId="2B805BAA" w14:textId="44AA109E" w:rsidR="005149CC" w:rsidRDefault="005149CC" w:rsidP="00C041DB">
    <w:pPr>
      <w:pStyle w:val="Encabezado"/>
      <w:tabs>
        <w:tab w:val="clear" w:pos="4419"/>
        <w:tab w:val="clear" w:pos="8838"/>
        <w:tab w:val="left" w:pos="29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C76"/>
    <w:multiLevelType w:val="hybridMultilevel"/>
    <w:tmpl w:val="A84C05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60D"/>
    <w:multiLevelType w:val="hybridMultilevel"/>
    <w:tmpl w:val="40CE87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57E"/>
    <w:multiLevelType w:val="hybridMultilevel"/>
    <w:tmpl w:val="643EFC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8286E"/>
    <w:multiLevelType w:val="hybridMultilevel"/>
    <w:tmpl w:val="EE6C6042"/>
    <w:lvl w:ilvl="0" w:tplc="72CC7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4ABE"/>
    <w:multiLevelType w:val="hybridMultilevel"/>
    <w:tmpl w:val="4DD2FB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6A95"/>
    <w:multiLevelType w:val="hybridMultilevel"/>
    <w:tmpl w:val="34BCA1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69BF"/>
    <w:multiLevelType w:val="hybridMultilevel"/>
    <w:tmpl w:val="384067C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E549C"/>
    <w:multiLevelType w:val="hybridMultilevel"/>
    <w:tmpl w:val="793C7C12"/>
    <w:lvl w:ilvl="0" w:tplc="DC88C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E928CE"/>
    <w:multiLevelType w:val="hybridMultilevel"/>
    <w:tmpl w:val="78D033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7AA"/>
    <w:multiLevelType w:val="hybridMultilevel"/>
    <w:tmpl w:val="A956B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30578"/>
    <w:multiLevelType w:val="hybridMultilevel"/>
    <w:tmpl w:val="EF6C81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1C44"/>
    <w:multiLevelType w:val="hybridMultilevel"/>
    <w:tmpl w:val="38F4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B01A0"/>
    <w:multiLevelType w:val="hybridMultilevel"/>
    <w:tmpl w:val="26BA0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24C4D"/>
    <w:multiLevelType w:val="hybridMultilevel"/>
    <w:tmpl w:val="CF601132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B5"/>
    <w:rsid w:val="0000081B"/>
    <w:rsid w:val="000012AD"/>
    <w:rsid w:val="0000317E"/>
    <w:rsid w:val="00004423"/>
    <w:rsid w:val="00012EC4"/>
    <w:rsid w:val="00016351"/>
    <w:rsid w:val="00016E01"/>
    <w:rsid w:val="0002161B"/>
    <w:rsid w:val="00034D0A"/>
    <w:rsid w:val="00055E1A"/>
    <w:rsid w:val="0005620B"/>
    <w:rsid w:val="0008271A"/>
    <w:rsid w:val="00095A51"/>
    <w:rsid w:val="000B3667"/>
    <w:rsid w:val="000B40C3"/>
    <w:rsid w:val="000B769A"/>
    <w:rsid w:val="000D788B"/>
    <w:rsid w:val="00104486"/>
    <w:rsid w:val="00116CF5"/>
    <w:rsid w:val="00142210"/>
    <w:rsid w:val="00144133"/>
    <w:rsid w:val="00144397"/>
    <w:rsid w:val="00145342"/>
    <w:rsid w:val="001558E1"/>
    <w:rsid w:val="00155F1F"/>
    <w:rsid w:val="001671ED"/>
    <w:rsid w:val="00184EF7"/>
    <w:rsid w:val="00192183"/>
    <w:rsid w:val="001A150F"/>
    <w:rsid w:val="001A6213"/>
    <w:rsid w:val="001B4B3E"/>
    <w:rsid w:val="001B6151"/>
    <w:rsid w:val="001C440F"/>
    <w:rsid w:val="001E3F69"/>
    <w:rsid w:val="001E4413"/>
    <w:rsid w:val="001F2BDE"/>
    <w:rsid w:val="001F4E2F"/>
    <w:rsid w:val="001F73E7"/>
    <w:rsid w:val="00200063"/>
    <w:rsid w:val="002264AF"/>
    <w:rsid w:val="002440E5"/>
    <w:rsid w:val="0026146B"/>
    <w:rsid w:val="002856ED"/>
    <w:rsid w:val="002A1DAD"/>
    <w:rsid w:val="002B4885"/>
    <w:rsid w:val="002C1DFE"/>
    <w:rsid w:val="002D4C84"/>
    <w:rsid w:val="002D75C7"/>
    <w:rsid w:val="002F532C"/>
    <w:rsid w:val="00317DA4"/>
    <w:rsid w:val="00342575"/>
    <w:rsid w:val="00346709"/>
    <w:rsid w:val="00350F0D"/>
    <w:rsid w:val="0037547C"/>
    <w:rsid w:val="00396072"/>
    <w:rsid w:val="003A0E9D"/>
    <w:rsid w:val="003A2673"/>
    <w:rsid w:val="003B2698"/>
    <w:rsid w:val="003C47B6"/>
    <w:rsid w:val="003D5E62"/>
    <w:rsid w:val="003E1DDA"/>
    <w:rsid w:val="003F238A"/>
    <w:rsid w:val="00413087"/>
    <w:rsid w:val="004135DC"/>
    <w:rsid w:val="004315B7"/>
    <w:rsid w:val="00467E33"/>
    <w:rsid w:val="00470FBE"/>
    <w:rsid w:val="00471E50"/>
    <w:rsid w:val="004762AB"/>
    <w:rsid w:val="00480E51"/>
    <w:rsid w:val="00493648"/>
    <w:rsid w:val="004B3529"/>
    <w:rsid w:val="004C2025"/>
    <w:rsid w:val="004D47FC"/>
    <w:rsid w:val="004E3FCF"/>
    <w:rsid w:val="004E473A"/>
    <w:rsid w:val="00500D9F"/>
    <w:rsid w:val="005042EA"/>
    <w:rsid w:val="00504AEA"/>
    <w:rsid w:val="00504B8A"/>
    <w:rsid w:val="005149CC"/>
    <w:rsid w:val="00521AF3"/>
    <w:rsid w:val="00522FC7"/>
    <w:rsid w:val="00532255"/>
    <w:rsid w:val="0055004F"/>
    <w:rsid w:val="00560D53"/>
    <w:rsid w:val="00577459"/>
    <w:rsid w:val="00580692"/>
    <w:rsid w:val="00580E41"/>
    <w:rsid w:val="00585D06"/>
    <w:rsid w:val="00590D0C"/>
    <w:rsid w:val="00594BE6"/>
    <w:rsid w:val="005C25F0"/>
    <w:rsid w:val="005C5F6E"/>
    <w:rsid w:val="005D3BA8"/>
    <w:rsid w:val="006038A8"/>
    <w:rsid w:val="00605758"/>
    <w:rsid w:val="00605DB3"/>
    <w:rsid w:val="00616C2A"/>
    <w:rsid w:val="006267B3"/>
    <w:rsid w:val="0063490D"/>
    <w:rsid w:val="00636195"/>
    <w:rsid w:val="00655E8E"/>
    <w:rsid w:val="00686787"/>
    <w:rsid w:val="00694479"/>
    <w:rsid w:val="00695FA7"/>
    <w:rsid w:val="006A0546"/>
    <w:rsid w:val="006A1233"/>
    <w:rsid w:val="006A1401"/>
    <w:rsid w:val="006B5033"/>
    <w:rsid w:val="006C305A"/>
    <w:rsid w:val="006C61C4"/>
    <w:rsid w:val="006E08A3"/>
    <w:rsid w:val="006F51E9"/>
    <w:rsid w:val="00700DC6"/>
    <w:rsid w:val="00723764"/>
    <w:rsid w:val="00733BAD"/>
    <w:rsid w:val="00741281"/>
    <w:rsid w:val="007450F0"/>
    <w:rsid w:val="0074654C"/>
    <w:rsid w:val="00746FB7"/>
    <w:rsid w:val="0076106E"/>
    <w:rsid w:val="007627AA"/>
    <w:rsid w:val="00762845"/>
    <w:rsid w:val="00770512"/>
    <w:rsid w:val="007818D4"/>
    <w:rsid w:val="00781BC4"/>
    <w:rsid w:val="007837EC"/>
    <w:rsid w:val="00796574"/>
    <w:rsid w:val="007D19B8"/>
    <w:rsid w:val="007E1103"/>
    <w:rsid w:val="007E6335"/>
    <w:rsid w:val="007F0CA9"/>
    <w:rsid w:val="007F1C1E"/>
    <w:rsid w:val="008062D7"/>
    <w:rsid w:val="00807831"/>
    <w:rsid w:val="00820A8E"/>
    <w:rsid w:val="008221DA"/>
    <w:rsid w:val="008266F2"/>
    <w:rsid w:val="00847C65"/>
    <w:rsid w:val="008569E9"/>
    <w:rsid w:val="0088779F"/>
    <w:rsid w:val="0089781F"/>
    <w:rsid w:val="008A0AB9"/>
    <w:rsid w:val="008A2509"/>
    <w:rsid w:val="008C0E7F"/>
    <w:rsid w:val="008C226E"/>
    <w:rsid w:val="008C3C65"/>
    <w:rsid w:val="008D0FB5"/>
    <w:rsid w:val="00907100"/>
    <w:rsid w:val="00912E95"/>
    <w:rsid w:val="00915B16"/>
    <w:rsid w:val="00932369"/>
    <w:rsid w:val="00932BE5"/>
    <w:rsid w:val="009357B6"/>
    <w:rsid w:val="00943F5A"/>
    <w:rsid w:val="009713B1"/>
    <w:rsid w:val="009B04B5"/>
    <w:rsid w:val="009D0D4D"/>
    <w:rsid w:val="009D1823"/>
    <w:rsid w:val="009D5CD9"/>
    <w:rsid w:val="009E05E3"/>
    <w:rsid w:val="009E4956"/>
    <w:rsid w:val="009E6661"/>
    <w:rsid w:val="00A03FF7"/>
    <w:rsid w:val="00A10BF9"/>
    <w:rsid w:val="00A12BF7"/>
    <w:rsid w:val="00A14C6E"/>
    <w:rsid w:val="00A17C8C"/>
    <w:rsid w:val="00A26A9C"/>
    <w:rsid w:val="00A52B74"/>
    <w:rsid w:val="00A84BC2"/>
    <w:rsid w:val="00A86277"/>
    <w:rsid w:val="00A867DE"/>
    <w:rsid w:val="00AC36D3"/>
    <w:rsid w:val="00AE3D83"/>
    <w:rsid w:val="00AE4B03"/>
    <w:rsid w:val="00AE6239"/>
    <w:rsid w:val="00B163D7"/>
    <w:rsid w:val="00B1694D"/>
    <w:rsid w:val="00B319BA"/>
    <w:rsid w:val="00B66941"/>
    <w:rsid w:val="00B725E7"/>
    <w:rsid w:val="00B839D6"/>
    <w:rsid w:val="00B851CC"/>
    <w:rsid w:val="00B94EA0"/>
    <w:rsid w:val="00BA2B1A"/>
    <w:rsid w:val="00BC407F"/>
    <w:rsid w:val="00BD1828"/>
    <w:rsid w:val="00BE1631"/>
    <w:rsid w:val="00BF2149"/>
    <w:rsid w:val="00BF5459"/>
    <w:rsid w:val="00C041DB"/>
    <w:rsid w:val="00C338E5"/>
    <w:rsid w:val="00C42F64"/>
    <w:rsid w:val="00C82D8B"/>
    <w:rsid w:val="00C8521D"/>
    <w:rsid w:val="00C94DB9"/>
    <w:rsid w:val="00CA3BA3"/>
    <w:rsid w:val="00CB4A68"/>
    <w:rsid w:val="00CE2FB7"/>
    <w:rsid w:val="00CF3D1D"/>
    <w:rsid w:val="00D01961"/>
    <w:rsid w:val="00D41FDB"/>
    <w:rsid w:val="00D702CD"/>
    <w:rsid w:val="00D77C13"/>
    <w:rsid w:val="00D87618"/>
    <w:rsid w:val="00DA0265"/>
    <w:rsid w:val="00DB5628"/>
    <w:rsid w:val="00DC748B"/>
    <w:rsid w:val="00DE5F91"/>
    <w:rsid w:val="00DE69D3"/>
    <w:rsid w:val="00DF4DF0"/>
    <w:rsid w:val="00E20817"/>
    <w:rsid w:val="00E26DF5"/>
    <w:rsid w:val="00E400EA"/>
    <w:rsid w:val="00E524A0"/>
    <w:rsid w:val="00E75780"/>
    <w:rsid w:val="00E83DAB"/>
    <w:rsid w:val="00E84E82"/>
    <w:rsid w:val="00E9242D"/>
    <w:rsid w:val="00E971A0"/>
    <w:rsid w:val="00EA452E"/>
    <w:rsid w:val="00EC5F29"/>
    <w:rsid w:val="00EF587B"/>
    <w:rsid w:val="00F01C53"/>
    <w:rsid w:val="00F0204C"/>
    <w:rsid w:val="00F04DFC"/>
    <w:rsid w:val="00F106CA"/>
    <w:rsid w:val="00F10F4D"/>
    <w:rsid w:val="00F13A8C"/>
    <w:rsid w:val="00F27A2F"/>
    <w:rsid w:val="00F33CA9"/>
    <w:rsid w:val="00F6133F"/>
    <w:rsid w:val="00F71CE8"/>
    <w:rsid w:val="00F774B4"/>
    <w:rsid w:val="00F92502"/>
    <w:rsid w:val="00F9332D"/>
    <w:rsid w:val="00F95800"/>
    <w:rsid w:val="00FB224E"/>
    <w:rsid w:val="00FC329E"/>
    <w:rsid w:val="00FF4543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1E28"/>
  <w15:chartTrackingRefBased/>
  <w15:docId w15:val="{B75B808A-2CE8-465D-9151-A2E6E373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B5"/>
  </w:style>
  <w:style w:type="paragraph" w:styleId="Ttulo1">
    <w:name w:val="heading 1"/>
    <w:basedOn w:val="Normal"/>
    <w:next w:val="Normal"/>
    <w:link w:val="Ttulo1Car"/>
    <w:uiPriority w:val="9"/>
    <w:qFormat/>
    <w:rsid w:val="00912E9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4B5"/>
  </w:style>
  <w:style w:type="paragraph" w:styleId="Piedepgina">
    <w:name w:val="footer"/>
    <w:basedOn w:val="Normal"/>
    <w:link w:val="PiedepginaCar"/>
    <w:uiPriority w:val="99"/>
    <w:unhideWhenUsed/>
    <w:rsid w:val="009B0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4B5"/>
  </w:style>
  <w:style w:type="paragraph" w:styleId="Prrafodelista">
    <w:name w:val="List Paragraph"/>
    <w:basedOn w:val="Normal"/>
    <w:uiPriority w:val="34"/>
    <w:qFormat/>
    <w:rsid w:val="00F33C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5B1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6C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05E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12E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12E95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912E95"/>
    <w:pPr>
      <w:spacing w:line="256" w:lineRule="auto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39"/>
    <w:rsid w:val="00E83DA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encinsinresolver2">
    <w:name w:val="Mención sin resolver2"/>
    <w:basedOn w:val="Fuentedeprrafopredeter"/>
    <w:uiPriority w:val="99"/>
    <w:rsid w:val="00E83DA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F13A8C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695FA7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5FA7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695FA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95FA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5FA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5FA7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FA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FA7"/>
    <w:rPr>
      <w:b/>
      <w:bCs/>
      <w:sz w:val="20"/>
      <w:szCs w:val="20"/>
    </w:rPr>
  </w:style>
  <w:style w:type="table" w:styleId="Tabladecuadrcula1clara-nfasis3">
    <w:name w:val="Grid Table 1 Light Accent 3"/>
    <w:basedOn w:val="Tablanormal"/>
    <w:uiPriority w:val="46"/>
    <w:rsid w:val="00A12BF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412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about:blank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about:blank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about:blank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about:blank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'[Gráfico en Microsoft Word]Hoja1'!$B$1</c:f>
              <c:strCache>
                <c:ptCount val="1"/>
                <c:pt idx="0">
                  <c:v>Hasta Secundaria</c:v>
                </c:pt>
              </c:strCache>
            </c:strRef>
          </c:tx>
          <c:spPr>
            <a:pattFill prst="lg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entury Gothic" charset="0"/>
                    <a:ea typeface="Century Gothic" charset="0"/>
                    <a:cs typeface="Century Gothic" charset="0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Word]Hoja1'!$A$2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'[Gráfico en Microsoft Word]Hoja1'!$B$2</c:f>
              <c:numCache>
                <c:formatCode>_("$"* #,##0_);_("$"* \(#,##0\);_("$"* "-"_);_(@_)</c:formatCode>
                <c:ptCount val="1"/>
                <c:pt idx="0">
                  <c:v>556934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9C-4C4E-85FB-EC1595D42478}"/>
            </c:ext>
          </c:extLst>
        </c:ser>
        <c:ser>
          <c:idx val="1"/>
          <c:order val="1"/>
          <c:tx>
            <c:strRef>
              <c:f>'[Gráfico en Microsoft Word]Hoja1'!$C$1</c:f>
              <c:strCache>
                <c:ptCount val="1"/>
                <c:pt idx="0">
                  <c:v>Media</c:v>
                </c:pt>
              </c:strCache>
            </c:strRef>
          </c:tx>
          <c:spPr>
            <a:pattFill prst="shingle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Word]Hoja1'!$A$2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'[Gráfico en Microsoft Word]Hoja1'!$C$2</c:f>
              <c:numCache>
                <c:formatCode>_("$"* #,##0_);_("$"* \(#,##0\);_("$"* "-"_);_(@_)</c:formatCode>
                <c:ptCount val="1"/>
                <c:pt idx="0">
                  <c:v>819278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9C-4C4E-85FB-EC1595D42478}"/>
            </c:ext>
          </c:extLst>
        </c:ser>
        <c:ser>
          <c:idx val="2"/>
          <c:order val="2"/>
          <c:tx>
            <c:strRef>
              <c:f>'[Gráfico en Microsoft Word]Hoja1'!$D$1</c:f>
              <c:strCache>
                <c:ptCount val="1"/>
                <c:pt idx="0">
                  <c:v>Técnica profesional y Tecnología </c:v>
                </c:pt>
              </c:strCache>
            </c:strRef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Word]Hoja1'!$A$2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'[Gráfico en Microsoft Word]Hoja1'!$D$2</c:f>
              <c:numCache>
                <c:formatCode>_("$"* #,##0_);_("$"* \(#,##0\);_("$"* "-"_);_(@_)</c:formatCode>
                <c:ptCount val="1"/>
                <c:pt idx="0">
                  <c:v>1108894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9C-4C4E-85FB-EC1595D42478}"/>
            </c:ext>
          </c:extLst>
        </c:ser>
        <c:ser>
          <c:idx val="3"/>
          <c:order val="3"/>
          <c:tx>
            <c:strRef>
              <c:f>'[Gráfico en Microsoft Word]Hoja1'!$E$1</c:f>
              <c:strCache>
                <c:ptCount val="1"/>
                <c:pt idx="0">
                  <c:v>Universitaria 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Word]Hoja1'!$A$2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'[Gráfico en Microsoft Word]Hoja1'!$E$2</c:f>
              <c:numCache>
                <c:formatCode>_("$"* #,##0_);_("$"* \(#,##0\);_("$"* "-"_);_(@_)</c:formatCode>
                <c:ptCount val="1"/>
                <c:pt idx="0">
                  <c:v>2271595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9C-4C4E-85FB-EC1595D42478}"/>
            </c:ext>
          </c:extLst>
        </c:ser>
        <c:ser>
          <c:idx val="4"/>
          <c:order val="4"/>
          <c:tx>
            <c:strRef>
              <c:f>'[Gráfico en Microsoft Word]Hoja1'!$F$1</c:f>
              <c:strCache>
                <c:ptCount val="1"/>
                <c:pt idx="0">
                  <c:v>Posgrado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Word]Hoja1'!$A$2</c:f>
              <c:strCache>
                <c:ptCount val="1"/>
                <c:pt idx="0">
                  <c:v>Categoría 1</c:v>
                </c:pt>
              </c:strCache>
            </c:strRef>
          </c:cat>
          <c:val>
            <c:numRef>
              <c:f>'[Gráfico en Microsoft Word]Hoja1'!$F$2</c:f>
              <c:numCache>
                <c:formatCode>_("$"* #,##0_);_("$"* \(#,##0\);_("$"* "-"_);_(@_)</c:formatCode>
                <c:ptCount val="1"/>
                <c:pt idx="0">
                  <c:v>4138799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9C-4C4E-85FB-EC1595D424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2078408576"/>
        <c:axId val="-2078405712"/>
      </c:barChart>
      <c:catAx>
        <c:axId val="-20784085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2078405712"/>
        <c:crosses val="autoZero"/>
        <c:auto val="1"/>
        <c:lblAlgn val="ctr"/>
        <c:lblOffset val="100"/>
        <c:noMultiLvlLbl val="0"/>
      </c:catAx>
      <c:valAx>
        <c:axId val="-207840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07840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entury Gothic" charset="0"/>
              <a:ea typeface="Century Gothic" charset="0"/>
              <a:cs typeface="Century Gothic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891876000220499"/>
          <c:y val="5.6534029136768797E-2"/>
          <c:w val="0.76108123999779498"/>
          <c:h val="0.493558853088569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Hasta Secundaria</c:v>
                </c:pt>
              </c:strCache>
            </c:strRef>
          </c:tx>
          <c:spPr>
            <a:pattFill prst="sm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Bogotá</c:v>
                </c:pt>
                <c:pt idx="1">
                  <c:v>Centro Occidente</c:v>
                </c:pt>
                <c:pt idx="2">
                  <c:v>Centro Oriente</c:v>
                </c:pt>
                <c:pt idx="3">
                  <c:v>Norte</c:v>
                </c:pt>
                <c:pt idx="4">
                  <c:v>Occidente</c:v>
                </c:pt>
                <c:pt idx="5">
                  <c:v>Sur Occidente</c:v>
                </c:pt>
              </c:strCache>
            </c:strRef>
          </c:cat>
          <c:val>
            <c:numRef>
              <c:f>Hoja1!$B$2:$B$7</c:f>
              <c:numCache>
                <c:formatCode>0.00%</c:formatCode>
                <c:ptCount val="6"/>
                <c:pt idx="0">
                  <c:v>0.28299999999999997</c:v>
                </c:pt>
                <c:pt idx="1">
                  <c:v>0.36399999999999999</c:v>
                </c:pt>
                <c:pt idx="2">
                  <c:v>0.38400000000000001</c:v>
                </c:pt>
                <c:pt idx="3">
                  <c:v>0.33200000000000002</c:v>
                </c:pt>
                <c:pt idx="4">
                  <c:v>0.39300000000000002</c:v>
                </c:pt>
                <c:pt idx="5">
                  <c:v>0.35799999999999998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5E-4996-BAD9-153AF6C2772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Media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Bogotá</c:v>
                </c:pt>
                <c:pt idx="1">
                  <c:v>Centro Occidente</c:v>
                </c:pt>
                <c:pt idx="2">
                  <c:v>Centro Oriente</c:v>
                </c:pt>
                <c:pt idx="3">
                  <c:v>Norte</c:v>
                </c:pt>
                <c:pt idx="4">
                  <c:v>Occidente</c:v>
                </c:pt>
                <c:pt idx="5">
                  <c:v>Sur Occidente</c:v>
                </c:pt>
              </c:strCache>
            </c:strRef>
          </c:cat>
          <c:val>
            <c:numRef>
              <c:f>Hoja1!$C$2:$C$7</c:f>
              <c:numCache>
                <c:formatCode>0.00%</c:formatCode>
                <c:ptCount val="6"/>
                <c:pt idx="0">
                  <c:v>0.59499999999999997</c:v>
                </c:pt>
                <c:pt idx="1">
                  <c:v>0.55700000000000005</c:v>
                </c:pt>
                <c:pt idx="2">
                  <c:v>0.60499999999999998</c:v>
                </c:pt>
                <c:pt idx="3">
                  <c:v>0.47499999999999998</c:v>
                </c:pt>
                <c:pt idx="4">
                  <c:v>0.56200000000000006</c:v>
                </c:pt>
                <c:pt idx="5">
                  <c:v>0.54900000000000004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5E-4996-BAD9-153AF6C2772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Superior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Bogotá</c:v>
                </c:pt>
                <c:pt idx="1">
                  <c:v>Centro Occidente</c:v>
                </c:pt>
                <c:pt idx="2">
                  <c:v>Centro Oriente</c:v>
                </c:pt>
                <c:pt idx="3">
                  <c:v>Norte</c:v>
                </c:pt>
                <c:pt idx="4">
                  <c:v>Occidente</c:v>
                </c:pt>
                <c:pt idx="5">
                  <c:v>Sur Occidente</c:v>
                </c:pt>
              </c:strCache>
            </c:strRef>
          </c:cat>
          <c:val>
            <c:numRef>
              <c:f>Hoja1!$D$2:$D$7</c:f>
              <c:numCache>
                <c:formatCode>0.00%</c:formatCode>
                <c:ptCount val="6"/>
                <c:pt idx="0">
                  <c:v>0.80600000000000005</c:v>
                </c:pt>
                <c:pt idx="1">
                  <c:v>0.75509999999999999</c:v>
                </c:pt>
                <c:pt idx="2">
                  <c:v>0.77</c:v>
                </c:pt>
                <c:pt idx="3">
                  <c:v>0.69099999999999995</c:v>
                </c:pt>
                <c:pt idx="4">
                  <c:v>0.749</c:v>
                </c:pt>
                <c:pt idx="5">
                  <c:v>0.71199999999999997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5E-4996-BAD9-153AF6C27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5137936"/>
        <c:axId val="2145144992"/>
      </c:barChart>
      <c:catAx>
        <c:axId val="214513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145144992"/>
        <c:crosses val="autoZero"/>
        <c:auto val="1"/>
        <c:lblAlgn val="ctr"/>
        <c:lblOffset val="100"/>
        <c:noMultiLvlLbl val="0"/>
      </c:catAx>
      <c:valAx>
        <c:axId val="2145144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21451379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entury Gothic" charset="0"/>
              <a:ea typeface="Century Gothic" charset="0"/>
              <a:cs typeface="Century Gothic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Hoja1!$A$3:$A$30</c:f>
              <c:strCache>
                <c:ptCount val="28"/>
                <c:pt idx="0">
                  <c:v>Luxemburgo</c:v>
                </c:pt>
                <c:pt idx="1">
                  <c:v>México</c:v>
                </c:pt>
                <c:pt idx="2">
                  <c:v>Hungría</c:v>
                </c:pt>
                <c:pt idx="3">
                  <c:v>Colombia</c:v>
                </c:pt>
                <c:pt idx="4">
                  <c:v>Reino Unido</c:v>
                </c:pt>
                <c:pt idx="5">
                  <c:v>Italia</c:v>
                </c:pt>
                <c:pt idx="6">
                  <c:v>Israel</c:v>
                </c:pt>
                <c:pt idx="7">
                  <c:v>Portugal</c:v>
                </c:pt>
                <c:pt idx="8">
                  <c:v>Francia</c:v>
                </c:pt>
                <c:pt idx="9">
                  <c:v>Suecia</c:v>
                </c:pt>
                <c:pt idx="10">
                  <c:v>Polonia</c:v>
                </c:pt>
                <c:pt idx="11">
                  <c:v>Canadá</c:v>
                </c:pt>
                <c:pt idx="12">
                  <c:v>Estonia</c:v>
                </c:pt>
                <c:pt idx="13">
                  <c:v>Alemania</c:v>
                </c:pt>
                <c:pt idx="14">
                  <c:v>Islandia</c:v>
                </c:pt>
                <c:pt idx="15">
                  <c:v>Irlanda</c:v>
                </c:pt>
                <c:pt idx="16">
                  <c:v>Eslovenia</c:v>
                </c:pt>
                <c:pt idx="17">
                  <c:v>Bélgica</c:v>
                </c:pt>
                <c:pt idx="18">
                  <c:v>Noruega</c:v>
                </c:pt>
                <c:pt idx="19">
                  <c:v>Nueva Zelandia</c:v>
                </c:pt>
                <c:pt idx="20">
                  <c:v>Austria</c:v>
                </c:pt>
                <c:pt idx="21">
                  <c:v>Estados Unidos</c:v>
                </c:pt>
                <c:pt idx="22">
                  <c:v>Finlandia</c:v>
                </c:pt>
                <c:pt idx="23">
                  <c:v>Chile</c:v>
                </c:pt>
                <c:pt idx="24">
                  <c:v>España</c:v>
                </c:pt>
                <c:pt idx="25">
                  <c:v>Corea, República de</c:v>
                </c:pt>
                <c:pt idx="26">
                  <c:v>Australia</c:v>
                </c:pt>
                <c:pt idx="27">
                  <c:v>Grecia</c:v>
                </c:pt>
              </c:strCache>
            </c:strRef>
          </c:cat>
          <c:val>
            <c:numRef>
              <c:f>Hoja1!$B$3:$B$30</c:f>
              <c:numCache>
                <c:formatCode>General</c:formatCode>
                <c:ptCount val="28"/>
                <c:pt idx="0">
                  <c:v>19.151769999999999</c:v>
                </c:pt>
                <c:pt idx="1">
                  <c:v>40.228960000000001</c:v>
                </c:pt>
                <c:pt idx="2">
                  <c:v>48.50038</c:v>
                </c:pt>
                <c:pt idx="3">
                  <c:v>56.43403</c:v>
                </c:pt>
                <c:pt idx="4">
                  <c:v>59.995570000000001</c:v>
                </c:pt>
                <c:pt idx="5">
                  <c:v>61.933</c:v>
                </c:pt>
                <c:pt idx="6">
                  <c:v>63.35468999999982</c:v>
                </c:pt>
                <c:pt idx="7">
                  <c:v>63.935809999999996</c:v>
                </c:pt>
                <c:pt idx="8">
                  <c:v>65.628999999999948</c:v>
                </c:pt>
                <c:pt idx="9">
                  <c:v>66.988240000000005</c:v>
                </c:pt>
                <c:pt idx="10">
                  <c:v>67.827439999999982</c:v>
                </c:pt>
                <c:pt idx="11">
                  <c:v>68.922510000000003</c:v>
                </c:pt>
                <c:pt idx="12">
                  <c:v>69.635029999999986</c:v>
                </c:pt>
                <c:pt idx="13">
                  <c:v>70.246650000000002</c:v>
                </c:pt>
                <c:pt idx="14">
                  <c:v>71.845010000000002</c:v>
                </c:pt>
                <c:pt idx="15">
                  <c:v>77.780619999999999</c:v>
                </c:pt>
                <c:pt idx="16">
                  <c:v>78.588999999999999</c:v>
                </c:pt>
                <c:pt idx="17">
                  <c:v>79.661730000000006</c:v>
                </c:pt>
                <c:pt idx="18">
                  <c:v>81.992350000000002</c:v>
                </c:pt>
                <c:pt idx="19">
                  <c:v>82.03322</c:v>
                </c:pt>
                <c:pt idx="20">
                  <c:v>85.057140000000004</c:v>
                </c:pt>
                <c:pt idx="21">
                  <c:v>88.167389999999983</c:v>
                </c:pt>
                <c:pt idx="22">
                  <c:v>88.197829999999996</c:v>
                </c:pt>
                <c:pt idx="23">
                  <c:v>88.464420000000004</c:v>
                </c:pt>
                <c:pt idx="24">
                  <c:v>88.853009999999998</c:v>
                </c:pt>
                <c:pt idx="25">
                  <c:v>94.349689999999995</c:v>
                </c:pt>
                <c:pt idx="26">
                  <c:v>113.14216</c:v>
                </c:pt>
                <c:pt idx="27">
                  <c:v>136.60256999999999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80-4799-ACE9-6E164A50C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80054160"/>
        <c:axId val="-2102480352"/>
      </c:barChart>
      <c:catAx>
        <c:axId val="-208005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102480352"/>
        <c:crosses val="autoZero"/>
        <c:auto val="1"/>
        <c:lblAlgn val="ctr"/>
        <c:lblOffset val="100"/>
        <c:noMultiLvlLbl val="0"/>
      </c:catAx>
      <c:valAx>
        <c:axId val="-210248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08005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Hoja2!$B$2</c:f>
              <c:strCache>
                <c:ptCount val="1"/>
                <c:pt idx="0">
                  <c:v>Público</c:v>
                </c:pt>
              </c:strCache>
            </c:strRef>
          </c:tx>
          <c:spPr>
            <a:pattFill prst="pct6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numRef>
              <c:f>Hoja2!$A$3:$A$21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Hoja2!$B$3:$B$21</c:f>
              <c:numCache>
                <c:formatCode>#,##0</c:formatCode>
                <c:ptCount val="19"/>
                <c:pt idx="0">
                  <c:v>339684</c:v>
                </c:pt>
                <c:pt idx="1">
                  <c:v>365769</c:v>
                </c:pt>
                <c:pt idx="2">
                  <c:v>405065</c:v>
                </c:pt>
                <c:pt idx="3">
                  <c:v>479772</c:v>
                </c:pt>
                <c:pt idx="4">
                  <c:v>516038</c:v>
                </c:pt>
                <c:pt idx="5">
                  <c:v>599227</c:v>
                </c:pt>
                <c:pt idx="6">
                  <c:v>666432</c:v>
                </c:pt>
                <c:pt idx="7">
                  <c:v>746372</c:v>
                </c:pt>
                <c:pt idx="8">
                  <c:v>823203</c:v>
                </c:pt>
                <c:pt idx="9">
                  <c:v>871219</c:v>
                </c:pt>
                <c:pt idx="10">
                  <c:v>861075</c:v>
                </c:pt>
                <c:pt idx="11">
                  <c:v>954137</c:v>
                </c:pt>
                <c:pt idx="12">
                  <c:v>975617</c:v>
                </c:pt>
                <c:pt idx="13">
                  <c:v>1085194</c:v>
                </c:pt>
                <c:pt idx="14">
                  <c:v>1134949</c:v>
                </c:pt>
                <c:pt idx="15">
                  <c:v>1147756</c:v>
                </c:pt>
                <c:pt idx="16">
                  <c:v>1166780</c:v>
                </c:pt>
                <c:pt idx="17">
                  <c:v>1200374</c:v>
                </c:pt>
                <c:pt idx="18">
                  <c:v>1209357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71-6741-B417-ABD6EB886B08}"/>
            </c:ext>
          </c:extLst>
        </c:ser>
        <c:ser>
          <c:idx val="1"/>
          <c:order val="1"/>
          <c:tx>
            <c:strRef>
              <c:f>Hoja2!$C$2</c:f>
              <c:strCache>
                <c:ptCount val="1"/>
                <c:pt idx="0">
                  <c:v>Privada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Hoja2!$A$3:$A$21</c:f>
              <c:numCache>
                <c:formatCode>General</c:formatCod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numCache>
            </c:numRef>
          </c:cat>
          <c:val>
            <c:numRef>
              <c:f>Hoja2!$C$3:$C$21</c:f>
              <c:numCache>
                <c:formatCode>#,##0</c:formatCode>
                <c:ptCount val="19"/>
                <c:pt idx="0">
                  <c:v>581228</c:v>
                </c:pt>
                <c:pt idx="1">
                  <c:v>597299</c:v>
                </c:pt>
                <c:pt idx="2">
                  <c:v>583426</c:v>
                </c:pt>
                <c:pt idx="3">
                  <c:v>568747</c:v>
                </c:pt>
                <c:pt idx="4">
                  <c:v>562291</c:v>
                </c:pt>
                <c:pt idx="5">
                  <c:v>599961</c:v>
                </c:pt>
                <c:pt idx="6">
                  <c:v>617577</c:v>
                </c:pt>
                <c:pt idx="7">
                  <c:v>619163</c:v>
                </c:pt>
                <c:pt idx="8">
                  <c:v>642332</c:v>
                </c:pt>
                <c:pt idx="9">
                  <c:v>716283</c:v>
                </c:pt>
                <c:pt idx="10">
                  <c:v>633945</c:v>
                </c:pt>
                <c:pt idx="11">
                  <c:v>845060</c:v>
                </c:pt>
                <c:pt idx="12">
                  <c:v>872919</c:v>
                </c:pt>
                <c:pt idx="13">
                  <c:v>993338</c:v>
                </c:pt>
                <c:pt idx="14">
                  <c:v>1059520</c:v>
                </c:pt>
                <c:pt idx="15">
                  <c:v>1134238</c:v>
                </c:pt>
                <c:pt idx="16">
                  <c:v>1153368</c:v>
                </c:pt>
                <c:pt idx="17">
                  <c:v>1163392</c:v>
                </c:pt>
                <c:pt idx="18">
                  <c:v>1147729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71-6741-B417-ABD6EB886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79601440"/>
        <c:axId val="-2079979104"/>
      </c:barChart>
      <c:catAx>
        <c:axId val="-20796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079979104"/>
        <c:crosses val="autoZero"/>
        <c:auto val="1"/>
        <c:lblAlgn val="ctr"/>
        <c:lblOffset val="100"/>
        <c:noMultiLvlLbl val="0"/>
      </c:catAx>
      <c:valAx>
        <c:axId val="-207997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0796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entury Gothic" charset="0"/>
              <a:ea typeface="Century Gothic" charset="0"/>
              <a:cs typeface="Century Gothic" charset="0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Hoja1!$B$20</c:f>
              <c:strCache>
                <c:ptCount val="1"/>
                <c:pt idx="0">
                  <c:v>Participación Aportes Universidades sobre Gasto Público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Hoja1!$A$21:$A$35</c:f>
              <c:numCache>
                <c:formatCode>General</c:formatCod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</c:numCache>
            </c:numRef>
          </c:cat>
          <c:val>
            <c:numRef>
              <c:f>Hoja1!$B$21:$B$35</c:f>
              <c:numCache>
                <c:formatCode>0.000</c:formatCode>
                <c:ptCount val="15"/>
                <c:pt idx="0">
                  <c:v>0.55700000000000005</c:v>
                </c:pt>
                <c:pt idx="1">
                  <c:v>0.57599999999999996</c:v>
                </c:pt>
                <c:pt idx="2">
                  <c:v>0.51100000000000001</c:v>
                </c:pt>
                <c:pt idx="3">
                  <c:v>0.51400000000000001</c:v>
                </c:pt>
                <c:pt idx="4">
                  <c:v>0.48799999999999999</c:v>
                </c:pt>
                <c:pt idx="5">
                  <c:v>0.46800000000000003</c:v>
                </c:pt>
                <c:pt idx="6">
                  <c:v>0.434</c:v>
                </c:pt>
                <c:pt idx="7">
                  <c:v>0.41399999999999998</c:v>
                </c:pt>
                <c:pt idx="8">
                  <c:v>0.39300000000000002</c:v>
                </c:pt>
                <c:pt idx="9">
                  <c:v>0.38800000000000001</c:v>
                </c:pt>
                <c:pt idx="10">
                  <c:v>0.39400000000000002</c:v>
                </c:pt>
                <c:pt idx="11">
                  <c:v>0.40500000000000003</c:v>
                </c:pt>
                <c:pt idx="12">
                  <c:v>0.39700000000000002</c:v>
                </c:pt>
                <c:pt idx="13">
                  <c:v>0.373</c:v>
                </c:pt>
                <c:pt idx="14">
                  <c:v>0.37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C1-4F14-A3D3-0EE20D485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78450192"/>
        <c:axId val="-2078498992"/>
      </c:lineChart>
      <c:dateAx>
        <c:axId val="-20784501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078498992"/>
        <c:crosses val="autoZero"/>
        <c:auto val="0"/>
        <c:lblOffset val="100"/>
        <c:baseTimeUnit val="days"/>
      </c:dateAx>
      <c:valAx>
        <c:axId val="-2078498992"/>
        <c:scaling>
          <c:orientation val="minMax"/>
          <c:min val="0.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charset="0"/>
                <a:ea typeface="Century Gothic" charset="0"/>
                <a:cs typeface="Century Gothic" charset="0"/>
              </a:defRPr>
            </a:pPr>
            <a:endParaRPr lang="es-CO"/>
          </a:p>
        </c:txPr>
        <c:crossAx val="-207845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ONU17</b:Tag>
    <b:SourceType>DocumentFromInternetSite</b:SourceType>
    <b:Guid>{334A0D46-067D-46A6-A5AA-963C1345776C}</b:Guid>
    <b:Author>
      <b:Author>
        <b:Corporate>ONU Mujeres, UNFPA, PNUD</b:Corporate>
      </b:Author>
    </b:Author>
    <b:Title>Brechas de género y desigualdad: de los Objetivos de Desarrollo del Milenio a los Objetivos de DEsarrollo Sostenible</b:Title>
    <b:Year>2017</b:Year>
    <b:City>Bogotá</b:City>
    <b:CountryRegion>Colombia</b:CountryRegion>
    <b:Month>Semptiembre</b:Month>
    <b:InternetSiteTitle>UNFPA Colombia</b:InternetSiteTitle>
    <b:URL>https://colombia.unfpa.org/sites/default/files/pub-pdf/PDF%20WEB%20BRECHAS%20DE%20GENERO%20Y%20DESIGUALDAD.pdf</b:URL>
    <b:RefOrder>1</b:RefOrder>
  </b:Source>
  <b:Source>
    <b:Tag>Ávi16</b:Tag>
    <b:SourceType>Report</b:SourceType>
    <b:Guid>{22031344-5101-4A04-92C4-CA66BFCDBB55}</b:Guid>
    <b:Title>Diferencias de género en la riqueza, ingresos y rentas de las personas naturales en COlombia</b:Title>
    <b:Year>2016</b:Year>
    <b:Publisher>Dirección General DIAN</b:Publisher>
    <b:City>Bogotá</b:City>
    <b:Author>
      <b:Author>
        <b:NameList>
          <b:Person>
            <b:Last>Ávila Mahecha</b:Last>
            <b:First>Javier</b:First>
          </b:Person>
        </b:NameList>
      </b:Author>
    </b:Author>
    <b:RefOrder>2</b:RefOrder>
  </b:Source>
  <b:Source>
    <b:Tag>DAN18</b:Tag>
    <b:SourceType>Report</b:SourceType>
    <b:Guid>{4B7D0E05-D00B-4E09-8F6D-1C2D6FD0D988}</b:Guid>
    <b:Author>
      <b:Author>
        <b:Corporate>DANE</b:Corporate>
      </b:Author>
    </b:Author>
    <b:Title>Resultados Censo Nacional de Población y Vivienda 2018</b:Title>
    <b:Year>2018</b:Year>
    <b:Publisher>DANE</b:Publisher>
    <b:City>Bogotá</b:City>
    <b:RefOrder>3</b:RefOrder>
  </b:Source>
  <b:Source>
    <b:Tag>Vil97</b:Tag>
    <b:SourceType>Book</b:SourceType>
    <b:Guid>{7EEE6D0C-05E2-4D4E-809A-DD3E11361290}</b:Guid>
    <b:Title>El poder y el valor: fundamentos de una ética política </b:Title>
    <b:Year>1997</b:Year>
    <b:Publisher>Fonde de Cultura Económica</b:Publisher>
    <b:City>CDMX</b:City>
    <b:Author>
      <b:Author>
        <b:NameList>
          <b:Person>
            <b:Last>Villoro</b:Last>
            <b:First>Luis</b:First>
          </b:Person>
        </b:NameList>
      </b:Author>
      <b:BookAuthor>
        <b:NameList>
          <b:Person>
            <b:Last>Villoro</b:Last>
            <b:First>Luis</b:First>
          </b:Person>
        </b:NameList>
      </b:BookAuthor>
    </b:Author>
    <b:RefOrder>4</b:RefOrder>
  </b:Source>
  <b:Source>
    <b:Tag>DAN20</b:Tag>
    <b:SourceType>Report</b:SourceType>
    <b:Guid>{9679367C-79B8-4006-A5F4-7E026189A0E5}</b:Guid>
    <b:Title>Boletín Técnico Mercado Laboral según Sexo Trimestre móvil noviembre 2019 - enero 2020</b:Title>
    <b:Year>2020</b:Year>
    <b:City>Bogotá</b:City>
    <b:Publisher>DANE</b:Publisher>
    <b:Author>
      <b:Author>
        <b:Corporate>DANE</b:Corporate>
      </b:Author>
    </b:Author>
    <b:RefOrder>5</b:RefOrder>
  </b:Source>
  <b:Source>
    <b:Tag>DAN19</b:Tag>
    <b:SourceType>Report</b:SourceType>
    <b:Guid>{9981174B-D27E-48A4-BF9F-B726F3FC8ED8}</b:Guid>
    <b:Author>
      <b:Author>
        <b:Corporate>DANE</b:Corporate>
      </b:Author>
    </b:Author>
    <b:Title>Boletín Estadístico Empoderamiento Económico de las Mujeres en Colombia</b:Title>
    <b:Year>2019</b:Year>
    <b:Publisher>DANE</b:Publisher>
    <b:City>Bogotá</b:City>
    <b:RefOrder>6</b:RefOrder>
  </b:Source>
  <b:Source>
    <b:Tag>Are18</b:Tag>
    <b:SourceType>Report</b:SourceType>
    <b:Guid>{8D9E2C2D-E75C-4B8A-A4FC-20EF41C9D8EE}</b:Guid>
    <b:Title>Política tributaria y sesgos de género: aproximaciones al caso colombiano</b:Title>
    <b:Year>2018</b:Year>
    <b:Publisher>Friedrich Ebert Stiftung</b:Publisher>
    <b:Author>
      <b:Author>
        <b:NameList>
          <b:Person>
            <b:Last>Arenas Saavedra</b:Last>
            <b:Middle>Isabel</b:Middle>
            <b:First>Ana</b:First>
          </b:Person>
        </b:NameList>
      </b:Author>
    </b:Author>
    <b:RefOrder>7</b:RefOrder>
  </b:Source>
  <b:Source>
    <b:Tag>Alm11</b:Tag>
    <b:SourceType>Report</b:SourceType>
    <b:Guid>{8B7D040B-488F-422B-87E9-6EB0A39FD37B}</b:Guid>
    <b:Title>Importancia de la perspectiva de género en los sistemas de estadísticas</b:Title>
    <b:Year>2011</b:Year>
    <b:City>Antigua Guatemala</b:City>
    <b:Publisher>Oficial de Asuntos Sociales, División de Asuntos de Género CEPAL</b:Publisher>
    <b:Author>
      <b:Author>
        <b:NameList>
          <b:Person>
            <b:Last>Alméras</b:Last>
            <b:First>Diane</b:First>
          </b:Person>
        </b:NameList>
      </b:Author>
    </b:Author>
    <b:RefOrder>8</b:RefOrder>
  </b:Source>
  <b:Source>
    <b:Tag>Loo15</b:Tag>
    <b:SourceType>JournalArticle</b:SourceType>
    <b:Guid>{CFCDC5CC-C19F-4B34-BB13-F13C9791D1C4}</b:Guid>
    <b:Title>A crisis in student loans? How changes in the characteristics of borrowers and in the institutions they attended contributed to rising loan defaults</b:Title>
    <b:Year>2015</b:Year>
    <b:JournalName>Brookings</b:JournalName>
    <b:Author>
      <b:Author>
        <b:NameList>
          <b:Person>
            <b:Last>Looney</b:Last>
            <b:First>Adam</b:First>
          </b:Person>
          <b:Person>
            <b:Last>Yannelis</b:Last>
            <b:First>Constantine</b:First>
          </b:Person>
        </b:NameList>
      </b:Author>
    </b:Author>
    <b:URL>https://www.brookings.edu/bpea-articles/a-crisis-in-student-loans-how-changes-in-the-characteristics-of-borrowers-and-in-the-institutions-they-attended-contributed-to-rising-loan-defaults/</b:URL>
    <b:RefOrder>1</b:RefOrder>
  </b:Source>
</b:Sources>
</file>

<file path=customXml/itemProps1.xml><?xml version="1.0" encoding="utf-8"?>
<ds:datastoreItem xmlns:ds="http://schemas.openxmlformats.org/officeDocument/2006/customXml" ds:itemID="{9E73F82F-D744-4DAC-8B5E-FC08A67D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1749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rodriguez</dc:creator>
  <cp:keywords/>
  <dc:description/>
  <cp:lastModifiedBy>hasbleidy suarez</cp:lastModifiedBy>
  <cp:revision>2</cp:revision>
  <cp:lastPrinted>2019-12-18T14:26:00Z</cp:lastPrinted>
  <dcterms:created xsi:type="dcterms:W3CDTF">2020-07-23T22:26:00Z</dcterms:created>
  <dcterms:modified xsi:type="dcterms:W3CDTF">2020-07-23T22:26:00Z</dcterms:modified>
</cp:coreProperties>
</file>