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BB0" w:rsidRDefault="00A0635D">
      <w:pPr>
        <w:widowControl w:val="0"/>
        <w:pBdr>
          <w:top w:val="nil"/>
          <w:left w:val="nil"/>
          <w:bottom w:val="nil"/>
          <w:right w:val="nil"/>
          <w:between w:val="nil"/>
        </w:pBdr>
        <w:spacing w:line="276" w:lineRule="auto"/>
        <w:ind w:left="0" w:hanging="2"/>
      </w:pPr>
      <w:r>
        <w:pict w14:anchorId="21FFC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0pt;height:50pt;z-index:251657728;visibility:hidden">
            <v:path o:extrusionok="t"/>
            <o:lock v:ext="edit" selection="t"/>
          </v:shape>
        </w:pict>
      </w:r>
    </w:p>
    <w:p w:rsidR="00BE0BB0" w:rsidRDefault="008B31B7">
      <w:pPr>
        <w:spacing w:after="160" w:line="259" w:lineRule="auto"/>
        <w:ind w:left="0" w:hanging="2"/>
        <w:jc w:val="right"/>
        <w:rPr>
          <w:rFonts w:ascii="Book Antiqua" w:eastAsia="Book Antiqua" w:hAnsi="Book Antiqua" w:cs="Book Antiqua"/>
          <w:sz w:val="22"/>
          <w:szCs w:val="22"/>
        </w:rPr>
      </w:pPr>
      <w:bookmarkStart w:id="0" w:name="bookmark=kix.5qltjnvmxcud" w:colFirst="0" w:colLast="0"/>
      <w:bookmarkEnd w:id="0"/>
      <w:r>
        <w:rPr>
          <w:rFonts w:ascii="Book Antiqua" w:eastAsia="Book Antiqua" w:hAnsi="Book Antiqua" w:cs="Book Antiqua"/>
          <w:sz w:val="22"/>
          <w:szCs w:val="22"/>
        </w:rPr>
        <w:t>Bogotá D.C, julio 21 de 2021</w:t>
      </w:r>
    </w:p>
    <w:p w:rsidR="00BE0BB0" w:rsidRDefault="00BE0BB0">
      <w:pPr>
        <w:spacing w:after="160" w:line="259" w:lineRule="auto"/>
        <w:ind w:left="0" w:hanging="2"/>
        <w:rPr>
          <w:rFonts w:ascii="Book Antiqua" w:eastAsia="Book Antiqua" w:hAnsi="Book Antiqua" w:cs="Book Antiqua"/>
          <w:sz w:val="22"/>
          <w:szCs w:val="22"/>
        </w:rPr>
      </w:pPr>
    </w:p>
    <w:p w:rsidR="00BE0BB0" w:rsidRDefault="008B31B7">
      <w:pPr>
        <w:spacing w:line="259" w:lineRule="auto"/>
        <w:ind w:left="0" w:hanging="2"/>
        <w:rPr>
          <w:rFonts w:ascii="Book Antiqua" w:eastAsia="Book Antiqua" w:hAnsi="Book Antiqua" w:cs="Book Antiqua"/>
          <w:sz w:val="22"/>
          <w:szCs w:val="22"/>
        </w:rPr>
      </w:pPr>
      <w:r>
        <w:rPr>
          <w:rFonts w:ascii="Book Antiqua" w:eastAsia="Book Antiqua" w:hAnsi="Book Antiqua" w:cs="Book Antiqua"/>
          <w:sz w:val="22"/>
          <w:szCs w:val="22"/>
        </w:rPr>
        <w:t>Señora</w:t>
      </w:r>
    </w:p>
    <w:p w:rsidR="00BE0BB0" w:rsidRDefault="008B31B7">
      <w:pPr>
        <w:spacing w:line="259" w:lineRule="auto"/>
        <w:ind w:left="0" w:hanging="2"/>
        <w:rPr>
          <w:rFonts w:ascii="Book Antiqua" w:eastAsia="Book Antiqua" w:hAnsi="Book Antiqua" w:cs="Book Antiqua"/>
          <w:b/>
          <w:sz w:val="22"/>
          <w:szCs w:val="22"/>
        </w:rPr>
      </w:pPr>
      <w:r>
        <w:rPr>
          <w:rFonts w:ascii="Book Antiqua" w:eastAsia="Book Antiqua" w:hAnsi="Book Antiqua" w:cs="Book Antiqua"/>
          <w:b/>
          <w:sz w:val="22"/>
          <w:szCs w:val="22"/>
        </w:rPr>
        <w:t>JENNIFER KRISTIN ARIAS FALLA</w:t>
      </w:r>
    </w:p>
    <w:p w:rsidR="00BE0BB0" w:rsidRDefault="008B31B7">
      <w:pPr>
        <w:spacing w:line="259" w:lineRule="auto"/>
        <w:ind w:left="0" w:hanging="2"/>
        <w:rPr>
          <w:rFonts w:ascii="Book Antiqua" w:eastAsia="Book Antiqua" w:hAnsi="Book Antiqua" w:cs="Book Antiqua"/>
          <w:sz w:val="22"/>
          <w:szCs w:val="22"/>
        </w:rPr>
      </w:pPr>
      <w:r>
        <w:rPr>
          <w:rFonts w:ascii="Book Antiqua" w:eastAsia="Book Antiqua" w:hAnsi="Book Antiqua" w:cs="Book Antiqua"/>
          <w:sz w:val="22"/>
          <w:szCs w:val="22"/>
        </w:rPr>
        <w:t>Presidente</w:t>
      </w:r>
    </w:p>
    <w:p w:rsidR="00BE0BB0" w:rsidRDefault="008B31B7">
      <w:pPr>
        <w:spacing w:line="259" w:lineRule="auto"/>
        <w:ind w:left="0" w:hanging="2"/>
        <w:rPr>
          <w:rFonts w:ascii="Book Antiqua" w:eastAsia="Book Antiqua" w:hAnsi="Book Antiqua" w:cs="Book Antiqua"/>
          <w:sz w:val="22"/>
          <w:szCs w:val="22"/>
        </w:rPr>
      </w:pPr>
      <w:r>
        <w:rPr>
          <w:rFonts w:ascii="Book Antiqua" w:eastAsia="Book Antiqua" w:hAnsi="Book Antiqua" w:cs="Book Antiqua"/>
          <w:sz w:val="22"/>
          <w:szCs w:val="22"/>
        </w:rPr>
        <w:t>Cámara de Representantes</w:t>
      </w:r>
    </w:p>
    <w:p w:rsidR="00BE0BB0" w:rsidRDefault="008B31B7">
      <w:pPr>
        <w:spacing w:line="259" w:lineRule="auto"/>
        <w:ind w:left="0" w:hanging="2"/>
        <w:rPr>
          <w:rFonts w:ascii="Book Antiqua" w:eastAsia="Book Antiqua" w:hAnsi="Book Antiqua" w:cs="Book Antiqua"/>
          <w:sz w:val="22"/>
          <w:szCs w:val="22"/>
        </w:rPr>
      </w:pPr>
      <w:r>
        <w:rPr>
          <w:rFonts w:ascii="Book Antiqua" w:eastAsia="Book Antiqua" w:hAnsi="Book Antiqua" w:cs="Book Antiqua"/>
          <w:sz w:val="22"/>
          <w:szCs w:val="22"/>
        </w:rPr>
        <w:t>Ciudad</w:t>
      </w:r>
    </w:p>
    <w:p w:rsidR="00BE0BB0" w:rsidRDefault="00BE0BB0">
      <w:pPr>
        <w:spacing w:after="160" w:line="259" w:lineRule="auto"/>
        <w:ind w:left="0" w:hanging="2"/>
        <w:rPr>
          <w:rFonts w:ascii="Book Antiqua" w:eastAsia="Book Antiqua" w:hAnsi="Book Antiqua" w:cs="Book Antiqua"/>
          <w:sz w:val="22"/>
          <w:szCs w:val="22"/>
        </w:rPr>
      </w:pPr>
    </w:p>
    <w:p w:rsidR="00BE0BB0" w:rsidRDefault="008B31B7">
      <w:pPr>
        <w:spacing w:after="160" w:line="259" w:lineRule="auto"/>
        <w:ind w:left="0" w:hanging="2"/>
        <w:rPr>
          <w:rFonts w:ascii="Book Antiqua" w:eastAsia="Book Antiqua" w:hAnsi="Book Antiqua" w:cs="Book Antiqua"/>
          <w:sz w:val="22"/>
          <w:szCs w:val="22"/>
        </w:rPr>
      </w:pPr>
      <w:r>
        <w:rPr>
          <w:rFonts w:ascii="Book Antiqua" w:eastAsia="Book Antiqua" w:hAnsi="Book Antiqua" w:cs="Book Antiqua"/>
          <w:b/>
          <w:sz w:val="22"/>
          <w:szCs w:val="22"/>
        </w:rPr>
        <w:t xml:space="preserve">Asunto: </w:t>
      </w:r>
      <w:r>
        <w:rPr>
          <w:rFonts w:ascii="Book Antiqua" w:eastAsia="Book Antiqua" w:hAnsi="Book Antiqua" w:cs="Book Antiqua"/>
          <w:sz w:val="22"/>
          <w:szCs w:val="22"/>
        </w:rPr>
        <w:t>Radicación de Proyecto de Ley.</w:t>
      </w:r>
    </w:p>
    <w:p w:rsidR="00BE0BB0" w:rsidRDefault="00BE0BB0">
      <w:pPr>
        <w:spacing w:after="160" w:line="259" w:lineRule="auto"/>
        <w:ind w:left="0" w:hanging="2"/>
        <w:rPr>
          <w:rFonts w:ascii="Book Antiqua" w:eastAsia="Book Antiqua" w:hAnsi="Book Antiqua" w:cs="Book Antiqua"/>
          <w:sz w:val="22"/>
          <w:szCs w:val="22"/>
        </w:rPr>
      </w:pPr>
    </w:p>
    <w:p w:rsidR="00BE0BB0" w:rsidRDefault="008B31B7">
      <w:pPr>
        <w:spacing w:after="160" w:line="259" w:lineRule="auto"/>
        <w:ind w:left="0" w:hanging="2"/>
        <w:rPr>
          <w:rFonts w:ascii="Book Antiqua" w:eastAsia="Book Antiqua" w:hAnsi="Book Antiqua" w:cs="Book Antiqua"/>
          <w:sz w:val="22"/>
          <w:szCs w:val="22"/>
        </w:rPr>
      </w:pPr>
      <w:r>
        <w:rPr>
          <w:rFonts w:ascii="Book Antiqua" w:eastAsia="Book Antiqua" w:hAnsi="Book Antiqua" w:cs="Book Antiqua"/>
          <w:sz w:val="22"/>
          <w:szCs w:val="22"/>
        </w:rPr>
        <w:t xml:space="preserve">Respetado Presidente, </w:t>
      </w:r>
    </w:p>
    <w:p w:rsidR="00BE0BB0" w:rsidRDefault="00BE0BB0">
      <w:pPr>
        <w:spacing w:after="160" w:line="259" w:lineRule="auto"/>
        <w:ind w:left="0" w:hanging="2"/>
        <w:rPr>
          <w:rFonts w:ascii="Book Antiqua" w:eastAsia="Book Antiqua" w:hAnsi="Book Antiqua" w:cs="Book Antiqua"/>
          <w:sz w:val="22"/>
          <w:szCs w:val="22"/>
        </w:rPr>
      </w:pPr>
    </w:p>
    <w:p w:rsidR="00BE0BB0" w:rsidRDefault="008B31B7">
      <w:pPr>
        <w:spacing w:after="160" w:line="276" w:lineRule="auto"/>
        <w:ind w:left="0" w:hanging="2"/>
        <w:jc w:val="both"/>
        <w:rPr>
          <w:rFonts w:ascii="Book Antiqua" w:eastAsia="Book Antiqua" w:hAnsi="Book Antiqua" w:cs="Book Antiqua"/>
          <w:b/>
          <w:i/>
        </w:rPr>
      </w:pPr>
      <w:r>
        <w:rPr>
          <w:rFonts w:ascii="Book Antiqua" w:eastAsia="Book Antiqua" w:hAnsi="Book Antiqua" w:cs="Book Antiqua"/>
          <w:sz w:val="22"/>
          <w:szCs w:val="22"/>
        </w:rPr>
        <w:t>De conformidad con lo establecido en la Ley 5 de 1992, nos permitimos presentar para consideración de la Honorable Cámara de Representantes el Proyecto de Ley de nuestra autoría denominado “</w:t>
      </w:r>
      <w:r>
        <w:rPr>
          <w:rFonts w:ascii="Book Antiqua" w:eastAsia="Book Antiqua" w:hAnsi="Book Antiqua" w:cs="Book Antiqua"/>
          <w:b/>
          <w:i/>
        </w:rPr>
        <w:t>Por medio de la cual se declara patrimonio cultural e inmaterial de la nación las exposiciones, ferias y festivales equinos y se dictan disposiciones para su fomento y promoción”</w:t>
      </w:r>
    </w:p>
    <w:p w:rsidR="00BE0BB0" w:rsidRDefault="00BE0BB0">
      <w:pPr>
        <w:spacing w:line="276" w:lineRule="auto"/>
        <w:ind w:left="0" w:hanging="2"/>
        <w:jc w:val="both"/>
        <w:rPr>
          <w:rFonts w:ascii="Book Antiqua" w:eastAsia="Book Antiqua" w:hAnsi="Book Antiqua" w:cs="Book Antiqua"/>
        </w:rPr>
      </w:pPr>
    </w:p>
    <w:p w:rsidR="00BE0BB0" w:rsidRDefault="008B31B7">
      <w:pPr>
        <w:spacing w:after="160" w:line="259" w:lineRule="auto"/>
        <w:ind w:left="0" w:hanging="2"/>
        <w:rPr>
          <w:rFonts w:ascii="Book Antiqua" w:eastAsia="Book Antiqua" w:hAnsi="Book Antiqua" w:cs="Book Antiqua"/>
          <w:sz w:val="22"/>
          <w:szCs w:val="22"/>
        </w:rPr>
      </w:pPr>
      <w:r>
        <w:rPr>
          <w:rFonts w:ascii="Book Antiqua" w:eastAsia="Book Antiqua" w:hAnsi="Book Antiqua" w:cs="Book Antiqua"/>
          <w:sz w:val="22"/>
          <w:szCs w:val="22"/>
        </w:rPr>
        <w:t xml:space="preserve">Cordialmente, </w:t>
      </w:r>
      <w:r>
        <w:rPr>
          <w:rFonts w:ascii="Book Antiqua" w:eastAsia="Book Antiqua" w:hAnsi="Book Antiqua" w:cs="Book Antiqua"/>
          <w:b/>
          <w:sz w:val="22"/>
          <w:szCs w:val="22"/>
        </w:rPr>
        <w:t xml:space="preserve">                    </w:t>
      </w:r>
    </w:p>
    <w:p w:rsidR="00BE0BB0" w:rsidRDefault="00BE0BB0">
      <w:pPr>
        <w:spacing w:after="160" w:line="259" w:lineRule="auto"/>
        <w:ind w:left="0" w:hanging="2"/>
        <w:rPr>
          <w:rFonts w:ascii="Book Antiqua" w:eastAsia="Book Antiqua" w:hAnsi="Book Antiqua" w:cs="Book Antiqua"/>
          <w:b/>
          <w:sz w:val="22"/>
          <w:szCs w:val="22"/>
        </w:rPr>
      </w:pPr>
    </w:p>
    <w:p w:rsidR="00BE0BB0" w:rsidRDefault="008B31B7">
      <w:pPr>
        <w:spacing w:after="160" w:line="276" w:lineRule="auto"/>
        <w:ind w:left="0" w:hanging="2"/>
        <w:jc w:val="both"/>
        <w:rPr>
          <w:rFonts w:ascii="Book Antiqua" w:eastAsia="Book Antiqua" w:hAnsi="Book Antiqua" w:cs="Book Antiqua"/>
          <w:noProof/>
          <w:sz w:val="22"/>
          <w:szCs w:val="22"/>
          <w:lang w:val="es-CO" w:eastAsia="es-CO"/>
        </w:rPr>
      </w:pPr>
      <w:bookmarkStart w:id="1" w:name="_heading=h.gjdgxs" w:colFirst="0" w:colLast="0"/>
      <w:bookmarkEnd w:id="1"/>
      <w:r>
        <w:rPr>
          <w:rFonts w:ascii="Book Antiqua" w:eastAsia="Book Antiqua" w:hAnsi="Book Antiqua" w:cs="Book Antiqua"/>
        </w:rPr>
        <w:t xml:space="preserve">                                        </w:t>
      </w:r>
    </w:p>
    <w:p w:rsidR="000418D4" w:rsidRDefault="000418D4">
      <w:pPr>
        <w:spacing w:after="160" w:line="276" w:lineRule="auto"/>
        <w:ind w:left="0" w:hanging="2"/>
        <w:jc w:val="both"/>
        <w:rPr>
          <w:rFonts w:ascii="Book Antiqua" w:eastAsia="Book Antiqua" w:hAnsi="Book Antiqua" w:cs="Book Antiqua"/>
          <w:sz w:val="22"/>
          <w:szCs w:val="22"/>
        </w:rPr>
      </w:pPr>
    </w:p>
    <w:p w:rsidR="00BE0BB0" w:rsidRDefault="008B31B7">
      <w:pPr>
        <w:spacing w:line="276" w:lineRule="auto"/>
        <w:ind w:left="0" w:hanging="2"/>
        <w:rPr>
          <w:rFonts w:ascii="Book Antiqua" w:eastAsia="Book Antiqua" w:hAnsi="Book Antiqua" w:cs="Book Antiqua"/>
          <w:b/>
          <w:sz w:val="22"/>
          <w:szCs w:val="22"/>
        </w:rPr>
      </w:pPr>
      <w:r>
        <w:rPr>
          <w:rFonts w:ascii="Book Antiqua" w:eastAsia="Book Antiqua" w:hAnsi="Book Antiqua" w:cs="Book Antiqua"/>
          <w:b/>
          <w:sz w:val="22"/>
          <w:szCs w:val="22"/>
        </w:rPr>
        <w:t>PAOLA HOLGUÍN MORENO                        JUAN ESPINAL</w:t>
      </w:r>
    </w:p>
    <w:p w:rsidR="00BE0BB0" w:rsidRDefault="008B31B7">
      <w:pPr>
        <w:spacing w:line="276" w:lineRule="auto"/>
        <w:ind w:left="0" w:hanging="2"/>
        <w:rPr>
          <w:rFonts w:ascii="Book Antiqua" w:eastAsia="Book Antiqua" w:hAnsi="Book Antiqua" w:cs="Book Antiqua"/>
          <w:sz w:val="22"/>
          <w:szCs w:val="22"/>
        </w:rPr>
      </w:pPr>
      <w:r>
        <w:rPr>
          <w:rFonts w:ascii="Book Antiqua" w:eastAsia="Book Antiqua" w:hAnsi="Book Antiqua" w:cs="Book Antiqua"/>
          <w:sz w:val="22"/>
          <w:szCs w:val="22"/>
        </w:rPr>
        <w:t>Senadora de la República                                   Representante a la Cámara por Antioquia</w:t>
      </w:r>
    </w:p>
    <w:p w:rsidR="00BE0BB0" w:rsidRDefault="008B31B7">
      <w:pPr>
        <w:spacing w:line="276" w:lineRule="auto"/>
        <w:ind w:left="0" w:hanging="2"/>
        <w:rPr>
          <w:rFonts w:ascii="Book Antiqua" w:eastAsia="Book Antiqua" w:hAnsi="Book Antiqua" w:cs="Book Antiqua"/>
          <w:sz w:val="22"/>
          <w:szCs w:val="22"/>
        </w:rPr>
      </w:pPr>
      <w:r>
        <w:rPr>
          <w:rFonts w:ascii="Book Antiqua" w:eastAsia="Book Antiqua" w:hAnsi="Book Antiqua" w:cs="Book Antiqua"/>
          <w:sz w:val="22"/>
          <w:szCs w:val="22"/>
        </w:rPr>
        <w:t>Partido Centro Democrático                              Partido Centro Democrático</w:t>
      </w:r>
    </w:p>
    <w:p w:rsidR="00BE0BB0" w:rsidRDefault="00BE0BB0">
      <w:pPr>
        <w:ind w:left="0" w:hanging="2"/>
        <w:jc w:val="center"/>
        <w:rPr>
          <w:rFonts w:ascii="Book Antiqua" w:eastAsia="Book Antiqua" w:hAnsi="Book Antiqua" w:cs="Book Antiqua"/>
          <w:b/>
        </w:rPr>
      </w:pPr>
    </w:p>
    <w:p w:rsidR="00BE0BB0" w:rsidRDefault="00BE0BB0">
      <w:pPr>
        <w:ind w:left="0" w:hanging="2"/>
        <w:jc w:val="center"/>
        <w:rPr>
          <w:rFonts w:ascii="Book Antiqua" w:eastAsia="Book Antiqua" w:hAnsi="Book Antiqua" w:cs="Book Antiqua"/>
          <w:b/>
        </w:rPr>
      </w:pPr>
    </w:p>
    <w:p w:rsidR="00BE0BB0" w:rsidRDefault="000418D4">
      <w:pPr>
        <w:ind w:left="0" w:hanging="2"/>
        <w:jc w:val="center"/>
        <w:rPr>
          <w:rFonts w:ascii="Book Antiqua" w:eastAsia="Book Antiqua" w:hAnsi="Book Antiqua" w:cs="Book Antiqua"/>
        </w:rPr>
      </w:pPr>
      <w:r>
        <w:rPr>
          <w:rFonts w:ascii="Book Antiqua" w:eastAsia="Book Antiqua" w:hAnsi="Book Antiqua" w:cs="Book Antiqua"/>
          <w:b/>
        </w:rPr>
        <w:lastRenderedPageBreak/>
        <w:t xml:space="preserve">PROYECTO DE LEY No.        </w:t>
      </w:r>
      <w:r w:rsidR="008B31B7">
        <w:rPr>
          <w:rFonts w:ascii="Book Antiqua" w:eastAsia="Book Antiqua" w:hAnsi="Book Antiqua" w:cs="Book Antiqua"/>
          <w:b/>
        </w:rPr>
        <w:t xml:space="preserve">2021 CÁMARA </w:t>
      </w:r>
    </w:p>
    <w:p w:rsidR="00BE0BB0" w:rsidRDefault="00BE0BB0">
      <w:pPr>
        <w:ind w:left="0" w:hanging="2"/>
        <w:jc w:val="center"/>
        <w:rPr>
          <w:rFonts w:ascii="Book Antiqua" w:eastAsia="Book Antiqua" w:hAnsi="Book Antiqua" w:cs="Book Antiqua"/>
        </w:rPr>
      </w:pPr>
    </w:p>
    <w:p w:rsidR="00BE0BB0" w:rsidRDefault="008B31B7">
      <w:pPr>
        <w:ind w:left="0" w:hanging="2"/>
        <w:jc w:val="center"/>
        <w:rPr>
          <w:rFonts w:ascii="Book Antiqua" w:eastAsia="Book Antiqua" w:hAnsi="Book Antiqua" w:cs="Book Antiqua"/>
          <w:color w:val="000000"/>
        </w:rPr>
      </w:pPr>
      <w:r>
        <w:rPr>
          <w:rFonts w:ascii="Book Antiqua" w:eastAsia="Book Antiqua" w:hAnsi="Book Antiqua" w:cs="Book Antiqua"/>
          <w:b/>
          <w:i/>
          <w:color w:val="000000"/>
        </w:rPr>
        <w:t>Por medio de la cual se declara patrimonio cultural e inmaterial de la nación las exposiciones, ferias y festivales equinos y se dictan disposiciones para su fomento y promoción</w:t>
      </w:r>
    </w:p>
    <w:p w:rsidR="00BE0BB0" w:rsidRDefault="00BE0BB0">
      <w:pPr>
        <w:ind w:left="0" w:hanging="2"/>
        <w:jc w:val="both"/>
        <w:rPr>
          <w:rFonts w:ascii="Book Antiqua" w:eastAsia="Book Antiqua" w:hAnsi="Book Antiqua" w:cs="Book Antiqua"/>
        </w:rPr>
      </w:pPr>
    </w:p>
    <w:p w:rsidR="00BE0BB0" w:rsidRDefault="008B31B7">
      <w:pPr>
        <w:spacing w:before="28" w:after="28"/>
        <w:ind w:left="0" w:hanging="2"/>
        <w:jc w:val="center"/>
        <w:rPr>
          <w:rFonts w:ascii="Book Antiqua" w:eastAsia="Book Antiqua" w:hAnsi="Book Antiqua" w:cs="Book Antiqua"/>
          <w:color w:val="000000"/>
        </w:rPr>
      </w:pPr>
      <w:r>
        <w:rPr>
          <w:rFonts w:ascii="Book Antiqua" w:eastAsia="Book Antiqua" w:hAnsi="Book Antiqua" w:cs="Book Antiqua"/>
          <w:b/>
          <w:color w:val="000000"/>
        </w:rPr>
        <w:t>El Congreso de Colombia</w:t>
      </w:r>
    </w:p>
    <w:p w:rsidR="00BE0BB0" w:rsidRDefault="00BE0BB0">
      <w:pPr>
        <w:spacing w:before="28" w:after="28"/>
        <w:ind w:left="0" w:hanging="2"/>
        <w:jc w:val="center"/>
        <w:rPr>
          <w:rFonts w:ascii="Book Antiqua" w:eastAsia="Book Antiqua" w:hAnsi="Book Antiqua" w:cs="Book Antiqua"/>
          <w:color w:val="000000"/>
        </w:rPr>
      </w:pPr>
    </w:p>
    <w:p w:rsidR="00BE0BB0" w:rsidRDefault="008B31B7">
      <w:pPr>
        <w:spacing w:before="28" w:after="28"/>
        <w:ind w:left="0" w:hanging="2"/>
        <w:jc w:val="center"/>
        <w:rPr>
          <w:rFonts w:ascii="Book Antiqua" w:eastAsia="Book Antiqua" w:hAnsi="Book Antiqua" w:cs="Book Antiqua"/>
          <w:color w:val="000000"/>
        </w:rPr>
      </w:pPr>
      <w:r>
        <w:rPr>
          <w:rFonts w:ascii="Book Antiqua" w:eastAsia="Book Antiqua" w:hAnsi="Book Antiqua" w:cs="Book Antiqua"/>
          <w:b/>
          <w:color w:val="000000"/>
        </w:rPr>
        <w:t>DECRETA:</w:t>
      </w:r>
    </w:p>
    <w:p w:rsidR="00BE0BB0" w:rsidRDefault="00BE0BB0">
      <w:pPr>
        <w:spacing w:before="57" w:after="57"/>
        <w:ind w:left="0" w:hanging="2"/>
        <w:jc w:val="both"/>
        <w:rPr>
          <w:rFonts w:ascii="Book Antiqua" w:eastAsia="Book Antiqua" w:hAnsi="Book Antiqua" w:cs="Book Antiqua"/>
          <w:color w:val="000000"/>
        </w:rPr>
      </w:pPr>
    </w:p>
    <w:p w:rsidR="00BE0BB0" w:rsidRDefault="008B31B7">
      <w:pPr>
        <w:pBdr>
          <w:top w:val="nil"/>
          <w:left w:val="nil"/>
          <w:bottom w:val="nil"/>
          <w:right w:val="nil"/>
          <w:between w:val="nil"/>
        </w:pBdr>
        <w:spacing w:after="160" w:line="240" w:lineRule="auto"/>
        <w:ind w:left="0" w:hanging="2"/>
        <w:jc w:val="both"/>
        <w:rPr>
          <w:rFonts w:ascii="Book Antiqua" w:eastAsia="Book Antiqua" w:hAnsi="Book Antiqua" w:cs="Book Antiqua"/>
          <w:color w:val="000000"/>
        </w:rPr>
      </w:pPr>
      <w:r>
        <w:rPr>
          <w:rFonts w:ascii="Book Antiqua" w:eastAsia="Book Antiqua" w:hAnsi="Book Antiqua" w:cs="Book Antiqua"/>
          <w:b/>
          <w:color w:val="000000"/>
        </w:rPr>
        <w:t>Artículo 1°.</w:t>
      </w:r>
      <w:r>
        <w:rPr>
          <w:rFonts w:ascii="Book Antiqua" w:eastAsia="Book Antiqua" w:hAnsi="Book Antiqua" w:cs="Book Antiqua"/>
          <w:color w:val="000000"/>
        </w:rPr>
        <w:t xml:space="preserve"> </w:t>
      </w:r>
      <w:r>
        <w:rPr>
          <w:rFonts w:ascii="Book Antiqua" w:eastAsia="Book Antiqua" w:hAnsi="Book Antiqua" w:cs="Book Antiqua"/>
          <w:b/>
          <w:color w:val="000000"/>
        </w:rPr>
        <w:t>Objeto</w:t>
      </w:r>
      <w:r>
        <w:rPr>
          <w:rFonts w:ascii="Book Antiqua" w:eastAsia="Book Antiqua" w:hAnsi="Book Antiqua" w:cs="Book Antiqua"/>
          <w:color w:val="000000"/>
        </w:rPr>
        <w:t xml:space="preserve">: Declárese como patrimonio Cultural e Inmaterial de la Nación las exposiciones, ferias y festivales equinos que se realizan en el territorio nacional. </w:t>
      </w:r>
    </w:p>
    <w:p w:rsidR="00BE0BB0" w:rsidRDefault="008B31B7">
      <w:pPr>
        <w:spacing w:before="28"/>
        <w:ind w:left="0" w:hanging="2"/>
        <w:jc w:val="both"/>
        <w:rPr>
          <w:rFonts w:ascii="Book Antiqua" w:eastAsia="Book Antiqua" w:hAnsi="Book Antiqua" w:cs="Book Antiqua"/>
          <w:color w:val="000000"/>
        </w:rPr>
      </w:pPr>
      <w:r>
        <w:rPr>
          <w:rFonts w:ascii="Book Antiqua" w:eastAsia="Book Antiqua" w:hAnsi="Book Antiqua" w:cs="Book Antiqua"/>
          <w:b/>
          <w:color w:val="000000"/>
        </w:rPr>
        <w:t>Artículo 2º</w:t>
      </w:r>
      <w:r>
        <w:rPr>
          <w:rFonts w:ascii="Book Antiqua" w:eastAsia="Book Antiqua" w:hAnsi="Book Antiqua" w:cs="Book Antiqua"/>
          <w:color w:val="000000"/>
        </w:rPr>
        <w:t xml:space="preserve">. </w:t>
      </w:r>
      <w:r>
        <w:rPr>
          <w:rFonts w:ascii="Book Antiqua" w:eastAsia="Book Antiqua" w:hAnsi="Book Antiqua" w:cs="Book Antiqua"/>
          <w:b/>
          <w:color w:val="000000"/>
        </w:rPr>
        <w:t xml:space="preserve">Inclusión en la Lista Representativa de Patrimonio Cultural Inmaterial. </w:t>
      </w:r>
      <w:r>
        <w:rPr>
          <w:rFonts w:ascii="Book Antiqua" w:eastAsia="Book Antiqua" w:hAnsi="Book Antiqua" w:cs="Book Antiqua"/>
          <w:color w:val="000000"/>
        </w:rPr>
        <w:t>Autorícese al Gobierno Nacional, a través del Ministerio de Cultura, en los términos previstos en la Ley 397 de 1997, modificada por la Ley 1185 de 2008, la inclusión de las exposiciones, ferias y festivales equinos que se realizan en el territorio nacional en la Lista Representativa de Patrimonio Cultural Inmaterial.</w:t>
      </w:r>
    </w:p>
    <w:p w:rsidR="00BE0BB0" w:rsidRDefault="00BE0BB0">
      <w:pPr>
        <w:spacing w:before="28"/>
        <w:ind w:left="0" w:hanging="2"/>
        <w:jc w:val="both"/>
        <w:rPr>
          <w:rFonts w:ascii="Book Antiqua" w:eastAsia="Book Antiqua" w:hAnsi="Book Antiqua" w:cs="Book Antiqua"/>
          <w:color w:val="000000"/>
        </w:rPr>
      </w:pPr>
    </w:p>
    <w:p w:rsidR="00BE0BB0" w:rsidRDefault="008B31B7">
      <w:pPr>
        <w:spacing w:before="28"/>
        <w:ind w:left="0" w:hanging="2"/>
        <w:jc w:val="both"/>
        <w:rPr>
          <w:rFonts w:ascii="Book Antiqua" w:eastAsia="Book Antiqua" w:hAnsi="Book Antiqua" w:cs="Book Antiqua"/>
          <w:color w:val="000000"/>
        </w:rPr>
      </w:pPr>
      <w:r>
        <w:rPr>
          <w:rFonts w:ascii="Book Antiqua" w:eastAsia="Book Antiqua" w:hAnsi="Book Antiqua" w:cs="Book Antiqua"/>
          <w:b/>
          <w:color w:val="000000"/>
        </w:rPr>
        <w:t xml:space="preserve">Artículo 3º. Plan de Salvaguarda Especial –PES—. </w:t>
      </w:r>
      <w:r>
        <w:rPr>
          <w:rFonts w:ascii="Book Antiqua" w:eastAsia="Book Antiqua" w:hAnsi="Book Antiqua" w:cs="Book Antiqua"/>
          <w:color w:val="000000"/>
        </w:rPr>
        <w:t xml:space="preserve">El Gobierno Nacional promoverá activamente, por intermedio del Ministerio de Cultura y el acompañamiento del Ministerio de Agricultura y Desarrollo Rural, la elaboración del correspondiente Plan de Salvaguarda para el estudio, fortalecimiento, sostenibilidad, promoción y divulgación, nacional e internacional, de este tipo de actividad cultural. </w:t>
      </w:r>
    </w:p>
    <w:p w:rsidR="00BE0BB0" w:rsidRDefault="00BE0BB0">
      <w:pPr>
        <w:spacing w:before="28"/>
        <w:ind w:left="0" w:hanging="2"/>
        <w:jc w:val="both"/>
        <w:rPr>
          <w:rFonts w:ascii="Book Antiqua" w:eastAsia="Book Antiqua" w:hAnsi="Book Antiqua" w:cs="Book Antiqua"/>
          <w:color w:val="000000"/>
        </w:rPr>
      </w:pPr>
    </w:p>
    <w:p w:rsidR="00BE0BB0" w:rsidRDefault="008B31B7">
      <w:pPr>
        <w:spacing w:before="28"/>
        <w:ind w:left="0" w:hanging="2"/>
        <w:jc w:val="both"/>
        <w:rPr>
          <w:rFonts w:ascii="Book Antiqua" w:eastAsia="Book Antiqua" w:hAnsi="Book Antiqua" w:cs="Book Antiqua"/>
          <w:color w:val="000000"/>
        </w:rPr>
      </w:pPr>
      <w:r>
        <w:rPr>
          <w:rFonts w:ascii="Book Antiqua" w:eastAsia="Book Antiqua" w:hAnsi="Book Antiqua" w:cs="Book Antiqua"/>
          <w:b/>
          <w:color w:val="000000"/>
        </w:rPr>
        <w:t xml:space="preserve">Artículo 4º. Estrategia  </w:t>
      </w:r>
      <w:r>
        <w:rPr>
          <w:rFonts w:ascii="Book Antiqua" w:eastAsia="Book Antiqua" w:hAnsi="Book Antiqua" w:cs="Book Antiqua"/>
          <w:color w:val="000000"/>
        </w:rPr>
        <w:t xml:space="preserve">El Gobierno Nacional, por intermedio de los Ministerios de Cultura, Agricultura y Desarrollo Rural y de Industria, Comercio y Turismo y el Ministerio de Relaciones Exteriores,  diseñará e implementará una Estrategia Integral para el Fomento de la actividad equina, el asesoramiento y acompañamiento a las entidades territoriales que en cuyos territorios se lleven a cabo exposiciones, ferias y festivales equinos, con el objetivo principal de mejorar los  procesos de organización y difusión, nacional e internacional.  </w:t>
      </w:r>
    </w:p>
    <w:p w:rsidR="00BE0BB0" w:rsidRDefault="00BE0BB0">
      <w:pPr>
        <w:spacing w:before="28"/>
        <w:ind w:left="0" w:hanging="2"/>
        <w:jc w:val="both"/>
        <w:rPr>
          <w:rFonts w:ascii="Book Antiqua" w:eastAsia="Book Antiqua" w:hAnsi="Book Antiqua" w:cs="Book Antiqua"/>
          <w:color w:val="000000"/>
        </w:rPr>
      </w:pPr>
    </w:p>
    <w:p w:rsidR="00BE0BB0" w:rsidRDefault="008B31B7">
      <w:pPr>
        <w:spacing w:before="23"/>
        <w:ind w:left="0" w:hanging="2"/>
        <w:jc w:val="both"/>
        <w:rPr>
          <w:rFonts w:ascii="Book Antiqua" w:eastAsia="Book Antiqua" w:hAnsi="Book Antiqua" w:cs="Book Antiqua"/>
          <w:color w:val="000000"/>
        </w:rPr>
      </w:pPr>
      <w:r>
        <w:rPr>
          <w:rFonts w:ascii="Book Antiqua" w:eastAsia="Book Antiqua" w:hAnsi="Book Antiqua" w:cs="Book Antiqua"/>
          <w:b/>
          <w:color w:val="000000"/>
        </w:rPr>
        <w:lastRenderedPageBreak/>
        <w:t>Artículo 5°.</w:t>
      </w:r>
      <w:r>
        <w:rPr>
          <w:rFonts w:ascii="Book Antiqua" w:eastAsia="Book Antiqua" w:hAnsi="Book Antiqua" w:cs="Book Antiqua"/>
          <w:color w:val="000000"/>
        </w:rPr>
        <w:t xml:space="preserve"> </w:t>
      </w:r>
      <w:r>
        <w:rPr>
          <w:rFonts w:ascii="Book Antiqua" w:eastAsia="Book Antiqua" w:hAnsi="Book Antiqua" w:cs="Book Antiqua"/>
          <w:b/>
          <w:color w:val="000000"/>
        </w:rPr>
        <w:t>Autorización para la destinación de recursos públicos</w:t>
      </w:r>
      <w:r>
        <w:rPr>
          <w:rFonts w:ascii="Book Antiqua" w:eastAsia="Book Antiqua" w:hAnsi="Book Antiqua" w:cs="Book Antiqua"/>
          <w:color w:val="000000"/>
        </w:rPr>
        <w:t xml:space="preserve">. Autorícese al Gobierno Nacional a destinar, de los recursos del Presupuesto General de la Nación, las partidas necesarias para la construcción y adecuación de instalaciones o escenarios propicios para el desarrollo de exposiciones, ferias y festivales equinos, así como para el cumplimiento de lo dispuesto en la presente Ley. </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3"/>
        <w:ind w:left="0" w:hanging="2"/>
        <w:jc w:val="both"/>
        <w:rPr>
          <w:rFonts w:ascii="Book Antiqua" w:eastAsia="Book Antiqua" w:hAnsi="Book Antiqua" w:cs="Book Antiqua"/>
          <w:color w:val="000000"/>
        </w:rPr>
      </w:pPr>
      <w:r>
        <w:rPr>
          <w:rFonts w:ascii="Book Antiqua" w:eastAsia="Book Antiqua" w:hAnsi="Book Antiqua" w:cs="Book Antiqua"/>
          <w:b/>
          <w:color w:val="000000"/>
        </w:rPr>
        <w:t>Artículo 6°. Vigencia</w:t>
      </w:r>
      <w:r>
        <w:rPr>
          <w:rFonts w:ascii="Book Antiqua" w:eastAsia="Book Antiqua" w:hAnsi="Book Antiqua" w:cs="Book Antiqua"/>
          <w:color w:val="000000"/>
        </w:rPr>
        <w:t>. La presente Ley rige a partir de su promulgación.</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after="200" w:line="276" w:lineRule="auto"/>
        <w:ind w:left="0" w:hanging="2"/>
        <w:jc w:val="both"/>
        <w:rPr>
          <w:rFonts w:ascii="Book Antiqua" w:eastAsia="Book Antiqua" w:hAnsi="Book Antiqua" w:cs="Book Antiqua"/>
          <w:b/>
        </w:rPr>
      </w:pPr>
      <w:r>
        <w:rPr>
          <w:rFonts w:ascii="Book Antiqua" w:eastAsia="Book Antiqua" w:hAnsi="Book Antiqua" w:cs="Book Antiqua"/>
          <w:b/>
        </w:rPr>
        <w:t>AUTORES:</w:t>
      </w:r>
    </w:p>
    <w:tbl>
      <w:tblPr>
        <w:tblStyle w:val="a"/>
        <w:tblW w:w="859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5"/>
        <w:gridCol w:w="4296"/>
      </w:tblGrid>
      <w:tr w:rsidR="00BE0BB0">
        <w:tc>
          <w:tcPr>
            <w:tcW w:w="4295" w:type="dxa"/>
            <w:shd w:val="clear" w:color="auto" w:fill="auto"/>
            <w:tcMar>
              <w:top w:w="100" w:type="dxa"/>
              <w:left w:w="100" w:type="dxa"/>
              <w:bottom w:w="100" w:type="dxa"/>
              <w:right w:w="100" w:type="dxa"/>
            </w:tcMar>
          </w:tcPr>
          <w:p w:rsidR="00BE0BB0" w:rsidRDefault="00BE0BB0">
            <w:pPr>
              <w:spacing w:after="160" w:line="276" w:lineRule="auto"/>
              <w:ind w:left="0" w:hanging="2"/>
              <w:rPr>
                <w:rFonts w:ascii="Book Antiqua" w:eastAsia="Book Antiqua" w:hAnsi="Book Antiqua" w:cs="Book Antiqua"/>
                <w:noProof/>
                <w:sz w:val="22"/>
                <w:szCs w:val="22"/>
                <w:lang w:val="es-CO" w:eastAsia="es-CO"/>
              </w:rPr>
            </w:pPr>
          </w:p>
          <w:p w:rsidR="000418D4" w:rsidRDefault="000418D4">
            <w:pPr>
              <w:spacing w:after="160" w:line="276" w:lineRule="auto"/>
              <w:ind w:left="0" w:hanging="2"/>
              <w:rPr>
                <w:rFonts w:ascii="Book Antiqua" w:eastAsia="Book Antiqua" w:hAnsi="Book Antiqua" w:cs="Book Antiqua"/>
                <w:noProof/>
                <w:sz w:val="22"/>
                <w:szCs w:val="22"/>
                <w:lang w:val="es-CO" w:eastAsia="es-CO"/>
              </w:rPr>
            </w:pPr>
          </w:p>
          <w:p w:rsidR="000418D4" w:rsidRDefault="000418D4">
            <w:pPr>
              <w:spacing w:after="160" w:line="276" w:lineRule="auto"/>
              <w:ind w:left="0" w:hanging="2"/>
              <w:rPr>
                <w:rFonts w:ascii="Book Antiqua" w:eastAsia="Book Antiqua" w:hAnsi="Book Antiqua" w:cs="Book Antiqua"/>
                <w:sz w:val="22"/>
                <w:szCs w:val="22"/>
              </w:rPr>
            </w:pPr>
          </w:p>
          <w:p w:rsidR="00BE0BB0" w:rsidRDefault="008B31B7">
            <w:pPr>
              <w:spacing w:line="276" w:lineRule="auto"/>
              <w:ind w:left="0" w:hanging="2"/>
              <w:rPr>
                <w:rFonts w:ascii="Book Antiqua" w:eastAsia="Book Antiqua" w:hAnsi="Book Antiqua" w:cs="Book Antiqua"/>
                <w:b/>
                <w:sz w:val="22"/>
                <w:szCs w:val="22"/>
              </w:rPr>
            </w:pPr>
            <w:r>
              <w:rPr>
                <w:rFonts w:ascii="Book Antiqua" w:eastAsia="Book Antiqua" w:hAnsi="Book Antiqua" w:cs="Book Antiqua"/>
                <w:b/>
                <w:sz w:val="22"/>
                <w:szCs w:val="22"/>
              </w:rPr>
              <w:t>PAOLA HOLGUÍN MORENO</w:t>
            </w:r>
          </w:p>
          <w:p w:rsidR="00BE0BB0" w:rsidRDefault="008B31B7">
            <w:pPr>
              <w:spacing w:line="276" w:lineRule="auto"/>
              <w:ind w:left="0" w:hanging="2"/>
              <w:rPr>
                <w:rFonts w:ascii="Book Antiqua" w:eastAsia="Book Antiqua" w:hAnsi="Book Antiqua" w:cs="Book Antiqua"/>
                <w:sz w:val="22"/>
                <w:szCs w:val="22"/>
              </w:rPr>
            </w:pPr>
            <w:r>
              <w:rPr>
                <w:rFonts w:ascii="Book Antiqua" w:eastAsia="Book Antiqua" w:hAnsi="Book Antiqua" w:cs="Book Antiqua"/>
                <w:sz w:val="22"/>
                <w:szCs w:val="22"/>
              </w:rPr>
              <w:t>Senadora de la República</w:t>
            </w:r>
          </w:p>
          <w:p w:rsidR="00BE0BB0" w:rsidRDefault="008B31B7">
            <w:pPr>
              <w:spacing w:line="276" w:lineRule="auto"/>
              <w:ind w:left="0" w:hanging="2"/>
              <w:rPr>
                <w:rFonts w:ascii="Book Antiqua" w:eastAsia="Book Antiqua" w:hAnsi="Book Antiqua" w:cs="Book Antiqua"/>
                <w:sz w:val="22"/>
                <w:szCs w:val="22"/>
              </w:rPr>
            </w:pPr>
            <w:r>
              <w:rPr>
                <w:rFonts w:ascii="Book Antiqua" w:eastAsia="Book Antiqua" w:hAnsi="Book Antiqua" w:cs="Book Antiqua"/>
                <w:sz w:val="22"/>
                <w:szCs w:val="22"/>
              </w:rPr>
              <w:t>Partido Centro Democrático</w:t>
            </w:r>
          </w:p>
        </w:tc>
        <w:tc>
          <w:tcPr>
            <w:tcW w:w="4295" w:type="dxa"/>
            <w:shd w:val="clear" w:color="auto" w:fill="auto"/>
            <w:tcMar>
              <w:top w:w="100" w:type="dxa"/>
              <w:left w:w="100" w:type="dxa"/>
              <w:bottom w:w="100" w:type="dxa"/>
              <w:right w:w="100" w:type="dxa"/>
            </w:tcMar>
          </w:tcPr>
          <w:p w:rsidR="00BE0BB0" w:rsidRDefault="00BE0BB0">
            <w:pPr>
              <w:spacing w:after="160" w:line="276" w:lineRule="auto"/>
              <w:ind w:left="0" w:hanging="2"/>
              <w:rPr>
                <w:rFonts w:ascii="Book Antiqua" w:eastAsia="Book Antiqua" w:hAnsi="Book Antiqua" w:cs="Book Antiqua"/>
                <w:noProof/>
                <w:sz w:val="22"/>
                <w:szCs w:val="22"/>
                <w:lang w:val="es-CO" w:eastAsia="es-CO"/>
              </w:rPr>
            </w:pPr>
          </w:p>
          <w:p w:rsidR="000418D4" w:rsidRDefault="000418D4">
            <w:pPr>
              <w:spacing w:after="160" w:line="276" w:lineRule="auto"/>
              <w:ind w:left="0" w:hanging="2"/>
              <w:rPr>
                <w:rFonts w:ascii="Book Antiqua" w:eastAsia="Book Antiqua" w:hAnsi="Book Antiqua" w:cs="Book Antiqua"/>
                <w:noProof/>
                <w:sz w:val="22"/>
                <w:szCs w:val="22"/>
                <w:lang w:val="es-CO" w:eastAsia="es-CO"/>
              </w:rPr>
            </w:pPr>
          </w:p>
          <w:p w:rsidR="000418D4" w:rsidRDefault="000418D4">
            <w:pPr>
              <w:spacing w:after="160" w:line="276" w:lineRule="auto"/>
              <w:ind w:left="0" w:hanging="2"/>
              <w:rPr>
                <w:rFonts w:ascii="Book Antiqua" w:eastAsia="Book Antiqua" w:hAnsi="Book Antiqua" w:cs="Book Antiqua"/>
                <w:sz w:val="22"/>
                <w:szCs w:val="22"/>
              </w:rPr>
            </w:pPr>
          </w:p>
          <w:p w:rsidR="00BE0BB0" w:rsidRDefault="008B31B7">
            <w:pPr>
              <w:spacing w:line="276" w:lineRule="auto"/>
              <w:ind w:left="0" w:hanging="2"/>
              <w:rPr>
                <w:rFonts w:ascii="Book Antiqua" w:eastAsia="Book Antiqua" w:hAnsi="Book Antiqua" w:cs="Book Antiqua"/>
                <w:b/>
                <w:sz w:val="22"/>
                <w:szCs w:val="22"/>
              </w:rPr>
            </w:pPr>
            <w:r>
              <w:rPr>
                <w:rFonts w:ascii="Book Antiqua" w:eastAsia="Book Antiqua" w:hAnsi="Book Antiqua" w:cs="Book Antiqua"/>
                <w:b/>
                <w:sz w:val="22"/>
                <w:szCs w:val="22"/>
              </w:rPr>
              <w:t>JUAN ESPINAL</w:t>
            </w:r>
          </w:p>
          <w:p w:rsidR="00BE0BB0" w:rsidRDefault="008B31B7">
            <w:pPr>
              <w:spacing w:line="276" w:lineRule="auto"/>
              <w:ind w:left="0" w:hanging="2"/>
              <w:rPr>
                <w:rFonts w:ascii="Book Antiqua" w:eastAsia="Book Antiqua" w:hAnsi="Book Antiqua" w:cs="Book Antiqua"/>
                <w:sz w:val="22"/>
                <w:szCs w:val="22"/>
              </w:rPr>
            </w:pPr>
            <w:r>
              <w:rPr>
                <w:rFonts w:ascii="Book Antiqua" w:eastAsia="Book Antiqua" w:hAnsi="Book Antiqua" w:cs="Book Antiqua"/>
                <w:sz w:val="22"/>
                <w:szCs w:val="22"/>
              </w:rPr>
              <w:t>Representante a la Cámara por Antioquia</w:t>
            </w:r>
          </w:p>
          <w:p w:rsidR="00BE0BB0" w:rsidRDefault="008B31B7">
            <w:pPr>
              <w:spacing w:line="276" w:lineRule="auto"/>
              <w:ind w:left="0" w:hanging="2"/>
              <w:rPr>
                <w:rFonts w:ascii="Book Antiqua" w:eastAsia="Book Antiqua" w:hAnsi="Book Antiqua" w:cs="Book Antiqua"/>
                <w:sz w:val="22"/>
                <w:szCs w:val="22"/>
              </w:rPr>
            </w:pPr>
            <w:r>
              <w:rPr>
                <w:rFonts w:ascii="Book Antiqua" w:eastAsia="Book Antiqua" w:hAnsi="Book Antiqua" w:cs="Book Antiqua"/>
                <w:sz w:val="22"/>
                <w:szCs w:val="22"/>
              </w:rPr>
              <w:t>Partido Centro Democrático</w:t>
            </w:r>
          </w:p>
        </w:tc>
      </w:tr>
    </w:tbl>
    <w:p w:rsidR="000418D4" w:rsidRDefault="000418D4">
      <w:pPr>
        <w:spacing w:after="200" w:line="276" w:lineRule="auto"/>
        <w:ind w:left="0" w:hanging="2"/>
        <w:jc w:val="both"/>
        <w:rPr>
          <w:rFonts w:ascii="Book Antiqua" w:eastAsia="Book Antiqua" w:hAnsi="Book Antiqua" w:cs="Book Antiqua"/>
          <w:b/>
        </w:rPr>
      </w:pPr>
    </w:p>
    <w:p w:rsidR="00BE0BB0" w:rsidRDefault="008B31B7">
      <w:pPr>
        <w:spacing w:after="200" w:line="276" w:lineRule="auto"/>
        <w:ind w:left="0" w:hanging="2"/>
        <w:jc w:val="both"/>
        <w:rPr>
          <w:rFonts w:ascii="Book Antiqua" w:eastAsia="Book Antiqua" w:hAnsi="Book Antiqua" w:cs="Book Antiqua"/>
          <w:b/>
          <w:sz w:val="28"/>
          <w:szCs w:val="28"/>
        </w:rPr>
      </w:pPr>
      <w:r>
        <w:rPr>
          <w:rFonts w:ascii="Book Antiqua" w:eastAsia="Book Antiqua" w:hAnsi="Book Antiqua" w:cs="Book Antiqua"/>
          <w:b/>
        </w:rPr>
        <w:t>COAUTORES:</w:t>
      </w:r>
    </w:p>
    <w:tbl>
      <w:tblPr>
        <w:tblStyle w:val="a0"/>
        <w:tblW w:w="859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5"/>
        <w:gridCol w:w="4296"/>
      </w:tblGrid>
      <w:tr w:rsidR="00BE0BB0">
        <w:tc>
          <w:tcPr>
            <w:tcW w:w="4295" w:type="dxa"/>
            <w:shd w:val="clear" w:color="auto" w:fill="auto"/>
            <w:tcMar>
              <w:top w:w="100" w:type="dxa"/>
              <w:left w:w="100" w:type="dxa"/>
              <w:bottom w:w="100" w:type="dxa"/>
              <w:right w:w="100" w:type="dxa"/>
            </w:tcMar>
          </w:tcPr>
          <w:p w:rsidR="00BE0BB0" w:rsidRDefault="00BE0BB0">
            <w:pPr>
              <w:widowControl w:val="0"/>
              <w:ind w:left="0" w:hanging="2"/>
              <w:rPr>
                <w:rFonts w:ascii="Book Antiqua" w:eastAsia="Book Antiqua" w:hAnsi="Book Antiqua" w:cs="Book Antiqua"/>
              </w:rPr>
            </w:pPr>
          </w:p>
          <w:p w:rsidR="00BE0BB0" w:rsidRDefault="008B31B7">
            <w:pPr>
              <w:widowControl w:val="0"/>
              <w:ind w:left="0" w:hanging="2"/>
              <w:rPr>
                <w:rFonts w:ascii="Book Antiqua" w:eastAsia="Book Antiqua" w:hAnsi="Book Antiqua" w:cs="Book Antiqua"/>
                <w:b/>
              </w:rPr>
            </w:pPr>
            <w:r>
              <w:rPr>
                <w:rFonts w:ascii="Book Antiqua" w:eastAsia="Book Antiqua" w:hAnsi="Book Antiqua" w:cs="Book Antiqua"/>
                <w:b/>
              </w:rPr>
              <w:t>CHRISTIAN GARCÉS</w:t>
            </w:r>
          </w:p>
          <w:p w:rsidR="00BE0BB0" w:rsidRDefault="008B31B7">
            <w:pPr>
              <w:widowControl w:val="0"/>
              <w:ind w:left="0" w:hanging="2"/>
              <w:rPr>
                <w:rFonts w:ascii="Book Antiqua" w:eastAsia="Book Antiqua" w:hAnsi="Book Antiqua" w:cs="Book Antiqua"/>
              </w:rPr>
            </w:pPr>
            <w:r>
              <w:rPr>
                <w:rFonts w:ascii="Book Antiqua" w:eastAsia="Book Antiqua" w:hAnsi="Book Antiqua" w:cs="Book Antiqua"/>
              </w:rPr>
              <w:t>Representante a la Cámara</w:t>
            </w:r>
          </w:p>
          <w:p w:rsidR="00BE0BB0" w:rsidRDefault="008B31B7">
            <w:pPr>
              <w:widowControl w:val="0"/>
              <w:ind w:left="0" w:hanging="2"/>
              <w:rPr>
                <w:rFonts w:ascii="Book Antiqua" w:eastAsia="Book Antiqua" w:hAnsi="Book Antiqua" w:cs="Book Antiqua"/>
              </w:rPr>
            </w:pPr>
            <w:r>
              <w:rPr>
                <w:rFonts w:ascii="Book Antiqua" w:eastAsia="Book Antiqua" w:hAnsi="Book Antiqua" w:cs="Book Antiqua"/>
              </w:rPr>
              <w:t xml:space="preserve">Valle del Cauca </w:t>
            </w:r>
          </w:p>
          <w:p w:rsidR="00BE0BB0" w:rsidRDefault="008B31B7">
            <w:pPr>
              <w:widowControl w:val="0"/>
              <w:ind w:left="0" w:hanging="2"/>
              <w:rPr>
                <w:rFonts w:ascii="Book Antiqua" w:eastAsia="Book Antiqua" w:hAnsi="Book Antiqua" w:cs="Book Antiqua"/>
              </w:rPr>
            </w:pPr>
            <w:r>
              <w:rPr>
                <w:rFonts w:ascii="Book Antiqua" w:eastAsia="Book Antiqua" w:hAnsi="Book Antiqua" w:cs="Book Antiqua"/>
              </w:rPr>
              <w:t>Partido Centro Democrático</w:t>
            </w:r>
          </w:p>
        </w:tc>
        <w:tc>
          <w:tcPr>
            <w:tcW w:w="4295" w:type="dxa"/>
            <w:shd w:val="clear" w:color="auto" w:fill="auto"/>
            <w:tcMar>
              <w:top w:w="100" w:type="dxa"/>
              <w:left w:w="100" w:type="dxa"/>
              <w:bottom w:w="100" w:type="dxa"/>
              <w:right w:w="100" w:type="dxa"/>
            </w:tcMar>
          </w:tcPr>
          <w:p w:rsidR="00BE0BB0" w:rsidRDefault="00BE0BB0">
            <w:pPr>
              <w:widowControl w:val="0"/>
              <w:ind w:left="1" w:hanging="3"/>
              <w:rPr>
                <w:rFonts w:ascii="Book Antiqua" w:eastAsia="Book Antiqua" w:hAnsi="Book Antiqua" w:cs="Book Antiqua"/>
                <w:b/>
                <w:sz w:val="28"/>
                <w:szCs w:val="28"/>
              </w:rPr>
            </w:pPr>
          </w:p>
          <w:p w:rsidR="00BE0BB0" w:rsidRDefault="008B31B7">
            <w:pPr>
              <w:widowControl w:val="0"/>
              <w:ind w:left="0" w:hanging="2"/>
              <w:rPr>
                <w:rFonts w:ascii="Book Antiqua" w:eastAsia="Book Antiqua" w:hAnsi="Book Antiqua" w:cs="Book Antiqua"/>
                <w:b/>
              </w:rPr>
            </w:pPr>
            <w:r>
              <w:rPr>
                <w:rFonts w:ascii="Book Antiqua" w:eastAsia="Book Antiqua" w:hAnsi="Book Antiqua" w:cs="Book Antiqua"/>
                <w:b/>
              </w:rPr>
              <w:t>JUAN PABLO CELIS VERGEL</w:t>
            </w:r>
          </w:p>
          <w:p w:rsidR="00BE0BB0" w:rsidRDefault="008B31B7">
            <w:pPr>
              <w:widowControl w:val="0"/>
              <w:ind w:left="0" w:hanging="2"/>
              <w:rPr>
                <w:rFonts w:ascii="Book Antiqua" w:eastAsia="Book Antiqua" w:hAnsi="Book Antiqua" w:cs="Book Antiqua"/>
              </w:rPr>
            </w:pPr>
            <w:r>
              <w:rPr>
                <w:rFonts w:ascii="Book Antiqua" w:eastAsia="Book Antiqua" w:hAnsi="Book Antiqua" w:cs="Book Antiqua"/>
              </w:rPr>
              <w:t>Representante a la Cámara</w:t>
            </w:r>
          </w:p>
          <w:p w:rsidR="00BE0BB0" w:rsidRDefault="008B31B7">
            <w:pPr>
              <w:widowControl w:val="0"/>
              <w:ind w:left="0" w:hanging="2"/>
              <w:rPr>
                <w:rFonts w:ascii="Book Antiqua" w:eastAsia="Book Antiqua" w:hAnsi="Book Antiqua" w:cs="Book Antiqua"/>
              </w:rPr>
            </w:pPr>
            <w:r>
              <w:rPr>
                <w:rFonts w:ascii="Book Antiqua" w:eastAsia="Book Antiqua" w:hAnsi="Book Antiqua" w:cs="Book Antiqua"/>
              </w:rPr>
              <w:t>Norte de Santander</w:t>
            </w:r>
          </w:p>
        </w:tc>
      </w:tr>
      <w:tr w:rsidR="00BE0BB0">
        <w:tc>
          <w:tcPr>
            <w:tcW w:w="4295" w:type="dxa"/>
            <w:shd w:val="clear" w:color="auto" w:fill="auto"/>
            <w:tcMar>
              <w:top w:w="100" w:type="dxa"/>
              <w:left w:w="100" w:type="dxa"/>
              <w:bottom w:w="100" w:type="dxa"/>
              <w:right w:w="100" w:type="dxa"/>
            </w:tcMar>
          </w:tcPr>
          <w:p w:rsidR="00BE0BB0" w:rsidRDefault="00BE0BB0">
            <w:pPr>
              <w:widowControl w:val="0"/>
              <w:spacing w:after="240" w:line="276" w:lineRule="auto"/>
              <w:ind w:left="0" w:hanging="2"/>
              <w:jc w:val="both"/>
              <w:rPr>
                <w:rFonts w:ascii="Arial" w:eastAsia="Arial" w:hAnsi="Arial" w:cs="Arial"/>
                <w:b/>
              </w:rPr>
            </w:pPr>
          </w:p>
          <w:p w:rsidR="00BE0BB0" w:rsidRDefault="00BE0BB0">
            <w:pPr>
              <w:widowControl w:val="0"/>
              <w:spacing w:line="240" w:lineRule="auto"/>
              <w:ind w:left="0" w:hanging="2"/>
              <w:jc w:val="both"/>
              <w:rPr>
                <w:rFonts w:ascii="Arial" w:eastAsia="Arial" w:hAnsi="Arial" w:cs="Arial"/>
                <w:b/>
              </w:rPr>
            </w:pPr>
          </w:p>
          <w:p w:rsidR="00BE0BB0" w:rsidRDefault="008B31B7">
            <w:pPr>
              <w:widowControl w:val="0"/>
              <w:spacing w:line="240" w:lineRule="auto"/>
              <w:ind w:left="0" w:hanging="2"/>
              <w:jc w:val="both"/>
              <w:rPr>
                <w:rFonts w:ascii="Arial" w:eastAsia="Arial" w:hAnsi="Arial" w:cs="Arial"/>
                <w:b/>
              </w:rPr>
            </w:pPr>
            <w:r>
              <w:rPr>
                <w:rFonts w:ascii="Arial" w:eastAsia="Arial" w:hAnsi="Arial" w:cs="Arial"/>
                <w:b/>
              </w:rPr>
              <w:t>Esteban Quintero Cardona</w:t>
            </w:r>
          </w:p>
          <w:p w:rsidR="00BE0BB0" w:rsidRDefault="008B31B7">
            <w:pPr>
              <w:widowControl w:val="0"/>
              <w:spacing w:line="240" w:lineRule="auto"/>
              <w:ind w:left="0" w:hanging="2"/>
              <w:jc w:val="both"/>
              <w:rPr>
                <w:rFonts w:ascii="Arial" w:eastAsia="Arial" w:hAnsi="Arial" w:cs="Arial"/>
              </w:rPr>
            </w:pPr>
            <w:r>
              <w:rPr>
                <w:rFonts w:ascii="Arial" w:eastAsia="Arial" w:hAnsi="Arial" w:cs="Arial"/>
              </w:rPr>
              <w:t xml:space="preserve">Representante a la Cámara por Antioquia </w:t>
            </w:r>
          </w:p>
          <w:p w:rsidR="00BE0BB0" w:rsidRDefault="00BE0BB0">
            <w:pPr>
              <w:widowControl w:val="0"/>
              <w:ind w:left="0" w:hanging="2"/>
              <w:rPr>
                <w:rFonts w:ascii="Book Antiqua" w:eastAsia="Book Antiqua" w:hAnsi="Book Antiqua" w:cs="Book Antiqua"/>
              </w:rPr>
            </w:pPr>
          </w:p>
        </w:tc>
        <w:tc>
          <w:tcPr>
            <w:tcW w:w="4295" w:type="dxa"/>
            <w:shd w:val="clear" w:color="auto" w:fill="auto"/>
            <w:tcMar>
              <w:top w:w="100" w:type="dxa"/>
              <w:left w:w="100" w:type="dxa"/>
              <w:bottom w:w="100" w:type="dxa"/>
              <w:right w:w="100" w:type="dxa"/>
            </w:tcMar>
          </w:tcPr>
          <w:p w:rsidR="00BE0BB0" w:rsidRDefault="00BE0BB0">
            <w:pPr>
              <w:widowControl w:val="0"/>
              <w:ind w:left="1" w:hanging="3"/>
              <w:rPr>
                <w:rFonts w:ascii="Book Antiqua" w:eastAsia="Book Antiqua" w:hAnsi="Book Antiqua" w:cs="Book Antiqua"/>
                <w:b/>
                <w:sz w:val="28"/>
                <w:szCs w:val="28"/>
              </w:rPr>
            </w:pPr>
          </w:p>
        </w:tc>
      </w:tr>
    </w:tbl>
    <w:p w:rsidR="00BE0BB0" w:rsidRDefault="00BE0BB0">
      <w:pPr>
        <w:spacing w:line="276" w:lineRule="auto"/>
        <w:ind w:left="0" w:hanging="2"/>
        <w:jc w:val="right"/>
        <w:rPr>
          <w:rFonts w:ascii="Book Antiqua" w:eastAsia="Book Antiqua" w:hAnsi="Book Antiqua" w:cs="Book Antiqua"/>
        </w:rPr>
      </w:pPr>
    </w:p>
    <w:p w:rsidR="00BE0BB0" w:rsidRDefault="008B31B7">
      <w:pPr>
        <w:ind w:left="0" w:hanging="2"/>
        <w:jc w:val="center"/>
        <w:rPr>
          <w:rFonts w:ascii="Book Antiqua" w:eastAsia="Book Antiqua" w:hAnsi="Book Antiqua" w:cs="Book Antiqua"/>
        </w:rPr>
      </w:pPr>
      <w:r>
        <w:rPr>
          <w:rFonts w:ascii="Book Antiqua" w:eastAsia="Book Antiqua" w:hAnsi="Book Antiqua" w:cs="Book Antiqua"/>
          <w:b/>
        </w:rPr>
        <w:t>EXPOSICIÓN DE MOTIVOS</w:t>
      </w:r>
    </w:p>
    <w:p w:rsidR="00BE0BB0" w:rsidRDefault="00BE0BB0">
      <w:pPr>
        <w:spacing w:line="276" w:lineRule="auto"/>
        <w:ind w:left="0" w:hanging="2"/>
        <w:jc w:val="both"/>
        <w:rPr>
          <w:rFonts w:ascii="Book Antiqua" w:eastAsia="Book Antiqua" w:hAnsi="Book Antiqua" w:cs="Book Antiqua"/>
          <w:sz w:val="20"/>
          <w:szCs w:val="20"/>
        </w:rPr>
      </w:pPr>
    </w:p>
    <w:p w:rsidR="00BE0BB0" w:rsidRDefault="00BE0BB0">
      <w:pPr>
        <w:spacing w:line="276" w:lineRule="auto"/>
        <w:ind w:left="0" w:hanging="2"/>
        <w:jc w:val="both"/>
        <w:rPr>
          <w:rFonts w:ascii="Book Antiqua" w:eastAsia="Book Antiqua" w:hAnsi="Book Antiqua" w:cs="Book Antiqua"/>
          <w:sz w:val="20"/>
          <w:szCs w:val="20"/>
        </w:rPr>
      </w:pPr>
    </w:p>
    <w:p w:rsidR="00BE0BB0" w:rsidRDefault="008B31B7">
      <w:pPr>
        <w:numPr>
          <w:ilvl w:val="0"/>
          <w:numId w:val="1"/>
        </w:numPr>
        <w:pBdr>
          <w:top w:val="nil"/>
          <w:left w:val="nil"/>
          <w:bottom w:val="nil"/>
          <w:right w:val="nil"/>
          <w:between w:val="nil"/>
        </w:pBdr>
        <w:spacing w:line="276" w:lineRule="auto"/>
        <w:ind w:left="0" w:hanging="2"/>
        <w:jc w:val="center"/>
        <w:rPr>
          <w:rFonts w:ascii="Book Antiqua" w:eastAsia="Book Antiqua" w:hAnsi="Book Antiqua" w:cs="Book Antiqua"/>
          <w:color w:val="000000"/>
        </w:rPr>
      </w:pPr>
      <w:r>
        <w:rPr>
          <w:rFonts w:ascii="Book Antiqua" w:eastAsia="Book Antiqua" w:hAnsi="Book Antiqua" w:cs="Book Antiqua"/>
          <w:b/>
          <w:color w:val="000000"/>
        </w:rPr>
        <w:t xml:space="preserve">Introducción </w:t>
      </w:r>
    </w:p>
    <w:p w:rsidR="00BE0BB0" w:rsidRDefault="00BE0BB0">
      <w:pPr>
        <w:pBdr>
          <w:top w:val="nil"/>
          <w:left w:val="nil"/>
          <w:bottom w:val="nil"/>
          <w:right w:val="nil"/>
          <w:between w:val="nil"/>
        </w:pBdr>
        <w:spacing w:line="276" w:lineRule="auto"/>
        <w:ind w:left="0" w:hanging="2"/>
        <w:rPr>
          <w:rFonts w:ascii="Book Antiqua" w:eastAsia="Book Antiqua" w:hAnsi="Book Antiqua" w:cs="Book Antiqua"/>
          <w:color w:val="000000"/>
        </w:rPr>
      </w:pPr>
    </w:p>
    <w:p w:rsidR="00BE0BB0" w:rsidRDefault="008B31B7">
      <w:pPr>
        <w:pBdr>
          <w:top w:val="nil"/>
          <w:left w:val="nil"/>
          <w:bottom w:val="nil"/>
          <w:right w:val="nil"/>
          <w:between w:val="nil"/>
        </w:pBdr>
        <w:spacing w:line="276" w:lineRule="auto"/>
        <w:ind w:left="0" w:hanging="2"/>
        <w:jc w:val="both"/>
        <w:rPr>
          <w:rFonts w:ascii="Book Antiqua" w:eastAsia="Book Antiqua" w:hAnsi="Book Antiqua" w:cs="Book Antiqua"/>
          <w:color w:val="000000"/>
        </w:rPr>
      </w:pPr>
      <w:r>
        <w:rPr>
          <w:rFonts w:ascii="Book Antiqua" w:eastAsia="Book Antiqua" w:hAnsi="Book Antiqua" w:cs="Book Antiqua"/>
          <w:color w:val="000000"/>
        </w:rPr>
        <w:t xml:space="preserve">El Patrimonio Inmaterial de la Nación, a las voces de la ley 397 </w:t>
      </w:r>
      <w:proofErr w:type="gramStart"/>
      <w:r>
        <w:rPr>
          <w:rFonts w:ascii="Book Antiqua" w:eastAsia="Book Antiqua" w:hAnsi="Book Antiqua" w:cs="Book Antiqua"/>
          <w:color w:val="000000"/>
        </w:rPr>
        <w:t>de la leu</w:t>
      </w:r>
      <w:proofErr w:type="gramEnd"/>
      <w:r>
        <w:rPr>
          <w:rFonts w:ascii="Book Antiqua" w:eastAsia="Book Antiqua" w:hAnsi="Book Antiqua" w:cs="Book Antiqua"/>
          <w:color w:val="000000"/>
        </w:rPr>
        <w:t xml:space="preserve"> 1997, modificada por la Ley 1185 de 2008, es aquel constituido por diversas manifestaciones, prácticas, usos, representación, expresiones, conocimientos, técnicas y espacios culturales, que la sociedad reconoce como suyos, que son la base de su autor reconocimiento, de su identidad y entorno a los cuales se han tejido complejos vínculos anónimos que sirven de factor de cohesión social. (Art. 11) </w:t>
      </w:r>
    </w:p>
    <w:p w:rsidR="00BE0BB0" w:rsidRDefault="00BE0BB0">
      <w:pPr>
        <w:pBdr>
          <w:top w:val="nil"/>
          <w:left w:val="nil"/>
          <w:bottom w:val="nil"/>
          <w:right w:val="nil"/>
          <w:between w:val="nil"/>
        </w:pBdr>
        <w:spacing w:line="276" w:lineRule="auto"/>
        <w:ind w:left="0" w:hanging="2"/>
        <w:jc w:val="both"/>
        <w:rPr>
          <w:rFonts w:ascii="Book Antiqua" w:eastAsia="Book Antiqua" w:hAnsi="Book Antiqua" w:cs="Book Antiqua"/>
          <w:color w:val="000000"/>
        </w:rPr>
      </w:pPr>
    </w:p>
    <w:p w:rsidR="00BE0BB0" w:rsidRDefault="008B31B7">
      <w:pPr>
        <w:pBdr>
          <w:top w:val="nil"/>
          <w:left w:val="nil"/>
          <w:bottom w:val="nil"/>
          <w:right w:val="nil"/>
          <w:between w:val="nil"/>
        </w:pBdr>
        <w:spacing w:line="276" w:lineRule="auto"/>
        <w:ind w:left="0" w:hanging="2"/>
        <w:jc w:val="both"/>
        <w:rPr>
          <w:rFonts w:ascii="Book Antiqua" w:eastAsia="Book Antiqua" w:hAnsi="Book Antiqua" w:cs="Book Antiqua"/>
          <w:color w:val="000000"/>
        </w:rPr>
      </w:pPr>
      <w:r>
        <w:rPr>
          <w:rFonts w:ascii="Book Antiqua" w:eastAsia="Book Antiqua" w:hAnsi="Book Antiqua" w:cs="Book Antiqua"/>
          <w:color w:val="000000"/>
        </w:rPr>
        <w:t>Asociado íntima y estrechamente con la identidad nacional, la preservación y promoción de dicho acumulado cultural deviene entonces en una los compromisos más importantes de la sociedad y sus instituciones, comoquiera que ello asegura su trascendencia intergeneracional</w:t>
      </w:r>
      <w:r>
        <w:rPr>
          <w:rFonts w:ascii="Book Antiqua" w:eastAsia="Book Antiqua" w:hAnsi="Book Antiqua" w:cs="Book Antiqua"/>
          <w:color w:val="000000"/>
          <w:vertAlign w:val="superscript"/>
        </w:rPr>
        <w:footnoteReference w:id="1"/>
      </w:r>
      <w:r>
        <w:rPr>
          <w:rFonts w:ascii="Book Antiqua" w:eastAsia="Book Antiqua" w:hAnsi="Book Antiqua" w:cs="Book Antiqua"/>
          <w:color w:val="000000"/>
        </w:rPr>
        <w:t xml:space="preserve"> y fortalece el entrelazamiento social.  </w:t>
      </w:r>
    </w:p>
    <w:p w:rsidR="00BE0BB0" w:rsidRDefault="00BE0BB0">
      <w:pPr>
        <w:pBdr>
          <w:top w:val="nil"/>
          <w:left w:val="nil"/>
          <w:bottom w:val="nil"/>
          <w:right w:val="nil"/>
          <w:between w:val="nil"/>
        </w:pBdr>
        <w:spacing w:line="276" w:lineRule="auto"/>
        <w:ind w:left="0" w:hanging="2"/>
        <w:jc w:val="both"/>
        <w:rPr>
          <w:rFonts w:ascii="Book Antiqua" w:eastAsia="Book Antiqua" w:hAnsi="Book Antiqua" w:cs="Book Antiqua"/>
          <w:color w:val="000000"/>
        </w:rPr>
      </w:pPr>
    </w:p>
    <w:p w:rsidR="00BE0BB0" w:rsidRDefault="008B31B7">
      <w:pPr>
        <w:pBdr>
          <w:top w:val="nil"/>
          <w:left w:val="nil"/>
          <w:bottom w:val="nil"/>
          <w:right w:val="nil"/>
          <w:between w:val="nil"/>
        </w:pBdr>
        <w:spacing w:line="276" w:lineRule="auto"/>
        <w:ind w:left="0" w:hanging="2"/>
        <w:jc w:val="both"/>
        <w:rPr>
          <w:rFonts w:ascii="Book Antiqua" w:eastAsia="Book Antiqua" w:hAnsi="Book Antiqua" w:cs="Book Antiqua"/>
          <w:color w:val="000000"/>
        </w:rPr>
      </w:pPr>
      <w:r>
        <w:rPr>
          <w:rFonts w:ascii="Book Antiqua" w:eastAsia="Book Antiqua" w:hAnsi="Book Antiqua" w:cs="Book Antiqua"/>
          <w:color w:val="000000"/>
        </w:rPr>
        <w:t xml:space="preserve">De acuerdo con el </w:t>
      </w:r>
      <w:proofErr w:type="spellStart"/>
      <w:r>
        <w:rPr>
          <w:rFonts w:ascii="Book Antiqua" w:eastAsia="Book Antiqua" w:hAnsi="Book Antiqua" w:cs="Book Antiqua"/>
          <w:color w:val="000000"/>
        </w:rPr>
        <w:t>predecente</w:t>
      </w:r>
      <w:proofErr w:type="spellEnd"/>
      <w:r>
        <w:rPr>
          <w:rFonts w:ascii="Book Antiqua" w:eastAsia="Book Antiqua" w:hAnsi="Book Antiqua" w:cs="Book Antiqua"/>
          <w:color w:val="000000"/>
        </w:rPr>
        <w:t xml:space="preserve"> constitucional, la carta Política dispone de un importante número de disposiciones que autorizan al Estado a promover activamente, incluso con la erogación de recursos públicos, el Patrimonio Inmaterial de la Nación, como uno de sus fines esenciales: </w:t>
      </w:r>
    </w:p>
    <w:p w:rsidR="00BE0BB0" w:rsidRDefault="00BE0BB0">
      <w:pPr>
        <w:pBdr>
          <w:top w:val="nil"/>
          <w:left w:val="nil"/>
          <w:bottom w:val="nil"/>
          <w:right w:val="nil"/>
          <w:between w:val="nil"/>
        </w:pBdr>
        <w:spacing w:after="160" w:line="276" w:lineRule="auto"/>
        <w:ind w:left="0" w:hanging="2"/>
        <w:jc w:val="both"/>
        <w:rPr>
          <w:rFonts w:ascii="Book Antiqua" w:eastAsia="Book Antiqua" w:hAnsi="Book Antiqua" w:cs="Book Antiqua"/>
          <w:color w:val="000000"/>
        </w:rPr>
      </w:pPr>
    </w:p>
    <w:p w:rsidR="00BE0BB0" w:rsidRDefault="008B31B7">
      <w:pPr>
        <w:ind w:left="0" w:hanging="2"/>
        <w:jc w:val="both"/>
        <w:rPr>
          <w:rFonts w:ascii="Book Antiqua" w:eastAsia="Book Antiqua" w:hAnsi="Book Antiqua" w:cs="Book Antiqua"/>
          <w:sz w:val="22"/>
          <w:szCs w:val="22"/>
        </w:rPr>
      </w:pPr>
      <w:r>
        <w:rPr>
          <w:rFonts w:ascii="Book Antiqua" w:eastAsia="Book Antiqua" w:hAnsi="Book Antiqua" w:cs="Book Antiqua"/>
          <w:i/>
          <w:sz w:val="22"/>
          <w:szCs w:val="22"/>
        </w:rPr>
        <w:t xml:space="preserve">La Carta Política prevé entre los fines esenciales del Estado el de facilitar la participación de todos “en las decisiones que los afectan y en la vida […] cultural de la nación” (CP art 2). Establece que </w:t>
      </w:r>
      <w:r>
        <w:rPr>
          <w:rFonts w:ascii="Book Antiqua" w:eastAsia="Book Antiqua" w:hAnsi="Book Antiqua" w:cs="Book Antiqua"/>
          <w:i/>
          <w:sz w:val="22"/>
          <w:szCs w:val="22"/>
        </w:rPr>
        <w:lastRenderedPageBreak/>
        <w:t>el Estado “reconoce y protege la diversidad […] cultural de la nación colombiana” (art 7). Declara como obligación del Estado y de las personas “proteger las riquezas culturales […] de la nación” (art 8). Consagra el derecho de los niños a “la cultura” (art 44). Contempla entre los fines de la educación “el acceso al conocimiento, a la ciencia, a la técnica, y a los demás bienes y valores de la cultura” (art 67). Estatuye que el Estado tiene el deber “promover y fomentar el acceso a la cultura de todos los colombianos en igualdad de oportunidades”, y destaca que “[l]a cultura en sus diversas manifestaciones es fundamento de la nacionalidad”, por lo cual el Estado debe promover “el desarrollo y la difusión de los valores culturales de la nación” (art 70). Contempla el deber estatal de incluir en los plantes de desarrollo el fomento “a la cultura”, y el de crear “incentivos para personas e instituciones que desarrollen y fomenten la ciencia y la tecnología y las demás manifestaciones culturales”, así como el de ofrecer estímulos especiales a personas y entidades que ejerzan estas actividades (art 71). Declara que “[e]l patrimonio cultural de la nación está bajo la protección del Estado”, y que el patrimonio arqueológico y otros bienes culturales “pertenecen a la nación y son inalienables, inembargables e imprescriptibles” (art 72). Finalmente expresa que es deber de todas las personas “[p]</w:t>
      </w:r>
      <w:proofErr w:type="spellStart"/>
      <w:r>
        <w:rPr>
          <w:rFonts w:ascii="Book Antiqua" w:eastAsia="Book Antiqua" w:hAnsi="Book Antiqua" w:cs="Book Antiqua"/>
          <w:i/>
          <w:sz w:val="22"/>
          <w:szCs w:val="22"/>
        </w:rPr>
        <w:t>roteger</w:t>
      </w:r>
      <w:proofErr w:type="spellEnd"/>
      <w:r>
        <w:rPr>
          <w:rFonts w:ascii="Book Antiqua" w:eastAsia="Book Antiqua" w:hAnsi="Book Antiqua" w:cs="Book Antiqua"/>
          <w:i/>
          <w:sz w:val="22"/>
          <w:szCs w:val="22"/>
        </w:rPr>
        <w:t xml:space="preserve"> los recursos culturales y naturales del país” (art 95-8). </w:t>
      </w:r>
      <w:r>
        <w:rPr>
          <w:rFonts w:ascii="Book Antiqua" w:eastAsia="Book Antiqua" w:hAnsi="Book Antiqua" w:cs="Book Antiqua"/>
          <w:sz w:val="22"/>
          <w:szCs w:val="22"/>
        </w:rPr>
        <w:t>(Corte Constitucional, sentencia C-567 de 2016)</w:t>
      </w:r>
    </w:p>
    <w:p w:rsidR="00BE0BB0" w:rsidRDefault="00BE0BB0">
      <w:pPr>
        <w:ind w:left="1" w:hanging="3"/>
        <w:jc w:val="both"/>
        <w:rPr>
          <w:sz w:val="28"/>
          <w:szCs w:val="28"/>
        </w:rPr>
      </w:pPr>
    </w:p>
    <w:p w:rsidR="00BE0BB0" w:rsidRDefault="008B31B7">
      <w:pPr>
        <w:pBdr>
          <w:top w:val="nil"/>
          <w:left w:val="nil"/>
          <w:bottom w:val="nil"/>
          <w:right w:val="nil"/>
          <w:between w:val="nil"/>
        </w:pBdr>
        <w:spacing w:line="276" w:lineRule="auto"/>
        <w:ind w:left="0" w:hanging="2"/>
        <w:jc w:val="both"/>
        <w:rPr>
          <w:rFonts w:ascii="Book Antiqua" w:eastAsia="Book Antiqua" w:hAnsi="Book Antiqua" w:cs="Book Antiqua"/>
          <w:color w:val="000000"/>
        </w:rPr>
      </w:pPr>
      <w:r>
        <w:rPr>
          <w:rFonts w:ascii="Book Antiqua" w:eastAsia="Book Antiqua" w:hAnsi="Book Antiqua" w:cs="Book Antiqua"/>
          <w:color w:val="000000"/>
        </w:rPr>
        <w:t xml:space="preserve">Asimismo, destaca la Corte Constitucional en ese mismo fallo, el Estado colombiano ha ratificado instrumentos internacionales que refuerzan su compromiso con la preservación y promoción de bienes culturales, sean estos materiales o inmateriales, como la Convención de Salvaguardia del Patrimonio Cultural </w:t>
      </w:r>
      <w:proofErr w:type="spellStart"/>
      <w:r>
        <w:rPr>
          <w:rFonts w:ascii="Book Antiqua" w:eastAsia="Book Antiqua" w:hAnsi="Book Antiqua" w:cs="Book Antiqua"/>
          <w:color w:val="000000"/>
        </w:rPr>
        <w:t>Inmetarial</w:t>
      </w:r>
      <w:proofErr w:type="spellEnd"/>
      <w:r>
        <w:rPr>
          <w:rFonts w:ascii="Book Antiqua" w:eastAsia="Book Antiqua" w:hAnsi="Book Antiqua" w:cs="Book Antiqua"/>
          <w:color w:val="000000"/>
        </w:rPr>
        <w:t xml:space="preserve"> y el Pacto Internacional de Derechos Sociales, Económicos y Culturales. Estas normas, asimismo, refuerzan el compromiso estatal con la protección de la diversidad cultural, como un elemento intrínseco de la identidad personal y de la dignidad humana. </w:t>
      </w:r>
    </w:p>
    <w:p w:rsidR="00BE0BB0" w:rsidRDefault="00BE0BB0">
      <w:pPr>
        <w:pBdr>
          <w:top w:val="nil"/>
          <w:left w:val="nil"/>
          <w:bottom w:val="nil"/>
          <w:right w:val="nil"/>
          <w:between w:val="nil"/>
        </w:pBdr>
        <w:spacing w:line="276" w:lineRule="auto"/>
        <w:ind w:left="0" w:hanging="2"/>
        <w:jc w:val="both"/>
        <w:rPr>
          <w:rFonts w:ascii="Book Antiqua" w:eastAsia="Book Antiqua" w:hAnsi="Book Antiqua" w:cs="Book Antiqua"/>
          <w:color w:val="000000"/>
        </w:rPr>
      </w:pPr>
    </w:p>
    <w:p w:rsidR="00BE0BB0" w:rsidRDefault="008B31B7">
      <w:pPr>
        <w:pBdr>
          <w:top w:val="nil"/>
          <w:left w:val="nil"/>
          <w:bottom w:val="nil"/>
          <w:right w:val="nil"/>
          <w:between w:val="nil"/>
        </w:pBdr>
        <w:spacing w:line="276" w:lineRule="auto"/>
        <w:ind w:left="0" w:hanging="2"/>
        <w:jc w:val="both"/>
        <w:rPr>
          <w:rFonts w:ascii="Book Antiqua" w:eastAsia="Book Antiqua" w:hAnsi="Book Antiqua" w:cs="Book Antiqua"/>
          <w:color w:val="000000"/>
        </w:rPr>
      </w:pPr>
      <w:r>
        <w:rPr>
          <w:rFonts w:ascii="Book Antiqua" w:eastAsia="Book Antiqua" w:hAnsi="Book Antiqua" w:cs="Book Antiqua"/>
          <w:color w:val="000000"/>
        </w:rPr>
        <w:t xml:space="preserve">Por tanto, la identificación, preservación y promoción del acumulado cultural constituye un deber fundamental del Estado encaminado a la salvaguardia de la diversidad y la identidad de la nación, entendida por la Convención para la Salvaguardia del Patrimonio Cultural Inmaterial como </w:t>
      </w:r>
      <w:r>
        <w:rPr>
          <w:rFonts w:ascii="Book Antiqua" w:eastAsia="Book Antiqua" w:hAnsi="Book Antiqua" w:cs="Book Antiqua"/>
          <w:i/>
          <w:color w:val="000000"/>
        </w:rPr>
        <w:t>“las medidas encaminadas a garantizar la viabilidad del patrimonio cultural inmaterial, comprendidas la identificación, investigación, preservación, protección, promoción, valorización, transmisión y revitalización de este patrimonio en sus distintos aspectos.”</w:t>
      </w:r>
      <w:r>
        <w:rPr>
          <w:rFonts w:ascii="Book Antiqua" w:eastAsia="Book Antiqua" w:hAnsi="Book Antiqua" w:cs="Book Antiqua"/>
          <w:color w:val="000000"/>
        </w:rPr>
        <w:t>(Art. 2.3)</w:t>
      </w:r>
    </w:p>
    <w:p w:rsidR="00BE0BB0" w:rsidRDefault="00BE0BB0">
      <w:pPr>
        <w:pBdr>
          <w:top w:val="nil"/>
          <w:left w:val="nil"/>
          <w:bottom w:val="nil"/>
          <w:right w:val="nil"/>
          <w:between w:val="nil"/>
        </w:pBdr>
        <w:spacing w:line="276" w:lineRule="auto"/>
        <w:ind w:left="0" w:hanging="2"/>
        <w:jc w:val="both"/>
        <w:rPr>
          <w:rFonts w:ascii="Book Antiqua" w:eastAsia="Book Antiqua" w:hAnsi="Book Antiqua" w:cs="Book Antiqua"/>
          <w:color w:val="000000"/>
        </w:rPr>
      </w:pPr>
    </w:p>
    <w:p w:rsidR="00BE0BB0" w:rsidRDefault="008B31B7">
      <w:pPr>
        <w:pBdr>
          <w:top w:val="nil"/>
          <w:left w:val="nil"/>
          <w:bottom w:val="nil"/>
          <w:right w:val="nil"/>
          <w:between w:val="nil"/>
        </w:pBdr>
        <w:spacing w:line="276" w:lineRule="auto"/>
        <w:ind w:left="0" w:hanging="2"/>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El presente proyecto de ley pretende, en el marco de este deber institucional, la declaración como parte del Patrimonio Cultural Inmaterial de la Nación las exposiciones, ferias y festivales equinos, considerados como espacios de promoción y divulgación de la cultura equina, en los que se promueve el reconocimiento al valor histórico de los equinos en la construcción de identidad y el progreso nacional. Estos espacios, además de ser propicios para el esparcimiento familiar y el dinamismo de un importante segmento de la economía agropecuaria del país, vienen siendo el medio por excelencia para promocionar uno de los valores </w:t>
      </w:r>
      <w:proofErr w:type="spellStart"/>
      <w:r>
        <w:rPr>
          <w:rFonts w:ascii="Book Antiqua" w:eastAsia="Book Antiqua" w:hAnsi="Book Antiqua" w:cs="Book Antiqua"/>
          <w:color w:val="000000"/>
        </w:rPr>
        <w:t>identitarios</w:t>
      </w:r>
      <w:proofErr w:type="spellEnd"/>
      <w:r>
        <w:rPr>
          <w:rFonts w:ascii="Book Antiqua" w:eastAsia="Book Antiqua" w:hAnsi="Book Antiqua" w:cs="Book Antiqua"/>
          <w:color w:val="000000"/>
        </w:rPr>
        <w:t xml:space="preserve"> de la nación: </w:t>
      </w:r>
      <w:r>
        <w:rPr>
          <w:rFonts w:ascii="Book Antiqua" w:eastAsia="Book Antiqua" w:hAnsi="Book Antiqua" w:cs="Book Antiqua"/>
          <w:i/>
          <w:color w:val="000000"/>
        </w:rPr>
        <w:t xml:space="preserve">el caballo de paso fino colombiano </w:t>
      </w:r>
      <w:r>
        <w:rPr>
          <w:rFonts w:ascii="Book Antiqua" w:eastAsia="Book Antiqua" w:hAnsi="Book Antiqua" w:cs="Book Antiqua"/>
          <w:color w:val="000000"/>
        </w:rPr>
        <w:t>(Reconocido como Patrimonio Genético Nacional, mediante la ley 1842 de 2017)</w:t>
      </w:r>
      <w:r>
        <w:rPr>
          <w:rFonts w:ascii="Book Antiqua" w:eastAsia="Book Antiqua" w:hAnsi="Book Antiqua" w:cs="Book Antiqua"/>
          <w:i/>
          <w:color w:val="000000"/>
        </w:rPr>
        <w:t xml:space="preserve">. </w:t>
      </w:r>
      <w:r>
        <w:rPr>
          <w:rFonts w:ascii="Book Antiqua" w:eastAsia="Book Antiqua" w:hAnsi="Book Antiqua" w:cs="Book Antiqua"/>
          <w:color w:val="000000"/>
        </w:rPr>
        <w:t xml:space="preserve">   </w:t>
      </w:r>
    </w:p>
    <w:p w:rsidR="00BE0BB0" w:rsidRDefault="00BE0BB0">
      <w:pPr>
        <w:pBdr>
          <w:top w:val="nil"/>
          <w:left w:val="nil"/>
          <w:bottom w:val="nil"/>
          <w:right w:val="nil"/>
          <w:between w:val="nil"/>
        </w:pBdr>
        <w:spacing w:line="276" w:lineRule="auto"/>
        <w:ind w:left="0" w:hanging="2"/>
        <w:jc w:val="both"/>
        <w:rPr>
          <w:rFonts w:ascii="Book Antiqua" w:eastAsia="Book Antiqua" w:hAnsi="Book Antiqua" w:cs="Book Antiqua"/>
          <w:color w:val="000000"/>
        </w:rPr>
      </w:pPr>
    </w:p>
    <w:p w:rsidR="00BE0BB0" w:rsidRDefault="00BE0BB0">
      <w:pPr>
        <w:pBdr>
          <w:top w:val="nil"/>
          <w:left w:val="nil"/>
          <w:bottom w:val="nil"/>
          <w:right w:val="nil"/>
          <w:between w:val="nil"/>
        </w:pBdr>
        <w:spacing w:line="276" w:lineRule="auto"/>
        <w:ind w:left="0" w:hanging="2"/>
        <w:jc w:val="both"/>
        <w:rPr>
          <w:rFonts w:ascii="Book Antiqua" w:eastAsia="Book Antiqua" w:hAnsi="Book Antiqua" w:cs="Book Antiqua"/>
          <w:color w:val="000000"/>
        </w:rPr>
      </w:pPr>
    </w:p>
    <w:p w:rsidR="00BE0BB0" w:rsidRDefault="008B31B7">
      <w:pPr>
        <w:numPr>
          <w:ilvl w:val="0"/>
          <w:numId w:val="1"/>
        </w:numPr>
        <w:pBdr>
          <w:top w:val="nil"/>
          <w:left w:val="nil"/>
          <w:bottom w:val="nil"/>
          <w:right w:val="nil"/>
          <w:between w:val="nil"/>
        </w:pBdr>
        <w:spacing w:line="276" w:lineRule="auto"/>
        <w:ind w:left="0" w:hanging="2"/>
        <w:jc w:val="center"/>
        <w:rPr>
          <w:rFonts w:ascii="Book Antiqua" w:eastAsia="Book Antiqua" w:hAnsi="Book Antiqua" w:cs="Book Antiqua"/>
          <w:color w:val="000000"/>
        </w:rPr>
      </w:pPr>
      <w:r>
        <w:rPr>
          <w:rFonts w:ascii="Book Antiqua" w:eastAsia="Book Antiqua" w:hAnsi="Book Antiqua" w:cs="Book Antiqua"/>
          <w:b/>
          <w:color w:val="000000"/>
        </w:rPr>
        <w:t>Finalidad y alcance del proyecto de ley</w:t>
      </w:r>
    </w:p>
    <w:p w:rsidR="00BE0BB0" w:rsidRDefault="00BE0BB0">
      <w:pPr>
        <w:pBdr>
          <w:top w:val="nil"/>
          <w:left w:val="nil"/>
          <w:bottom w:val="nil"/>
          <w:right w:val="nil"/>
          <w:between w:val="nil"/>
        </w:pBdr>
        <w:spacing w:after="160" w:line="276" w:lineRule="auto"/>
        <w:ind w:left="0" w:hanging="2"/>
        <w:rPr>
          <w:rFonts w:ascii="Book Antiqua" w:eastAsia="Book Antiqua" w:hAnsi="Book Antiqua" w:cs="Book Antiqua"/>
          <w:color w:val="000000"/>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Con el presente proyecto se reconoce las exposiciones, ferias y festivales equinos como expresiones culturales que integran el patrimonio inmaterial de la nación y se dictan disposiciones tendientes a su preservación y fomento.        </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El proyecto consta de seis (06) artículos, incluida su vigencia, en los que se </w:t>
      </w:r>
      <w:proofErr w:type="spellStart"/>
      <w:r>
        <w:rPr>
          <w:rFonts w:ascii="Book Antiqua" w:eastAsia="Book Antiqua" w:hAnsi="Book Antiqua" w:cs="Book Antiqua"/>
        </w:rPr>
        <w:t>recoce</w:t>
      </w:r>
      <w:proofErr w:type="spellEnd"/>
      <w:r>
        <w:rPr>
          <w:rFonts w:ascii="Book Antiqua" w:eastAsia="Book Antiqua" w:hAnsi="Book Antiqua" w:cs="Book Antiqua"/>
        </w:rPr>
        <w:t xml:space="preserve"> dicho tipo de certámenes como una expresión cultural </w:t>
      </w:r>
      <w:proofErr w:type="spellStart"/>
      <w:r>
        <w:rPr>
          <w:rFonts w:ascii="Book Antiqua" w:eastAsia="Book Antiqua" w:hAnsi="Book Antiqua" w:cs="Book Antiqua"/>
        </w:rPr>
        <w:t>representantiva</w:t>
      </w:r>
      <w:proofErr w:type="spellEnd"/>
      <w:r>
        <w:rPr>
          <w:rFonts w:ascii="Book Antiqua" w:eastAsia="Book Antiqua" w:hAnsi="Book Antiqua" w:cs="Book Antiqua"/>
        </w:rPr>
        <w:t xml:space="preserve"> de la identidad nacional y espacio para la promoción del caballo de paso fino colombiano como raza autóctona Patrimonio Genético Nacional, y se autoriza al Gobierno Nacional para diseñar una estrategia tendiente a su fomento, así como para destinar recursos del presupuesto nacional para su financiamiento. </w:t>
      </w:r>
    </w:p>
    <w:p w:rsidR="00BE0BB0" w:rsidRDefault="008B31B7">
      <w:pPr>
        <w:pBdr>
          <w:top w:val="nil"/>
          <w:left w:val="nil"/>
          <w:bottom w:val="nil"/>
          <w:right w:val="nil"/>
          <w:between w:val="nil"/>
        </w:pBd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 xml:space="preserve"> </w:t>
      </w:r>
    </w:p>
    <w:p w:rsidR="00BE0BB0" w:rsidRDefault="00BE0BB0">
      <w:pPr>
        <w:pBdr>
          <w:top w:val="nil"/>
          <w:left w:val="nil"/>
          <w:bottom w:val="nil"/>
          <w:right w:val="nil"/>
          <w:between w:val="nil"/>
        </w:pBdr>
        <w:spacing w:line="240" w:lineRule="auto"/>
        <w:ind w:left="0" w:hanging="2"/>
        <w:rPr>
          <w:rFonts w:ascii="Book Antiqua" w:eastAsia="Book Antiqua" w:hAnsi="Book Antiqua" w:cs="Book Antiqua"/>
          <w:color w:val="000000"/>
        </w:rPr>
      </w:pPr>
    </w:p>
    <w:p w:rsidR="00BE0BB0" w:rsidRDefault="008B31B7">
      <w:pPr>
        <w:numPr>
          <w:ilvl w:val="0"/>
          <w:numId w:val="1"/>
        </w:numPr>
        <w:pBdr>
          <w:top w:val="nil"/>
          <w:left w:val="nil"/>
          <w:bottom w:val="nil"/>
          <w:right w:val="nil"/>
          <w:between w:val="nil"/>
        </w:pBdr>
        <w:spacing w:line="276" w:lineRule="auto"/>
        <w:ind w:left="0" w:hanging="2"/>
        <w:jc w:val="center"/>
        <w:rPr>
          <w:rFonts w:ascii="Book Antiqua" w:eastAsia="Book Antiqua" w:hAnsi="Book Antiqua" w:cs="Book Antiqua"/>
          <w:color w:val="000000"/>
        </w:rPr>
      </w:pPr>
      <w:r>
        <w:rPr>
          <w:rFonts w:ascii="Book Antiqua" w:eastAsia="Book Antiqua" w:hAnsi="Book Antiqua" w:cs="Book Antiqua"/>
          <w:b/>
          <w:color w:val="000000"/>
        </w:rPr>
        <w:t>Justificación del proyecto de ley</w:t>
      </w:r>
    </w:p>
    <w:p w:rsidR="00BE0BB0" w:rsidRDefault="00BE0BB0">
      <w:pPr>
        <w:pBdr>
          <w:top w:val="nil"/>
          <w:left w:val="nil"/>
          <w:bottom w:val="nil"/>
          <w:right w:val="nil"/>
          <w:between w:val="nil"/>
        </w:pBdr>
        <w:spacing w:after="160" w:line="276" w:lineRule="auto"/>
        <w:ind w:left="0" w:hanging="2"/>
        <w:rPr>
          <w:rFonts w:ascii="Book Antiqua" w:eastAsia="Book Antiqua" w:hAnsi="Book Antiqua" w:cs="Book Antiqua"/>
          <w:color w:val="FF0000"/>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La identidad de las sociedades se forja gracias a un proceso dinámico, complejo y prolongado en el tiempo, que gravita entorno a un cúmulo de vivencias colectivas </w:t>
      </w:r>
      <w:r>
        <w:rPr>
          <w:rFonts w:ascii="Book Antiqua" w:eastAsia="Book Antiqua" w:hAnsi="Book Antiqua" w:cs="Book Antiqua"/>
        </w:rPr>
        <w:lastRenderedPageBreak/>
        <w:t xml:space="preserve">específicas, que evidencian rasgos distintivos del grupo y en las que se refleja la idiosincrasia de los sujetos que la integran, así como el sentido y propósitos comunes que trascienden generaciones. A este acumulado, abstracto, de experiencias colectivas suele denominársele </w:t>
      </w:r>
      <w:r>
        <w:rPr>
          <w:rFonts w:ascii="Book Antiqua" w:eastAsia="Book Antiqua" w:hAnsi="Book Antiqua" w:cs="Book Antiqua"/>
          <w:i/>
        </w:rPr>
        <w:t>“Patrimonio inmaterial”</w:t>
      </w:r>
      <w:r>
        <w:rPr>
          <w:rFonts w:ascii="Book Antiqua" w:eastAsia="Book Antiqua" w:hAnsi="Book Antiqua" w:cs="Book Antiqua"/>
        </w:rPr>
        <w:t xml:space="preserve">, dada su vocación de ser trasmitidas de generación en generación.  </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ind w:left="0" w:hanging="2"/>
        <w:jc w:val="both"/>
        <w:rPr>
          <w:rFonts w:ascii="Book Antiqua" w:eastAsia="Book Antiqua" w:hAnsi="Book Antiqua" w:cs="Book Antiqua"/>
          <w:sz w:val="22"/>
          <w:szCs w:val="22"/>
        </w:rPr>
      </w:pPr>
      <w:r>
        <w:rPr>
          <w:rFonts w:ascii="Book Antiqua" w:eastAsia="Book Antiqua" w:hAnsi="Book Antiqua" w:cs="Book Antiqua"/>
          <w:i/>
          <w:sz w:val="22"/>
          <w:szCs w:val="22"/>
        </w:rPr>
        <w:t>Cuando se analiza el concepto de patrimonio se lo asocia a la idea de una herencia colectiva, a la vez que se piensa su gestión como la posibilidad de “devolver el patrimonio, que es algo que viene del pasado, a la sociedad del presente para que ésta pueda legarlo a la sociedad del futuro” (</w:t>
      </w:r>
      <w:proofErr w:type="spellStart"/>
      <w:r>
        <w:rPr>
          <w:rFonts w:ascii="Book Antiqua" w:eastAsia="Book Antiqua" w:hAnsi="Book Antiqua" w:cs="Book Antiqua"/>
          <w:i/>
          <w:sz w:val="22"/>
          <w:szCs w:val="22"/>
        </w:rPr>
        <w:t>Ballart</w:t>
      </w:r>
      <w:proofErr w:type="spellEnd"/>
      <w:r>
        <w:rPr>
          <w:rFonts w:ascii="Book Antiqua" w:eastAsia="Book Antiqua" w:hAnsi="Book Antiqua" w:cs="Book Antiqua"/>
          <w:i/>
          <w:sz w:val="22"/>
          <w:szCs w:val="22"/>
        </w:rPr>
        <w:t xml:space="preserve"> Hernández y Juan i </w:t>
      </w:r>
      <w:proofErr w:type="spellStart"/>
      <w:r>
        <w:rPr>
          <w:rFonts w:ascii="Book Antiqua" w:eastAsia="Book Antiqua" w:hAnsi="Book Antiqua" w:cs="Book Antiqua"/>
          <w:i/>
          <w:sz w:val="22"/>
          <w:szCs w:val="22"/>
        </w:rPr>
        <w:t>Treserras</w:t>
      </w:r>
      <w:proofErr w:type="spellEnd"/>
      <w:r>
        <w:rPr>
          <w:rFonts w:ascii="Book Antiqua" w:eastAsia="Book Antiqua" w:hAnsi="Book Antiqua" w:cs="Book Antiqua"/>
          <w:i/>
          <w:sz w:val="22"/>
          <w:szCs w:val="22"/>
        </w:rPr>
        <w:t xml:space="preserve">, 2010: 7). </w:t>
      </w:r>
    </w:p>
    <w:p w:rsidR="00BE0BB0" w:rsidRDefault="00BE0BB0">
      <w:pPr>
        <w:spacing w:before="28" w:after="28"/>
        <w:ind w:left="0" w:hanging="2"/>
        <w:jc w:val="both"/>
        <w:rPr>
          <w:rFonts w:ascii="Book Antiqua" w:eastAsia="Book Antiqua" w:hAnsi="Book Antiqua" w:cs="Book Antiqua"/>
          <w:sz w:val="22"/>
          <w:szCs w:val="22"/>
        </w:rPr>
      </w:pPr>
    </w:p>
    <w:p w:rsidR="00BE0BB0" w:rsidRDefault="008B31B7">
      <w:pPr>
        <w:spacing w:before="28" w:after="28"/>
        <w:ind w:left="0" w:hanging="2"/>
        <w:jc w:val="both"/>
        <w:rPr>
          <w:rFonts w:ascii="Book Antiqua" w:eastAsia="Book Antiqua" w:hAnsi="Book Antiqua" w:cs="Book Antiqua"/>
        </w:rPr>
      </w:pPr>
      <w:r>
        <w:rPr>
          <w:rFonts w:ascii="Book Antiqua" w:eastAsia="Book Antiqua" w:hAnsi="Book Antiqua" w:cs="Book Antiqua"/>
          <w:i/>
          <w:sz w:val="22"/>
          <w:szCs w:val="22"/>
        </w:rPr>
        <w:t>Al vinculárselo con la capacidad de reflexión histórica, la transmisión se constituye en elemento esencial en el contenido del patrimonio, de allí que se postule que los objetos culturales –a los que se considera como portadores de la memoria colectiva– reciben y transmiten la herencia cultural de una generación a otra, y de este modo contribuyen a definir lo que determinada comunidad ‘es’, su identidad en un sentido esencialista.</w:t>
      </w:r>
      <w:r>
        <w:rPr>
          <w:rFonts w:ascii="Book Antiqua" w:eastAsia="Book Antiqua" w:hAnsi="Book Antiqua" w:cs="Book Antiqua"/>
          <w:i/>
          <w:sz w:val="22"/>
          <w:szCs w:val="22"/>
          <w:vertAlign w:val="superscript"/>
        </w:rPr>
        <w:footnoteReference w:id="2"/>
      </w:r>
      <w:r>
        <w:rPr>
          <w:rFonts w:ascii="Book Antiqua" w:eastAsia="Book Antiqua" w:hAnsi="Book Antiqua" w:cs="Book Antiqua"/>
          <w:i/>
          <w:sz w:val="22"/>
          <w:szCs w:val="22"/>
        </w:rPr>
        <w:t xml:space="preserve"> </w:t>
      </w:r>
      <w:r>
        <w:rPr>
          <w:rFonts w:ascii="Book Antiqua" w:eastAsia="Book Antiqua" w:hAnsi="Book Antiqua" w:cs="Book Antiqua"/>
          <w:i/>
        </w:rPr>
        <w:t xml:space="preserve">   </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La Convención para la salvaguarda de patrimonio cultural inmaterial, aprobada en la Conferencia General de la UNESCO (2003), ratificada por Colombia mediante la Ley 1037 de 2006, define como </w:t>
      </w:r>
      <w:r>
        <w:rPr>
          <w:rFonts w:ascii="Book Antiqua" w:eastAsia="Book Antiqua" w:hAnsi="Book Antiqua" w:cs="Book Antiqua"/>
          <w:i/>
        </w:rPr>
        <w:t>“patrimonio cultural inmaterial”</w:t>
      </w:r>
      <w:r>
        <w:rPr>
          <w:rFonts w:ascii="Book Antiqua" w:eastAsia="Book Antiqua" w:hAnsi="Book Antiqua" w:cs="Book Antiqua"/>
        </w:rPr>
        <w:t xml:space="preserve"> (Artículo 2º): </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ind w:left="0" w:hanging="2"/>
        <w:jc w:val="both"/>
        <w:rPr>
          <w:rFonts w:ascii="Book Antiqua" w:eastAsia="Book Antiqua" w:hAnsi="Book Antiqua" w:cs="Book Antiqua"/>
        </w:rPr>
      </w:pPr>
      <w:r>
        <w:rPr>
          <w:rFonts w:ascii="Book Antiqua" w:eastAsia="Book Antiqua" w:hAnsi="Book Antiqua" w:cs="Book Antiqua"/>
          <w:i/>
          <w:sz w:val="22"/>
          <w:szCs w:val="22"/>
        </w:rPr>
        <w:t xml:space="preserve">…los usos, representaciones, expresiones, conocimientos y técnicas –junto con los instrumentos, objetos, artefactos y espacios culturales que les son inherentes– que las comunidades, los grupos y en algunos casos los individuos reconozcan 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lastRenderedPageBreak/>
        <w:t>Este mismo instrumento internacional, menciona como ámbitos en los que se particularmente manifiesta dicho patrimonio: (i) Tradiciones</w:t>
      </w:r>
      <w:r>
        <w:rPr>
          <w:rFonts w:ascii="Book Antiqua" w:eastAsia="Book Antiqua" w:hAnsi="Book Antiqua" w:cs="Book Antiqua"/>
          <w:i/>
        </w:rPr>
        <w:t xml:space="preserve"> y expresiones orales, incluido el idioma como vehículo del patrimonio cultural inmaterial; </w:t>
      </w:r>
      <w:r>
        <w:rPr>
          <w:rFonts w:ascii="Book Antiqua" w:eastAsia="Book Antiqua" w:hAnsi="Book Antiqua" w:cs="Book Antiqua"/>
        </w:rPr>
        <w:t xml:space="preserve">(ii) </w:t>
      </w:r>
      <w:r>
        <w:rPr>
          <w:rFonts w:ascii="Book Antiqua" w:eastAsia="Book Antiqua" w:hAnsi="Book Antiqua" w:cs="Book Antiqua"/>
          <w:i/>
        </w:rPr>
        <w:t xml:space="preserve">Artes del espectáculo; </w:t>
      </w:r>
      <w:r>
        <w:rPr>
          <w:rFonts w:ascii="Book Antiqua" w:eastAsia="Book Antiqua" w:hAnsi="Book Antiqua" w:cs="Book Antiqua"/>
        </w:rPr>
        <w:t xml:space="preserve">(iii) </w:t>
      </w:r>
      <w:r>
        <w:rPr>
          <w:rFonts w:ascii="Book Antiqua" w:eastAsia="Book Antiqua" w:hAnsi="Book Antiqua" w:cs="Book Antiqua"/>
          <w:i/>
        </w:rPr>
        <w:t xml:space="preserve">Usos sociales, rituales y actos festivos; </w:t>
      </w:r>
      <w:r>
        <w:rPr>
          <w:rFonts w:ascii="Book Antiqua" w:eastAsia="Book Antiqua" w:hAnsi="Book Antiqua" w:cs="Book Antiqua"/>
        </w:rPr>
        <w:t xml:space="preserve">(iv) </w:t>
      </w:r>
      <w:r>
        <w:rPr>
          <w:rFonts w:ascii="Book Antiqua" w:eastAsia="Book Antiqua" w:hAnsi="Book Antiqua" w:cs="Book Antiqua"/>
          <w:i/>
        </w:rPr>
        <w:t xml:space="preserve">Conocimientos y usos relacionados con la naturaleza y el universo; </w:t>
      </w:r>
      <w:r>
        <w:rPr>
          <w:rFonts w:ascii="Book Antiqua" w:eastAsia="Book Antiqua" w:hAnsi="Book Antiqua" w:cs="Book Antiqua"/>
        </w:rPr>
        <w:t xml:space="preserve">(v) </w:t>
      </w:r>
      <w:r>
        <w:rPr>
          <w:rFonts w:ascii="Book Antiqua" w:eastAsia="Book Antiqua" w:hAnsi="Book Antiqua" w:cs="Book Antiqua"/>
          <w:i/>
        </w:rPr>
        <w:t>Técnicas artesanales tradicionales.</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En consideración a su importancia como factor identificador y cohesionador de las sociedades, los ordenamientos jurídicos nacionales –fundamentados en compromisos internacionales</w:t>
      </w:r>
      <w:r>
        <w:rPr>
          <w:rFonts w:ascii="Book Antiqua" w:eastAsia="Book Antiqua" w:hAnsi="Book Antiqua" w:cs="Book Antiqua"/>
          <w:vertAlign w:val="superscript"/>
        </w:rPr>
        <w:footnoteReference w:id="3"/>
      </w:r>
      <w:r>
        <w:rPr>
          <w:rFonts w:ascii="Book Antiqua" w:eastAsia="Book Antiqua" w:hAnsi="Book Antiqua" w:cs="Book Antiqua"/>
        </w:rPr>
        <w:t xml:space="preserve">—reconocen el deber de los Estados de llevar a cabo </w:t>
      </w:r>
      <w:r>
        <w:rPr>
          <w:rFonts w:ascii="Book Antiqua" w:eastAsia="Book Antiqua" w:hAnsi="Book Antiqua" w:cs="Book Antiqua"/>
        </w:rPr>
        <w:lastRenderedPageBreak/>
        <w:t xml:space="preserve">acciones multidimensionales tendientes a identificar, inventariar, conservar y patrocinar diversas expresiones o manifestaciones culturales de diversa índole que reflejan sus rasgos característicos y los de los individuos que las integran.  </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La Constitución Política colombiana, en varias disposiciones, hace referencia expresa al deber de protección que pesa sobre las autoridades públicas y a los residentes en el país en relación con los usos, costumbres y demás manifestaciones culturales que nutren su patrimonio inmaterial.   </w:t>
      </w:r>
    </w:p>
    <w:p w:rsidR="00BE0BB0" w:rsidRDefault="00BE0BB0">
      <w:pPr>
        <w:spacing w:before="28" w:after="28" w:line="276" w:lineRule="auto"/>
        <w:ind w:left="0" w:hanging="2"/>
        <w:jc w:val="both"/>
        <w:rPr>
          <w:rFonts w:ascii="Book Antiqua" w:eastAsia="Book Antiqua" w:hAnsi="Book Antiqua" w:cs="Book Antiqua"/>
        </w:rPr>
      </w:pPr>
      <w:bookmarkStart w:id="4" w:name="bookmark=id.gjdgxs" w:colFirst="0" w:colLast="0"/>
      <w:bookmarkEnd w:id="4"/>
    </w:p>
    <w:p w:rsidR="00BE0BB0" w:rsidRDefault="008B31B7">
      <w:pPr>
        <w:spacing w:before="280" w:after="280"/>
        <w:ind w:left="0" w:hanging="2"/>
        <w:jc w:val="both"/>
        <w:rPr>
          <w:rFonts w:ascii="Book Antiqua" w:eastAsia="Book Antiqua" w:hAnsi="Book Antiqua" w:cs="Book Antiqua"/>
          <w:sz w:val="22"/>
          <w:szCs w:val="22"/>
        </w:rPr>
      </w:pPr>
      <w:r>
        <w:rPr>
          <w:rFonts w:ascii="Book Antiqua" w:eastAsia="Book Antiqua" w:hAnsi="Book Antiqua" w:cs="Book Antiqua"/>
          <w:i/>
          <w:sz w:val="22"/>
          <w:szCs w:val="22"/>
        </w:rPr>
        <w:t>Artículo 2o.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BE0BB0" w:rsidRDefault="008B31B7">
      <w:pPr>
        <w:spacing w:before="280" w:after="280"/>
        <w:ind w:left="0" w:hanging="2"/>
        <w:jc w:val="both"/>
        <w:rPr>
          <w:rFonts w:ascii="Book Antiqua" w:eastAsia="Book Antiqua" w:hAnsi="Book Antiqua" w:cs="Book Antiqua"/>
          <w:sz w:val="22"/>
          <w:szCs w:val="22"/>
        </w:rPr>
      </w:pPr>
      <w:r>
        <w:rPr>
          <w:rFonts w:ascii="Book Antiqua" w:eastAsia="Book Antiqua" w:hAnsi="Book Antiqua" w:cs="Book Antiqua"/>
          <w:i/>
          <w:sz w:val="22"/>
          <w:szCs w:val="22"/>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rsidR="00BE0BB0" w:rsidRDefault="00BE0BB0">
      <w:pPr>
        <w:ind w:left="0" w:hanging="2"/>
        <w:jc w:val="both"/>
        <w:rPr>
          <w:rFonts w:ascii="Book Antiqua" w:eastAsia="Book Antiqua" w:hAnsi="Book Antiqua" w:cs="Book Antiqua"/>
          <w:color w:val="000000"/>
          <w:sz w:val="22"/>
          <w:szCs w:val="22"/>
        </w:rPr>
      </w:pPr>
    </w:p>
    <w:p w:rsidR="00BE0BB0" w:rsidRDefault="008B31B7">
      <w:pPr>
        <w:ind w:left="0" w:hanging="2"/>
        <w:jc w:val="both"/>
        <w:rPr>
          <w:rFonts w:ascii="Book Antiqua" w:eastAsia="Book Antiqua" w:hAnsi="Book Antiqua" w:cs="Book Antiqua"/>
          <w:color w:val="000000"/>
          <w:sz w:val="22"/>
          <w:szCs w:val="22"/>
        </w:rPr>
      </w:pPr>
      <w:r>
        <w:rPr>
          <w:rFonts w:ascii="Book Antiqua" w:eastAsia="Book Antiqua" w:hAnsi="Book Antiqua" w:cs="Book Antiqua"/>
          <w:i/>
          <w:color w:val="000000"/>
          <w:sz w:val="22"/>
          <w:szCs w:val="22"/>
        </w:rPr>
        <w:t>Artículo 8o. Es obligación del Estado y de las personas proteger las riquezas culturales y naturales de la Nación.</w:t>
      </w:r>
    </w:p>
    <w:p w:rsidR="00BE0BB0" w:rsidRDefault="008B31B7">
      <w:pPr>
        <w:spacing w:before="280"/>
        <w:ind w:left="0" w:hanging="2"/>
        <w:jc w:val="both"/>
        <w:rPr>
          <w:rFonts w:ascii="Book Antiqua" w:eastAsia="Book Antiqua" w:hAnsi="Book Antiqua" w:cs="Book Antiqua"/>
          <w:color w:val="000000"/>
          <w:sz w:val="22"/>
          <w:szCs w:val="22"/>
        </w:rPr>
      </w:pPr>
      <w:r>
        <w:rPr>
          <w:rFonts w:ascii="Book Antiqua" w:eastAsia="Book Antiqua" w:hAnsi="Book Antiqua" w:cs="Book Antiqua"/>
          <w:i/>
          <w:color w:val="000000"/>
          <w:sz w:val="22"/>
          <w:szCs w:val="22"/>
        </w:rPr>
        <w:t>Artículo 63. Los bienes de uso público, los parques naturales, las tierras comunales de grupos étnicos, las tierras de resguardo, el patrimonio arqueológico de la Nación y los demás bienes que determine la ley, son inalienables, imprescriptibles e inembargables.</w:t>
      </w:r>
    </w:p>
    <w:p w:rsidR="00BE0BB0" w:rsidRDefault="008B31B7">
      <w:pPr>
        <w:spacing w:before="280"/>
        <w:ind w:left="0" w:hanging="2"/>
        <w:jc w:val="both"/>
        <w:rPr>
          <w:rFonts w:ascii="Book Antiqua" w:eastAsia="Book Antiqua" w:hAnsi="Book Antiqua" w:cs="Book Antiqua"/>
          <w:color w:val="000000"/>
          <w:sz w:val="22"/>
          <w:szCs w:val="22"/>
        </w:rPr>
      </w:pPr>
      <w:r>
        <w:rPr>
          <w:rFonts w:ascii="Book Antiqua" w:eastAsia="Book Antiqua" w:hAnsi="Book Antiqua" w:cs="Book Antiqua"/>
          <w:i/>
          <w:color w:val="000000"/>
          <w:sz w:val="22"/>
          <w:szCs w:val="22"/>
        </w:rPr>
        <w:t xml:space="preserve">Artículo 70. 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 La cultura en sus diversas manifestaciones es fundamento de la nacionalidad. El Estado </w:t>
      </w:r>
      <w:r>
        <w:rPr>
          <w:rFonts w:ascii="Book Antiqua" w:eastAsia="Book Antiqua" w:hAnsi="Book Antiqua" w:cs="Book Antiqua"/>
          <w:i/>
          <w:color w:val="000000"/>
          <w:sz w:val="22"/>
          <w:szCs w:val="22"/>
        </w:rPr>
        <w:lastRenderedPageBreak/>
        <w:t>reconoce la igualdad y dignidad de todas las que conviven en el país. El Estado promoverá la investigación, la ciencia, el desarrollo y la difusión de los valores culturales de la Nación.</w:t>
      </w:r>
    </w:p>
    <w:p w:rsidR="00BE0BB0" w:rsidRDefault="008B31B7">
      <w:pPr>
        <w:spacing w:before="280"/>
        <w:ind w:left="0" w:hanging="2"/>
        <w:jc w:val="both"/>
        <w:rPr>
          <w:rFonts w:ascii="Book Antiqua" w:eastAsia="Book Antiqua" w:hAnsi="Book Antiqua" w:cs="Book Antiqua"/>
          <w:color w:val="000000"/>
          <w:sz w:val="22"/>
          <w:szCs w:val="22"/>
        </w:rPr>
      </w:pPr>
      <w:r>
        <w:rPr>
          <w:rFonts w:ascii="Book Antiqua" w:eastAsia="Book Antiqua" w:hAnsi="Book Antiqua" w:cs="Book Antiqua"/>
          <w:i/>
          <w:color w:val="000000"/>
          <w:sz w:val="22"/>
          <w:szCs w:val="22"/>
        </w:rPr>
        <w:t>Artículo 72. El patrimonio cultural de la Nación está bajo la protección del Estado. El patrimonio arqueológico y otros bienes culturales que conforman la identidad nacional, pertenecen a la Nación y son inalienables, inembargables e imprescriptibles. La ley establecerá los mecanismos para readquirirlos cuando se encuentren en manos de particulares y reglamentará los derechos especiales que pudieran tener los grupos étnicos asentados en territorios de riqueza arqueológica.</w:t>
      </w:r>
    </w:p>
    <w:p w:rsidR="00BE0BB0" w:rsidRDefault="008B31B7">
      <w:pPr>
        <w:spacing w:before="280" w:line="276" w:lineRule="auto"/>
        <w:ind w:left="0" w:hanging="2"/>
        <w:jc w:val="both"/>
        <w:rPr>
          <w:rFonts w:ascii="Book Antiqua" w:eastAsia="Book Antiqua" w:hAnsi="Book Antiqua" w:cs="Book Antiqua"/>
          <w:color w:val="000000"/>
        </w:rPr>
      </w:pPr>
      <w:r>
        <w:rPr>
          <w:rFonts w:ascii="Book Antiqua" w:eastAsia="Book Antiqua" w:hAnsi="Book Antiqua" w:cs="Book Antiqua"/>
          <w:color w:val="000000"/>
        </w:rPr>
        <w:t>Este marco dispositivo fundamental sirve de base para la regulación legal, entre la que se destaca la ley 397 de 1997, y ha sido objeto de abundantes pronunciamientos jurisprudenciales de naturaleza constitucional, contribuyendo a esclarecer el contenido y alcance de los conceptos y, asimismo, del sentido de las obligaciones del Estados y sus autoridades. A los efectos que interesan traer a colación como fundamento de este proyecto de ley, se tiene las sentencias de la Corte Constitucional: C-120 del 2008 (Expediente LAT-290/ Magistrado ponente Mauricio González Cuervo)</w:t>
      </w:r>
      <w:r>
        <w:rPr>
          <w:rFonts w:ascii="Book Antiqua" w:eastAsia="Book Antiqua" w:hAnsi="Book Antiqua" w:cs="Book Antiqua"/>
          <w:color w:val="000000"/>
          <w:vertAlign w:val="superscript"/>
        </w:rPr>
        <w:footnoteReference w:id="4"/>
      </w:r>
      <w:r>
        <w:rPr>
          <w:rFonts w:ascii="Book Antiqua" w:eastAsia="Book Antiqua" w:hAnsi="Book Antiqua" w:cs="Book Antiqua"/>
          <w:color w:val="000000"/>
        </w:rPr>
        <w:t>, C- 224 de 2016 (Expediente D-11015 / Magistrados ponentes Alejandro Linares Cantillo y Jorge Iván Palacio Palacio)</w:t>
      </w:r>
      <w:r>
        <w:rPr>
          <w:rFonts w:ascii="Book Antiqua" w:eastAsia="Book Antiqua" w:hAnsi="Book Antiqua" w:cs="Book Antiqua"/>
          <w:color w:val="000000"/>
          <w:vertAlign w:val="superscript"/>
        </w:rPr>
        <w:footnoteReference w:id="5"/>
      </w:r>
      <w:r>
        <w:rPr>
          <w:rFonts w:ascii="Book Antiqua" w:eastAsia="Book Antiqua" w:hAnsi="Book Antiqua" w:cs="Book Antiqua"/>
          <w:color w:val="000000"/>
        </w:rPr>
        <w:t>, C-567 de 2016 (Expediente D-11345 / Magistrada ponente María Victoria Calle Correa)</w:t>
      </w:r>
      <w:r>
        <w:rPr>
          <w:rFonts w:ascii="Book Antiqua" w:eastAsia="Book Antiqua" w:hAnsi="Book Antiqua" w:cs="Book Antiqua"/>
          <w:color w:val="000000"/>
          <w:vertAlign w:val="superscript"/>
        </w:rPr>
        <w:footnoteReference w:id="6"/>
      </w:r>
      <w:r>
        <w:rPr>
          <w:rFonts w:ascii="Book Antiqua" w:eastAsia="Book Antiqua" w:hAnsi="Book Antiqua" w:cs="Book Antiqua"/>
          <w:color w:val="000000"/>
        </w:rPr>
        <w:t xml:space="preserve"> y C-111 de 2017 (Expediente D-11485 / Magistrado Ponente Luis Guillermo Guerrero Pérez)</w:t>
      </w:r>
      <w:r>
        <w:rPr>
          <w:rFonts w:ascii="Book Antiqua" w:eastAsia="Book Antiqua" w:hAnsi="Book Antiqua" w:cs="Book Antiqua"/>
          <w:color w:val="000000"/>
          <w:vertAlign w:val="superscript"/>
        </w:rPr>
        <w:footnoteReference w:id="7"/>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lastRenderedPageBreak/>
        <w:t xml:space="preserve">En la sentencia C-120, la Corte determinó el alcance de las tareas de salvaguarda que le corresponden al Estado colombiano, en atención a los compromisos internacionales que se asumirían con la ratificación de la Convención UNESCO de 2003. La providencia deja claro el amplio espectro de estas obligaciones:  </w:t>
      </w:r>
    </w:p>
    <w:p w:rsidR="00BE0BB0" w:rsidRDefault="00BE0BB0">
      <w:pPr>
        <w:ind w:left="1" w:right="51" w:hanging="3"/>
        <w:jc w:val="both"/>
        <w:rPr>
          <w:color w:val="FF0000"/>
          <w:sz w:val="28"/>
          <w:szCs w:val="28"/>
        </w:rPr>
      </w:pPr>
    </w:p>
    <w:p w:rsidR="00BE0BB0" w:rsidRDefault="008B31B7">
      <w:pPr>
        <w:ind w:left="0" w:right="51" w:hanging="2"/>
        <w:jc w:val="both"/>
        <w:rPr>
          <w:rFonts w:ascii="Book Antiqua" w:eastAsia="Book Antiqua" w:hAnsi="Book Antiqua" w:cs="Book Antiqua"/>
          <w:sz w:val="22"/>
          <w:szCs w:val="22"/>
        </w:rPr>
      </w:pPr>
      <w:r>
        <w:rPr>
          <w:rFonts w:ascii="Book Antiqua" w:eastAsia="Book Antiqua" w:hAnsi="Book Antiqua" w:cs="Book Antiqua"/>
          <w:i/>
          <w:sz w:val="22"/>
          <w:szCs w:val="22"/>
        </w:rPr>
        <w:t>Los compromisos del Estado Colombiano en el plano nacional para la protección de su patrimonio cultural inmaterial (Parte III –artículos 11 -15), compaginan sin dificultad con los artículos 7, 71 y 72 de la Constitución en materia de protección de la diversidad étnica y cultural y de investigación y fomento de las manifestaciones culturales del país. En ese sentido, la elaboración de inventarios, la generación de políticas, la creación de organismos de salvaguarda del patrimonio, la adopción y promoción de estudios e investigaciones, la realización de foros y de otros espacios destinados al cumplimiento de la finalidad esencial del tratado y la creación de instituciones de documentación, son todas tareas que contribuyen a la realización de los fines señalados. Además, el énfasis de la Convención en los procesos educativos y de fortalecimiento de competencias y en la participación de las comunidades, grupos e individuos, en especial de los jóvenes, para asociarlos activamente a la protección del patrimonio cultural (arts. 14-15) tiene una importancia especial en el marco del derecho a la educación (Art. 69 y 70 C.P) y de los principios constitucionales que orientan la acción del Estado hacia el logro de una sociedad más incluyente y participativa. El conocimiento y divulgación de ese patrimonio constituye sin duda una forma de aprender a respetar y aceptar la diferencia, de evitar las exclusiones y los fundamentalismos, y un referente para las futuras generaciones en el proceso constante de recreación simbólica de la realidad, el desarrollo de las identidades a partir de criterios diferentes y la realización del ser humano en la cultura, a través de nuevas y particulares expresiones.</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En la sentencia C-224, aunada a la definición de </w:t>
      </w:r>
      <w:r>
        <w:rPr>
          <w:rFonts w:ascii="Book Antiqua" w:eastAsia="Book Antiqua" w:hAnsi="Book Antiqua" w:cs="Book Antiqua"/>
          <w:i/>
        </w:rPr>
        <w:t>“cultura”</w:t>
      </w:r>
      <w:r>
        <w:rPr>
          <w:rFonts w:ascii="Book Antiqua" w:eastAsia="Book Antiqua" w:hAnsi="Book Antiqua" w:cs="Book Antiqua"/>
        </w:rPr>
        <w:t xml:space="preserve"> que se formula, la Corte explica la relación del marco regulatorio antes mencionado con el artículo 2º constitucional, alusivo al deber de protección de la honra y bienes de los habitantes del territorio que recae sobre el Estado. Esta relación conceptual no es de menor importancia, en la medida en que destaca el valor de la cultura en el desenvolvimiento y la vida de la sociedad colombiana y lo asocia con los bienes de que cada uno de los individuos es titular (patrimonio común). </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En relación con este patrimonio colectivo, la Corte hace una oportuna referencia a la tendencia proteccionista que ha marcado la evolución del desarrollo regulatorio </w:t>
      </w:r>
      <w:r>
        <w:rPr>
          <w:rFonts w:ascii="Book Antiqua" w:eastAsia="Book Antiqua" w:hAnsi="Book Antiqua" w:cs="Book Antiqua"/>
        </w:rPr>
        <w:lastRenderedPageBreak/>
        <w:t xml:space="preserve">nacional e internacional, con base en lo cual puede afirmarse que el mismo constituye objeto de especial protección. </w:t>
      </w: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Esta misma sentencia precisa los límites de la competencia del Congreso de la República para autorizar el gasto por medio de proyectos como el presente, según se explica más adelante.  </w:t>
      </w:r>
    </w:p>
    <w:p w:rsidR="00BE0BB0" w:rsidRDefault="00BE0BB0">
      <w:pPr>
        <w:ind w:left="0" w:hanging="2"/>
        <w:jc w:val="both"/>
        <w:rPr>
          <w:rFonts w:ascii="Book Antiqua" w:eastAsia="Book Antiqua" w:hAnsi="Book Antiqua" w:cs="Book Antiqua"/>
          <w:sz w:val="22"/>
          <w:szCs w:val="22"/>
        </w:rPr>
      </w:pPr>
    </w:p>
    <w:p w:rsidR="00BE0BB0" w:rsidRDefault="008B31B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 xml:space="preserve">La cultura, definida en términos generales como </w:t>
      </w:r>
      <w:r>
        <w:rPr>
          <w:rFonts w:ascii="Book Antiqua" w:eastAsia="Book Antiqua" w:hAnsi="Book Antiqua" w:cs="Book Antiqua"/>
          <w:i/>
          <w:sz w:val="22"/>
          <w:szCs w:val="22"/>
        </w:rPr>
        <w:t>“el conjunto de rasgos distintivos espirituales y materiales, intelectuales y afectivos que caracterizan a una sociedad o a un grupo social y que abarca, además de las artes y letras, los modos de vida, las maneras de vivir juntos, los sistemas de valores, las tradiciones y las creencias”</w:t>
      </w:r>
      <w:r>
        <w:rPr>
          <w:rFonts w:ascii="Book Antiqua" w:eastAsia="Book Antiqua" w:hAnsi="Book Antiqua" w:cs="Book Antiqua"/>
          <w:sz w:val="22"/>
          <w:szCs w:val="22"/>
          <w:vertAlign w:val="superscript"/>
        </w:rPr>
        <w:footnoteReference w:id="8"/>
      </w:r>
      <w:r>
        <w:rPr>
          <w:rFonts w:ascii="Book Antiqua" w:eastAsia="Book Antiqua" w:hAnsi="Book Antiqua" w:cs="Book Antiqua"/>
          <w:sz w:val="22"/>
          <w:szCs w:val="22"/>
        </w:rPr>
        <w:t>, encuentra profundo raigambre en el ordenamiento constitucional colombiano.</w:t>
      </w:r>
    </w:p>
    <w:p w:rsidR="00BE0BB0" w:rsidRDefault="00BE0BB0">
      <w:pPr>
        <w:ind w:left="0" w:hanging="2"/>
        <w:jc w:val="both"/>
        <w:rPr>
          <w:rFonts w:ascii="Book Antiqua" w:eastAsia="Book Antiqua" w:hAnsi="Book Antiqua" w:cs="Book Antiqua"/>
          <w:sz w:val="22"/>
          <w:szCs w:val="22"/>
        </w:rPr>
      </w:pPr>
    </w:p>
    <w:p w:rsidR="00BE0BB0" w:rsidRDefault="008B31B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 xml:space="preserve">En este sentido, el artículo 2º de la Constitución Política consagra como uno de los fines esenciales del Estado </w:t>
      </w:r>
      <w:r>
        <w:rPr>
          <w:rFonts w:ascii="Book Antiqua" w:eastAsia="Book Antiqua" w:hAnsi="Book Antiqua" w:cs="Book Antiqua"/>
          <w:i/>
          <w:sz w:val="22"/>
          <w:szCs w:val="22"/>
        </w:rPr>
        <w:t>“facilitar la participación de todos en la vida económica, política, administrativa y cultural de la Nación”</w:t>
      </w:r>
      <w:r>
        <w:rPr>
          <w:rFonts w:ascii="Book Antiqua" w:eastAsia="Book Antiqua" w:hAnsi="Book Antiqua" w:cs="Book Antiqua"/>
          <w:sz w:val="22"/>
          <w:szCs w:val="22"/>
        </w:rPr>
        <w:t>; el artículo 7º</w:t>
      </w:r>
      <w:r>
        <w:rPr>
          <w:rFonts w:ascii="Book Antiqua" w:eastAsia="Book Antiqua" w:hAnsi="Book Antiqua" w:cs="Book Antiqua"/>
          <w:i/>
          <w:sz w:val="22"/>
          <w:szCs w:val="22"/>
        </w:rPr>
        <w:t xml:space="preserve"> “reconoce y protege la diversidad étnica y cultural de la Nación colombiana”</w:t>
      </w:r>
      <w:r>
        <w:rPr>
          <w:rFonts w:ascii="Book Antiqua" w:eastAsia="Book Antiqua" w:hAnsi="Book Antiqua" w:cs="Book Antiqua"/>
          <w:sz w:val="22"/>
          <w:szCs w:val="22"/>
        </w:rPr>
        <w:t xml:space="preserve">; el artículo 8º eleva a obligación del Estado y de toda persona </w:t>
      </w:r>
      <w:r>
        <w:rPr>
          <w:rFonts w:ascii="Book Antiqua" w:eastAsia="Book Antiqua" w:hAnsi="Book Antiqua" w:cs="Book Antiqua"/>
          <w:i/>
          <w:sz w:val="22"/>
          <w:szCs w:val="22"/>
        </w:rPr>
        <w:t>“proteger las riquezas culturales y naturales de la Nación”</w:t>
      </w:r>
      <w:r>
        <w:rPr>
          <w:rFonts w:ascii="Book Antiqua" w:eastAsia="Book Antiqua" w:hAnsi="Book Antiqua" w:cs="Book Antiqua"/>
          <w:sz w:val="22"/>
          <w:szCs w:val="22"/>
        </w:rPr>
        <w:t xml:space="preserve">; el artículo 44 define la cultura como un </w:t>
      </w:r>
      <w:r>
        <w:rPr>
          <w:rFonts w:ascii="Book Antiqua" w:eastAsia="Book Antiqua" w:hAnsi="Book Antiqua" w:cs="Book Antiqua"/>
          <w:i/>
          <w:sz w:val="22"/>
          <w:szCs w:val="22"/>
        </w:rPr>
        <w:t>“derecho fundamental”</w:t>
      </w:r>
      <w:r>
        <w:rPr>
          <w:rFonts w:ascii="Book Antiqua" w:eastAsia="Book Antiqua" w:hAnsi="Book Antiqua" w:cs="Book Antiqua"/>
          <w:sz w:val="22"/>
          <w:szCs w:val="22"/>
        </w:rPr>
        <w:t xml:space="preserve"> de los niños; el artículo 67 dispone que el derecho a la educación busca afianzar los valores culturales; el artículo 70 estipula que </w:t>
      </w:r>
      <w:r>
        <w:rPr>
          <w:rFonts w:ascii="Book Antiqua" w:eastAsia="Book Antiqua" w:hAnsi="Book Antiqua" w:cs="Book Antiqua"/>
          <w:i/>
          <w:sz w:val="22"/>
          <w:szCs w:val="22"/>
        </w:rPr>
        <w:t>“la cultura, en sus diversas manifestaciones, es el fundamento de la nacionalidad”</w:t>
      </w:r>
      <w:r>
        <w:rPr>
          <w:rFonts w:ascii="Book Antiqua" w:eastAsia="Book Antiqua" w:hAnsi="Book Antiqua" w:cs="Book Antiqua"/>
          <w:sz w:val="22"/>
          <w:szCs w:val="22"/>
        </w:rPr>
        <w:t>; el artículo 71 señala el deber de</w:t>
      </w:r>
      <w:r>
        <w:rPr>
          <w:rFonts w:ascii="Book Antiqua" w:eastAsia="Book Antiqua" w:hAnsi="Book Antiqua" w:cs="Book Antiqua"/>
          <w:i/>
          <w:sz w:val="22"/>
          <w:szCs w:val="22"/>
        </w:rPr>
        <w:t xml:space="preserve"> “fomento a las ciencias y, en general, a la cultura”</w:t>
      </w:r>
      <w:r>
        <w:rPr>
          <w:rFonts w:ascii="Book Antiqua" w:eastAsia="Book Antiqua" w:hAnsi="Book Antiqua" w:cs="Book Antiqua"/>
          <w:sz w:val="22"/>
          <w:szCs w:val="22"/>
        </w:rPr>
        <w:t xml:space="preserve">; el artículo 72 reconoce que </w:t>
      </w:r>
      <w:r>
        <w:rPr>
          <w:rFonts w:ascii="Book Antiqua" w:eastAsia="Book Antiqua" w:hAnsi="Book Antiqua" w:cs="Book Antiqua"/>
          <w:i/>
          <w:sz w:val="22"/>
          <w:szCs w:val="22"/>
        </w:rPr>
        <w:t>“el patrimonio cultural de la Nación está bajo la protección del Estado”</w:t>
      </w:r>
      <w:r>
        <w:rPr>
          <w:rFonts w:ascii="Book Antiqua" w:eastAsia="Book Antiqua" w:hAnsi="Book Antiqua" w:cs="Book Antiqua"/>
          <w:sz w:val="22"/>
          <w:szCs w:val="22"/>
        </w:rPr>
        <w:t xml:space="preserve">; y, el artículo 95-8 señala como uno de los deberes de la persona y el ciudadano </w:t>
      </w:r>
      <w:r>
        <w:rPr>
          <w:rFonts w:ascii="Book Antiqua" w:eastAsia="Book Antiqua" w:hAnsi="Book Antiqua" w:cs="Book Antiqua"/>
          <w:i/>
          <w:sz w:val="22"/>
          <w:szCs w:val="22"/>
        </w:rPr>
        <w:t>“proteger los recursos culturales y naturales”</w:t>
      </w:r>
      <w:r>
        <w:rPr>
          <w:rFonts w:ascii="Book Antiqua" w:eastAsia="Book Antiqua" w:hAnsi="Book Antiqua" w:cs="Book Antiqua"/>
          <w:sz w:val="22"/>
          <w:szCs w:val="22"/>
        </w:rPr>
        <w:t>; entre otras disposiciones.</w:t>
      </w:r>
    </w:p>
    <w:p w:rsidR="00BE0BB0" w:rsidRDefault="00BE0BB0">
      <w:pPr>
        <w:ind w:left="0" w:hanging="2"/>
        <w:jc w:val="both"/>
        <w:rPr>
          <w:rFonts w:ascii="Book Antiqua" w:eastAsia="Book Antiqua" w:hAnsi="Book Antiqua" w:cs="Book Antiqua"/>
          <w:sz w:val="22"/>
          <w:szCs w:val="22"/>
        </w:rPr>
      </w:pPr>
    </w:p>
    <w:p w:rsidR="00BE0BB0" w:rsidRDefault="008B31B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w:t>
      </w:r>
    </w:p>
    <w:p w:rsidR="00BE0BB0" w:rsidRDefault="00BE0BB0">
      <w:pPr>
        <w:ind w:left="0" w:hanging="2"/>
        <w:jc w:val="both"/>
        <w:rPr>
          <w:rFonts w:ascii="Book Antiqua" w:eastAsia="Book Antiqua" w:hAnsi="Book Antiqua" w:cs="Book Antiqua"/>
          <w:sz w:val="22"/>
          <w:szCs w:val="22"/>
        </w:rPr>
      </w:pPr>
    </w:p>
    <w:p w:rsidR="00BE0BB0" w:rsidRDefault="008B31B7">
      <w:pPr>
        <w:widowControl w:val="0"/>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 xml:space="preserve">En estos términos, la Constitución Política de Colombia protege el Patrimonio Cultural de la Nación, entendiendo éste como una expresión de la identidad de un grupo social en un momento histórico, es decir, que </w:t>
      </w:r>
      <w:r>
        <w:rPr>
          <w:rFonts w:ascii="Book Antiqua" w:eastAsia="Book Antiqua" w:hAnsi="Book Antiqua" w:cs="Book Antiqua"/>
          <w:i/>
          <w:sz w:val="22"/>
          <w:szCs w:val="22"/>
        </w:rPr>
        <w:t xml:space="preserve">“constituye un signo o una expresión de cultura humana, </w:t>
      </w:r>
      <w:r>
        <w:rPr>
          <w:rFonts w:ascii="Book Antiqua" w:eastAsia="Book Antiqua" w:hAnsi="Book Antiqua" w:cs="Book Antiqua"/>
          <w:i/>
          <w:sz w:val="22"/>
          <w:szCs w:val="22"/>
        </w:rPr>
        <w:lastRenderedPageBreak/>
        <w:t>de un tiempo, de circunstancias o modalidades de vida que se reflejan en el territorio, pero que desbordan sus límites y dimensiones”</w:t>
      </w:r>
      <w:r>
        <w:rPr>
          <w:rFonts w:ascii="Book Antiqua" w:eastAsia="Book Antiqua" w:hAnsi="Book Antiqua" w:cs="Book Antiqua"/>
          <w:sz w:val="22"/>
          <w:szCs w:val="22"/>
          <w:vertAlign w:val="superscript"/>
        </w:rPr>
        <w:footnoteReference w:id="9"/>
      </w:r>
      <w:r>
        <w:rPr>
          <w:rFonts w:ascii="Book Antiqua" w:eastAsia="Book Antiqua" w:hAnsi="Book Antiqua" w:cs="Book Antiqua"/>
          <w:sz w:val="22"/>
          <w:szCs w:val="22"/>
        </w:rPr>
        <w:t xml:space="preserve">. Por lo tanto, el Estado tiene la obligación </w:t>
      </w:r>
      <w:r>
        <w:rPr>
          <w:rFonts w:ascii="Book Antiqua" w:eastAsia="Book Antiqua" w:hAnsi="Book Antiqua" w:cs="Book Antiqua"/>
          <w:i/>
          <w:sz w:val="22"/>
          <w:szCs w:val="22"/>
        </w:rPr>
        <w:t>“de asegurar la conservación y recuperación de los bienes que conforman dicho patrimonio cultural”</w:t>
      </w:r>
      <w:r>
        <w:rPr>
          <w:rFonts w:ascii="Book Antiqua" w:eastAsia="Book Antiqua" w:hAnsi="Book Antiqua" w:cs="Book Antiqua"/>
          <w:sz w:val="22"/>
          <w:szCs w:val="22"/>
        </w:rPr>
        <w:t xml:space="preserve">.  </w:t>
      </w:r>
    </w:p>
    <w:p w:rsidR="00BE0BB0" w:rsidRDefault="00BE0BB0">
      <w:pPr>
        <w:ind w:left="0" w:hanging="2"/>
        <w:jc w:val="both"/>
        <w:rPr>
          <w:rFonts w:ascii="Book Antiqua" w:eastAsia="Book Antiqua" w:hAnsi="Book Antiqua" w:cs="Book Antiqua"/>
          <w:sz w:val="22"/>
          <w:szCs w:val="22"/>
        </w:rPr>
      </w:pPr>
    </w:p>
    <w:p w:rsidR="00BE0BB0" w:rsidRDefault="008B31B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 xml:space="preserve">3. Con este derrotero la protección al patrimonio cultural de la Nación es consecuencia directa de la cultura, fundamento para la construcción y consolidación de la nacionalidad colombiana. </w:t>
      </w:r>
    </w:p>
    <w:p w:rsidR="00BE0BB0" w:rsidRDefault="008B31B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w:t>
      </w:r>
    </w:p>
    <w:p w:rsidR="00BE0BB0" w:rsidRDefault="00BE0BB0">
      <w:pPr>
        <w:ind w:left="0" w:hanging="2"/>
        <w:jc w:val="both"/>
        <w:rPr>
          <w:rFonts w:ascii="Book Antiqua" w:eastAsia="Book Antiqua" w:hAnsi="Book Antiqua" w:cs="Book Antiqua"/>
          <w:sz w:val="22"/>
          <w:szCs w:val="22"/>
        </w:rPr>
      </w:pPr>
    </w:p>
    <w:p w:rsidR="00BE0BB0" w:rsidRDefault="008B31B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4. No obstante, la conceptualización acerca de qué es y qué comprende el patrimonio cultural ha sido objeto de permanente ajuste tanto en el plano internacional como en el orden interno, siempre con el propósito de ampliar y fortalecer su órbita de protección.</w:t>
      </w:r>
    </w:p>
    <w:p w:rsidR="00BE0BB0" w:rsidRDefault="00BE0BB0">
      <w:pPr>
        <w:ind w:left="0" w:hanging="2"/>
        <w:jc w:val="both"/>
        <w:rPr>
          <w:rFonts w:ascii="Book Antiqua" w:eastAsia="Book Antiqua" w:hAnsi="Book Antiqua" w:cs="Book Antiqua"/>
          <w:sz w:val="22"/>
          <w:szCs w:val="22"/>
        </w:rPr>
      </w:pPr>
    </w:p>
    <w:p w:rsidR="00BE0BB0" w:rsidRDefault="008B31B7">
      <w:pPr>
        <w:ind w:left="0" w:hanging="2"/>
        <w:jc w:val="both"/>
        <w:rPr>
          <w:rFonts w:ascii="Book Antiqua" w:eastAsia="Book Antiqua" w:hAnsi="Book Antiqua" w:cs="Book Antiqua"/>
          <w:sz w:val="22"/>
          <w:szCs w:val="22"/>
          <w:highlight w:val="white"/>
        </w:rPr>
      </w:pPr>
      <w:r>
        <w:rPr>
          <w:rFonts w:ascii="Book Antiqua" w:eastAsia="Book Antiqua" w:hAnsi="Book Antiqua" w:cs="Book Antiqua"/>
          <w:sz w:val="22"/>
          <w:szCs w:val="22"/>
        </w:rPr>
        <w:t xml:space="preserve">En el ámbito internacional, por ejemplo, </w:t>
      </w:r>
      <w:r>
        <w:rPr>
          <w:rFonts w:ascii="Book Antiqua" w:eastAsia="Book Antiqua" w:hAnsi="Book Antiqua" w:cs="Book Antiqua"/>
          <w:sz w:val="22"/>
          <w:szCs w:val="22"/>
          <w:highlight w:val="white"/>
        </w:rPr>
        <w:t xml:space="preserve">la Convención de protección de bienes culturales en caso de conflicto armado, adoptada por la UNESCO en 1954, hizo por primera vez una descripción de los bienes objeto de especial protección </w:t>
      </w:r>
      <w:r>
        <w:rPr>
          <w:rFonts w:ascii="Book Antiqua" w:eastAsia="Book Antiqua" w:hAnsi="Book Antiqua" w:cs="Book Antiqua"/>
          <w:sz w:val="22"/>
          <w:szCs w:val="22"/>
        </w:rPr>
        <w:t xml:space="preserve">en el contexto del enfrentamiento armado. Dispuso cuáles serían considerados como </w:t>
      </w:r>
      <w:r>
        <w:rPr>
          <w:rFonts w:ascii="Book Antiqua" w:eastAsia="Book Antiqua" w:hAnsi="Book Antiqua" w:cs="Book Antiqua"/>
          <w:sz w:val="22"/>
          <w:szCs w:val="22"/>
          <w:highlight w:val="white"/>
        </w:rPr>
        <w:t>culturales teniendo como base su relevancia para cada Pueblo, ya fueren muebles o inmuebles, con independencia de su origen (…)</w:t>
      </w:r>
    </w:p>
    <w:p w:rsidR="00BE0BB0" w:rsidRDefault="00BE0BB0">
      <w:pPr>
        <w:ind w:left="0" w:hanging="2"/>
        <w:jc w:val="both"/>
        <w:rPr>
          <w:rFonts w:ascii="Book Antiqua" w:eastAsia="Book Antiqua" w:hAnsi="Book Antiqua" w:cs="Book Antiqua"/>
          <w:sz w:val="22"/>
          <w:szCs w:val="22"/>
          <w:highlight w:val="white"/>
        </w:rPr>
      </w:pPr>
    </w:p>
    <w:p w:rsidR="00BE0BB0" w:rsidRDefault="008B31B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highlight w:val="white"/>
        </w:rPr>
        <w:t>Posteriormente, la Convención sobre la Protección del patrimonio mundial, cultural y natural, adoptada por la UNESCO en 1972</w:t>
      </w:r>
      <w:r>
        <w:rPr>
          <w:rFonts w:ascii="Book Antiqua" w:eastAsia="Book Antiqua" w:hAnsi="Book Antiqua" w:cs="Book Antiqua"/>
          <w:sz w:val="22"/>
          <w:szCs w:val="22"/>
          <w:highlight w:val="white"/>
          <w:vertAlign w:val="superscript"/>
        </w:rPr>
        <w:footnoteReference w:id="10"/>
      </w:r>
      <w:r>
        <w:rPr>
          <w:rFonts w:ascii="Book Antiqua" w:eastAsia="Book Antiqua" w:hAnsi="Book Antiqua" w:cs="Book Antiqua"/>
          <w:sz w:val="22"/>
          <w:szCs w:val="22"/>
          <w:highlight w:val="white"/>
        </w:rPr>
        <w:t>, tomó  como criterio relevante la importancia de los bienes</w:t>
      </w:r>
      <w:r>
        <w:rPr>
          <w:rFonts w:ascii="Book Antiqua" w:eastAsia="Book Antiqua" w:hAnsi="Book Antiqua" w:cs="Book Antiqua"/>
          <w:sz w:val="22"/>
          <w:szCs w:val="22"/>
        </w:rPr>
        <w:t xml:space="preserve"> “</w:t>
      </w:r>
      <w:r>
        <w:rPr>
          <w:rFonts w:ascii="Book Antiqua" w:eastAsia="Book Antiqua" w:hAnsi="Book Antiqua" w:cs="Book Antiqua"/>
          <w:i/>
          <w:sz w:val="22"/>
          <w:szCs w:val="22"/>
        </w:rPr>
        <w:t>desde la historia, el arte o la ciencia”</w:t>
      </w:r>
      <w:r>
        <w:rPr>
          <w:rFonts w:ascii="Book Antiqua" w:eastAsia="Book Antiqua" w:hAnsi="Book Antiqua" w:cs="Book Antiqua"/>
          <w:sz w:val="22"/>
          <w:szCs w:val="22"/>
        </w:rPr>
        <w:t xml:space="preserve">, al igual que su </w:t>
      </w:r>
      <w:r>
        <w:rPr>
          <w:rFonts w:ascii="Book Antiqua" w:eastAsia="Book Antiqua" w:hAnsi="Book Antiqua" w:cs="Book Antiqua"/>
          <w:i/>
          <w:sz w:val="22"/>
          <w:szCs w:val="22"/>
        </w:rPr>
        <w:t>“valor universal excepcional</w:t>
      </w:r>
      <w:r>
        <w:rPr>
          <w:rFonts w:ascii="Book Antiqua" w:eastAsia="Book Antiqua" w:hAnsi="Book Antiqua" w:cs="Book Antiqua"/>
          <w:sz w:val="22"/>
          <w:szCs w:val="22"/>
        </w:rPr>
        <w:t>”: (…)</w:t>
      </w:r>
      <w:r>
        <w:rPr>
          <w:rFonts w:ascii="Book Antiqua" w:eastAsia="Book Antiqua" w:hAnsi="Book Antiqua" w:cs="Book Antiqua"/>
          <w:i/>
          <w:sz w:val="22"/>
          <w:szCs w:val="22"/>
        </w:rPr>
        <w:t xml:space="preserve"> </w:t>
      </w:r>
    </w:p>
    <w:p w:rsidR="00BE0BB0" w:rsidRDefault="00BE0BB0">
      <w:pPr>
        <w:ind w:left="0" w:right="-232" w:hanging="2"/>
        <w:jc w:val="both"/>
        <w:rPr>
          <w:rFonts w:ascii="Book Antiqua" w:eastAsia="Book Antiqua" w:hAnsi="Book Antiqua" w:cs="Book Antiqua"/>
          <w:sz w:val="22"/>
          <w:szCs w:val="22"/>
          <w:highlight w:val="white"/>
        </w:rPr>
      </w:pPr>
    </w:p>
    <w:p w:rsidR="00BE0BB0" w:rsidRDefault="008B31B7">
      <w:pPr>
        <w:ind w:left="0" w:right="-232" w:hanging="2"/>
        <w:jc w:val="both"/>
        <w:rPr>
          <w:rFonts w:ascii="Book Antiqua" w:eastAsia="Book Antiqua" w:hAnsi="Book Antiqua" w:cs="Book Antiqua"/>
          <w:sz w:val="22"/>
          <w:szCs w:val="22"/>
        </w:rPr>
      </w:pPr>
      <w:r>
        <w:rPr>
          <w:rFonts w:ascii="Book Antiqua" w:eastAsia="Book Antiqua" w:hAnsi="Book Antiqua" w:cs="Book Antiqua"/>
          <w:sz w:val="22"/>
          <w:szCs w:val="22"/>
          <w:highlight w:val="white"/>
        </w:rPr>
        <w:t>Para extender la protección de aquellos objetos más allá del reflejo de un momento histórico o arquitectónico en una determinada era</w:t>
      </w:r>
      <w:r>
        <w:rPr>
          <w:rFonts w:ascii="Book Antiqua" w:eastAsia="Book Antiqua" w:hAnsi="Book Antiqua" w:cs="Book Antiqua"/>
          <w:sz w:val="22"/>
          <w:szCs w:val="22"/>
        </w:rPr>
        <w:t xml:space="preserve">, el Convenio introdujo conceptos como el de </w:t>
      </w:r>
      <w:r>
        <w:rPr>
          <w:rFonts w:ascii="Book Antiqua" w:eastAsia="Book Antiqua" w:hAnsi="Book Antiqua" w:cs="Book Antiqua"/>
          <w:i/>
          <w:sz w:val="22"/>
          <w:szCs w:val="22"/>
        </w:rPr>
        <w:t>“</w:t>
      </w:r>
      <w:r>
        <w:rPr>
          <w:rFonts w:ascii="Book Antiqua" w:eastAsia="Book Antiqua" w:hAnsi="Book Antiqua" w:cs="Book Antiqua"/>
          <w:i/>
          <w:sz w:val="22"/>
          <w:szCs w:val="22"/>
          <w:highlight w:val="white"/>
        </w:rPr>
        <w:t>patrimonio natural”</w:t>
      </w:r>
      <w:r>
        <w:rPr>
          <w:rFonts w:ascii="Book Antiqua" w:eastAsia="Book Antiqua" w:hAnsi="Book Antiqua" w:cs="Book Antiqua"/>
          <w:sz w:val="22"/>
          <w:szCs w:val="22"/>
        </w:rPr>
        <w:t xml:space="preserve"> y su proyección desde el punto de vista</w:t>
      </w:r>
      <w:r>
        <w:rPr>
          <w:rFonts w:ascii="Book Antiqua" w:eastAsia="Book Antiqua" w:hAnsi="Book Antiqua" w:cs="Book Antiqua"/>
          <w:i/>
          <w:sz w:val="22"/>
          <w:szCs w:val="22"/>
        </w:rPr>
        <w:t xml:space="preserve"> “estético o científico”</w:t>
      </w:r>
      <w:r>
        <w:rPr>
          <w:rFonts w:ascii="Book Antiqua" w:eastAsia="Book Antiqua" w:hAnsi="Book Antiqua" w:cs="Book Antiqua"/>
          <w:sz w:val="22"/>
          <w:szCs w:val="22"/>
        </w:rPr>
        <w:t>: (…)</w:t>
      </w:r>
    </w:p>
    <w:p w:rsidR="00BE0BB0" w:rsidRDefault="00BE0BB0">
      <w:pPr>
        <w:widowControl w:val="0"/>
        <w:ind w:left="0" w:hanging="2"/>
        <w:jc w:val="both"/>
        <w:rPr>
          <w:rFonts w:ascii="Book Antiqua" w:eastAsia="Book Antiqua" w:hAnsi="Book Antiqua" w:cs="Book Antiqua"/>
          <w:sz w:val="22"/>
          <w:szCs w:val="22"/>
          <w:highlight w:val="white"/>
        </w:rPr>
      </w:pPr>
    </w:p>
    <w:p w:rsidR="00BE0BB0" w:rsidRDefault="008B31B7">
      <w:pPr>
        <w:widowControl w:val="0"/>
        <w:ind w:left="0" w:hanging="2"/>
        <w:jc w:val="both"/>
        <w:rPr>
          <w:rFonts w:ascii="Book Antiqua" w:eastAsia="Book Antiqua" w:hAnsi="Book Antiqua" w:cs="Book Antiqua"/>
          <w:sz w:val="22"/>
          <w:szCs w:val="22"/>
        </w:rPr>
      </w:pPr>
      <w:r>
        <w:rPr>
          <w:rFonts w:ascii="Book Antiqua" w:eastAsia="Book Antiqua" w:hAnsi="Book Antiqua" w:cs="Book Antiqua"/>
          <w:sz w:val="22"/>
          <w:szCs w:val="22"/>
          <w:highlight w:val="white"/>
        </w:rPr>
        <w:t xml:space="preserve">Con la adhesión a dicho instrumento el Estado </w:t>
      </w:r>
      <w:r>
        <w:rPr>
          <w:rFonts w:ascii="Book Antiqua" w:eastAsia="Book Antiqua" w:hAnsi="Book Antiqua" w:cs="Book Antiqua"/>
          <w:sz w:val="22"/>
          <w:szCs w:val="22"/>
        </w:rPr>
        <w:t>colombiano reconoció una obligación preferente para identificar, proteger, conservar, rehabilitar y transmitir a las generaciones futuras el patrimonio cultural y natural situado en su territorio. Además, se obligó a adoptar medidas políticas, jurídicas, científicas, técnicas, administrativas y financieras para la protección del respectivo Patrimonio Nacional.</w:t>
      </w:r>
    </w:p>
    <w:p w:rsidR="00BE0BB0" w:rsidRDefault="00BE0BB0">
      <w:pPr>
        <w:ind w:left="0" w:hanging="2"/>
        <w:jc w:val="both"/>
        <w:rPr>
          <w:rFonts w:ascii="Book Antiqua" w:eastAsia="Book Antiqua" w:hAnsi="Book Antiqua" w:cs="Book Antiqua"/>
          <w:sz w:val="22"/>
          <w:szCs w:val="22"/>
          <w:highlight w:val="white"/>
        </w:rPr>
      </w:pPr>
    </w:p>
    <w:p w:rsidR="00BE0BB0" w:rsidRDefault="008B31B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 xml:space="preserve">Con posterioridad, la Convención para la salvaguardia del </w:t>
      </w:r>
      <w:r>
        <w:rPr>
          <w:rFonts w:ascii="Book Antiqua" w:eastAsia="Book Antiqua" w:hAnsi="Book Antiqua" w:cs="Book Antiqua"/>
          <w:i/>
          <w:sz w:val="22"/>
          <w:szCs w:val="22"/>
        </w:rPr>
        <w:t>“patrimonio cultural inmaterial”</w:t>
      </w:r>
      <w:r>
        <w:rPr>
          <w:rFonts w:ascii="Book Antiqua" w:eastAsia="Book Antiqua" w:hAnsi="Book Antiqua" w:cs="Book Antiqua"/>
          <w:sz w:val="22"/>
          <w:szCs w:val="22"/>
        </w:rPr>
        <w:t>, aprobada por la UNESCO en el año 2003, adoptó un instrumento multilateral con el propósito de ampliar el ámbito de protección e incluir dentro de la noción de patrimonio cultural aquellos usos, representaciones, expresiones, conocimientos y técnicas reconocidas e interiorizadas con sentimiento de identidad por las comunidades, transmitidas por generaciones y que afianzan su diversidad y creatividad. Todo ello, siempre y cuando sean compatibles con los instrumentos de derechos humanos, con el respeto entre comunidades y con la noción de desarrollo sostenible (medio ambiente). (…)</w:t>
      </w:r>
    </w:p>
    <w:p w:rsidR="00BE0BB0" w:rsidRDefault="00BE0BB0">
      <w:pPr>
        <w:ind w:left="0" w:hanging="2"/>
        <w:jc w:val="both"/>
        <w:rPr>
          <w:rFonts w:ascii="Book Antiqua" w:eastAsia="Book Antiqua" w:hAnsi="Book Antiqua" w:cs="Book Antiqua"/>
          <w:sz w:val="22"/>
          <w:szCs w:val="22"/>
        </w:rPr>
      </w:pPr>
    </w:p>
    <w:p w:rsidR="00BE0BB0" w:rsidRDefault="008B31B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w:t>
      </w:r>
    </w:p>
    <w:p w:rsidR="00BE0BB0" w:rsidRDefault="008B31B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 xml:space="preserve">5. En el orden interno, el Congreso de la República ha venido ajustando la normatividad con el propósito de acoplarla a los estándares del derecho internacional. </w:t>
      </w:r>
    </w:p>
    <w:p w:rsidR="00BE0BB0" w:rsidRDefault="00BE0BB0">
      <w:pPr>
        <w:ind w:left="0" w:hanging="2"/>
        <w:jc w:val="both"/>
        <w:rPr>
          <w:rFonts w:ascii="Book Antiqua" w:eastAsia="Book Antiqua" w:hAnsi="Book Antiqua" w:cs="Book Antiqua"/>
          <w:sz w:val="22"/>
          <w:szCs w:val="22"/>
        </w:rPr>
      </w:pPr>
    </w:p>
    <w:p w:rsidR="00BE0BB0" w:rsidRDefault="008B31B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 xml:space="preserve">Además de la adhesión a </w:t>
      </w:r>
      <w:r>
        <w:rPr>
          <w:rFonts w:ascii="Book Antiqua" w:eastAsia="Book Antiqua" w:hAnsi="Book Antiqua" w:cs="Book Antiqua"/>
          <w:sz w:val="22"/>
          <w:szCs w:val="22"/>
          <w:highlight w:val="white"/>
        </w:rPr>
        <w:t xml:space="preserve">la Convención de protección de bienes culturales en caso de conflicto armado de 1954, </w:t>
      </w:r>
      <w:r>
        <w:rPr>
          <w:rFonts w:ascii="Book Antiqua" w:eastAsia="Book Antiqua" w:hAnsi="Book Antiqua" w:cs="Book Antiqua"/>
          <w:sz w:val="22"/>
          <w:szCs w:val="22"/>
        </w:rPr>
        <w:t xml:space="preserve">a la </w:t>
      </w:r>
      <w:r>
        <w:rPr>
          <w:rFonts w:ascii="Book Antiqua" w:eastAsia="Book Antiqua" w:hAnsi="Book Antiqua" w:cs="Book Antiqua"/>
          <w:sz w:val="22"/>
          <w:szCs w:val="22"/>
          <w:highlight w:val="white"/>
        </w:rPr>
        <w:t xml:space="preserve">Convención sobre la Protección del patrimonio mundial, cultural y natural de 1972, </w:t>
      </w:r>
      <w:r>
        <w:rPr>
          <w:rFonts w:ascii="Book Antiqua" w:eastAsia="Book Antiqua" w:hAnsi="Book Antiqua" w:cs="Book Antiqua"/>
          <w:sz w:val="22"/>
          <w:szCs w:val="22"/>
        </w:rPr>
        <w:t xml:space="preserve">y a la Convención para la salvaguardia del </w:t>
      </w:r>
      <w:r>
        <w:rPr>
          <w:rFonts w:ascii="Book Antiqua" w:eastAsia="Book Antiqua" w:hAnsi="Book Antiqua" w:cs="Book Antiqua"/>
          <w:i/>
          <w:sz w:val="22"/>
          <w:szCs w:val="22"/>
        </w:rPr>
        <w:t>“patrimonio cultural inmaterial”</w:t>
      </w:r>
      <w:r>
        <w:rPr>
          <w:rFonts w:ascii="Book Antiqua" w:eastAsia="Book Antiqua" w:hAnsi="Book Antiqua" w:cs="Book Antiqua"/>
          <w:sz w:val="22"/>
          <w:szCs w:val="22"/>
        </w:rPr>
        <w:t xml:space="preserve"> de 2003, antes referidas, el Congreso aprobó la ley 397 de 1997, que se conoce como la </w:t>
      </w:r>
      <w:r>
        <w:rPr>
          <w:rFonts w:ascii="Book Antiqua" w:eastAsia="Book Antiqua" w:hAnsi="Book Antiqua" w:cs="Book Antiqua"/>
          <w:i/>
          <w:sz w:val="22"/>
          <w:szCs w:val="22"/>
        </w:rPr>
        <w:t>“ley general de cultura”</w:t>
      </w:r>
      <w:r>
        <w:rPr>
          <w:rFonts w:ascii="Book Antiqua" w:eastAsia="Book Antiqua" w:hAnsi="Book Antiqua" w:cs="Book Antiqua"/>
          <w:sz w:val="22"/>
          <w:szCs w:val="22"/>
        </w:rPr>
        <w:t xml:space="preserve">. </w:t>
      </w:r>
    </w:p>
    <w:p w:rsidR="00BE0BB0" w:rsidRDefault="00BE0BB0">
      <w:pPr>
        <w:ind w:left="0" w:hanging="2"/>
        <w:jc w:val="both"/>
        <w:rPr>
          <w:rFonts w:ascii="Book Antiqua" w:eastAsia="Book Antiqua" w:hAnsi="Book Antiqua" w:cs="Book Antiqua"/>
          <w:sz w:val="22"/>
          <w:szCs w:val="22"/>
        </w:rPr>
      </w:pPr>
    </w:p>
    <w:p w:rsidR="00BE0BB0" w:rsidRDefault="008B31B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 xml:space="preserve">En esta última reguló lo concerniente al patrimonio cultural de la Nación y su sistema general de protección y salvaguarda. Con la modificación introducida recientemente por la ley 1185 de 2008 se extendió la noción de patrimonio cultural para incluir también las </w:t>
      </w:r>
      <w:r>
        <w:rPr>
          <w:rFonts w:ascii="Book Antiqua" w:eastAsia="Book Antiqua" w:hAnsi="Book Antiqua" w:cs="Book Antiqua"/>
          <w:i/>
          <w:sz w:val="22"/>
          <w:szCs w:val="22"/>
        </w:rPr>
        <w:t>“manifestaciones inmateriales”</w:t>
      </w:r>
      <w:r>
        <w:rPr>
          <w:rFonts w:ascii="Book Antiqua" w:eastAsia="Book Antiqua" w:hAnsi="Book Antiqua" w:cs="Book Antiqua"/>
          <w:sz w:val="22"/>
          <w:szCs w:val="22"/>
        </w:rPr>
        <w:t xml:space="preserve"> y otras representaciones que expresan la nacionalidad colombiana. La regulación actual señala lo siguiente:</w:t>
      </w:r>
    </w:p>
    <w:p w:rsidR="00BE0BB0" w:rsidRDefault="00BE0BB0">
      <w:pPr>
        <w:ind w:left="0" w:hanging="2"/>
        <w:jc w:val="both"/>
        <w:rPr>
          <w:rFonts w:ascii="Book Antiqua" w:eastAsia="Book Antiqua" w:hAnsi="Book Antiqua" w:cs="Book Antiqua"/>
          <w:sz w:val="22"/>
          <w:szCs w:val="22"/>
        </w:rPr>
      </w:pPr>
    </w:p>
    <w:p w:rsidR="00BE0BB0" w:rsidRDefault="008B31B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w:t>
      </w:r>
      <w:r>
        <w:rPr>
          <w:rFonts w:ascii="Book Antiqua" w:eastAsia="Book Antiqua" w:hAnsi="Book Antiqua" w:cs="Book Antiqua"/>
          <w:i/>
          <w:sz w:val="22"/>
          <w:szCs w:val="22"/>
        </w:rPr>
        <w:t xml:space="preserve">ARTICULO 4o. INTEGRACIÓN DEL PATRIMONIO CULTURAL DE LA NACIÓN. </w:t>
      </w:r>
      <w:r>
        <w:rPr>
          <w:rFonts w:ascii="Book Antiqua" w:eastAsia="Book Antiqua" w:hAnsi="Book Antiqua" w:cs="Book Antiqua"/>
          <w:i/>
          <w:sz w:val="22"/>
          <w:szCs w:val="22"/>
          <w:u w:val="single"/>
        </w:rPr>
        <w:t>El patrimonio cultural de la Nación está constituido por todos los bienes materiales, las manifestaciones inmateriales, los productos y las representaciones de la cultura que son expresión de la nacionalidad colombiana</w:t>
      </w:r>
      <w:r>
        <w:rPr>
          <w:rFonts w:ascii="Book Antiqua" w:eastAsia="Book Antiqua" w:hAnsi="Book Antiqua" w:cs="Book Antiqua"/>
          <w:i/>
          <w:sz w:val="22"/>
          <w:szCs w:val="22"/>
        </w:rPr>
        <w:t>, tales como la lengua castellana, las lenguas y dialectos de las comunidades indígenas, negras y creoles, la tradición, el conocimiento ancestral, el paisaje cultural, las costumbres y los hábitos, así como los bienes materiales de naturaleza mueble e inmueble a los que se les atribuye, entre otros, especial interés histórico, artístico, científico, estético o simbólico en ámbitos como el plástico, arquitectónico, urbano, arqueológico, lingüístico, sonoro, musical, audiovisual, fílmico, testimonial, documental, literario, bibliográfico, museológico o antropológico</w:t>
      </w:r>
      <w:r>
        <w:rPr>
          <w:rFonts w:ascii="Book Antiqua" w:eastAsia="Book Antiqua" w:hAnsi="Book Antiqua" w:cs="Book Antiqua"/>
          <w:sz w:val="22"/>
          <w:szCs w:val="22"/>
        </w:rPr>
        <w:t xml:space="preserve">” (Resaltado fuera de texto). </w:t>
      </w:r>
    </w:p>
    <w:p w:rsidR="00BE0BB0" w:rsidRDefault="00BE0BB0">
      <w:pPr>
        <w:ind w:left="0" w:hanging="2"/>
        <w:jc w:val="both"/>
        <w:rPr>
          <w:rFonts w:ascii="Book Antiqua" w:eastAsia="Book Antiqua" w:hAnsi="Book Antiqua" w:cs="Book Antiqua"/>
          <w:sz w:val="22"/>
          <w:szCs w:val="22"/>
        </w:rPr>
      </w:pPr>
    </w:p>
    <w:p w:rsidR="00BE0BB0" w:rsidRDefault="008B31B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 xml:space="preserve">Este listado es meramente enunciativo por cuanto el criterio inmanente que define el alcance del patrimonio cultural es el relativo a la </w:t>
      </w:r>
      <w:r>
        <w:rPr>
          <w:rFonts w:ascii="Book Antiqua" w:eastAsia="Book Antiqua" w:hAnsi="Book Antiqua" w:cs="Book Antiqua"/>
          <w:i/>
          <w:sz w:val="22"/>
          <w:szCs w:val="22"/>
        </w:rPr>
        <w:t>“expresión de la nacionalidad colombiana”</w:t>
      </w:r>
      <w:r>
        <w:rPr>
          <w:rFonts w:ascii="Book Antiqua" w:eastAsia="Book Antiqua" w:hAnsi="Book Antiqua" w:cs="Book Antiqua"/>
          <w:sz w:val="22"/>
          <w:szCs w:val="22"/>
        </w:rPr>
        <w:t xml:space="preserve">. Ya se trate de bienes materiales o inmateriales, de productos o representaciones –que pueden tener las más diversas formas-, lo cierto es que </w:t>
      </w:r>
      <w:r>
        <w:rPr>
          <w:rFonts w:ascii="Book Antiqua" w:eastAsia="Book Antiqua" w:hAnsi="Book Antiqua" w:cs="Book Antiqua"/>
          <w:i/>
          <w:sz w:val="22"/>
          <w:szCs w:val="22"/>
        </w:rPr>
        <w:t>“todo lo que nos identifica como colombianos hace parte del patrimonio cultural y está cobijado por el mandato del artículo 8º constitucional”</w:t>
      </w:r>
      <w:r>
        <w:rPr>
          <w:rFonts w:ascii="Book Antiqua" w:eastAsia="Book Antiqua" w:hAnsi="Book Antiqua" w:cs="Book Antiqua"/>
          <w:sz w:val="22"/>
          <w:szCs w:val="22"/>
        </w:rPr>
        <w:t xml:space="preserve">. </w:t>
      </w:r>
    </w:p>
    <w:p w:rsidR="00BE0BB0" w:rsidRDefault="00BE0BB0">
      <w:pPr>
        <w:ind w:left="0" w:hanging="2"/>
        <w:jc w:val="both"/>
        <w:rPr>
          <w:rFonts w:ascii="Book Antiqua" w:eastAsia="Book Antiqua" w:hAnsi="Book Antiqua" w:cs="Book Antiqua"/>
          <w:sz w:val="22"/>
          <w:szCs w:val="22"/>
        </w:rPr>
      </w:pPr>
    </w:p>
    <w:p w:rsidR="00BE0BB0" w:rsidRDefault="008B31B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w:t>
      </w:r>
    </w:p>
    <w:p w:rsidR="00BE0BB0" w:rsidRDefault="008B31B7">
      <w:pPr>
        <w:ind w:left="0" w:hanging="2"/>
        <w:jc w:val="both"/>
        <w:rPr>
          <w:rFonts w:ascii="Book Antiqua" w:eastAsia="Book Antiqua" w:hAnsi="Book Antiqua" w:cs="Book Antiqua"/>
          <w:sz w:val="22"/>
          <w:szCs w:val="22"/>
        </w:rPr>
      </w:pPr>
      <w:r>
        <w:rPr>
          <w:rFonts w:ascii="Book Antiqua" w:eastAsia="Book Antiqua" w:hAnsi="Book Antiqua" w:cs="Book Antiqua"/>
          <w:sz w:val="22"/>
          <w:szCs w:val="22"/>
        </w:rPr>
        <w:t>De esta manera, el régimen legal establece una distinción entre (i) bienes que hacen parte del</w:t>
      </w:r>
      <w:r>
        <w:rPr>
          <w:rFonts w:ascii="Book Antiqua" w:eastAsia="Book Antiqua" w:hAnsi="Book Antiqua" w:cs="Book Antiqua"/>
          <w:i/>
          <w:sz w:val="22"/>
          <w:szCs w:val="22"/>
        </w:rPr>
        <w:t xml:space="preserve"> “patrimonio cultural de la Nación”</w:t>
      </w:r>
      <w:r>
        <w:rPr>
          <w:rFonts w:ascii="Book Antiqua" w:eastAsia="Book Antiqua" w:hAnsi="Book Antiqua" w:cs="Book Antiqua"/>
          <w:sz w:val="22"/>
          <w:szCs w:val="22"/>
        </w:rPr>
        <w:t xml:space="preserve"> y (ii) bienes que han sido declarados por el Ministerio de Cultura como </w:t>
      </w:r>
      <w:r>
        <w:rPr>
          <w:rFonts w:ascii="Book Antiqua" w:eastAsia="Book Antiqua" w:hAnsi="Book Antiqua" w:cs="Book Antiqua"/>
          <w:i/>
          <w:sz w:val="22"/>
          <w:szCs w:val="22"/>
        </w:rPr>
        <w:t>“de interés cultural”</w:t>
      </w:r>
      <w:r>
        <w:rPr>
          <w:rFonts w:ascii="Book Antiqua" w:eastAsia="Book Antiqua" w:hAnsi="Book Antiqua" w:cs="Book Antiqua"/>
          <w:sz w:val="22"/>
          <w:szCs w:val="22"/>
        </w:rPr>
        <w:t xml:space="preserve">, los cuales son destinatarios del régimen especial de protección previsto en la ley 397 de 1997 y sus normas reglamentarias. Al respecto la Corte ha explicado que, </w:t>
      </w:r>
      <w:r>
        <w:rPr>
          <w:rFonts w:ascii="Book Antiqua" w:eastAsia="Book Antiqua" w:hAnsi="Book Antiqua" w:cs="Book Antiqua"/>
          <w:i/>
          <w:sz w:val="22"/>
          <w:szCs w:val="22"/>
        </w:rPr>
        <w:t>“además de la Ley 397 de 1997, existe un conjunto de leyes y tratados internacionales que consagran otras formas de protección a la integridad del patrimonio cultural de la Nación, por lo que no puede concluirse que la inaplicación de la ley de la cultura para los bienes no declarados de interés cultural, implica descuido o abandono de los deberes de protección del patrimonio cultural de la Nación y fomento del acceso a la cultura, que los artículos 7º, 8º, 70 y 72 de la Constitución imponen al Estado</w:t>
      </w:r>
      <w:r>
        <w:rPr>
          <w:rFonts w:ascii="Book Antiqua" w:eastAsia="Book Antiqua" w:hAnsi="Book Antiqua" w:cs="Book Antiqua"/>
          <w:sz w:val="22"/>
          <w:szCs w:val="22"/>
        </w:rPr>
        <w:t>”.</w:t>
      </w:r>
    </w:p>
    <w:p w:rsidR="00BE0BB0" w:rsidRDefault="00BE0BB0">
      <w:pPr>
        <w:ind w:left="0" w:hanging="2"/>
        <w:jc w:val="both"/>
        <w:rPr>
          <w:rFonts w:ascii="Book Antiqua" w:eastAsia="Book Antiqua" w:hAnsi="Book Antiqua" w:cs="Book Antiqua"/>
          <w:sz w:val="22"/>
          <w:szCs w:val="22"/>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Por su parte, en la sentencia C-111, el Tribunal constitucional colombiano insistió en el deber especial de salvaguarda que pesa sobre el Estado y sus autoridades, cuyo espectro comprende tareas de </w:t>
      </w:r>
      <w:r>
        <w:rPr>
          <w:rFonts w:ascii="Book Antiqua" w:eastAsia="Book Antiqua" w:hAnsi="Book Antiqua" w:cs="Book Antiqua"/>
          <w:i/>
        </w:rPr>
        <w:t>protección, difusión y financiación</w:t>
      </w:r>
      <w:r>
        <w:rPr>
          <w:rFonts w:ascii="Book Antiqua" w:eastAsia="Book Antiqua" w:hAnsi="Book Antiqua" w:cs="Book Antiqua"/>
        </w:rPr>
        <w:t xml:space="preserve"> del patrimonio cultural inmaterial.  </w:t>
      </w:r>
    </w:p>
    <w:p w:rsidR="00BE0BB0" w:rsidRDefault="00BE0BB0">
      <w:pPr>
        <w:ind w:left="0" w:hanging="2"/>
        <w:jc w:val="both"/>
        <w:rPr>
          <w:rFonts w:ascii="Book Antiqua" w:eastAsia="Book Antiqua" w:hAnsi="Book Antiqua" w:cs="Book Antiqua"/>
          <w:sz w:val="22"/>
          <w:szCs w:val="22"/>
        </w:rPr>
      </w:pPr>
    </w:p>
    <w:p w:rsidR="00BE0BB0" w:rsidRDefault="008B31B7">
      <w:pPr>
        <w:ind w:left="0" w:hanging="2"/>
        <w:jc w:val="both"/>
        <w:rPr>
          <w:rFonts w:ascii="Book Antiqua" w:eastAsia="Book Antiqua" w:hAnsi="Book Antiqua" w:cs="Book Antiqua"/>
          <w:sz w:val="22"/>
          <w:szCs w:val="22"/>
          <w:highlight w:val="white"/>
        </w:rPr>
      </w:pPr>
      <w:r>
        <w:rPr>
          <w:rFonts w:ascii="Book Antiqua" w:eastAsia="Book Antiqua" w:hAnsi="Book Antiqua" w:cs="Book Antiqua"/>
          <w:i/>
          <w:sz w:val="22"/>
          <w:szCs w:val="22"/>
        </w:rPr>
        <w:t>6.3.2. Dentro de las distintas expresiones de cultura, el Texto Superior le otorga especial importancia al patrimonio cultural de la Nación, al reconocer explícitamente que se encuentra bajo la protección del Estado (CP art. 72). No obstante, ninguna disposición de la Carta brinda una noción o concepto sobre dicho patrimonio, circunstancia que se suple por vía del artículo 1 de la Ley 1185 de 2008, en el que se estípula que el patrimonio cultural de la Nación corresponde a “t</w:t>
      </w:r>
      <w:r>
        <w:rPr>
          <w:rFonts w:ascii="Book Antiqua" w:eastAsia="Book Antiqua" w:hAnsi="Book Antiqua" w:cs="Book Antiqua"/>
          <w:i/>
          <w:sz w:val="22"/>
          <w:szCs w:val="22"/>
          <w:highlight w:val="white"/>
        </w:rPr>
        <w:t>odos los bienes materiales, las manifestaciones inmateriales, los productos y las representaciones de la cultura que son expresión de la nacionalidad colombiana, tales como, la lengua castellana, las lenguas y dialectos de las comunidades indígenas, negras y creoles, la tradición, el conocimiento ancestral, el paisaje cultural, las costumbres y los hábitos, así como los bienes materiales de naturaleza mueble e inmueble a los que se les atribuye, entre otros, especial interés histórico, artístico, científico, estético o simbólico en ámbitos como el plástico, arquitectónico, urbano, arqueológico, lingüístico, sonoro, musical, audiovisual, fílmico, testimonial, documental, literario, bibliográfico, museológico o antropológico.”</w:t>
      </w:r>
    </w:p>
    <w:p w:rsidR="00BE0BB0" w:rsidRDefault="00BE0BB0">
      <w:pPr>
        <w:ind w:left="0" w:hanging="2"/>
        <w:jc w:val="both"/>
        <w:rPr>
          <w:rFonts w:ascii="Book Antiqua" w:eastAsia="Book Antiqua" w:hAnsi="Book Antiqua" w:cs="Book Antiqua"/>
          <w:sz w:val="22"/>
          <w:szCs w:val="22"/>
          <w:highlight w:val="white"/>
        </w:rPr>
      </w:pPr>
    </w:p>
    <w:p w:rsidR="00BE0BB0" w:rsidRDefault="008B31B7">
      <w:pPr>
        <w:ind w:left="0" w:hanging="2"/>
        <w:jc w:val="both"/>
        <w:rPr>
          <w:rFonts w:ascii="Book Antiqua" w:eastAsia="Book Antiqua" w:hAnsi="Book Antiqua" w:cs="Book Antiqua"/>
          <w:sz w:val="22"/>
          <w:szCs w:val="22"/>
        </w:rPr>
      </w:pPr>
      <w:r>
        <w:rPr>
          <w:rFonts w:ascii="Book Antiqua" w:eastAsia="Book Antiqua" w:hAnsi="Book Antiqua" w:cs="Book Antiqua"/>
          <w:i/>
          <w:sz w:val="22"/>
          <w:szCs w:val="22"/>
        </w:rPr>
        <w:lastRenderedPageBreak/>
        <w:t>(…)</w:t>
      </w:r>
    </w:p>
    <w:p w:rsidR="00BE0BB0" w:rsidRDefault="00BE0BB0">
      <w:pPr>
        <w:ind w:left="0" w:hanging="2"/>
        <w:jc w:val="both"/>
        <w:rPr>
          <w:rFonts w:ascii="Book Antiqua" w:eastAsia="Book Antiqua" w:hAnsi="Book Antiqua" w:cs="Book Antiqua"/>
          <w:sz w:val="22"/>
          <w:szCs w:val="22"/>
        </w:rPr>
      </w:pPr>
    </w:p>
    <w:p w:rsidR="00BE0BB0" w:rsidRDefault="008B31B7">
      <w:pPr>
        <w:ind w:left="0" w:hanging="2"/>
        <w:jc w:val="both"/>
        <w:rPr>
          <w:rFonts w:ascii="Book Antiqua" w:eastAsia="Book Antiqua" w:hAnsi="Book Antiqua" w:cs="Book Antiqua"/>
          <w:sz w:val="22"/>
          <w:szCs w:val="22"/>
        </w:rPr>
      </w:pPr>
      <w:r>
        <w:rPr>
          <w:rFonts w:ascii="Book Antiqua" w:eastAsia="Book Antiqua" w:hAnsi="Book Antiqua" w:cs="Book Antiqua"/>
          <w:i/>
          <w:sz w:val="22"/>
          <w:szCs w:val="22"/>
        </w:rPr>
        <w:t xml:space="preserve">6.3.3. Como se manifestó con anterioridad, el artículo 72 de la Constitución le impone al Estado el compromiso de proteger el patrimonio cultural de la Nación, lo que incluye, entre otras, la labor de adoptar medidas que permitan su promoción, fomento y difusión, conforme se deriva de lo consagrado en los artículos 7, 8 y 70 de la Carta Política. En armonía con lo expuesto, la Convención de la UNESCO para la Salvaguardia del Patrimonio Cultural Inmaterial de 2003 establece que los Estados Partes adquieren el deber jurídico de resguardar este patrimonio, a través de políticas que permitan su “identificación, documentación, investigación, preservación, protección, promoción, valorización, transmisión (…) y revitalización”. En particular, se dispone como obligación la de “(…) adoptar medidas de orden jurídico, técnico, administrativo y financiero adecuadas”, para “favorecer (…) la transmisión de este patrimonio en los (…) espacios destinados a su manifestación y expresión”, así como para “garantizar el acceso al patrimonio cultural inmaterial, respetando al mismo tiempo [sus] usos consuetudinarios (…)”. </w:t>
      </w:r>
    </w:p>
    <w:p w:rsidR="00BE0BB0" w:rsidRDefault="00BE0BB0">
      <w:pPr>
        <w:ind w:left="0" w:hanging="2"/>
        <w:jc w:val="both"/>
        <w:rPr>
          <w:rFonts w:ascii="Book Antiqua" w:eastAsia="Book Antiqua" w:hAnsi="Book Antiqua" w:cs="Book Antiqua"/>
          <w:sz w:val="22"/>
          <w:szCs w:val="22"/>
        </w:rPr>
      </w:pPr>
    </w:p>
    <w:p w:rsidR="00BE0BB0" w:rsidRDefault="008B31B7">
      <w:pPr>
        <w:ind w:left="0" w:hanging="2"/>
        <w:jc w:val="both"/>
        <w:rPr>
          <w:rFonts w:ascii="Book Antiqua" w:eastAsia="Book Antiqua" w:hAnsi="Book Antiqua" w:cs="Book Antiqua"/>
          <w:sz w:val="22"/>
          <w:szCs w:val="22"/>
          <w:highlight w:val="cyan"/>
        </w:rPr>
      </w:pPr>
      <w:r>
        <w:rPr>
          <w:rFonts w:ascii="Book Antiqua" w:eastAsia="Book Antiqua" w:hAnsi="Book Antiqua" w:cs="Book Antiqua"/>
          <w:i/>
          <w:sz w:val="22"/>
          <w:szCs w:val="22"/>
        </w:rPr>
        <w:t xml:space="preserve">6.3.4. En conclusión, es innegable que, por mandato constitucional y al tenor del Derecho Internacional de los Derechos Humanos, cuya incorporación al derecho interno se realiza en los términos del artículo 93 de la Carta, el Estado tiene el deber jurídico de proteger, fomentar, difundir y salvaguardar el patrimonio cultural inmaterial, incluso por la vía de la adopción de medidas financieras o de carácter presupuestal. Lo anterior se ve reforzado por la Observación General No. 21 del CDESC, en la que se destaca el derecho que tiene toda persona de participar en la vida cultural, generando a cargo del Estado obligaciones de respeto, protección y cumplimiento. En relación con estas últimas, se impone el compromiso de “otorgar ayuda financiera o de otro tipo a artistas y organizaciones públicas y privadas, como [a] (…) asociaciones culturales, sindicatos y otras personas e instituciones dedicadas a actividades (…) creativas”. Se trata de una obligación que, por lo demás, adquiere especial trascendencia en el caso de las minorías étnicas, por cuanto la cultura que ellas expresan suele ser un componente esencial de su propia identidad. </w:t>
      </w:r>
    </w:p>
    <w:p w:rsidR="00BE0BB0" w:rsidRDefault="00BE0BB0">
      <w:pPr>
        <w:ind w:left="0" w:hanging="2"/>
        <w:jc w:val="both"/>
        <w:rPr>
          <w:rFonts w:ascii="Book Antiqua" w:eastAsia="Book Antiqua" w:hAnsi="Book Antiqua" w:cs="Book Antiqua"/>
          <w:sz w:val="22"/>
          <w:szCs w:val="22"/>
        </w:rPr>
      </w:pPr>
    </w:p>
    <w:p w:rsidR="00BE0BB0" w:rsidRDefault="008B31B7">
      <w:pPr>
        <w:spacing w:line="276" w:lineRule="auto"/>
        <w:ind w:left="0" w:hanging="2"/>
        <w:jc w:val="both"/>
        <w:rPr>
          <w:rFonts w:ascii="Book Antiqua" w:eastAsia="Book Antiqua" w:hAnsi="Book Antiqua" w:cs="Book Antiqua"/>
        </w:rPr>
      </w:pPr>
      <w:r>
        <w:rPr>
          <w:rFonts w:ascii="Book Antiqua" w:eastAsia="Book Antiqua" w:hAnsi="Book Antiqua" w:cs="Book Antiqua"/>
        </w:rPr>
        <w:t xml:space="preserve">Finalmente, huelga precisar que, en Colombia se ha adoptado un completo protocolo para el reconocimiento de expresiones culturales como parte del patrimonio nacional, asegurando un mayor rigor en su selección y evaluación. Dicho reconocimiento se formaliza con la inclusión en la </w:t>
      </w:r>
      <w:r>
        <w:rPr>
          <w:rFonts w:ascii="Book Antiqua" w:eastAsia="Book Antiqua" w:hAnsi="Book Antiqua" w:cs="Book Antiqua"/>
          <w:i/>
        </w:rPr>
        <w:t>Lista Representativa de Patrimonio Cultural –LRPCI—</w:t>
      </w:r>
      <w:r>
        <w:rPr>
          <w:rFonts w:ascii="Book Antiqua" w:eastAsia="Book Antiqua" w:hAnsi="Book Antiqua" w:cs="Book Antiqua"/>
        </w:rPr>
        <w:t xml:space="preserve">(Decreto 2941 de 2009); para lo cual toda manifestación o expresión cultural deberá cumplir, esencialmente, con el siguiente proceso: </w:t>
      </w:r>
    </w:p>
    <w:p w:rsidR="00BE0BB0" w:rsidRDefault="00BE0BB0">
      <w:pPr>
        <w:spacing w:line="276" w:lineRule="auto"/>
        <w:ind w:left="0" w:hanging="2"/>
        <w:jc w:val="both"/>
        <w:rPr>
          <w:rFonts w:ascii="Book Antiqua" w:eastAsia="Book Antiqua" w:hAnsi="Book Antiqua" w:cs="Book Antiqua"/>
        </w:rPr>
      </w:pPr>
    </w:p>
    <w:p w:rsidR="00BE0BB0" w:rsidRDefault="008B31B7">
      <w:pPr>
        <w:numPr>
          <w:ilvl w:val="0"/>
          <w:numId w:val="2"/>
        </w:numPr>
        <w:spacing w:line="276" w:lineRule="auto"/>
        <w:ind w:left="0" w:hanging="2"/>
        <w:jc w:val="both"/>
        <w:rPr>
          <w:rFonts w:ascii="Book Antiqua" w:eastAsia="Book Antiqua" w:hAnsi="Book Antiqua" w:cs="Book Antiqua"/>
        </w:rPr>
      </w:pPr>
      <w:r>
        <w:rPr>
          <w:rFonts w:ascii="Book Antiqua" w:eastAsia="Book Antiqua" w:hAnsi="Book Antiqua" w:cs="Book Antiqua"/>
        </w:rPr>
        <w:lastRenderedPageBreak/>
        <w:t xml:space="preserve">      Postulación, por parte de entidades estatales o grupos sociales, colectividades, comunidades o personas naturales o jurídicas, y/o de la entidad encargada de la LRPCI, previo el cumplimiento de los requisitos de que tratan los artículos 8º y 11 del citado decreto; </w:t>
      </w:r>
    </w:p>
    <w:p w:rsidR="00BE0BB0" w:rsidRDefault="008B31B7">
      <w:pPr>
        <w:numPr>
          <w:ilvl w:val="0"/>
          <w:numId w:val="2"/>
        </w:numPr>
        <w:spacing w:line="276" w:lineRule="auto"/>
        <w:ind w:left="0" w:hanging="2"/>
        <w:jc w:val="both"/>
        <w:rPr>
          <w:rFonts w:ascii="Book Antiqua" w:eastAsia="Book Antiqua" w:hAnsi="Book Antiqua" w:cs="Book Antiqua"/>
        </w:rPr>
      </w:pPr>
      <w:r>
        <w:rPr>
          <w:rFonts w:ascii="Book Antiqua" w:eastAsia="Book Antiqua" w:hAnsi="Book Antiqua" w:cs="Book Antiqua"/>
        </w:rPr>
        <w:t xml:space="preserve">     Recibir concepto favorable del Consejo de Patrimonio Cultural, en cuyo caso esta autoridad solicitará al postulante la elaboración y presentación del Plan Especial de Salvaguarda –PES (que debe orientarse a la promoción, consolidación, sostenibilidad y difusión de la correspondiente manifestación); </w:t>
      </w:r>
    </w:p>
    <w:p w:rsidR="00BE0BB0" w:rsidRDefault="008B31B7">
      <w:pPr>
        <w:numPr>
          <w:ilvl w:val="0"/>
          <w:numId w:val="2"/>
        </w:numPr>
        <w:spacing w:line="276" w:lineRule="auto"/>
        <w:ind w:left="0" w:hanging="2"/>
        <w:jc w:val="both"/>
        <w:rPr>
          <w:rFonts w:ascii="Book Antiqua" w:eastAsia="Book Antiqua" w:hAnsi="Book Antiqua" w:cs="Book Antiqua"/>
        </w:rPr>
      </w:pPr>
      <w:r>
        <w:rPr>
          <w:rFonts w:ascii="Book Antiqua" w:eastAsia="Book Antiqua" w:hAnsi="Book Antiqua" w:cs="Book Antiqua"/>
        </w:rPr>
        <w:t xml:space="preserve">Expedición del acto administrativo que así lo declara, en el que se explicitan los criterios de valoración cumplidos (pertinencia, representatividad, relevancia, naturaleza e identidad colectiva, vigencia, equidad y responsabilidad) y el mapa de fortalezas, riesgos y amenazas relativos a la manifestación cultural reconocida. </w:t>
      </w:r>
    </w:p>
    <w:p w:rsidR="00BE0BB0" w:rsidRDefault="00BE0BB0">
      <w:pPr>
        <w:ind w:left="0" w:hanging="2"/>
        <w:jc w:val="both"/>
        <w:rPr>
          <w:rFonts w:ascii="Book Antiqua" w:eastAsia="Book Antiqua" w:hAnsi="Book Antiqua" w:cs="Book Antiqua"/>
        </w:rPr>
      </w:pPr>
    </w:p>
    <w:p w:rsidR="00BE0BB0" w:rsidRDefault="008B31B7">
      <w:pPr>
        <w:spacing w:line="276" w:lineRule="auto"/>
        <w:ind w:left="0" w:hanging="2"/>
        <w:jc w:val="both"/>
        <w:rPr>
          <w:rFonts w:ascii="Book Antiqua" w:eastAsia="Book Antiqua" w:hAnsi="Book Antiqua" w:cs="Book Antiqua"/>
        </w:rPr>
      </w:pPr>
      <w:r>
        <w:rPr>
          <w:rFonts w:ascii="Book Antiqua" w:eastAsia="Book Antiqua" w:hAnsi="Book Antiqua" w:cs="Book Antiqua"/>
        </w:rPr>
        <w:t xml:space="preserve">Suficiente con lo dicho para entrar a considerar la justificación particular de reconocer y declarar como patrimonio cultural inmaterial de la nación las exposiciones, ferias y festivales equinos, como lo pretende este proyecto de ley. </w:t>
      </w:r>
    </w:p>
    <w:p w:rsidR="00BE0BB0" w:rsidRDefault="00BE0BB0">
      <w:pPr>
        <w:ind w:left="0" w:hanging="2"/>
        <w:jc w:val="both"/>
        <w:rPr>
          <w:rFonts w:ascii="Book Antiqua" w:eastAsia="Book Antiqua" w:hAnsi="Book Antiqua" w:cs="Book Antiqua"/>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b/>
        </w:rPr>
        <w:t>Los equinos y la identidad nacional</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Los caballos, los asnos y las mulas han sido empleados en Colombia en trabajos de campo (vaquería, tiro pesado), seguridad ciudadana y rural (policía montada), alud (</w:t>
      </w:r>
      <w:proofErr w:type="spellStart"/>
      <w:r>
        <w:rPr>
          <w:rFonts w:ascii="Book Antiqua" w:eastAsia="Book Antiqua" w:hAnsi="Book Antiqua" w:cs="Book Antiqua"/>
        </w:rPr>
        <w:t>hiporapia</w:t>
      </w:r>
      <w:proofErr w:type="spellEnd"/>
      <w:r>
        <w:rPr>
          <w:rFonts w:ascii="Book Antiqua" w:eastAsia="Book Antiqua" w:hAnsi="Book Antiqua" w:cs="Book Antiqua"/>
        </w:rPr>
        <w:t xml:space="preserve"> y </w:t>
      </w:r>
      <w:proofErr w:type="spellStart"/>
      <w:r>
        <w:rPr>
          <w:rFonts w:ascii="Book Antiqua" w:eastAsia="Book Antiqua" w:hAnsi="Book Antiqua" w:cs="Book Antiqua"/>
        </w:rPr>
        <w:t>equinoterapia</w:t>
      </w:r>
      <w:proofErr w:type="spellEnd"/>
      <w:r>
        <w:rPr>
          <w:rFonts w:ascii="Book Antiqua" w:eastAsia="Book Antiqua" w:hAnsi="Book Antiqua" w:cs="Book Antiqua"/>
        </w:rPr>
        <w:t xml:space="preserve">), deporte (chalanería, salto, adiestramiento), exposiciones, reproducción, recreación, turismo y producción de alimentos; aunque su principal aporte en términos culturales, ha sido el de servir de factor caracterizador de una sociedad que le adeuda la realización de sus más grandes gestas libertadoras y el motor de una economía campesina que se mueve </w:t>
      </w:r>
      <w:proofErr w:type="spellStart"/>
      <w:r>
        <w:rPr>
          <w:rFonts w:ascii="Book Antiqua" w:eastAsia="Book Antiqua" w:hAnsi="Book Antiqua" w:cs="Book Antiqua"/>
        </w:rPr>
        <w:t>fundamentalemente</w:t>
      </w:r>
      <w:proofErr w:type="spellEnd"/>
      <w:r>
        <w:rPr>
          <w:rFonts w:ascii="Book Antiqua" w:eastAsia="Book Antiqua" w:hAnsi="Book Antiqua" w:cs="Book Antiqua"/>
        </w:rPr>
        <w:t xml:space="preserve"> sobre sus lomos. </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Introducido al continente en el segundo viaje de </w:t>
      </w:r>
      <w:proofErr w:type="spellStart"/>
      <w:r>
        <w:rPr>
          <w:rFonts w:ascii="Book Antiqua" w:eastAsia="Book Antiqua" w:hAnsi="Book Antiqua" w:cs="Book Antiqua"/>
        </w:rPr>
        <w:t>Cristobal</w:t>
      </w:r>
      <w:proofErr w:type="spellEnd"/>
      <w:r>
        <w:rPr>
          <w:rFonts w:ascii="Book Antiqua" w:eastAsia="Book Antiqua" w:hAnsi="Book Antiqua" w:cs="Book Antiqua"/>
        </w:rPr>
        <w:t xml:space="preserve"> Colón, en 1493, el caballo desempeñó un rol determinante en la campaña libertadora, permitiendo </w:t>
      </w:r>
      <w:r>
        <w:rPr>
          <w:rFonts w:ascii="Book Antiqua" w:eastAsia="Book Antiqua" w:hAnsi="Book Antiqua" w:cs="Book Antiqua"/>
        </w:rPr>
        <w:lastRenderedPageBreak/>
        <w:t xml:space="preserve">el movimiento eficiente de tropas y sus equipamientos a través de los escarpados y quebrados territorios americanos. Desde su arribo a tierras que hoy pertenecen a República </w:t>
      </w:r>
      <w:proofErr w:type="spellStart"/>
      <w:r>
        <w:rPr>
          <w:rFonts w:ascii="Book Antiqua" w:eastAsia="Book Antiqua" w:hAnsi="Book Antiqua" w:cs="Book Antiqua"/>
        </w:rPr>
        <w:t>Domicana</w:t>
      </w:r>
      <w:proofErr w:type="spellEnd"/>
      <w:r>
        <w:rPr>
          <w:rFonts w:ascii="Book Antiqua" w:eastAsia="Book Antiqua" w:hAnsi="Book Antiqua" w:cs="Book Antiqua"/>
        </w:rPr>
        <w:t xml:space="preserve">, el caballo se </w:t>
      </w:r>
      <w:proofErr w:type="spellStart"/>
      <w:r>
        <w:rPr>
          <w:rFonts w:ascii="Book Antiqua" w:eastAsia="Book Antiqua" w:hAnsi="Book Antiqua" w:cs="Book Antiqua"/>
        </w:rPr>
        <w:t>disemió</w:t>
      </w:r>
      <w:proofErr w:type="spellEnd"/>
      <w:r>
        <w:rPr>
          <w:rFonts w:ascii="Book Antiqua" w:eastAsia="Book Antiqua" w:hAnsi="Book Antiqua" w:cs="Book Antiqua"/>
        </w:rPr>
        <w:t xml:space="preserve"> por el resto del continente, pero siendo en Colombia el lugar donde encontró el más importante centro para su desarrollo, en los dos más importantes de cría: la Sabana de </w:t>
      </w:r>
      <w:proofErr w:type="spellStart"/>
      <w:r>
        <w:rPr>
          <w:rFonts w:ascii="Book Antiqua" w:eastAsia="Book Antiqua" w:hAnsi="Book Antiqua" w:cs="Book Antiqua"/>
        </w:rPr>
        <w:t>Bogota</w:t>
      </w:r>
      <w:proofErr w:type="spellEnd"/>
      <w:r>
        <w:rPr>
          <w:rFonts w:ascii="Book Antiqua" w:eastAsia="Book Antiqua" w:hAnsi="Book Antiqua" w:cs="Book Antiqua"/>
        </w:rPr>
        <w:t xml:space="preserve"> y el Suroeste antioqueño. A mediados del siglo XVI, regiones como el Tolima y el oriente de Caldas habían incorporado </w:t>
      </w:r>
      <w:proofErr w:type="spellStart"/>
      <w:r>
        <w:rPr>
          <w:rFonts w:ascii="Book Antiqua" w:eastAsia="Book Antiqua" w:hAnsi="Book Antiqua" w:cs="Book Antiqua"/>
        </w:rPr>
        <w:t>existosamente</w:t>
      </w:r>
      <w:proofErr w:type="spellEnd"/>
      <w:r>
        <w:rPr>
          <w:rFonts w:ascii="Book Antiqua" w:eastAsia="Book Antiqua" w:hAnsi="Book Antiqua" w:cs="Book Antiqua"/>
        </w:rPr>
        <w:t xml:space="preserve"> estos especímenes a su cotidianidad. </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En los primeros albores de la independencia, los equinos nuevamente fueron fundamentales en el proceso de consolidación de las nacientes repúblicas y la colonización y del florecimiento de asentamientos humanos en apartadas zonas del territorio nacional. El comercio interno dependía cada vez más de los equinos, para la producción y el traslado de productos agrícolas hacia los cada vez </w:t>
      </w:r>
      <w:proofErr w:type="spellStart"/>
      <w:r>
        <w:rPr>
          <w:rFonts w:ascii="Book Antiqua" w:eastAsia="Book Antiqua" w:hAnsi="Book Antiqua" w:cs="Book Antiqua"/>
        </w:rPr>
        <w:t>mas</w:t>
      </w:r>
      <w:proofErr w:type="spellEnd"/>
      <w:r>
        <w:rPr>
          <w:rFonts w:ascii="Book Antiqua" w:eastAsia="Book Antiqua" w:hAnsi="Book Antiqua" w:cs="Book Antiqua"/>
        </w:rPr>
        <w:t xml:space="preserve"> grandes centros urbanos. </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La importancia de los equinos en el nacimiento y evolución de esta nueva nación empezó a ser reconocido públicamente, </w:t>
      </w:r>
      <w:proofErr w:type="spellStart"/>
      <w:r>
        <w:rPr>
          <w:rFonts w:ascii="Book Antiqua" w:eastAsia="Book Antiqua" w:hAnsi="Book Antiqua" w:cs="Book Antiqua"/>
        </w:rPr>
        <w:t>através</w:t>
      </w:r>
      <w:proofErr w:type="spellEnd"/>
      <w:r>
        <w:rPr>
          <w:rFonts w:ascii="Book Antiqua" w:eastAsia="Book Antiqua" w:hAnsi="Book Antiqua" w:cs="Book Antiqua"/>
        </w:rPr>
        <w:t xml:space="preserve"> de expresiones culturales y festividades que conmemoraban la lucha libertaria, como las cabalgatas que se hicieron en la ciudad de Bogotá y en otras ciudades a los pocos años de declarada la independencia: </w:t>
      </w:r>
    </w:p>
    <w:p w:rsidR="00BE0BB0" w:rsidRDefault="00BE0BB0">
      <w:pPr>
        <w:spacing w:before="28" w:after="28" w:line="276" w:lineRule="auto"/>
        <w:ind w:left="0" w:hanging="2"/>
        <w:jc w:val="both"/>
        <w:rPr>
          <w:rFonts w:ascii="Book Antiqua" w:eastAsia="Book Antiqua" w:hAnsi="Book Antiqua" w:cs="Book Antiqua"/>
          <w:sz w:val="22"/>
          <w:szCs w:val="22"/>
        </w:rPr>
      </w:pPr>
    </w:p>
    <w:p w:rsidR="00BE0BB0" w:rsidRDefault="008B31B7">
      <w:pPr>
        <w:pBdr>
          <w:top w:val="nil"/>
          <w:left w:val="nil"/>
          <w:bottom w:val="nil"/>
          <w:right w:val="nil"/>
          <w:between w:val="nil"/>
        </w:pBdr>
        <w:shd w:val="clear" w:color="auto" w:fill="FFFFFF"/>
        <w:spacing w:before="135" w:after="135" w:line="240" w:lineRule="auto"/>
        <w:ind w:left="0" w:hanging="2"/>
        <w:jc w:val="both"/>
        <w:rPr>
          <w:rFonts w:ascii="Book Antiqua" w:eastAsia="Book Antiqua" w:hAnsi="Book Antiqua" w:cs="Book Antiqua"/>
          <w:color w:val="000000"/>
          <w:sz w:val="22"/>
          <w:szCs w:val="22"/>
          <w:highlight w:val="white"/>
        </w:rPr>
      </w:pPr>
      <w:r>
        <w:rPr>
          <w:rFonts w:ascii="Book Antiqua" w:eastAsia="Book Antiqua" w:hAnsi="Book Antiqua" w:cs="Book Antiqua"/>
          <w:i/>
          <w:color w:val="000000"/>
          <w:sz w:val="22"/>
          <w:szCs w:val="22"/>
        </w:rPr>
        <w:t xml:space="preserve">Entrado el siglo XIX, las diversiones y fiestas públicas facilitaron el uso más popular del caballo. Según el cronista Eladio </w:t>
      </w:r>
      <w:proofErr w:type="spellStart"/>
      <w:r>
        <w:rPr>
          <w:rFonts w:ascii="Book Antiqua" w:eastAsia="Book Antiqua" w:hAnsi="Book Antiqua" w:cs="Book Antiqua"/>
          <w:i/>
          <w:color w:val="000000"/>
          <w:sz w:val="22"/>
          <w:szCs w:val="22"/>
        </w:rPr>
        <w:t>Gónima</w:t>
      </w:r>
      <w:proofErr w:type="spellEnd"/>
      <w:r>
        <w:rPr>
          <w:rFonts w:ascii="Book Antiqua" w:eastAsia="Book Antiqua" w:hAnsi="Book Antiqua" w:cs="Book Antiqua"/>
          <w:i/>
          <w:color w:val="000000"/>
          <w:sz w:val="22"/>
          <w:szCs w:val="22"/>
        </w:rPr>
        <w:t>, los paseos a caballo entraron en boga en la ciudad de Medellín después de 1837, principalmente entre "la gente de garnacha" --distinción--, en las tardes de verano y por las calles. Al parecer, el caballo dejaba de ser de uso exclusivamente masculino, pues don Gabriel Echeverri "influyó para que esta distracción se hiciera extensiva a las señoritas. Consiguió su objeto y después se volvió muy común ver </w:t>
      </w:r>
      <w:hyperlink r:id="rId8">
        <w:r>
          <w:rPr>
            <w:rFonts w:ascii="Book Antiqua" w:eastAsia="Book Antiqua" w:hAnsi="Book Antiqua" w:cs="Book Antiqua"/>
            <w:i/>
            <w:color w:val="000000"/>
            <w:sz w:val="22"/>
            <w:szCs w:val="22"/>
          </w:rPr>
          <w:t>grupos</w:t>
        </w:r>
      </w:hyperlink>
      <w:r>
        <w:rPr>
          <w:rFonts w:ascii="Book Antiqua" w:eastAsia="Book Antiqua" w:hAnsi="Book Antiqua" w:cs="Book Antiqua"/>
          <w:i/>
          <w:color w:val="000000"/>
          <w:sz w:val="22"/>
          <w:szCs w:val="22"/>
        </w:rPr>
        <w:t xml:space="preserve"> de señoritas de paseo, grupos que </w:t>
      </w:r>
      <w:r>
        <w:rPr>
          <w:rFonts w:ascii="Book Antiqua" w:eastAsia="Book Antiqua" w:hAnsi="Book Antiqua" w:cs="Book Antiqua"/>
          <w:i/>
          <w:color w:val="000000"/>
          <w:sz w:val="22"/>
          <w:szCs w:val="22"/>
        </w:rPr>
        <w:lastRenderedPageBreak/>
        <w:t>muchas veces se reunían formando una cabalgata digna de contemplarse, ya por la galanura, donaire y destreza de las amazonas, cuanto por la hermosura y buen paso de los caballos.</w:t>
      </w:r>
      <w:r>
        <w:rPr>
          <w:rFonts w:ascii="Book Antiqua" w:eastAsia="Book Antiqua" w:hAnsi="Book Antiqua" w:cs="Book Antiqua"/>
          <w:i/>
          <w:color w:val="000000"/>
          <w:sz w:val="22"/>
          <w:szCs w:val="22"/>
          <w:vertAlign w:val="superscript"/>
        </w:rPr>
        <w:footnoteReference w:id="11"/>
      </w:r>
      <w:r>
        <w:rPr>
          <w:rFonts w:ascii="Book Antiqua" w:eastAsia="Book Antiqua" w:hAnsi="Book Antiqua" w:cs="Book Antiqua"/>
          <w:i/>
          <w:color w:val="000000"/>
          <w:sz w:val="22"/>
          <w:szCs w:val="22"/>
          <w:highlight w:val="white"/>
        </w:rPr>
        <w:t xml:space="preserve"> </w:t>
      </w:r>
    </w:p>
    <w:p w:rsidR="00BE0BB0" w:rsidRDefault="00BE0BB0">
      <w:pPr>
        <w:pBdr>
          <w:top w:val="nil"/>
          <w:left w:val="nil"/>
          <w:bottom w:val="nil"/>
          <w:right w:val="nil"/>
          <w:between w:val="nil"/>
        </w:pBdr>
        <w:shd w:val="clear" w:color="auto" w:fill="FFFFFF"/>
        <w:spacing w:before="135" w:after="135" w:line="240" w:lineRule="auto"/>
        <w:ind w:left="0" w:hanging="2"/>
        <w:rPr>
          <w:rFonts w:ascii="Georgia" w:eastAsia="Georgia" w:hAnsi="Georgia" w:cs="Georgia"/>
          <w:color w:val="445555"/>
          <w:sz w:val="21"/>
          <w:szCs w:val="21"/>
          <w:highlight w:val="white"/>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En la actualidad, los equinos y la cultura asociada, asimismo se han convertido en un dinamizador de un importante segmento de la economía agropecuaria del país, generando cerca de medio millón de empleos y aportando aproximadamente el 0.64% al PIB del sector, lo que corresponde a más del 4% del sector (2018)</w:t>
      </w:r>
      <w:r>
        <w:rPr>
          <w:rFonts w:ascii="Book Antiqua" w:eastAsia="Book Antiqua" w:hAnsi="Book Antiqua" w:cs="Book Antiqua"/>
          <w:vertAlign w:val="superscript"/>
        </w:rPr>
        <w:footnoteReference w:id="12"/>
      </w:r>
      <w:r>
        <w:rPr>
          <w:rFonts w:ascii="Book Antiqua" w:eastAsia="Book Antiqua" w:hAnsi="Book Antiqua" w:cs="Book Antiqua"/>
        </w:rPr>
        <w:t xml:space="preserve">. De acuerdo con lo </w:t>
      </w:r>
      <w:proofErr w:type="spellStart"/>
      <w:r>
        <w:rPr>
          <w:rFonts w:ascii="Book Antiqua" w:eastAsia="Book Antiqua" w:hAnsi="Book Antiqua" w:cs="Book Antiqua"/>
        </w:rPr>
        <w:t>consigando</w:t>
      </w:r>
      <w:proofErr w:type="spellEnd"/>
      <w:r>
        <w:rPr>
          <w:rFonts w:ascii="Book Antiqua" w:eastAsia="Book Antiqua" w:hAnsi="Book Antiqua" w:cs="Book Antiqua"/>
        </w:rPr>
        <w:t xml:space="preserve"> en el análisis del contexto consignado en el Acuerdo de Competitividad de la Cadena Equina, Asnal y Mular, 2014, Colombia en 2012 se situó en el tercer lugar de la región, solo detrás de Brasil y Paraguay, entre los países </w:t>
      </w:r>
      <w:proofErr w:type="spellStart"/>
      <w:r>
        <w:rPr>
          <w:rFonts w:ascii="Book Antiqua" w:eastAsia="Book Antiqua" w:hAnsi="Book Antiqua" w:cs="Book Antiqua"/>
        </w:rPr>
        <w:t>latinoamricanos</w:t>
      </w:r>
      <w:proofErr w:type="spellEnd"/>
      <w:r>
        <w:rPr>
          <w:rFonts w:ascii="Book Antiqua" w:eastAsia="Book Antiqua" w:hAnsi="Book Antiqua" w:cs="Book Antiqua"/>
        </w:rPr>
        <w:t xml:space="preserve"> con mayores cifras de importación de caballos </w:t>
      </w:r>
      <w:proofErr w:type="spellStart"/>
      <w:r>
        <w:rPr>
          <w:rFonts w:ascii="Book Antiqua" w:eastAsia="Book Antiqua" w:hAnsi="Book Antiqua" w:cs="Book Antiqua"/>
        </w:rPr>
        <w:t>vivios</w:t>
      </w:r>
      <w:proofErr w:type="spellEnd"/>
      <w:r>
        <w:rPr>
          <w:rFonts w:ascii="Book Antiqua" w:eastAsia="Book Antiqua" w:hAnsi="Book Antiqua" w:cs="Book Antiqua"/>
        </w:rPr>
        <w:t>, reproductores de raza pura, con 110 toneladas.</w:t>
      </w:r>
      <w:r>
        <w:rPr>
          <w:rFonts w:ascii="Book Antiqua" w:eastAsia="Book Antiqua" w:hAnsi="Book Antiqua" w:cs="Book Antiqua"/>
          <w:vertAlign w:val="superscript"/>
        </w:rPr>
        <w:footnoteReference w:id="13"/>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Datos del Ministerio de Agricultura y Desarrollo Rural</w:t>
      </w:r>
      <w:r>
        <w:rPr>
          <w:rFonts w:ascii="Book Antiqua" w:eastAsia="Book Antiqua" w:hAnsi="Book Antiqua" w:cs="Book Antiqua"/>
          <w:vertAlign w:val="superscript"/>
        </w:rPr>
        <w:footnoteReference w:id="14"/>
      </w:r>
      <w:r>
        <w:rPr>
          <w:rFonts w:ascii="Book Antiqua" w:eastAsia="Book Antiqua" w:hAnsi="Book Antiqua" w:cs="Book Antiqua"/>
        </w:rPr>
        <w:t xml:space="preserve">  señalan que, entre los meses de enero y marzo de 2019, los principales indicadores </w:t>
      </w:r>
      <w:proofErr w:type="spellStart"/>
      <w:r>
        <w:rPr>
          <w:rFonts w:ascii="Book Antiqua" w:eastAsia="Book Antiqua" w:hAnsi="Book Antiqua" w:cs="Book Antiqua"/>
        </w:rPr>
        <w:t>consolidades</w:t>
      </w:r>
      <w:proofErr w:type="spellEnd"/>
      <w:r>
        <w:rPr>
          <w:rFonts w:ascii="Book Antiqua" w:eastAsia="Book Antiqua" w:hAnsi="Book Antiqua" w:cs="Book Antiqua"/>
        </w:rPr>
        <w:t xml:space="preserve"> de la </w:t>
      </w:r>
      <w:r>
        <w:rPr>
          <w:rFonts w:ascii="Book Antiqua" w:eastAsia="Book Antiqua" w:hAnsi="Book Antiqua" w:cs="Book Antiqua"/>
          <w:i/>
        </w:rPr>
        <w:t>“</w:t>
      </w:r>
      <w:proofErr w:type="spellStart"/>
      <w:r>
        <w:rPr>
          <w:rFonts w:ascii="Book Antiqua" w:eastAsia="Book Antiqua" w:hAnsi="Book Antiqua" w:cs="Book Antiqua"/>
          <w:i/>
        </w:rPr>
        <w:t>equinocultura</w:t>
      </w:r>
      <w:proofErr w:type="spellEnd"/>
      <w:r>
        <w:rPr>
          <w:rFonts w:ascii="Book Antiqua" w:eastAsia="Book Antiqua" w:hAnsi="Book Antiqua" w:cs="Book Antiqua"/>
          <w:i/>
        </w:rPr>
        <w:t>”</w:t>
      </w:r>
      <w:r>
        <w:rPr>
          <w:rFonts w:ascii="Book Antiqua" w:eastAsia="Book Antiqua" w:hAnsi="Book Antiqua" w:cs="Book Antiqua"/>
        </w:rPr>
        <w:t xml:space="preserve"> </w:t>
      </w:r>
      <w:proofErr w:type="spellStart"/>
      <w:r>
        <w:rPr>
          <w:rFonts w:ascii="Book Antiqua" w:eastAsia="Book Antiqua" w:hAnsi="Book Antiqua" w:cs="Book Antiqua"/>
        </w:rPr>
        <w:t>arojaban</w:t>
      </w:r>
      <w:proofErr w:type="spellEnd"/>
      <w:r>
        <w:rPr>
          <w:rFonts w:ascii="Book Antiqua" w:eastAsia="Book Antiqua" w:hAnsi="Book Antiqua" w:cs="Book Antiqua"/>
        </w:rPr>
        <w:t xml:space="preserve"> interesantes cifras que evidencian su posicionamiento en el sector: </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numPr>
          <w:ilvl w:val="0"/>
          <w:numId w:val="3"/>
        </w:num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lastRenderedPageBreak/>
        <w:t>1 millón y medio de equinos (Caballos, asnos y mulas)</w:t>
      </w:r>
    </w:p>
    <w:p w:rsidR="00BE0BB0" w:rsidRDefault="008B31B7">
      <w:pPr>
        <w:numPr>
          <w:ilvl w:val="0"/>
          <w:numId w:val="3"/>
        </w:num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91.322 predios equinos, asnales y mulares.</w:t>
      </w:r>
    </w:p>
    <w:p w:rsidR="00BE0BB0" w:rsidRDefault="008B31B7">
      <w:pPr>
        <w:numPr>
          <w:ilvl w:val="0"/>
          <w:numId w:val="3"/>
        </w:num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4 plantas de beneficio. </w:t>
      </w:r>
    </w:p>
    <w:p w:rsidR="00BE0BB0" w:rsidRDefault="008B31B7">
      <w:pPr>
        <w:numPr>
          <w:ilvl w:val="0"/>
          <w:numId w:val="3"/>
        </w:num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USD 787.000 en exportaciones de equinos, principalmente hacia EEUU, Panamá, República Dominicana y Chile. El acumulado de exportaciones en el periodo 2010-2018 es de UDS 3.574 millones. </w:t>
      </w:r>
    </w:p>
    <w:p w:rsidR="00BE0BB0" w:rsidRDefault="008B31B7">
      <w:pPr>
        <w:numPr>
          <w:ilvl w:val="0"/>
          <w:numId w:val="3"/>
        </w:num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Generó 359.442 empleos directos e indirectos. </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El crecimiento de esta actividad económica se pude evidenciar, de igual forma, en el aumento sostenido de créditos otorgados para su financiamiento; de acuerdo con datos de </w:t>
      </w:r>
      <w:proofErr w:type="gramStart"/>
      <w:r>
        <w:rPr>
          <w:rFonts w:ascii="Book Antiqua" w:eastAsia="Book Antiqua" w:hAnsi="Book Antiqua" w:cs="Book Antiqua"/>
        </w:rPr>
        <w:t>FINAGRO,  mientras</w:t>
      </w:r>
      <w:proofErr w:type="gramEnd"/>
      <w:r>
        <w:rPr>
          <w:rFonts w:ascii="Book Antiqua" w:eastAsia="Book Antiqua" w:hAnsi="Book Antiqua" w:cs="Book Antiqua"/>
        </w:rPr>
        <w:t xml:space="preserve"> en 2010 se entregaron 3.710 millones por valor de $1.155 millones, en 2019 la cifra ascendió a los 19.092 por un valor de %23.670 millones. </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keepNext/>
        <w:spacing w:before="28" w:after="28" w:line="276" w:lineRule="auto"/>
        <w:ind w:left="0" w:hanging="2"/>
        <w:jc w:val="both"/>
      </w:pPr>
      <w:r>
        <w:rPr>
          <w:rFonts w:ascii="Book Antiqua" w:eastAsia="Book Antiqua" w:hAnsi="Book Antiqua" w:cs="Book Antiqua"/>
        </w:rPr>
        <w:object w:dxaOrig="8333" w:dyaOrig="3308">
          <v:shape id="_x0000_s0" o:spid="_x0000_i1025" type="#_x0000_t75" style="width:435.75pt;height:173.25pt;visibility:visible" o:ole="">
            <v:imagedata r:id="rId9" o:title=""/>
            <v:path o:extrusionok="t"/>
          </v:shape>
          <o:OLEObject Type="Embed" ProgID="MSGraph.Chart.8" ShapeID="_x0000_s0" DrawAspect="Content" ObjectID="_1688383961" r:id="rId10"/>
        </w:object>
      </w:r>
    </w:p>
    <w:p w:rsidR="00BE0BB0" w:rsidRDefault="008B31B7">
      <w:pPr>
        <w:pBdr>
          <w:top w:val="nil"/>
          <w:left w:val="nil"/>
          <w:bottom w:val="nil"/>
          <w:right w:val="nil"/>
          <w:between w:val="nil"/>
        </w:pBdr>
        <w:spacing w:line="240" w:lineRule="auto"/>
        <w:ind w:left="0" w:hanging="2"/>
        <w:jc w:val="both"/>
        <w:rPr>
          <w:rFonts w:ascii="Book Antiqua" w:eastAsia="Book Antiqua" w:hAnsi="Book Antiqua" w:cs="Book Antiqua"/>
          <w:color w:val="000000"/>
          <w:sz w:val="20"/>
          <w:szCs w:val="20"/>
        </w:rPr>
      </w:pPr>
      <w:r>
        <w:rPr>
          <w:b/>
          <w:color w:val="000000"/>
          <w:sz w:val="20"/>
          <w:szCs w:val="20"/>
        </w:rPr>
        <w:t xml:space="preserve">Tabla 1. </w:t>
      </w:r>
      <w:r>
        <w:rPr>
          <w:color w:val="000000"/>
          <w:sz w:val="20"/>
          <w:szCs w:val="20"/>
        </w:rPr>
        <w:t xml:space="preserve">Elaboración propia, con fundamento en datos ministeriales. </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keepNext/>
        <w:spacing w:before="28" w:after="28" w:line="276" w:lineRule="auto"/>
        <w:ind w:left="0" w:hanging="2"/>
        <w:jc w:val="both"/>
      </w:pPr>
      <w:r>
        <w:rPr>
          <w:rFonts w:ascii="Book Antiqua" w:eastAsia="Book Antiqua" w:hAnsi="Book Antiqua" w:cs="Book Antiqua"/>
        </w:rPr>
        <w:object w:dxaOrig="8190" w:dyaOrig="3251">
          <v:shape id="_x0000_i1026" type="#_x0000_t75" style="width:428.25pt;height:170.25pt;visibility:visible" o:ole="">
            <v:imagedata r:id="rId11" o:title=""/>
            <v:path o:extrusionok="t"/>
          </v:shape>
          <o:OLEObject Type="Embed" ProgID="MSGraph.Chart.8" ShapeID="_x0000_i1026" DrawAspect="Content" ObjectID="_1688383962" r:id="rId12"/>
        </w:object>
      </w:r>
    </w:p>
    <w:p w:rsidR="00BE0BB0" w:rsidRDefault="008B31B7">
      <w:pPr>
        <w:pBdr>
          <w:top w:val="nil"/>
          <w:left w:val="nil"/>
          <w:bottom w:val="nil"/>
          <w:right w:val="nil"/>
          <w:between w:val="nil"/>
        </w:pBdr>
        <w:spacing w:line="240" w:lineRule="auto"/>
        <w:ind w:left="0" w:hanging="2"/>
        <w:jc w:val="both"/>
        <w:rPr>
          <w:color w:val="000000"/>
          <w:sz w:val="20"/>
          <w:szCs w:val="20"/>
        </w:rPr>
      </w:pPr>
      <w:r>
        <w:rPr>
          <w:b/>
          <w:color w:val="000000"/>
          <w:sz w:val="20"/>
          <w:szCs w:val="20"/>
        </w:rPr>
        <w:t>Tabla 2.</w:t>
      </w:r>
      <w:r>
        <w:rPr>
          <w:color w:val="000000"/>
          <w:sz w:val="20"/>
          <w:szCs w:val="20"/>
        </w:rPr>
        <w:t xml:space="preserve"> Elaboración propia, con fundamento en datos ministeriales.</w:t>
      </w:r>
    </w:p>
    <w:p w:rsidR="00BE0BB0" w:rsidRDefault="00BE0BB0">
      <w:pPr>
        <w:ind w:left="0" w:hanging="2"/>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Asimismo, en 2017 la cadena equina asnal y mular recibió recursos por el orden de los $230.000 millones, para programas de promoción</w:t>
      </w:r>
      <w:r>
        <w:rPr>
          <w:rFonts w:ascii="Book Antiqua" w:eastAsia="Book Antiqua" w:hAnsi="Book Antiqua" w:cs="Book Antiqua"/>
          <w:vertAlign w:val="superscript"/>
        </w:rPr>
        <w:footnoteReference w:id="15"/>
      </w:r>
      <w:r>
        <w:rPr>
          <w:rFonts w:ascii="Book Antiqua" w:eastAsia="Book Antiqua" w:hAnsi="Book Antiqua" w:cs="Book Antiqua"/>
        </w:rPr>
        <w:t xml:space="preserve">. </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En 2019, según el Ministerio de Agricultura y Desarrollo Rural, durante la </w:t>
      </w:r>
      <w:proofErr w:type="spellStart"/>
      <w:r>
        <w:rPr>
          <w:rFonts w:ascii="Book Antiqua" w:eastAsia="Book Antiqua" w:hAnsi="Book Antiqua" w:cs="Book Antiqua"/>
        </w:rPr>
        <w:t>Expointernacional</w:t>
      </w:r>
      <w:proofErr w:type="spellEnd"/>
      <w:r>
        <w:rPr>
          <w:rFonts w:ascii="Book Antiqua" w:eastAsia="Book Antiqua" w:hAnsi="Book Antiqua" w:cs="Book Antiqua"/>
        </w:rPr>
        <w:t xml:space="preserve"> Equina, se cerraron negocios de caballos y de productos por cerca de USD 2 millones. </w:t>
      </w:r>
      <w:r>
        <w:rPr>
          <w:rFonts w:ascii="Book Antiqua" w:eastAsia="Book Antiqua" w:hAnsi="Book Antiqua" w:cs="Book Antiqua"/>
          <w:vertAlign w:val="superscript"/>
        </w:rPr>
        <w:footnoteReference w:id="16"/>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Finalmente, es importante resaltar </w:t>
      </w:r>
      <w:proofErr w:type="gramStart"/>
      <w:r>
        <w:rPr>
          <w:rFonts w:ascii="Book Antiqua" w:eastAsia="Book Antiqua" w:hAnsi="Book Antiqua" w:cs="Book Antiqua"/>
        </w:rPr>
        <w:t>que</w:t>
      </w:r>
      <w:proofErr w:type="gramEnd"/>
      <w:r>
        <w:rPr>
          <w:rFonts w:ascii="Book Antiqua" w:eastAsia="Book Antiqua" w:hAnsi="Book Antiqua" w:cs="Book Antiqua"/>
        </w:rPr>
        <w:t xml:space="preserve"> entre los retos identificados por el Gobierno Nacional, concretamente del Ministerio de Agricultura y Desarrollo Rural, en relación con el sector, son: </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numPr>
          <w:ilvl w:val="0"/>
          <w:numId w:val="4"/>
        </w:num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Impulsar la transformación productiva, la competitividad y desarrollo rural, promoviendo condiciones que dinamicen provisión de bienes y servicios, inversión, emprendimiento y desarrollo del sector </w:t>
      </w:r>
      <w:proofErr w:type="spellStart"/>
      <w:r>
        <w:rPr>
          <w:rFonts w:ascii="Book Antiqua" w:eastAsia="Book Antiqua" w:hAnsi="Book Antiqua" w:cs="Book Antiqua"/>
        </w:rPr>
        <w:t>callabar</w:t>
      </w:r>
      <w:proofErr w:type="spellEnd"/>
      <w:r>
        <w:rPr>
          <w:rFonts w:ascii="Book Antiqua" w:eastAsia="Book Antiqua" w:hAnsi="Book Antiqua" w:cs="Book Antiqua"/>
        </w:rPr>
        <w:t xml:space="preserve">, asnal y mular en Colombia. </w:t>
      </w:r>
    </w:p>
    <w:p w:rsidR="00BE0BB0" w:rsidRDefault="008B31B7">
      <w:pPr>
        <w:numPr>
          <w:ilvl w:val="0"/>
          <w:numId w:val="4"/>
        </w:num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lastRenderedPageBreak/>
        <w:t xml:space="preserve">Promocionar, fomentar y comercializar el recuso genético del Caballo Criollo Colombiano. </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Sin lugar a dudas, el espíritu y contenido dispositivo del presente proyecto coincide con los propósitos gubernamentales y las necesidades más apremiantes del sector. </w:t>
      </w:r>
    </w:p>
    <w:p w:rsidR="00BE0BB0" w:rsidRDefault="00BE0BB0">
      <w:pPr>
        <w:spacing w:before="28" w:after="28" w:line="276" w:lineRule="auto"/>
        <w:ind w:left="0" w:hanging="2"/>
        <w:jc w:val="both"/>
        <w:rPr>
          <w:rFonts w:ascii="Book Antiqua" w:eastAsia="Book Antiqua" w:hAnsi="Book Antiqua" w:cs="Book Antiqua"/>
        </w:rPr>
      </w:pP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b/>
        </w:rPr>
        <w:t>De las exposiciones, ferias y festivales equinos.</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line="276" w:lineRule="auto"/>
        <w:ind w:left="0" w:hanging="2"/>
        <w:jc w:val="both"/>
        <w:rPr>
          <w:rFonts w:ascii="Book Antiqua" w:eastAsia="Book Antiqua" w:hAnsi="Book Antiqua" w:cs="Book Antiqua"/>
          <w:sz w:val="22"/>
          <w:szCs w:val="22"/>
        </w:rPr>
      </w:pPr>
      <w:r>
        <w:rPr>
          <w:rFonts w:ascii="Book Antiqua" w:eastAsia="Book Antiqua" w:hAnsi="Book Antiqua" w:cs="Book Antiqua"/>
        </w:rPr>
        <w:t xml:space="preserve">En Colombia, durante todo año, en diferentes municipios del país, se llevan a cabo exposiciones, ferias y festivales equinos de diferente nivel, a la que confluyen multitudes atraídas cada vez por la pasión que despiertan estos ejemplares. </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Estos eventos, económicos y culturales, dinamizan las economías locales, de los municipios en donde se celebran, por incentivar principalmente el comercio de bienes y </w:t>
      </w:r>
      <w:proofErr w:type="spellStart"/>
      <w:r>
        <w:rPr>
          <w:rFonts w:ascii="Book Antiqua" w:eastAsia="Book Antiqua" w:hAnsi="Book Antiqua" w:cs="Book Antiqua"/>
        </w:rPr>
        <w:t>servcios</w:t>
      </w:r>
      <w:proofErr w:type="spellEnd"/>
      <w:r>
        <w:rPr>
          <w:rFonts w:ascii="Book Antiqua" w:eastAsia="Book Antiqua" w:hAnsi="Book Antiqua" w:cs="Book Antiqua"/>
        </w:rPr>
        <w:t xml:space="preserve"> asociados a la crianza, cuidado, adiestramiento, reproducción y comercialización de equinos, además de la generación de actividades relacionadas con las artesanías, la </w:t>
      </w:r>
      <w:proofErr w:type="spellStart"/>
      <w:r>
        <w:rPr>
          <w:rFonts w:ascii="Book Antiqua" w:eastAsia="Book Antiqua" w:hAnsi="Book Antiqua" w:cs="Book Antiqua"/>
        </w:rPr>
        <w:t>sombrería</w:t>
      </w:r>
      <w:proofErr w:type="spellEnd"/>
      <w:r>
        <w:rPr>
          <w:rFonts w:ascii="Book Antiqua" w:eastAsia="Book Antiqua" w:hAnsi="Book Antiqua" w:cs="Book Antiqua"/>
        </w:rPr>
        <w:t xml:space="preserve"> típica, la marroquinería, la herrería y la gastronomía típica.</w:t>
      </w:r>
      <w:r>
        <w:rPr>
          <w:rFonts w:ascii="Book Antiqua" w:eastAsia="Book Antiqua" w:hAnsi="Book Antiqua" w:cs="Book Antiqua"/>
          <w:vertAlign w:val="superscript"/>
        </w:rPr>
        <w:footnoteReference w:id="17"/>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Este tipo de actividades, reglamentadas técnicamente por FEDEQUINAS, se han convertido en las principales atracciones de ferias y festividades icónicas del país, como la de Flores, la de Cali, Manizales, el Torneo Internacional del Joropo, entre otras; siendo reconocidas, incluso, por los gobiernos locales como parte de su identidad. Tal es el caso del municipio de Pensilvania, Caldas, cuyo Concejo aprobó el Acuerdo No. 28180516 de mayo de 2016, por medio del cual declaró su </w:t>
      </w:r>
      <w:r>
        <w:rPr>
          <w:rFonts w:ascii="Book Antiqua" w:eastAsia="Book Antiqua" w:hAnsi="Book Antiqua" w:cs="Book Antiqua"/>
        </w:rPr>
        <w:lastRenderedPageBreak/>
        <w:t xml:space="preserve">Feria Exposición Equina como Patrimonio Cultural Inmaterial del Municipio, con el objeto de reconocer su aporte a la identidad de los </w:t>
      </w:r>
      <w:proofErr w:type="spellStart"/>
      <w:r>
        <w:rPr>
          <w:rFonts w:ascii="Book Antiqua" w:eastAsia="Book Antiqua" w:hAnsi="Book Antiqua" w:cs="Book Antiqua"/>
        </w:rPr>
        <w:t>Pensilvenses</w:t>
      </w:r>
      <w:proofErr w:type="spellEnd"/>
      <w:r>
        <w:rPr>
          <w:rFonts w:ascii="Book Antiqua" w:eastAsia="Book Antiqua" w:hAnsi="Book Antiqua" w:cs="Book Antiqua"/>
        </w:rPr>
        <w:t xml:space="preserve">, y así garantizar su permanencia y fomento. </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No obstante la competencia del Congreso de la República para seleccionar y declarar autónomamente cuáles manifestaciones culturales hacen parte del patrimonio inmaterial de la nación (Corte Constitucional, sentencias C-1192/2005, C-224/2016 y C-111/2017), la inclusión en la LRPCI, además de constituir un merecido reconocimiento a este tipo de actividades culturales y económicas, representa una expresión oficial de apoyo y exaltación pública, perenne, a su origen comunal y a su importancia como parte de la memoria histórica y la riqueza cultural del país. </w:t>
      </w:r>
    </w:p>
    <w:p w:rsidR="00BE0BB0" w:rsidRDefault="00BE0BB0">
      <w:pPr>
        <w:spacing w:before="28" w:after="28" w:line="276" w:lineRule="auto"/>
        <w:ind w:left="0" w:hanging="2"/>
        <w:jc w:val="both"/>
        <w:rPr>
          <w:rFonts w:ascii="Book Antiqua" w:eastAsia="Book Antiqua" w:hAnsi="Book Antiqua" w:cs="Book Antiqua"/>
          <w:color w:val="FF0000"/>
        </w:rPr>
      </w:pPr>
    </w:p>
    <w:p w:rsidR="00BE0BB0" w:rsidRDefault="00BE0BB0">
      <w:pPr>
        <w:ind w:left="0" w:hanging="2"/>
        <w:jc w:val="both"/>
        <w:rPr>
          <w:rFonts w:ascii="Book Antiqua" w:eastAsia="Book Antiqua" w:hAnsi="Book Antiqua" w:cs="Book Antiqua"/>
        </w:rPr>
      </w:pPr>
    </w:p>
    <w:p w:rsidR="00BE0BB0" w:rsidRDefault="00BE0BB0">
      <w:pPr>
        <w:ind w:left="0" w:hanging="2"/>
        <w:jc w:val="both"/>
        <w:rPr>
          <w:rFonts w:ascii="Book Antiqua" w:eastAsia="Book Antiqua" w:hAnsi="Book Antiqua" w:cs="Book Antiqua"/>
        </w:rPr>
      </w:pPr>
    </w:p>
    <w:p w:rsidR="00BE0BB0" w:rsidRDefault="00BE0BB0">
      <w:pPr>
        <w:ind w:left="0" w:hanging="2"/>
        <w:jc w:val="both"/>
        <w:rPr>
          <w:rFonts w:ascii="Book Antiqua" w:eastAsia="Book Antiqua" w:hAnsi="Book Antiqua" w:cs="Book Antiqua"/>
        </w:rPr>
      </w:pPr>
    </w:p>
    <w:p w:rsidR="00BE0BB0" w:rsidRDefault="00BE0BB0">
      <w:pPr>
        <w:ind w:left="0" w:hanging="2"/>
        <w:jc w:val="both"/>
        <w:rPr>
          <w:rFonts w:ascii="Book Antiqua" w:eastAsia="Book Antiqua" w:hAnsi="Book Antiqua" w:cs="Book Antiqua"/>
        </w:rPr>
      </w:pPr>
    </w:p>
    <w:p w:rsidR="00BE0BB0" w:rsidRDefault="008B31B7">
      <w:pPr>
        <w:numPr>
          <w:ilvl w:val="0"/>
          <w:numId w:val="1"/>
        </w:numPr>
        <w:pBdr>
          <w:top w:val="nil"/>
          <w:left w:val="nil"/>
          <w:bottom w:val="nil"/>
          <w:right w:val="nil"/>
          <w:between w:val="nil"/>
        </w:pBdr>
        <w:spacing w:line="276" w:lineRule="auto"/>
        <w:ind w:left="0" w:hanging="2"/>
        <w:jc w:val="center"/>
        <w:rPr>
          <w:rFonts w:ascii="Book Antiqua" w:eastAsia="Book Antiqua" w:hAnsi="Book Antiqua" w:cs="Book Antiqua"/>
          <w:color w:val="000000"/>
        </w:rPr>
      </w:pPr>
      <w:r>
        <w:rPr>
          <w:rFonts w:ascii="Book Antiqua" w:eastAsia="Book Antiqua" w:hAnsi="Book Antiqua" w:cs="Book Antiqua"/>
          <w:b/>
          <w:color w:val="000000"/>
        </w:rPr>
        <w:t xml:space="preserve">Viabilidad constitucional: </w:t>
      </w:r>
    </w:p>
    <w:p w:rsidR="00BE0BB0" w:rsidRDefault="008B31B7">
      <w:pPr>
        <w:pBdr>
          <w:top w:val="nil"/>
          <w:left w:val="nil"/>
          <w:bottom w:val="nil"/>
          <w:right w:val="nil"/>
          <w:between w:val="nil"/>
        </w:pBdr>
        <w:spacing w:after="160" w:line="276" w:lineRule="auto"/>
        <w:ind w:left="0" w:hanging="2"/>
        <w:jc w:val="center"/>
        <w:rPr>
          <w:rFonts w:ascii="Book Antiqua" w:eastAsia="Book Antiqua" w:hAnsi="Book Antiqua" w:cs="Book Antiqua"/>
          <w:color w:val="000000"/>
        </w:rPr>
      </w:pPr>
      <w:r>
        <w:rPr>
          <w:rFonts w:ascii="Book Antiqua" w:eastAsia="Book Antiqua" w:hAnsi="Book Antiqua" w:cs="Book Antiqua"/>
          <w:b/>
          <w:i/>
          <w:color w:val="000000"/>
        </w:rPr>
        <w:t>competencia del Congreso para aprobar el proyecto y autorizar erogaciones presupuestales</w:t>
      </w:r>
      <w:r>
        <w:rPr>
          <w:rFonts w:ascii="Book Antiqua" w:eastAsia="Book Antiqua" w:hAnsi="Book Antiqua" w:cs="Book Antiqua"/>
          <w:b/>
          <w:color w:val="000000"/>
        </w:rPr>
        <w:t>.</w:t>
      </w:r>
    </w:p>
    <w:p w:rsidR="00BE0BB0" w:rsidRDefault="00BE0BB0">
      <w:pPr>
        <w:spacing w:line="276" w:lineRule="auto"/>
        <w:ind w:left="0" w:right="-11" w:hanging="2"/>
        <w:jc w:val="both"/>
        <w:rPr>
          <w:rFonts w:ascii="Book Antiqua" w:eastAsia="Book Antiqua" w:hAnsi="Book Antiqua" w:cs="Book Antiqua"/>
        </w:rPr>
      </w:pPr>
    </w:p>
    <w:p w:rsidR="00BE0BB0" w:rsidRDefault="008B31B7">
      <w:pPr>
        <w:spacing w:line="276" w:lineRule="auto"/>
        <w:ind w:left="0" w:right="-11" w:hanging="2"/>
        <w:jc w:val="both"/>
        <w:rPr>
          <w:rFonts w:ascii="Book Antiqua" w:eastAsia="Book Antiqua" w:hAnsi="Book Antiqua" w:cs="Book Antiqua"/>
        </w:rPr>
      </w:pPr>
      <w:r>
        <w:rPr>
          <w:rFonts w:ascii="Book Antiqua" w:eastAsia="Book Antiqua" w:hAnsi="Book Antiqua" w:cs="Book Antiqua"/>
        </w:rPr>
        <w:t xml:space="preserve">Afirmado lo anterior, corresponde ahora determinar la viabilidad constitucional de aprobar el presente proyecto de ley, particularmente en lo que refiere a la competencia del Congreso de la República para el efecto y el alcance de la autorización al Gobierno Nacional para efectuar inversiones en obras públicas. </w:t>
      </w:r>
    </w:p>
    <w:p w:rsidR="00BE0BB0" w:rsidRDefault="00BE0BB0">
      <w:pPr>
        <w:spacing w:line="276" w:lineRule="auto"/>
        <w:ind w:left="0" w:right="-11" w:hanging="2"/>
        <w:jc w:val="both"/>
        <w:rPr>
          <w:rFonts w:ascii="Book Antiqua" w:eastAsia="Book Antiqua" w:hAnsi="Book Antiqua" w:cs="Book Antiqua"/>
        </w:rPr>
      </w:pPr>
    </w:p>
    <w:p w:rsidR="00BE0BB0" w:rsidRDefault="008B31B7">
      <w:pPr>
        <w:spacing w:line="276" w:lineRule="auto"/>
        <w:ind w:left="0" w:right="-11" w:hanging="2"/>
        <w:jc w:val="both"/>
        <w:rPr>
          <w:rFonts w:ascii="Book Antiqua" w:eastAsia="Book Antiqua" w:hAnsi="Book Antiqua" w:cs="Book Antiqua"/>
        </w:rPr>
      </w:pPr>
      <w:r>
        <w:rPr>
          <w:rFonts w:ascii="Book Antiqua" w:eastAsia="Book Antiqua" w:hAnsi="Book Antiqua" w:cs="Book Antiqua"/>
        </w:rPr>
        <w:t xml:space="preserve">En cuanto a la competencia del Congreso, claramente lo ha afirmado la Corte Constitucional que, no obstante, la ausencia de disposición alguna que le otorgue expresamente facultades para el efecto, dicha Corporación tiene plenas atribuciones para seleccionar y declarar, en forma autónoma, cualquier expresión </w:t>
      </w:r>
      <w:r>
        <w:rPr>
          <w:rFonts w:ascii="Book Antiqua" w:eastAsia="Book Antiqua" w:hAnsi="Book Antiqua" w:cs="Book Antiqua"/>
        </w:rPr>
        <w:lastRenderedPageBreak/>
        <w:t xml:space="preserve">cultural como parte del patrimonio inmaterial de la nación. Ello supone, desde luego, que no obstante cumplirse en el presente caso, no se hace necesaria la previa inclusión en la LRPCI o procedimiento adicional.  </w:t>
      </w:r>
    </w:p>
    <w:p w:rsidR="00BE0BB0" w:rsidRDefault="00BE0BB0">
      <w:pPr>
        <w:spacing w:line="276" w:lineRule="auto"/>
        <w:ind w:left="0" w:right="-11" w:hanging="2"/>
        <w:jc w:val="both"/>
        <w:rPr>
          <w:rFonts w:ascii="Book Antiqua" w:eastAsia="Book Antiqua" w:hAnsi="Book Antiqua" w:cs="Book Antiqua"/>
        </w:rPr>
      </w:pPr>
    </w:p>
    <w:p w:rsidR="00BE0BB0" w:rsidRDefault="008B31B7">
      <w:pPr>
        <w:spacing w:line="276" w:lineRule="auto"/>
        <w:ind w:left="0" w:right="-11" w:hanging="2"/>
        <w:jc w:val="both"/>
        <w:rPr>
          <w:rFonts w:ascii="Book Antiqua" w:eastAsia="Book Antiqua" w:hAnsi="Book Antiqua" w:cs="Book Antiqua"/>
        </w:rPr>
      </w:pPr>
      <w:r>
        <w:rPr>
          <w:rFonts w:ascii="Book Antiqua" w:eastAsia="Book Antiqua" w:hAnsi="Book Antiqua" w:cs="Book Antiqua"/>
        </w:rPr>
        <w:t xml:space="preserve">En sentencia C-1192 de 2005, la Corte afirmó: </w:t>
      </w:r>
    </w:p>
    <w:p w:rsidR="00BE0BB0" w:rsidRDefault="00BE0BB0">
      <w:pPr>
        <w:spacing w:line="276" w:lineRule="auto"/>
        <w:ind w:left="0" w:right="-11" w:hanging="2"/>
        <w:jc w:val="both"/>
        <w:rPr>
          <w:rFonts w:ascii="Book Antiqua" w:eastAsia="Book Antiqua" w:hAnsi="Book Antiqua" w:cs="Book Antiqua"/>
        </w:rPr>
      </w:pPr>
    </w:p>
    <w:p w:rsidR="00BE0BB0" w:rsidRDefault="008B31B7">
      <w:pPr>
        <w:widowControl w:val="0"/>
        <w:ind w:left="0" w:right="86" w:hanging="2"/>
        <w:jc w:val="both"/>
        <w:rPr>
          <w:rFonts w:ascii="Book Antiqua" w:eastAsia="Book Antiqua" w:hAnsi="Book Antiqua" w:cs="Book Antiqua"/>
          <w:sz w:val="22"/>
          <w:szCs w:val="22"/>
        </w:rPr>
      </w:pPr>
      <w:r>
        <w:rPr>
          <w:rFonts w:ascii="Book Antiqua" w:eastAsia="Book Antiqua" w:hAnsi="Book Antiqua" w:cs="Book Antiqua"/>
          <w:i/>
          <w:sz w:val="22"/>
          <w:szCs w:val="22"/>
        </w:rPr>
        <w:t>“En atención al reconocimiento de la citada diversidad y en aras de promover e impulsar el acceso a las tradiciones culturales y artísticas que identifican a los distintos sectores de la población, la Constitución Política en los artículos 70, 71 y 150 le asigna al legislador la atribución de señalar qué actividades son consideradas como expresión artística y cuáles de ellas -en concreto- merecen un reconocimiento especial del Estado.”</w:t>
      </w:r>
    </w:p>
    <w:p w:rsidR="00BE0BB0" w:rsidRDefault="00BE0BB0">
      <w:pPr>
        <w:widowControl w:val="0"/>
        <w:ind w:left="0" w:hanging="2"/>
        <w:jc w:val="both"/>
        <w:rPr>
          <w:rFonts w:ascii="Book Antiqua" w:eastAsia="Book Antiqua" w:hAnsi="Book Antiqua" w:cs="Book Antiqua"/>
          <w:color w:val="FF0000"/>
          <w:sz w:val="22"/>
          <w:szCs w:val="22"/>
        </w:rPr>
      </w:pPr>
    </w:p>
    <w:p w:rsidR="00BE0BB0" w:rsidRDefault="008B31B7">
      <w:pPr>
        <w:spacing w:line="276" w:lineRule="auto"/>
        <w:ind w:left="0" w:right="-11" w:hanging="2"/>
        <w:jc w:val="both"/>
        <w:rPr>
          <w:rFonts w:ascii="Book Antiqua" w:eastAsia="Book Antiqua" w:hAnsi="Book Antiqua" w:cs="Book Antiqua"/>
        </w:rPr>
      </w:pPr>
      <w:r>
        <w:rPr>
          <w:rFonts w:ascii="Book Antiqua" w:eastAsia="Book Antiqua" w:hAnsi="Book Antiqua" w:cs="Book Antiqua"/>
        </w:rPr>
        <w:t>Entre tanto, en sentencia C-111 de 2017, el mismo Tribunal clarificó, además, que el Congreso de la República cuenta con amplia libertad configurativa para determinar las medidas de salvaguarda del patrimonio cultural inmaterial, incluso disponiendo medidas de tipo presupuestal:</w:t>
      </w:r>
    </w:p>
    <w:p w:rsidR="00BE0BB0" w:rsidRDefault="00BE0BB0">
      <w:pPr>
        <w:ind w:left="0" w:right="-11" w:hanging="2"/>
        <w:jc w:val="both"/>
        <w:rPr>
          <w:rFonts w:ascii="Book Antiqua" w:eastAsia="Book Antiqua" w:hAnsi="Book Antiqua" w:cs="Book Antiqua"/>
          <w:sz w:val="22"/>
          <w:szCs w:val="22"/>
        </w:rPr>
      </w:pPr>
    </w:p>
    <w:p w:rsidR="00BE0BB0" w:rsidRDefault="008B31B7">
      <w:pPr>
        <w:ind w:left="0" w:hanging="2"/>
        <w:jc w:val="both"/>
        <w:rPr>
          <w:rFonts w:ascii="Book Antiqua" w:eastAsia="Book Antiqua" w:hAnsi="Book Antiqua" w:cs="Book Antiqua"/>
          <w:sz w:val="22"/>
          <w:szCs w:val="22"/>
        </w:rPr>
      </w:pPr>
      <w:r>
        <w:rPr>
          <w:rFonts w:ascii="Book Antiqua" w:eastAsia="Book Antiqua" w:hAnsi="Book Antiqua" w:cs="Book Antiqua"/>
          <w:i/>
          <w:sz w:val="22"/>
          <w:szCs w:val="22"/>
        </w:rPr>
        <w:t xml:space="preserve">6.4.1. Como se mencionó con anterioridad, el Estado colombiano tiene el deber jurídico de promover el acceso a la cultura, así como el de facilitar la participación de todos en la vida cultural de la Nación. Con tal fin, el artículo 72 de la Carta consagra que “[e]l patrimonio cultural de la Nación está bajo la protección del Estado”, lo que exige de este último el compromiso dirigido a difundir, fomentar y salvaguardar las expresiones que lo integran (CP art. 70). </w:t>
      </w:r>
    </w:p>
    <w:p w:rsidR="00BE0BB0" w:rsidRDefault="00BE0BB0">
      <w:pPr>
        <w:ind w:left="0" w:hanging="2"/>
        <w:jc w:val="both"/>
        <w:rPr>
          <w:rFonts w:ascii="Book Antiqua" w:eastAsia="Book Antiqua" w:hAnsi="Book Antiqua" w:cs="Book Antiqua"/>
          <w:sz w:val="22"/>
          <w:szCs w:val="22"/>
        </w:rPr>
      </w:pPr>
    </w:p>
    <w:p w:rsidR="00BE0BB0" w:rsidRDefault="008B31B7">
      <w:pPr>
        <w:ind w:left="0" w:hanging="2"/>
        <w:jc w:val="both"/>
        <w:rPr>
          <w:rFonts w:ascii="Book Antiqua" w:eastAsia="Book Antiqua" w:hAnsi="Book Antiqua" w:cs="Book Antiqua"/>
          <w:sz w:val="22"/>
          <w:szCs w:val="22"/>
        </w:rPr>
      </w:pPr>
      <w:r>
        <w:rPr>
          <w:rFonts w:ascii="Book Antiqua" w:eastAsia="Book Antiqua" w:hAnsi="Book Antiqua" w:cs="Book Antiqua"/>
          <w:i/>
          <w:sz w:val="22"/>
          <w:szCs w:val="22"/>
        </w:rPr>
        <w:t xml:space="preserve">Ahora bien, en este punto, la Constitución no desarrolla el tipo de medida o de instrumento que puede ser utilizado para satisfacer el deber genérico de protección, pues en ello le asiste una amplia libertad de configuración norma-tova al Congreso de la República, lo que incluye la posibilidad de disponer medidas de carácter presupuestal. Esta amplitud en el principio de autonomía legislativa fue expresamente mencionada en la Sentencia C-742 de 2006, al sostener que: </w:t>
      </w:r>
    </w:p>
    <w:p w:rsidR="00BE0BB0" w:rsidRDefault="00BE0BB0">
      <w:pPr>
        <w:ind w:left="0" w:hanging="2"/>
        <w:jc w:val="both"/>
        <w:rPr>
          <w:rFonts w:ascii="Book Antiqua" w:eastAsia="Book Antiqua" w:hAnsi="Book Antiqua" w:cs="Book Antiqua"/>
          <w:sz w:val="22"/>
          <w:szCs w:val="22"/>
        </w:rPr>
      </w:pPr>
    </w:p>
    <w:p w:rsidR="00BE0BB0" w:rsidRDefault="008B31B7">
      <w:pPr>
        <w:ind w:left="0" w:right="407" w:hanging="2"/>
        <w:jc w:val="both"/>
        <w:rPr>
          <w:rFonts w:ascii="Book Antiqua" w:eastAsia="Book Antiqua" w:hAnsi="Book Antiqua" w:cs="Book Antiqua"/>
          <w:sz w:val="22"/>
          <w:szCs w:val="22"/>
        </w:rPr>
      </w:pPr>
      <w:r>
        <w:rPr>
          <w:rFonts w:ascii="Book Antiqua" w:eastAsia="Book Antiqua" w:hAnsi="Book Antiqua" w:cs="Book Antiqua"/>
          <w:i/>
          <w:sz w:val="22"/>
          <w:szCs w:val="22"/>
        </w:rPr>
        <w:t xml:space="preserve">“[A] pesar de que es cierto que el patrimonio cultural de la Nación está bajo la protección del Estado, no es menos cierto que la Carta no establece fórmulas, ni mecanismos precisos, ni unívocos que impongan los mecanismos o la manera cómo deben protegerse, por lo que es lógico concluir que al legislador corresponde reglamentarlos, haciendo uso de su libertad de configuración política. De hecho, el artículo 72 de la Carta dejó expresamente al legislador la tarea de establecer instrumentos para readquirir los bienes que se encuentran en manos de </w:t>
      </w:r>
      <w:r>
        <w:rPr>
          <w:rFonts w:ascii="Book Antiqua" w:eastAsia="Book Antiqua" w:hAnsi="Book Antiqua" w:cs="Book Antiqua"/>
          <w:i/>
          <w:sz w:val="22"/>
          <w:szCs w:val="22"/>
        </w:rPr>
        <w:lastRenderedPageBreak/>
        <w:t>particulares y de reglamentar los derechos que pudieran tener los grupos étnicos asentados en territorios de riqueza arqueológica.</w:t>
      </w:r>
    </w:p>
    <w:p w:rsidR="00BE0BB0" w:rsidRDefault="008B31B7">
      <w:pPr>
        <w:ind w:left="0" w:right="407" w:hanging="2"/>
        <w:jc w:val="both"/>
        <w:rPr>
          <w:rFonts w:ascii="Book Antiqua" w:eastAsia="Book Antiqua" w:hAnsi="Book Antiqua" w:cs="Book Antiqua"/>
          <w:sz w:val="22"/>
          <w:szCs w:val="22"/>
        </w:rPr>
      </w:pPr>
      <w:r>
        <w:rPr>
          <w:rFonts w:ascii="Book Antiqua" w:eastAsia="Book Antiqua" w:hAnsi="Book Antiqua" w:cs="Book Antiqua"/>
          <w:i/>
          <w:sz w:val="22"/>
          <w:szCs w:val="22"/>
        </w:rPr>
        <w:t> </w:t>
      </w:r>
    </w:p>
    <w:p w:rsidR="00BE0BB0" w:rsidRDefault="008B31B7">
      <w:pPr>
        <w:ind w:left="0" w:right="407" w:hanging="2"/>
        <w:jc w:val="both"/>
        <w:rPr>
          <w:rFonts w:ascii="Book Antiqua" w:eastAsia="Book Antiqua" w:hAnsi="Book Antiqua" w:cs="Book Antiqua"/>
          <w:sz w:val="22"/>
          <w:szCs w:val="22"/>
        </w:rPr>
      </w:pPr>
      <w:r>
        <w:rPr>
          <w:rFonts w:ascii="Book Antiqua" w:eastAsia="Book Antiqua" w:hAnsi="Book Antiqua" w:cs="Book Antiqua"/>
          <w:i/>
          <w:sz w:val="22"/>
          <w:szCs w:val="22"/>
        </w:rPr>
        <w:t>De igual manera, si bien los artículos 8 y 70 superiores consagraron el deber del Estado de proteger las riquezas culturales de la Nación y promover y fomentar el acceso a la cultura de todos los ciudadanos, no señalaron fórmulas precisas para llegar a ese cometido, de ahí que deba entenderse que el Constituyente dejó al legislador o al ejecutivo a cargo de esa reglamentación.</w:t>
      </w:r>
    </w:p>
    <w:p w:rsidR="00BE0BB0" w:rsidRDefault="008B31B7">
      <w:pPr>
        <w:ind w:left="0" w:right="407" w:hanging="2"/>
        <w:jc w:val="both"/>
        <w:rPr>
          <w:rFonts w:ascii="Book Antiqua" w:eastAsia="Book Antiqua" w:hAnsi="Book Antiqua" w:cs="Book Antiqua"/>
          <w:sz w:val="22"/>
          <w:szCs w:val="22"/>
        </w:rPr>
      </w:pPr>
      <w:r>
        <w:rPr>
          <w:rFonts w:ascii="Book Antiqua" w:eastAsia="Book Antiqua" w:hAnsi="Book Antiqua" w:cs="Book Antiqua"/>
          <w:i/>
          <w:sz w:val="22"/>
          <w:szCs w:val="22"/>
        </w:rPr>
        <w:t> </w:t>
      </w:r>
    </w:p>
    <w:p w:rsidR="00BE0BB0" w:rsidRDefault="008B31B7">
      <w:pPr>
        <w:ind w:left="0" w:right="407" w:hanging="2"/>
        <w:jc w:val="both"/>
        <w:rPr>
          <w:rFonts w:ascii="Book Antiqua" w:eastAsia="Book Antiqua" w:hAnsi="Book Antiqua" w:cs="Book Antiqua"/>
          <w:sz w:val="22"/>
          <w:szCs w:val="22"/>
        </w:rPr>
      </w:pPr>
      <w:r>
        <w:rPr>
          <w:rFonts w:ascii="Book Antiqua" w:eastAsia="Book Antiqua" w:hAnsi="Book Antiqua" w:cs="Book Antiqua"/>
          <w:i/>
          <w:sz w:val="22"/>
          <w:szCs w:val="22"/>
        </w:rPr>
        <w:t>De esta forma, para la Corte es claro que el hecho de que el Constituyente hubiere señalado protección del Estado para el patrimonio cultural de la Nación no significa que el legislador estuviese impedido para delimitar su concepto o para diseñar diferentes formas de protección para los bienes y valores que lo integran.”</w:t>
      </w:r>
    </w:p>
    <w:p w:rsidR="00BE0BB0" w:rsidRDefault="00BE0BB0">
      <w:pPr>
        <w:ind w:left="0" w:right="407" w:hanging="2"/>
        <w:jc w:val="both"/>
        <w:rPr>
          <w:rFonts w:ascii="Book Antiqua" w:eastAsia="Book Antiqua" w:hAnsi="Book Antiqua" w:cs="Book Antiqua"/>
          <w:sz w:val="22"/>
          <w:szCs w:val="22"/>
        </w:rPr>
      </w:pPr>
    </w:p>
    <w:p w:rsidR="00BE0BB0" w:rsidRDefault="008B31B7">
      <w:pPr>
        <w:ind w:left="0" w:hanging="2"/>
        <w:jc w:val="both"/>
        <w:rPr>
          <w:rFonts w:ascii="Book Antiqua" w:eastAsia="Book Antiqua" w:hAnsi="Book Antiqua" w:cs="Book Antiqua"/>
          <w:sz w:val="22"/>
          <w:szCs w:val="22"/>
        </w:rPr>
      </w:pPr>
      <w:r>
        <w:rPr>
          <w:rFonts w:ascii="Book Antiqua" w:eastAsia="Book Antiqua" w:hAnsi="Book Antiqua" w:cs="Book Antiqua"/>
          <w:i/>
          <w:sz w:val="22"/>
          <w:szCs w:val="22"/>
        </w:rPr>
        <w:t>(…)</w:t>
      </w:r>
    </w:p>
    <w:p w:rsidR="00BE0BB0" w:rsidRDefault="00BE0BB0">
      <w:pPr>
        <w:ind w:left="0" w:hanging="2"/>
        <w:jc w:val="both"/>
        <w:rPr>
          <w:rFonts w:ascii="Book Antiqua" w:eastAsia="Book Antiqua" w:hAnsi="Book Antiqua" w:cs="Book Antiqua"/>
          <w:sz w:val="22"/>
          <w:szCs w:val="22"/>
        </w:rPr>
      </w:pPr>
    </w:p>
    <w:p w:rsidR="00BE0BB0" w:rsidRDefault="008B31B7">
      <w:pPr>
        <w:ind w:left="0" w:hanging="2"/>
        <w:jc w:val="both"/>
        <w:rPr>
          <w:rFonts w:ascii="Book Antiqua" w:eastAsia="Book Antiqua" w:hAnsi="Book Antiqua" w:cs="Book Antiqua"/>
          <w:sz w:val="22"/>
          <w:szCs w:val="22"/>
        </w:rPr>
      </w:pPr>
      <w:r>
        <w:rPr>
          <w:rFonts w:ascii="Book Antiqua" w:eastAsia="Book Antiqua" w:hAnsi="Book Antiqua" w:cs="Book Antiqua"/>
          <w:i/>
          <w:sz w:val="22"/>
          <w:szCs w:val="22"/>
        </w:rPr>
        <w:t xml:space="preserve">6.4.3. Por último, cabe señalar que cuando la medida de protección suponga la posibilidad de financiar una manifestación cultural con recursos del Presupuesto General de la Nación, este Tribunal ha sostenido de manera reiterada que, por virtud de la autonomía que la Constitución le otorga al Gobierno Nacional en su manejo, no cabe que se impongan órdenes que agreguen determinadas partidas, pues el margen de actuación del Congreso se limita a autorizar la existencia de un título, a través del cual ese componente de gasto se pueda incluir en el futuro, a partir del examen de priorización que se haga en cada ejercicio fiscal. No obstante, como ya se dijo, esa financiación adquiere especial trascendencia en el caso de las minorías étnicas, por tratarse de comunidades que tradicionalmente se encuentran desprotegidas económicamente, aunado al hecho de que su cultura es un componente esencial de su identidad. En tal sentido, no sobra recordar que el artículo 13 del Texto Superior le ordena al Estado adoptar las medidas que sean necesarias en favor de los grupos marginados, incluyendo aquellas que les permitan participar plenamente en la vida cultural de la Nación.  </w:t>
      </w:r>
    </w:p>
    <w:p w:rsidR="00BE0BB0" w:rsidRDefault="00BE0BB0">
      <w:pPr>
        <w:spacing w:before="28" w:after="28"/>
        <w:ind w:left="0" w:hanging="2"/>
        <w:jc w:val="both"/>
        <w:rPr>
          <w:rFonts w:ascii="Book Antiqua" w:eastAsia="Book Antiqua" w:hAnsi="Book Antiqua" w:cs="Book Antiqua"/>
          <w:sz w:val="22"/>
          <w:szCs w:val="22"/>
        </w:rPr>
      </w:pPr>
    </w:p>
    <w:p w:rsidR="00BE0BB0" w:rsidRDefault="008B31B7">
      <w:pPr>
        <w:spacing w:before="28" w:after="28" w:line="276" w:lineRule="auto"/>
        <w:ind w:left="0" w:hanging="2"/>
        <w:jc w:val="both"/>
        <w:rPr>
          <w:rFonts w:ascii="Book Antiqua" w:eastAsia="Book Antiqua" w:hAnsi="Book Antiqua" w:cs="Book Antiqua"/>
        </w:rPr>
      </w:pPr>
      <w:r>
        <w:rPr>
          <w:rFonts w:ascii="Book Antiqua" w:eastAsia="Book Antiqua" w:hAnsi="Book Antiqua" w:cs="Book Antiqua"/>
        </w:rPr>
        <w:t xml:space="preserve">En tal sentido, no cabe duda que el Congreso de la República está autorizado constitucionalmente para dar curso y aprobar iniciativas de esta naturaleza, por lo que resulta procedente desde el punto de vista jurídico continuar con su trámite, de conformidad con lo previsto en la Ley 5ª de 1992. </w:t>
      </w:r>
    </w:p>
    <w:p w:rsidR="00BE0BB0" w:rsidRDefault="00BE0BB0">
      <w:pPr>
        <w:spacing w:before="28" w:after="28" w:line="276" w:lineRule="auto"/>
        <w:ind w:left="0" w:hanging="2"/>
        <w:jc w:val="both"/>
        <w:rPr>
          <w:rFonts w:ascii="Book Antiqua" w:eastAsia="Book Antiqua" w:hAnsi="Book Antiqua" w:cs="Book Antiqua"/>
        </w:rPr>
      </w:pPr>
    </w:p>
    <w:p w:rsidR="00BE0BB0" w:rsidRDefault="008B31B7">
      <w:pPr>
        <w:spacing w:line="276" w:lineRule="auto"/>
        <w:ind w:left="0" w:hanging="2"/>
        <w:jc w:val="both"/>
        <w:rPr>
          <w:rFonts w:ascii="Book Antiqua" w:eastAsia="Book Antiqua" w:hAnsi="Book Antiqua" w:cs="Book Antiqua"/>
        </w:rPr>
      </w:pPr>
      <w:r>
        <w:rPr>
          <w:rFonts w:ascii="Book Antiqua" w:eastAsia="Book Antiqua" w:hAnsi="Book Antiqua" w:cs="Book Antiqua"/>
        </w:rPr>
        <w:t xml:space="preserve">En lo que respecta a la </w:t>
      </w:r>
      <w:r>
        <w:rPr>
          <w:rFonts w:ascii="Book Antiqua" w:eastAsia="Book Antiqua" w:hAnsi="Book Antiqua" w:cs="Book Antiqua"/>
          <w:i/>
        </w:rPr>
        <w:t>“autorización”</w:t>
      </w:r>
      <w:r>
        <w:rPr>
          <w:rFonts w:ascii="Book Antiqua" w:eastAsia="Book Antiqua" w:hAnsi="Book Antiqua" w:cs="Book Antiqua"/>
        </w:rPr>
        <w:t xml:space="preserve"> que el proyecto confiere al Gobierno Nacional para la apropiación de partidas presupuestales necesarias para la </w:t>
      </w:r>
      <w:r>
        <w:rPr>
          <w:rFonts w:ascii="Book Antiqua" w:eastAsia="Book Antiqua" w:hAnsi="Book Antiqua" w:cs="Book Antiqua"/>
        </w:rPr>
        <w:lastRenderedPageBreak/>
        <w:t xml:space="preserve">realización de las dos obras públicas indicadas en el mismo documento, es claro que se enmarca dentro de las competencias concurrentes del legislativo y el ejecutivo en virtud del principio de legalidad del gasto, dado que no constituye una orden de incorporarlas al presupuesto, sino apenas una autorización para el efecto. En términos de la Corte Constitucional: </w:t>
      </w:r>
    </w:p>
    <w:p w:rsidR="00BE0BB0" w:rsidRDefault="00BE0BB0">
      <w:pPr>
        <w:spacing w:line="276" w:lineRule="auto"/>
        <w:ind w:left="0" w:hanging="2"/>
        <w:jc w:val="both"/>
        <w:rPr>
          <w:rFonts w:ascii="Book Antiqua" w:eastAsia="Book Antiqua" w:hAnsi="Book Antiqua" w:cs="Book Antiqua"/>
        </w:rPr>
      </w:pPr>
    </w:p>
    <w:p w:rsidR="00BE0BB0" w:rsidRDefault="008B31B7">
      <w:pPr>
        <w:ind w:left="0" w:right="652" w:hanging="2"/>
        <w:jc w:val="both"/>
        <w:rPr>
          <w:rFonts w:ascii="Book Antiqua" w:eastAsia="Book Antiqua" w:hAnsi="Book Antiqua" w:cs="Book Antiqua"/>
          <w:sz w:val="22"/>
          <w:szCs w:val="22"/>
        </w:rPr>
      </w:pPr>
      <w:r>
        <w:rPr>
          <w:rFonts w:ascii="Book Antiqua" w:eastAsia="Book Antiqua" w:hAnsi="Book Antiqua" w:cs="Book Antiqua"/>
          <w:i/>
          <w:sz w:val="22"/>
          <w:szCs w:val="22"/>
        </w:rPr>
        <w:t>La Corte ha sostenido reiteradamente una posición según la cual tales disposiciones del legislador que ordenan gastos, expedidas con el cumplimiento de las formalidades constitucionales, no pueden tener mayor eficacia que la de constituir títulos jurídicos suficientes, en los términos de los artículos 345 y 346 de la Carta, para la posterior inclusión del gasto en la ley de presupuesto, pero que ellas en sí mismas no pueden constituir órdenes para llevar a cabo tal inclusión, sino autorizaciones para ello. (Corte Constitucional, Sentencia C-197/01)</w:t>
      </w:r>
    </w:p>
    <w:p w:rsidR="00BE0BB0" w:rsidRDefault="00BE0BB0">
      <w:pPr>
        <w:ind w:left="0" w:right="652" w:hanging="2"/>
        <w:jc w:val="both"/>
        <w:rPr>
          <w:rFonts w:ascii="Book Antiqua" w:eastAsia="Book Antiqua" w:hAnsi="Book Antiqua" w:cs="Book Antiqua"/>
          <w:sz w:val="22"/>
          <w:szCs w:val="22"/>
        </w:rPr>
      </w:pPr>
    </w:p>
    <w:p w:rsidR="00BE0BB0" w:rsidRDefault="008B31B7">
      <w:pPr>
        <w:tabs>
          <w:tab w:val="left" w:pos="8080"/>
        </w:tabs>
        <w:ind w:left="0" w:right="652" w:hanging="2"/>
        <w:jc w:val="both"/>
        <w:rPr>
          <w:rFonts w:ascii="Book Antiqua" w:eastAsia="Book Antiqua" w:hAnsi="Book Antiqua" w:cs="Book Antiqua"/>
          <w:sz w:val="22"/>
          <w:szCs w:val="22"/>
        </w:rPr>
      </w:pPr>
      <w:r>
        <w:rPr>
          <w:rFonts w:ascii="Book Antiqua" w:eastAsia="Book Antiqua" w:hAnsi="Book Antiqua" w:cs="Book Antiqua"/>
          <w:i/>
          <w:sz w:val="22"/>
          <w:szCs w:val="22"/>
        </w:rPr>
        <w:t>“No puede existir entonces reparo de inconstitucionalidad en contra de normas que se limiten a autorizar al Gobierno Nacional para incluir un gasto, sin que le impongan hacerlo. En estos eventos, no se desconoce la Ley Orgánica del Presupuesto, en tanto el Gobierno conserva la potestad para decidir si incluye o no dentro de sus prioridades y de acuerdo con la disponibilidad presupuestal, los gastos incorporados y autorizados en la ley.”</w:t>
      </w:r>
      <w:r>
        <w:rPr>
          <w:rFonts w:ascii="Book Antiqua" w:eastAsia="Book Antiqua" w:hAnsi="Book Antiqua" w:cs="Book Antiqua"/>
          <w:sz w:val="22"/>
          <w:szCs w:val="22"/>
        </w:rPr>
        <w:t xml:space="preserve"> (Corte Constitucional, Sentencia C-1197/08)</w:t>
      </w:r>
    </w:p>
    <w:p w:rsidR="00BE0BB0" w:rsidRDefault="00BE0BB0">
      <w:pPr>
        <w:ind w:left="0" w:right="652" w:hanging="2"/>
        <w:jc w:val="both"/>
        <w:rPr>
          <w:rFonts w:ascii="Book Antiqua" w:eastAsia="Book Antiqua" w:hAnsi="Book Antiqua" w:cs="Book Antiqua"/>
          <w:sz w:val="22"/>
          <w:szCs w:val="22"/>
        </w:rPr>
      </w:pPr>
    </w:p>
    <w:p w:rsidR="00BE0BB0" w:rsidRDefault="008B31B7">
      <w:pPr>
        <w:spacing w:line="276" w:lineRule="auto"/>
        <w:ind w:left="0" w:hanging="2"/>
        <w:jc w:val="both"/>
        <w:rPr>
          <w:rFonts w:ascii="Book Antiqua" w:eastAsia="Book Antiqua" w:hAnsi="Book Antiqua" w:cs="Book Antiqua"/>
        </w:rPr>
      </w:pPr>
      <w:r>
        <w:rPr>
          <w:rFonts w:ascii="Book Antiqua" w:eastAsia="Book Antiqua" w:hAnsi="Book Antiqua" w:cs="Book Antiqua"/>
        </w:rPr>
        <w:t xml:space="preserve">En consecuencia, el proyecto guarda los límites constitucionales predichos, ampliamente desarrollados por la jurisprudencia nacional (Corte Constitucional, sentencias C-985/2006, C-1113/2004, C-1197/2008, C- 224/2016, C-111/2017).      </w:t>
      </w:r>
    </w:p>
    <w:p w:rsidR="00BE0BB0" w:rsidRDefault="00BE0BB0">
      <w:pPr>
        <w:spacing w:before="28" w:after="28" w:line="276" w:lineRule="auto"/>
        <w:ind w:left="0" w:hanging="2"/>
        <w:jc w:val="both"/>
        <w:rPr>
          <w:rFonts w:ascii="Book Antiqua" w:eastAsia="Book Antiqua" w:hAnsi="Book Antiqua" w:cs="Book Antiqua"/>
        </w:rPr>
      </w:pPr>
    </w:p>
    <w:p w:rsidR="00BE0BB0" w:rsidRDefault="00BE0BB0">
      <w:pPr>
        <w:spacing w:line="276" w:lineRule="auto"/>
        <w:ind w:left="0" w:right="-11" w:hanging="2"/>
        <w:jc w:val="both"/>
        <w:rPr>
          <w:rFonts w:ascii="Book Antiqua" w:eastAsia="Book Antiqua" w:hAnsi="Book Antiqua" w:cs="Book Antiqua"/>
        </w:rPr>
      </w:pPr>
    </w:p>
    <w:p w:rsidR="00BE0BB0" w:rsidRDefault="008B31B7">
      <w:pPr>
        <w:numPr>
          <w:ilvl w:val="0"/>
          <w:numId w:val="1"/>
        </w:numPr>
        <w:pBdr>
          <w:top w:val="nil"/>
          <w:left w:val="nil"/>
          <w:bottom w:val="nil"/>
          <w:right w:val="nil"/>
          <w:between w:val="nil"/>
        </w:pBdr>
        <w:spacing w:line="276" w:lineRule="auto"/>
        <w:ind w:left="0" w:hanging="2"/>
        <w:jc w:val="center"/>
        <w:rPr>
          <w:rFonts w:ascii="Book Antiqua" w:eastAsia="Book Antiqua" w:hAnsi="Book Antiqua" w:cs="Book Antiqua"/>
          <w:color w:val="000000"/>
        </w:rPr>
      </w:pPr>
      <w:r>
        <w:rPr>
          <w:rFonts w:ascii="Book Antiqua" w:eastAsia="Book Antiqua" w:hAnsi="Book Antiqua" w:cs="Book Antiqua"/>
          <w:b/>
          <w:color w:val="000000"/>
        </w:rPr>
        <w:t>Impacto fiscal</w:t>
      </w:r>
    </w:p>
    <w:p w:rsidR="00BE0BB0" w:rsidRDefault="00BE0BB0">
      <w:pPr>
        <w:pBdr>
          <w:top w:val="nil"/>
          <w:left w:val="nil"/>
          <w:bottom w:val="nil"/>
          <w:right w:val="nil"/>
          <w:between w:val="nil"/>
        </w:pBdr>
        <w:spacing w:line="276" w:lineRule="auto"/>
        <w:ind w:left="0" w:hanging="2"/>
        <w:rPr>
          <w:rFonts w:ascii="Book Antiqua" w:eastAsia="Book Antiqua" w:hAnsi="Book Antiqua" w:cs="Book Antiqua"/>
          <w:color w:val="000000"/>
        </w:rPr>
      </w:pPr>
    </w:p>
    <w:p w:rsidR="00BE0BB0" w:rsidRDefault="008B31B7">
      <w:pPr>
        <w:pBdr>
          <w:top w:val="nil"/>
          <w:left w:val="nil"/>
          <w:bottom w:val="nil"/>
          <w:right w:val="nil"/>
          <w:between w:val="nil"/>
        </w:pBdr>
        <w:spacing w:line="276" w:lineRule="auto"/>
        <w:ind w:left="0" w:hanging="2"/>
        <w:jc w:val="both"/>
        <w:rPr>
          <w:rFonts w:ascii="Book Antiqua" w:eastAsia="Book Antiqua" w:hAnsi="Book Antiqua" w:cs="Book Antiqua"/>
          <w:color w:val="000000"/>
        </w:rPr>
      </w:pPr>
      <w:r>
        <w:rPr>
          <w:rFonts w:ascii="Book Antiqua" w:eastAsia="Book Antiqua" w:hAnsi="Book Antiqua" w:cs="Book Antiqua"/>
          <w:color w:val="000000"/>
        </w:rPr>
        <w:t xml:space="preserve">Como lo bien lo advierte la exposición de motivos del proyecto y lo ya anotado, en aplicación de lo dispuesto en el artículo 7º de la Ley 819, el presente no conlleva impacto fiscal </w:t>
      </w:r>
      <w:r>
        <w:rPr>
          <w:rFonts w:ascii="Book Antiqua" w:eastAsia="Book Antiqua" w:hAnsi="Book Antiqua" w:cs="Book Antiqua"/>
          <w:color w:val="000000"/>
          <w:u w:val="single"/>
        </w:rPr>
        <w:t>obligatorio</w:t>
      </w:r>
      <w:r>
        <w:rPr>
          <w:rFonts w:ascii="Book Antiqua" w:eastAsia="Book Antiqua" w:hAnsi="Book Antiqua" w:cs="Book Antiqua"/>
          <w:color w:val="000000"/>
        </w:rPr>
        <w:t xml:space="preserve"> que requiera previo concepto del Ministerio de Hacienda y Crédito Público, habida cuenta, se reitera, que la presente ley se limita a </w:t>
      </w:r>
      <w:r>
        <w:rPr>
          <w:rFonts w:ascii="Book Antiqua" w:eastAsia="Book Antiqua" w:hAnsi="Book Antiqua" w:cs="Book Antiqua"/>
          <w:color w:val="000000"/>
          <w:u w:val="single"/>
        </w:rPr>
        <w:t>autorizar</w:t>
      </w:r>
      <w:r>
        <w:rPr>
          <w:rFonts w:ascii="Book Antiqua" w:eastAsia="Book Antiqua" w:hAnsi="Book Antiqua" w:cs="Book Antiqua"/>
          <w:color w:val="000000"/>
        </w:rPr>
        <w:t xml:space="preserve"> al Gobierno Nacional para que destine partidas de su presupuesto, con lo cual, las erogaciones que puedan llegar a efectuarse en virtud de lo dispuesto </w:t>
      </w:r>
      <w:r>
        <w:rPr>
          <w:rFonts w:ascii="Book Antiqua" w:eastAsia="Book Antiqua" w:hAnsi="Book Antiqua" w:cs="Book Antiqua"/>
          <w:color w:val="000000"/>
        </w:rPr>
        <w:lastRenderedPageBreak/>
        <w:t xml:space="preserve">en esta norma responderán finalmente a la autónoma decisión del ejecutivo, así como a los estudios de </w:t>
      </w:r>
      <w:proofErr w:type="spellStart"/>
      <w:r>
        <w:rPr>
          <w:rFonts w:ascii="Book Antiqua" w:eastAsia="Book Antiqua" w:hAnsi="Book Antiqua" w:cs="Book Antiqua"/>
          <w:color w:val="000000"/>
        </w:rPr>
        <w:t>factividad</w:t>
      </w:r>
      <w:proofErr w:type="spellEnd"/>
      <w:r>
        <w:rPr>
          <w:rFonts w:ascii="Book Antiqua" w:eastAsia="Book Antiqua" w:hAnsi="Book Antiqua" w:cs="Book Antiqua"/>
          <w:color w:val="000000"/>
        </w:rPr>
        <w:t xml:space="preserve"> técnica y económica que en cada caso se deban realizar. </w:t>
      </w:r>
    </w:p>
    <w:p w:rsidR="00BE0BB0" w:rsidRDefault="008B31B7">
      <w:pPr>
        <w:numPr>
          <w:ilvl w:val="0"/>
          <w:numId w:val="1"/>
        </w:numPr>
        <w:pBdr>
          <w:top w:val="nil"/>
          <w:left w:val="nil"/>
          <w:bottom w:val="nil"/>
          <w:right w:val="nil"/>
          <w:between w:val="nil"/>
        </w:pBdr>
        <w:spacing w:after="160" w:line="259" w:lineRule="auto"/>
        <w:ind w:left="0" w:hanging="2"/>
        <w:jc w:val="center"/>
        <w:rPr>
          <w:rFonts w:ascii="Book Antiqua" w:eastAsia="Book Antiqua" w:hAnsi="Book Antiqua" w:cs="Book Antiqua"/>
          <w:color w:val="000000"/>
        </w:rPr>
      </w:pPr>
      <w:r>
        <w:rPr>
          <w:rFonts w:ascii="Book Antiqua" w:eastAsia="Book Antiqua" w:hAnsi="Book Antiqua" w:cs="Book Antiqua"/>
          <w:b/>
          <w:color w:val="000000"/>
        </w:rPr>
        <w:t xml:space="preserve"> Análisis sobre posible conflicto de interés</w:t>
      </w:r>
    </w:p>
    <w:p w:rsidR="00BE0BB0" w:rsidRDefault="00BE0BB0">
      <w:pPr>
        <w:ind w:left="0" w:hanging="2"/>
        <w:jc w:val="both"/>
        <w:rPr>
          <w:rFonts w:ascii="Book Antiqua" w:eastAsia="Book Antiqua" w:hAnsi="Book Antiqua" w:cs="Book Antiqua"/>
        </w:rPr>
      </w:pPr>
    </w:p>
    <w:p w:rsidR="00BE0BB0" w:rsidRDefault="008B31B7">
      <w:pPr>
        <w:ind w:left="0" w:hanging="2"/>
        <w:jc w:val="both"/>
        <w:rPr>
          <w:rFonts w:ascii="Book Antiqua" w:eastAsia="Book Antiqua" w:hAnsi="Book Antiqua" w:cs="Book Antiqua"/>
        </w:rPr>
      </w:pPr>
      <w:r>
        <w:rPr>
          <w:rFonts w:ascii="Book Antiqua" w:eastAsia="Book Antiqua" w:hAnsi="Book Antiqua" w:cs="Book Antiqua"/>
        </w:rPr>
        <w:t>De acuerdo con lo ordenado en el artículo 3º de la Ley 2003 de 2019, en concordancia con los artículos 286 y 291 de la Ley 5 de 1992 (Reglamento del Congreso), y conforme con el objetivo de la presente iniciativa, se puede concluir inicialmente:</w:t>
      </w:r>
    </w:p>
    <w:p w:rsidR="00BE0BB0" w:rsidRDefault="00BE0BB0">
      <w:pPr>
        <w:ind w:left="0" w:hanging="2"/>
        <w:jc w:val="both"/>
        <w:rPr>
          <w:rFonts w:ascii="Book Antiqua" w:eastAsia="Book Antiqua" w:hAnsi="Book Antiqua" w:cs="Book Antiqua"/>
        </w:rPr>
      </w:pPr>
    </w:p>
    <w:p w:rsidR="00BE0BB0" w:rsidRDefault="008B31B7">
      <w:pPr>
        <w:ind w:left="0" w:hanging="2"/>
        <w:jc w:val="both"/>
        <w:rPr>
          <w:rFonts w:ascii="Book Antiqua" w:eastAsia="Book Antiqua" w:hAnsi="Book Antiqua" w:cs="Book Antiqua"/>
        </w:rPr>
      </w:pPr>
      <w:r>
        <w:rPr>
          <w:rFonts w:ascii="Book Antiqua" w:eastAsia="Book Antiqua" w:hAnsi="Book Antiqua" w:cs="Book Antiqua"/>
        </w:rPr>
        <w:t xml:space="preserve">No se evidencian motivos que puedan generar un conflicto de interés en los congresistas para que puedan discutir y votar esta iniciativa de ley, por ser una norma de carácter general y abstracto. </w:t>
      </w:r>
    </w:p>
    <w:p w:rsidR="00BE0BB0" w:rsidRDefault="00BE0BB0">
      <w:pPr>
        <w:ind w:left="0" w:hanging="2"/>
        <w:jc w:val="both"/>
        <w:rPr>
          <w:rFonts w:ascii="Book Antiqua" w:eastAsia="Book Antiqua" w:hAnsi="Book Antiqua" w:cs="Book Antiqua"/>
        </w:rPr>
      </w:pPr>
    </w:p>
    <w:p w:rsidR="00BE0BB0" w:rsidRDefault="008B31B7">
      <w:pPr>
        <w:ind w:left="0" w:hanging="2"/>
        <w:jc w:val="both"/>
        <w:rPr>
          <w:rFonts w:ascii="Book Antiqua" w:eastAsia="Book Antiqua" w:hAnsi="Book Antiqua" w:cs="Book Antiqua"/>
        </w:rPr>
      </w:pPr>
      <w:r>
        <w:rPr>
          <w:rFonts w:ascii="Book Antiqua" w:eastAsia="Book Antiqua" w:hAnsi="Book Antiqua" w:cs="Book Antiqua"/>
        </w:rPr>
        <w:t xml:space="preserve">En todo caso, los Suscritos autores reconocen que el conflicto de interés y la decisión sobre los impedimentos que se llegaren a presentar en trámite de la iniciativa legislativa, en últimas, corresponde a un asunto que ligado al fuero personal y que debe resolver la cédula o la plenaria de las Cámaras. </w:t>
      </w:r>
    </w:p>
    <w:p w:rsidR="000418D4" w:rsidRDefault="000418D4">
      <w:pPr>
        <w:spacing w:after="160" w:line="276" w:lineRule="auto"/>
        <w:ind w:left="0" w:hanging="2"/>
        <w:jc w:val="both"/>
        <w:rPr>
          <w:rFonts w:ascii="Book Antiqua" w:eastAsia="Book Antiqua" w:hAnsi="Book Antiqua" w:cs="Book Antiqua"/>
        </w:rPr>
      </w:pPr>
    </w:p>
    <w:p w:rsidR="00BE0BB0" w:rsidRDefault="008B31B7">
      <w:pPr>
        <w:spacing w:after="160" w:line="276" w:lineRule="auto"/>
        <w:ind w:left="0" w:hanging="2"/>
        <w:jc w:val="both"/>
        <w:rPr>
          <w:rFonts w:ascii="Book Antiqua" w:eastAsia="Book Antiqua" w:hAnsi="Book Antiqua" w:cs="Book Antiqua"/>
        </w:rPr>
      </w:pPr>
      <w:r>
        <w:rPr>
          <w:rFonts w:ascii="Book Antiqua" w:eastAsia="Book Antiqua" w:hAnsi="Book Antiqua" w:cs="Book Antiqua"/>
        </w:rPr>
        <w:t xml:space="preserve">De los Honorables Congresistas, </w:t>
      </w:r>
    </w:p>
    <w:p w:rsidR="00BE0BB0" w:rsidRDefault="008B31B7">
      <w:pPr>
        <w:spacing w:after="200" w:line="276" w:lineRule="auto"/>
        <w:ind w:left="0" w:hanging="2"/>
        <w:jc w:val="both"/>
        <w:rPr>
          <w:rFonts w:ascii="Book Antiqua" w:eastAsia="Book Antiqua" w:hAnsi="Book Antiqua" w:cs="Book Antiqua"/>
          <w:b/>
        </w:rPr>
      </w:pPr>
      <w:r>
        <w:rPr>
          <w:rFonts w:ascii="Book Antiqua" w:eastAsia="Book Antiqua" w:hAnsi="Book Antiqua" w:cs="Book Antiqua"/>
          <w:b/>
        </w:rPr>
        <w:t>AUTORES:</w:t>
      </w:r>
    </w:p>
    <w:tbl>
      <w:tblPr>
        <w:tblStyle w:val="a1"/>
        <w:tblW w:w="859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5"/>
        <w:gridCol w:w="4296"/>
      </w:tblGrid>
      <w:tr w:rsidR="00BE0BB0">
        <w:tc>
          <w:tcPr>
            <w:tcW w:w="4295" w:type="dxa"/>
            <w:shd w:val="clear" w:color="auto" w:fill="auto"/>
            <w:tcMar>
              <w:top w:w="100" w:type="dxa"/>
              <w:left w:w="100" w:type="dxa"/>
              <w:bottom w:w="100" w:type="dxa"/>
              <w:right w:w="100" w:type="dxa"/>
            </w:tcMar>
          </w:tcPr>
          <w:p w:rsidR="00BE0BB0" w:rsidRDefault="00BE0BB0">
            <w:pPr>
              <w:spacing w:after="160" w:line="276" w:lineRule="auto"/>
              <w:ind w:left="0" w:hanging="2"/>
              <w:rPr>
                <w:rFonts w:ascii="Book Antiqua" w:eastAsia="Book Antiqua" w:hAnsi="Book Antiqua" w:cs="Book Antiqua"/>
                <w:sz w:val="22"/>
                <w:szCs w:val="22"/>
              </w:rPr>
            </w:pPr>
          </w:p>
          <w:p w:rsidR="00BE0BB0" w:rsidRDefault="008B31B7">
            <w:pPr>
              <w:spacing w:line="276" w:lineRule="auto"/>
              <w:ind w:left="0" w:hanging="2"/>
              <w:rPr>
                <w:rFonts w:ascii="Book Antiqua" w:eastAsia="Book Antiqua" w:hAnsi="Book Antiqua" w:cs="Book Antiqua"/>
                <w:b/>
                <w:sz w:val="22"/>
                <w:szCs w:val="22"/>
              </w:rPr>
            </w:pPr>
            <w:r>
              <w:rPr>
                <w:rFonts w:ascii="Book Antiqua" w:eastAsia="Book Antiqua" w:hAnsi="Book Antiqua" w:cs="Book Antiqua"/>
                <w:b/>
                <w:sz w:val="22"/>
                <w:szCs w:val="22"/>
              </w:rPr>
              <w:t>PAOLA HOLGUÍN MORENO</w:t>
            </w:r>
          </w:p>
          <w:p w:rsidR="00BE0BB0" w:rsidRDefault="008B31B7">
            <w:pPr>
              <w:spacing w:line="276" w:lineRule="auto"/>
              <w:ind w:left="0" w:hanging="2"/>
              <w:rPr>
                <w:rFonts w:ascii="Book Antiqua" w:eastAsia="Book Antiqua" w:hAnsi="Book Antiqua" w:cs="Book Antiqua"/>
                <w:sz w:val="22"/>
                <w:szCs w:val="22"/>
              </w:rPr>
            </w:pPr>
            <w:r>
              <w:rPr>
                <w:rFonts w:ascii="Book Antiqua" w:eastAsia="Book Antiqua" w:hAnsi="Book Antiqua" w:cs="Book Antiqua"/>
                <w:sz w:val="22"/>
                <w:szCs w:val="22"/>
              </w:rPr>
              <w:t>Senadora de la República</w:t>
            </w:r>
          </w:p>
          <w:p w:rsidR="00BE0BB0" w:rsidRDefault="008B31B7">
            <w:pPr>
              <w:spacing w:line="276" w:lineRule="auto"/>
              <w:ind w:left="0" w:hanging="2"/>
              <w:rPr>
                <w:rFonts w:ascii="Book Antiqua" w:eastAsia="Book Antiqua" w:hAnsi="Book Antiqua" w:cs="Book Antiqua"/>
                <w:sz w:val="22"/>
                <w:szCs w:val="22"/>
              </w:rPr>
            </w:pPr>
            <w:r>
              <w:rPr>
                <w:rFonts w:ascii="Book Antiqua" w:eastAsia="Book Antiqua" w:hAnsi="Book Antiqua" w:cs="Book Antiqua"/>
                <w:sz w:val="22"/>
                <w:szCs w:val="22"/>
              </w:rPr>
              <w:t>Partido Centro Democrático</w:t>
            </w:r>
          </w:p>
        </w:tc>
        <w:tc>
          <w:tcPr>
            <w:tcW w:w="4295" w:type="dxa"/>
            <w:shd w:val="clear" w:color="auto" w:fill="auto"/>
            <w:tcMar>
              <w:top w:w="100" w:type="dxa"/>
              <w:left w:w="100" w:type="dxa"/>
              <w:bottom w:w="100" w:type="dxa"/>
              <w:right w:w="100" w:type="dxa"/>
            </w:tcMar>
          </w:tcPr>
          <w:p w:rsidR="00BE0BB0" w:rsidRDefault="00BE0BB0">
            <w:pPr>
              <w:spacing w:after="160" w:line="276" w:lineRule="auto"/>
              <w:ind w:left="0" w:hanging="2"/>
              <w:rPr>
                <w:rFonts w:ascii="Book Antiqua" w:eastAsia="Book Antiqua" w:hAnsi="Book Antiqua" w:cs="Book Antiqua"/>
                <w:sz w:val="22"/>
                <w:szCs w:val="22"/>
              </w:rPr>
            </w:pPr>
          </w:p>
          <w:p w:rsidR="00BE0BB0" w:rsidRDefault="008B31B7">
            <w:pPr>
              <w:spacing w:line="276" w:lineRule="auto"/>
              <w:ind w:left="0" w:hanging="2"/>
              <w:rPr>
                <w:rFonts w:ascii="Book Antiqua" w:eastAsia="Book Antiqua" w:hAnsi="Book Antiqua" w:cs="Book Antiqua"/>
                <w:b/>
                <w:sz w:val="22"/>
                <w:szCs w:val="22"/>
              </w:rPr>
            </w:pPr>
            <w:r>
              <w:rPr>
                <w:rFonts w:ascii="Book Antiqua" w:eastAsia="Book Antiqua" w:hAnsi="Book Antiqua" w:cs="Book Antiqua"/>
                <w:b/>
                <w:sz w:val="22"/>
                <w:szCs w:val="22"/>
              </w:rPr>
              <w:t>JUAN ESPINAL</w:t>
            </w:r>
          </w:p>
          <w:p w:rsidR="00BE0BB0" w:rsidRDefault="008B31B7">
            <w:pPr>
              <w:spacing w:line="276" w:lineRule="auto"/>
              <w:ind w:left="0" w:hanging="2"/>
              <w:rPr>
                <w:rFonts w:ascii="Book Antiqua" w:eastAsia="Book Antiqua" w:hAnsi="Book Antiqua" w:cs="Book Antiqua"/>
                <w:sz w:val="22"/>
                <w:szCs w:val="22"/>
              </w:rPr>
            </w:pPr>
            <w:r>
              <w:rPr>
                <w:rFonts w:ascii="Book Antiqua" w:eastAsia="Book Antiqua" w:hAnsi="Book Antiqua" w:cs="Book Antiqua"/>
                <w:sz w:val="22"/>
                <w:szCs w:val="22"/>
              </w:rPr>
              <w:t>Representante a la Cámara por Antioquia</w:t>
            </w:r>
          </w:p>
          <w:p w:rsidR="00BE0BB0" w:rsidRDefault="008B31B7">
            <w:pPr>
              <w:spacing w:line="276" w:lineRule="auto"/>
              <w:ind w:left="0" w:hanging="2"/>
              <w:rPr>
                <w:rFonts w:ascii="Book Antiqua" w:eastAsia="Book Antiqua" w:hAnsi="Book Antiqua" w:cs="Book Antiqua"/>
                <w:sz w:val="22"/>
                <w:szCs w:val="22"/>
              </w:rPr>
            </w:pPr>
            <w:r>
              <w:rPr>
                <w:rFonts w:ascii="Book Antiqua" w:eastAsia="Book Antiqua" w:hAnsi="Book Antiqua" w:cs="Book Antiqua"/>
                <w:sz w:val="22"/>
                <w:szCs w:val="22"/>
              </w:rPr>
              <w:t>Partido Centro Democrático</w:t>
            </w:r>
          </w:p>
        </w:tc>
      </w:tr>
    </w:tbl>
    <w:p w:rsidR="00BE0BB0" w:rsidRDefault="00BE0BB0">
      <w:pPr>
        <w:spacing w:after="200" w:line="276" w:lineRule="auto"/>
        <w:ind w:left="1" w:hanging="3"/>
        <w:jc w:val="both"/>
        <w:rPr>
          <w:rFonts w:ascii="Book Antiqua" w:eastAsia="Book Antiqua" w:hAnsi="Book Antiqua" w:cs="Book Antiqua"/>
          <w:sz w:val="28"/>
          <w:szCs w:val="28"/>
        </w:rPr>
      </w:pPr>
    </w:p>
    <w:p w:rsidR="00A04770" w:rsidRDefault="00A04770">
      <w:pPr>
        <w:spacing w:after="200" w:line="276" w:lineRule="auto"/>
        <w:ind w:left="1" w:hanging="3"/>
        <w:jc w:val="both"/>
        <w:rPr>
          <w:rFonts w:ascii="Book Antiqua" w:eastAsia="Book Antiqua" w:hAnsi="Book Antiqua" w:cs="Book Antiqua"/>
          <w:sz w:val="28"/>
          <w:szCs w:val="28"/>
        </w:rPr>
      </w:pPr>
    </w:p>
    <w:p w:rsidR="00A04770" w:rsidRDefault="00A04770">
      <w:pPr>
        <w:spacing w:after="200" w:line="276" w:lineRule="auto"/>
        <w:ind w:left="1" w:hanging="3"/>
        <w:jc w:val="both"/>
        <w:rPr>
          <w:rFonts w:ascii="Book Antiqua" w:eastAsia="Book Antiqua" w:hAnsi="Book Antiqua" w:cs="Book Antiqua"/>
          <w:sz w:val="28"/>
          <w:szCs w:val="28"/>
        </w:rPr>
      </w:pPr>
      <w:bookmarkStart w:id="5" w:name="_GoBack"/>
      <w:bookmarkEnd w:id="5"/>
    </w:p>
    <w:p w:rsidR="00BE0BB0" w:rsidRDefault="008B31B7">
      <w:pPr>
        <w:spacing w:after="200" w:line="276" w:lineRule="auto"/>
        <w:ind w:left="0" w:hanging="2"/>
        <w:jc w:val="both"/>
        <w:rPr>
          <w:rFonts w:ascii="Book Antiqua" w:eastAsia="Book Antiqua" w:hAnsi="Book Antiqua" w:cs="Book Antiqua"/>
          <w:b/>
          <w:sz w:val="28"/>
          <w:szCs w:val="28"/>
        </w:rPr>
      </w:pPr>
      <w:r>
        <w:rPr>
          <w:rFonts w:ascii="Book Antiqua" w:eastAsia="Book Antiqua" w:hAnsi="Book Antiqua" w:cs="Book Antiqua"/>
          <w:b/>
        </w:rPr>
        <w:lastRenderedPageBreak/>
        <w:t>COAUTORES:</w:t>
      </w:r>
    </w:p>
    <w:tbl>
      <w:tblPr>
        <w:tblStyle w:val="a2"/>
        <w:tblW w:w="859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5"/>
        <w:gridCol w:w="4296"/>
      </w:tblGrid>
      <w:tr w:rsidR="00BE0BB0">
        <w:tc>
          <w:tcPr>
            <w:tcW w:w="4295" w:type="dxa"/>
            <w:shd w:val="clear" w:color="auto" w:fill="auto"/>
            <w:tcMar>
              <w:top w:w="100" w:type="dxa"/>
              <w:left w:w="100" w:type="dxa"/>
              <w:bottom w:w="100" w:type="dxa"/>
              <w:right w:w="100" w:type="dxa"/>
            </w:tcMar>
          </w:tcPr>
          <w:p w:rsidR="00BE0BB0" w:rsidRDefault="00BE0BB0">
            <w:pPr>
              <w:widowControl w:val="0"/>
              <w:ind w:left="0" w:hanging="2"/>
              <w:rPr>
                <w:rFonts w:ascii="Book Antiqua" w:eastAsia="Book Antiqua" w:hAnsi="Book Antiqua" w:cs="Book Antiqua"/>
              </w:rPr>
            </w:pPr>
          </w:p>
          <w:p w:rsidR="00BE0BB0" w:rsidRDefault="008B31B7">
            <w:pPr>
              <w:widowControl w:val="0"/>
              <w:ind w:left="0" w:hanging="2"/>
              <w:rPr>
                <w:rFonts w:ascii="Book Antiqua" w:eastAsia="Book Antiqua" w:hAnsi="Book Antiqua" w:cs="Book Antiqua"/>
                <w:b/>
              </w:rPr>
            </w:pPr>
            <w:r>
              <w:rPr>
                <w:rFonts w:ascii="Book Antiqua" w:eastAsia="Book Antiqua" w:hAnsi="Book Antiqua" w:cs="Book Antiqua"/>
                <w:b/>
              </w:rPr>
              <w:t>CHRISTIAN GARCÉS</w:t>
            </w:r>
          </w:p>
          <w:p w:rsidR="00BE0BB0" w:rsidRDefault="008B31B7">
            <w:pPr>
              <w:widowControl w:val="0"/>
              <w:ind w:left="0" w:hanging="2"/>
              <w:rPr>
                <w:rFonts w:ascii="Book Antiqua" w:eastAsia="Book Antiqua" w:hAnsi="Book Antiqua" w:cs="Book Antiqua"/>
              </w:rPr>
            </w:pPr>
            <w:r>
              <w:rPr>
                <w:rFonts w:ascii="Book Antiqua" w:eastAsia="Book Antiqua" w:hAnsi="Book Antiqua" w:cs="Book Antiqua"/>
              </w:rPr>
              <w:t>Representante a la Cámara</w:t>
            </w:r>
          </w:p>
          <w:p w:rsidR="00BE0BB0" w:rsidRDefault="008B31B7">
            <w:pPr>
              <w:widowControl w:val="0"/>
              <w:ind w:left="0" w:hanging="2"/>
              <w:rPr>
                <w:rFonts w:ascii="Book Antiqua" w:eastAsia="Book Antiqua" w:hAnsi="Book Antiqua" w:cs="Book Antiqua"/>
              </w:rPr>
            </w:pPr>
            <w:r>
              <w:rPr>
                <w:rFonts w:ascii="Book Antiqua" w:eastAsia="Book Antiqua" w:hAnsi="Book Antiqua" w:cs="Book Antiqua"/>
              </w:rPr>
              <w:t xml:space="preserve">Valle del Cauca </w:t>
            </w:r>
          </w:p>
          <w:p w:rsidR="00BE0BB0" w:rsidRDefault="008B31B7">
            <w:pPr>
              <w:widowControl w:val="0"/>
              <w:ind w:left="0" w:hanging="2"/>
              <w:rPr>
                <w:rFonts w:ascii="Book Antiqua" w:eastAsia="Book Antiqua" w:hAnsi="Book Antiqua" w:cs="Book Antiqua"/>
              </w:rPr>
            </w:pPr>
            <w:r>
              <w:rPr>
                <w:rFonts w:ascii="Book Antiqua" w:eastAsia="Book Antiqua" w:hAnsi="Book Antiqua" w:cs="Book Antiqua"/>
              </w:rPr>
              <w:t>Partido Centro Democrático</w:t>
            </w:r>
          </w:p>
        </w:tc>
        <w:tc>
          <w:tcPr>
            <w:tcW w:w="4295" w:type="dxa"/>
            <w:shd w:val="clear" w:color="auto" w:fill="auto"/>
            <w:tcMar>
              <w:top w:w="100" w:type="dxa"/>
              <w:left w:w="100" w:type="dxa"/>
              <w:bottom w:w="100" w:type="dxa"/>
              <w:right w:w="100" w:type="dxa"/>
            </w:tcMar>
          </w:tcPr>
          <w:p w:rsidR="00BE0BB0" w:rsidRDefault="00BE0BB0">
            <w:pPr>
              <w:widowControl w:val="0"/>
              <w:ind w:left="1" w:hanging="3"/>
              <w:rPr>
                <w:rFonts w:ascii="Book Antiqua" w:eastAsia="Book Antiqua" w:hAnsi="Book Antiqua" w:cs="Book Antiqua"/>
                <w:b/>
                <w:sz w:val="28"/>
                <w:szCs w:val="28"/>
              </w:rPr>
            </w:pPr>
          </w:p>
          <w:p w:rsidR="00BE0BB0" w:rsidRDefault="008B31B7">
            <w:pPr>
              <w:widowControl w:val="0"/>
              <w:ind w:left="0" w:hanging="2"/>
              <w:rPr>
                <w:rFonts w:ascii="Book Antiqua" w:eastAsia="Book Antiqua" w:hAnsi="Book Antiqua" w:cs="Book Antiqua"/>
                <w:b/>
              </w:rPr>
            </w:pPr>
            <w:r>
              <w:rPr>
                <w:rFonts w:ascii="Book Antiqua" w:eastAsia="Book Antiqua" w:hAnsi="Book Antiqua" w:cs="Book Antiqua"/>
                <w:b/>
              </w:rPr>
              <w:t>JUAN PABLO CELIS VERGEL</w:t>
            </w:r>
          </w:p>
          <w:p w:rsidR="00BE0BB0" w:rsidRDefault="008B31B7">
            <w:pPr>
              <w:widowControl w:val="0"/>
              <w:ind w:left="0" w:hanging="2"/>
              <w:rPr>
                <w:rFonts w:ascii="Book Antiqua" w:eastAsia="Book Antiqua" w:hAnsi="Book Antiqua" w:cs="Book Antiqua"/>
              </w:rPr>
            </w:pPr>
            <w:r>
              <w:rPr>
                <w:rFonts w:ascii="Book Antiqua" w:eastAsia="Book Antiqua" w:hAnsi="Book Antiqua" w:cs="Book Antiqua"/>
              </w:rPr>
              <w:t>Representante a la Cámara</w:t>
            </w:r>
          </w:p>
          <w:p w:rsidR="00BE0BB0" w:rsidRDefault="008B31B7">
            <w:pPr>
              <w:widowControl w:val="0"/>
              <w:ind w:left="0" w:hanging="2"/>
              <w:rPr>
                <w:rFonts w:ascii="Book Antiqua" w:eastAsia="Book Antiqua" w:hAnsi="Book Antiqua" w:cs="Book Antiqua"/>
              </w:rPr>
            </w:pPr>
            <w:r>
              <w:rPr>
                <w:rFonts w:ascii="Book Antiqua" w:eastAsia="Book Antiqua" w:hAnsi="Book Antiqua" w:cs="Book Antiqua"/>
              </w:rPr>
              <w:t>Norte de Santander</w:t>
            </w:r>
          </w:p>
          <w:p w:rsidR="00BE0BB0" w:rsidRDefault="008B31B7">
            <w:pPr>
              <w:widowControl w:val="0"/>
              <w:ind w:left="0" w:hanging="2"/>
              <w:rPr>
                <w:rFonts w:ascii="Book Antiqua" w:eastAsia="Book Antiqua" w:hAnsi="Book Antiqua" w:cs="Book Antiqua"/>
              </w:rPr>
            </w:pPr>
            <w:r>
              <w:rPr>
                <w:rFonts w:ascii="Book Antiqua" w:eastAsia="Book Antiqua" w:hAnsi="Book Antiqua" w:cs="Book Antiqua"/>
              </w:rPr>
              <w:t xml:space="preserve">Partido Centro </w:t>
            </w:r>
            <w:r w:rsidR="000418D4">
              <w:rPr>
                <w:rFonts w:ascii="Book Antiqua" w:eastAsia="Book Antiqua" w:hAnsi="Book Antiqua" w:cs="Book Antiqua"/>
              </w:rPr>
              <w:t>Democrático</w:t>
            </w:r>
            <w:r>
              <w:rPr>
                <w:rFonts w:ascii="Book Antiqua" w:eastAsia="Book Antiqua" w:hAnsi="Book Antiqua" w:cs="Book Antiqua"/>
              </w:rPr>
              <w:t xml:space="preserve"> </w:t>
            </w:r>
          </w:p>
        </w:tc>
      </w:tr>
      <w:tr w:rsidR="00BE0BB0">
        <w:tc>
          <w:tcPr>
            <w:tcW w:w="4295" w:type="dxa"/>
            <w:shd w:val="clear" w:color="auto" w:fill="auto"/>
            <w:tcMar>
              <w:top w:w="100" w:type="dxa"/>
              <w:left w:w="100" w:type="dxa"/>
              <w:bottom w:w="100" w:type="dxa"/>
              <w:right w:w="100" w:type="dxa"/>
            </w:tcMar>
          </w:tcPr>
          <w:p w:rsidR="00BE0BB0" w:rsidRDefault="00BE0BB0">
            <w:pPr>
              <w:widowControl w:val="0"/>
              <w:spacing w:after="240" w:line="276" w:lineRule="auto"/>
              <w:ind w:left="0" w:hanging="2"/>
              <w:jc w:val="both"/>
              <w:rPr>
                <w:rFonts w:ascii="Arial" w:eastAsia="Arial" w:hAnsi="Arial" w:cs="Arial"/>
                <w:b/>
              </w:rPr>
            </w:pPr>
          </w:p>
          <w:p w:rsidR="00BE0BB0" w:rsidRDefault="00BE0BB0">
            <w:pPr>
              <w:widowControl w:val="0"/>
              <w:ind w:left="0" w:hanging="2"/>
              <w:jc w:val="both"/>
              <w:rPr>
                <w:rFonts w:ascii="Arial" w:eastAsia="Arial" w:hAnsi="Arial" w:cs="Arial"/>
                <w:b/>
              </w:rPr>
            </w:pPr>
          </w:p>
          <w:p w:rsidR="00BE0BB0" w:rsidRDefault="008B31B7">
            <w:pPr>
              <w:widowControl w:val="0"/>
              <w:ind w:left="0" w:hanging="2"/>
              <w:jc w:val="both"/>
              <w:rPr>
                <w:rFonts w:ascii="Arial" w:eastAsia="Arial" w:hAnsi="Arial" w:cs="Arial"/>
                <w:b/>
              </w:rPr>
            </w:pPr>
            <w:r>
              <w:rPr>
                <w:rFonts w:ascii="Arial" w:eastAsia="Arial" w:hAnsi="Arial" w:cs="Arial"/>
                <w:b/>
              </w:rPr>
              <w:t>Esteban Quintero Cardona</w:t>
            </w:r>
          </w:p>
          <w:p w:rsidR="00BE0BB0" w:rsidRDefault="008B31B7">
            <w:pPr>
              <w:widowControl w:val="0"/>
              <w:ind w:left="0" w:hanging="2"/>
              <w:jc w:val="both"/>
              <w:rPr>
                <w:rFonts w:ascii="Book Antiqua" w:eastAsia="Book Antiqua" w:hAnsi="Book Antiqua" w:cs="Book Antiqua"/>
              </w:rPr>
            </w:pPr>
            <w:r>
              <w:rPr>
                <w:rFonts w:ascii="Arial" w:eastAsia="Arial" w:hAnsi="Arial" w:cs="Arial"/>
              </w:rPr>
              <w:t xml:space="preserve">Representante a la Cámara por Antioquia </w:t>
            </w:r>
          </w:p>
        </w:tc>
        <w:tc>
          <w:tcPr>
            <w:tcW w:w="4295" w:type="dxa"/>
            <w:shd w:val="clear" w:color="auto" w:fill="auto"/>
            <w:tcMar>
              <w:top w:w="100" w:type="dxa"/>
              <w:left w:w="100" w:type="dxa"/>
              <w:bottom w:w="100" w:type="dxa"/>
              <w:right w:w="100" w:type="dxa"/>
            </w:tcMar>
          </w:tcPr>
          <w:p w:rsidR="00BE0BB0" w:rsidRDefault="00BE0BB0">
            <w:pPr>
              <w:widowControl w:val="0"/>
              <w:ind w:left="1" w:hanging="3"/>
              <w:rPr>
                <w:rFonts w:ascii="Book Antiqua" w:eastAsia="Book Antiqua" w:hAnsi="Book Antiqua" w:cs="Book Antiqua"/>
                <w:b/>
                <w:sz w:val="28"/>
                <w:szCs w:val="28"/>
              </w:rPr>
            </w:pPr>
          </w:p>
        </w:tc>
      </w:tr>
    </w:tbl>
    <w:p w:rsidR="00BE0BB0" w:rsidRDefault="00BE0BB0">
      <w:pPr>
        <w:spacing w:line="276" w:lineRule="auto"/>
        <w:ind w:left="0" w:hanging="2"/>
        <w:rPr>
          <w:rFonts w:ascii="Book Antiqua" w:eastAsia="Book Antiqua" w:hAnsi="Book Antiqua" w:cs="Book Antiqua"/>
        </w:rPr>
      </w:pPr>
    </w:p>
    <w:sectPr w:rsidR="00BE0BB0">
      <w:headerReference w:type="default" r:id="rId13"/>
      <w:footerReference w:type="default" r:id="rId14"/>
      <w:pgSz w:w="12240" w:h="15840"/>
      <w:pgMar w:top="1701" w:right="1608" w:bottom="1412" w:left="204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35D" w:rsidRDefault="00A0635D">
      <w:pPr>
        <w:spacing w:line="240" w:lineRule="auto"/>
        <w:ind w:left="0" w:hanging="2"/>
      </w:pPr>
      <w:r>
        <w:separator/>
      </w:r>
    </w:p>
  </w:endnote>
  <w:endnote w:type="continuationSeparator" w:id="0">
    <w:p w:rsidR="00A0635D" w:rsidRDefault="00A0635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BB0" w:rsidRDefault="008B31B7">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A04770">
      <w:rPr>
        <w:noProof/>
        <w:color w:val="000000"/>
      </w:rPr>
      <w:t>26</w:t>
    </w:r>
    <w:r>
      <w:rPr>
        <w:color w:val="000000"/>
      </w:rPr>
      <w:fldChar w:fldCharType="end"/>
    </w:r>
  </w:p>
  <w:p w:rsidR="00BE0BB0" w:rsidRDefault="008B31B7">
    <w:pPr>
      <w:pBdr>
        <w:top w:val="nil"/>
        <w:left w:val="nil"/>
        <w:bottom w:val="nil"/>
        <w:right w:val="nil"/>
        <w:between w:val="nil"/>
      </w:pBdr>
      <w:tabs>
        <w:tab w:val="center" w:pos="4252"/>
        <w:tab w:val="right" w:pos="8504"/>
      </w:tabs>
      <w:spacing w:line="240" w:lineRule="auto"/>
      <w:ind w:left="0" w:hanging="2"/>
      <w:jc w:val="center"/>
      <w:rPr>
        <w:color w:val="000000"/>
      </w:rPr>
    </w:pPr>
    <w:r>
      <w:rPr>
        <w:color w:val="000000"/>
      </w:rPr>
      <w:tab/>
    </w:r>
    <w:r>
      <w:rPr>
        <w:b/>
        <w:noProof/>
        <w:color w:val="000000"/>
        <w:lang w:val="es-CO" w:eastAsia="es-CO"/>
      </w:rPr>
      <w:drawing>
        <wp:inline distT="0" distB="0" distL="114300" distR="114300">
          <wp:extent cx="3114675" cy="266700"/>
          <wp:effectExtent l="0" t="0" r="0" b="0"/>
          <wp:docPr id="103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rsidR="00BE0BB0" w:rsidRDefault="008B31B7">
    <w:pPr>
      <w:pBdr>
        <w:top w:val="nil"/>
        <w:left w:val="nil"/>
        <w:bottom w:val="nil"/>
        <w:right w:val="nil"/>
        <w:between w:val="nil"/>
      </w:pBdr>
      <w:tabs>
        <w:tab w:val="center" w:pos="4252"/>
        <w:tab w:val="right" w:pos="8504"/>
      </w:tabs>
      <w:spacing w:line="240" w:lineRule="auto"/>
      <w:ind w:left="0" w:hanging="2"/>
      <w:jc w:val="center"/>
      <w:rPr>
        <w:rFonts w:ascii="Book Antiqua" w:eastAsia="Book Antiqua" w:hAnsi="Book Antiqua" w:cs="Book Antiqua"/>
        <w:color w:val="000000"/>
        <w:sz w:val="18"/>
        <w:szCs w:val="18"/>
      </w:rPr>
    </w:pPr>
    <w:r>
      <w:rPr>
        <w:rFonts w:ascii="Book Antiqua" w:eastAsia="Book Antiqua" w:hAnsi="Book Antiqua" w:cs="Book Antiqua"/>
        <w:i/>
        <w:color w:val="000000"/>
        <w:sz w:val="18"/>
        <w:szCs w:val="18"/>
      </w:rPr>
      <w:t>Edificio Nuevo del Congreso Carrera 7 No. 8-68 Oficina 214-215 Bogotá – Colombia</w:t>
    </w:r>
  </w:p>
  <w:p w:rsidR="00BE0BB0" w:rsidRDefault="008B31B7">
    <w:pPr>
      <w:pBdr>
        <w:top w:val="nil"/>
        <w:left w:val="nil"/>
        <w:bottom w:val="nil"/>
        <w:right w:val="nil"/>
        <w:between w:val="nil"/>
      </w:pBdr>
      <w:tabs>
        <w:tab w:val="center" w:pos="4252"/>
        <w:tab w:val="right" w:pos="8504"/>
      </w:tabs>
      <w:spacing w:line="240" w:lineRule="auto"/>
      <w:ind w:left="0" w:hanging="2"/>
      <w:jc w:val="center"/>
      <w:rPr>
        <w:rFonts w:ascii="Book Antiqua" w:eastAsia="Book Antiqua" w:hAnsi="Book Antiqua" w:cs="Book Antiqua"/>
        <w:color w:val="000000"/>
        <w:sz w:val="18"/>
        <w:szCs w:val="18"/>
      </w:rPr>
    </w:pPr>
    <w:r>
      <w:rPr>
        <w:rFonts w:ascii="Book Antiqua" w:eastAsia="Book Antiqua" w:hAnsi="Book Antiqua" w:cs="Book Antiqua"/>
        <w:i/>
        <w:color w:val="000000"/>
        <w:sz w:val="18"/>
        <w:szCs w:val="18"/>
      </w:rPr>
      <w:t>E-mail: paola@paolaholguin.com</w:t>
    </w:r>
  </w:p>
  <w:p w:rsidR="00BE0BB0" w:rsidRDefault="00BE0BB0">
    <w:pPr>
      <w:pBdr>
        <w:top w:val="nil"/>
        <w:left w:val="nil"/>
        <w:bottom w:val="nil"/>
        <w:right w:val="nil"/>
        <w:between w:val="nil"/>
      </w:pBdr>
      <w:tabs>
        <w:tab w:val="center" w:pos="4252"/>
        <w:tab w:val="right" w:pos="8504"/>
        <w:tab w:val="left" w:pos="490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35D" w:rsidRDefault="00A0635D">
      <w:pPr>
        <w:spacing w:line="240" w:lineRule="auto"/>
        <w:ind w:left="0" w:hanging="2"/>
      </w:pPr>
      <w:r>
        <w:separator/>
      </w:r>
    </w:p>
  </w:footnote>
  <w:footnote w:type="continuationSeparator" w:id="0">
    <w:p w:rsidR="00A0635D" w:rsidRDefault="00A0635D">
      <w:pPr>
        <w:spacing w:line="240" w:lineRule="auto"/>
        <w:ind w:left="0" w:hanging="2"/>
      </w:pPr>
      <w:r>
        <w:continuationSeparator/>
      </w:r>
    </w:p>
  </w:footnote>
  <w:footnote w:id="1">
    <w:p w:rsidR="00BE0BB0" w:rsidRDefault="008B31B7">
      <w:pPr>
        <w:pBdr>
          <w:top w:val="nil"/>
          <w:left w:val="nil"/>
          <w:bottom w:val="nil"/>
          <w:right w:val="nil"/>
          <w:between w:val="nil"/>
        </w:pBdr>
        <w:spacing w:line="240" w:lineRule="auto"/>
        <w:ind w:left="0" w:hanging="2"/>
        <w:jc w:val="both"/>
        <w:rPr>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20"/>
          <w:szCs w:val="20"/>
        </w:rPr>
        <w:t>Convención para la Salvaguardia del Patrimonio Cultural Inmaterial, artículo 2.1.: “</w:t>
      </w:r>
      <w:r>
        <w:rPr>
          <w:rFonts w:ascii="Calibri" w:eastAsia="Calibri" w:hAnsi="Calibri" w:cs="Calibri"/>
          <w:color w:val="000000"/>
          <w:sz w:val="20"/>
          <w:szCs w:val="20"/>
          <w:highlight w:val="white"/>
        </w:rPr>
        <w:t>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w:t>
      </w:r>
      <w:r>
        <w:rPr>
          <w:rFonts w:ascii="Verdana" w:eastAsia="Verdana" w:hAnsi="Verdana" w:cs="Verdana"/>
          <w:color w:val="000000"/>
          <w:sz w:val="15"/>
          <w:szCs w:val="15"/>
          <w:highlight w:val="white"/>
        </w:rPr>
        <w:t> </w:t>
      </w:r>
    </w:p>
  </w:footnote>
  <w:footnote w:id="2">
    <w:p w:rsidR="00BE0BB0" w:rsidRDefault="008B31B7">
      <w:pPr>
        <w:pBdr>
          <w:top w:val="nil"/>
          <w:left w:val="nil"/>
          <w:bottom w:val="nil"/>
          <w:right w:val="nil"/>
          <w:between w:val="nil"/>
        </w:pBdr>
        <w:spacing w:line="240" w:lineRule="auto"/>
        <w:ind w:left="0" w:hanging="2"/>
        <w:jc w:val="both"/>
        <w:rPr>
          <w:color w:val="000000"/>
          <w:sz w:val="20"/>
          <w:szCs w:val="20"/>
        </w:rPr>
      </w:pPr>
      <w:r>
        <w:rPr>
          <w:vertAlign w:val="superscript"/>
        </w:rPr>
        <w:footnoteRef/>
      </w:r>
      <w:r>
        <w:rPr>
          <w:color w:val="000000"/>
          <w:sz w:val="20"/>
          <w:szCs w:val="20"/>
        </w:rPr>
        <w:t xml:space="preserve"> COLOMBATO, Lucía Carolina. </w:t>
      </w:r>
      <w:r>
        <w:rPr>
          <w:i/>
          <w:color w:val="000000"/>
          <w:sz w:val="20"/>
          <w:szCs w:val="20"/>
        </w:rPr>
        <w:t>Avances, frenos y retos de la consolidación del derecho humano al(os) patrimonio(s) cultural(es) desde La Pampa (1994-2013)</w:t>
      </w:r>
      <w:r>
        <w:rPr>
          <w:color w:val="000000"/>
          <w:sz w:val="20"/>
          <w:szCs w:val="20"/>
        </w:rPr>
        <w:t>, Tesis de Maestría, Universidad Nacional de La Pampa, Argentina. Pág. 24.</w:t>
      </w:r>
    </w:p>
  </w:footnote>
  <w:footnote w:id="3">
    <w:p w:rsidR="00BE0BB0" w:rsidRDefault="008B31B7">
      <w:pPr>
        <w:pBdr>
          <w:top w:val="nil"/>
          <w:left w:val="nil"/>
          <w:bottom w:val="nil"/>
          <w:right w:val="nil"/>
          <w:between w:val="nil"/>
        </w:pBdr>
        <w:spacing w:line="240" w:lineRule="auto"/>
        <w:ind w:left="0" w:hanging="2"/>
        <w:jc w:val="both"/>
        <w:rPr>
          <w:color w:val="000000"/>
          <w:sz w:val="20"/>
          <w:szCs w:val="20"/>
        </w:rPr>
      </w:pPr>
      <w:r>
        <w:rPr>
          <w:vertAlign w:val="superscript"/>
        </w:rPr>
        <w:footnoteRef/>
      </w:r>
      <w:r>
        <w:rPr>
          <w:color w:val="000000"/>
          <w:sz w:val="20"/>
          <w:szCs w:val="20"/>
        </w:rPr>
        <w:t xml:space="preserve"> La citada Convención UNESCO (2003) relaciona las acciones que le corresponde a los Estados Parte adelantar con el propósito de preservar su patrimonio cultural inmaterial: </w:t>
      </w:r>
    </w:p>
    <w:p w:rsidR="00BE0BB0" w:rsidRDefault="00BE0BB0">
      <w:pPr>
        <w:pBdr>
          <w:top w:val="nil"/>
          <w:left w:val="nil"/>
          <w:bottom w:val="nil"/>
          <w:right w:val="nil"/>
          <w:between w:val="nil"/>
        </w:pBdr>
        <w:spacing w:line="240" w:lineRule="auto"/>
        <w:ind w:left="0" w:hanging="2"/>
        <w:jc w:val="both"/>
        <w:rPr>
          <w:color w:val="000000"/>
          <w:sz w:val="20"/>
          <w:szCs w:val="20"/>
        </w:rPr>
      </w:pPr>
      <w:bookmarkStart w:id="2" w:name="bookmark=id.30j0zll" w:colFirst="0" w:colLast="0"/>
      <w:bookmarkEnd w:id="2"/>
    </w:p>
    <w:p w:rsidR="00BE0BB0" w:rsidRDefault="008B31B7">
      <w:pPr>
        <w:ind w:left="0" w:right="51" w:hanging="2"/>
        <w:jc w:val="both"/>
        <w:rPr>
          <w:sz w:val="20"/>
          <w:szCs w:val="20"/>
        </w:rPr>
      </w:pPr>
      <w:r>
        <w:rPr>
          <w:i/>
          <w:sz w:val="20"/>
          <w:szCs w:val="20"/>
        </w:rPr>
        <w:t>“ARTÍCULO 11. FUNCIONES DE LOS ESTADOS PARTES INCUMBE A CADA ESTADO PARTE.</w:t>
      </w:r>
    </w:p>
    <w:p w:rsidR="00BE0BB0" w:rsidRDefault="008B31B7">
      <w:pPr>
        <w:ind w:left="0" w:right="51" w:hanging="2"/>
        <w:jc w:val="both"/>
        <w:rPr>
          <w:sz w:val="20"/>
          <w:szCs w:val="20"/>
        </w:rPr>
      </w:pPr>
      <w:r>
        <w:rPr>
          <w:i/>
          <w:sz w:val="20"/>
          <w:szCs w:val="20"/>
        </w:rPr>
        <w:t> </w:t>
      </w:r>
    </w:p>
    <w:p w:rsidR="00BE0BB0" w:rsidRDefault="008B31B7">
      <w:pPr>
        <w:ind w:left="0" w:right="51" w:hanging="2"/>
        <w:jc w:val="both"/>
        <w:rPr>
          <w:sz w:val="20"/>
          <w:szCs w:val="20"/>
        </w:rPr>
      </w:pPr>
      <w:r>
        <w:rPr>
          <w:i/>
          <w:sz w:val="20"/>
          <w:szCs w:val="20"/>
        </w:rPr>
        <w:t>a) Adoptar las medidas necesarias para garantizar la Salvaguardia del Patrimonio Cultural Inmaterial presente en su territorio;</w:t>
      </w:r>
    </w:p>
    <w:p w:rsidR="00BE0BB0" w:rsidRDefault="008B31B7">
      <w:pPr>
        <w:ind w:left="0" w:right="51" w:hanging="2"/>
        <w:jc w:val="both"/>
        <w:rPr>
          <w:sz w:val="20"/>
          <w:szCs w:val="20"/>
        </w:rPr>
      </w:pPr>
      <w:bookmarkStart w:id="3" w:name="bookmark=id.1fob9te" w:colFirst="0" w:colLast="0"/>
      <w:bookmarkEnd w:id="3"/>
      <w:r>
        <w:rPr>
          <w:i/>
          <w:sz w:val="20"/>
          <w:szCs w:val="20"/>
        </w:rPr>
        <w:t>b) Entre las medidas de salvaguardia mencionadas en el párrafo 3 del artículo 2o, identificar y definir los distintos elementos del patrimonio cultural inmaterial presentes en su territorio, con participación de las comunidades, los grupos y las organizaciones no gubernamentales pertinentes.</w:t>
      </w:r>
    </w:p>
    <w:p w:rsidR="00BE0BB0" w:rsidRDefault="00BE0BB0">
      <w:pPr>
        <w:ind w:left="0" w:right="51" w:hanging="2"/>
        <w:jc w:val="both"/>
        <w:rPr>
          <w:sz w:val="20"/>
          <w:szCs w:val="20"/>
        </w:rPr>
      </w:pPr>
    </w:p>
    <w:p w:rsidR="00BE0BB0" w:rsidRDefault="008B31B7">
      <w:pPr>
        <w:ind w:left="0" w:right="51" w:hanging="2"/>
        <w:jc w:val="both"/>
        <w:rPr>
          <w:sz w:val="20"/>
          <w:szCs w:val="20"/>
        </w:rPr>
      </w:pPr>
      <w:r>
        <w:rPr>
          <w:i/>
          <w:sz w:val="20"/>
          <w:szCs w:val="20"/>
        </w:rPr>
        <w:t>ARTÍCULO 13. OTRAS MEDIDAS DE SALVAGUARDIA.</w:t>
      </w:r>
    </w:p>
    <w:p w:rsidR="00BE0BB0" w:rsidRDefault="008B31B7">
      <w:pPr>
        <w:ind w:left="0" w:right="51" w:hanging="2"/>
        <w:jc w:val="both"/>
        <w:rPr>
          <w:sz w:val="20"/>
          <w:szCs w:val="20"/>
        </w:rPr>
      </w:pPr>
      <w:r>
        <w:rPr>
          <w:i/>
          <w:sz w:val="20"/>
          <w:szCs w:val="20"/>
        </w:rPr>
        <w:t> </w:t>
      </w:r>
    </w:p>
    <w:p w:rsidR="00BE0BB0" w:rsidRDefault="008B31B7">
      <w:pPr>
        <w:ind w:left="0" w:right="51" w:hanging="2"/>
        <w:jc w:val="both"/>
        <w:rPr>
          <w:sz w:val="20"/>
          <w:szCs w:val="20"/>
        </w:rPr>
      </w:pPr>
      <w:r>
        <w:rPr>
          <w:i/>
          <w:sz w:val="20"/>
          <w:szCs w:val="20"/>
        </w:rPr>
        <w:t>Para asegurar la salvaguardia, el desarrollo y la valorización del patrimonio cultural inmaterial presente en su territorio, cada Estado Parte hará todo lo posible por:</w:t>
      </w:r>
    </w:p>
    <w:p w:rsidR="00BE0BB0" w:rsidRDefault="008B31B7">
      <w:pPr>
        <w:ind w:left="0" w:right="51" w:hanging="2"/>
        <w:jc w:val="both"/>
        <w:rPr>
          <w:sz w:val="20"/>
          <w:szCs w:val="20"/>
        </w:rPr>
      </w:pPr>
      <w:r>
        <w:rPr>
          <w:i/>
          <w:sz w:val="20"/>
          <w:szCs w:val="20"/>
        </w:rPr>
        <w:t> </w:t>
      </w:r>
    </w:p>
    <w:p w:rsidR="00BE0BB0" w:rsidRDefault="008B31B7">
      <w:pPr>
        <w:ind w:left="0" w:right="51" w:hanging="2"/>
        <w:jc w:val="both"/>
        <w:rPr>
          <w:sz w:val="20"/>
          <w:szCs w:val="20"/>
        </w:rPr>
      </w:pPr>
      <w:r>
        <w:rPr>
          <w:i/>
          <w:sz w:val="20"/>
          <w:szCs w:val="20"/>
        </w:rPr>
        <w:t>a) Adoptar una política general encaminada a realizar la función del patrimonio cultural inmaterial en la sociedad y a integrar su salvaguardia en programas de planificación;</w:t>
      </w:r>
    </w:p>
    <w:p w:rsidR="00BE0BB0" w:rsidRDefault="008B31B7">
      <w:pPr>
        <w:ind w:left="0" w:right="51" w:hanging="2"/>
        <w:jc w:val="both"/>
        <w:rPr>
          <w:sz w:val="20"/>
          <w:szCs w:val="20"/>
        </w:rPr>
      </w:pPr>
      <w:r>
        <w:rPr>
          <w:i/>
          <w:sz w:val="20"/>
          <w:szCs w:val="20"/>
        </w:rPr>
        <w:t>b) Designar o crear uno o varios organismos competentes para la Salvaguardia del Patrimonio Cultural Inmaterial presente en su territorio;</w:t>
      </w:r>
    </w:p>
    <w:p w:rsidR="00BE0BB0" w:rsidRDefault="008B31B7">
      <w:pPr>
        <w:ind w:left="0" w:right="51" w:hanging="2"/>
        <w:jc w:val="both"/>
        <w:rPr>
          <w:sz w:val="20"/>
          <w:szCs w:val="20"/>
        </w:rPr>
      </w:pPr>
      <w:r>
        <w:rPr>
          <w:i/>
          <w:sz w:val="20"/>
          <w:szCs w:val="20"/>
        </w:rPr>
        <w:t>c) Fomentar estudios científicos, técnicos y artísticos, así corno metodologías de investigación, para la salvaguardia eficaz del patrimonio cultural inmaterial, y en particular del patrimonio cultural inmaterial que se encuentre en peligro;</w:t>
      </w:r>
    </w:p>
    <w:p w:rsidR="00BE0BB0" w:rsidRDefault="008B31B7">
      <w:pPr>
        <w:ind w:left="0" w:right="51" w:hanging="2"/>
        <w:jc w:val="both"/>
        <w:rPr>
          <w:sz w:val="20"/>
          <w:szCs w:val="20"/>
        </w:rPr>
      </w:pPr>
      <w:r>
        <w:rPr>
          <w:i/>
          <w:sz w:val="20"/>
          <w:szCs w:val="20"/>
        </w:rPr>
        <w:t>d) Adoptar las medidas de orden jurídico, técnico, administrativo y financiero adecuadas para:</w:t>
      </w:r>
    </w:p>
    <w:p w:rsidR="00BE0BB0" w:rsidRDefault="008B31B7">
      <w:pPr>
        <w:ind w:left="0" w:right="51" w:hanging="2"/>
        <w:jc w:val="both"/>
        <w:rPr>
          <w:sz w:val="20"/>
          <w:szCs w:val="20"/>
        </w:rPr>
      </w:pPr>
      <w:r>
        <w:rPr>
          <w:i/>
          <w:sz w:val="20"/>
          <w:szCs w:val="20"/>
        </w:rPr>
        <w:t>i) Favorecer la creación o el fortalecimiento de instituciones de formación en gestión del patrimonio cultural inmaterial, así como la transmisión de este patrimonio en los foros y espacios destinados a su manifestación y expresión;” </w:t>
      </w:r>
    </w:p>
    <w:p w:rsidR="00BE0BB0" w:rsidRDefault="008B31B7">
      <w:pPr>
        <w:ind w:left="0" w:right="51" w:hanging="2"/>
        <w:jc w:val="both"/>
        <w:rPr>
          <w:sz w:val="20"/>
          <w:szCs w:val="20"/>
        </w:rPr>
      </w:pPr>
      <w:r>
        <w:rPr>
          <w:i/>
          <w:sz w:val="20"/>
          <w:szCs w:val="20"/>
        </w:rPr>
        <w:t>ii) Garantizar el acceso al patrimonio cultural inmaterial, respetando al mismo tiempo los usos consuetudinarios por los que se rige el acceso a determinados aspectos dicho patrimonio;</w:t>
      </w:r>
    </w:p>
    <w:p w:rsidR="00BE0BB0" w:rsidRDefault="008B31B7">
      <w:pPr>
        <w:ind w:left="0" w:right="51" w:hanging="2"/>
        <w:jc w:val="both"/>
        <w:rPr>
          <w:sz w:val="20"/>
          <w:szCs w:val="20"/>
        </w:rPr>
      </w:pPr>
      <w:r>
        <w:rPr>
          <w:i/>
          <w:sz w:val="20"/>
          <w:szCs w:val="20"/>
        </w:rPr>
        <w:t> </w:t>
      </w:r>
    </w:p>
    <w:p w:rsidR="00BE0BB0" w:rsidRDefault="008B31B7">
      <w:pPr>
        <w:ind w:left="0" w:right="51" w:hanging="2"/>
        <w:jc w:val="both"/>
        <w:rPr>
          <w:sz w:val="20"/>
          <w:szCs w:val="20"/>
        </w:rPr>
      </w:pPr>
      <w:r>
        <w:rPr>
          <w:i/>
          <w:sz w:val="20"/>
          <w:szCs w:val="20"/>
        </w:rPr>
        <w:t>iii) Crear instituciones de documentación sobre el patrimonio cultural inmaterial y facilitar el acceso a ellas.</w:t>
      </w:r>
    </w:p>
    <w:p w:rsidR="00BE0BB0" w:rsidRDefault="00BE0BB0">
      <w:pPr>
        <w:pBdr>
          <w:top w:val="nil"/>
          <w:left w:val="nil"/>
          <w:bottom w:val="nil"/>
          <w:right w:val="nil"/>
          <w:between w:val="nil"/>
        </w:pBdr>
        <w:spacing w:line="240" w:lineRule="auto"/>
        <w:ind w:left="0" w:hanging="2"/>
        <w:jc w:val="both"/>
        <w:rPr>
          <w:color w:val="000000"/>
          <w:sz w:val="20"/>
          <w:szCs w:val="20"/>
        </w:rPr>
      </w:pPr>
    </w:p>
  </w:footnote>
  <w:footnote w:id="4">
    <w:p w:rsidR="00BE0BB0" w:rsidRDefault="008B31B7">
      <w:pPr>
        <w:pBdr>
          <w:top w:val="nil"/>
          <w:left w:val="nil"/>
          <w:bottom w:val="nil"/>
          <w:right w:val="nil"/>
          <w:between w:val="nil"/>
        </w:pBdr>
        <w:spacing w:line="240" w:lineRule="auto"/>
        <w:ind w:left="0" w:hanging="2"/>
        <w:jc w:val="both"/>
        <w:rPr>
          <w:color w:val="000000"/>
          <w:sz w:val="20"/>
          <w:szCs w:val="20"/>
        </w:rPr>
      </w:pPr>
      <w:r>
        <w:rPr>
          <w:vertAlign w:val="superscript"/>
        </w:rPr>
        <w:footnoteRef/>
      </w:r>
      <w:r>
        <w:rPr>
          <w:color w:val="000000"/>
          <w:sz w:val="20"/>
          <w:szCs w:val="20"/>
        </w:rPr>
        <w:t xml:space="preserve"> Revisión de constitucionalidad de la “</w:t>
      </w:r>
      <w:r>
        <w:rPr>
          <w:i/>
          <w:color w:val="000000"/>
          <w:sz w:val="20"/>
          <w:szCs w:val="20"/>
        </w:rPr>
        <w:t xml:space="preserve">Convención para la salvaguardia del patrimonio cultural inmaterial”, </w:t>
      </w:r>
      <w:r>
        <w:rPr>
          <w:color w:val="000000"/>
          <w:sz w:val="20"/>
          <w:szCs w:val="20"/>
        </w:rPr>
        <w:t>aprobada en la Conferencia General de la UNESCO, en su reunión celebrada en París y clausurada el diecisiete (17) de octubre de 2003, y de la Ley 1037 de 2006, aprobatoria de aquélla.</w:t>
      </w:r>
    </w:p>
  </w:footnote>
  <w:footnote w:id="5">
    <w:p w:rsidR="00BE0BB0" w:rsidRDefault="008B31B7">
      <w:pPr>
        <w:ind w:left="0" w:hanging="2"/>
        <w:jc w:val="both"/>
      </w:pPr>
      <w:r>
        <w:rPr>
          <w:vertAlign w:val="superscript"/>
        </w:rPr>
        <w:footnoteRef/>
      </w:r>
      <w:r>
        <w:rPr>
          <w:sz w:val="20"/>
          <w:szCs w:val="20"/>
        </w:rPr>
        <w:t xml:space="preserve"> Demanda de inconstitucionalidad contra el artículo 8º de la ley 1645 de 2013, </w:t>
      </w:r>
      <w:r>
        <w:rPr>
          <w:i/>
          <w:sz w:val="20"/>
          <w:szCs w:val="20"/>
        </w:rPr>
        <w:t>“por la cual se declara patrimonio cultural inmaterial de la Nación la Semana Santa de Pamplona, departamento de Norte de Santander, y se dictan otras disposiciones”.</w:t>
      </w:r>
    </w:p>
  </w:footnote>
  <w:footnote w:id="6">
    <w:p w:rsidR="00BE0BB0" w:rsidRDefault="008B31B7">
      <w:pPr>
        <w:pBdr>
          <w:top w:val="nil"/>
          <w:left w:val="nil"/>
          <w:bottom w:val="nil"/>
          <w:right w:val="nil"/>
          <w:between w:val="nil"/>
        </w:pBdr>
        <w:spacing w:line="240" w:lineRule="auto"/>
        <w:ind w:left="0" w:right="-56" w:hanging="2"/>
        <w:jc w:val="both"/>
        <w:rPr>
          <w:color w:val="000000"/>
          <w:sz w:val="20"/>
          <w:szCs w:val="20"/>
        </w:rPr>
      </w:pPr>
      <w:r>
        <w:rPr>
          <w:vertAlign w:val="superscript"/>
        </w:rPr>
        <w:footnoteRef/>
      </w:r>
      <w:r>
        <w:rPr>
          <w:color w:val="000000"/>
          <w:sz w:val="20"/>
          <w:szCs w:val="20"/>
        </w:rPr>
        <w:t xml:space="preserve"> </w:t>
      </w:r>
      <w:r>
        <w:rPr>
          <w:i/>
          <w:color w:val="000000"/>
          <w:sz w:val="20"/>
          <w:szCs w:val="20"/>
        </w:rPr>
        <w:t>Acción pública de inconstitucionalidad contra el artículo 4º de la Ley 891 de 2004 ‘</w:t>
      </w:r>
      <w:r>
        <w:rPr>
          <w:color w:val="000000"/>
          <w:sz w:val="20"/>
          <w:szCs w:val="20"/>
        </w:rPr>
        <w:t>por la cual se declara patrimonio cultural nacional las procesiones de semana santa y el festival de música religiosa de Popayán, departamento del Cauca, se declara monumento nacional un inmueble urbano, se hace un reconocimiento y se dictan otras disposiciones</w:t>
      </w:r>
      <w:r>
        <w:rPr>
          <w:i/>
          <w:color w:val="000000"/>
          <w:sz w:val="20"/>
          <w:szCs w:val="20"/>
        </w:rPr>
        <w:t>’</w:t>
      </w:r>
      <w:r>
        <w:rPr>
          <w:color w:val="000000"/>
          <w:sz w:val="20"/>
          <w:szCs w:val="20"/>
        </w:rPr>
        <w:t>.</w:t>
      </w:r>
    </w:p>
  </w:footnote>
  <w:footnote w:id="7">
    <w:p w:rsidR="00BE0BB0" w:rsidRDefault="008B31B7">
      <w:pPr>
        <w:ind w:left="0" w:hanging="2"/>
        <w:jc w:val="both"/>
      </w:pPr>
      <w:r>
        <w:rPr>
          <w:vertAlign w:val="superscript"/>
        </w:rPr>
        <w:footnoteRef/>
      </w:r>
      <w:r>
        <w:t xml:space="preserve"> </w:t>
      </w:r>
      <w:r>
        <w:rPr>
          <w:sz w:val="20"/>
          <w:szCs w:val="20"/>
        </w:rPr>
        <w:t xml:space="preserve">Asunto: Demanda de inconstitucionalidad contra el artículo 2 de la Ley 993 de 2005, </w:t>
      </w:r>
      <w:r>
        <w:rPr>
          <w:i/>
          <w:sz w:val="20"/>
          <w:szCs w:val="20"/>
        </w:rPr>
        <w:t xml:space="preserve">“por medio de la cual se declara patrimonio cultural de la Nación las fiestas patronales de San Francisco de Asís en el municipio de Quibdó, en el departamento del Chocó y se dictan otras disposiciones” </w:t>
      </w:r>
    </w:p>
  </w:footnote>
  <w:footnote w:id="8">
    <w:p w:rsidR="00BE0BB0" w:rsidRDefault="008B31B7">
      <w:pPr>
        <w:pBdr>
          <w:top w:val="nil"/>
          <w:left w:val="nil"/>
          <w:bottom w:val="nil"/>
          <w:right w:val="nil"/>
          <w:between w:val="nil"/>
        </w:pBdr>
        <w:spacing w:line="240" w:lineRule="auto"/>
        <w:ind w:left="0" w:hanging="2"/>
        <w:jc w:val="both"/>
        <w:rPr>
          <w:color w:val="000000"/>
          <w:sz w:val="20"/>
          <w:szCs w:val="20"/>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i/>
          <w:color w:val="000000"/>
          <w:sz w:val="20"/>
          <w:szCs w:val="20"/>
        </w:rPr>
        <w:t xml:space="preserve">Cfr. </w:t>
      </w:r>
      <w:r>
        <w:rPr>
          <w:rFonts w:ascii="Cambria" w:eastAsia="Cambria" w:hAnsi="Cambria" w:cs="Cambria"/>
          <w:color w:val="000000"/>
          <w:sz w:val="20"/>
          <w:szCs w:val="20"/>
        </w:rPr>
        <w:t xml:space="preserve">Preámbulo de la </w:t>
      </w:r>
      <w:r>
        <w:rPr>
          <w:rFonts w:ascii="Cambria" w:eastAsia="Cambria" w:hAnsi="Cambria" w:cs="Cambria"/>
          <w:i/>
          <w:color w:val="000000"/>
          <w:sz w:val="20"/>
          <w:szCs w:val="20"/>
        </w:rPr>
        <w:t>Declaración Universal sobre Diversidad Cultural</w:t>
      </w:r>
      <w:r>
        <w:rPr>
          <w:rFonts w:ascii="Cambria" w:eastAsia="Cambria" w:hAnsi="Cambria" w:cs="Cambria"/>
          <w:color w:val="000000"/>
          <w:sz w:val="20"/>
          <w:szCs w:val="20"/>
        </w:rPr>
        <w:t>, adoptada en la Conferencia General de la Unesco, el 2 de noviembre de 2001. Este documento reconoce que la cultura adquiere formas diversas a través del tiempo y del espacio, y que esa diversidad cultural es patrimonio común de la humanidad. También recuerda que los derechos culturales hacen parte de los derechos humanos, que son universales, indisociables e interdependientes. Una definición similar fue acuñada por la Ley 397 de 1997, modificada por la Ley 1185 de 2008”. Véase Corte Constitucional, Sentencia C-882 de 2011.</w:t>
      </w:r>
    </w:p>
  </w:footnote>
  <w:footnote w:id="9">
    <w:p w:rsidR="00BE0BB0" w:rsidRDefault="008B31B7">
      <w:pPr>
        <w:pBdr>
          <w:top w:val="nil"/>
          <w:left w:val="nil"/>
          <w:bottom w:val="nil"/>
          <w:right w:val="nil"/>
          <w:between w:val="nil"/>
        </w:pBdr>
        <w:spacing w:line="240" w:lineRule="auto"/>
        <w:ind w:left="0" w:hanging="2"/>
        <w:jc w:val="both"/>
        <w:rPr>
          <w:color w:val="000000"/>
          <w:sz w:val="20"/>
          <w:szCs w:val="20"/>
        </w:rPr>
      </w:pPr>
      <w:r>
        <w:rPr>
          <w:vertAlign w:val="superscript"/>
        </w:rPr>
        <w:footnoteRef/>
      </w:r>
      <w:r>
        <w:rPr>
          <w:rFonts w:ascii="Cambria" w:eastAsia="Cambria" w:hAnsi="Cambria" w:cs="Cambria"/>
          <w:color w:val="000000"/>
          <w:sz w:val="20"/>
          <w:szCs w:val="20"/>
        </w:rPr>
        <w:t xml:space="preserve"> Corte Constitucional, Sentencia C-742 de 2006.</w:t>
      </w:r>
    </w:p>
  </w:footnote>
  <w:footnote w:id="10">
    <w:p w:rsidR="00BE0BB0" w:rsidRDefault="008B31B7">
      <w:pPr>
        <w:pBdr>
          <w:top w:val="nil"/>
          <w:left w:val="nil"/>
          <w:bottom w:val="nil"/>
          <w:right w:val="nil"/>
          <w:between w:val="nil"/>
        </w:pBdr>
        <w:spacing w:line="240" w:lineRule="auto"/>
        <w:ind w:left="0" w:hanging="2"/>
        <w:jc w:val="both"/>
        <w:rPr>
          <w:color w:val="000000"/>
          <w:sz w:val="20"/>
          <w:szCs w:val="20"/>
        </w:rPr>
      </w:pPr>
      <w:r>
        <w:rPr>
          <w:vertAlign w:val="superscript"/>
        </w:rPr>
        <w:footnoteRef/>
      </w:r>
      <w:r>
        <w:rPr>
          <w:rFonts w:ascii="Cambria" w:eastAsia="Cambria" w:hAnsi="Cambria" w:cs="Cambria"/>
          <w:color w:val="000000"/>
          <w:sz w:val="20"/>
          <w:szCs w:val="20"/>
        </w:rPr>
        <w:t xml:space="preserve"> Aprobada por ley 45 de 1983 y vigente para Colombia desde el 24 de agosto de 1983.</w:t>
      </w:r>
    </w:p>
  </w:footnote>
  <w:footnote w:id="11">
    <w:p w:rsidR="00BE0BB0" w:rsidRDefault="008B31B7">
      <w:pPr>
        <w:pBdr>
          <w:top w:val="nil"/>
          <w:left w:val="nil"/>
          <w:bottom w:val="nil"/>
          <w:right w:val="nil"/>
          <w:between w:val="nil"/>
        </w:pBdr>
        <w:shd w:val="clear" w:color="auto" w:fill="FFFFFF"/>
        <w:spacing w:before="135" w:after="135" w:line="240" w:lineRule="auto"/>
        <w:ind w:left="0" w:hanging="2"/>
        <w:rPr>
          <w:rFonts w:ascii="Calibri" w:eastAsia="Calibri" w:hAnsi="Calibri" w:cs="Calibri"/>
          <w:color w:val="445555"/>
          <w:sz w:val="22"/>
          <w:szCs w:val="22"/>
        </w:rPr>
      </w:pPr>
      <w:r>
        <w:rPr>
          <w:vertAlign w:val="superscript"/>
        </w:rPr>
        <w:footnoteRef/>
      </w:r>
      <w:r>
        <w:rPr>
          <w:color w:val="000000"/>
        </w:rPr>
        <w:t xml:space="preserve"> </w:t>
      </w:r>
      <w:r>
        <w:rPr>
          <w:rFonts w:ascii="Calibri" w:eastAsia="Calibri" w:hAnsi="Calibri" w:cs="Calibri"/>
          <w:color w:val="445555"/>
          <w:sz w:val="22"/>
          <w:szCs w:val="22"/>
          <w:highlight w:val="white"/>
        </w:rPr>
        <w:t xml:space="preserve">“La </w:t>
      </w:r>
      <w:proofErr w:type="spellStart"/>
      <w:r>
        <w:rPr>
          <w:rFonts w:ascii="Calibri" w:eastAsia="Calibri" w:hAnsi="Calibri" w:cs="Calibri"/>
          <w:color w:val="445555"/>
          <w:sz w:val="22"/>
          <w:szCs w:val="22"/>
          <w:highlight w:val="white"/>
        </w:rPr>
        <w:t>zoociedad</w:t>
      </w:r>
      <w:proofErr w:type="spellEnd"/>
      <w:r>
        <w:rPr>
          <w:rFonts w:ascii="Calibri" w:eastAsia="Calibri" w:hAnsi="Calibri" w:cs="Calibri"/>
          <w:color w:val="445555"/>
          <w:sz w:val="22"/>
          <w:szCs w:val="22"/>
          <w:highlight w:val="white"/>
        </w:rPr>
        <w:t xml:space="preserve"> antioqueña en los siglos XVIII y XIX”, Juan Carlos Jurado, </w:t>
      </w:r>
      <w:hyperlink r:id="rId1">
        <w:r>
          <w:rPr>
            <w:rFonts w:ascii="Calibri" w:eastAsia="Calibri" w:hAnsi="Calibri" w:cs="Calibri"/>
            <w:color w:val="0000FF"/>
            <w:sz w:val="22"/>
            <w:szCs w:val="22"/>
            <w:highlight w:val="white"/>
            <w:u w:val="single"/>
          </w:rPr>
          <w:t>http://www.lablaa.org/blaavirtual/revistas/credencial/enero1998/9703.htm</w:t>
        </w:r>
      </w:hyperlink>
      <w:r>
        <w:rPr>
          <w:rFonts w:ascii="Calibri" w:eastAsia="Calibri" w:hAnsi="Calibri" w:cs="Calibri"/>
          <w:color w:val="445555"/>
          <w:sz w:val="22"/>
          <w:szCs w:val="22"/>
          <w:highlight w:val="white"/>
        </w:rPr>
        <w:t xml:space="preserve"> citando en </w:t>
      </w:r>
      <w:hyperlink r:id="rId2">
        <w:r>
          <w:rPr>
            <w:rFonts w:ascii="Calibri" w:eastAsia="Calibri" w:hAnsi="Calibri" w:cs="Calibri"/>
            <w:color w:val="0000FF"/>
            <w:sz w:val="22"/>
            <w:szCs w:val="22"/>
            <w:u w:val="single"/>
          </w:rPr>
          <w:t>https://www.monografias.com/trabajos81/caballo-y-sociedad-colombiana-del-siglo-xix/caballo-y-sociedad-colombiana-del-siglo-xix2.shtml</w:t>
        </w:r>
      </w:hyperlink>
    </w:p>
    <w:p w:rsidR="00BE0BB0" w:rsidRDefault="00BE0BB0">
      <w:pPr>
        <w:pBdr>
          <w:top w:val="nil"/>
          <w:left w:val="nil"/>
          <w:bottom w:val="nil"/>
          <w:right w:val="nil"/>
          <w:between w:val="nil"/>
        </w:pBdr>
        <w:spacing w:line="240" w:lineRule="auto"/>
        <w:ind w:left="0" w:hanging="2"/>
        <w:rPr>
          <w:color w:val="000000"/>
          <w:sz w:val="20"/>
          <w:szCs w:val="20"/>
        </w:rPr>
      </w:pPr>
    </w:p>
  </w:footnote>
  <w:footnote w:id="12">
    <w:p w:rsidR="00BE0BB0" w:rsidRDefault="008B31B7">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En se mismo año, según FEDEQUINAS, solo la industria del caballo criollo </w:t>
      </w:r>
      <w:proofErr w:type="spellStart"/>
      <w:r>
        <w:rPr>
          <w:color w:val="000000"/>
          <w:sz w:val="20"/>
          <w:szCs w:val="20"/>
        </w:rPr>
        <w:t>moció</w:t>
      </w:r>
      <w:proofErr w:type="spellEnd"/>
      <w:r>
        <w:rPr>
          <w:color w:val="000000"/>
          <w:sz w:val="20"/>
          <w:szCs w:val="20"/>
        </w:rPr>
        <w:t xml:space="preserve"> $5.4 billones de pesos. </w:t>
      </w:r>
      <w:hyperlink r:id="rId3">
        <w:r>
          <w:rPr>
            <w:color w:val="0000FF"/>
            <w:sz w:val="20"/>
            <w:szCs w:val="20"/>
            <w:u w:val="single"/>
          </w:rPr>
          <w:t>https://www.elespectador.com/especiales/colombia-tierra-de-caballos-por-excelencia-articulo-906375/</w:t>
        </w:r>
      </w:hyperlink>
    </w:p>
  </w:footnote>
  <w:footnote w:id="13">
    <w:p w:rsidR="00BE0BB0" w:rsidRDefault="008B31B7">
      <w:pPr>
        <w:pBdr>
          <w:top w:val="nil"/>
          <w:left w:val="nil"/>
          <w:bottom w:val="nil"/>
          <w:right w:val="nil"/>
          <w:between w:val="nil"/>
        </w:pBdr>
        <w:spacing w:line="240" w:lineRule="auto"/>
        <w:ind w:left="0" w:hanging="2"/>
        <w:jc w:val="both"/>
        <w:rPr>
          <w:color w:val="000000"/>
          <w:sz w:val="20"/>
          <w:szCs w:val="20"/>
        </w:rPr>
      </w:pPr>
      <w:r>
        <w:rPr>
          <w:vertAlign w:val="superscript"/>
        </w:rPr>
        <w:footnoteRef/>
      </w:r>
      <w:r>
        <w:rPr>
          <w:color w:val="000000"/>
          <w:sz w:val="20"/>
          <w:szCs w:val="20"/>
        </w:rPr>
        <w:t xml:space="preserve"> Acuerdo de Competitividad de la Cadena </w:t>
      </w:r>
      <w:proofErr w:type="spellStart"/>
      <w:r>
        <w:rPr>
          <w:color w:val="000000"/>
          <w:sz w:val="20"/>
          <w:szCs w:val="20"/>
        </w:rPr>
        <w:t>Euina</w:t>
      </w:r>
      <w:proofErr w:type="spellEnd"/>
      <w:r>
        <w:rPr>
          <w:color w:val="000000"/>
          <w:sz w:val="20"/>
          <w:szCs w:val="20"/>
        </w:rPr>
        <w:t xml:space="preserve">, Asnal y Mular de 2014, página 8. Consultado en </w:t>
      </w:r>
      <w:hyperlink r:id="rId4">
        <w:r>
          <w:rPr>
            <w:color w:val="0000FF"/>
            <w:sz w:val="20"/>
            <w:szCs w:val="20"/>
            <w:u w:val="single"/>
          </w:rPr>
          <w:t>https://sioc.minagricultura.gov.co/Equino/Normatividad/Acuerdo%20de%20Competitividad%20de%20la%20Cadena%20Equina,%20Asnal%20y%20Mular.pdf</w:t>
        </w:r>
      </w:hyperlink>
    </w:p>
    <w:p w:rsidR="00BE0BB0" w:rsidRDefault="00BE0BB0">
      <w:pPr>
        <w:pBdr>
          <w:top w:val="nil"/>
          <w:left w:val="nil"/>
          <w:bottom w:val="nil"/>
          <w:right w:val="nil"/>
          <w:between w:val="nil"/>
        </w:pBdr>
        <w:spacing w:line="240" w:lineRule="auto"/>
        <w:ind w:left="0" w:hanging="2"/>
        <w:rPr>
          <w:color w:val="000000"/>
          <w:sz w:val="20"/>
          <w:szCs w:val="20"/>
        </w:rPr>
      </w:pPr>
    </w:p>
  </w:footnote>
  <w:footnote w:id="14">
    <w:p w:rsidR="00BE0BB0" w:rsidRDefault="008B31B7">
      <w:pPr>
        <w:pBdr>
          <w:top w:val="nil"/>
          <w:left w:val="nil"/>
          <w:bottom w:val="nil"/>
          <w:right w:val="nil"/>
          <w:between w:val="nil"/>
        </w:pBdr>
        <w:spacing w:line="240" w:lineRule="auto"/>
        <w:ind w:left="0" w:hanging="2"/>
        <w:jc w:val="both"/>
        <w:rPr>
          <w:color w:val="000000"/>
          <w:sz w:val="20"/>
          <w:szCs w:val="20"/>
        </w:rPr>
      </w:pPr>
      <w:r>
        <w:rPr>
          <w:vertAlign w:val="superscript"/>
        </w:rPr>
        <w:footnoteRef/>
      </w:r>
      <w:r>
        <w:rPr>
          <w:color w:val="000000"/>
          <w:sz w:val="20"/>
          <w:szCs w:val="20"/>
        </w:rPr>
        <w:t xml:space="preserve"> Consulta </w:t>
      </w:r>
      <w:hyperlink r:id="rId5">
        <w:r>
          <w:rPr>
            <w:color w:val="0000FF"/>
            <w:sz w:val="20"/>
            <w:szCs w:val="20"/>
            <w:u w:val="single"/>
          </w:rPr>
          <w:t>https://sioc.minagricultura.gov.co/Equino/Documentos/2019-03-30%20Cifras%20Sectoriales.pdf</w:t>
        </w:r>
      </w:hyperlink>
    </w:p>
  </w:footnote>
  <w:footnote w:id="15">
    <w:p w:rsidR="00BE0BB0" w:rsidRDefault="008B31B7">
      <w:pPr>
        <w:pBdr>
          <w:top w:val="nil"/>
          <w:left w:val="nil"/>
          <w:bottom w:val="nil"/>
          <w:right w:val="nil"/>
          <w:between w:val="nil"/>
        </w:pBdr>
        <w:spacing w:line="240" w:lineRule="auto"/>
        <w:ind w:left="0" w:hanging="2"/>
        <w:jc w:val="both"/>
        <w:rPr>
          <w:color w:val="000000"/>
          <w:sz w:val="20"/>
          <w:szCs w:val="20"/>
        </w:rPr>
      </w:pPr>
      <w:r>
        <w:rPr>
          <w:vertAlign w:val="superscript"/>
        </w:rPr>
        <w:footnoteRef/>
      </w:r>
      <w:r>
        <w:rPr>
          <w:color w:val="000000"/>
          <w:sz w:val="20"/>
          <w:szCs w:val="20"/>
        </w:rPr>
        <w:t xml:space="preserve"> Convenio de Asociación suscrito entre el Ministerio de Agricultura y Desarrollo Rural y DEFEQUINAS. </w:t>
      </w:r>
    </w:p>
  </w:footnote>
  <w:footnote w:id="16">
    <w:p w:rsidR="00BE0BB0" w:rsidRDefault="008B31B7">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w:t>
      </w:r>
      <w:hyperlink r:id="rId6">
        <w:r>
          <w:rPr>
            <w:color w:val="0000FF"/>
            <w:sz w:val="20"/>
            <w:szCs w:val="20"/>
            <w:u w:val="single"/>
          </w:rPr>
          <w:t>https://www.minagricultura.gov.co/noticias/Paginas/Caballo-de-Paso-Fino-Colombiano-est%C3%A1-incluido-como-una-raza-aut%C3%B3ctona-y-trasfronteriza.aspx</w:t>
        </w:r>
      </w:hyperlink>
    </w:p>
  </w:footnote>
  <w:footnote w:id="17">
    <w:p w:rsidR="00BE0BB0" w:rsidRDefault="008B31B7">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w:t>
      </w:r>
      <w:hyperlink r:id="rId7">
        <w:r>
          <w:rPr>
            <w:color w:val="0000FF"/>
            <w:sz w:val="20"/>
            <w:szCs w:val="20"/>
            <w:u w:val="single"/>
          </w:rPr>
          <w:t>https://www.portafolio.co/negocios/cual-es-el-aporte-de-los-equinos-al-progreso-economico-colombiano-520174</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BB0" w:rsidRDefault="00BE0BB0">
    <w:pPr>
      <w:widowControl w:val="0"/>
      <w:pBdr>
        <w:top w:val="nil"/>
        <w:left w:val="nil"/>
        <w:bottom w:val="nil"/>
        <w:right w:val="nil"/>
        <w:between w:val="nil"/>
      </w:pBdr>
      <w:spacing w:line="276" w:lineRule="auto"/>
      <w:ind w:left="0" w:hanging="2"/>
      <w:rPr>
        <w:color w:val="000000"/>
        <w:sz w:val="20"/>
        <w:szCs w:val="20"/>
      </w:rPr>
    </w:pPr>
  </w:p>
  <w:tbl>
    <w:tblPr>
      <w:tblStyle w:val="a3"/>
      <w:tblW w:w="10286" w:type="dxa"/>
      <w:tblInd w:w="0" w:type="dxa"/>
      <w:tblLayout w:type="fixed"/>
      <w:tblLook w:val="0000" w:firstRow="0" w:lastRow="0" w:firstColumn="0" w:lastColumn="0" w:noHBand="0" w:noVBand="0"/>
    </w:tblPr>
    <w:tblGrid>
      <w:gridCol w:w="3795"/>
      <w:gridCol w:w="2885"/>
      <w:gridCol w:w="3606"/>
    </w:tblGrid>
    <w:tr w:rsidR="00BE0BB0">
      <w:trPr>
        <w:trHeight w:val="284"/>
      </w:trPr>
      <w:tc>
        <w:tcPr>
          <w:tcW w:w="3795" w:type="dxa"/>
        </w:tcPr>
        <w:p w:rsidR="00BE0BB0" w:rsidRDefault="00BE0BB0">
          <w:pPr>
            <w:ind w:left="0" w:hanging="2"/>
          </w:pPr>
        </w:p>
      </w:tc>
      <w:tc>
        <w:tcPr>
          <w:tcW w:w="2885" w:type="dxa"/>
        </w:tcPr>
        <w:p w:rsidR="00BE0BB0" w:rsidRDefault="00BE0BB0">
          <w:pPr>
            <w:ind w:left="0" w:hanging="2"/>
            <w:jc w:val="center"/>
          </w:pPr>
        </w:p>
      </w:tc>
      <w:tc>
        <w:tcPr>
          <w:tcW w:w="3606" w:type="dxa"/>
        </w:tcPr>
        <w:p w:rsidR="00BE0BB0" w:rsidRDefault="00BE0BB0">
          <w:pPr>
            <w:pBdr>
              <w:top w:val="nil"/>
              <w:left w:val="nil"/>
              <w:bottom w:val="nil"/>
              <w:right w:val="nil"/>
              <w:between w:val="nil"/>
            </w:pBdr>
            <w:tabs>
              <w:tab w:val="center" w:pos="4252"/>
              <w:tab w:val="right" w:pos="8504"/>
            </w:tabs>
            <w:spacing w:line="240" w:lineRule="auto"/>
            <w:ind w:left="0" w:hanging="2"/>
            <w:rPr>
              <w:rFonts w:ascii="Arial Narrow" w:eastAsia="Arial Narrow" w:hAnsi="Arial Narrow" w:cs="Arial Narrow"/>
              <w:color w:val="000000"/>
              <w:sz w:val="20"/>
              <w:szCs w:val="20"/>
            </w:rPr>
          </w:pPr>
        </w:p>
      </w:tc>
    </w:tr>
  </w:tbl>
  <w:p w:rsidR="00BE0BB0" w:rsidRDefault="008B31B7">
    <w:pPr>
      <w:pBdr>
        <w:top w:val="nil"/>
        <w:left w:val="nil"/>
        <w:bottom w:val="nil"/>
        <w:right w:val="nil"/>
        <w:between w:val="nil"/>
      </w:pBdr>
      <w:tabs>
        <w:tab w:val="center" w:pos="4252"/>
        <w:tab w:val="right" w:pos="8504"/>
      </w:tabs>
      <w:spacing w:line="240" w:lineRule="auto"/>
      <w:ind w:left="0" w:hanging="2"/>
      <w:rPr>
        <w:color w:val="000000"/>
      </w:rPr>
    </w:pPr>
    <w:r>
      <w:rPr>
        <w:noProof/>
        <w:color w:val="000000"/>
        <w:lang w:val="es-CO" w:eastAsia="es-CO"/>
      </w:rPr>
      <w:drawing>
        <wp:inline distT="0" distB="0" distL="114300" distR="114300">
          <wp:extent cx="1247140" cy="762635"/>
          <wp:effectExtent l="0" t="0" r="0" b="0"/>
          <wp:docPr id="1040" name="image10.jpg" descr="Descripción: PPP"/>
          <wp:cNvGraphicFramePr/>
          <a:graphic xmlns:a="http://schemas.openxmlformats.org/drawingml/2006/main">
            <a:graphicData uri="http://schemas.openxmlformats.org/drawingml/2006/picture">
              <pic:pic xmlns:pic="http://schemas.openxmlformats.org/drawingml/2006/picture">
                <pic:nvPicPr>
                  <pic:cNvPr id="0" name="image10.jpg" descr="Descripción: PPP"/>
                  <pic:cNvPicPr preferRelativeResize="0"/>
                </pic:nvPicPr>
                <pic:blipFill>
                  <a:blip r:embed="rId1"/>
                  <a:srcRect/>
                  <a:stretch>
                    <a:fillRect/>
                  </a:stretch>
                </pic:blipFill>
                <pic:spPr>
                  <a:xfrm>
                    <a:off x="0" y="0"/>
                    <a:ext cx="1247140" cy="762635"/>
                  </a:xfrm>
                  <a:prstGeom prst="rect">
                    <a:avLst/>
                  </a:prstGeom>
                  <a:ln/>
                </pic:spPr>
              </pic:pic>
            </a:graphicData>
          </a:graphic>
        </wp:inline>
      </w:drawing>
    </w:r>
    <w:r>
      <w:rPr>
        <w:color w:val="000000"/>
      </w:rPr>
      <w:tab/>
    </w:r>
    <w:r>
      <w:rPr>
        <w:noProof/>
        <w:lang w:val="es-CO" w:eastAsia="es-CO"/>
      </w:rPr>
      <w:drawing>
        <wp:anchor distT="0" distB="0" distL="114300" distR="114300" simplePos="0" relativeHeight="251658240" behindDoc="0" locked="0" layoutInCell="1" hidden="0" allowOverlap="1">
          <wp:simplePos x="0" y="0"/>
          <wp:positionH relativeFrom="column">
            <wp:posOffset>3429000</wp:posOffset>
          </wp:positionH>
          <wp:positionV relativeFrom="paragraph">
            <wp:posOffset>104140</wp:posOffset>
          </wp:positionV>
          <wp:extent cx="2057400" cy="614680"/>
          <wp:effectExtent l="0" t="0" r="0" b="0"/>
          <wp:wrapSquare wrapText="bothSides" distT="0" distB="0" distL="114300" distR="114300"/>
          <wp:docPr id="104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
                  <a:srcRect/>
                  <a:stretch>
                    <a:fillRect/>
                  </a:stretch>
                </pic:blipFill>
                <pic:spPr>
                  <a:xfrm>
                    <a:off x="0" y="0"/>
                    <a:ext cx="2057400" cy="614680"/>
                  </a:xfrm>
                  <a:prstGeom prst="rect">
                    <a:avLst/>
                  </a:prstGeom>
                  <a:ln/>
                </pic:spPr>
              </pic:pic>
            </a:graphicData>
          </a:graphic>
        </wp:anchor>
      </w:drawing>
    </w:r>
  </w:p>
  <w:p w:rsidR="00BE0BB0" w:rsidRDefault="00BE0BB0">
    <w:pPr>
      <w:pBdr>
        <w:top w:val="nil"/>
        <w:left w:val="nil"/>
        <w:bottom w:val="nil"/>
        <w:right w:val="nil"/>
        <w:between w:val="nil"/>
      </w:pBdr>
      <w:tabs>
        <w:tab w:val="center" w:pos="4252"/>
        <w:tab w:val="right" w:pos="8504"/>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B4DC1"/>
    <w:multiLevelType w:val="multilevel"/>
    <w:tmpl w:val="3B627D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34E486C"/>
    <w:multiLevelType w:val="multilevel"/>
    <w:tmpl w:val="4A96E3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BBC07F6"/>
    <w:multiLevelType w:val="multilevel"/>
    <w:tmpl w:val="0BF29644"/>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F1845B1"/>
    <w:multiLevelType w:val="multilevel"/>
    <w:tmpl w:val="9DECE90A"/>
    <w:lvl w:ilvl="0">
      <w:start w:val="1"/>
      <w:numFmt w:val="upperRoman"/>
      <w:lvlText w:val="%1."/>
      <w:lvlJc w:val="left"/>
      <w:pPr>
        <w:ind w:left="1080" w:hanging="720"/>
      </w:pPr>
      <w:rPr>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B0"/>
    <w:rsid w:val="000418D4"/>
    <w:rsid w:val="008B31B7"/>
    <w:rsid w:val="00A04770"/>
    <w:rsid w:val="00A0635D"/>
    <w:rsid w:val="00BE0B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FF989A4"/>
  <w15:docId w15:val="{6770D2B6-36C6-4107-89C7-1BC512E3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pPr>
      <w:keepNext/>
    </w:pPr>
    <w:rPr>
      <w:b/>
      <w:bCs/>
    </w:rPr>
  </w:style>
  <w:style w:type="paragraph" w:styleId="Ttulo2">
    <w:name w:val="heading 2"/>
    <w:basedOn w:val="Normal"/>
    <w:next w:val="Normal"/>
    <w:pPr>
      <w:keepNext/>
      <w:jc w:val="both"/>
      <w:outlineLvl w:val="1"/>
    </w:pPr>
    <w:rPr>
      <w:b/>
      <w:bCs/>
    </w:rPr>
  </w:style>
  <w:style w:type="paragraph" w:styleId="Ttulo3">
    <w:name w:val="heading 3"/>
    <w:basedOn w:val="Normal"/>
    <w:next w:val="Normal"/>
    <w:pPr>
      <w:keepNext/>
      <w:jc w:val="center"/>
      <w:outlineLvl w:val="2"/>
    </w:pPr>
    <w:rPr>
      <w:b/>
      <w:bCs/>
      <w:lang w:val="es-CO"/>
    </w:rPr>
  </w:style>
  <w:style w:type="paragraph" w:styleId="Ttulo4">
    <w:name w:val="heading 4"/>
    <w:basedOn w:val="Normal"/>
    <w:next w:val="Normal"/>
    <w:pPr>
      <w:keepNext/>
      <w:ind w:left="360"/>
      <w:jc w:val="both"/>
      <w:outlineLvl w:val="3"/>
    </w:pPr>
    <w:rPr>
      <w:b/>
      <w:bCs/>
      <w:lang w:val="es-CO"/>
    </w:rPr>
  </w:style>
  <w:style w:type="paragraph" w:styleId="Ttulo5">
    <w:name w:val="heading 5"/>
    <w:basedOn w:val="Normal"/>
    <w:next w:val="Normal"/>
    <w:pPr>
      <w:keepNext/>
      <w:outlineLvl w:val="4"/>
    </w:pPr>
    <w:rPr>
      <w:rFonts w:ascii="Verdana" w:hAnsi="Verdana"/>
      <w:b/>
      <w:bCs/>
      <w:lang w:val="es-CO"/>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pPr>
      <w:jc w:val="both"/>
    </w:pPr>
  </w:style>
  <w:style w:type="character" w:customStyle="1" w:styleId="CarCar">
    <w:name w:val="Car Car"/>
    <w:rPr>
      <w:w w:val="100"/>
      <w:position w:val="-1"/>
      <w:sz w:val="24"/>
      <w:szCs w:val="24"/>
      <w:effect w:val="none"/>
      <w:vertAlign w:val="baseline"/>
      <w:cs w:val="0"/>
      <w:em w:val="none"/>
    </w:rPr>
  </w:style>
  <w:style w:type="paragraph" w:styleId="Textodeglobo">
    <w:name w:val="Balloon Text"/>
    <w:basedOn w:val="Normal"/>
    <w:qFormat/>
    <w:rPr>
      <w:rFonts w:ascii="Tahoma" w:hAnsi="Tahoma"/>
      <w:sz w:val="16"/>
      <w:szCs w:val="16"/>
    </w:rPr>
  </w:style>
  <w:style w:type="character" w:styleId="Hipervnculo">
    <w:name w:val="Hyperlink"/>
    <w:rPr>
      <w:color w:val="0000FF"/>
      <w:w w:val="100"/>
      <w:position w:val="-1"/>
      <w:u w:val="single"/>
      <w:effect w:val="none"/>
      <w:vertAlign w:val="baseline"/>
      <w:cs w:val="0"/>
      <w:em w:val="none"/>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paragraph" w:customStyle="1" w:styleId="PrrafodelistaListtitulo3BulletsFluvial1HaCuadrculaclara-nfasis31NormalVietasHOJABolitaPrrafodelista4BOLADEFPrrafodelista3Prrafodelista21BOLANivel1OSListamulticolor-nfasis11Cuadrculamedia1-nfasis21L">
    <w:name w:val="Párrafo de lista;List;titulo 3;Bullets;Fluvial1;Ha;Cuadrícula clara - Énfasis 31;Normal. Viñetas;HOJA;Bolita;Párrafo de lista4;BOLADEF;Párrafo de lista3;Párrafo de lista21;BOLA;Nivel 1 OS;Lista multicolor - Énfasis 11;Cuadrícula media 1 - Énfasis 21;L"/>
    <w:basedOn w:val="Normal"/>
    <w:pPr>
      <w:ind w:left="708"/>
    </w:p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rPr>
      <w:b/>
      <w:bCs/>
      <w:w w:val="100"/>
      <w:position w:val="-1"/>
      <w:effect w:val="none"/>
      <w:vertAlign w:val="baseline"/>
      <w:cs w:val="0"/>
      <w:em w:val="none"/>
    </w:rPr>
  </w:style>
  <w:style w:type="paragraph" w:styleId="NormalWeb">
    <w:name w:val="Normal (Web)"/>
    <w:basedOn w:val="Normal"/>
    <w:qFormat/>
    <w:pPr>
      <w:spacing w:before="120" w:after="120"/>
    </w:pPr>
  </w:style>
  <w:style w:type="paragraph" w:styleId="Sinespaciado">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TextoindependienteCar">
    <w:name w:val="Texto independiente Car"/>
    <w:rPr>
      <w:w w:val="100"/>
      <w:position w:val="-1"/>
      <w:sz w:val="24"/>
      <w:szCs w:val="24"/>
      <w:effect w:val="none"/>
      <w:vertAlign w:val="baseline"/>
      <w:cs w:val="0"/>
      <w:em w:val="none"/>
    </w:rPr>
  </w:style>
  <w:style w:type="character" w:customStyle="1" w:styleId="EncabezadoCar">
    <w:name w:val="Encabezado Car"/>
    <w:rPr>
      <w:w w:val="100"/>
      <w:position w:val="-1"/>
      <w:sz w:val="24"/>
      <w:szCs w:val="24"/>
      <w:effect w:val="none"/>
      <w:vertAlign w:val="baseline"/>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basedOn w:val="Fuentedeprrafopredeter"/>
    <w:rPr>
      <w:w w:val="100"/>
      <w:position w:val="-1"/>
      <w:effect w:val="none"/>
      <w:vertAlign w:val="baseline"/>
      <w:cs w:val="0"/>
      <w:em w:val="none"/>
    </w:rPr>
  </w:style>
  <w:style w:type="paragraph" w:customStyle="1" w:styleId="CM3">
    <w:name w:val="CM3"/>
    <w:basedOn w:val="Normal"/>
    <w:next w:val="Normal"/>
    <w:pPr>
      <w:widowControl w:val="0"/>
      <w:autoSpaceDE w:val="0"/>
      <w:autoSpaceDN w:val="0"/>
      <w:adjustRightInd w:val="0"/>
      <w:spacing w:after="253"/>
    </w:pPr>
    <w:rPr>
      <w:rFonts w:ascii="Arial" w:hAnsi="Arial" w:cs="Arial"/>
    </w:rPr>
  </w:style>
  <w:style w:type="table" w:customStyle="1" w:styleId="Tablaconcuadrcula1">
    <w:name w:val="Tabla con cuadrícula1"/>
    <w:basedOn w:val="Tablanormal"/>
    <w:next w:val="Tablaconcuadrcul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pPr>
      <w:suppressAutoHyphens/>
      <w:spacing w:line="1" w:lineRule="atLeast"/>
      <w:ind w:leftChars="-1" w:left="-1" w:hangingChars="1" w:hanging="1"/>
      <w:textDirection w:val="btLr"/>
      <w:textAlignment w:val="top"/>
      <w:outlineLvl w:val="0"/>
    </w:pPr>
    <w:rPr>
      <w:rFonts w:ascii="Helvetica" w:eastAsia="Arial Unicode MS" w:hAnsi="Arial Unicode MS" w:cs="Arial Unicode MS"/>
      <w:color w:val="000000"/>
      <w:position w:val="-1"/>
      <w:sz w:val="22"/>
      <w:szCs w:val="22"/>
      <w:lang w:val="en-US" w:eastAsia="es-ES"/>
    </w:rPr>
  </w:style>
  <w:style w:type="numbering" w:customStyle="1" w:styleId="Nmero">
    <w:name w:val="Número"/>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mbria" w:eastAsia="Calibri" w:hAnsi="Cambria" w:cs="Cambria"/>
      <w:color w:val="000000"/>
      <w:position w:val="-1"/>
      <w:lang w:val="es-CO" w:eastAsia="en-US"/>
    </w:rPr>
  </w:style>
  <w:style w:type="paragraph" w:customStyle="1" w:styleId="yiv8708592344msonormal">
    <w:name w:val="yiv8708592344msonormal"/>
    <w:basedOn w:val="Normal"/>
    <w:pPr>
      <w:spacing w:before="100" w:beforeAutospacing="1" w:after="100" w:afterAutospacing="1"/>
    </w:pPr>
  </w:style>
  <w:style w:type="paragraph" w:customStyle="1" w:styleId="yiv3202622558msonormal">
    <w:name w:val="yiv3202622558msonormal"/>
    <w:basedOn w:val="Normal"/>
    <w:pPr>
      <w:spacing w:before="100" w:beforeAutospacing="1" w:after="100" w:afterAutospacing="1"/>
    </w:pPr>
  </w:style>
  <w:style w:type="paragraph" w:customStyle="1" w:styleId="yiv3988443227msonormal">
    <w:name w:val="yiv3988443227msonormal"/>
    <w:basedOn w:val="Normal"/>
    <w:pPr>
      <w:spacing w:before="100" w:beforeAutospacing="1" w:after="100" w:afterAutospacing="1"/>
    </w:pPr>
  </w:style>
  <w:style w:type="paragraph" w:customStyle="1" w:styleId="yiv4351845963ecxmsonormal">
    <w:name w:val="yiv4351845963ecxmsonormal"/>
    <w:basedOn w:val="Normal"/>
    <w:pPr>
      <w:spacing w:before="100" w:beforeAutospacing="1" w:after="100" w:afterAutospacing="1"/>
    </w:pPr>
  </w:style>
  <w:style w:type="paragraph" w:customStyle="1" w:styleId="yiv7983762785msonormal">
    <w:name w:val="yiv7983762785msonormal"/>
    <w:basedOn w:val="Normal"/>
    <w:pPr>
      <w:spacing w:before="100" w:beforeAutospacing="1" w:after="100" w:afterAutospacing="1"/>
    </w:pPr>
  </w:style>
  <w:style w:type="character" w:customStyle="1" w:styleId="RefdenotaalpieTextodenotaalpieRefdenotaalpieRef1referencianotaalpieFootnotesrefssAppelnotedebasdepageFootnotenumberBVIfnrfRefdenotaalpie2FagoFunotenzeichenNotadepieTextonotaalpief1Notaapie4G16Poi">
    <w:name w:val="Ref. de nota al pie;Texto de nota al pie;Ref;de nota al pie;Ref1;referencia nota al pie;Footnotes refss;Appel note de bas de page;Footnote number;BVI fnr;f;Ref. de nota al pie 2;Fago Fußnotenzeichen;Nota de pie;Texto nota al pie;f1;Nota a pie;4_G;16 Poi"/>
    <w:qFormat/>
    <w:rPr>
      <w:w w:val="100"/>
      <w:position w:val="-1"/>
      <w:effect w:val="none"/>
      <w:vertAlign w:val="superscript"/>
      <w:cs w:val="0"/>
      <w:em w:val="none"/>
    </w:rPr>
  </w:style>
  <w:style w:type="paragraph" w:customStyle="1" w:styleId="TextonotapieFootnoteTextCharFootnoteTextCharCharCharCharFootnoteTextCharCharCharCharCharCharCharCharFootnoteTextCharCharCharCharCharChar1FootnoteTextCharCharCharCharCharCharChar1FootnotereferencRefdenotaalpi">
    <w:name w:val="Texto nota pie;Footnote Text Char;Footnote Text Char Char Char Char;Footnote Text Char Char Char Char Char Char Char Char;Footnote Text Char Char Char Char Char Char1;Footnote Text Char Char Char Char Char Char Char1;Footnote referenc;Ref. de nota al pi"/>
    <w:basedOn w:val="Normal"/>
    <w:pPr>
      <w:overflowPunct w:val="0"/>
      <w:autoSpaceDE w:val="0"/>
      <w:autoSpaceDN w:val="0"/>
      <w:adjustRightInd w:val="0"/>
      <w:textAlignment w:val="baseline"/>
    </w:pPr>
    <w:rPr>
      <w:sz w:val="20"/>
      <w:szCs w:val="20"/>
      <w:lang w:val="es-CO"/>
    </w:rPr>
  </w:style>
  <w:style w:type="character" w:customStyle="1" w:styleId="TextonotapieCarFootnoteTextCharCarFootnoteTextCharCharCharCharCarFootnoteTextCharCharCharCharCharCharCharCharCarFootnoteTextCharCharCharCharCharChar1CarFootnoteTextCharCharCharCharCharCharChar1CarBVIfnrCar">
    <w:name w:val="Texto nota pie Car;Footnote Text Char Car;Footnote Text Char Char Char Char Car;Footnote Text Char Char Char Char Char Char Char Char Car;Footnote Text Char Char Char Char Char Char1 Car;Footnote Text Char Char Char Char Char Char Char1 Car;BVI fnr Car"/>
    <w:rPr>
      <w:w w:val="100"/>
      <w:position w:val="-1"/>
      <w:effect w:val="none"/>
      <w:vertAlign w:val="baseline"/>
      <w:cs w:val="0"/>
      <w:em w:val="none"/>
      <w:lang w:eastAsia="es-ES"/>
    </w:rPr>
  </w:style>
  <w:style w:type="character" w:customStyle="1" w:styleId="apple-converted-space">
    <w:name w:val="apple-converted-space"/>
    <w:rPr>
      <w:w w:val="100"/>
      <w:position w:val="-1"/>
      <w:effect w:val="none"/>
      <w:vertAlign w:val="baseline"/>
      <w:cs w:val="0"/>
      <w:em w:val="none"/>
    </w:rPr>
  </w:style>
  <w:style w:type="character" w:customStyle="1" w:styleId="PiedepginaCar">
    <w:name w:val="Pie de página Car"/>
    <w:rPr>
      <w:w w:val="100"/>
      <w:position w:val="-1"/>
      <w:sz w:val="24"/>
      <w:szCs w:val="24"/>
      <w:effect w:val="none"/>
      <w:vertAlign w:val="baseline"/>
      <w:cs w:val="0"/>
      <w:em w:val="none"/>
      <w:lang w:val="es-ES" w:eastAsia="es-ES"/>
    </w:rPr>
  </w:style>
  <w:style w:type="character" w:styleId="nfasis">
    <w:name w:val="Emphasis"/>
    <w:rPr>
      <w:i/>
      <w:iCs/>
      <w:w w:val="100"/>
      <w:position w:val="-1"/>
      <w:effect w:val="none"/>
      <w:vertAlign w:val="baseline"/>
      <w:cs w:val="0"/>
      <w:em w:val="none"/>
    </w:rPr>
  </w:style>
  <w:style w:type="paragraph" w:styleId="Sangradetextonormal">
    <w:name w:val="Body Text Indent"/>
    <w:basedOn w:val="Normal"/>
    <w:pPr>
      <w:spacing w:after="120"/>
      <w:ind w:left="283"/>
    </w:pPr>
    <w:rPr>
      <w:sz w:val="20"/>
      <w:szCs w:val="20"/>
    </w:rPr>
  </w:style>
  <w:style w:type="character" w:customStyle="1" w:styleId="SangradetextonormalCar">
    <w:name w:val="Sangría de texto normal Car"/>
    <w:rPr>
      <w:w w:val="100"/>
      <w:position w:val="-1"/>
      <w:effect w:val="none"/>
      <w:vertAlign w:val="baseline"/>
      <w:cs w:val="0"/>
      <w:em w:val="none"/>
      <w:lang w:val="es-ES" w:eastAsia="es-ES"/>
    </w:rPr>
  </w:style>
  <w:style w:type="character" w:customStyle="1" w:styleId="A4">
    <w:name w:val="A4"/>
    <w:rPr>
      <w:color w:val="221E1F"/>
      <w:w w:val="100"/>
      <w:position w:val="-1"/>
      <w:effect w:val="none"/>
      <w:vertAlign w:val="baseline"/>
      <w:cs w:val="0"/>
      <w:em w:val="none"/>
    </w:rPr>
  </w:style>
  <w:style w:type="paragraph" w:customStyle="1" w:styleId="CarCar1CarCarCarCarCarCarCarCarCarCar">
    <w:name w:val="Car Car1 Car Car Car Car Car Car Car Car Car Car"/>
    <w:basedOn w:val="Normal"/>
    <w:pPr>
      <w:spacing w:after="160" w:line="240" w:lineRule="atLeast"/>
    </w:pPr>
    <w:rPr>
      <w:noProof/>
      <w:color w:val="000000"/>
      <w:sz w:val="20"/>
      <w:szCs w:val="20"/>
    </w:rPr>
  </w:style>
  <w:style w:type="character" w:customStyle="1" w:styleId="TextonotapieCar1Refdenotaalpie1Car3referencianotaalpieCar2AppelnotedebasdepageCar2FCCarTextodenotaalpieCar1FootnotesrefssCar1FootnotenumberCar2BVIfnrCar2fCar2Refdenotaalpie2Car1NotadepieCar14GCar">
    <w:name w:val="Texto nota pie Car1;Ref. de nota al pie1 Car3;referencia nota al pie Car2;Appel note de bas de page Car2;FC Car;Texto de nota al pie Car1;Footnotes refss Car1;Footnote number Car2;BVI fnr Car2;f Car2;Ref. de nota al pie 2 Car1;Nota de pie Car1;4_G Car"/>
    <w:rPr>
      <w:rFonts w:ascii="Times New Roman" w:hAnsi="Times New Roman"/>
      <w:w w:val="100"/>
      <w:position w:val="-1"/>
      <w:sz w:val="20"/>
      <w:effect w:val="none"/>
      <w:vertAlign w:val="baseline"/>
      <w:cs w:val="0"/>
      <w:em w:val="none"/>
      <w:lang w:val="es-ES"/>
    </w:rPr>
  </w:style>
  <w:style w:type="character" w:customStyle="1" w:styleId="PrrafodelistaCarListCartitulo3CarBulletsCarFluvial1CarHaCarCuadrculaclara-nfasis31CarNormalVietasCarHOJACarBolitaCarPrrafodelista4CarBOLADEFCarPrrafodelista3CarPrrafodelista21CarBOLACarNivel1OSCar">
    <w:name w:val="Párrafo de lista Car;List Car;titulo 3 Car;Bullets Car;Fluvial1 Car;Ha Car;Cuadrícula clara - Énfasis 31 Car;Normal. Viñetas Car;HOJA Car;Bolita Car;Párrafo de lista4 Car;BOLADEF Car;Párrafo de lista3 Car;Párrafo de lista21 Car;BOLA Car;Nivel 1 OS Car"/>
    <w:rPr>
      <w:w w:val="100"/>
      <w:position w:val="-1"/>
      <w:sz w:val="24"/>
      <w:szCs w:val="24"/>
      <w:effect w:val="none"/>
      <w:vertAlign w:val="baseline"/>
      <w:cs w:val="0"/>
      <w:em w:val="none"/>
      <w:lang w:val="es-ES" w:eastAsia="es-ES"/>
    </w:rPr>
  </w:style>
  <w:style w:type="paragraph" w:customStyle="1" w:styleId="I1">
    <w:name w:val="I.1"/>
    <w:basedOn w:val="Normal"/>
    <w:pPr>
      <w:keepNext/>
      <w:tabs>
        <w:tab w:val="left" w:pos="567"/>
      </w:tabs>
      <w:autoSpaceDE w:val="0"/>
      <w:autoSpaceDN w:val="0"/>
      <w:adjustRightInd w:val="0"/>
      <w:spacing w:before="240" w:after="120"/>
      <w:ind w:left="567" w:hanging="567"/>
    </w:pPr>
    <w:rPr>
      <w:rFonts w:ascii="Arial" w:eastAsia="SimSun" w:hAnsi="Arial" w:cs="Arial"/>
      <w:sz w:val="22"/>
      <w:szCs w:val="22"/>
      <w:lang w:eastAsia="fr-FR"/>
    </w:rPr>
  </w:style>
  <w:style w:type="character" w:customStyle="1" w:styleId="ms-rtefontface-3">
    <w:name w:val="ms-rtefontface-3"/>
    <w:rPr>
      <w:w w:val="100"/>
      <w:position w:val="-1"/>
      <w:effect w:val="none"/>
      <w:vertAlign w:val="baseline"/>
      <w:cs w:val="0"/>
      <w:em w:val="none"/>
    </w:rPr>
  </w:style>
  <w:style w:type="paragraph" w:styleId="Descripcin">
    <w:name w:val="caption"/>
    <w:basedOn w:val="Normal"/>
    <w:next w:val="Normal"/>
    <w:qFormat/>
    <w:rPr>
      <w:b/>
      <w:bCs/>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11/grupo/grupo.s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elespectador.com/especiales/colombia-tierra-de-caballos-por-excelencia-articulo-906375/" TargetMode="External"/><Relationship Id="rId7" Type="http://schemas.openxmlformats.org/officeDocument/2006/relationships/hyperlink" Target="https://www.portafolio.co/negocios/cual-es-el-aporte-de-los-equinos-al-progreso-economico-colombiano-520174" TargetMode="External"/><Relationship Id="rId2" Type="http://schemas.openxmlformats.org/officeDocument/2006/relationships/hyperlink" Target="https://www.monografias.com/trabajos81/caballo-y-sociedad-colombiana-del-siglo-xix/caballo-y-sociedad-colombiana-del-siglo-xix2.shtml" TargetMode="External"/><Relationship Id="rId1" Type="http://schemas.openxmlformats.org/officeDocument/2006/relationships/hyperlink" Target="http://www.lablaa.org/blaavirtual/revistas/credencial/enero1998/9703.htm" TargetMode="External"/><Relationship Id="rId6" Type="http://schemas.openxmlformats.org/officeDocument/2006/relationships/hyperlink" Target="https://www.minagricultura.gov.co/noticias/Paginas/Caballo-de-Paso-Fino-Colombiano-est%C3%A1-incluido-como-una-raza-aut%C3%B3ctona-y-trasfronteriza.aspx" TargetMode="External"/><Relationship Id="rId5" Type="http://schemas.openxmlformats.org/officeDocument/2006/relationships/hyperlink" Target="https://sioc.minagricultura.gov.co/Equino/Documentos/2019-03-30%20Cifras%20Sectoriales.pdf" TargetMode="External"/><Relationship Id="rId4" Type="http://schemas.openxmlformats.org/officeDocument/2006/relationships/hyperlink" Target="https://sioc.minagricultura.gov.co/Equino/Normatividad/Acuerdo%20de%20Competitividad%20de%20la%20Cadena%20Equina,%20Asnal%20y%20Mular.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ehGYkfN97lQ5L0WJf0F7FWgNNA==">AMUW2mUdz0gr8NWUv/O3B7pw8lIxpQIiavuZBKHKI8A2KqPmOk1gNBffxfrnxb6Y/x7ANvX3v/0AYISqWlA1aNN6ydbT4okzxyVihxEIf52cp/Bgd3FJpklUGZ6Dm77gJ9MKyPwxSHGE7xlz2VU/1Ga+Waxl5mBc3Cwgx/sC9Wa70z7Utbz2xRJOlzPxVP2yfsV0O+nOxtqC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7493</Words>
  <Characters>41216</Characters>
  <Application>Microsoft Office Word</Application>
  <DocSecurity>0</DocSecurity>
  <Lines>343</Lines>
  <Paragraphs>97</Paragraphs>
  <ScaleCrop>false</ScaleCrop>
  <Company/>
  <LinksUpToDate>false</LinksUpToDate>
  <CharactersWithSpaces>48612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TEOMANJARRES</dc:creator>
  <cp:lastModifiedBy>jose david bernal utl juan fernando espinal</cp:lastModifiedBy>
  <cp:revision>3</cp:revision>
  <dcterms:created xsi:type="dcterms:W3CDTF">2018-12-12T01:03:00Z</dcterms:created>
  <dcterms:modified xsi:type="dcterms:W3CDTF">2021-07-21T19:46:00Z</dcterms:modified>
</cp:coreProperties>
</file>