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A17C9" w14:textId="7153145C" w:rsidR="00AA0E58" w:rsidRPr="00D95EB0" w:rsidRDefault="00AA0E58" w:rsidP="00933BC3">
      <w:pPr>
        <w:autoSpaceDE w:val="0"/>
        <w:autoSpaceDN w:val="0"/>
        <w:adjustRightInd w:val="0"/>
        <w:spacing w:after="0"/>
        <w:jc w:val="center"/>
        <w:rPr>
          <w:rFonts w:ascii="Tahoma" w:eastAsia="Calibri" w:hAnsi="Tahoma" w:cs="Tahoma"/>
          <w:b/>
          <w:bCs/>
        </w:rPr>
      </w:pPr>
      <w:r w:rsidRPr="00D95EB0">
        <w:rPr>
          <w:rFonts w:ascii="Tahoma" w:eastAsia="Calibri" w:hAnsi="Tahoma" w:cs="Tahoma"/>
          <w:b/>
          <w:bCs/>
        </w:rPr>
        <w:t>PROYECTO DE LEY         DE 20</w:t>
      </w:r>
      <w:r w:rsidR="00D95EB0" w:rsidRPr="00D95EB0">
        <w:rPr>
          <w:rFonts w:ascii="Tahoma" w:eastAsia="Calibri" w:hAnsi="Tahoma" w:cs="Tahoma"/>
          <w:b/>
          <w:bCs/>
        </w:rPr>
        <w:t>21</w:t>
      </w:r>
      <w:r w:rsidRPr="00D95EB0">
        <w:rPr>
          <w:rFonts w:ascii="Tahoma" w:eastAsia="Calibri" w:hAnsi="Tahoma" w:cs="Tahoma"/>
          <w:b/>
          <w:bCs/>
        </w:rPr>
        <w:t xml:space="preserve"> </w:t>
      </w:r>
      <w:r w:rsidR="00C40DC9" w:rsidRPr="00D95EB0">
        <w:rPr>
          <w:rFonts w:ascii="Tahoma" w:eastAsia="Calibri" w:hAnsi="Tahoma" w:cs="Tahoma"/>
          <w:b/>
          <w:bCs/>
        </w:rPr>
        <w:t>SENADO</w:t>
      </w:r>
    </w:p>
    <w:p w14:paraId="6F3F23AD" w14:textId="77777777" w:rsidR="00C40DC9" w:rsidRPr="00D95EB0" w:rsidRDefault="00C40DC9" w:rsidP="00A972F6">
      <w:pPr>
        <w:autoSpaceDE w:val="0"/>
        <w:autoSpaceDN w:val="0"/>
        <w:adjustRightInd w:val="0"/>
        <w:spacing w:after="0"/>
        <w:jc w:val="both"/>
        <w:rPr>
          <w:rFonts w:ascii="Tahoma" w:eastAsia="Calibri" w:hAnsi="Tahoma" w:cs="Tahoma"/>
          <w:bCs/>
        </w:rPr>
      </w:pPr>
    </w:p>
    <w:p w14:paraId="6448A3C0" w14:textId="77777777" w:rsidR="00AA0E58" w:rsidRPr="00D95EB0" w:rsidRDefault="00F47D97" w:rsidP="00A972F6">
      <w:pPr>
        <w:autoSpaceDE w:val="0"/>
        <w:autoSpaceDN w:val="0"/>
        <w:adjustRightInd w:val="0"/>
        <w:spacing w:after="0"/>
        <w:jc w:val="both"/>
        <w:rPr>
          <w:rFonts w:ascii="Tahoma" w:eastAsia="Calibri" w:hAnsi="Tahoma" w:cs="Tahoma"/>
          <w:bCs/>
        </w:rPr>
      </w:pPr>
      <w:r w:rsidRPr="00D95EB0">
        <w:rPr>
          <w:rFonts w:ascii="Tahoma" w:eastAsia="Garamond" w:hAnsi="Tahoma" w:cs="Tahoma"/>
          <w:b/>
        </w:rPr>
        <w:t>“</w:t>
      </w:r>
      <w:r w:rsidR="00AA0E58" w:rsidRPr="00D95EB0">
        <w:rPr>
          <w:rFonts w:ascii="Tahoma" w:eastAsia="Garamond" w:hAnsi="Tahoma" w:cs="Tahoma"/>
          <w:b/>
        </w:rPr>
        <w:t>POR MEDIO DE</w:t>
      </w:r>
      <w:r w:rsidR="00C40DC9" w:rsidRPr="00D95EB0">
        <w:rPr>
          <w:rFonts w:ascii="Tahoma" w:eastAsia="Garamond" w:hAnsi="Tahoma" w:cs="Tahoma"/>
          <w:b/>
        </w:rPr>
        <w:t xml:space="preserve"> </w:t>
      </w:r>
      <w:r w:rsidR="00AA0E58" w:rsidRPr="00D95EB0">
        <w:rPr>
          <w:rFonts w:ascii="Tahoma" w:eastAsia="Garamond" w:hAnsi="Tahoma" w:cs="Tahoma"/>
          <w:b/>
        </w:rPr>
        <w:t>L</w:t>
      </w:r>
      <w:r w:rsidR="00C40DC9" w:rsidRPr="00D95EB0">
        <w:rPr>
          <w:rFonts w:ascii="Tahoma" w:eastAsia="Garamond" w:hAnsi="Tahoma" w:cs="Tahoma"/>
          <w:b/>
        </w:rPr>
        <w:t>A</w:t>
      </w:r>
      <w:r w:rsidR="00AA0E58" w:rsidRPr="00D95EB0">
        <w:rPr>
          <w:rFonts w:ascii="Tahoma" w:eastAsia="Garamond" w:hAnsi="Tahoma" w:cs="Tahoma"/>
          <w:b/>
        </w:rPr>
        <w:t xml:space="preserve"> CUAL SE CREA EL FOMENTO DE SERVICIOS PARA LA PROTECCIÓN Y PROMOCIÓN DEL PATRIMONIO ARQUEOLÓGICO COLOMBIANO</w:t>
      </w:r>
      <w:r w:rsidRPr="00D95EB0">
        <w:rPr>
          <w:rFonts w:ascii="Tahoma" w:eastAsia="Garamond" w:hAnsi="Tahoma" w:cs="Tahoma"/>
          <w:b/>
        </w:rPr>
        <w:t>”</w:t>
      </w:r>
    </w:p>
    <w:p w14:paraId="51BED8FC" w14:textId="77777777" w:rsidR="00AA0E58" w:rsidRPr="00D95EB0" w:rsidRDefault="00AA0E58" w:rsidP="00A972F6">
      <w:pPr>
        <w:autoSpaceDE w:val="0"/>
        <w:autoSpaceDN w:val="0"/>
        <w:adjustRightInd w:val="0"/>
        <w:spacing w:after="0"/>
        <w:jc w:val="both"/>
        <w:rPr>
          <w:rFonts w:ascii="Tahoma" w:eastAsia="Calibri" w:hAnsi="Tahoma" w:cs="Tahoma"/>
        </w:rPr>
      </w:pPr>
    </w:p>
    <w:p w14:paraId="21972C64" w14:textId="77777777" w:rsidR="00AA0E58" w:rsidRPr="00D95EB0" w:rsidRDefault="00AA0E58" w:rsidP="00933BC3">
      <w:pPr>
        <w:autoSpaceDE w:val="0"/>
        <w:autoSpaceDN w:val="0"/>
        <w:adjustRightInd w:val="0"/>
        <w:spacing w:after="0"/>
        <w:jc w:val="center"/>
        <w:rPr>
          <w:rFonts w:ascii="Tahoma" w:eastAsia="Calibri" w:hAnsi="Tahoma" w:cs="Tahoma"/>
          <w:b/>
        </w:rPr>
      </w:pPr>
      <w:r w:rsidRPr="00D95EB0">
        <w:rPr>
          <w:rFonts w:ascii="Tahoma" w:eastAsia="Calibri" w:hAnsi="Tahoma" w:cs="Tahoma"/>
          <w:b/>
        </w:rPr>
        <w:t>EL CONGRESO DE LA REPÚBLICA DE COLOMBIA</w:t>
      </w:r>
    </w:p>
    <w:p w14:paraId="3F8EC0EF" w14:textId="77777777" w:rsidR="00AA0E58" w:rsidRPr="00D95EB0" w:rsidRDefault="00AA0E58" w:rsidP="00933BC3">
      <w:pPr>
        <w:spacing w:before="100" w:beforeAutospacing="1" w:after="100" w:afterAutospacing="1"/>
        <w:jc w:val="center"/>
        <w:rPr>
          <w:rFonts w:ascii="Tahoma" w:eastAsia="Times New Roman" w:hAnsi="Tahoma" w:cs="Tahoma"/>
          <w:b/>
          <w:lang w:eastAsia="es-ES"/>
        </w:rPr>
      </w:pPr>
      <w:r w:rsidRPr="00D95EB0">
        <w:rPr>
          <w:rFonts w:ascii="Tahoma" w:eastAsia="Times New Roman" w:hAnsi="Tahoma" w:cs="Tahoma"/>
          <w:b/>
          <w:lang w:eastAsia="es-ES"/>
        </w:rPr>
        <w:t>DECRETA</w:t>
      </w:r>
      <w:r w:rsidR="00C40DC9" w:rsidRPr="00D95EB0">
        <w:rPr>
          <w:rFonts w:ascii="Tahoma" w:eastAsia="Times New Roman" w:hAnsi="Tahoma" w:cs="Tahoma"/>
          <w:b/>
          <w:lang w:eastAsia="es-ES"/>
        </w:rPr>
        <w:t>:</w:t>
      </w:r>
    </w:p>
    <w:p w14:paraId="628C6B09" w14:textId="77777777" w:rsidR="00AA0E58" w:rsidRPr="00D95EB0" w:rsidRDefault="00AA0E58" w:rsidP="00A972F6">
      <w:pPr>
        <w:spacing w:after="280" w:line="240" w:lineRule="auto"/>
        <w:jc w:val="both"/>
        <w:rPr>
          <w:rFonts w:ascii="Tahoma" w:eastAsia="Garamond" w:hAnsi="Tahoma" w:cs="Tahoma"/>
        </w:rPr>
      </w:pPr>
      <w:bookmarkStart w:id="0" w:name="gjdgxs" w:colFirst="0" w:colLast="0"/>
      <w:bookmarkEnd w:id="0"/>
      <w:r w:rsidRPr="00D95EB0">
        <w:rPr>
          <w:rFonts w:ascii="Tahoma" w:eastAsia="Garamond" w:hAnsi="Tahoma" w:cs="Tahoma"/>
          <w:b/>
        </w:rPr>
        <w:t>ARTÍCULO</w:t>
      </w:r>
      <w:r w:rsidR="00F47D97" w:rsidRPr="00D95EB0">
        <w:rPr>
          <w:rFonts w:ascii="Tahoma" w:eastAsia="Garamond" w:hAnsi="Tahoma" w:cs="Tahoma"/>
          <w:b/>
        </w:rPr>
        <w:t xml:space="preserve"> 1º. </w:t>
      </w:r>
      <w:r w:rsidRPr="00D95EB0">
        <w:rPr>
          <w:rFonts w:ascii="Tahoma" w:eastAsia="Garamond" w:hAnsi="Tahoma" w:cs="Tahoma"/>
          <w:b/>
        </w:rPr>
        <w:t xml:space="preserve"> </w:t>
      </w:r>
      <w:r w:rsidR="00933BC3" w:rsidRPr="00D95EB0">
        <w:rPr>
          <w:rFonts w:ascii="Tahoma" w:eastAsia="Garamond" w:hAnsi="Tahoma" w:cs="Tahoma"/>
          <w:b/>
        </w:rPr>
        <w:t>Fomento de servicios para la protección y promoción del patrimonio arqueológico</w:t>
      </w:r>
      <w:r w:rsidRPr="00D95EB0">
        <w:rPr>
          <w:rFonts w:ascii="Tahoma" w:eastAsia="Garamond" w:hAnsi="Tahoma" w:cs="Tahoma"/>
          <w:b/>
        </w:rPr>
        <w:t xml:space="preserve">. </w:t>
      </w:r>
      <w:r w:rsidRPr="00D95EB0">
        <w:rPr>
          <w:rFonts w:ascii="Tahoma" w:eastAsia="Garamond" w:hAnsi="Tahoma" w:cs="Tahoma"/>
        </w:rPr>
        <w:t> El Instituto Colombiano de Antropología e Historia</w:t>
      </w:r>
      <w:r w:rsidR="00C40DC9" w:rsidRPr="00D95EB0">
        <w:rPr>
          <w:rFonts w:ascii="Tahoma" w:eastAsia="Garamond" w:hAnsi="Tahoma" w:cs="Tahoma"/>
        </w:rPr>
        <w:t xml:space="preserve">, </w:t>
      </w:r>
      <w:r w:rsidRPr="00D95EB0">
        <w:rPr>
          <w:rFonts w:ascii="Tahoma" w:eastAsia="Garamond" w:hAnsi="Tahoma" w:cs="Tahoma"/>
        </w:rPr>
        <w:t xml:space="preserve"> promoverá, definirá y recaudará las tarifas </w:t>
      </w:r>
      <w:r w:rsidR="00C40DC9" w:rsidRPr="00D95EB0">
        <w:rPr>
          <w:rFonts w:ascii="Tahoma" w:eastAsia="Garamond" w:hAnsi="Tahoma" w:cs="Tahoma"/>
        </w:rPr>
        <w:t xml:space="preserve">correspondientes a </w:t>
      </w:r>
      <w:r w:rsidRPr="00D95EB0">
        <w:rPr>
          <w:rFonts w:ascii="Tahoma" w:eastAsia="Garamond" w:hAnsi="Tahoma" w:cs="Tahoma"/>
        </w:rPr>
        <w:t>bienes y servicios propios prestados por la entidad que generan conocimiento, cultura, flujos económicos, tejido social y memoria, asociados con el patrimonio arqueológico, etnográfico o histórico de la nación, entre otros:</w:t>
      </w:r>
    </w:p>
    <w:p w14:paraId="3FF32CC9" w14:textId="26F0E3CE" w:rsidR="00AA0E58" w:rsidRPr="00D95EB0" w:rsidRDefault="00D95EB0" w:rsidP="00D95EB0">
      <w:pPr>
        <w:numPr>
          <w:ilvl w:val="0"/>
          <w:numId w:val="5"/>
        </w:numPr>
        <w:spacing w:after="0" w:line="259" w:lineRule="auto"/>
        <w:jc w:val="both"/>
        <w:rPr>
          <w:rFonts w:ascii="Tahoma" w:eastAsia="Garamond" w:hAnsi="Tahoma" w:cs="Tahoma"/>
        </w:rPr>
      </w:pPr>
      <w:r w:rsidRPr="00D95EB0">
        <w:rPr>
          <w:rFonts w:ascii="Tahoma" w:hAnsi="Tahoma" w:cs="Tahoma"/>
          <w:lang w:val="es-CO"/>
        </w:rPr>
        <w:t>El alquiler de espacios para el almacenamiento, investigación, promoción y divulgación de bienes y servicios vinculados al patrimonio antropológico o arqueológico de la Nación</w:t>
      </w:r>
    </w:p>
    <w:p w14:paraId="6F09DFCD" w14:textId="3958D0D5" w:rsidR="00AA0E58" w:rsidRPr="00D95EB0" w:rsidRDefault="00AA0E58" w:rsidP="00D95EB0">
      <w:pPr>
        <w:pStyle w:val="Prrafodelista"/>
        <w:numPr>
          <w:ilvl w:val="0"/>
          <w:numId w:val="5"/>
        </w:numPr>
        <w:spacing w:after="0" w:line="259" w:lineRule="auto"/>
        <w:jc w:val="both"/>
        <w:rPr>
          <w:rFonts w:ascii="Tahoma" w:eastAsia="Garamond" w:hAnsi="Tahoma" w:cs="Tahoma"/>
        </w:rPr>
      </w:pPr>
      <w:r w:rsidRPr="00D95EB0">
        <w:rPr>
          <w:rFonts w:ascii="Tahoma" w:eastAsia="Garamond" w:hAnsi="Tahoma" w:cs="Tahoma"/>
        </w:rPr>
        <w:t>La creación, desarrollo y circulación de proyectos editoriales, audiovisuales,</w:t>
      </w:r>
      <w:r w:rsidR="003A33F3" w:rsidRPr="00D95EB0">
        <w:rPr>
          <w:rFonts w:ascii="Tahoma" w:eastAsia="Garamond" w:hAnsi="Tahoma" w:cs="Tahoma"/>
        </w:rPr>
        <w:t xml:space="preserve"> </w:t>
      </w:r>
      <w:r w:rsidR="00D95EB0" w:rsidRPr="00D95EB0">
        <w:rPr>
          <w:rFonts w:ascii="Tahoma" w:eastAsia="Garamond" w:hAnsi="Tahoma" w:cs="Tahoma"/>
        </w:rPr>
        <w:t xml:space="preserve">museológicos, museográficos, </w:t>
      </w:r>
      <w:r w:rsidRPr="00D95EB0">
        <w:rPr>
          <w:rFonts w:ascii="Tahoma" w:eastAsia="Garamond" w:hAnsi="Tahoma" w:cs="Tahoma"/>
        </w:rPr>
        <w:t>de medios digitales y objetos divulgativos propios o en asocio con particulares, en los distintos soportes en que sean entregados.</w:t>
      </w:r>
    </w:p>
    <w:p w14:paraId="6439012D" w14:textId="6693670D" w:rsidR="00D95EB0" w:rsidRPr="00D95EB0" w:rsidRDefault="00D95EB0" w:rsidP="00D95EB0">
      <w:pPr>
        <w:pStyle w:val="Default"/>
        <w:numPr>
          <w:ilvl w:val="0"/>
          <w:numId w:val="5"/>
        </w:numPr>
        <w:jc w:val="both"/>
        <w:rPr>
          <w:rFonts w:ascii="Tahoma" w:hAnsi="Tahoma" w:cs="Tahoma"/>
          <w:color w:val="auto"/>
          <w:sz w:val="22"/>
          <w:szCs w:val="22"/>
          <w:lang w:val="es-CO"/>
        </w:rPr>
      </w:pPr>
      <w:r w:rsidRPr="00D95EB0">
        <w:rPr>
          <w:rFonts w:ascii="Tahoma" w:hAnsi="Tahoma" w:cs="Tahoma"/>
          <w:color w:val="auto"/>
          <w:sz w:val="22"/>
          <w:szCs w:val="22"/>
          <w:lang w:val="es-CO"/>
        </w:rPr>
        <w:t xml:space="preserve">Los servicios de asesoría técnica en investigación, gestión y formación, entre otros, relativos a los campos de arqueología, antropología e historia de la Nación. </w:t>
      </w:r>
    </w:p>
    <w:p w14:paraId="1D425D37" w14:textId="37FA97D2" w:rsidR="00D95EB0" w:rsidRPr="00D95EB0" w:rsidRDefault="00AA0E58" w:rsidP="00D95EB0">
      <w:pPr>
        <w:numPr>
          <w:ilvl w:val="0"/>
          <w:numId w:val="5"/>
        </w:numPr>
        <w:spacing w:after="0" w:line="259" w:lineRule="auto"/>
        <w:jc w:val="both"/>
        <w:rPr>
          <w:rFonts w:ascii="Tahoma" w:eastAsia="Garamond" w:hAnsi="Tahoma" w:cs="Tahoma"/>
        </w:rPr>
      </w:pPr>
      <w:r w:rsidRPr="00D95EB0">
        <w:rPr>
          <w:rFonts w:ascii="Tahoma" w:eastAsia="Garamond" w:hAnsi="Tahoma" w:cs="Tahoma"/>
        </w:rPr>
        <w:t xml:space="preserve">Prestación de servicios de investigación mediante el uso de tecnologías, incluido el </w:t>
      </w:r>
      <w:proofErr w:type="spellStart"/>
      <w:r w:rsidRPr="00D95EB0">
        <w:rPr>
          <w:rFonts w:ascii="Tahoma" w:eastAsia="Garamond" w:hAnsi="Tahoma" w:cs="Tahoma"/>
        </w:rPr>
        <w:t>sensoramiento</w:t>
      </w:r>
      <w:proofErr w:type="spellEnd"/>
      <w:r w:rsidRPr="00D95EB0">
        <w:rPr>
          <w:rFonts w:ascii="Tahoma" w:eastAsia="Garamond" w:hAnsi="Tahoma" w:cs="Tahoma"/>
        </w:rPr>
        <w:t xml:space="preserve"> remoto y otros instrumentos y servicios tecnológicos aplicados a la arqueología.</w:t>
      </w:r>
    </w:p>
    <w:p w14:paraId="2DB1E8F2" w14:textId="7E612A38" w:rsidR="00D95EB0" w:rsidRPr="00D95EB0" w:rsidRDefault="00D95EB0" w:rsidP="0061567F">
      <w:pPr>
        <w:pStyle w:val="Default"/>
        <w:numPr>
          <w:ilvl w:val="0"/>
          <w:numId w:val="5"/>
        </w:numPr>
        <w:jc w:val="both"/>
        <w:rPr>
          <w:rFonts w:ascii="Tahoma" w:hAnsi="Tahoma" w:cs="Tahoma"/>
          <w:color w:val="auto"/>
          <w:sz w:val="22"/>
          <w:szCs w:val="22"/>
          <w:lang w:val="es-CO"/>
        </w:rPr>
      </w:pPr>
      <w:r w:rsidRPr="00D95EB0">
        <w:rPr>
          <w:rFonts w:ascii="Tahoma" w:hAnsi="Tahoma" w:cs="Tahoma"/>
          <w:color w:val="auto"/>
          <w:sz w:val="22"/>
          <w:szCs w:val="22"/>
          <w:lang w:val="es-CO"/>
        </w:rPr>
        <w:t>El uso y circulación de imágenes propias de la entidad, para uso comercial, así como la toma de fotografías, grabaciones de video, filmaciones y actividades artísticas o publicitarias en los parques arqueológicos que administra el Instituto Colombiano de Antropología e Historia.</w:t>
      </w:r>
    </w:p>
    <w:p w14:paraId="1A33BD83" w14:textId="77777777" w:rsidR="00AA0E58" w:rsidRPr="00D95EB0" w:rsidRDefault="00AA0E58" w:rsidP="00A972F6">
      <w:pPr>
        <w:numPr>
          <w:ilvl w:val="0"/>
          <w:numId w:val="5"/>
        </w:numPr>
        <w:spacing w:after="0" w:line="259" w:lineRule="auto"/>
        <w:jc w:val="both"/>
        <w:rPr>
          <w:rFonts w:ascii="Tahoma" w:eastAsia="Garamond" w:hAnsi="Tahoma" w:cs="Tahoma"/>
        </w:rPr>
      </w:pPr>
      <w:r w:rsidRPr="00D95EB0">
        <w:rPr>
          <w:rFonts w:ascii="Tahoma" w:eastAsia="Garamond" w:hAnsi="Tahoma" w:cs="Tahoma"/>
        </w:rPr>
        <w:t xml:space="preserve">El registro, la evaluación y el seguimiento de los Programas de Arqueología Preventiva. </w:t>
      </w:r>
    </w:p>
    <w:p w14:paraId="4DFA142B" w14:textId="77777777" w:rsidR="00AA0E58" w:rsidRPr="00D95EB0" w:rsidRDefault="00AA0E58" w:rsidP="00A972F6">
      <w:pPr>
        <w:pStyle w:val="Prrafodelista"/>
        <w:numPr>
          <w:ilvl w:val="0"/>
          <w:numId w:val="5"/>
        </w:numPr>
        <w:jc w:val="both"/>
        <w:rPr>
          <w:rFonts w:ascii="Tahoma" w:eastAsia="Garamond" w:hAnsi="Tahoma" w:cs="Tahoma"/>
        </w:rPr>
      </w:pPr>
      <w:r w:rsidRPr="00D95EB0">
        <w:rPr>
          <w:rFonts w:ascii="Tahoma" w:eastAsia="Garamond" w:hAnsi="Tahoma" w:cs="Tahoma"/>
        </w:rPr>
        <w:t>Los demás bienes y servicios culturales y creativos que se presenten en desarrollo de las fu</w:t>
      </w:r>
      <w:r w:rsidR="00920B43" w:rsidRPr="00D95EB0">
        <w:rPr>
          <w:rFonts w:ascii="Tahoma" w:eastAsia="Garamond" w:hAnsi="Tahoma" w:cs="Tahoma"/>
        </w:rPr>
        <w:t>nciones y atribuciones del Instituto Colombiano de Antropología e Historia, previa aprobación del Ministerio de Cultura</w:t>
      </w:r>
      <w:r w:rsidRPr="00D95EB0">
        <w:rPr>
          <w:rFonts w:ascii="Tahoma" w:eastAsia="Garamond" w:hAnsi="Tahoma" w:cs="Tahoma"/>
        </w:rPr>
        <w:t>.</w:t>
      </w:r>
    </w:p>
    <w:p w14:paraId="0DE49DB3" w14:textId="77777777" w:rsidR="00AA0E58" w:rsidRPr="00D95EB0" w:rsidRDefault="00C40DC9" w:rsidP="00A972F6">
      <w:pPr>
        <w:spacing w:before="280" w:line="240" w:lineRule="auto"/>
        <w:jc w:val="both"/>
        <w:rPr>
          <w:rFonts w:ascii="Tahoma" w:eastAsia="Garamond" w:hAnsi="Tahoma" w:cs="Tahoma"/>
        </w:rPr>
      </w:pPr>
      <w:r w:rsidRPr="00D95EB0">
        <w:rPr>
          <w:rFonts w:ascii="Tahoma" w:eastAsia="Garamond" w:hAnsi="Tahoma" w:cs="Tahoma"/>
          <w:b/>
        </w:rPr>
        <w:t xml:space="preserve">PARÁGRAFO </w:t>
      </w:r>
      <w:r w:rsidR="00F47D97" w:rsidRPr="00D95EB0">
        <w:rPr>
          <w:rFonts w:ascii="Tahoma" w:eastAsia="Garamond" w:hAnsi="Tahoma" w:cs="Tahoma"/>
          <w:b/>
        </w:rPr>
        <w:t>1º.</w:t>
      </w:r>
      <w:r w:rsidR="00AA0E58" w:rsidRPr="00D95EB0">
        <w:rPr>
          <w:rFonts w:ascii="Tahoma" w:eastAsia="Garamond" w:hAnsi="Tahoma" w:cs="Tahoma"/>
          <w:b/>
        </w:rPr>
        <w:t xml:space="preserve">  </w:t>
      </w:r>
      <w:r w:rsidRPr="00D95EB0">
        <w:rPr>
          <w:rFonts w:ascii="Tahoma" w:eastAsia="Garamond" w:hAnsi="Tahoma" w:cs="Tahoma"/>
        </w:rPr>
        <w:t xml:space="preserve">El Instituto Colombiano de Antropología e Historia, </w:t>
      </w:r>
      <w:r w:rsidR="00AA0E58" w:rsidRPr="00D95EB0">
        <w:rPr>
          <w:rFonts w:ascii="Tahoma" w:eastAsia="Garamond" w:hAnsi="Tahoma" w:cs="Tahoma"/>
        </w:rPr>
        <w:t>fijará el sistema para definir las tarifas de los servicios bajo un esquema de costos </w:t>
      </w:r>
      <w:r w:rsidR="00680759" w:rsidRPr="00D95EB0">
        <w:rPr>
          <w:rFonts w:ascii="Tahoma" w:eastAsia="Garamond" w:hAnsi="Tahoma" w:cs="Tahoma"/>
        </w:rPr>
        <w:t xml:space="preserve"> estandarizados</w:t>
      </w:r>
      <w:r w:rsidR="00AA0E58" w:rsidRPr="00D95EB0">
        <w:rPr>
          <w:rFonts w:ascii="Tahoma" w:eastAsia="Garamond" w:hAnsi="Tahoma" w:cs="Tahoma"/>
        </w:rPr>
        <w:t xml:space="preserve">, cuyas valoraciones y ponderaciones de los factores que intervienen en su definición se realizarán </w:t>
      </w:r>
      <w:r w:rsidR="00AA0E58" w:rsidRPr="00D95EB0">
        <w:rPr>
          <w:rFonts w:ascii="Tahoma" w:eastAsia="Garamond" w:hAnsi="Tahoma" w:cs="Tahoma"/>
        </w:rPr>
        <w:lastRenderedPageBreak/>
        <w:t>bajo procedimientos técnicamente aceptados de costeo. El método seguirá las siguientes pautas técnicas: </w:t>
      </w:r>
    </w:p>
    <w:p w14:paraId="16829AF8" w14:textId="77777777" w:rsidR="00AA0E58" w:rsidRPr="00D95EB0" w:rsidRDefault="00AA0E58" w:rsidP="00A972F6">
      <w:pPr>
        <w:spacing w:before="280" w:after="280" w:line="240" w:lineRule="auto"/>
        <w:jc w:val="both"/>
        <w:rPr>
          <w:rFonts w:ascii="Tahoma" w:eastAsia="Garamond" w:hAnsi="Tahoma" w:cs="Tahoma"/>
        </w:rPr>
      </w:pPr>
      <w:r w:rsidRPr="00D95EB0">
        <w:rPr>
          <w:rFonts w:ascii="Tahoma" w:eastAsia="Garamond" w:hAnsi="Tahoma" w:cs="Tahoma"/>
        </w:rPr>
        <w:t>a) Elaboración y normalización de flujogramas para los diferentes procesos con el propósito de determinar sus rutinas.</w:t>
      </w:r>
    </w:p>
    <w:p w14:paraId="2B7FE5C0" w14:textId="77777777" w:rsidR="00AA0E58" w:rsidRPr="00D95EB0" w:rsidRDefault="00AA0E58" w:rsidP="00A972F6">
      <w:pPr>
        <w:jc w:val="both"/>
        <w:rPr>
          <w:rFonts w:ascii="Tahoma" w:eastAsia="Garamond" w:hAnsi="Tahoma" w:cs="Tahoma"/>
          <w:b/>
        </w:rPr>
      </w:pPr>
      <w:r w:rsidRPr="00D95EB0">
        <w:rPr>
          <w:rFonts w:ascii="Tahoma" w:eastAsia="Garamond" w:hAnsi="Tahoma" w:cs="Tahoma"/>
        </w:rPr>
        <w:t>b) Cuantificación de los materiales, suministros y los demás insumos tecnológicos y de recurso humano utilizados anualmente, en cada uno de los procesos y procedimientos definidos en el literal anterior.</w:t>
      </w:r>
    </w:p>
    <w:p w14:paraId="649DBF6E" w14:textId="77777777" w:rsidR="00AA0E58" w:rsidRPr="00D95EB0" w:rsidRDefault="00AA0E58" w:rsidP="00A972F6">
      <w:pPr>
        <w:shd w:val="clear" w:color="auto" w:fill="FFFFFF"/>
        <w:spacing w:after="0" w:line="240" w:lineRule="auto"/>
        <w:jc w:val="both"/>
        <w:rPr>
          <w:rFonts w:ascii="Tahoma" w:eastAsia="Garamond" w:hAnsi="Tahoma" w:cs="Tahoma"/>
        </w:rPr>
      </w:pPr>
      <w:r w:rsidRPr="00D95EB0">
        <w:rPr>
          <w:rFonts w:ascii="Tahoma" w:eastAsia="Garamond" w:hAnsi="Tahoma" w:cs="Tahoma"/>
          <w:b/>
        </w:rPr>
        <w:t>c)</w:t>
      </w:r>
      <w:r w:rsidRPr="00D95EB0">
        <w:rPr>
          <w:rFonts w:ascii="Tahoma" w:eastAsia="Garamond" w:hAnsi="Tahoma" w:cs="Tahoma"/>
        </w:rPr>
        <w:t> Cuanti</w:t>
      </w:r>
      <w:r w:rsidR="003F6CAC" w:rsidRPr="00D95EB0">
        <w:rPr>
          <w:rFonts w:ascii="Tahoma" w:eastAsia="Garamond" w:hAnsi="Tahoma" w:cs="Tahoma"/>
        </w:rPr>
        <w:t>ficación de los costos y de los</w:t>
      </w:r>
      <w:r w:rsidRPr="00D95EB0">
        <w:rPr>
          <w:rFonts w:ascii="Tahoma" w:eastAsia="Garamond" w:hAnsi="Tahoma" w:cs="Tahoma"/>
        </w:rPr>
        <w:t xml:space="preserve"> programas de tecnificación y modernización de la operación de los servicios. </w:t>
      </w:r>
    </w:p>
    <w:p w14:paraId="12C5C025" w14:textId="77777777" w:rsidR="00AA0E58" w:rsidRPr="00D95EB0" w:rsidRDefault="00AA0E58" w:rsidP="00A972F6">
      <w:pPr>
        <w:spacing w:before="280" w:line="240" w:lineRule="auto"/>
        <w:jc w:val="both"/>
        <w:rPr>
          <w:rFonts w:ascii="Tahoma" w:eastAsia="Garamond" w:hAnsi="Tahoma" w:cs="Tahoma"/>
        </w:rPr>
      </w:pPr>
      <w:bookmarkStart w:id="1" w:name="_j13y1gckcn3c" w:colFirst="0" w:colLast="0"/>
      <w:bookmarkEnd w:id="1"/>
      <w:r w:rsidRPr="00D95EB0">
        <w:rPr>
          <w:rFonts w:ascii="Tahoma" w:eastAsia="Garamond" w:hAnsi="Tahoma" w:cs="Tahoma"/>
          <w:b/>
        </w:rPr>
        <w:t>d)</w:t>
      </w:r>
      <w:r w:rsidRPr="00D95EB0">
        <w:rPr>
          <w:rFonts w:ascii="Tahoma" w:eastAsia="Garamond" w:hAnsi="Tahoma" w:cs="Tahoma"/>
        </w:rPr>
        <w:t> Estimación de las frecuencias de utilización de los servicios generadores de la tarifa del servicio. </w:t>
      </w:r>
    </w:p>
    <w:p w14:paraId="47691578" w14:textId="77777777" w:rsidR="00AA0E58" w:rsidRPr="00D95EB0" w:rsidRDefault="00AA0E58" w:rsidP="00A972F6">
      <w:pPr>
        <w:spacing w:before="280" w:line="240" w:lineRule="auto"/>
        <w:jc w:val="both"/>
        <w:rPr>
          <w:rFonts w:ascii="Tahoma" w:eastAsia="Garamond" w:hAnsi="Tahoma" w:cs="Tahoma"/>
        </w:rPr>
      </w:pPr>
      <w:bookmarkStart w:id="2" w:name="_3znysh7" w:colFirst="0" w:colLast="0"/>
      <w:bookmarkEnd w:id="2"/>
      <w:r w:rsidRPr="00D95EB0">
        <w:rPr>
          <w:rFonts w:ascii="Tahoma" w:eastAsia="Garamond" w:hAnsi="Tahoma" w:cs="Tahoma"/>
          <w:b/>
        </w:rPr>
        <w:t>PARÁGRAFO 2</w:t>
      </w:r>
      <w:r w:rsidR="003F6CAC" w:rsidRPr="00D95EB0">
        <w:rPr>
          <w:rFonts w:ascii="Tahoma" w:eastAsia="Garamond" w:hAnsi="Tahoma" w:cs="Tahoma"/>
          <w:b/>
        </w:rPr>
        <w:t xml:space="preserve">º. </w:t>
      </w:r>
      <w:r w:rsidRPr="00D95EB0">
        <w:rPr>
          <w:rFonts w:ascii="Tahoma" w:eastAsia="Garamond" w:hAnsi="Tahoma" w:cs="Tahoma"/>
        </w:rPr>
        <w:t>El pago de las tarifas estará a cargo de la persona natural o jurídica que solicite la prestación de los bienes y/o servicios. El recaudo correspondiente a las tarifas autori</w:t>
      </w:r>
      <w:r w:rsidR="00C40DC9" w:rsidRPr="00D95EB0">
        <w:rPr>
          <w:rFonts w:ascii="Tahoma" w:eastAsia="Garamond" w:hAnsi="Tahoma" w:cs="Tahoma"/>
        </w:rPr>
        <w:t>zadas por la presente ley estará a cargo del Instituto Colombiano de Antropología e Historia.</w:t>
      </w:r>
    </w:p>
    <w:p w14:paraId="2569881E" w14:textId="27DC5D6E" w:rsidR="000B6674" w:rsidRPr="00D95EB0" w:rsidRDefault="00C40DC9" w:rsidP="00A972F6">
      <w:pPr>
        <w:jc w:val="both"/>
        <w:rPr>
          <w:rFonts w:ascii="Tahoma" w:eastAsia="Times New Roman" w:hAnsi="Tahoma" w:cs="Tahoma"/>
          <w:iCs/>
          <w:color w:val="000000"/>
          <w:lang w:eastAsia="es-ES"/>
        </w:rPr>
      </w:pPr>
      <w:r w:rsidRPr="00D95EB0">
        <w:rPr>
          <w:rFonts w:ascii="Tahoma" w:hAnsi="Tahoma" w:cs="Tahoma"/>
          <w:b/>
        </w:rPr>
        <w:t xml:space="preserve">ARTICULO </w:t>
      </w:r>
      <w:r w:rsidR="00F47D97" w:rsidRPr="00D95EB0">
        <w:rPr>
          <w:rFonts w:ascii="Tahoma" w:hAnsi="Tahoma" w:cs="Tahoma"/>
          <w:b/>
        </w:rPr>
        <w:t xml:space="preserve">2º. </w:t>
      </w:r>
      <w:r w:rsidRPr="00D95EB0">
        <w:rPr>
          <w:rFonts w:ascii="Tahoma" w:hAnsi="Tahoma" w:cs="Tahoma"/>
        </w:rPr>
        <w:t xml:space="preserve">  </w:t>
      </w:r>
      <w:r w:rsidRPr="00D95EB0">
        <w:rPr>
          <w:rFonts w:ascii="Tahoma" w:eastAsia="Times New Roman" w:hAnsi="Tahoma" w:cs="Tahoma"/>
          <w:iCs/>
          <w:color w:val="000000"/>
          <w:lang w:eastAsia="es-ES"/>
        </w:rPr>
        <w:t>La presente Ley rige a partir de la fecha de su promulgación y deroga todas las normas que le sean contrarias.</w:t>
      </w:r>
    </w:p>
    <w:p w14:paraId="79554196" w14:textId="2F0C7643" w:rsidR="0016556D" w:rsidRDefault="0016556D" w:rsidP="00A972F6">
      <w:pPr>
        <w:jc w:val="both"/>
        <w:rPr>
          <w:rFonts w:ascii="Tahoma" w:eastAsia="Times New Roman" w:hAnsi="Tahoma" w:cs="Tahoma"/>
          <w:iCs/>
          <w:color w:val="000000"/>
          <w:lang w:eastAsia="es-ES"/>
        </w:rPr>
      </w:pPr>
    </w:p>
    <w:p w14:paraId="0C21A1E3" w14:textId="77777777" w:rsidR="0061567F" w:rsidRPr="00D95EB0" w:rsidRDefault="0061567F" w:rsidP="00A972F6">
      <w:pPr>
        <w:jc w:val="both"/>
        <w:rPr>
          <w:rFonts w:ascii="Tahoma" w:eastAsia="Times New Roman" w:hAnsi="Tahoma" w:cs="Tahoma"/>
          <w:iCs/>
          <w:color w:val="000000"/>
          <w:lang w:eastAsia="es-ES"/>
        </w:rPr>
      </w:pPr>
    </w:p>
    <w:p w14:paraId="65043372" w14:textId="77777777" w:rsidR="0061567F" w:rsidRDefault="00C40DC9" w:rsidP="0061567F">
      <w:pPr>
        <w:spacing w:after="0" w:line="240" w:lineRule="auto"/>
        <w:jc w:val="both"/>
        <w:rPr>
          <w:rFonts w:ascii="Tahoma" w:eastAsia="Calibri" w:hAnsi="Tahoma" w:cs="Tahoma"/>
          <w:b/>
        </w:rPr>
      </w:pPr>
      <w:r w:rsidRPr="00D95EB0">
        <w:rPr>
          <w:rFonts w:ascii="Tahoma" w:eastAsia="Calibri" w:hAnsi="Tahoma" w:cs="Tahoma"/>
          <w:b/>
        </w:rPr>
        <w:t>AMANDA ROCIO GONZALEZ</w:t>
      </w:r>
      <w:r w:rsidR="00D95EB0">
        <w:rPr>
          <w:rFonts w:ascii="Tahoma" w:eastAsia="Calibri" w:hAnsi="Tahoma" w:cs="Tahoma"/>
          <w:b/>
        </w:rPr>
        <w:t xml:space="preserve"> R.</w:t>
      </w:r>
      <w:r w:rsidRPr="00D95EB0">
        <w:rPr>
          <w:rFonts w:ascii="Tahoma" w:eastAsia="Calibri" w:hAnsi="Tahoma" w:cs="Tahoma"/>
          <w:b/>
        </w:rPr>
        <w:tab/>
      </w:r>
      <w:r w:rsidR="0061567F">
        <w:rPr>
          <w:rFonts w:ascii="Tahoma" w:eastAsia="Calibri" w:hAnsi="Tahoma" w:cs="Tahoma"/>
          <w:b/>
        </w:rPr>
        <w:tab/>
      </w:r>
      <w:r w:rsidR="0061567F">
        <w:rPr>
          <w:rFonts w:ascii="Tahoma" w:eastAsia="Calibri" w:hAnsi="Tahoma" w:cs="Tahoma"/>
          <w:b/>
        </w:rPr>
        <w:tab/>
        <w:t>RUBY HELENA CHAGUI SPATH</w:t>
      </w:r>
    </w:p>
    <w:p w14:paraId="42CD1B39" w14:textId="1918BC80" w:rsidR="00C40DC9" w:rsidRPr="00D95EB0" w:rsidRDefault="00C40DC9" w:rsidP="0061567F">
      <w:pPr>
        <w:spacing w:after="0" w:line="240" w:lineRule="auto"/>
        <w:jc w:val="both"/>
        <w:rPr>
          <w:rFonts w:ascii="Tahoma" w:eastAsia="Calibri" w:hAnsi="Tahoma" w:cs="Tahoma"/>
          <w:b/>
        </w:rPr>
      </w:pPr>
      <w:r w:rsidRPr="00D95EB0">
        <w:rPr>
          <w:rFonts w:ascii="Tahoma" w:eastAsia="Calibri" w:hAnsi="Tahoma" w:cs="Tahoma"/>
          <w:b/>
        </w:rPr>
        <w:tab/>
      </w:r>
      <w:r w:rsidRPr="00D95EB0">
        <w:rPr>
          <w:rFonts w:ascii="Tahoma" w:eastAsia="Calibri" w:hAnsi="Tahoma" w:cs="Tahoma"/>
          <w:b/>
        </w:rPr>
        <w:tab/>
      </w:r>
      <w:r w:rsidRPr="00D95EB0">
        <w:rPr>
          <w:rFonts w:ascii="Tahoma" w:eastAsia="Calibri" w:hAnsi="Tahoma" w:cs="Tahoma"/>
          <w:b/>
        </w:rPr>
        <w:tab/>
      </w:r>
    </w:p>
    <w:p w14:paraId="519A339F" w14:textId="214FBEB0" w:rsidR="00C40DC9" w:rsidRPr="00D95EB0" w:rsidRDefault="00C40DC9" w:rsidP="0061567F">
      <w:pPr>
        <w:spacing w:after="0" w:line="240" w:lineRule="auto"/>
        <w:jc w:val="both"/>
        <w:rPr>
          <w:rFonts w:ascii="Tahoma" w:eastAsia="Calibri" w:hAnsi="Tahoma" w:cs="Tahoma"/>
        </w:rPr>
      </w:pPr>
      <w:r w:rsidRPr="00D95EB0">
        <w:rPr>
          <w:rFonts w:ascii="Tahoma" w:eastAsia="Calibri" w:hAnsi="Tahoma" w:cs="Tahoma"/>
        </w:rPr>
        <w:t>Senadora de la República</w:t>
      </w:r>
      <w:r w:rsidRPr="00D95EB0">
        <w:rPr>
          <w:rFonts w:ascii="Tahoma" w:eastAsia="Calibri" w:hAnsi="Tahoma" w:cs="Tahoma"/>
        </w:rPr>
        <w:tab/>
      </w:r>
      <w:r w:rsidR="0061567F">
        <w:rPr>
          <w:rFonts w:ascii="Tahoma" w:eastAsia="Calibri" w:hAnsi="Tahoma" w:cs="Tahoma"/>
        </w:rPr>
        <w:tab/>
      </w:r>
      <w:r w:rsidR="0061567F">
        <w:rPr>
          <w:rFonts w:ascii="Tahoma" w:eastAsia="Calibri" w:hAnsi="Tahoma" w:cs="Tahoma"/>
        </w:rPr>
        <w:tab/>
      </w:r>
      <w:r w:rsidR="0061567F">
        <w:rPr>
          <w:rFonts w:ascii="Tahoma" w:eastAsia="Calibri" w:hAnsi="Tahoma" w:cs="Tahoma"/>
        </w:rPr>
        <w:tab/>
        <w:t>Senadora de la República</w:t>
      </w:r>
    </w:p>
    <w:p w14:paraId="23BB3367" w14:textId="77777777" w:rsidR="00C40DC9" w:rsidRPr="00D95EB0" w:rsidRDefault="00C40DC9" w:rsidP="0061567F">
      <w:pPr>
        <w:spacing w:after="0" w:line="240" w:lineRule="auto"/>
        <w:jc w:val="both"/>
        <w:rPr>
          <w:rFonts w:ascii="Tahoma" w:eastAsia="Calibri" w:hAnsi="Tahoma" w:cs="Tahoma"/>
        </w:rPr>
      </w:pPr>
    </w:p>
    <w:p w14:paraId="5FAFCBAF" w14:textId="77777777" w:rsidR="00680759" w:rsidRPr="00D95EB0" w:rsidRDefault="00680759" w:rsidP="00A972F6">
      <w:pPr>
        <w:jc w:val="both"/>
        <w:rPr>
          <w:rFonts w:ascii="Tahoma" w:eastAsia="Calibri" w:hAnsi="Tahoma" w:cs="Tahoma"/>
        </w:rPr>
      </w:pPr>
    </w:p>
    <w:p w14:paraId="7625ED89" w14:textId="77777777" w:rsidR="00680759" w:rsidRPr="00D95EB0" w:rsidRDefault="00680759" w:rsidP="00A972F6">
      <w:pPr>
        <w:jc w:val="both"/>
        <w:rPr>
          <w:rFonts w:ascii="Tahoma" w:eastAsia="Calibri" w:hAnsi="Tahoma" w:cs="Tahoma"/>
        </w:rPr>
      </w:pPr>
    </w:p>
    <w:p w14:paraId="28168F5E" w14:textId="77777777" w:rsidR="00680759" w:rsidRPr="00D95EB0" w:rsidRDefault="00680759" w:rsidP="00A972F6">
      <w:pPr>
        <w:jc w:val="both"/>
        <w:rPr>
          <w:rFonts w:ascii="Tahoma" w:eastAsia="Calibri" w:hAnsi="Tahoma" w:cs="Tahoma"/>
        </w:rPr>
      </w:pPr>
    </w:p>
    <w:p w14:paraId="0486C086" w14:textId="77777777" w:rsidR="00680759" w:rsidRPr="00D95EB0" w:rsidRDefault="00680759" w:rsidP="00A972F6">
      <w:pPr>
        <w:jc w:val="both"/>
        <w:rPr>
          <w:rFonts w:ascii="Tahoma" w:eastAsia="Calibri" w:hAnsi="Tahoma" w:cs="Tahoma"/>
        </w:rPr>
      </w:pPr>
    </w:p>
    <w:p w14:paraId="40949112" w14:textId="77777777" w:rsidR="00680759" w:rsidRPr="00D95EB0" w:rsidRDefault="00680759" w:rsidP="00A972F6">
      <w:pPr>
        <w:jc w:val="both"/>
        <w:rPr>
          <w:rFonts w:ascii="Tahoma" w:eastAsia="Calibri" w:hAnsi="Tahoma" w:cs="Tahoma"/>
        </w:rPr>
      </w:pPr>
    </w:p>
    <w:p w14:paraId="1E8E48D1" w14:textId="77777777" w:rsidR="00C40DC9" w:rsidRPr="00D95EB0" w:rsidRDefault="00C40DC9" w:rsidP="00A972F6">
      <w:pPr>
        <w:jc w:val="both"/>
        <w:rPr>
          <w:rFonts w:ascii="Tahoma" w:eastAsia="Calibri" w:hAnsi="Tahoma" w:cs="Tahoma"/>
        </w:rPr>
      </w:pPr>
    </w:p>
    <w:p w14:paraId="62885AD0" w14:textId="77777777" w:rsidR="00D17E8E" w:rsidRDefault="00D17E8E" w:rsidP="00D95EB0">
      <w:pPr>
        <w:jc w:val="center"/>
        <w:rPr>
          <w:rFonts w:ascii="Tahoma" w:eastAsia="Calibri" w:hAnsi="Tahoma" w:cs="Tahoma"/>
          <w:b/>
        </w:rPr>
      </w:pPr>
    </w:p>
    <w:p w14:paraId="0A43C464" w14:textId="2410C155" w:rsidR="00D95EB0" w:rsidRPr="00D95EB0" w:rsidRDefault="00C40DC9" w:rsidP="00D17E8E">
      <w:pPr>
        <w:jc w:val="center"/>
        <w:rPr>
          <w:rFonts w:ascii="Tahoma" w:eastAsia="Calibri" w:hAnsi="Tahoma" w:cs="Tahoma"/>
          <w:b/>
        </w:rPr>
      </w:pPr>
      <w:r w:rsidRPr="00D95EB0">
        <w:rPr>
          <w:rFonts w:ascii="Tahoma" w:eastAsia="Calibri" w:hAnsi="Tahoma" w:cs="Tahoma"/>
          <w:b/>
        </w:rPr>
        <w:t>EXPOSICIÓN DE MOTIVOS</w:t>
      </w:r>
    </w:p>
    <w:p w14:paraId="62C9CB42" w14:textId="288AB8D9" w:rsidR="00D95EB0" w:rsidRDefault="003F6CAC" w:rsidP="003F6CAC">
      <w:pPr>
        <w:jc w:val="both"/>
        <w:rPr>
          <w:rFonts w:ascii="Tahoma" w:eastAsia="Arial Narrow" w:hAnsi="Tahoma" w:cs="Tahoma"/>
          <w:b/>
          <w:color w:val="000000"/>
        </w:rPr>
      </w:pPr>
      <w:r w:rsidRPr="00D95EB0">
        <w:rPr>
          <w:rFonts w:ascii="Tahoma" w:eastAsia="Arial Narrow" w:hAnsi="Tahoma" w:cs="Tahoma"/>
          <w:b/>
          <w:color w:val="000000"/>
        </w:rPr>
        <w:t xml:space="preserve">    </w:t>
      </w:r>
      <w:r w:rsidR="00D95EB0">
        <w:rPr>
          <w:rFonts w:ascii="Tahoma" w:eastAsia="Arial Narrow" w:hAnsi="Tahoma" w:cs="Tahoma"/>
          <w:b/>
          <w:color w:val="000000"/>
        </w:rPr>
        <w:t xml:space="preserve"> </w:t>
      </w:r>
      <w:r w:rsidRPr="00D95EB0">
        <w:rPr>
          <w:rFonts w:ascii="Tahoma" w:eastAsia="Arial Narrow" w:hAnsi="Tahoma" w:cs="Tahoma"/>
          <w:b/>
          <w:color w:val="000000"/>
        </w:rPr>
        <w:t xml:space="preserve">1º. </w:t>
      </w:r>
      <w:r w:rsidR="00D95EB0">
        <w:rPr>
          <w:rFonts w:ascii="Tahoma" w:eastAsia="Arial Narrow" w:hAnsi="Tahoma" w:cs="Tahoma"/>
          <w:b/>
          <w:color w:val="000000"/>
        </w:rPr>
        <w:t>TRAMITE Y ANTECEDENTES</w:t>
      </w:r>
    </w:p>
    <w:p w14:paraId="6CE22AE8" w14:textId="00ED4DEE" w:rsidR="00D95EB0" w:rsidRPr="00887E99" w:rsidRDefault="00D95EB0" w:rsidP="00887E99">
      <w:pPr>
        <w:ind w:left="360"/>
        <w:jc w:val="both"/>
        <w:rPr>
          <w:rFonts w:ascii="Tahoma" w:eastAsia="Arial Narrow" w:hAnsi="Tahoma" w:cs="Tahoma"/>
          <w:bCs/>
          <w:color w:val="000000"/>
        </w:rPr>
      </w:pPr>
      <w:r w:rsidRPr="00887E99">
        <w:rPr>
          <w:rFonts w:ascii="Tahoma" w:eastAsia="Arial Narrow" w:hAnsi="Tahoma" w:cs="Tahoma"/>
          <w:bCs/>
          <w:color w:val="000000"/>
        </w:rPr>
        <w:t xml:space="preserve">EL presente proyecto de ley es una iniciativa </w:t>
      </w:r>
      <w:proofErr w:type="spellStart"/>
      <w:r w:rsidRPr="00887E99">
        <w:rPr>
          <w:rFonts w:ascii="Tahoma" w:eastAsia="Arial Narrow" w:hAnsi="Tahoma" w:cs="Tahoma"/>
          <w:bCs/>
          <w:color w:val="000000"/>
        </w:rPr>
        <w:t>Congresional</w:t>
      </w:r>
      <w:proofErr w:type="spellEnd"/>
      <w:r w:rsidRPr="00887E99">
        <w:rPr>
          <w:rFonts w:ascii="Tahoma" w:eastAsia="Arial Narrow" w:hAnsi="Tahoma" w:cs="Tahoma"/>
          <w:bCs/>
          <w:color w:val="000000"/>
        </w:rPr>
        <w:t xml:space="preserve"> </w:t>
      </w:r>
      <w:r w:rsidR="00753A45" w:rsidRPr="00887E99">
        <w:rPr>
          <w:rFonts w:ascii="Tahoma" w:eastAsia="Arial Narrow" w:hAnsi="Tahoma" w:cs="Tahoma"/>
          <w:bCs/>
          <w:color w:val="000000"/>
        </w:rPr>
        <w:t xml:space="preserve">que tuvo su </w:t>
      </w:r>
      <w:r w:rsidR="00887E99" w:rsidRPr="00887E99">
        <w:rPr>
          <w:rFonts w:ascii="Tahoma" w:eastAsia="Arial Narrow" w:hAnsi="Tahoma" w:cs="Tahoma"/>
          <w:bCs/>
          <w:color w:val="000000"/>
        </w:rPr>
        <w:t>radicación en</w:t>
      </w:r>
      <w:r w:rsidR="00753A45" w:rsidRPr="00887E99">
        <w:rPr>
          <w:rFonts w:ascii="Tahoma" w:eastAsia="Arial Narrow" w:hAnsi="Tahoma" w:cs="Tahoma"/>
          <w:bCs/>
          <w:color w:val="000000"/>
        </w:rPr>
        <w:t xml:space="preserve"> la </w:t>
      </w:r>
      <w:r w:rsidR="00887E99" w:rsidRPr="00887E99">
        <w:rPr>
          <w:rFonts w:ascii="Tahoma" w:eastAsia="Arial Narrow" w:hAnsi="Tahoma" w:cs="Tahoma"/>
          <w:bCs/>
          <w:color w:val="000000"/>
        </w:rPr>
        <w:t>secretaria general</w:t>
      </w:r>
      <w:r w:rsidR="00753A45" w:rsidRPr="00887E99">
        <w:rPr>
          <w:rFonts w:ascii="Tahoma" w:eastAsia="Arial Narrow" w:hAnsi="Tahoma" w:cs="Tahoma"/>
          <w:bCs/>
          <w:color w:val="000000"/>
        </w:rPr>
        <w:t xml:space="preserve"> del Senado de la </w:t>
      </w:r>
      <w:r w:rsidR="00887E99" w:rsidRPr="00887E99">
        <w:rPr>
          <w:rFonts w:ascii="Tahoma" w:eastAsia="Arial Narrow" w:hAnsi="Tahoma" w:cs="Tahoma"/>
          <w:bCs/>
          <w:color w:val="000000"/>
        </w:rPr>
        <w:t>República</w:t>
      </w:r>
      <w:r w:rsidR="00F47C70">
        <w:rPr>
          <w:rFonts w:ascii="Tahoma" w:eastAsia="Arial Narrow" w:hAnsi="Tahoma" w:cs="Tahoma"/>
          <w:bCs/>
          <w:color w:val="000000"/>
        </w:rPr>
        <w:t xml:space="preserve"> el 21 de agosto de 2019</w:t>
      </w:r>
      <w:r w:rsidR="00887E99" w:rsidRPr="00887E99">
        <w:rPr>
          <w:rFonts w:ascii="Tahoma" w:eastAsia="Arial Narrow" w:hAnsi="Tahoma" w:cs="Tahoma"/>
          <w:bCs/>
          <w:color w:val="000000"/>
        </w:rPr>
        <w:t>, y tuvo su tramite en la comisión sexta del Senado en primer debate</w:t>
      </w:r>
      <w:r w:rsidR="00F47C70">
        <w:rPr>
          <w:rFonts w:ascii="Tahoma" w:eastAsia="Arial Narrow" w:hAnsi="Tahoma" w:cs="Tahoma"/>
          <w:bCs/>
          <w:color w:val="000000"/>
        </w:rPr>
        <w:t xml:space="preserve"> el 19 de noviembre de 2019</w:t>
      </w:r>
      <w:r w:rsidR="00887E99" w:rsidRPr="00887E99">
        <w:rPr>
          <w:rFonts w:ascii="Tahoma" w:eastAsia="Arial Narrow" w:hAnsi="Tahoma" w:cs="Tahoma"/>
          <w:bCs/>
          <w:color w:val="000000"/>
        </w:rPr>
        <w:t>. Sin embargo, la iniciativa fue archivada de conformidad al articulo 190 de la ley 5 de 1992 y en concordancia con lo preceptuado en el artículo 375 de la Constitución Política.</w:t>
      </w:r>
    </w:p>
    <w:p w14:paraId="0A23AC45" w14:textId="46AE60D9" w:rsidR="003F6CAC" w:rsidRPr="00D95EB0" w:rsidRDefault="00D95EB0" w:rsidP="00D95EB0">
      <w:pPr>
        <w:ind w:firstLine="360"/>
        <w:jc w:val="both"/>
        <w:rPr>
          <w:rFonts w:ascii="Tahoma" w:eastAsia="Arial Narrow" w:hAnsi="Tahoma" w:cs="Tahoma"/>
          <w:b/>
          <w:color w:val="000000"/>
        </w:rPr>
      </w:pPr>
      <w:r>
        <w:rPr>
          <w:rFonts w:ascii="Tahoma" w:eastAsia="Arial Narrow" w:hAnsi="Tahoma" w:cs="Tahoma"/>
          <w:b/>
          <w:color w:val="000000"/>
        </w:rPr>
        <w:t xml:space="preserve">2º. </w:t>
      </w:r>
      <w:r w:rsidR="003F6CAC" w:rsidRPr="00D95EB0">
        <w:rPr>
          <w:rFonts w:ascii="Tahoma" w:eastAsia="Arial Narrow" w:hAnsi="Tahoma" w:cs="Tahoma"/>
          <w:b/>
          <w:color w:val="000000"/>
        </w:rPr>
        <w:t xml:space="preserve">OBJETO </w:t>
      </w:r>
    </w:p>
    <w:p w14:paraId="15947BE8" w14:textId="77777777" w:rsidR="007606DD" w:rsidRPr="00D95EB0" w:rsidRDefault="003F6CAC" w:rsidP="00680759">
      <w:pPr>
        <w:ind w:left="360"/>
        <w:jc w:val="both"/>
        <w:rPr>
          <w:rFonts w:ascii="Tahoma" w:eastAsia="Arial Narrow" w:hAnsi="Tahoma" w:cs="Tahoma"/>
          <w:color w:val="000000"/>
        </w:rPr>
      </w:pPr>
      <w:r w:rsidRPr="00D95EB0">
        <w:rPr>
          <w:rFonts w:ascii="Tahoma" w:eastAsia="Arial Narrow" w:hAnsi="Tahoma" w:cs="Tahoma"/>
          <w:color w:val="000000"/>
        </w:rPr>
        <w:t>El presente proyecto de ley busca contribuir al fortalecimiento de la gestión cultur</w:t>
      </w:r>
      <w:r w:rsidR="007606DD" w:rsidRPr="00D95EB0">
        <w:rPr>
          <w:rFonts w:ascii="Tahoma" w:eastAsia="Arial Narrow" w:hAnsi="Tahoma" w:cs="Tahoma"/>
          <w:color w:val="000000"/>
        </w:rPr>
        <w:t>al que adelanta el Instituto Colombiano de Antropología e Historia -ICANH</w:t>
      </w:r>
      <w:r w:rsidRPr="00D95EB0">
        <w:rPr>
          <w:rFonts w:ascii="Tahoma" w:eastAsia="Arial Narrow" w:hAnsi="Tahoma" w:cs="Tahoma"/>
          <w:color w:val="000000"/>
        </w:rPr>
        <w:t xml:space="preserve">, en el cual </w:t>
      </w:r>
      <w:r w:rsidR="007606DD" w:rsidRPr="00D95EB0">
        <w:rPr>
          <w:rFonts w:ascii="Tahoma" w:eastAsia="Arial Narrow" w:hAnsi="Tahoma" w:cs="Tahoma"/>
          <w:color w:val="000000"/>
        </w:rPr>
        <w:t xml:space="preserve">se incluyen a </w:t>
      </w:r>
      <w:r w:rsidRPr="00D95EB0">
        <w:rPr>
          <w:rFonts w:ascii="Tahoma" w:eastAsia="Arial Narrow" w:hAnsi="Tahoma" w:cs="Tahoma"/>
          <w:color w:val="000000"/>
        </w:rPr>
        <w:t>las entidades territoriales, con el fin de promover y garantizar canales de comunicación que permitan el fortalecimiento</w:t>
      </w:r>
      <w:r w:rsidR="007606DD" w:rsidRPr="00D95EB0">
        <w:rPr>
          <w:rFonts w:ascii="Tahoma" w:eastAsia="Arial Narrow" w:hAnsi="Tahoma" w:cs="Tahoma"/>
          <w:color w:val="000000"/>
        </w:rPr>
        <w:t xml:space="preserve">, la protección y promoción </w:t>
      </w:r>
      <w:r w:rsidRPr="00D95EB0">
        <w:rPr>
          <w:rFonts w:ascii="Tahoma" w:eastAsia="Arial Narrow" w:hAnsi="Tahoma" w:cs="Tahoma"/>
          <w:color w:val="000000"/>
        </w:rPr>
        <w:t xml:space="preserve"> de capacidades locales de gestión </w:t>
      </w:r>
      <w:r w:rsidR="007606DD" w:rsidRPr="00D95EB0">
        <w:rPr>
          <w:rFonts w:ascii="Tahoma" w:eastAsia="Arial Narrow" w:hAnsi="Tahoma" w:cs="Tahoma"/>
          <w:color w:val="000000"/>
        </w:rPr>
        <w:t xml:space="preserve">y </w:t>
      </w:r>
      <w:r w:rsidRPr="00D95EB0">
        <w:rPr>
          <w:rFonts w:ascii="Tahoma" w:eastAsia="Arial Narrow" w:hAnsi="Tahoma" w:cs="Tahoma"/>
          <w:color w:val="000000"/>
        </w:rPr>
        <w:t xml:space="preserve"> la apropiación de las apuestas en materia de </w:t>
      </w:r>
      <w:r w:rsidR="007606DD" w:rsidRPr="00D95EB0">
        <w:rPr>
          <w:rFonts w:ascii="Tahoma" w:eastAsia="Arial Narrow" w:hAnsi="Tahoma" w:cs="Tahoma"/>
          <w:color w:val="000000"/>
        </w:rPr>
        <w:t>patrimonio</w:t>
      </w:r>
      <w:r w:rsidRPr="00D95EB0">
        <w:rPr>
          <w:rFonts w:ascii="Tahoma" w:eastAsia="Arial Narrow" w:hAnsi="Tahoma" w:cs="Tahoma"/>
          <w:color w:val="000000"/>
        </w:rPr>
        <w:t xml:space="preserve"> cultura</w:t>
      </w:r>
      <w:r w:rsidR="007606DD" w:rsidRPr="00D95EB0">
        <w:rPr>
          <w:rFonts w:ascii="Tahoma" w:eastAsia="Arial Narrow" w:hAnsi="Tahoma" w:cs="Tahoma"/>
          <w:color w:val="000000"/>
        </w:rPr>
        <w:t xml:space="preserve">l arqueológico y etnográfico de la Nación. </w:t>
      </w:r>
    </w:p>
    <w:p w14:paraId="7C622687" w14:textId="77777777" w:rsidR="007606DD" w:rsidRPr="00D95EB0" w:rsidRDefault="007606DD" w:rsidP="007606DD">
      <w:pPr>
        <w:ind w:left="360"/>
        <w:jc w:val="both"/>
        <w:rPr>
          <w:rFonts w:ascii="Tahoma" w:eastAsia="Arial Narrow" w:hAnsi="Tahoma" w:cs="Tahoma"/>
          <w:b/>
          <w:color w:val="000000"/>
        </w:rPr>
      </w:pPr>
      <w:r w:rsidRPr="00D95EB0">
        <w:rPr>
          <w:rFonts w:ascii="Tahoma" w:eastAsia="Arial Narrow" w:hAnsi="Tahoma" w:cs="Tahoma"/>
          <w:b/>
          <w:color w:val="000000"/>
        </w:rPr>
        <w:t>2º. JUSTIFICACIÒN</w:t>
      </w:r>
    </w:p>
    <w:p w14:paraId="5C6D1289" w14:textId="77777777" w:rsidR="00C40DC9" w:rsidRPr="00D95EB0" w:rsidRDefault="00C40DC9" w:rsidP="00A972F6">
      <w:pPr>
        <w:ind w:left="360"/>
        <w:jc w:val="both"/>
        <w:rPr>
          <w:rFonts w:ascii="Tahoma" w:eastAsia="Arial Narrow" w:hAnsi="Tahoma" w:cs="Tahoma"/>
          <w:color w:val="000000"/>
        </w:rPr>
      </w:pPr>
      <w:r w:rsidRPr="00D95EB0">
        <w:rPr>
          <w:rFonts w:ascii="Tahoma" w:eastAsia="Arial Narrow" w:hAnsi="Tahoma" w:cs="Tahoma"/>
          <w:color w:val="000000"/>
        </w:rPr>
        <w:t>El patrimonio arqueológico de Colombia constituye un recurso cultural no renovable, fuente activa o potencial para el fortalecimiento de sentidos de pertenencia a las localidades, las regiones y el país, y de oportunidades para desarrollar los campos de la educación, la cultura, la infraestructura y el turismo en las regiones. El país cuenta con un marco constitucional y legal de avanzada en el ámbito latinoamericano para el tratamiento de este patrimonio, pero requiere de unos reajustes normativos que permitan al Instituto Colombiano de Antropología e Historia – ICANH, como entidad pública nacional rectora de su gestión, en el corto, mediano y largo plazo una adecuación institucional y de sostenibilidad para garantizar su protección, conocimiento y valoración social.</w:t>
      </w:r>
    </w:p>
    <w:p w14:paraId="5F6CF798" w14:textId="77777777" w:rsidR="00C40DC9" w:rsidRPr="00D95EB0" w:rsidRDefault="00C40DC9" w:rsidP="00A972F6">
      <w:pPr>
        <w:ind w:left="360"/>
        <w:jc w:val="both"/>
        <w:rPr>
          <w:rFonts w:ascii="Tahoma" w:eastAsia="Arial Narrow" w:hAnsi="Tahoma" w:cs="Tahoma"/>
          <w:color w:val="000000"/>
        </w:rPr>
      </w:pPr>
      <w:r w:rsidRPr="00D95EB0">
        <w:rPr>
          <w:rFonts w:ascii="Tahoma" w:eastAsia="Arial Narrow" w:hAnsi="Tahoma" w:cs="Tahoma"/>
          <w:color w:val="000000"/>
        </w:rPr>
        <w:t xml:space="preserve">Bajo una perspectiva que desarrolla los preceptos constitucionales, el marco normativo relativo al patrimonio cultural de la nación afianzó los principios constitucionales referidos al patrimonio cultural en general, estableciendo que la política estatal en relación con el patrimonio cultural de la Nación, “… tendrá como objetivos principales la protección, la conservación, la rehabilitación y la divulgación de dicho patrimonio, con </w:t>
      </w:r>
      <w:r w:rsidRPr="00D95EB0">
        <w:rPr>
          <w:rFonts w:ascii="Tahoma" w:eastAsia="Arial Narrow" w:hAnsi="Tahoma" w:cs="Tahoma"/>
          <w:color w:val="000000"/>
        </w:rPr>
        <w:lastRenderedPageBreak/>
        <w:t>el propósito de que este sirva de testimonio de la identidad cultural nacional, tanto en el presente como en el futuro” (Artículo 5º de la Ley 397 de 1997). En lo relativo al patrimonio arqueológico, fijó para este su condición de Bien de Interés Cultural, con lo cual, además de enfatizar en su inembargabilidad, imprescriptibilidad e inalienabilidad, señaló que no se requeriría de declaratorias específicas para que dicho patrimonio fuera considerado, en todo el territorio nacional, como objeto de las medidas de protección que aplican a tal categoría patrimonial (Artículo 4º, parágrafo 10 y artículos 10º y 11º).</w:t>
      </w:r>
    </w:p>
    <w:p w14:paraId="72637CA6" w14:textId="77777777" w:rsidR="00C40DC9" w:rsidRPr="00D95EB0" w:rsidRDefault="00C40DC9" w:rsidP="00A972F6">
      <w:pPr>
        <w:ind w:left="360"/>
        <w:jc w:val="both"/>
        <w:rPr>
          <w:rFonts w:ascii="Tahoma" w:eastAsia="Arial Narrow" w:hAnsi="Tahoma" w:cs="Tahoma"/>
          <w:color w:val="000000"/>
        </w:rPr>
      </w:pPr>
      <w:r w:rsidRPr="00D95EB0">
        <w:rPr>
          <w:rFonts w:ascii="Tahoma" w:eastAsia="Arial Narrow" w:hAnsi="Tahoma" w:cs="Tahoma"/>
          <w:color w:val="000000"/>
        </w:rPr>
        <w:t>En el</w:t>
      </w:r>
      <w:r w:rsidR="00C331AD" w:rsidRPr="00D95EB0">
        <w:rPr>
          <w:rFonts w:ascii="Tahoma" w:eastAsia="Arial Narrow" w:hAnsi="Tahoma" w:cs="Tahoma"/>
          <w:color w:val="000000"/>
        </w:rPr>
        <w:t xml:space="preserve"> campo del patrimonio cultural c</w:t>
      </w:r>
      <w:r w:rsidRPr="00D95EB0">
        <w:rPr>
          <w:rFonts w:ascii="Tahoma" w:eastAsia="Arial Narrow" w:hAnsi="Tahoma" w:cs="Tahoma"/>
          <w:color w:val="000000"/>
        </w:rPr>
        <w:t>olombiano de carácter material, el patrimonio arqueológico constituye el conjunto con mayor presencia en el territorio nacional, por lo cual, es uno de los que encuentran un mayor potencial de impacto de sectores como infraestructura, medio ambiente, cultura, turismo y emprendimientos culturales de economía naranja, entre otros. Sin embargo, existe un alto contraste entre el gran potencial arqueológico del país, su relativo estado de desconocimiento y los múltiples factores que amenazan su integridad física, de una parte, y el grado de madurez logrado en el ámbito constitucional y legal para garantizar su protección, lo cual se traduce en un gran reto para el Estado colombiano: mejorar las condiciones institucionales y de sostenibilidad financiera del ICANH que garanticen una aplicación cabal de las normas por parte de la sociedad colombiana, y en última instancia,  asegurar que dicho patrimonio sea conservado, preservado, conocido y disfrutado por todos los colombianos.</w:t>
      </w:r>
    </w:p>
    <w:p w14:paraId="6DB1E4DD" w14:textId="77777777" w:rsidR="000F26FB" w:rsidRPr="00D95EB0" w:rsidRDefault="00C40DC9" w:rsidP="00A972F6">
      <w:pPr>
        <w:ind w:left="360"/>
        <w:jc w:val="both"/>
        <w:rPr>
          <w:rFonts w:ascii="Tahoma" w:eastAsia="Arial Narrow" w:hAnsi="Tahoma" w:cs="Tahoma"/>
          <w:color w:val="000000"/>
        </w:rPr>
      </w:pPr>
      <w:r w:rsidRPr="00D95EB0">
        <w:rPr>
          <w:rFonts w:ascii="Tahoma" w:eastAsia="Arial Narrow" w:hAnsi="Tahoma" w:cs="Tahoma"/>
          <w:color w:val="000000"/>
        </w:rPr>
        <w:t xml:space="preserve">En la última década, este desarrollo legal ha avanzado notablemente hacia mayores niveles de precisión en el esquema de responsabilidades, obligaciones y deberes del Estado y los particulares en la protección del Patrimonio Arqueológico, así como en los mecanismos aplicables a la regulación de las prácticas que pueden afectar su conservación. En el Decreto 833 de 2002, en la Ley 1185 de 2008 que modifica y adiciona la Ley 397 de 1997, así como el decreto 763 de 2009, compilados por el Decreto 1080 de 2018, el país tiene un marco legal maduro, coherente y apropiado para dar adecuado tratamiento al patrimonio arqueológico. Sin embargo requiere un nivel semejante de fortalecimiento presupuestal sobre la base de la venta de servicios </w:t>
      </w:r>
      <w:r w:rsidR="003A33F3" w:rsidRPr="00D95EB0">
        <w:rPr>
          <w:rFonts w:ascii="Tahoma" w:eastAsia="Arial Narrow" w:hAnsi="Tahoma" w:cs="Tahoma"/>
          <w:color w:val="000000"/>
        </w:rPr>
        <w:t>culturales</w:t>
      </w:r>
      <w:r w:rsidRPr="00D95EB0">
        <w:rPr>
          <w:rFonts w:ascii="Tahoma" w:eastAsia="Arial Narrow" w:hAnsi="Tahoma" w:cs="Tahoma"/>
          <w:color w:val="000000"/>
        </w:rPr>
        <w:t xml:space="preserve"> que permita una gestión regional más articulada, sostenible financieramente y de respuesta eficiente por parte de los sectores involucrados para dar cabal cumplimiento a las leyes y, en última instancia, para garantizar la protección, valoración y conocimiento de dicho patrimonio.</w:t>
      </w:r>
    </w:p>
    <w:p w14:paraId="5CA5D62A" w14:textId="77777777" w:rsidR="00C40DC9" w:rsidRPr="00D95EB0" w:rsidRDefault="00C40DC9" w:rsidP="00A972F6">
      <w:pPr>
        <w:spacing w:after="160" w:line="259" w:lineRule="auto"/>
        <w:ind w:left="360"/>
        <w:jc w:val="both"/>
        <w:rPr>
          <w:rFonts w:ascii="Tahoma" w:eastAsia="Arial Narrow" w:hAnsi="Tahoma" w:cs="Tahoma"/>
          <w:color w:val="000000"/>
          <w:lang w:val="es-CO" w:eastAsia="es-MX"/>
        </w:rPr>
      </w:pPr>
      <w:r w:rsidRPr="00D95EB0">
        <w:rPr>
          <w:rFonts w:ascii="Tahoma" w:eastAsia="Arial Narrow" w:hAnsi="Tahoma" w:cs="Tahoma"/>
          <w:color w:val="000000"/>
          <w:lang w:val="es-CO" w:eastAsia="es-MX"/>
        </w:rPr>
        <w:t xml:space="preserve">Actualmente existe un marcado desequilibrio en el desarrollo que exhiben, de una parte, el marco legal en materia de protección del patrimonio arqueológico y la demanda social e institucional para su conservación, y de otra, la capacidad de respuesta institucional y </w:t>
      </w:r>
      <w:r w:rsidRPr="00D95EB0">
        <w:rPr>
          <w:rFonts w:ascii="Tahoma" w:eastAsia="Arial Narrow" w:hAnsi="Tahoma" w:cs="Tahoma"/>
          <w:color w:val="000000"/>
          <w:lang w:val="es-CO" w:eastAsia="es-MX"/>
        </w:rPr>
        <w:lastRenderedPageBreak/>
        <w:t>de recursos propios que posee el Instituto Colombiano de Antropología e Historia, impactando los sectores institucionales, productivos, académicos y sociales del país que permiten implementar dicho marco legal y responder adecuadamente a tal demanda. En efecto, frente a la madurez del marco legal y la creciente demanda por actuaciones coherentes en pro de la protección del patrimonio arqueológico, se hace evidente  la insuficiente capacidad institucional, y la debilidad en cuanto a  los recursos económicos requeridos, el soporte tecnológico y la vocación regionalizada de la gestión. Todo ello frente a una enorme riqueza comprobada o potencial del patrimonio arqueológico en el territorio nacional, en riesgo permanente de deterioro por causas antrópicas o naturales.</w:t>
      </w:r>
    </w:p>
    <w:p w14:paraId="6115E80A" w14:textId="77777777" w:rsidR="00C40DC9" w:rsidRPr="00D95EB0" w:rsidRDefault="00FA12A1" w:rsidP="00A972F6">
      <w:pPr>
        <w:pBdr>
          <w:top w:val="nil"/>
          <w:left w:val="nil"/>
          <w:bottom w:val="nil"/>
          <w:right w:val="nil"/>
          <w:between w:val="nil"/>
        </w:pBdr>
        <w:spacing w:after="160" w:line="259" w:lineRule="auto"/>
        <w:ind w:left="360"/>
        <w:jc w:val="both"/>
        <w:rPr>
          <w:rFonts w:ascii="Tahoma" w:eastAsia="Arial Narrow" w:hAnsi="Tahoma" w:cs="Tahoma"/>
          <w:color w:val="000000"/>
          <w:lang w:val="es-CO" w:eastAsia="es-MX"/>
        </w:rPr>
      </w:pPr>
      <w:r w:rsidRPr="00D95EB0">
        <w:rPr>
          <w:rFonts w:ascii="Tahoma" w:eastAsia="Arial Narrow" w:hAnsi="Tahoma" w:cs="Tahoma"/>
          <w:color w:val="000000"/>
          <w:lang w:val="es-CO" w:eastAsia="es-MX"/>
        </w:rPr>
        <w:t xml:space="preserve">Sería un ideal que teniendo en cuenta la iniciativa que </w:t>
      </w:r>
      <w:r w:rsidR="00C331AD" w:rsidRPr="00D95EB0">
        <w:rPr>
          <w:rFonts w:ascii="Tahoma" w:eastAsia="Arial Narrow" w:hAnsi="Tahoma" w:cs="Tahoma"/>
          <w:color w:val="000000"/>
          <w:lang w:val="es-CO" w:eastAsia="es-MX"/>
        </w:rPr>
        <w:t>ha</w:t>
      </w:r>
      <w:r w:rsidRPr="00D95EB0">
        <w:rPr>
          <w:rFonts w:ascii="Tahoma" w:eastAsia="Arial Narrow" w:hAnsi="Tahoma" w:cs="Tahoma"/>
          <w:color w:val="000000"/>
          <w:lang w:val="es-CO" w:eastAsia="es-MX"/>
        </w:rPr>
        <w:t xml:space="preserve"> propuesto el presidente de la República el Doctor Iván Duque de la implementación de </w:t>
      </w:r>
      <w:r w:rsidR="00C40DC9" w:rsidRPr="00D95EB0">
        <w:rPr>
          <w:rFonts w:ascii="Tahoma" w:eastAsia="Arial Narrow" w:hAnsi="Tahoma" w:cs="Tahoma"/>
          <w:color w:val="000000"/>
          <w:lang w:val="es-CO" w:eastAsia="es-MX"/>
        </w:rPr>
        <w:t xml:space="preserve">la economía naranja, </w:t>
      </w:r>
      <w:r w:rsidRPr="00D95EB0">
        <w:rPr>
          <w:rFonts w:ascii="Tahoma" w:eastAsia="Arial Narrow" w:hAnsi="Tahoma" w:cs="Tahoma"/>
          <w:color w:val="000000"/>
          <w:lang w:val="es-CO" w:eastAsia="es-MX"/>
        </w:rPr>
        <w:t>se aprovec</w:t>
      </w:r>
      <w:r w:rsidR="00C331AD" w:rsidRPr="00D95EB0">
        <w:rPr>
          <w:rFonts w:ascii="Tahoma" w:eastAsia="Arial Narrow" w:hAnsi="Tahoma" w:cs="Tahoma"/>
          <w:color w:val="000000"/>
          <w:lang w:val="es-CO" w:eastAsia="es-MX"/>
        </w:rPr>
        <w:t>h</w:t>
      </w:r>
      <w:r w:rsidRPr="00D95EB0">
        <w:rPr>
          <w:rFonts w:ascii="Tahoma" w:eastAsia="Arial Narrow" w:hAnsi="Tahoma" w:cs="Tahoma"/>
          <w:color w:val="000000"/>
          <w:lang w:val="es-CO" w:eastAsia="es-MX"/>
        </w:rPr>
        <w:t xml:space="preserve">e para que haya la </w:t>
      </w:r>
      <w:r w:rsidR="00C40DC9" w:rsidRPr="00D95EB0">
        <w:rPr>
          <w:rFonts w:ascii="Tahoma" w:eastAsia="Arial Narrow" w:hAnsi="Tahoma" w:cs="Tahoma"/>
          <w:color w:val="000000"/>
          <w:lang w:val="es-CO" w:eastAsia="es-MX"/>
        </w:rPr>
        <w:t xml:space="preserve"> unión de </w:t>
      </w:r>
      <w:r w:rsidRPr="00D95EB0">
        <w:rPr>
          <w:rFonts w:ascii="Tahoma" w:eastAsia="Arial Narrow" w:hAnsi="Tahoma" w:cs="Tahoma"/>
          <w:color w:val="000000"/>
          <w:lang w:val="es-CO" w:eastAsia="es-MX"/>
        </w:rPr>
        <w:t>dos</w:t>
      </w:r>
      <w:r w:rsidR="00C40DC9" w:rsidRPr="00D95EB0">
        <w:rPr>
          <w:rFonts w:ascii="Tahoma" w:eastAsia="Arial Narrow" w:hAnsi="Tahoma" w:cs="Tahoma"/>
          <w:color w:val="000000"/>
          <w:lang w:val="es-CO" w:eastAsia="es-MX"/>
        </w:rPr>
        <w:t xml:space="preserve"> sectores "que tienen como objeto principal la producción o la reproducción, promoción, difusión y/o comercialización de bienes, servicios y actividades de contenido cul</w:t>
      </w:r>
      <w:r w:rsidRPr="00D95EB0">
        <w:rPr>
          <w:rFonts w:ascii="Tahoma" w:eastAsia="Arial Narrow" w:hAnsi="Tahoma" w:cs="Tahoma"/>
          <w:color w:val="000000"/>
          <w:lang w:val="es-CO" w:eastAsia="es-MX"/>
        </w:rPr>
        <w:t xml:space="preserve">tural, artístico o patrimonial", con el fin de que estas </w:t>
      </w:r>
      <w:r w:rsidR="00C40DC9" w:rsidRPr="00D95EB0">
        <w:rPr>
          <w:rFonts w:ascii="Tahoma" w:eastAsia="Arial Narrow" w:hAnsi="Tahoma" w:cs="Tahoma"/>
          <w:color w:val="000000"/>
          <w:lang w:val="es-CO" w:eastAsia="es-MX"/>
        </w:rPr>
        <w:t xml:space="preserve">actividades coordinadas se </w:t>
      </w:r>
      <w:r w:rsidRPr="00D95EB0">
        <w:rPr>
          <w:rFonts w:ascii="Tahoma" w:eastAsia="Arial Narrow" w:hAnsi="Tahoma" w:cs="Tahoma"/>
          <w:color w:val="000000"/>
          <w:lang w:val="es-CO" w:eastAsia="es-MX"/>
        </w:rPr>
        <w:t>puedan transformar</w:t>
      </w:r>
      <w:r w:rsidR="00C40DC9" w:rsidRPr="00D95EB0">
        <w:rPr>
          <w:rFonts w:ascii="Tahoma" w:eastAsia="Arial Narrow" w:hAnsi="Tahoma" w:cs="Tahoma"/>
          <w:color w:val="000000"/>
          <w:lang w:val="es-CO" w:eastAsia="es-MX"/>
        </w:rPr>
        <w:t xml:space="preserve"> en bienes y servicios culturales y/o creativos.</w:t>
      </w:r>
    </w:p>
    <w:p w14:paraId="2073BF38" w14:textId="77777777" w:rsidR="00C40DC9" w:rsidRPr="00D95EB0" w:rsidRDefault="00C40DC9" w:rsidP="00A972F6">
      <w:pPr>
        <w:pBdr>
          <w:top w:val="nil"/>
          <w:left w:val="nil"/>
          <w:bottom w:val="nil"/>
          <w:right w:val="nil"/>
          <w:between w:val="nil"/>
        </w:pBdr>
        <w:spacing w:after="160" w:line="259" w:lineRule="auto"/>
        <w:ind w:left="360"/>
        <w:jc w:val="both"/>
        <w:rPr>
          <w:rFonts w:ascii="Tahoma" w:eastAsia="Arial Narrow" w:hAnsi="Tahoma" w:cs="Tahoma"/>
          <w:color w:val="000000"/>
          <w:lang w:val="es-CO" w:eastAsia="es-MX"/>
        </w:rPr>
      </w:pPr>
      <w:r w:rsidRPr="00D95EB0">
        <w:rPr>
          <w:rFonts w:ascii="Tahoma" w:eastAsia="Arial Narrow" w:hAnsi="Tahoma" w:cs="Tahoma"/>
          <w:color w:val="000000"/>
          <w:lang w:val="es-CO" w:eastAsia="es-MX"/>
        </w:rPr>
        <w:t>Según datos de la Cuenta Satélite de Cultura (CSC), el valor agregado del campo cultural en el año 2017 fue de $8.2 billones, frente a $6.2 billones registrados en 2010.</w:t>
      </w:r>
    </w:p>
    <w:p w14:paraId="137B9D4A" w14:textId="77777777" w:rsidR="00C40DC9" w:rsidRPr="00D95EB0" w:rsidRDefault="00C40DC9" w:rsidP="00A972F6">
      <w:pPr>
        <w:pBdr>
          <w:top w:val="nil"/>
          <w:left w:val="nil"/>
          <w:bottom w:val="nil"/>
          <w:right w:val="nil"/>
          <w:between w:val="nil"/>
        </w:pBdr>
        <w:spacing w:after="160" w:line="259" w:lineRule="auto"/>
        <w:ind w:left="360"/>
        <w:jc w:val="both"/>
        <w:rPr>
          <w:rFonts w:ascii="Tahoma" w:eastAsia="Arial Narrow" w:hAnsi="Tahoma" w:cs="Tahoma"/>
          <w:color w:val="000000"/>
          <w:lang w:val="es-CO" w:eastAsia="es-MX"/>
        </w:rPr>
      </w:pPr>
      <w:r w:rsidRPr="00D95EB0">
        <w:rPr>
          <w:rFonts w:ascii="Tahoma" w:eastAsia="Arial Narrow" w:hAnsi="Tahoma" w:cs="Tahoma"/>
          <w:color w:val="000000"/>
          <w:lang w:val="es-CO" w:eastAsia="es-MX"/>
        </w:rPr>
        <w:t>Los sectores con mayor participación fueron el audiovisual con 43,2%, los libros y publicaciones con 21,9%, la educación cultural con 19,3% y el diseño publicitario con 8,7%.</w:t>
      </w:r>
    </w:p>
    <w:p w14:paraId="084DE07A" w14:textId="77777777" w:rsidR="00C40DC9" w:rsidRPr="00D95EB0" w:rsidRDefault="00C40DC9" w:rsidP="00A972F6">
      <w:pPr>
        <w:pBdr>
          <w:top w:val="nil"/>
          <w:left w:val="nil"/>
          <w:bottom w:val="nil"/>
          <w:right w:val="nil"/>
          <w:between w:val="nil"/>
        </w:pBdr>
        <w:ind w:left="360"/>
        <w:jc w:val="both"/>
        <w:rPr>
          <w:rFonts w:ascii="Tahoma" w:eastAsia="Arial Narrow" w:hAnsi="Tahoma" w:cs="Tahoma"/>
          <w:color w:val="000000"/>
        </w:rPr>
      </w:pPr>
      <w:r w:rsidRPr="00D95EB0">
        <w:rPr>
          <w:rFonts w:ascii="Tahoma" w:eastAsia="Arial Narrow" w:hAnsi="Tahoma" w:cs="Tahoma"/>
          <w:color w:val="000000"/>
          <w:lang w:val="es-CO" w:eastAsia="es-MX"/>
        </w:rPr>
        <w:t>La participación de la economía naranja en el valor agregado total de la economía del país se ubicó en el 1.1% entre 2005 y 2017. Por su parte, el crecimiento promedio del campo cultural fue del 5.5% anual entre el mismo periodo de tiempo.</w:t>
      </w:r>
      <w:r w:rsidRPr="00D95EB0">
        <w:rPr>
          <w:rFonts w:ascii="Tahoma" w:eastAsia="Arial Narrow" w:hAnsi="Tahoma" w:cs="Tahoma"/>
          <w:color w:val="000000"/>
        </w:rPr>
        <w:t xml:space="preserve"> En 2017, el sector de Industrias Creativas y Culturales generó un total de 247.849 empleos, y se espera que para 2022 se haya fortalecido no solo en materia de creación de empleos sino también en innovación, diversificación y sostenibilidad.</w:t>
      </w:r>
    </w:p>
    <w:p w14:paraId="2EA94B77" w14:textId="77777777" w:rsidR="00C40DC9" w:rsidRPr="00D95EB0" w:rsidRDefault="00467A31" w:rsidP="00A972F6">
      <w:pPr>
        <w:pBdr>
          <w:top w:val="nil"/>
          <w:left w:val="nil"/>
          <w:bottom w:val="nil"/>
          <w:right w:val="nil"/>
          <w:between w:val="nil"/>
        </w:pBdr>
        <w:ind w:left="360"/>
        <w:jc w:val="both"/>
        <w:rPr>
          <w:rFonts w:ascii="Tahoma" w:eastAsia="Arial" w:hAnsi="Tahoma" w:cs="Tahoma"/>
          <w:color w:val="666666"/>
        </w:rPr>
      </w:pPr>
      <w:hyperlink r:id="rId7">
        <w:r w:rsidR="00C40DC9" w:rsidRPr="00D95EB0">
          <w:rPr>
            <w:rFonts w:ascii="Tahoma" w:eastAsia="Arial Narrow" w:hAnsi="Tahoma" w:cs="Tahoma"/>
            <w:color w:val="000000"/>
          </w:rPr>
          <w:t>El potencial para el crecimiento y consolidación de los servicios creativos en Colombia es enorme.</w:t>
        </w:r>
      </w:hyperlink>
      <w:r w:rsidR="00C40DC9" w:rsidRPr="00D95EB0">
        <w:rPr>
          <w:rFonts w:ascii="Tahoma" w:eastAsia="Arial Narrow" w:hAnsi="Tahoma" w:cs="Tahoma"/>
          <w:color w:val="000000"/>
        </w:rPr>
        <w:t xml:space="preserve"> Tan solo en Bogotá se reúnen el 92% de las industrias del sector cultural y a lo largo del territorio nacional nacen nuevos proyectos que representan una importante oportunidad de desarrollo económico e inversión por parte de empresas de todo el mundo.</w:t>
      </w:r>
    </w:p>
    <w:p w14:paraId="2FC0CEFA" w14:textId="77777777" w:rsidR="00C40DC9" w:rsidRPr="00D95EB0" w:rsidRDefault="00933DA9" w:rsidP="00A972F6">
      <w:pPr>
        <w:ind w:left="360"/>
        <w:jc w:val="both"/>
        <w:rPr>
          <w:rFonts w:ascii="Tahoma" w:eastAsia="Arial Narrow" w:hAnsi="Tahoma" w:cs="Tahoma"/>
          <w:color w:val="000000"/>
        </w:rPr>
      </w:pPr>
      <w:r w:rsidRPr="00D95EB0">
        <w:rPr>
          <w:rFonts w:ascii="Tahoma" w:eastAsia="Arial Narrow" w:hAnsi="Tahoma" w:cs="Tahoma"/>
          <w:color w:val="000000"/>
        </w:rPr>
        <w:t xml:space="preserve">De allí que la presente iniciativa legislativa proponga que se hace necesario </w:t>
      </w:r>
      <w:r w:rsidR="00C40DC9" w:rsidRPr="00D95EB0">
        <w:rPr>
          <w:rFonts w:ascii="Tahoma" w:eastAsia="Arial Narrow" w:hAnsi="Tahoma" w:cs="Tahoma"/>
          <w:color w:val="000000"/>
        </w:rPr>
        <w:t xml:space="preserve"> permitir el cobro de servicios culturales</w:t>
      </w:r>
      <w:r w:rsidR="003A33F3" w:rsidRPr="00D95EB0">
        <w:rPr>
          <w:rFonts w:ascii="Tahoma" w:eastAsia="Arial Narrow" w:hAnsi="Tahoma" w:cs="Tahoma"/>
          <w:color w:val="000000"/>
        </w:rPr>
        <w:t xml:space="preserve"> que presta el Instituto colombiano de Antropología e Historia, con el fin de </w:t>
      </w:r>
      <w:r w:rsidR="00C40DC9" w:rsidRPr="00D95EB0">
        <w:rPr>
          <w:rFonts w:ascii="Tahoma" w:eastAsia="Arial Narrow" w:hAnsi="Tahoma" w:cs="Tahoma"/>
          <w:color w:val="000000"/>
        </w:rPr>
        <w:t xml:space="preserve">cumplir cabal y oportunamente con los múltiples requerimientos que la normativa sobre patrimonio arqueológico exige actualmente, permitiendo generar </w:t>
      </w:r>
      <w:r w:rsidR="00C40DC9" w:rsidRPr="00D95EB0">
        <w:rPr>
          <w:rFonts w:ascii="Tahoma" w:eastAsia="Arial Narrow" w:hAnsi="Tahoma" w:cs="Tahoma"/>
          <w:color w:val="000000"/>
        </w:rPr>
        <w:lastRenderedPageBreak/>
        <w:t>capacidades y condiciones institucionales y sociales para administrar de manera coordinada y concertada el patrimonio cultural arqueológico y etnográfico de la nación.</w:t>
      </w:r>
    </w:p>
    <w:p w14:paraId="12D10FE2" w14:textId="77777777" w:rsidR="007164EF" w:rsidRPr="00D95EB0" w:rsidRDefault="00680759" w:rsidP="00680759">
      <w:pPr>
        <w:pStyle w:val="Prrafodelista"/>
        <w:numPr>
          <w:ilvl w:val="0"/>
          <w:numId w:val="11"/>
        </w:numPr>
        <w:spacing w:before="240" w:after="0"/>
        <w:jc w:val="both"/>
        <w:rPr>
          <w:rFonts w:ascii="Tahoma" w:eastAsia="Times New Roman" w:hAnsi="Tahoma" w:cs="Tahoma"/>
          <w:b/>
          <w:lang w:eastAsia="es-ES"/>
        </w:rPr>
      </w:pPr>
      <w:r w:rsidRPr="00D95EB0">
        <w:rPr>
          <w:rFonts w:ascii="Tahoma" w:eastAsia="Times New Roman" w:hAnsi="Tahoma" w:cs="Tahoma"/>
          <w:b/>
          <w:lang w:eastAsia="es-ES"/>
        </w:rPr>
        <w:t xml:space="preserve">MARCO JURÍDICO </w:t>
      </w:r>
    </w:p>
    <w:p w14:paraId="795B1A61" w14:textId="77777777" w:rsidR="00933DA9" w:rsidRPr="00D95EB0" w:rsidRDefault="00933DA9" w:rsidP="00933DA9">
      <w:pPr>
        <w:pStyle w:val="Prrafodelista"/>
        <w:spacing w:before="240" w:after="0"/>
        <w:jc w:val="both"/>
        <w:rPr>
          <w:rFonts w:ascii="Tahoma" w:eastAsia="Times New Roman" w:hAnsi="Tahoma" w:cs="Tahoma"/>
          <w:b/>
          <w:lang w:eastAsia="es-ES"/>
        </w:rPr>
      </w:pPr>
    </w:p>
    <w:p w14:paraId="370FEDCE" w14:textId="77777777" w:rsidR="007164EF" w:rsidRPr="00D95EB0" w:rsidRDefault="007164EF" w:rsidP="00E20A33">
      <w:pPr>
        <w:pStyle w:val="Prrafodelista"/>
        <w:numPr>
          <w:ilvl w:val="0"/>
          <w:numId w:val="6"/>
        </w:numPr>
        <w:spacing w:before="240" w:after="0"/>
        <w:jc w:val="both"/>
        <w:rPr>
          <w:rFonts w:ascii="Tahoma" w:eastAsia="Times New Roman" w:hAnsi="Tahoma" w:cs="Tahoma"/>
          <w:b/>
          <w:lang w:eastAsia="es-ES"/>
        </w:rPr>
      </w:pPr>
      <w:r w:rsidRPr="00D95EB0">
        <w:rPr>
          <w:rFonts w:ascii="Tahoma" w:eastAsia="Times New Roman" w:hAnsi="Tahoma" w:cs="Tahoma"/>
          <w:b/>
          <w:lang w:eastAsia="es-ES"/>
        </w:rPr>
        <w:t xml:space="preserve">Aspectos Constitucionales </w:t>
      </w:r>
    </w:p>
    <w:p w14:paraId="7922C755" w14:textId="77777777" w:rsidR="007164EF" w:rsidRPr="00D95EB0" w:rsidRDefault="007164EF" w:rsidP="00933DA9">
      <w:pPr>
        <w:spacing w:before="240" w:after="0"/>
        <w:ind w:left="360"/>
        <w:jc w:val="both"/>
        <w:rPr>
          <w:rFonts w:ascii="Tahoma" w:eastAsia="Times New Roman" w:hAnsi="Tahoma" w:cs="Tahoma"/>
          <w:color w:val="000000"/>
          <w:shd w:val="clear" w:color="auto" w:fill="FFFFFF"/>
          <w:lang w:eastAsia="es-ES"/>
        </w:rPr>
      </w:pPr>
      <w:r w:rsidRPr="00D95EB0">
        <w:rPr>
          <w:rFonts w:ascii="Tahoma" w:eastAsia="Times New Roman" w:hAnsi="Tahoma" w:cs="Tahoma"/>
          <w:color w:val="000000"/>
          <w:shd w:val="clear" w:color="auto" w:fill="FFFFFF"/>
          <w:lang w:eastAsia="es-ES"/>
        </w:rPr>
        <w:t>La Constitución Política  en su artículo 150, establece la competencia al Congreso de hacer las leyes. Por medio de ellas ejerce las siguientes funciones:</w:t>
      </w:r>
    </w:p>
    <w:p w14:paraId="4645FD5E" w14:textId="77777777" w:rsidR="007164EF" w:rsidRPr="00D95EB0" w:rsidRDefault="007164EF" w:rsidP="00A972F6">
      <w:pPr>
        <w:pStyle w:val="Prrafodelista"/>
        <w:numPr>
          <w:ilvl w:val="0"/>
          <w:numId w:val="4"/>
        </w:numPr>
        <w:spacing w:before="240" w:after="0"/>
        <w:jc w:val="both"/>
        <w:rPr>
          <w:rFonts w:ascii="Tahoma" w:eastAsia="Times New Roman" w:hAnsi="Tahoma" w:cs="Tahoma"/>
          <w:color w:val="000000"/>
          <w:shd w:val="clear" w:color="auto" w:fill="FFFFFF"/>
          <w:lang w:eastAsia="es-ES"/>
        </w:rPr>
      </w:pPr>
      <w:r w:rsidRPr="00D95EB0">
        <w:rPr>
          <w:rFonts w:ascii="Tahoma" w:eastAsia="Times New Roman" w:hAnsi="Tahoma" w:cs="Tahoma"/>
          <w:color w:val="000000"/>
          <w:shd w:val="clear" w:color="auto" w:fill="FFFFFF"/>
          <w:lang w:eastAsia="es-ES"/>
        </w:rPr>
        <w:t xml:space="preserve">Interpretar, reformar y derogar las leyes </w:t>
      </w:r>
    </w:p>
    <w:p w14:paraId="0615D1CC" w14:textId="77777777" w:rsidR="007164EF" w:rsidRPr="00D95EB0" w:rsidRDefault="007164EF" w:rsidP="00933DA9">
      <w:pPr>
        <w:spacing w:before="240" w:after="0"/>
        <w:ind w:left="360"/>
        <w:jc w:val="both"/>
        <w:rPr>
          <w:rFonts w:ascii="Tahoma" w:eastAsia="Times New Roman" w:hAnsi="Tahoma" w:cs="Tahoma"/>
          <w:color w:val="000000"/>
          <w:shd w:val="clear" w:color="auto" w:fill="FFFFFF"/>
          <w:lang w:eastAsia="es-ES"/>
        </w:rPr>
      </w:pPr>
      <w:r w:rsidRPr="00D95EB0">
        <w:rPr>
          <w:rFonts w:ascii="Tahoma" w:eastAsia="Times New Roman" w:hAnsi="Tahoma" w:cs="Tahoma"/>
          <w:color w:val="000000"/>
          <w:shd w:val="clear" w:color="auto" w:fill="FFFFFF"/>
          <w:lang w:eastAsia="es-ES"/>
        </w:rPr>
        <w:t>De la misma manera en su  artículo 154  la norma Superior establece  que las leyes pueden tener origen en cualquiera de las Cámaras  a propuesta de sus respectivos miembros, del Gobierno Nacional, de las entidades señaladas en el artículo 156, o por iniciativa popular en los casos previstos en la Constitución.</w:t>
      </w:r>
    </w:p>
    <w:p w14:paraId="0E1E4000" w14:textId="77777777" w:rsidR="00C40DC9" w:rsidRPr="00D95EB0" w:rsidRDefault="00C40DC9" w:rsidP="00A972F6">
      <w:pPr>
        <w:jc w:val="both"/>
        <w:rPr>
          <w:rFonts w:ascii="Tahoma" w:eastAsia="Calibri" w:hAnsi="Tahoma" w:cs="Tahoma"/>
        </w:rPr>
      </w:pPr>
    </w:p>
    <w:p w14:paraId="3989FF04" w14:textId="77777777" w:rsidR="007164EF" w:rsidRPr="00D95EB0" w:rsidRDefault="007164EF" w:rsidP="00E20A33">
      <w:pPr>
        <w:pStyle w:val="Prrafodelista"/>
        <w:numPr>
          <w:ilvl w:val="0"/>
          <w:numId w:val="7"/>
        </w:numPr>
        <w:jc w:val="both"/>
        <w:rPr>
          <w:rFonts w:ascii="Tahoma" w:eastAsia="Calibri" w:hAnsi="Tahoma" w:cs="Tahoma"/>
          <w:b/>
        </w:rPr>
      </w:pPr>
      <w:r w:rsidRPr="00D95EB0">
        <w:rPr>
          <w:rFonts w:ascii="Tahoma" w:eastAsia="Calibri" w:hAnsi="Tahoma" w:cs="Tahoma"/>
          <w:b/>
        </w:rPr>
        <w:t>Aspectos Legales</w:t>
      </w:r>
    </w:p>
    <w:p w14:paraId="7E090D13" w14:textId="77777777" w:rsidR="00933DA9" w:rsidRPr="00D95EB0" w:rsidRDefault="00933DA9" w:rsidP="00933DA9">
      <w:pPr>
        <w:pStyle w:val="Prrafodelista"/>
        <w:jc w:val="both"/>
        <w:rPr>
          <w:rFonts w:ascii="Tahoma" w:eastAsia="Calibri" w:hAnsi="Tahoma" w:cs="Tahoma"/>
        </w:rPr>
      </w:pPr>
    </w:p>
    <w:p w14:paraId="3C477CD3" w14:textId="77777777" w:rsidR="00933DA9" w:rsidRPr="00D95EB0" w:rsidRDefault="00933DA9" w:rsidP="00933DA9">
      <w:pPr>
        <w:pStyle w:val="Prrafodelista"/>
        <w:numPr>
          <w:ilvl w:val="0"/>
          <w:numId w:val="10"/>
        </w:numPr>
        <w:jc w:val="both"/>
        <w:rPr>
          <w:rFonts w:ascii="Tahoma" w:eastAsia="Calibri" w:hAnsi="Tahoma" w:cs="Tahoma"/>
        </w:rPr>
      </w:pPr>
      <w:r w:rsidRPr="00D95EB0">
        <w:rPr>
          <w:rFonts w:ascii="Tahoma" w:eastAsia="Calibri" w:hAnsi="Tahoma" w:cs="Tahoma"/>
        </w:rPr>
        <w:t>Ley 397 de</w:t>
      </w:r>
      <w:r w:rsidR="00680759" w:rsidRPr="00D95EB0">
        <w:rPr>
          <w:rFonts w:ascii="Tahoma" w:eastAsia="Calibri" w:hAnsi="Tahoma" w:cs="Tahoma"/>
        </w:rPr>
        <w:t xml:space="preserve"> 1997 “</w:t>
      </w:r>
      <w:r w:rsidR="00680759" w:rsidRPr="00D95EB0">
        <w:rPr>
          <w:rFonts w:ascii="Tahoma" w:hAnsi="Tahoma" w:cs="Tahoma"/>
        </w:rPr>
        <w:t>Por la cual se desarrollan los artículos </w:t>
      </w:r>
      <w:hyperlink r:id="rId8" w:anchor="70" w:history="1">
        <w:r w:rsidR="00680759" w:rsidRPr="00D95EB0">
          <w:rPr>
            <w:rFonts w:ascii="Tahoma" w:hAnsi="Tahoma" w:cs="Tahoma"/>
          </w:rPr>
          <w:t>70</w:t>
        </w:r>
      </w:hyperlink>
      <w:r w:rsidR="00680759" w:rsidRPr="00D95EB0">
        <w:rPr>
          <w:rFonts w:ascii="Tahoma" w:hAnsi="Tahoma" w:cs="Tahoma"/>
        </w:rPr>
        <w:t>, </w:t>
      </w:r>
      <w:hyperlink r:id="rId9" w:anchor="71" w:history="1">
        <w:r w:rsidR="00680759" w:rsidRPr="00D95EB0">
          <w:rPr>
            <w:rFonts w:ascii="Tahoma" w:hAnsi="Tahoma" w:cs="Tahoma"/>
          </w:rPr>
          <w:t>71</w:t>
        </w:r>
      </w:hyperlink>
      <w:r w:rsidR="00680759" w:rsidRPr="00D95EB0">
        <w:rPr>
          <w:rFonts w:ascii="Tahoma" w:hAnsi="Tahoma" w:cs="Tahoma"/>
        </w:rPr>
        <w:t> y </w:t>
      </w:r>
      <w:hyperlink r:id="rId10" w:anchor="72" w:history="1">
        <w:r w:rsidR="00680759" w:rsidRPr="00D95EB0">
          <w:rPr>
            <w:rFonts w:ascii="Tahoma" w:hAnsi="Tahoma" w:cs="Tahoma"/>
          </w:rPr>
          <w:t>72</w:t>
        </w:r>
      </w:hyperlink>
      <w:r w:rsidR="00680759" w:rsidRPr="00D95EB0">
        <w:rPr>
          <w:rFonts w:ascii="Tahoma" w:hAnsi="Tahoma" w:cs="Tahoma"/>
        </w:rPr>
        <w:t> y demás artículos concordantes de la Constitución Política y se dictan normas sobre patrimonio cultural, fomentos y estímulos a la cultura, se crea el Ministerio de la Cultura y se trasladan algunas dependencias.”</w:t>
      </w:r>
    </w:p>
    <w:p w14:paraId="1D8C8C49" w14:textId="77777777" w:rsidR="00680759" w:rsidRPr="00D95EB0" w:rsidRDefault="00680759" w:rsidP="00680759">
      <w:pPr>
        <w:pStyle w:val="Prrafodelista"/>
        <w:jc w:val="both"/>
        <w:rPr>
          <w:rFonts w:ascii="Tahoma" w:eastAsia="Calibri" w:hAnsi="Tahoma" w:cs="Tahoma"/>
        </w:rPr>
      </w:pPr>
    </w:p>
    <w:p w14:paraId="33EE99FF" w14:textId="77777777" w:rsidR="00E20A33" w:rsidRPr="00D95EB0" w:rsidRDefault="00F409FE" w:rsidP="00E20A33">
      <w:pPr>
        <w:pStyle w:val="Prrafodelista"/>
        <w:numPr>
          <w:ilvl w:val="0"/>
          <w:numId w:val="8"/>
        </w:numPr>
        <w:jc w:val="both"/>
        <w:rPr>
          <w:rFonts w:ascii="Tahoma" w:hAnsi="Tahoma" w:cs="Tahoma"/>
        </w:rPr>
      </w:pPr>
      <w:r w:rsidRPr="00D95EB0">
        <w:rPr>
          <w:rFonts w:ascii="Tahoma" w:hAnsi="Tahoma" w:cs="Tahoma"/>
        </w:rPr>
        <w:t>Ley 1185 de 2008 “por la cual se modifica y adiciona la Ley 397 de 1997 -Ley General de Cultura- y se dictan otras disposiciones”</w:t>
      </w:r>
    </w:p>
    <w:p w14:paraId="63969E6E" w14:textId="77777777" w:rsidR="00680759" w:rsidRPr="00D95EB0" w:rsidRDefault="00680759" w:rsidP="00680759">
      <w:pPr>
        <w:pStyle w:val="Prrafodelista"/>
        <w:jc w:val="both"/>
        <w:rPr>
          <w:rFonts w:ascii="Tahoma" w:hAnsi="Tahoma" w:cs="Tahoma"/>
        </w:rPr>
      </w:pPr>
    </w:p>
    <w:p w14:paraId="2448D727" w14:textId="77777777" w:rsidR="00E20A33" w:rsidRPr="00D95EB0" w:rsidRDefault="005D18A0" w:rsidP="005D18A0">
      <w:pPr>
        <w:pStyle w:val="Prrafodelista"/>
        <w:numPr>
          <w:ilvl w:val="0"/>
          <w:numId w:val="8"/>
        </w:numPr>
        <w:jc w:val="both"/>
        <w:rPr>
          <w:rFonts w:ascii="Tahoma" w:hAnsi="Tahoma" w:cs="Tahoma"/>
        </w:rPr>
      </w:pPr>
      <w:r w:rsidRPr="00D95EB0">
        <w:rPr>
          <w:rFonts w:ascii="Tahoma" w:hAnsi="Tahoma" w:cs="Tahoma"/>
        </w:rPr>
        <w:t>Decreto 1080 de 2015"Por medio del cual se expide el Decreto Único Reglamentario del Sector Cultura"</w:t>
      </w:r>
    </w:p>
    <w:p w14:paraId="1972A9F1" w14:textId="77777777" w:rsidR="003A76B8" w:rsidRPr="00D95EB0" w:rsidRDefault="003A76B8" w:rsidP="003A76B8">
      <w:pPr>
        <w:pStyle w:val="Prrafodelista"/>
        <w:jc w:val="both"/>
        <w:rPr>
          <w:rFonts w:ascii="Tahoma" w:hAnsi="Tahoma" w:cs="Tahoma"/>
        </w:rPr>
      </w:pPr>
    </w:p>
    <w:p w14:paraId="5EEE53EC" w14:textId="77777777" w:rsidR="00E73A85" w:rsidRPr="00D95EB0" w:rsidRDefault="00CF2FF6" w:rsidP="00CF2FF6">
      <w:pPr>
        <w:pStyle w:val="Prrafodelista"/>
        <w:numPr>
          <w:ilvl w:val="0"/>
          <w:numId w:val="11"/>
        </w:numPr>
        <w:jc w:val="both"/>
        <w:rPr>
          <w:rFonts w:ascii="Tahoma" w:eastAsia="Calibri" w:hAnsi="Tahoma" w:cs="Tahoma"/>
          <w:b/>
        </w:rPr>
      </w:pPr>
      <w:r w:rsidRPr="00D95EB0">
        <w:rPr>
          <w:rFonts w:ascii="Tahoma" w:eastAsia="Calibri" w:hAnsi="Tahoma" w:cs="Tahoma"/>
          <w:b/>
        </w:rPr>
        <w:t>IMPACTO FISCAL</w:t>
      </w:r>
    </w:p>
    <w:p w14:paraId="7816689C" w14:textId="77777777" w:rsidR="00E73A85" w:rsidRPr="00D95EB0" w:rsidRDefault="00E73A85" w:rsidP="00680759">
      <w:pPr>
        <w:ind w:left="360"/>
        <w:jc w:val="both"/>
        <w:rPr>
          <w:rFonts w:ascii="Tahoma" w:eastAsia="Calibri" w:hAnsi="Tahoma" w:cs="Tahoma"/>
        </w:rPr>
      </w:pPr>
      <w:r w:rsidRPr="00D95EB0">
        <w:rPr>
          <w:rFonts w:ascii="Tahoma" w:eastAsia="Calibri" w:hAnsi="Tahoma" w:cs="Tahoma"/>
        </w:rPr>
        <w:t>La presente iniciativa legislativa no tiene un impacto fiscal negativo,</w:t>
      </w:r>
      <w:r w:rsidR="003A33F3" w:rsidRPr="00D95EB0">
        <w:rPr>
          <w:rFonts w:ascii="Tahoma" w:eastAsia="Calibri" w:hAnsi="Tahoma" w:cs="Tahoma"/>
        </w:rPr>
        <w:t xml:space="preserve"> no requiere para su desarrollo del presupuesto General de la Nación,</w:t>
      </w:r>
      <w:r w:rsidRPr="00D95EB0">
        <w:rPr>
          <w:rFonts w:ascii="Tahoma" w:eastAsia="Calibri" w:hAnsi="Tahoma" w:cs="Tahoma"/>
        </w:rPr>
        <w:t xml:space="preserve"> </w:t>
      </w:r>
      <w:r w:rsidR="00680759" w:rsidRPr="00D95EB0">
        <w:rPr>
          <w:rFonts w:ascii="Tahoma" w:eastAsia="Calibri" w:hAnsi="Tahoma" w:cs="Tahoma"/>
        </w:rPr>
        <w:t>permite contribuir al</w:t>
      </w:r>
      <w:r w:rsidRPr="00D95EB0">
        <w:rPr>
          <w:rFonts w:ascii="Tahoma" w:eastAsia="Calibri" w:hAnsi="Tahoma" w:cs="Tahoma"/>
        </w:rPr>
        <w:t xml:space="preserve"> mejoramiento de los instrumentos de gestión y financieros existentes. Así mismo</w:t>
      </w:r>
      <w:r w:rsidR="003A33F3" w:rsidRPr="00D95EB0">
        <w:rPr>
          <w:rFonts w:ascii="Tahoma" w:eastAsia="Calibri" w:hAnsi="Tahoma" w:cs="Tahoma"/>
        </w:rPr>
        <w:t xml:space="preserve"> incentiva</w:t>
      </w:r>
      <w:r w:rsidRPr="00D95EB0">
        <w:rPr>
          <w:rFonts w:ascii="Tahoma" w:eastAsia="Calibri" w:hAnsi="Tahoma" w:cs="Tahoma"/>
        </w:rPr>
        <w:t xml:space="preserve"> las posibilidades sociales e institucionales para crear, producir y consumir bienes y servicios culturales, en el marco de proyectos de economía naranja, aprovechando la diversidad de todas las anteriores manifestaciones y activos en los territorios.</w:t>
      </w:r>
    </w:p>
    <w:p w14:paraId="0EB82DBF" w14:textId="1FCEA4AE" w:rsidR="00CF2FF6" w:rsidRDefault="00CF2FF6" w:rsidP="00680759">
      <w:pPr>
        <w:ind w:left="360"/>
        <w:jc w:val="both"/>
        <w:rPr>
          <w:rFonts w:ascii="Tahoma" w:eastAsia="Times New Roman" w:hAnsi="Tahoma" w:cs="Tahoma"/>
          <w:lang w:val="es-CO" w:eastAsia="es-CO"/>
        </w:rPr>
      </w:pPr>
      <w:r w:rsidRPr="00D95EB0">
        <w:rPr>
          <w:rFonts w:ascii="Tahoma" w:eastAsia="Times New Roman" w:hAnsi="Tahoma" w:cs="Tahoma"/>
          <w:lang w:val="es-CO" w:eastAsia="es-CO"/>
        </w:rPr>
        <w:lastRenderedPageBreak/>
        <w:t xml:space="preserve">En este sentido, </w:t>
      </w:r>
      <w:r w:rsidR="0016556D" w:rsidRPr="00D95EB0">
        <w:rPr>
          <w:rFonts w:ascii="Tahoma" w:eastAsia="Times New Roman" w:hAnsi="Tahoma" w:cs="Tahoma"/>
          <w:lang w:val="es-CO" w:eastAsia="es-CO"/>
        </w:rPr>
        <w:t>presentó a</w:t>
      </w:r>
      <w:r w:rsidRPr="00D95EB0">
        <w:rPr>
          <w:rFonts w:ascii="Tahoma" w:eastAsia="Times New Roman" w:hAnsi="Tahoma" w:cs="Tahoma"/>
          <w:lang w:val="es-CO" w:eastAsia="es-CO"/>
        </w:rPr>
        <w:t xml:space="preserve"> consideración del Congreso de la Republica este proyecto de ley que contribuye a un manejo eficaz de los recursos en el ámbito de la </w:t>
      </w:r>
      <w:r w:rsidR="003A33F3" w:rsidRPr="00D95EB0">
        <w:rPr>
          <w:rFonts w:ascii="Tahoma" w:eastAsia="Times New Roman" w:hAnsi="Tahoma" w:cs="Tahoma"/>
          <w:lang w:val="es-CO" w:eastAsia="es-CO"/>
        </w:rPr>
        <w:t xml:space="preserve">arqueología, la antropología y la </w:t>
      </w:r>
      <w:r w:rsidR="0016556D" w:rsidRPr="00D95EB0">
        <w:rPr>
          <w:rFonts w:ascii="Tahoma" w:eastAsia="Times New Roman" w:hAnsi="Tahoma" w:cs="Tahoma"/>
          <w:lang w:val="es-CO" w:eastAsia="es-CO"/>
        </w:rPr>
        <w:t>historia, y</w:t>
      </w:r>
      <w:r w:rsidRPr="00D95EB0">
        <w:rPr>
          <w:rFonts w:ascii="Tahoma" w:eastAsia="Times New Roman" w:hAnsi="Tahoma" w:cs="Tahoma"/>
          <w:lang w:val="es-CO" w:eastAsia="es-CO"/>
        </w:rPr>
        <w:t xml:space="preserve"> se relaciona con las líneas de las bases del Plan Nacional de Desarrollo, particularmente lo relativo al Capitulo X, </w:t>
      </w:r>
      <w:r w:rsidR="0016556D" w:rsidRPr="00D95EB0">
        <w:rPr>
          <w:rFonts w:ascii="Tahoma" w:eastAsia="Times New Roman" w:hAnsi="Tahoma" w:cs="Tahoma"/>
          <w:lang w:val="es-CO" w:eastAsia="es-CO"/>
        </w:rPr>
        <w:t>Pacto por</w:t>
      </w:r>
      <w:r w:rsidRPr="00D95EB0">
        <w:rPr>
          <w:rFonts w:ascii="Tahoma" w:eastAsia="Times New Roman" w:hAnsi="Tahoma" w:cs="Tahoma"/>
          <w:lang w:val="es-CO" w:eastAsia="es-CO"/>
        </w:rPr>
        <w:t xml:space="preserve"> la identidad y la creatividad desarrollo de la economía naranja y protección promoción de nuestra cultura, para iniciar el trámite correspondiente.</w:t>
      </w:r>
    </w:p>
    <w:p w14:paraId="48CE99AC" w14:textId="7F5D641A" w:rsidR="0061567F" w:rsidRPr="00D95EB0" w:rsidRDefault="005F08D8" w:rsidP="00680759">
      <w:pPr>
        <w:ind w:left="360"/>
        <w:jc w:val="both"/>
        <w:rPr>
          <w:rFonts w:ascii="Tahoma" w:eastAsia="Calibri" w:hAnsi="Tahoma" w:cs="Tahoma"/>
        </w:rPr>
      </w:pPr>
      <w:r>
        <w:rPr>
          <w:rFonts w:ascii="Tahoma" w:eastAsia="Calibri" w:hAnsi="Tahoma" w:cs="Tahoma"/>
        </w:rPr>
        <w:t>Cordialmente,</w:t>
      </w:r>
    </w:p>
    <w:p w14:paraId="4ABFC2A4" w14:textId="7960AA95" w:rsidR="002238E2" w:rsidRPr="00D95EB0" w:rsidRDefault="002238E2" w:rsidP="00A972F6">
      <w:pPr>
        <w:jc w:val="both"/>
        <w:rPr>
          <w:rFonts w:ascii="Tahoma" w:eastAsia="Calibri" w:hAnsi="Tahoma" w:cs="Tahoma"/>
        </w:rPr>
      </w:pPr>
    </w:p>
    <w:p w14:paraId="399AE7A5" w14:textId="77777777" w:rsidR="002238E2" w:rsidRPr="00D95EB0" w:rsidRDefault="002238E2" w:rsidP="00A972F6">
      <w:pPr>
        <w:jc w:val="both"/>
        <w:rPr>
          <w:rFonts w:ascii="Tahoma" w:eastAsia="Calibri" w:hAnsi="Tahoma" w:cs="Tahoma"/>
        </w:rPr>
      </w:pPr>
    </w:p>
    <w:p w14:paraId="06B56529" w14:textId="3955254B" w:rsidR="002238E2" w:rsidRPr="00D95EB0" w:rsidRDefault="002238E2" w:rsidP="00CF2FF6">
      <w:pPr>
        <w:spacing w:after="0" w:line="240" w:lineRule="auto"/>
        <w:ind w:firstLine="360"/>
        <w:jc w:val="both"/>
        <w:rPr>
          <w:rFonts w:ascii="Tahoma" w:eastAsia="Calibri" w:hAnsi="Tahoma" w:cs="Tahoma"/>
          <w:b/>
        </w:rPr>
      </w:pPr>
      <w:r w:rsidRPr="00D95EB0">
        <w:rPr>
          <w:rFonts w:ascii="Tahoma" w:eastAsia="Calibri" w:hAnsi="Tahoma" w:cs="Tahoma"/>
          <w:b/>
        </w:rPr>
        <w:t xml:space="preserve">AMANDA ROCIO GONZALEZ </w:t>
      </w:r>
      <w:r w:rsidR="0061567F">
        <w:rPr>
          <w:rFonts w:ascii="Tahoma" w:eastAsia="Calibri" w:hAnsi="Tahoma" w:cs="Tahoma"/>
          <w:b/>
        </w:rPr>
        <w:tab/>
      </w:r>
      <w:r w:rsidR="0061567F">
        <w:rPr>
          <w:rFonts w:ascii="Tahoma" w:eastAsia="Calibri" w:hAnsi="Tahoma" w:cs="Tahoma"/>
          <w:b/>
        </w:rPr>
        <w:tab/>
      </w:r>
      <w:r w:rsidR="0061567F">
        <w:rPr>
          <w:rFonts w:ascii="Tahoma" w:eastAsia="Calibri" w:hAnsi="Tahoma" w:cs="Tahoma"/>
          <w:b/>
        </w:rPr>
        <w:tab/>
        <w:t>RUBY HELENA CHAGUI SPATH</w:t>
      </w:r>
    </w:p>
    <w:p w14:paraId="77F67C8E" w14:textId="1906B261" w:rsidR="002238E2" w:rsidRPr="00D95EB0" w:rsidRDefault="002238E2" w:rsidP="00CF2FF6">
      <w:pPr>
        <w:spacing w:after="0" w:line="240" w:lineRule="auto"/>
        <w:ind w:firstLine="360"/>
        <w:jc w:val="both"/>
        <w:rPr>
          <w:rFonts w:ascii="Tahoma" w:eastAsia="Calibri" w:hAnsi="Tahoma" w:cs="Tahoma"/>
        </w:rPr>
      </w:pPr>
      <w:r w:rsidRPr="00D95EB0">
        <w:rPr>
          <w:rFonts w:ascii="Tahoma" w:eastAsia="Calibri" w:hAnsi="Tahoma" w:cs="Tahoma"/>
        </w:rPr>
        <w:t>Senadora de la República</w:t>
      </w:r>
      <w:r w:rsidR="0061567F">
        <w:rPr>
          <w:rFonts w:ascii="Tahoma" w:eastAsia="Calibri" w:hAnsi="Tahoma" w:cs="Tahoma"/>
        </w:rPr>
        <w:tab/>
      </w:r>
      <w:r w:rsidR="0061567F">
        <w:rPr>
          <w:rFonts w:ascii="Tahoma" w:eastAsia="Calibri" w:hAnsi="Tahoma" w:cs="Tahoma"/>
        </w:rPr>
        <w:tab/>
      </w:r>
      <w:r w:rsidR="0061567F">
        <w:rPr>
          <w:rFonts w:ascii="Tahoma" w:eastAsia="Calibri" w:hAnsi="Tahoma" w:cs="Tahoma"/>
        </w:rPr>
        <w:tab/>
      </w:r>
      <w:r w:rsidR="0061567F">
        <w:rPr>
          <w:rFonts w:ascii="Tahoma" w:eastAsia="Calibri" w:hAnsi="Tahoma" w:cs="Tahoma"/>
        </w:rPr>
        <w:tab/>
        <w:t>Senadora de la República</w:t>
      </w:r>
    </w:p>
    <w:sectPr w:rsidR="002238E2" w:rsidRPr="00D95EB0" w:rsidSect="00363268">
      <w:headerReference w:type="default" r:id="rId11"/>
      <w:foot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A8528" w14:textId="77777777" w:rsidR="001655B6" w:rsidRDefault="001655B6" w:rsidP="00AA0E58">
      <w:pPr>
        <w:spacing w:after="0" w:line="240" w:lineRule="auto"/>
      </w:pPr>
      <w:r>
        <w:separator/>
      </w:r>
    </w:p>
  </w:endnote>
  <w:endnote w:type="continuationSeparator" w:id="0">
    <w:p w14:paraId="50FB8441" w14:textId="77777777" w:rsidR="001655B6" w:rsidRDefault="001655B6" w:rsidP="00AA0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ill Sans MT">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E175" w14:textId="77777777" w:rsidR="00107945" w:rsidRPr="00107945" w:rsidRDefault="00236D30" w:rsidP="00107945">
    <w:pPr>
      <w:tabs>
        <w:tab w:val="center" w:pos="4252"/>
        <w:tab w:val="right" w:pos="8504"/>
      </w:tabs>
      <w:spacing w:after="0" w:line="240" w:lineRule="auto"/>
      <w:jc w:val="center"/>
      <w:rPr>
        <w:rFonts w:ascii="Times New Roman" w:eastAsia="Times New Roman" w:hAnsi="Times New Roman" w:cs="Times New Roman"/>
        <w:sz w:val="24"/>
        <w:szCs w:val="24"/>
        <w:lang w:eastAsia="es-ES"/>
      </w:rPr>
    </w:pPr>
    <w:r w:rsidRPr="00107945">
      <w:rPr>
        <w:rFonts w:ascii="Times New Roman" w:eastAsia="Times New Roman" w:hAnsi="Times New Roman" w:cs="Times New Roman"/>
        <w:noProof/>
        <w:sz w:val="24"/>
        <w:szCs w:val="24"/>
        <w:lang w:eastAsia="es-ES"/>
      </w:rPr>
      <w:drawing>
        <wp:inline distT="0" distB="0" distL="0" distR="0" wp14:anchorId="0648672B" wp14:editId="22AA80D0">
          <wp:extent cx="3117215" cy="270510"/>
          <wp:effectExtent l="0" t="0" r="698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215" cy="270510"/>
                  </a:xfrm>
                  <a:prstGeom prst="rect">
                    <a:avLst/>
                  </a:prstGeom>
                  <a:noFill/>
                  <a:ln>
                    <a:noFill/>
                  </a:ln>
                </pic:spPr>
              </pic:pic>
            </a:graphicData>
          </a:graphic>
        </wp:inline>
      </w:drawing>
    </w:r>
  </w:p>
  <w:p w14:paraId="60910D82" w14:textId="77777777" w:rsidR="00107945" w:rsidRPr="00107945" w:rsidRDefault="00236D30" w:rsidP="00107945">
    <w:pPr>
      <w:tabs>
        <w:tab w:val="center" w:pos="4252"/>
        <w:tab w:val="right" w:pos="8504"/>
      </w:tabs>
      <w:spacing w:after="0" w:line="240" w:lineRule="auto"/>
      <w:jc w:val="center"/>
      <w:rPr>
        <w:rFonts w:ascii="Gill Sans MT" w:eastAsia="Calibri" w:hAnsi="Gill Sans MT" w:cs="Times New Roman"/>
        <w:spacing w:val="60"/>
        <w:sz w:val="16"/>
        <w:szCs w:val="16"/>
      </w:rPr>
    </w:pPr>
    <w:r w:rsidRPr="00107945">
      <w:rPr>
        <w:rFonts w:ascii="Gill Sans MT" w:eastAsia="Calibri" w:hAnsi="Gill Sans MT" w:cs="Times New Roman"/>
        <w:spacing w:val="60"/>
        <w:sz w:val="16"/>
        <w:szCs w:val="16"/>
      </w:rPr>
      <w:t>kra 7 No. 8 68 Oficina 702 Edificio Nuevo del Congreso</w:t>
    </w:r>
  </w:p>
  <w:p w14:paraId="37C0236C" w14:textId="77777777" w:rsidR="00107945" w:rsidRPr="00107945" w:rsidRDefault="00236D30" w:rsidP="00107945">
    <w:pPr>
      <w:tabs>
        <w:tab w:val="center" w:pos="4252"/>
        <w:tab w:val="right" w:pos="8504"/>
      </w:tabs>
      <w:spacing w:after="0" w:line="240" w:lineRule="auto"/>
      <w:jc w:val="center"/>
      <w:rPr>
        <w:rFonts w:ascii="Gill Sans MT" w:eastAsia="Calibri" w:hAnsi="Gill Sans MT" w:cs="Times New Roman"/>
        <w:spacing w:val="60"/>
        <w:sz w:val="16"/>
        <w:szCs w:val="16"/>
      </w:rPr>
    </w:pPr>
    <w:r w:rsidRPr="00107945">
      <w:rPr>
        <w:rFonts w:ascii="Gill Sans MT" w:eastAsia="Calibri" w:hAnsi="Gill Sans MT" w:cs="Times New Roman"/>
        <w:spacing w:val="60"/>
        <w:sz w:val="16"/>
        <w:szCs w:val="16"/>
      </w:rPr>
      <w:t xml:space="preserve">Teléfonos 3823207 3823208 </w:t>
    </w:r>
  </w:p>
  <w:p w14:paraId="611BAEFD" w14:textId="77777777" w:rsidR="00107945" w:rsidRPr="00107945" w:rsidRDefault="00236D30" w:rsidP="00107945">
    <w:pPr>
      <w:tabs>
        <w:tab w:val="center" w:pos="4252"/>
        <w:tab w:val="right" w:pos="8504"/>
      </w:tabs>
      <w:spacing w:after="0" w:line="240" w:lineRule="auto"/>
      <w:jc w:val="center"/>
      <w:rPr>
        <w:rFonts w:ascii="Gill Sans MT" w:eastAsia="Calibri" w:hAnsi="Gill Sans MT" w:cs="Times New Roman"/>
        <w:spacing w:val="60"/>
        <w:sz w:val="16"/>
        <w:szCs w:val="16"/>
      </w:rPr>
    </w:pPr>
    <w:r w:rsidRPr="00107945">
      <w:rPr>
        <w:rFonts w:ascii="Gill Sans MT" w:eastAsia="Calibri" w:hAnsi="Gill Sans MT" w:cs="Times New Roman"/>
        <w:spacing w:val="60"/>
        <w:sz w:val="16"/>
        <w:szCs w:val="16"/>
      </w:rPr>
      <w:t>utlsenamandagonzalez@gmail.com</w:t>
    </w:r>
  </w:p>
  <w:p w14:paraId="7E15080F" w14:textId="77777777" w:rsidR="00107945" w:rsidRDefault="00236D30" w:rsidP="00107945">
    <w:pPr>
      <w:pStyle w:val="Piedepgina"/>
      <w:jc w:val="center"/>
    </w:pPr>
    <w:r w:rsidRPr="00107945">
      <w:rPr>
        <w:rFonts w:ascii="Gill Sans MT" w:eastAsia="Calibri" w:hAnsi="Gill Sans MT" w:cs="Times New Roman"/>
        <w:noProof/>
        <w:spacing w:val="60"/>
        <w:sz w:val="20"/>
        <w:szCs w:val="20"/>
        <w:lang w:eastAsia="es-ES"/>
      </w:rPr>
      <w:drawing>
        <wp:inline distT="0" distB="0" distL="0" distR="0" wp14:anchorId="021C7B24" wp14:editId="19ACC3CF">
          <wp:extent cx="4285753" cy="292761"/>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85369" cy="2927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5494C" w14:textId="77777777" w:rsidR="001655B6" w:rsidRDefault="001655B6" w:rsidP="00AA0E58">
      <w:pPr>
        <w:spacing w:after="0" w:line="240" w:lineRule="auto"/>
      </w:pPr>
      <w:r>
        <w:separator/>
      </w:r>
    </w:p>
  </w:footnote>
  <w:footnote w:type="continuationSeparator" w:id="0">
    <w:p w14:paraId="42A66FA7" w14:textId="77777777" w:rsidR="001655B6" w:rsidRDefault="001655B6" w:rsidP="00AA0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2E7B2" w14:textId="77777777" w:rsidR="00107945" w:rsidRPr="00107945" w:rsidRDefault="00236D30" w:rsidP="00107945">
    <w:pPr>
      <w:tabs>
        <w:tab w:val="center" w:pos="4252"/>
        <w:tab w:val="right" w:pos="8504"/>
      </w:tabs>
      <w:spacing w:after="0" w:line="240" w:lineRule="auto"/>
      <w:jc w:val="center"/>
      <w:rPr>
        <w:rFonts w:ascii="Times New Roman" w:eastAsia="Times New Roman" w:hAnsi="Times New Roman" w:cs="Times New Roman"/>
        <w:sz w:val="24"/>
        <w:szCs w:val="24"/>
        <w:lang w:eastAsia="es-ES"/>
      </w:rPr>
    </w:pPr>
    <w:r w:rsidRPr="00107945">
      <w:rPr>
        <w:rFonts w:ascii="Times New Roman" w:eastAsia="Times New Roman" w:hAnsi="Times New Roman" w:cs="Times New Roman"/>
        <w:noProof/>
        <w:sz w:val="24"/>
        <w:szCs w:val="24"/>
        <w:lang w:eastAsia="es-ES"/>
      </w:rPr>
      <w:drawing>
        <wp:inline distT="0" distB="0" distL="0" distR="0" wp14:anchorId="7EE6D2F2" wp14:editId="78378DD0">
          <wp:extent cx="1256306" cy="294198"/>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169" cy="294166"/>
                  </a:xfrm>
                  <a:prstGeom prst="rect">
                    <a:avLst/>
                  </a:prstGeom>
                  <a:noFill/>
                  <a:ln>
                    <a:noFill/>
                  </a:ln>
                </pic:spPr>
              </pic:pic>
            </a:graphicData>
          </a:graphic>
        </wp:inline>
      </w:drawing>
    </w:r>
  </w:p>
  <w:p w14:paraId="779F418C" w14:textId="77777777" w:rsidR="00107945" w:rsidRPr="00DB03DB" w:rsidRDefault="00236D30" w:rsidP="00107945">
    <w:pPr>
      <w:tabs>
        <w:tab w:val="center" w:pos="4252"/>
        <w:tab w:val="right" w:pos="8504"/>
      </w:tabs>
      <w:spacing w:after="0" w:line="240" w:lineRule="auto"/>
      <w:rPr>
        <w:rFonts w:ascii="Times New Roman" w:eastAsia="Times New Roman" w:hAnsi="Times New Roman" w:cs="Times New Roman"/>
        <w:sz w:val="18"/>
        <w:szCs w:val="18"/>
        <w:lang w:eastAsia="es-ES"/>
      </w:rPr>
    </w:pPr>
    <w:r w:rsidRPr="00107945">
      <w:rPr>
        <w:rFonts w:ascii="Times New Roman" w:eastAsia="Times New Roman" w:hAnsi="Times New Roman" w:cs="Times New Roman"/>
        <w:sz w:val="24"/>
        <w:szCs w:val="24"/>
        <w:lang w:eastAsia="es-ES"/>
      </w:rPr>
      <w:tab/>
    </w:r>
    <w:r w:rsidRPr="00DB03DB">
      <w:rPr>
        <w:rFonts w:ascii="Times New Roman" w:eastAsia="Times New Roman" w:hAnsi="Times New Roman" w:cs="Times New Roman"/>
        <w:sz w:val="18"/>
        <w:szCs w:val="18"/>
        <w:lang w:eastAsia="es-ES"/>
      </w:rPr>
      <w:t>AQUÍ VIVE LA DEMOCRACIA</w:t>
    </w:r>
  </w:p>
  <w:p w14:paraId="33A2864E" w14:textId="77777777" w:rsidR="00107945" w:rsidRPr="00DB03DB" w:rsidRDefault="00236D30" w:rsidP="00107945">
    <w:pPr>
      <w:tabs>
        <w:tab w:val="center" w:pos="4252"/>
        <w:tab w:val="right" w:pos="8504"/>
      </w:tabs>
      <w:spacing w:after="0" w:line="240" w:lineRule="auto"/>
      <w:jc w:val="center"/>
      <w:rPr>
        <w:rFonts w:ascii="Calibri" w:eastAsia="Calibri" w:hAnsi="Calibri" w:cs="Times New Roman"/>
        <w:sz w:val="18"/>
        <w:szCs w:val="18"/>
      </w:rPr>
    </w:pPr>
    <w:r w:rsidRPr="00DB03DB">
      <w:rPr>
        <w:rFonts w:ascii="Calibri" w:eastAsia="Calibri" w:hAnsi="Calibri" w:cs="Times New Roman"/>
        <w:sz w:val="18"/>
        <w:szCs w:val="18"/>
      </w:rPr>
      <w:t>AMANDA ROCIO GONZALEZ RODRIGUEZ</w:t>
    </w:r>
  </w:p>
  <w:p w14:paraId="7D072E48" w14:textId="77777777" w:rsidR="00107945" w:rsidRPr="00DB03DB" w:rsidRDefault="00236D30" w:rsidP="00107945">
    <w:pPr>
      <w:tabs>
        <w:tab w:val="center" w:pos="4252"/>
        <w:tab w:val="right" w:pos="8504"/>
      </w:tabs>
      <w:spacing w:after="0" w:line="240" w:lineRule="auto"/>
      <w:jc w:val="center"/>
      <w:rPr>
        <w:rFonts w:ascii="Calibri" w:eastAsia="Calibri" w:hAnsi="Calibri" w:cs="Times New Roman"/>
        <w:sz w:val="18"/>
        <w:szCs w:val="18"/>
      </w:rPr>
    </w:pPr>
    <w:r w:rsidRPr="00DB03DB">
      <w:rPr>
        <w:rFonts w:ascii="Calibri" w:eastAsia="Calibri" w:hAnsi="Calibri" w:cs="Times New Roman"/>
        <w:sz w:val="18"/>
        <w:szCs w:val="18"/>
      </w:rPr>
      <w:t>Senadora de la República</w:t>
    </w:r>
  </w:p>
  <w:p w14:paraId="17877918" w14:textId="77777777" w:rsidR="00107945" w:rsidRPr="00107945" w:rsidRDefault="00467A31" w:rsidP="001079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2EC1"/>
    <w:multiLevelType w:val="hybridMultilevel"/>
    <w:tmpl w:val="97CA84D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5890EA7"/>
    <w:multiLevelType w:val="hybridMultilevel"/>
    <w:tmpl w:val="F6DC1E10"/>
    <w:lvl w:ilvl="0" w:tplc="0C0A0019">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FE5F5C"/>
    <w:multiLevelType w:val="hybridMultilevel"/>
    <w:tmpl w:val="07A2373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36999"/>
    <w:multiLevelType w:val="hybridMultilevel"/>
    <w:tmpl w:val="D51063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CAB05F5"/>
    <w:multiLevelType w:val="hybridMultilevel"/>
    <w:tmpl w:val="3F004AF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124DA8"/>
    <w:multiLevelType w:val="hybridMultilevel"/>
    <w:tmpl w:val="C8C4B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DB035C"/>
    <w:multiLevelType w:val="hybridMultilevel"/>
    <w:tmpl w:val="F5BA73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E3E2945"/>
    <w:multiLevelType w:val="hybridMultilevel"/>
    <w:tmpl w:val="1A7691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10972B4"/>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A883F04"/>
    <w:multiLevelType w:val="hybridMultilevel"/>
    <w:tmpl w:val="9B9E7496"/>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F36404B"/>
    <w:multiLevelType w:val="multilevel"/>
    <w:tmpl w:val="6BA29FFE"/>
    <w:lvl w:ilvl="0">
      <w:start w:val="1"/>
      <w:numFmt w:val="decimal"/>
      <w:lvlText w:val="%1."/>
      <w:lvlJc w:val="left"/>
      <w:pPr>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2"/>
  </w:num>
  <w:num w:numId="3">
    <w:abstractNumId w:val="5"/>
  </w:num>
  <w:num w:numId="4">
    <w:abstractNumId w:val="6"/>
  </w:num>
  <w:num w:numId="5">
    <w:abstractNumId w:val="8"/>
  </w:num>
  <w:num w:numId="6">
    <w:abstractNumId w:val="4"/>
  </w:num>
  <w:num w:numId="7">
    <w:abstractNumId w:val="1"/>
  </w:num>
  <w:num w:numId="8">
    <w:abstractNumId w:val="7"/>
  </w:num>
  <w:num w:numId="9">
    <w:abstractNumId w:val="0"/>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E58"/>
    <w:rsid w:val="000456BB"/>
    <w:rsid w:val="000B6674"/>
    <w:rsid w:val="000F26FB"/>
    <w:rsid w:val="0016556D"/>
    <w:rsid w:val="001655B6"/>
    <w:rsid w:val="002238E2"/>
    <w:rsid w:val="00236D30"/>
    <w:rsid w:val="003A33F3"/>
    <w:rsid w:val="003A76B8"/>
    <w:rsid w:val="003F6CAC"/>
    <w:rsid w:val="00467A31"/>
    <w:rsid w:val="00540894"/>
    <w:rsid w:val="005D18A0"/>
    <w:rsid w:val="005F08D8"/>
    <w:rsid w:val="0061567F"/>
    <w:rsid w:val="00680759"/>
    <w:rsid w:val="007164EF"/>
    <w:rsid w:val="00753A45"/>
    <w:rsid w:val="007606DD"/>
    <w:rsid w:val="00784459"/>
    <w:rsid w:val="00883ABD"/>
    <w:rsid w:val="00887E99"/>
    <w:rsid w:val="00920B43"/>
    <w:rsid w:val="00933BC3"/>
    <w:rsid w:val="00933DA9"/>
    <w:rsid w:val="00A972F6"/>
    <w:rsid w:val="00AA0E58"/>
    <w:rsid w:val="00B07FD8"/>
    <w:rsid w:val="00B82BE7"/>
    <w:rsid w:val="00C331AD"/>
    <w:rsid w:val="00C40DC9"/>
    <w:rsid w:val="00CF2FF6"/>
    <w:rsid w:val="00D17E8E"/>
    <w:rsid w:val="00D713DE"/>
    <w:rsid w:val="00D95EB0"/>
    <w:rsid w:val="00E20A33"/>
    <w:rsid w:val="00E73A85"/>
    <w:rsid w:val="00F409FE"/>
    <w:rsid w:val="00F47C70"/>
    <w:rsid w:val="00F47D97"/>
    <w:rsid w:val="00FA12A1"/>
    <w:rsid w:val="00FA2F0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279D6"/>
  <w15:docId w15:val="{2F260ABC-8CB8-4DE1-8BFE-DDC7BB60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E5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0E5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0E58"/>
  </w:style>
  <w:style w:type="paragraph" w:styleId="Piedepgina">
    <w:name w:val="footer"/>
    <w:basedOn w:val="Normal"/>
    <w:link w:val="PiedepginaCar"/>
    <w:uiPriority w:val="99"/>
    <w:unhideWhenUsed/>
    <w:rsid w:val="00AA0E5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0E58"/>
  </w:style>
  <w:style w:type="paragraph" w:styleId="Textonotapie">
    <w:name w:val="footnote text"/>
    <w:basedOn w:val="Normal"/>
    <w:link w:val="TextonotapieCar"/>
    <w:uiPriority w:val="99"/>
    <w:semiHidden/>
    <w:unhideWhenUsed/>
    <w:rsid w:val="00AA0E5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A0E58"/>
    <w:rPr>
      <w:sz w:val="20"/>
      <w:szCs w:val="20"/>
    </w:rPr>
  </w:style>
  <w:style w:type="character" w:styleId="Refdenotaalpie">
    <w:name w:val="footnote reference"/>
    <w:basedOn w:val="Fuentedeprrafopredeter"/>
    <w:uiPriority w:val="99"/>
    <w:semiHidden/>
    <w:unhideWhenUsed/>
    <w:rsid w:val="00AA0E58"/>
    <w:rPr>
      <w:vertAlign w:val="superscript"/>
    </w:rPr>
  </w:style>
  <w:style w:type="paragraph" w:styleId="Prrafodelista">
    <w:name w:val="List Paragraph"/>
    <w:basedOn w:val="Normal"/>
    <w:uiPriority w:val="34"/>
    <w:qFormat/>
    <w:rsid w:val="00AA0E58"/>
    <w:pPr>
      <w:ind w:left="720"/>
      <w:contextualSpacing/>
    </w:pPr>
  </w:style>
  <w:style w:type="paragraph" w:styleId="Textodeglobo">
    <w:name w:val="Balloon Text"/>
    <w:basedOn w:val="Normal"/>
    <w:link w:val="TextodegloboCar"/>
    <w:uiPriority w:val="99"/>
    <w:semiHidden/>
    <w:unhideWhenUsed/>
    <w:rsid w:val="00AA0E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0E58"/>
    <w:rPr>
      <w:rFonts w:ascii="Tahoma" w:hAnsi="Tahoma" w:cs="Tahoma"/>
      <w:sz w:val="16"/>
      <w:szCs w:val="16"/>
    </w:rPr>
  </w:style>
  <w:style w:type="paragraph" w:customStyle="1" w:styleId="centrado">
    <w:name w:val="centrado"/>
    <w:basedOn w:val="Normal"/>
    <w:rsid w:val="00FA2F0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baj">
    <w:name w:val="b_aj"/>
    <w:basedOn w:val="Fuentedeprrafopredeter"/>
    <w:rsid w:val="00FA2F02"/>
  </w:style>
  <w:style w:type="character" w:styleId="Hipervnculo">
    <w:name w:val="Hyperlink"/>
    <w:basedOn w:val="Fuentedeprrafopredeter"/>
    <w:uiPriority w:val="99"/>
    <w:semiHidden/>
    <w:unhideWhenUsed/>
    <w:rsid w:val="00FA2F02"/>
    <w:rPr>
      <w:color w:val="0000FF"/>
      <w:u w:val="single"/>
    </w:rPr>
  </w:style>
  <w:style w:type="paragraph" w:styleId="NormalWeb">
    <w:name w:val="Normal (Web)"/>
    <w:basedOn w:val="Normal"/>
    <w:uiPriority w:val="99"/>
    <w:semiHidden/>
    <w:unhideWhenUsed/>
    <w:rsid w:val="00E20A3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95EB0"/>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591740">
      <w:bodyDiv w:val="1"/>
      <w:marLeft w:val="0"/>
      <w:marRight w:val="0"/>
      <w:marTop w:val="0"/>
      <w:marBottom w:val="0"/>
      <w:divBdr>
        <w:top w:val="none" w:sz="0" w:space="0" w:color="auto"/>
        <w:left w:val="none" w:sz="0" w:space="0" w:color="auto"/>
        <w:bottom w:val="none" w:sz="0" w:space="0" w:color="auto"/>
        <w:right w:val="none" w:sz="0" w:space="0" w:color="auto"/>
      </w:divBdr>
      <w:divsChild>
        <w:div w:id="2120295491">
          <w:marLeft w:val="0"/>
          <w:marRight w:val="0"/>
          <w:marTop w:val="0"/>
          <w:marBottom w:val="0"/>
          <w:divBdr>
            <w:top w:val="none" w:sz="0" w:space="0" w:color="auto"/>
            <w:left w:val="none" w:sz="0" w:space="0" w:color="auto"/>
            <w:bottom w:val="none" w:sz="0" w:space="0" w:color="auto"/>
            <w:right w:val="none" w:sz="0" w:space="0" w:color="auto"/>
          </w:divBdr>
        </w:div>
        <w:div w:id="639312949">
          <w:marLeft w:val="0"/>
          <w:marRight w:val="0"/>
          <w:marTop w:val="0"/>
          <w:marBottom w:val="150"/>
          <w:divBdr>
            <w:top w:val="none" w:sz="0" w:space="0" w:color="auto"/>
            <w:left w:val="none" w:sz="0" w:space="0" w:color="auto"/>
            <w:bottom w:val="none" w:sz="0" w:space="0" w:color="auto"/>
            <w:right w:val="none" w:sz="0" w:space="0" w:color="auto"/>
          </w:divBdr>
        </w:div>
        <w:div w:id="201938064">
          <w:marLeft w:val="0"/>
          <w:marRight w:val="0"/>
          <w:marTop w:val="0"/>
          <w:marBottom w:val="150"/>
          <w:divBdr>
            <w:top w:val="none" w:sz="0" w:space="0" w:color="auto"/>
            <w:left w:val="none" w:sz="0" w:space="0" w:color="auto"/>
            <w:bottom w:val="none" w:sz="0" w:space="0" w:color="auto"/>
            <w:right w:val="none" w:sz="0" w:space="0" w:color="auto"/>
          </w:divBdr>
        </w:div>
      </w:divsChild>
    </w:div>
    <w:div w:id="142024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2.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iertaencolombia.com.co/noticias/1164-economia-naranja-pilar-para-la-competitividad-de-colombia.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ecretariasenado.gov.co/senado/basedoc/constitucion_politica_1991_pr002.html" TargetMode="External"/><Relationship Id="rId4" Type="http://schemas.openxmlformats.org/officeDocument/2006/relationships/webSettings" Target="webSettings.xml"/><Relationship Id="rId9" Type="http://schemas.openxmlformats.org/officeDocument/2006/relationships/hyperlink" Target="http://www.secretariasenado.gov.co/senado/basedoc/constitucion_politica_1991_pr002.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2129</Words>
  <Characters>12138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maribel guatavita Osorio</dc:creator>
  <cp:lastModifiedBy>maribel guatavita osorio</cp:lastModifiedBy>
  <cp:revision>3</cp:revision>
  <cp:lastPrinted>2021-07-23T22:45:00Z</cp:lastPrinted>
  <dcterms:created xsi:type="dcterms:W3CDTF">2021-07-23T22:48:00Z</dcterms:created>
  <dcterms:modified xsi:type="dcterms:W3CDTF">2021-07-23T22:49:00Z</dcterms:modified>
</cp:coreProperties>
</file>