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2A947" w14:textId="4394C1E8" w:rsidR="00561D0F" w:rsidRPr="00ED1AE6" w:rsidRDefault="00B936F6" w:rsidP="00561D0F">
      <w:pPr>
        <w:spacing w:after="0" w:line="240" w:lineRule="auto"/>
        <w:jc w:val="both"/>
        <w:rPr>
          <w:rFonts w:eastAsia="Calibri" w:cstheme="minorHAnsi"/>
          <w:sz w:val="24"/>
          <w:szCs w:val="24"/>
          <w:lang w:val="es-ES_tradnl" w:eastAsia="es-CO"/>
        </w:rPr>
      </w:pPr>
      <w:bookmarkStart w:id="0" w:name="_GoBack"/>
      <w:bookmarkEnd w:id="0"/>
      <w:r>
        <w:rPr>
          <w:rFonts w:eastAsia="Calibri" w:cstheme="minorHAnsi"/>
          <w:sz w:val="24"/>
          <w:szCs w:val="24"/>
          <w:lang w:val="es-ES_tradnl" w:eastAsia="es-CO"/>
        </w:rPr>
        <w:t>Bogotá, 2</w:t>
      </w:r>
      <w:r w:rsidR="00561D0F" w:rsidRPr="00ED1AE6">
        <w:rPr>
          <w:rFonts w:eastAsia="Calibri" w:cstheme="minorHAnsi"/>
          <w:sz w:val="24"/>
          <w:szCs w:val="24"/>
          <w:lang w:val="es-ES_tradnl" w:eastAsia="es-CO"/>
        </w:rPr>
        <w:t xml:space="preserve"> de </w:t>
      </w:r>
      <w:proofErr w:type="gramStart"/>
      <w:r w:rsidR="00567AEF">
        <w:rPr>
          <w:rFonts w:eastAsia="Calibri" w:cstheme="minorHAnsi"/>
          <w:sz w:val="24"/>
          <w:szCs w:val="24"/>
          <w:lang w:val="es-ES_tradnl" w:eastAsia="es-CO"/>
        </w:rPr>
        <w:t>Agosto</w:t>
      </w:r>
      <w:proofErr w:type="gramEnd"/>
      <w:r w:rsidR="00561D0F" w:rsidRPr="00ED1AE6">
        <w:rPr>
          <w:rFonts w:eastAsia="Calibri" w:cstheme="minorHAnsi"/>
          <w:sz w:val="24"/>
          <w:szCs w:val="24"/>
          <w:lang w:val="es-ES_tradnl" w:eastAsia="es-CO"/>
        </w:rPr>
        <w:t xml:space="preserve"> de 2022</w:t>
      </w:r>
    </w:p>
    <w:p w14:paraId="7264DA50" w14:textId="77777777" w:rsidR="00561D0F" w:rsidRPr="00ED1AE6" w:rsidRDefault="00561D0F" w:rsidP="00561D0F">
      <w:pPr>
        <w:spacing w:after="0" w:line="240" w:lineRule="auto"/>
        <w:jc w:val="both"/>
        <w:rPr>
          <w:rFonts w:eastAsia="Calibri" w:cstheme="minorHAnsi"/>
          <w:sz w:val="24"/>
          <w:szCs w:val="24"/>
          <w:lang w:val="es-ES_tradnl" w:eastAsia="es-CO"/>
        </w:rPr>
      </w:pPr>
    </w:p>
    <w:p w14:paraId="221820E1" w14:textId="77777777" w:rsidR="00561D0F" w:rsidRPr="00ED1AE6" w:rsidRDefault="00561D0F" w:rsidP="00561D0F">
      <w:pPr>
        <w:spacing w:after="0" w:line="240" w:lineRule="auto"/>
        <w:jc w:val="both"/>
        <w:rPr>
          <w:rFonts w:eastAsia="Calibri" w:cstheme="minorHAnsi"/>
          <w:sz w:val="24"/>
          <w:szCs w:val="24"/>
          <w:lang w:val="es-ES_tradnl" w:eastAsia="es-CO"/>
        </w:rPr>
      </w:pPr>
    </w:p>
    <w:p w14:paraId="12B22E49" w14:textId="77777777" w:rsidR="00561D0F" w:rsidRPr="00ED1AE6" w:rsidRDefault="00561D0F" w:rsidP="00561D0F">
      <w:pPr>
        <w:spacing w:after="0" w:line="240" w:lineRule="auto"/>
        <w:jc w:val="both"/>
        <w:rPr>
          <w:rFonts w:eastAsia="Calibri" w:cstheme="minorHAnsi"/>
          <w:sz w:val="24"/>
          <w:szCs w:val="24"/>
          <w:lang w:val="es-ES_tradnl" w:eastAsia="es-CO"/>
        </w:rPr>
      </w:pPr>
      <w:r w:rsidRPr="00ED1AE6">
        <w:rPr>
          <w:rFonts w:eastAsia="Calibri" w:cstheme="minorHAnsi"/>
          <w:sz w:val="24"/>
          <w:szCs w:val="24"/>
          <w:lang w:val="es-ES_tradnl" w:eastAsia="es-CO"/>
        </w:rPr>
        <w:t>Doctor</w:t>
      </w:r>
    </w:p>
    <w:p w14:paraId="58A65220" w14:textId="6085EB10" w:rsidR="00561D0F" w:rsidRPr="00ED1AE6" w:rsidRDefault="000A3F7E" w:rsidP="00561D0F">
      <w:pPr>
        <w:spacing w:after="0" w:line="240" w:lineRule="auto"/>
        <w:jc w:val="both"/>
        <w:rPr>
          <w:rFonts w:eastAsia="Calibri" w:cstheme="minorHAnsi"/>
          <w:b/>
          <w:sz w:val="24"/>
          <w:szCs w:val="24"/>
          <w:lang w:val="es-ES_tradnl" w:eastAsia="es-CO"/>
        </w:rPr>
      </w:pPr>
      <w:r>
        <w:rPr>
          <w:rFonts w:eastAsia="Calibri" w:cstheme="minorHAnsi"/>
          <w:b/>
          <w:sz w:val="24"/>
          <w:szCs w:val="24"/>
          <w:lang w:val="es-ES_tradnl" w:eastAsia="es-CO"/>
        </w:rPr>
        <w:t>JAIME LUIS LACOUTURE</w:t>
      </w:r>
    </w:p>
    <w:p w14:paraId="7FA98AE2" w14:textId="77777777" w:rsidR="00561D0F" w:rsidRPr="00ED1AE6" w:rsidRDefault="00561D0F" w:rsidP="00561D0F">
      <w:pPr>
        <w:spacing w:after="0" w:line="240" w:lineRule="auto"/>
        <w:jc w:val="both"/>
        <w:rPr>
          <w:rFonts w:eastAsia="Calibri" w:cstheme="minorHAnsi"/>
          <w:sz w:val="24"/>
          <w:szCs w:val="24"/>
          <w:lang w:val="es-ES_tradnl" w:eastAsia="es-CO"/>
        </w:rPr>
      </w:pPr>
      <w:r w:rsidRPr="00ED1AE6">
        <w:rPr>
          <w:rFonts w:eastAsia="Calibri" w:cstheme="minorHAnsi"/>
          <w:sz w:val="24"/>
          <w:szCs w:val="24"/>
          <w:lang w:val="es-ES_tradnl" w:eastAsia="es-CO"/>
        </w:rPr>
        <w:t>Secretario General</w:t>
      </w:r>
    </w:p>
    <w:p w14:paraId="26420A92" w14:textId="77777777" w:rsidR="00561D0F" w:rsidRPr="00ED1AE6" w:rsidRDefault="00561D0F" w:rsidP="00561D0F">
      <w:pPr>
        <w:spacing w:after="0" w:line="240" w:lineRule="auto"/>
        <w:jc w:val="both"/>
        <w:rPr>
          <w:rFonts w:eastAsia="Calibri" w:cstheme="minorHAnsi"/>
          <w:sz w:val="24"/>
          <w:szCs w:val="24"/>
          <w:lang w:val="es-ES_tradnl" w:eastAsia="es-CO"/>
        </w:rPr>
      </w:pPr>
      <w:r w:rsidRPr="00ED1AE6">
        <w:rPr>
          <w:rFonts w:eastAsia="Calibri" w:cstheme="minorHAnsi"/>
          <w:sz w:val="24"/>
          <w:szCs w:val="24"/>
          <w:lang w:val="es-ES_tradnl" w:eastAsia="es-CO"/>
        </w:rPr>
        <w:t>Cámara de Representantes</w:t>
      </w:r>
    </w:p>
    <w:p w14:paraId="4E9C504A" w14:textId="77777777" w:rsidR="00561D0F" w:rsidRPr="00ED1AE6" w:rsidRDefault="00561D0F" w:rsidP="00561D0F">
      <w:pPr>
        <w:spacing w:after="0" w:line="240" w:lineRule="auto"/>
        <w:jc w:val="both"/>
        <w:rPr>
          <w:rFonts w:eastAsia="Calibri" w:cstheme="minorHAnsi"/>
          <w:sz w:val="24"/>
          <w:szCs w:val="24"/>
          <w:lang w:val="es-ES_tradnl" w:eastAsia="es-CO"/>
        </w:rPr>
      </w:pPr>
      <w:r w:rsidRPr="00ED1AE6">
        <w:rPr>
          <w:rFonts w:eastAsia="Calibri" w:cstheme="minorHAnsi"/>
          <w:sz w:val="24"/>
          <w:szCs w:val="24"/>
          <w:lang w:val="es-ES_tradnl" w:eastAsia="es-CO"/>
        </w:rPr>
        <w:t xml:space="preserve">Ciudad </w:t>
      </w:r>
    </w:p>
    <w:p w14:paraId="5DC10B23" w14:textId="77777777" w:rsidR="00561D0F" w:rsidRPr="00ED1AE6" w:rsidRDefault="00561D0F" w:rsidP="00561D0F">
      <w:pPr>
        <w:spacing w:after="0" w:line="240" w:lineRule="auto"/>
        <w:jc w:val="both"/>
        <w:rPr>
          <w:rFonts w:eastAsia="Calibri" w:cstheme="minorHAnsi"/>
          <w:sz w:val="24"/>
          <w:szCs w:val="24"/>
          <w:lang w:val="es-ES_tradnl" w:eastAsia="es-CO"/>
        </w:rPr>
      </w:pPr>
    </w:p>
    <w:p w14:paraId="51D518E7" w14:textId="77777777" w:rsidR="00561D0F" w:rsidRPr="00ED1AE6" w:rsidRDefault="00561D0F" w:rsidP="00561D0F">
      <w:pPr>
        <w:spacing w:after="0" w:line="240" w:lineRule="auto"/>
        <w:jc w:val="both"/>
        <w:rPr>
          <w:rFonts w:eastAsia="Calibri" w:cstheme="minorHAnsi"/>
          <w:sz w:val="24"/>
          <w:szCs w:val="24"/>
          <w:lang w:val="es-ES_tradnl" w:eastAsia="es-CO"/>
        </w:rPr>
      </w:pPr>
    </w:p>
    <w:p w14:paraId="772931ED" w14:textId="09AF4B19" w:rsidR="00561D0F" w:rsidRPr="00ED1AE6" w:rsidRDefault="00561D0F" w:rsidP="00561D0F">
      <w:pPr>
        <w:spacing w:after="0" w:line="240" w:lineRule="auto"/>
        <w:ind w:left="1410" w:hanging="1410"/>
        <w:jc w:val="both"/>
        <w:rPr>
          <w:rFonts w:eastAsia="Calibri" w:cstheme="minorHAnsi"/>
          <w:b/>
          <w:i/>
          <w:sz w:val="24"/>
          <w:szCs w:val="24"/>
          <w:lang w:val="es-ES_tradnl" w:eastAsia="es-CO"/>
        </w:rPr>
      </w:pPr>
      <w:r w:rsidRPr="00ED1AE6">
        <w:rPr>
          <w:rFonts w:eastAsia="Calibri" w:cstheme="minorHAnsi"/>
          <w:b/>
          <w:sz w:val="24"/>
          <w:szCs w:val="24"/>
          <w:lang w:val="es-ES_tradnl" w:eastAsia="es-CO"/>
        </w:rPr>
        <w:t xml:space="preserve">Asunto: </w:t>
      </w:r>
      <w:r w:rsidRPr="00ED1AE6">
        <w:rPr>
          <w:rFonts w:eastAsia="Calibri" w:cstheme="minorHAnsi"/>
          <w:b/>
          <w:sz w:val="24"/>
          <w:szCs w:val="24"/>
          <w:lang w:val="es-ES_tradnl" w:eastAsia="es-CO"/>
        </w:rPr>
        <w:tab/>
      </w:r>
      <w:r w:rsidR="00EC069E" w:rsidRPr="00ED1AE6">
        <w:rPr>
          <w:rFonts w:eastAsia="Calibri" w:cstheme="minorHAnsi"/>
          <w:b/>
          <w:sz w:val="24"/>
          <w:szCs w:val="24"/>
          <w:lang w:val="es-ES_tradnl" w:eastAsia="es-CO"/>
        </w:rPr>
        <w:t>Radicación de</w:t>
      </w:r>
      <w:r w:rsidR="00ED1AE6">
        <w:rPr>
          <w:rFonts w:eastAsia="Calibri" w:cstheme="minorHAnsi"/>
          <w:b/>
          <w:sz w:val="24"/>
          <w:szCs w:val="24"/>
          <w:lang w:val="es-ES_tradnl" w:eastAsia="es-CO"/>
        </w:rPr>
        <w:t>l</w:t>
      </w:r>
      <w:r w:rsidR="00EC069E" w:rsidRPr="00ED1AE6">
        <w:rPr>
          <w:rFonts w:eastAsia="Calibri" w:cstheme="minorHAnsi"/>
          <w:b/>
          <w:sz w:val="24"/>
          <w:szCs w:val="24"/>
          <w:lang w:val="es-ES_tradnl" w:eastAsia="es-CO"/>
        </w:rPr>
        <w:t xml:space="preserve"> proyecto de ley </w:t>
      </w:r>
      <w:r w:rsidRPr="00ED1AE6">
        <w:rPr>
          <w:rFonts w:eastAsia="Calibri" w:cstheme="minorHAnsi"/>
          <w:b/>
          <w:sz w:val="24"/>
          <w:szCs w:val="24"/>
          <w:lang w:val="es-ES_tradnl" w:eastAsia="es-CO"/>
        </w:rPr>
        <w:t>No. __ de 2022 Cámara, “</w:t>
      </w:r>
      <w:r w:rsidRPr="00ED1AE6">
        <w:rPr>
          <w:rFonts w:eastAsia="Calibri" w:cstheme="minorHAnsi"/>
          <w:b/>
          <w:bCs/>
          <w:iCs/>
          <w:sz w:val="24"/>
          <w:szCs w:val="24"/>
        </w:rPr>
        <w:t>POR EL</w:t>
      </w:r>
      <w:r w:rsidR="00920FB0" w:rsidRPr="00ED1AE6">
        <w:rPr>
          <w:rFonts w:eastAsia="Calibri" w:cstheme="minorHAnsi"/>
          <w:b/>
          <w:bCs/>
          <w:iCs/>
          <w:sz w:val="24"/>
          <w:szCs w:val="24"/>
        </w:rPr>
        <w:t xml:space="preserve"> CUAL EL PROGRAMA DE ALIMENTACIÓN ESCOLAR – PAE, SE CONVIERTE EN POLITICA PUBLICA DE ESTADO</w:t>
      </w:r>
      <w:r w:rsidRPr="00ED1AE6">
        <w:rPr>
          <w:rFonts w:eastAsia="Calibri" w:cstheme="minorHAnsi"/>
          <w:b/>
          <w:sz w:val="24"/>
          <w:szCs w:val="24"/>
          <w:lang w:val="es-ES_tradnl"/>
        </w:rPr>
        <w:t>”</w:t>
      </w:r>
    </w:p>
    <w:p w14:paraId="026D5367" w14:textId="77777777" w:rsidR="00561D0F" w:rsidRPr="00ED1AE6" w:rsidRDefault="00561D0F" w:rsidP="00561D0F">
      <w:pPr>
        <w:spacing w:after="0" w:line="240" w:lineRule="auto"/>
        <w:jc w:val="both"/>
        <w:rPr>
          <w:rFonts w:eastAsia="Calibri" w:cstheme="minorHAnsi"/>
          <w:sz w:val="24"/>
          <w:szCs w:val="24"/>
          <w:lang w:val="es-ES_tradnl" w:eastAsia="es-CO"/>
        </w:rPr>
      </w:pPr>
    </w:p>
    <w:p w14:paraId="37254519" w14:textId="77777777" w:rsidR="00561D0F" w:rsidRPr="00ED1AE6" w:rsidRDefault="00561D0F" w:rsidP="00561D0F">
      <w:pPr>
        <w:spacing w:after="0" w:line="240" w:lineRule="auto"/>
        <w:jc w:val="both"/>
        <w:rPr>
          <w:rFonts w:eastAsia="Calibri" w:cstheme="minorHAnsi"/>
          <w:sz w:val="24"/>
          <w:szCs w:val="24"/>
          <w:lang w:val="es-ES_tradnl" w:eastAsia="es-CO"/>
        </w:rPr>
      </w:pPr>
    </w:p>
    <w:p w14:paraId="2BD8B025" w14:textId="78A09934" w:rsidR="00561D0F" w:rsidRPr="00ED1AE6" w:rsidRDefault="00561D0F" w:rsidP="00561D0F">
      <w:pPr>
        <w:spacing w:after="0" w:line="240" w:lineRule="auto"/>
        <w:jc w:val="both"/>
        <w:rPr>
          <w:rFonts w:eastAsia="Calibri" w:cstheme="minorHAnsi"/>
          <w:sz w:val="24"/>
          <w:szCs w:val="24"/>
          <w:lang w:val="es-ES_tradnl" w:eastAsia="es-CO"/>
        </w:rPr>
      </w:pPr>
      <w:r w:rsidRPr="00ED1AE6">
        <w:rPr>
          <w:rFonts w:eastAsia="Calibri" w:cstheme="minorHAnsi"/>
          <w:sz w:val="24"/>
          <w:szCs w:val="24"/>
          <w:lang w:val="es-ES_tradnl" w:eastAsia="es-CO"/>
        </w:rPr>
        <w:t xml:space="preserve">Respetado Doctor </w:t>
      </w:r>
      <w:r w:rsidR="006031ED">
        <w:rPr>
          <w:rFonts w:eastAsia="Calibri" w:cstheme="minorHAnsi"/>
          <w:sz w:val="24"/>
          <w:szCs w:val="24"/>
          <w:lang w:val="es-ES_tradnl" w:eastAsia="es-CO"/>
        </w:rPr>
        <w:t>Lacouture</w:t>
      </w:r>
      <w:r w:rsidRPr="00ED1AE6">
        <w:rPr>
          <w:rFonts w:eastAsia="Calibri" w:cstheme="minorHAnsi"/>
          <w:sz w:val="24"/>
          <w:szCs w:val="24"/>
          <w:lang w:val="es-ES_tradnl" w:eastAsia="es-CO"/>
        </w:rPr>
        <w:t>:</w:t>
      </w:r>
    </w:p>
    <w:p w14:paraId="32EA40AD" w14:textId="77777777" w:rsidR="00561D0F" w:rsidRPr="00ED1AE6" w:rsidRDefault="00561D0F" w:rsidP="00561D0F">
      <w:pPr>
        <w:spacing w:after="0" w:line="240" w:lineRule="auto"/>
        <w:jc w:val="both"/>
        <w:rPr>
          <w:rFonts w:eastAsia="Calibri" w:cstheme="minorHAnsi"/>
          <w:sz w:val="24"/>
          <w:szCs w:val="24"/>
          <w:lang w:val="es-ES_tradnl" w:eastAsia="es-CO"/>
        </w:rPr>
      </w:pPr>
    </w:p>
    <w:p w14:paraId="5FC00064" w14:textId="77777777" w:rsidR="00561D0F" w:rsidRPr="00ED1AE6" w:rsidRDefault="00561D0F" w:rsidP="00561D0F">
      <w:pPr>
        <w:spacing w:after="0" w:line="240" w:lineRule="auto"/>
        <w:jc w:val="both"/>
        <w:rPr>
          <w:rFonts w:eastAsia="Calibri" w:cstheme="minorHAnsi"/>
          <w:sz w:val="24"/>
          <w:szCs w:val="24"/>
          <w:lang w:val="es-ES_tradnl" w:eastAsia="es-CO"/>
        </w:rPr>
      </w:pPr>
    </w:p>
    <w:p w14:paraId="087446EC" w14:textId="4C501E46" w:rsidR="00920FB0" w:rsidRPr="00ED1AE6" w:rsidRDefault="00561D0F" w:rsidP="00920FB0">
      <w:pPr>
        <w:spacing w:after="0" w:line="240" w:lineRule="auto"/>
        <w:jc w:val="both"/>
        <w:rPr>
          <w:rFonts w:eastAsia="Calibri" w:cstheme="minorHAnsi"/>
          <w:i/>
          <w:sz w:val="24"/>
          <w:szCs w:val="24"/>
          <w:lang w:val="es-ES_tradnl" w:eastAsia="es-CO"/>
        </w:rPr>
      </w:pPr>
      <w:r w:rsidRPr="00ED1AE6">
        <w:rPr>
          <w:rFonts w:eastAsia="Calibri" w:cstheme="minorHAnsi"/>
          <w:sz w:val="24"/>
          <w:szCs w:val="24"/>
          <w:lang w:val="es-ES_tradnl" w:eastAsia="es-CO"/>
        </w:rPr>
        <w:t xml:space="preserve">En cumplimiento de mi deber constitucional y legal, y particular actuando en consecuencia con lo establecido en la Ley 5 de 1992 (reglamento del Congreso de la República), en mi calidad de Congresista de la República, radicó ante su despacho el proyecto de ley No. __ de 2022 Cámara, </w:t>
      </w:r>
      <w:r w:rsidR="00920FB0" w:rsidRPr="00ED1AE6">
        <w:rPr>
          <w:rFonts w:eastAsia="Calibri" w:cstheme="minorHAnsi"/>
          <w:i/>
          <w:sz w:val="24"/>
          <w:szCs w:val="24"/>
          <w:lang w:val="es-ES_tradnl" w:eastAsia="es-CO"/>
        </w:rPr>
        <w:t>“</w:t>
      </w:r>
      <w:r w:rsidR="00920FB0" w:rsidRPr="00ED1AE6">
        <w:rPr>
          <w:rFonts w:eastAsia="Calibri" w:cstheme="minorHAnsi"/>
          <w:bCs/>
          <w:i/>
          <w:iCs/>
          <w:sz w:val="24"/>
          <w:szCs w:val="24"/>
          <w:lang w:eastAsia="es-CO"/>
        </w:rPr>
        <w:t xml:space="preserve">Por el cual el programa de alimentación escolar – PAE, se convierte en política </w:t>
      </w:r>
      <w:proofErr w:type="spellStart"/>
      <w:r w:rsidR="00920FB0" w:rsidRPr="00ED1AE6">
        <w:rPr>
          <w:rFonts w:eastAsia="Calibri" w:cstheme="minorHAnsi"/>
          <w:bCs/>
          <w:i/>
          <w:iCs/>
          <w:sz w:val="24"/>
          <w:szCs w:val="24"/>
          <w:lang w:eastAsia="es-CO"/>
        </w:rPr>
        <w:t>publica</w:t>
      </w:r>
      <w:proofErr w:type="spellEnd"/>
      <w:r w:rsidR="00920FB0" w:rsidRPr="00ED1AE6">
        <w:rPr>
          <w:rFonts w:eastAsia="Calibri" w:cstheme="minorHAnsi"/>
          <w:bCs/>
          <w:i/>
          <w:iCs/>
          <w:sz w:val="24"/>
          <w:szCs w:val="24"/>
          <w:lang w:eastAsia="es-CO"/>
        </w:rPr>
        <w:t xml:space="preserve"> de estado</w:t>
      </w:r>
      <w:r w:rsidR="00920FB0" w:rsidRPr="00ED1AE6">
        <w:rPr>
          <w:rFonts w:eastAsia="Calibri" w:cstheme="minorHAnsi"/>
          <w:i/>
          <w:sz w:val="24"/>
          <w:szCs w:val="24"/>
          <w:lang w:val="es-ES_tradnl" w:eastAsia="es-CO"/>
        </w:rPr>
        <w:t>”</w:t>
      </w:r>
    </w:p>
    <w:p w14:paraId="63DBEA79" w14:textId="2EA80A5B" w:rsidR="00561D0F" w:rsidRPr="00ED1AE6" w:rsidRDefault="00561D0F" w:rsidP="00561D0F">
      <w:pPr>
        <w:spacing w:after="0" w:line="240" w:lineRule="auto"/>
        <w:jc w:val="both"/>
        <w:rPr>
          <w:rFonts w:eastAsia="Calibri" w:cstheme="minorHAnsi"/>
          <w:i/>
          <w:sz w:val="24"/>
          <w:szCs w:val="24"/>
          <w:lang w:val="es-ES_tradnl" w:eastAsia="es-CO"/>
        </w:rPr>
      </w:pPr>
    </w:p>
    <w:p w14:paraId="06BEFE40" w14:textId="77777777" w:rsidR="00561D0F" w:rsidRPr="00ED1AE6" w:rsidRDefault="00561D0F" w:rsidP="00561D0F">
      <w:pPr>
        <w:spacing w:after="0" w:line="240" w:lineRule="auto"/>
        <w:jc w:val="both"/>
        <w:rPr>
          <w:rFonts w:eastAsia="Calibri" w:cstheme="minorHAnsi"/>
          <w:i/>
          <w:sz w:val="24"/>
          <w:szCs w:val="24"/>
          <w:lang w:val="es-ES_tradnl" w:eastAsia="es-CO"/>
        </w:rPr>
      </w:pPr>
    </w:p>
    <w:p w14:paraId="682C8C01" w14:textId="77777777" w:rsidR="00561D0F" w:rsidRPr="00ED1AE6" w:rsidRDefault="00561D0F" w:rsidP="00561D0F">
      <w:pPr>
        <w:spacing w:after="0" w:line="240" w:lineRule="auto"/>
        <w:jc w:val="both"/>
        <w:rPr>
          <w:rFonts w:eastAsia="Calibri" w:cstheme="minorHAnsi"/>
          <w:i/>
          <w:sz w:val="24"/>
          <w:szCs w:val="24"/>
          <w:lang w:val="es-ES_tradnl" w:eastAsia="es-CO"/>
        </w:rPr>
      </w:pPr>
    </w:p>
    <w:p w14:paraId="1003E965" w14:textId="77777777" w:rsidR="00561D0F" w:rsidRPr="00ED1AE6" w:rsidRDefault="00561D0F" w:rsidP="00561D0F">
      <w:pPr>
        <w:spacing w:after="0" w:line="240" w:lineRule="auto"/>
        <w:jc w:val="both"/>
        <w:rPr>
          <w:rFonts w:eastAsia="Calibri" w:cstheme="minorHAnsi"/>
          <w:sz w:val="24"/>
          <w:szCs w:val="24"/>
          <w:lang w:val="es-ES_tradnl" w:eastAsia="es-CO"/>
        </w:rPr>
      </w:pPr>
    </w:p>
    <w:p w14:paraId="011D71CE" w14:textId="77777777" w:rsidR="00561D0F" w:rsidRPr="00ED1AE6" w:rsidRDefault="00561D0F" w:rsidP="00561D0F">
      <w:pPr>
        <w:spacing w:after="0" w:line="240" w:lineRule="auto"/>
        <w:jc w:val="both"/>
        <w:rPr>
          <w:rFonts w:eastAsia="Calibri" w:cstheme="minorHAnsi"/>
          <w:sz w:val="24"/>
          <w:szCs w:val="24"/>
          <w:lang w:val="es-ES_tradnl" w:eastAsia="es-CO"/>
        </w:rPr>
      </w:pPr>
      <w:r w:rsidRPr="00ED1AE6">
        <w:rPr>
          <w:rFonts w:eastAsia="Calibri" w:cstheme="minorHAnsi"/>
          <w:sz w:val="24"/>
          <w:szCs w:val="24"/>
          <w:lang w:val="es-ES_tradnl" w:eastAsia="es-CO"/>
        </w:rPr>
        <w:t>Cordialmente,</w:t>
      </w:r>
    </w:p>
    <w:p w14:paraId="61A3A275" w14:textId="77777777" w:rsidR="00561D0F" w:rsidRPr="00ED1AE6" w:rsidRDefault="00561D0F" w:rsidP="00561D0F">
      <w:pPr>
        <w:spacing w:after="160" w:line="256" w:lineRule="auto"/>
        <w:rPr>
          <w:rFonts w:eastAsia="Calibri" w:cstheme="minorHAnsi"/>
          <w:b/>
          <w:bCs/>
          <w:sz w:val="24"/>
          <w:szCs w:val="24"/>
        </w:rPr>
      </w:pPr>
    </w:p>
    <w:p w14:paraId="5D9C4C4D" w14:textId="77777777" w:rsidR="00561D0F" w:rsidRPr="00ED1AE6" w:rsidRDefault="00561D0F" w:rsidP="00561D0F">
      <w:pPr>
        <w:spacing w:after="160" w:line="256" w:lineRule="auto"/>
        <w:rPr>
          <w:rFonts w:eastAsia="Calibri" w:cstheme="minorHAnsi"/>
          <w:bCs/>
          <w:sz w:val="24"/>
          <w:szCs w:val="24"/>
        </w:rPr>
      </w:pPr>
    </w:p>
    <w:p w14:paraId="50281D8F" w14:textId="3D107C98" w:rsidR="00561D0F" w:rsidRPr="00ED1AE6" w:rsidRDefault="00561D0F" w:rsidP="00561D0F">
      <w:pPr>
        <w:spacing w:after="160" w:line="256" w:lineRule="auto"/>
        <w:rPr>
          <w:rFonts w:eastAsia="Calibri" w:cstheme="minorHAnsi"/>
          <w:sz w:val="24"/>
          <w:szCs w:val="24"/>
        </w:rPr>
      </w:pPr>
      <w:r w:rsidRPr="00ED1AE6">
        <w:rPr>
          <w:rFonts w:eastAsia="Calibri" w:cstheme="minorHAnsi"/>
          <w:bCs/>
          <w:sz w:val="24"/>
          <w:szCs w:val="24"/>
        </w:rPr>
        <w:t>________________________</w:t>
      </w:r>
      <w:r w:rsidRPr="00ED1AE6">
        <w:rPr>
          <w:rFonts w:eastAsia="Calibri" w:cstheme="minorHAnsi"/>
          <w:b/>
          <w:bCs/>
          <w:sz w:val="24"/>
          <w:szCs w:val="24"/>
        </w:rPr>
        <w:t xml:space="preserve">    </w:t>
      </w:r>
      <w:r w:rsidRPr="00ED1AE6">
        <w:rPr>
          <w:rFonts w:eastAsia="Calibri" w:cstheme="minorHAnsi"/>
          <w:b/>
          <w:bCs/>
          <w:sz w:val="24"/>
          <w:szCs w:val="24"/>
        </w:rPr>
        <w:tab/>
      </w:r>
      <w:r w:rsidRPr="00ED1AE6">
        <w:rPr>
          <w:rFonts w:eastAsia="Calibri" w:cstheme="minorHAnsi"/>
          <w:b/>
          <w:bCs/>
          <w:sz w:val="24"/>
          <w:szCs w:val="24"/>
        </w:rPr>
        <w:tab/>
      </w:r>
      <w:r w:rsidRPr="00ED1AE6">
        <w:rPr>
          <w:rFonts w:eastAsia="Calibri" w:cstheme="minorHAnsi"/>
          <w:b/>
          <w:bCs/>
          <w:sz w:val="24"/>
          <w:szCs w:val="24"/>
        </w:rPr>
        <w:tab/>
      </w:r>
    </w:p>
    <w:p w14:paraId="2E02CCE5" w14:textId="09A68A93" w:rsidR="00561D0F" w:rsidRPr="00ED1AE6" w:rsidRDefault="00EC069E" w:rsidP="00F02C19">
      <w:pPr>
        <w:spacing w:after="0" w:line="240" w:lineRule="auto"/>
        <w:rPr>
          <w:rFonts w:eastAsia="Calibri" w:cstheme="minorHAnsi"/>
          <w:b/>
          <w:sz w:val="24"/>
          <w:szCs w:val="24"/>
        </w:rPr>
      </w:pPr>
      <w:r w:rsidRPr="00ED1AE6">
        <w:rPr>
          <w:rFonts w:eastAsia="Calibri" w:cstheme="minorHAnsi"/>
          <w:b/>
          <w:sz w:val="24"/>
          <w:szCs w:val="24"/>
        </w:rPr>
        <w:t>JUAN LORETO GOMEZ</w:t>
      </w:r>
      <w:r w:rsidR="000A3F7E">
        <w:rPr>
          <w:rFonts w:eastAsia="Calibri" w:cstheme="minorHAnsi"/>
          <w:b/>
          <w:sz w:val="24"/>
          <w:szCs w:val="24"/>
        </w:rPr>
        <w:t xml:space="preserve"> SOTO</w:t>
      </w:r>
    </w:p>
    <w:p w14:paraId="1D181421" w14:textId="02636E98" w:rsidR="00F02C19" w:rsidRPr="00ED1AE6" w:rsidRDefault="00F02C19" w:rsidP="00F02C19">
      <w:pPr>
        <w:spacing w:after="0" w:line="240" w:lineRule="auto"/>
        <w:rPr>
          <w:rFonts w:eastAsia="Calibri" w:cstheme="minorHAnsi"/>
          <w:b/>
          <w:sz w:val="24"/>
          <w:szCs w:val="24"/>
        </w:rPr>
      </w:pPr>
      <w:r w:rsidRPr="00ED1AE6">
        <w:rPr>
          <w:rFonts w:eastAsia="Calibri" w:cstheme="minorHAnsi"/>
          <w:b/>
          <w:sz w:val="24"/>
          <w:szCs w:val="24"/>
        </w:rPr>
        <w:t>Partido Conservador</w:t>
      </w:r>
    </w:p>
    <w:p w14:paraId="3C7B2DC8" w14:textId="77777777" w:rsidR="00561D0F" w:rsidRPr="00ED1AE6" w:rsidRDefault="00561D0F" w:rsidP="00561D0F">
      <w:pPr>
        <w:spacing w:after="160" w:line="256" w:lineRule="auto"/>
        <w:rPr>
          <w:rFonts w:eastAsia="Calibri" w:cstheme="minorHAnsi"/>
          <w:b/>
          <w:bCs/>
          <w:sz w:val="24"/>
          <w:szCs w:val="24"/>
        </w:rPr>
      </w:pPr>
      <w:r w:rsidRPr="00ED1AE6">
        <w:rPr>
          <w:rFonts w:eastAsia="Calibri" w:cstheme="minorHAnsi"/>
          <w:b/>
          <w:bCs/>
          <w:sz w:val="24"/>
          <w:szCs w:val="24"/>
        </w:rPr>
        <w:t xml:space="preserve">                                  </w:t>
      </w:r>
    </w:p>
    <w:p w14:paraId="5C981B29" w14:textId="3E8F4C6F" w:rsidR="00561D0F" w:rsidRPr="00ED1AE6" w:rsidRDefault="00561D0F" w:rsidP="00561D0F">
      <w:pPr>
        <w:spacing w:after="160" w:line="256" w:lineRule="auto"/>
        <w:rPr>
          <w:rFonts w:eastAsia="Calibri" w:cstheme="minorHAnsi"/>
          <w:b/>
          <w:bCs/>
          <w:sz w:val="24"/>
          <w:szCs w:val="24"/>
        </w:rPr>
      </w:pPr>
      <w:r w:rsidRPr="00ED1AE6">
        <w:rPr>
          <w:rFonts w:eastAsia="Calibri" w:cstheme="minorHAnsi"/>
          <w:b/>
          <w:bCs/>
          <w:sz w:val="24"/>
          <w:szCs w:val="24"/>
        </w:rPr>
        <w:t xml:space="preserve"> </w:t>
      </w:r>
    </w:p>
    <w:p w14:paraId="24DC592E" w14:textId="77777777" w:rsidR="00ED1AE6" w:rsidRPr="00ED1AE6" w:rsidRDefault="00ED1AE6" w:rsidP="00EC069E">
      <w:pPr>
        <w:spacing w:after="160" w:line="256" w:lineRule="auto"/>
        <w:jc w:val="both"/>
        <w:rPr>
          <w:rFonts w:eastAsia="Calibri" w:cstheme="minorHAnsi"/>
          <w:b/>
          <w:sz w:val="24"/>
          <w:szCs w:val="24"/>
          <w:lang w:val="es-ES_tradnl" w:eastAsia="es-CO"/>
        </w:rPr>
      </w:pPr>
    </w:p>
    <w:p w14:paraId="5F7EDBD9" w14:textId="77777777" w:rsidR="00ED1AE6" w:rsidRPr="00ED1AE6" w:rsidRDefault="00ED1AE6" w:rsidP="00EC069E">
      <w:pPr>
        <w:spacing w:after="160" w:line="256" w:lineRule="auto"/>
        <w:jc w:val="both"/>
        <w:rPr>
          <w:rFonts w:eastAsia="Calibri" w:cstheme="minorHAnsi"/>
          <w:b/>
          <w:sz w:val="24"/>
          <w:szCs w:val="24"/>
          <w:lang w:val="es-ES_tradnl" w:eastAsia="es-CO"/>
        </w:rPr>
      </w:pPr>
    </w:p>
    <w:p w14:paraId="5256D500" w14:textId="4717E9C9" w:rsidR="00561D0F" w:rsidRPr="00ED1AE6" w:rsidRDefault="00EC069E" w:rsidP="00ED1AE6">
      <w:pPr>
        <w:spacing w:after="160" w:line="256" w:lineRule="auto"/>
        <w:jc w:val="center"/>
        <w:rPr>
          <w:rFonts w:eastAsia="Calibri" w:cstheme="minorHAnsi"/>
          <w:b/>
          <w:bCs/>
          <w:i/>
          <w:iCs/>
          <w:sz w:val="24"/>
          <w:szCs w:val="24"/>
          <w:lang w:val="es-ES_tradnl"/>
        </w:rPr>
      </w:pPr>
      <w:r w:rsidRPr="00ED1AE6">
        <w:rPr>
          <w:rFonts w:eastAsia="Calibri" w:cstheme="minorHAnsi"/>
          <w:b/>
          <w:sz w:val="24"/>
          <w:szCs w:val="24"/>
          <w:lang w:val="es-ES_tradnl" w:eastAsia="es-CO"/>
        </w:rPr>
        <w:lastRenderedPageBreak/>
        <w:t>Radicación de</w:t>
      </w:r>
      <w:r w:rsidR="00ED1AE6">
        <w:rPr>
          <w:rFonts w:eastAsia="Calibri" w:cstheme="minorHAnsi"/>
          <w:b/>
          <w:sz w:val="24"/>
          <w:szCs w:val="24"/>
          <w:lang w:val="es-ES_tradnl" w:eastAsia="es-CO"/>
        </w:rPr>
        <w:t>l</w:t>
      </w:r>
      <w:r w:rsidRPr="00ED1AE6">
        <w:rPr>
          <w:rFonts w:eastAsia="Calibri" w:cstheme="minorHAnsi"/>
          <w:b/>
          <w:sz w:val="24"/>
          <w:szCs w:val="24"/>
          <w:lang w:val="es-ES_tradnl" w:eastAsia="es-CO"/>
        </w:rPr>
        <w:t xml:space="preserve"> proyecto de ley No. __ de 2022 </w:t>
      </w:r>
      <w:r w:rsidR="00ED1AE6" w:rsidRPr="00ED1AE6">
        <w:rPr>
          <w:rFonts w:eastAsia="Calibri" w:cstheme="minorHAnsi"/>
          <w:b/>
          <w:sz w:val="24"/>
          <w:szCs w:val="24"/>
          <w:lang w:val="es-ES_tradnl" w:eastAsia="es-CO"/>
        </w:rPr>
        <w:t>Cámara, “</w:t>
      </w:r>
      <w:r w:rsidR="00ED1AE6" w:rsidRPr="00ED1AE6">
        <w:rPr>
          <w:rFonts w:eastAsia="Calibri" w:cstheme="minorHAnsi"/>
          <w:b/>
          <w:bCs/>
          <w:iCs/>
          <w:sz w:val="24"/>
          <w:szCs w:val="24"/>
        </w:rPr>
        <w:t>POR EL CUAL EL PROGRAMA DE ALIMENTACION ESCOLAR – PAE, SE CONVIERTE EN POLITICA PUBLICA DE ESTADO</w:t>
      </w:r>
      <w:r w:rsidR="00ED1AE6" w:rsidRPr="00ED1AE6">
        <w:rPr>
          <w:rFonts w:eastAsia="Calibri" w:cstheme="minorHAnsi"/>
          <w:b/>
          <w:bCs/>
          <w:iCs/>
          <w:sz w:val="24"/>
          <w:szCs w:val="24"/>
          <w:lang w:val="es-ES_tradnl"/>
        </w:rPr>
        <w:t>”</w:t>
      </w:r>
      <w:r w:rsidR="00ED1AE6" w:rsidRPr="00ED1AE6">
        <w:rPr>
          <w:rFonts w:eastAsia="Calibri" w:cstheme="minorHAnsi"/>
          <w:b/>
          <w:bCs/>
          <w:i/>
          <w:iCs/>
          <w:sz w:val="24"/>
          <w:szCs w:val="24"/>
          <w:lang w:val="es-ES_tradnl"/>
        </w:rPr>
        <w:t>.</w:t>
      </w:r>
    </w:p>
    <w:p w14:paraId="1FAFD206" w14:textId="77777777" w:rsidR="00817D76" w:rsidRPr="00ED1AE6" w:rsidRDefault="00561D0F" w:rsidP="00561D0F">
      <w:pPr>
        <w:spacing w:after="160" w:line="256" w:lineRule="auto"/>
        <w:rPr>
          <w:rFonts w:eastAsia="Calibri" w:cstheme="minorHAnsi"/>
          <w:b/>
          <w:bCs/>
          <w:sz w:val="24"/>
          <w:szCs w:val="24"/>
        </w:rPr>
      </w:pPr>
      <w:r w:rsidRPr="00ED1AE6">
        <w:rPr>
          <w:rFonts w:eastAsia="Calibri" w:cstheme="minorHAnsi"/>
          <w:b/>
          <w:bCs/>
          <w:sz w:val="24"/>
          <w:szCs w:val="24"/>
        </w:rPr>
        <w:t xml:space="preserve">                   </w:t>
      </w:r>
    </w:p>
    <w:p w14:paraId="547A4C51" w14:textId="77777777" w:rsidR="00817D76" w:rsidRPr="00ED1AE6" w:rsidRDefault="00817D76" w:rsidP="00561D0F">
      <w:pPr>
        <w:spacing w:after="160" w:line="256" w:lineRule="auto"/>
        <w:rPr>
          <w:rFonts w:eastAsia="Calibri" w:cstheme="minorHAnsi"/>
          <w:b/>
          <w:bCs/>
          <w:sz w:val="24"/>
          <w:szCs w:val="24"/>
        </w:rPr>
      </w:pPr>
    </w:p>
    <w:p w14:paraId="68364A6C" w14:textId="3718FBA2" w:rsidR="00561D0F" w:rsidRPr="00ED1AE6" w:rsidRDefault="00561D0F" w:rsidP="00561D0F">
      <w:pPr>
        <w:spacing w:after="160" w:line="256" w:lineRule="auto"/>
        <w:rPr>
          <w:rFonts w:eastAsia="Calibri" w:cstheme="minorHAnsi"/>
          <w:b/>
          <w:bCs/>
          <w:sz w:val="24"/>
          <w:szCs w:val="24"/>
        </w:rPr>
      </w:pPr>
      <w:r w:rsidRPr="00ED1AE6">
        <w:rPr>
          <w:rFonts w:eastAsia="Calibri" w:cstheme="minorHAnsi"/>
          <w:b/>
          <w:bCs/>
          <w:sz w:val="24"/>
          <w:szCs w:val="24"/>
        </w:rPr>
        <w:t xml:space="preserve">               </w:t>
      </w:r>
    </w:p>
    <w:p w14:paraId="05D200E2" w14:textId="77777777" w:rsidR="00561D0F" w:rsidRPr="00ED1AE6" w:rsidRDefault="00561D0F" w:rsidP="00561D0F">
      <w:pPr>
        <w:spacing w:after="160" w:line="256" w:lineRule="auto"/>
        <w:rPr>
          <w:rFonts w:eastAsia="Calibri" w:cstheme="minorHAnsi"/>
          <w:b/>
          <w:bCs/>
          <w:sz w:val="24"/>
          <w:szCs w:val="24"/>
        </w:rPr>
      </w:pPr>
      <w:r w:rsidRPr="00ED1AE6">
        <w:rPr>
          <w:rFonts w:eastAsia="Calibri" w:cstheme="minorHAnsi"/>
          <w:bCs/>
          <w:sz w:val="24"/>
          <w:szCs w:val="24"/>
        </w:rPr>
        <w:t>_________________________</w:t>
      </w:r>
      <w:r w:rsidRPr="00ED1AE6">
        <w:rPr>
          <w:rFonts w:eastAsia="Calibri" w:cstheme="minorHAnsi"/>
          <w:bCs/>
          <w:sz w:val="24"/>
          <w:szCs w:val="24"/>
        </w:rPr>
        <w:tab/>
      </w:r>
      <w:r w:rsidRPr="00ED1AE6">
        <w:rPr>
          <w:rFonts w:eastAsia="Calibri" w:cstheme="minorHAnsi"/>
          <w:bCs/>
          <w:sz w:val="24"/>
          <w:szCs w:val="24"/>
        </w:rPr>
        <w:tab/>
      </w:r>
      <w:r w:rsidRPr="00ED1AE6">
        <w:rPr>
          <w:rFonts w:eastAsia="Calibri" w:cstheme="minorHAnsi"/>
          <w:bCs/>
          <w:sz w:val="24"/>
          <w:szCs w:val="24"/>
        </w:rPr>
        <w:tab/>
        <w:t>_________________________</w:t>
      </w:r>
      <w:r w:rsidRPr="00ED1AE6">
        <w:rPr>
          <w:rFonts w:eastAsia="Calibri" w:cstheme="minorHAnsi"/>
          <w:b/>
          <w:bCs/>
          <w:sz w:val="24"/>
          <w:szCs w:val="24"/>
        </w:rPr>
        <w:t xml:space="preserve">    </w:t>
      </w:r>
    </w:p>
    <w:p w14:paraId="647883F0" w14:textId="77777777" w:rsidR="00561D0F" w:rsidRPr="00ED1AE6" w:rsidRDefault="00561D0F" w:rsidP="00561D0F">
      <w:pPr>
        <w:spacing w:after="160" w:line="256" w:lineRule="auto"/>
        <w:rPr>
          <w:rFonts w:eastAsia="Calibri" w:cstheme="minorHAnsi"/>
          <w:b/>
          <w:bCs/>
          <w:sz w:val="24"/>
          <w:szCs w:val="24"/>
        </w:rPr>
      </w:pPr>
    </w:p>
    <w:p w14:paraId="7E6A83F9" w14:textId="77777777" w:rsidR="00561D0F" w:rsidRPr="00ED1AE6" w:rsidRDefault="00561D0F" w:rsidP="00561D0F">
      <w:pPr>
        <w:spacing w:after="160" w:line="256" w:lineRule="auto"/>
        <w:rPr>
          <w:rFonts w:eastAsia="Calibri" w:cstheme="minorHAnsi"/>
          <w:b/>
          <w:bCs/>
          <w:sz w:val="24"/>
          <w:szCs w:val="24"/>
        </w:rPr>
      </w:pPr>
    </w:p>
    <w:p w14:paraId="5755D5FA" w14:textId="77777777" w:rsidR="00561D0F" w:rsidRPr="00ED1AE6" w:rsidRDefault="00561D0F" w:rsidP="00561D0F">
      <w:pPr>
        <w:spacing w:after="160" w:line="256" w:lineRule="auto"/>
        <w:rPr>
          <w:rFonts w:eastAsia="Calibri" w:cstheme="minorHAnsi"/>
          <w:b/>
          <w:bCs/>
          <w:sz w:val="24"/>
          <w:szCs w:val="24"/>
        </w:rPr>
      </w:pPr>
      <w:r w:rsidRPr="00ED1AE6">
        <w:rPr>
          <w:rFonts w:eastAsia="Calibri" w:cstheme="minorHAnsi"/>
          <w:bCs/>
          <w:sz w:val="24"/>
          <w:szCs w:val="24"/>
        </w:rPr>
        <w:t>_________________________</w:t>
      </w:r>
      <w:r w:rsidRPr="00ED1AE6">
        <w:rPr>
          <w:rFonts w:eastAsia="Calibri" w:cstheme="minorHAnsi"/>
          <w:bCs/>
          <w:sz w:val="24"/>
          <w:szCs w:val="24"/>
        </w:rPr>
        <w:tab/>
      </w:r>
      <w:r w:rsidRPr="00ED1AE6">
        <w:rPr>
          <w:rFonts w:eastAsia="Calibri" w:cstheme="minorHAnsi"/>
          <w:bCs/>
          <w:sz w:val="24"/>
          <w:szCs w:val="24"/>
        </w:rPr>
        <w:tab/>
      </w:r>
      <w:r w:rsidRPr="00ED1AE6">
        <w:rPr>
          <w:rFonts w:eastAsia="Calibri" w:cstheme="minorHAnsi"/>
          <w:bCs/>
          <w:sz w:val="24"/>
          <w:szCs w:val="24"/>
        </w:rPr>
        <w:tab/>
        <w:t>_________________________</w:t>
      </w:r>
      <w:r w:rsidRPr="00ED1AE6">
        <w:rPr>
          <w:rFonts w:eastAsia="Calibri" w:cstheme="minorHAnsi"/>
          <w:b/>
          <w:bCs/>
          <w:sz w:val="24"/>
          <w:szCs w:val="24"/>
        </w:rPr>
        <w:t xml:space="preserve">    </w:t>
      </w:r>
    </w:p>
    <w:p w14:paraId="12FEAEAA" w14:textId="77777777" w:rsidR="00561D0F" w:rsidRPr="00ED1AE6" w:rsidRDefault="00561D0F" w:rsidP="00561D0F">
      <w:pPr>
        <w:spacing w:after="160" w:line="256" w:lineRule="auto"/>
        <w:rPr>
          <w:rFonts w:eastAsia="Calibri" w:cstheme="minorHAnsi"/>
          <w:b/>
          <w:bCs/>
          <w:sz w:val="24"/>
          <w:szCs w:val="24"/>
        </w:rPr>
      </w:pPr>
    </w:p>
    <w:p w14:paraId="4F7F773D" w14:textId="77777777" w:rsidR="00561D0F" w:rsidRPr="00ED1AE6" w:rsidRDefault="00561D0F" w:rsidP="00561D0F">
      <w:pPr>
        <w:spacing w:after="160" w:line="256" w:lineRule="auto"/>
        <w:rPr>
          <w:rFonts w:eastAsia="Calibri" w:cstheme="minorHAnsi"/>
          <w:b/>
          <w:bCs/>
          <w:sz w:val="24"/>
          <w:szCs w:val="24"/>
        </w:rPr>
      </w:pPr>
    </w:p>
    <w:p w14:paraId="680E43F0" w14:textId="77777777" w:rsidR="00561D0F" w:rsidRPr="00ED1AE6" w:rsidRDefault="00561D0F" w:rsidP="00561D0F">
      <w:pPr>
        <w:spacing w:after="160" w:line="256" w:lineRule="auto"/>
        <w:rPr>
          <w:rFonts w:eastAsia="Calibri" w:cstheme="minorHAnsi"/>
          <w:b/>
          <w:bCs/>
          <w:sz w:val="24"/>
          <w:szCs w:val="24"/>
        </w:rPr>
      </w:pPr>
      <w:r w:rsidRPr="00ED1AE6">
        <w:rPr>
          <w:rFonts w:eastAsia="Calibri" w:cstheme="minorHAnsi"/>
          <w:bCs/>
          <w:sz w:val="24"/>
          <w:szCs w:val="24"/>
        </w:rPr>
        <w:t>_________________________</w:t>
      </w:r>
      <w:r w:rsidRPr="00ED1AE6">
        <w:rPr>
          <w:rFonts w:eastAsia="Calibri" w:cstheme="minorHAnsi"/>
          <w:bCs/>
          <w:sz w:val="24"/>
          <w:szCs w:val="24"/>
        </w:rPr>
        <w:tab/>
      </w:r>
      <w:r w:rsidRPr="00ED1AE6">
        <w:rPr>
          <w:rFonts w:eastAsia="Calibri" w:cstheme="minorHAnsi"/>
          <w:bCs/>
          <w:sz w:val="24"/>
          <w:szCs w:val="24"/>
        </w:rPr>
        <w:tab/>
      </w:r>
      <w:r w:rsidRPr="00ED1AE6">
        <w:rPr>
          <w:rFonts w:eastAsia="Calibri" w:cstheme="minorHAnsi"/>
          <w:bCs/>
          <w:sz w:val="24"/>
          <w:szCs w:val="24"/>
        </w:rPr>
        <w:tab/>
        <w:t>_________________________</w:t>
      </w:r>
      <w:r w:rsidRPr="00ED1AE6">
        <w:rPr>
          <w:rFonts w:eastAsia="Calibri" w:cstheme="minorHAnsi"/>
          <w:b/>
          <w:bCs/>
          <w:sz w:val="24"/>
          <w:szCs w:val="24"/>
        </w:rPr>
        <w:t xml:space="preserve">    </w:t>
      </w:r>
    </w:p>
    <w:p w14:paraId="065133CB" w14:textId="77777777" w:rsidR="00561D0F" w:rsidRPr="00ED1AE6" w:rsidRDefault="00561D0F" w:rsidP="00561D0F">
      <w:pPr>
        <w:spacing w:after="160" w:line="256" w:lineRule="auto"/>
        <w:rPr>
          <w:rFonts w:eastAsia="Calibri" w:cstheme="minorHAnsi"/>
          <w:b/>
          <w:bCs/>
          <w:sz w:val="24"/>
          <w:szCs w:val="24"/>
        </w:rPr>
      </w:pPr>
    </w:p>
    <w:p w14:paraId="743CB1E8" w14:textId="77777777" w:rsidR="00561D0F" w:rsidRPr="00ED1AE6" w:rsidRDefault="00561D0F" w:rsidP="00561D0F">
      <w:pPr>
        <w:spacing w:after="160" w:line="256" w:lineRule="auto"/>
        <w:rPr>
          <w:rFonts w:eastAsia="Calibri" w:cstheme="minorHAnsi"/>
          <w:b/>
          <w:bCs/>
          <w:sz w:val="24"/>
          <w:szCs w:val="24"/>
        </w:rPr>
      </w:pPr>
    </w:p>
    <w:p w14:paraId="57821634" w14:textId="77777777" w:rsidR="00561D0F" w:rsidRPr="00ED1AE6" w:rsidRDefault="00561D0F" w:rsidP="00561D0F">
      <w:pPr>
        <w:spacing w:after="160" w:line="256" w:lineRule="auto"/>
        <w:rPr>
          <w:rFonts w:eastAsia="Calibri" w:cstheme="minorHAnsi"/>
          <w:b/>
          <w:bCs/>
          <w:sz w:val="24"/>
          <w:szCs w:val="24"/>
        </w:rPr>
      </w:pPr>
      <w:r w:rsidRPr="00ED1AE6">
        <w:rPr>
          <w:rFonts w:eastAsia="Calibri" w:cstheme="minorHAnsi"/>
          <w:bCs/>
          <w:sz w:val="24"/>
          <w:szCs w:val="24"/>
        </w:rPr>
        <w:t>_________________________</w:t>
      </w:r>
      <w:r w:rsidRPr="00ED1AE6">
        <w:rPr>
          <w:rFonts w:eastAsia="Calibri" w:cstheme="minorHAnsi"/>
          <w:bCs/>
          <w:sz w:val="24"/>
          <w:szCs w:val="24"/>
        </w:rPr>
        <w:tab/>
      </w:r>
      <w:r w:rsidRPr="00ED1AE6">
        <w:rPr>
          <w:rFonts w:eastAsia="Calibri" w:cstheme="minorHAnsi"/>
          <w:bCs/>
          <w:sz w:val="24"/>
          <w:szCs w:val="24"/>
        </w:rPr>
        <w:tab/>
      </w:r>
      <w:r w:rsidRPr="00ED1AE6">
        <w:rPr>
          <w:rFonts w:eastAsia="Calibri" w:cstheme="minorHAnsi"/>
          <w:bCs/>
          <w:sz w:val="24"/>
          <w:szCs w:val="24"/>
        </w:rPr>
        <w:tab/>
        <w:t>_________________________</w:t>
      </w:r>
      <w:r w:rsidRPr="00ED1AE6">
        <w:rPr>
          <w:rFonts w:eastAsia="Calibri" w:cstheme="minorHAnsi"/>
          <w:b/>
          <w:bCs/>
          <w:sz w:val="24"/>
          <w:szCs w:val="24"/>
        </w:rPr>
        <w:t xml:space="preserve">    </w:t>
      </w:r>
    </w:p>
    <w:p w14:paraId="349AABB9" w14:textId="77777777" w:rsidR="00561D0F" w:rsidRPr="00ED1AE6" w:rsidRDefault="00561D0F" w:rsidP="00561D0F">
      <w:pPr>
        <w:spacing w:after="160" w:line="256" w:lineRule="auto"/>
        <w:rPr>
          <w:rFonts w:eastAsia="Calibri" w:cstheme="minorHAnsi"/>
          <w:b/>
          <w:bCs/>
          <w:sz w:val="24"/>
          <w:szCs w:val="24"/>
        </w:rPr>
      </w:pPr>
    </w:p>
    <w:p w14:paraId="2CBAA216" w14:textId="77777777" w:rsidR="00561D0F" w:rsidRPr="00ED1AE6" w:rsidRDefault="00561D0F" w:rsidP="00561D0F">
      <w:pPr>
        <w:spacing w:after="160" w:line="256" w:lineRule="auto"/>
        <w:rPr>
          <w:rFonts w:eastAsia="Calibri" w:cstheme="minorHAnsi"/>
          <w:b/>
          <w:bCs/>
          <w:sz w:val="24"/>
          <w:szCs w:val="24"/>
        </w:rPr>
      </w:pPr>
    </w:p>
    <w:p w14:paraId="0EE90395" w14:textId="77777777" w:rsidR="00561D0F" w:rsidRPr="00ED1AE6" w:rsidRDefault="00561D0F" w:rsidP="00561D0F">
      <w:pPr>
        <w:spacing w:after="160" w:line="256" w:lineRule="auto"/>
        <w:rPr>
          <w:rFonts w:eastAsia="Calibri" w:cstheme="minorHAnsi"/>
          <w:b/>
          <w:bCs/>
          <w:sz w:val="24"/>
          <w:szCs w:val="24"/>
        </w:rPr>
      </w:pPr>
      <w:r w:rsidRPr="00ED1AE6">
        <w:rPr>
          <w:rFonts w:eastAsia="Calibri" w:cstheme="minorHAnsi"/>
          <w:bCs/>
          <w:sz w:val="24"/>
          <w:szCs w:val="24"/>
        </w:rPr>
        <w:t>_________________________</w:t>
      </w:r>
      <w:r w:rsidRPr="00ED1AE6">
        <w:rPr>
          <w:rFonts w:eastAsia="Calibri" w:cstheme="minorHAnsi"/>
          <w:bCs/>
          <w:sz w:val="24"/>
          <w:szCs w:val="24"/>
        </w:rPr>
        <w:tab/>
      </w:r>
      <w:r w:rsidRPr="00ED1AE6">
        <w:rPr>
          <w:rFonts w:eastAsia="Calibri" w:cstheme="minorHAnsi"/>
          <w:bCs/>
          <w:sz w:val="24"/>
          <w:szCs w:val="24"/>
        </w:rPr>
        <w:tab/>
      </w:r>
      <w:r w:rsidRPr="00ED1AE6">
        <w:rPr>
          <w:rFonts w:eastAsia="Calibri" w:cstheme="minorHAnsi"/>
          <w:bCs/>
          <w:sz w:val="24"/>
          <w:szCs w:val="24"/>
        </w:rPr>
        <w:tab/>
        <w:t>_________________________</w:t>
      </w:r>
      <w:r w:rsidRPr="00ED1AE6">
        <w:rPr>
          <w:rFonts w:eastAsia="Calibri" w:cstheme="minorHAnsi"/>
          <w:b/>
          <w:bCs/>
          <w:sz w:val="24"/>
          <w:szCs w:val="24"/>
        </w:rPr>
        <w:t xml:space="preserve">  </w:t>
      </w:r>
    </w:p>
    <w:p w14:paraId="1C3B1996" w14:textId="77777777" w:rsidR="00561D0F" w:rsidRPr="00ED1AE6" w:rsidRDefault="00561D0F" w:rsidP="00561D0F">
      <w:pPr>
        <w:spacing w:after="160" w:line="256" w:lineRule="auto"/>
        <w:rPr>
          <w:rFonts w:eastAsia="Calibri" w:cstheme="minorHAnsi"/>
          <w:bCs/>
          <w:sz w:val="24"/>
          <w:szCs w:val="24"/>
        </w:rPr>
      </w:pPr>
    </w:p>
    <w:p w14:paraId="22515AA6" w14:textId="77777777" w:rsidR="00561D0F" w:rsidRPr="00ED1AE6" w:rsidRDefault="00561D0F" w:rsidP="00561D0F">
      <w:pPr>
        <w:spacing w:after="160" w:line="256" w:lineRule="auto"/>
        <w:rPr>
          <w:rFonts w:eastAsia="Calibri" w:cstheme="minorHAnsi"/>
          <w:bCs/>
          <w:sz w:val="24"/>
          <w:szCs w:val="24"/>
        </w:rPr>
      </w:pPr>
    </w:p>
    <w:p w14:paraId="260F4CE7" w14:textId="77777777" w:rsidR="00561D0F" w:rsidRPr="00ED1AE6" w:rsidRDefault="00561D0F" w:rsidP="00561D0F">
      <w:pPr>
        <w:spacing w:after="160" w:line="256" w:lineRule="auto"/>
        <w:rPr>
          <w:rFonts w:eastAsia="Calibri" w:cstheme="minorHAnsi"/>
          <w:b/>
          <w:bCs/>
          <w:sz w:val="24"/>
          <w:szCs w:val="24"/>
        </w:rPr>
      </w:pPr>
      <w:r w:rsidRPr="00ED1AE6">
        <w:rPr>
          <w:rFonts w:eastAsia="Calibri" w:cstheme="minorHAnsi"/>
          <w:bCs/>
          <w:sz w:val="24"/>
          <w:szCs w:val="24"/>
        </w:rPr>
        <w:t>_________________________</w:t>
      </w:r>
      <w:r w:rsidRPr="00ED1AE6">
        <w:rPr>
          <w:rFonts w:eastAsia="Calibri" w:cstheme="minorHAnsi"/>
          <w:bCs/>
          <w:sz w:val="24"/>
          <w:szCs w:val="24"/>
        </w:rPr>
        <w:tab/>
      </w:r>
      <w:r w:rsidRPr="00ED1AE6">
        <w:rPr>
          <w:rFonts w:eastAsia="Calibri" w:cstheme="minorHAnsi"/>
          <w:bCs/>
          <w:sz w:val="24"/>
          <w:szCs w:val="24"/>
        </w:rPr>
        <w:tab/>
      </w:r>
      <w:r w:rsidRPr="00ED1AE6">
        <w:rPr>
          <w:rFonts w:eastAsia="Calibri" w:cstheme="minorHAnsi"/>
          <w:bCs/>
          <w:sz w:val="24"/>
          <w:szCs w:val="24"/>
        </w:rPr>
        <w:tab/>
        <w:t>_________________________</w:t>
      </w:r>
      <w:r w:rsidRPr="00ED1AE6">
        <w:rPr>
          <w:rFonts w:eastAsia="Calibri" w:cstheme="minorHAnsi"/>
          <w:b/>
          <w:bCs/>
          <w:sz w:val="24"/>
          <w:szCs w:val="24"/>
        </w:rPr>
        <w:t xml:space="preserve">    </w:t>
      </w:r>
    </w:p>
    <w:p w14:paraId="3405EF0B" w14:textId="77777777" w:rsidR="00561D0F" w:rsidRPr="00ED1AE6" w:rsidRDefault="00561D0F" w:rsidP="00561D0F">
      <w:pPr>
        <w:spacing w:after="160" w:line="256" w:lineRule="auto"/>
        <w:rPr>
          <w:rFonts w:eastAsia="Calibri" w:cstheme="minorHAnsi"/>
          <w:bCs/>
          <w:sz w:val="24"/>
          <w:szCs w:val="24"/>
        </w:rPr>
      </w:pPr>
    </w:p>
    <w:p w14:paraId="62B04A84" w14:textId="77777777" w:rsidR="00561D0F" w:rsidRPr="00ED1AE6" w:rsidRDefault="00561D0F" w:rsidP="00561D0F">
      <w:pPr>
        <w:spacing w:after="160" w:line="256" w:lineRule="auto"/>
        <w:rPr>
          <w:rFonts w:eastAsia="Calibri" w:cstheme="minorHAnsi"/>
          <w:bCs/>
          <w:sz w:val="24"/>
          <w:szCs w:val="24"/>
        </w:rPr>
      </w:pPr>
    </w:p>
    <w:p w14:paraId="20279BC5" w14:textId="77777777" w:rsidR="00561D0F" w:rsidRPr="00ED1AE6" w:rsidRDefault="00561D0F" w:rsidP="00561D0F">
      <w:pPr>
        <w:spacing w:after="160" w:line="256" w:lineRule="auto"/>
        <w:rPr>
          <w:rFonts w:eastAsia="Calibri" w:cstheme="minorHAnsi"/>
          <w:b/>
          <w:bCs/>
          <w:sz w:val="24"/>
          <w:szCs w:val="24"/>
        </w:rPr>
      </w:pPr>
      <w:r w:rsidRPr="00ED1AE6">
        <w:rPr>
          <w:rFonts w:eastAsia="Calibri" w:cstheme="minorHAnsi"/>
          <w:bCs/>
          <w:sz w:val="24"/>
          <w:szCs w:val="24"/>
        </w:rPr>
        <w:t>_________________________</w:t>
      </w:r>
      <w:r w:rsidRPr="00ED1AE6">
        <w:rPr>
          <w:rFonts w:eastAsia="Calibri" w:cstheme="minorHAnsi"/>
          <w:bCs/>
          <w:sz w:val="24"/>
          <w:szCs w:val="24"/>
        </w:rPr>
        <w:tab/>
      </w:r>
      <w:r w:rsidRPr="00ED1AE6">
        <w:rPr>
          <w:rFonts w:eastAsia="Calibri" w:cstheme="minorHAnsi"/>
          <w:bCs/>
          <w:sz w:val="24"/>
          <w:szCs w:val="24"/>
        </w:rPr>
        <w:tab/>
      </w:r>
      <w:r w:rsidRPr="00ED1AE6">
        <w:rPr>
          <w:rFonts w:eastAsia="Calibri" w:cstheme="minorHAnsi"/>
          <w:bCs/>
          <w:sz w:val="24"/>
          <w:szCs w:val="24"/>
        </w:rPr>
        <w:tab/>
        <w:t>_________________________</w:t>
      </w:r>
      <w:r w:rsidRPr="00ED1AE6">
        <w:rPr>
          <w:rFonts w:eastAsia="Calibri" w:cstheme="minorHAnsi"/>
          <w:b/>
          <w:bCs/>
          <w:sz w:val="24"/>
          <w:szCs w:val="24"/>
        </w:rPr>
        <w:t xml:space="preserve">    </w:t>
      </w:r>
    </w:p>
    <w:p w14:paraId="23F17774" w14:textId="77777777" w:rsidR="001D7734" w:rsidRDefault="001D7734" w:rsidP="00ED1AE6">
      <w:pPr>
        <w:spacing w:after="160" w:line="256" w:lineRule="auto"/>
        <w:jc w:val="center"/>
        <w:rPr>
          <w:rFonts w:eastAsia="Calibri" w:cstheme="minorHAnsi"/>
          <w:b/>
          <w:bCs/>
          <w:sz w:val="24"/>
          <w:szCs w:val="24"/>
        </w:rPr>
      </w:pPr>
    </w:p>
    <w:p w14:paraId="6AF78931" w14:textId="3D4BE733" w:rsidR="00561D0F" w:rsidRPr="00ED1AE6" w:rsidRDefault="00ED1AE6" w:rsidP="00ED1AE6">
      <w:pPr>
        <w:spacing w:after="160" w:line="256" w:lineRule="auto"/>
        <w:jc w:val="center"/>
        <w:rPr>
          <w:rFonts w:eastAsia="Calibri" w:cstheme="minorHAnsi"/>
          <w:b/>
          <w:bCs/>
          <w:sz w:val="24"/>
          <w:szCs w:val="24"/>
        </w:rPr>
      </w:pPr>
      <w:r w:rsidRPr="00ED1AE6">
        <w:rPr>
          <w:rFonts w:eastAsia="Calibri" w:cstheme="minorHAnsi"/>
          <w:b/>
          <w:bCs/>
          <w:sz w:val="24"/>
          <w:szCs w:val="24"/>
        </w:rPr>
        <w:lastRenderedPageBreak/>
        <w:t>PROYECTO DE LEY</w:t>
      </w:r>
      <w:r w:rsidR="00561D0F" w:rsidRPr="00ED1AE6">
        <w:rPr>
          <w:rFonts w:eastAsia="Calibri" w:cstheme="minorHAnsi"/>
          <w:b/>
          <w:bCs/>
          <w:sz w:val="24"/>
          <w:szCs w:val="24"/>
        </w:rPr>
        <w:t xml:space="preserve"> No ------- DE 2022 CAMARA</w:t>
      </w:r>
    </w:p>
    <w:p w14:paraId="378456F0" w14:textId="58AD5F45" w:rsidR="00ED1AE6" w:rsidRPr="00ED1AE6" w:rsidRDefault="00561D0F" w:rsidP="00ED1AE6">
      <w:pPr>
        <w:tabs>
          <w:tab w:val="left" w:pos="2565"/>
        </w:tabs>
        <w:spacing w:after="160"/>
        <w:jc w:val="center"/>
        <w:rPr>
          <w:rFonts w:eastAsia="Calibri" w:cstheme="minorHAnsi"/>
          <w:b/>
          <w:bCs/>
          <w:i/>
          <w:iCs/>
          <w:sz w:val="24"/>
          <w:szCs w:val="24"/>
          <w:lang w:val="es-ES_tradnl"/>
        </w:rPr>
      </w:pPr>
      <w:r w:rsidRPr="00ED1AE6">
        <w:rPr>
          <w:rFonts w:eastAsia="Calibri" w:cstheme="minorHAnsi"/>
          <w:b/>
          <w:sz w:val="24"/>
          <w:szCs w:val="24"/>
        </w:rPr>
        <w:t xml:space="preserve"> “</w:t>
      </w:r>
      <w:r w:rsidR="00ED1AE6" w:rsidRPr="00ED1AE6">
        <w:rPr>
          <w:rFonts w:eastAsia="Calibri" w:cstheme="minorHAnsi"/>
          <w:b/>
          <w:bCs/>
          <w:iCs/>
          <w:sz w:val="24"/>
          <w:szCs w:val="24"/>
        </w:rPr>
        <w:t>POR EL CUAL EL PROGRAMA DE ALIMENTACION ESCOLAR – PAE, SE CONVIERTE EN POLITICA PUBLICA DE ESTADO</w:t>
      </w:r>
      <w:r w:rsidR="00ED1AE6" w:rsidRPr="00ED1AE6">
        <w:rPr>
          <w:rFonts w:eastAsia="Calibri" w:cstheme="minorHAnsi"/>
          <w:b/>
          <w:bCs/>
          <w:iCs/>
          <w:sz w:val="24"/>
          <w:szCs w:val="24"/>
          <w:lang w:val="es-ES_tradnl"/>
        </w:rPr>
        <w:t>”</w:t>
      </w:r>
    </w:p>
    <w:p w14:paraId="3557022E" w14:textId="670999E7" w:rsidR="00561D0F" w:rsidRPr="00ED1AE6" w:rsidRDefault="00561D0F" w:rsidP="00ED1AE6">
      <w:pPr>
        <w:tabs>
          <w:tab w:val="left" w:pos="2565"/>
        </w:tabs>
        <w:spacing w:after="160"/>
        <w:rPr>
          <w:rFonts w:eastAsia="Calibri" w:cstheme="minorHAnsi"/>
          <w:i/>
          <w:sz w:val="24"/>
          <w:szCs w:val="24"/>
        </w:rPr>
      </w:pPr>
    </w:p>
    <w:p w14:paraId="65FB7AF2" w14:textId="77777777" w:rsidR="00561D0F" w:rsidRPr="00ED1AE6" w:rsidRDefault="00561D0F" w:rsidP="00561D0F">
      <w:pPr>
        <w:tabs>
          <w:tab w:val="left" w:pos="2565"/>
        </w:tabs>
        <w:spacing w:after="0"/>
        <w:jc w:val="center"/>
        <w:rPr>
          <w:rFonts w:eastAsia="Calibri" w:cstheme="minorHAnsi"/>
          <w:b/>
          <w:sz w:val="24"/>
          <w:szCs w:val="24"/>
        </w:rPr>
      </w:pPr>
      <w:r w:rsidRPr="00ED1AE6">
        <w:rPr>
          <w:rFonts w:eastAsia="Calibri" w:cstheme="minorHAnsi"/>
          <w:b/>
          <w:sz w:val="24"/>
          <w:szCs w:val="24"/>
        </w:rPr>
        <w:t>EL CONGRESO DE COLOMBIA</w:t>
      </w:r>
    </w:p>
    <w:p w14:paraId="7BA886C1" w14:textId="77777777" w:rsidR="00561D0F" w:rsidRPr="00ED1AE6" w:rsidRDefault="00561D0F" w:rsidP="00561D0F">
      <w:pPr>
        <w:spacing w:after="160" w:line="256" w:lineRule="auto"/>
        <w:jc w:val="center"/>
        <w:rPr>
          <w:rFonts w:eastAsia="Calibri" w:cstheme="minorHAnsi"/>
          <w:b/>
          <w:sz w:val="24"/>
          <w:szCs w:val="24"/>
        </w:rPr>
      </w:pPr>
    </w:p>
    <w:p w14:paraId="0B468916" w14:textId="0E718EFB" w:rsidR="00561D0F" w:rsidRPr="00ED1AE6" w:rsidRDefault="00432502" w:rsidP="00ED1AE6">
      <w:pPr>
        <w:spacing w:after="160" w:line="256" w:lineRule="auto"/>
        <w:rPr>
          <w:rFonts w:eastAsia="Calibri" w:cstheme="minorHAnsi"/>
          <w:b/>
          <w:sz w:val="24"/>
          <w:szCs w:val="24"/>
        </w:rPr>
      </w:pPr>
      <w:r>
        <w:rPr>
          <w:rFonts w:eastAsia="Calibri" w:cstheme="minorHAnsi"/>
          <w:b/>
          <w:sz w:val="24"/>
          <w:szCs w:val="24"/>
        </w:rPr>
        <w:t>I.</w:t>
      </w:r>
      <w:r w:rsidR="00561D0F" w:rsidRPr="00ED1AE6">
        <w:rPr>
          <w:rFonts w:eastAsia="Calibri" w:cstheme="minorHAnsi"/>
          <w:b/>
          <w:sz w:val="24"/>
          <w:szCs w:val="24"/>
        </w:rPr>
        <w:t xml:space="preserve"> EXPOSICIÓN DE MOTIVOS</w:t>
      </w:r>
    </w:p>
    <w:p w14:paraId="31447627" w14:textId="77777777" w:rsidR="00ED1AE6" w:rsidRPr="00ED1AE6" w:rsidRDefault="00ED1AE6" w:rsidP="00ED1AE6">
      <w:pPr>
        <w:spacing w:before="240" w:after="240" w:line="240" w:lineRule="auto"/>
        <w:jc w:val="both"/>
        <w:rPr>
          <w:rFonts w:eastAsia="Calibri" w:cstheme="minorHAnsi"/>
          <w:sz w:val="24"/>
          <w:szCs w:val="24"/>
          <w:lang w:val="es-419" w:eastAsia="es-CO"/>
        </w:rPr>
      </w:pPr>
      <w:r w:rsidRPr="00ED1AE6">
        <w:rPr>
          <w:rFonts w:eastAsia="Calibri" w:cstheme="minorHAnsi"/>
          <w:sz w:val="24"/>
          <w:szCs w:val="24"/>
          <w:lang w:val="es-419" w:eastAsia="es-CO"/>
        </w:rPr>
        <w:t>El proyecto de ley que se presenta a continuación tiene como objeto establecer las condiciones necesarias para promover la constitución del Programa de Alimentación Escolar (desde ahora PAE) como una política de orden Estatal protegiendo así los objetivos por los cuales fue constituido y a su vez garantizando el acceso a los niños niñas y adolescentes del país a los beneficios de dicho programa a futuro, con el fin último de promover infancias felices, mejores condiciones físicas y de crecimiento a nivel psicomotriz y social . Así mismo, exponer la importancia de los programas de alimentación en la manutención de infancias y adolescencias sanas en el ámbito escolar, que derivan en un mejor aprendizaje, mejoramiento de la capacidad cognoscitiva, un mayor grado de necesidades básicas satisfechas, ampliación de la posibilidad de obtener mejores calificaciones y evitar las condiciones psicomotrices adversas.</w:t>
      </w:r>
    </w:p>
    <w:p w14:paraId="0A5B2544" w14:textId="77777777" w:rsidR="00432502" w:rsidRDefault="00432502" w:rsidP="00ED1AE6">
      <w:pPr>
        <w:spacing w:before="240" w:after="240" w:line="240" w:lineRule="auto"/>
        <w:jc w:val="both"/>
        <w:rPr>
          <w:rFonts w:eastAsia="Calibri" w:cstheme="minorHAnsi"/>
          <w:b/>
          <w:sz w:val="24"/>
          <w:szCs w:val="24"/>
          <w:lang w:val="es-419" w:eastAsia="es-CO"/>
        </w:rPr>
      </w:pPr>
    </w:p>
    <w:p w14:paraId="2A758B4A" w14:textId="53193D8D" w:rsidR="00ED1AE6" w:rsidRPr="00ED1AE6" w:rsidRDefault="00432502" w:rsidP="00ED1AE6">
      <w:pPr>
        <w:spacing w:before="240" w:after="240" w:line="240" w:lineRule="auto"/>
        <w:jc w:val="both"/>
        <w:rPr>
          <w:rFonts w:eastAsia="Calibri" w:cstheme="minorHAnsi"/>
          <w:b/>
          <w:sz w:val="24"/>
          <w:szCs w:val="24"/>
          <w:lang w:val="es-419" w:eastAsia="es-CO"/>
        </w:rPr>
      </w:pPr>
      <w:r>
        <w:rPr>
          <w:rFonts w:eastAsia="Calibri" w:cstheme="minorHAnsi"/>
          <w:b/>
          <w:sz w:val="24"/>
          <w:szCs w:val="24"/>
          <w:lang w:val="es-419" w:eastAsia="es-CO"/>
        </w:rPr>
        <w:t>II. ASPECTOS NORMATIVOS DEL PROGRAMA DE ALIMENTACIÓN ESCOLAR,</w:t>
      </w:r>
      <w:r w:rsidRPr="00ED1AE6">
        <w:rPr>
          <w:rFonts w:eastAsia="Calibri" w:cstheme="minorHAnsi"/>
          <w:b/>
          <w:sz w:val="24"/>
          <w:szCs w:val="24"/>
          <w:lang w:val="es-419" w:eastAsia="es-CO"/>
        </w:rPr>
        <w:t xml:space="preserve"> COMO POLÍTICA</w:t>
      </w:r>
      <w:r>
        <w:rPr>
          <w:rFonts w:eastAsia="Calibri" w:cstheme="minorHAnsi"/>
          <w:b/>
          <w:sz w:val="24"/>
          <w:szCs w:val="24"/>
          <w:lang w:val="es-419" w:eastAsia="es-CO"/>
        </w:rPr>
        <w:t xml:space="preserve"> PUBLICA.</w:t>
      </w:r>
    </w:p>
    <w:p w14:paraId="7A6D568B" w14:textId="77777777" w:rsidR="00ED1AE6" w:rsidRPr="00ED1AE6" w:rsidRDefault="00ED1AE6" w:rsidP="00ED1AE6">
      <w:pPr>
        <w:spacing w:before="240" w:after="240" w:line="240" w:lineRule="auto"/>
        <w:jc w:val="both"/>
        <w:rPr>
          <w:rFonts w:eastAsia="Calibri" w:cstheme="minorHAnsi"/>
          <w:sz w:val="24"/>
          <w:szCs w:val="24"/>
          <w:lang w:val="es-419" w:eastAsia="es-CO"/>
        </w:rPr>
      </w:pPr>
      <w:r w:rsidRPr="00ED1AE6">
        <w:rPr>
          <w:rFonts w:eastAsia="Calibri" w:cstheme="minorHAnsi"/>
          <w:sz w:val="24"/>
          <w:szCs w:val="24"/>
          <w:lang w:val="es-419" w:eastAsia="es-CO"/>
        </w:rPr>
        <w:t>El PAE como sus siglas lo indican es un programa encargado de proveer complementos alimentarios a niños, niñas y adolescentes en los entornos escolares oficiales a través de todo el territorio colombiano. Los objetivos esenciales del PAE son suministrar a los menores en edad de desarrollo una alimentación balanceada que les permita llevar a buen término sus labores escolares y más importante aún que promueva su permanencia en el sistema escolar. Además, proporcionar durante la jornada escolar los macronutrientes (carbohidratos, proteínas y grasas) y micronutrientes (zinc, hierro, vitamina A y calcio) que el cuerpo necesita en cantidades diferenciadas dependiendo de la fase de desarrollo en la que se encuentren los beneficiarios.  Es una condición obligatoria para acceder a los servicios ofrecidos por el programa que los menores se encuentren previamente registrados en el Sistema de Matrículas SIMAT y funjan como estudiantes de una de las instituciones educativas oficiales en Colombia. Estos servicios serán prestados por las Entidades Territoriales Calificadas (ETC) las cuales definirán el calendario escolar propio para cada caso.</w:t>
      </w:r>
    </w:p>
    <w:p w14:paraId="4F9E0955" w14:textId="77777777" w:rsidR="00ED1AE6" w:rsidRPr="00ED1AE6" w:rsidRDefault="00ED1AE6" w:rsidP="00ED1AE6">
      <w:pPr>
        <w:spacing w:before="240" w:after="240" w:line="240" w:lineRule="auto"/>
        <w:jc w:val="both"/>
        <w:rPr>
          <w:rFonts w:eastAsia="Calibri" w:cstheme="minorHAnsi"/>
          <w:sz w:val="24"/>
          <w:szCs w:val="24"/>
          <w:lang w:val="es-419" w:eastAsia="es-CO"/>
        </w:rPr>
      </w:pPr>
      <w:r w:rsidRPr="00ED1AE6">
        <w:rPr>
          <w:rFonts w:eastAsia="Calibri" w:cstheme="minorHAnsi"/>
          <w:sz w:val="24"/>
          <w:szCs w:val="24"/>
          <w:lang w:val="es-419" w:eastAsia="es-CO"/>
        </w:rPr>
        <w:lastRenderedPageBreak/>
        <w:t xml:space="preserve">Existen en el programa unos enfoques diferenciales que buscan garantizar para las áreas rurales y poblaciones étnicas una cobertura del 100% total de escolares matriculados que se encuentren cursando preescolar y primaria, así como otras poblaciones de especial atención. Como parte de este enfoque existe el deber de atender a </w:t>
      </w:r>
      <w:proofErr w:type="gramStart"/>
      <w:r w:rsidRPr="00ED1AE6">
        <w:rPr>
          <w:rFonts w:eastAsia="Calibri" w:cstheme="minorHAnsi"/>
          <w:sz w:val="24"/>
          <w:szCs w:val="24"/>
          <w:lang w:val="es-419" w:eastAsia="es-CO"/>
        </w:rPr>
        <w:t>los menores víctimas</w:t>
      </w:r>
      <w:proofErr w:type="gramEnd"/>
      <w:r w:rsidRPr="00ED1AE6">
        <w:rPr>
          <w:rFonts w:eastAsia="Calibri" w:cstheme="minorHAnsi"/>
          <w:sz w:val="24"/>
          <w:szCs w:val="24"/>
          <w:lang w:val="es-419" w:eastAsia="es-CO"/>
        </w:rPr>
        <w:t xml:space="preserve"> del conflicto armado en su totalidad, independientemente de los grados que se encuentren cursando al momento de recibir el apoyo, esto con el fin de dar cumplimiento a la Sentencia T-025 de 2004 y el Auto 178 de 2005 de la Corte Constitucional que buscan subsanar problemáticas históricas de acceso para estas comunidades. </w:t>
      </w:r>
    </w:p>
    <w:p w14:paraId="7CD8DF03" w14:textId="77777777" w:rsidR="00ED1AE6" w:rsidRPr="00ED1AE6" w:rsidRDefault="00ED1AE6" w:rsidP="00ED1AE6">
      <w:pPr>
        <w:spacing w:before="240" w:after="240" w:line="240" w:lineRule="auto"/>
        <w:jc w:val="both"/>
        <w:rPr>
          <w:rFonts w:eastAsia="Calibri" w:cstheme="minorHAnsi"/>
          <w:sz w:val="24"/>
          <w:szCs w:val="24"/>
          <w:lang w:val="es-419" w:eastAsia="es-CO"/>
        </w:rPr>
      </w:pPr>
      <w:r w:rsidRPr="00ED1AE6">
        <w:rPr>
          <w:rFonts w:eastAsia="Calibri" w:cstheme="minorHAnsi"/>
          <w:sz w:val="24"/>
          <w:szCs w:val="24"/>
          <w:lang w:val="es-419" w:eastAsia="es-CO"/>
        </w:rPr>
        <w:t>El PAE se halla en la actualidad bajo la tutela del Ministerio de Educación Nacional, pero a su vez son múltiples los actores estatales que intervienen para que los servicios propios del programa se proporcionen de manera adecuada, eficiente y oportuna, ejemplos de lo anteriormente mencionado serian: El Instituto Colombiano de Bienestar Familiar (ICBF), los municipios, los distritos, los departamentos, los establecimientos y sedes educativas oficiales.</w:t>
      </w:r>
    </w:p>
    <w:p w14:paraId="26F06DD4" w14:textId="77777777" w:rsidR="00ED1AE6" w:rsidRPr="00ED1AE6" w:rsidRDefault="00ED1AE6" w:rsidP="00ED1AE6">
      <w:pPr>
        <w:spacing w:before="240" w:after="240" w:line="240" w:lineRule="auto"/>
        <w:jc w:val="both"/>
        <w:rPr>
          <w:rFonts w:eastAsia="Calibri" w:cstheme="minorHAnsi"/>
          <w:sz w:val="24"/>
          <w:szCs w:val="24"/>
          <w:lang w:val="es-419" w:eastAsia="es-CO"/>
        </w:rPr>
      </w:pPr>
      <w:r w:rsidRPr="00ED1AE6">
        <w:rPr>
          <w:rFonts w:eastAsia="Calibri" w:cstheme="minorHAnsi"/>
          <w:sz w:val="24"/>
          <w:szCs w:val="24"/>
          <w:lang w:val="es-419" w:eastAsia="es-CO"/>
        </w:rPr>
        <w:t>En otro sentido, son muchos y variados los documentos y regulaciones creadas para definir, computar, moldear y evaluar los alcances y funciones de este programa y con el fin de esclarecer estos conceptos serán relacionados a continuación.</w:t>
      </w:r>
    </w:p>
    <w:p w14:paraId="70B21BAE" w14:textId="77777777" w:rsidR="00ED1AE6" w:rsidRPr="00ED1AE6" w:rsidRDefault="00ED1AE6" w:rsidP="00ED1AE6">
      <w:pPr>
        <w:spacing w:before="240" w:after="240" w:line="240" w:lineRule="auto"/>
        <w:jc w:val="both"/>
        <w:rPr>
          <w:rFonts w:eastAsia="Calibri" w:cstheme="minorHAnsi"/>
          <w:sz w:val="24"/>
          <w:szCs w:val="24"/>
          <w:lang w:val="es-419" w:eastAsia="es-CO"/>
        </w:rPr>
      </w:pPr>
      <w:r w:rsidRPr="00ED1AE6">
        <w:rPr>
          <w:rFonts w:eastAsia="Calibri" w:cstheme="minorHAnsi"/>
          <w:sz w:val="24"/>
          <w:szCs w:val="24"/>
          <w:lang w:val="es-419" w:eastAsia="es-CO"/>
        </w:rPr>
        <w:t>El PAE está regulado en primera instancia por la LEY 1176 DE 2007, que en su artículo 16 expone los relacionamientos principales por los cuales se rige el programa, su alcance y modo de financiación, destacando este último aspecto. En este sentido, el artículo mencionado reza que “El programa de alimentación escolar se financiará con recursos de diferentes fuentes. Para el efecto, las entidades territoriales seguirán y aplicarán, en primer término, los lineamientos técnico-administrativos básicos respecto de la complementación alimentaria, los estándares de alimentación, de planta física, de equipo y menaje y de recurso humano, y las condiciones para la prestación del servicio, que establezca el Instituto Colombiano de Bienestar Familiar (ICBF) para el desarrollo del programa. Adicionalmente, considerarán los lineamientos previstos en sus planes de desarrollo” (Ley 1176 de 2007, artículo 16).  Lo anterior, resalta que los recursos por los cuales se costea el PAE son mixtos y corresponden a recursos propio de las entidades territoriales, recursos de libre inversión y recursos de calidad educativa de la participación de educación del Sistema General de Participaciones, además de rubros pertenecientes al Presupuesto General de la Nación (</w:t>
      </w:r>
      <w:bookmarkStart w:id="1" w:name="_Hlk108195735"/>
      <w:r w:rsidRPr="00ED1AE6">
        <w:rPr>
          <w:rFonts w:eastAsia="Calibri" w:cstheme="minorHAnsi"/>
          <w:sz w:val="24"/>
          <w:szCs w:val="24"/>
          <w:lang w:val="es-419" w:eastAsia="es-CO"/>
        </w:rPr>
        <w:t>Ley 1176 de 2007</w:t>
      </w:r>
      <w:bookmarkEnd w:id="1"/>
      <w:r w:rsidRPr="00ED1AE6">
        <w:rPr>
          <w:rFonts w:eastAsia="Calibri" w:cstheme="minorHAnsi"/>
          <w:sz w:val="24"/>
          <w:szCs w:val="24"/>
          <w:lang w:val="es-419" w:eastAsia="es-CO"/>
        </w:rPr>
        <w:t xml:space="preserve">, artículo 16). </w:t>
      </w:r>
    </w:p>
    <w:p w14:paraId="7BDCCEDB" w14:textId="77777777" w:rsidR="00ED1AE6" w:rsidRPr="00ED1AE6" w:rsidRDefault="00ED1AE6" w:rsidP="00ED1AE6">
      <w:pPr>
        <w:spacing w:before="240" w:after="240" w:line="240" w:lineRule="auto"/>
        <w:jc w:val="both"/>
        <w:rPr>
          <w:rFonts w:eastAsia="Calibri" w:cstheme="minorHAnsi"/>
          <w:sz w:val="24"/>
          <w:szCs w:val="24"/>
          <w:lang w:val="es-419" w:eastAsia="es-CO"/>
        </w:rPr>
      </w:pPr>
      <w:r w:rsidRPr="00ED1AE6">
        <w:rPr>
          <w:rFonts w:eastAsia="Calibri" w:cstheme="minorHAnsi"/>
          <w:sz w:val="24"/>
          <w:szCs w:val="24"/>
          <w:lang w:val="es-419" w:eastAsia="es-CO"/>
        </w:rPr>
        <w:t>La ley subraya, en su artículo 17, que los recursos monetarios programados para cumplir las funciones específicas serán distribuidos a los municipios y distritos utilizando dos criterios:</w:t>
      </w:r>
    </w:p>
    <w:p w14:paraId="60F89015" w14:textId="77777777" w:rsidR="00ED1AE6" w:rsidRPr="00ED1AE6" w:rsidRDefault="00ED1AE6" w:rsidP="00ED1AE6">
      <w:pPr>
        <w:numPr>
          <w:ilvl w:val="0"/>
          <w:numId w:val="48"/>
        </w:numPr>
        <w:spacing w:before="240" w:after="0" w:line="240" w:lineRule="auto"/>
        <w:jc w:val="both"/>
        <w:rPr>
          <w:rFonts w:eastAsia="Calibri" w:cstheme="minorHAnsi"/>
          <w:sz w:val="24"/>
          <w:szCs w:val="24"/>
          <w:lang w:val="es-419" w:eastAsia="es-CO"/>
        </w:rPr>
      </w:pPr>
      <w:r w:rsidRPr="00ED1AE6">
        <w:rPr>
          <w:rFonts w:eastAsia="Calibri" w:cstheme="minorHAnsi"/>
          <w:sz w:val="24"/>
          <w:szCs w:val="24"/>
          <w:lang w:val="es-419" w:eastAsia="es-CO"/>
        </w:rPr>
        <w:t>En primer instancia, se asignará el 95% usando el criterio de equidad el cual define el suscitado artículo como "</w:t>
      </w:r>
      <w:r w:rsidRPr="00ED1AE6">
        <w:rPr>
          <w:rFonts w:eastAsia="Calibri" w:cstheme="minorHAnsi"/>
          <w:i/>
          <w:sz w:val="24"/>
          <w:szCs w:val="24"/>
          <w:highlight w:val="white"/>
          <w:lang w:val="es-419" w:eastAsia="es-CO"/>
        </w:rPr>
        <w:t xml:space="preserve">el peso relativo que se asigna a cada entidad territorial de acuerdo con la matrícula de la vigencia anterior para la cual se realiza la distribución, certificada por el Ministerio de Educación Nacional, expandida por la dispersión </w:t>
      </w:r>
      <w:r w:rsidRPr="00ED1AE6">
        <w:rPr>
          <w:rFonts w:eastAsia="Calibri" w:cstheme="minorHAnsi"/>
          <w:i/>
          <w:sz w:val="24"/>
          <w:szCs w:val="24"/>
          <w:highlight w:val="white"/>
          <w:lang w:val="es-419" w:eastAsia="es-CO"/>
        </w:rPr>
        <w:lastRenderedPageBreak/>
        <w:t>poblacional y ponderada por el Índice de Necesidades Básicas Insatisfechas, o el indicador que lo sustituya determinado por el DANE</w:t>
      </w:r>
      <w:r w:rsidRPr="00ED1AE6">
        <w:rPr>
          <w:rFonts w:eastAsia="Calibri" w:cstheme="minorHAnsi"/>
          <w:sz w:val="24"/>
          <w:szCs w:val="24"/>
          <w:highlight w:val="white"/>
          <w:lang w:val="es-419" w:eastAsia="es-CO"/>
        </w:rPr>
        <w:t>" (Ley 1176 de 2007, artículo 17).</w:t>
      </w:r>
    </w:p>
    <w:p w14:paraId="3ABC5E74" w14:textId="77777777" w:rsidR="00ED1AE6" w:rsidRPr="00ED1AE6" w:rsidRDefault="00ED1AE6" w:rsidP="00ED1AE6">
      <w:pPr>
        <w:numPr>
          <w:ilvl w:val="0"/>
          <w:numId w:val="48"/>
        </w:numPr>
        <w:spacing w:after="240" w:line="240" w:lineRule="auto"/>
        <w:jc w:val="both"/>
        <w:rPr>
          <w:rFonts w:eastAsia="Calibri" w:cstheme="minorHAnsi"/>
          <w:sz w:val="24"/>
          <w:szCs w:val="24"/>
          <w:highlight w:val="white"/>
          <w:lang w:val="es-419" w:eastAsia="es-CO"/>
        </w:rPr>
      </w:pPr>
      <w:r w:rsidRPr="00ED1AE6">
        <w:rPr>
          <w:rFonts w:eastAsia="Calibri" w:cstheme="minorHAnsi"/>
          <w:sz w:val="24"/>
          <w:szCs w:val="24"/>
          <w:highlight w:val="white"/>
          <w:lang w:val="es-419" w:eastAsia="es-CO"/>
        </w:rPr>
        <w:t>En segundo lugar, los demás recursos, correspondiendo al 5% restante, serán concedidos teniendo en cuenta el criterio de eficiencia. Siendo este criterio entendido como los incentivos propios que sean dados a las entidades territoriales capaces de reducir el nivel de deserción escolar de un año a otro. Para tal medición será el Ministerio de Educación quien disponga los mecanismos necesarios para conseguir, calcular y certificar la información.</w:t>
      </w:r>
    </w:p>
    <w:p w14:paraId="67806666" w14:textId="77777777" w:rsidR="00ED1AE6" w:rsidRPr="00ED1AE6" w:rsidRDefault="00ED1AE6" w:rsidP="00ED1AE6">
      <w:pPr>
        <w:spacing w:before="240" w:after="240" w:line="240" w:lineRule="auto"/>
        <w:jc w:val="both"/>
        <w:rPr>
          <w:rFonts w:eastAsia="Calibri" w:cstheme="minorHAnsi"/>
          <w:sz w:val="24"/>
          <w:szCs w:val="24"/>
          <w:highlight w:val="yellow"/>
          <w:lang w:val="es-419" w:eastAsia="es-CO"/>
        </w:rPr>
      </w:pPr>
      <w:r w:rsidRPr="00ED1AE6">
        <w:rPr>
          <w:rFonts w:eastAsia="Calibri" w:cstheme="minorHAnsi"/>
          <w:sz w:val="24"/>
          <w:szCs w:val="24"/>
          <w:highlight w:val="white"/>
          <w:lang w:val="es-419" w:eastAsia="es-CO"/>
        </w:rPr>
        <w:t>El artículo 18 de la citada ley ofrece claridad en la designación de los recursos y cómo estos serán usados para la diversidad de funciones que deben ser cumplidas. Estos recursos se destinan a la financiación de variadas actividades, basándose en los lineamientos técnicos y administrativos establecidos por el ICBF en los cuales destacan: Compra de alimentos, Contratación del personal que realizará la preparación de los mismo, transporte de los productos, todo lo relacionado con la dotación necesaria para prestar un correcto servicio de alimentación escolar y en casos necesarios la reposición de esta dotación, aseo y combustibles para la preparación de dichos alimentos y por último todo aquello relativo a la contratación a terceros para la prestación y provisión del servicio de alimentación escolar.</w:t>
      </w:r>
    </w:p>
    <w:p w14:paraId="43E5443A" w14:textId="77777777" w:rsidR="00ED1AE6" w:rsidRPr="00ED1AE6" w:rsidRDefault="00ED1AE6" w:rsidP="00ED1AE6">
      <w:pPr>
        <w:spacing w:before="240" w:after="240" w:line="240" w:lineRule="auto"/>
        <w:jc w:val="both"/>
        <w:rPr>
          <w:rFonts w:eastAsia="Calibri" w:cstheme="minorHAnsi"/>
          <w:sz w:val="24"/>
          <w:szCs w:val="24"/>
          <w:lang w:val="es-419" w:eastAsia="es-CO"/>
        </w:rPr>
      </w:pPr>
      <w:r w:rsidRPr="00ED1AE6">
        <w:rPr>
          <w:rFonts w:eastAsia="Calibri" w:cstheme="minorHAnsi"/>
          <w:sz w:val="24"/>
          <w:szCs w:val="24"/>
          <w:lang w:val="es-419" w:eastAsia="es-CO"/>
        </w:rPr>
        <w:t>Otro documento de suma importancia a destacar en este sentido es el Decreto 1075 de 2015 del Ministerio de Educación Nacional, por el cual se brindan los lineamientos internos y generales respecto del PAE. Sobre este documento se pueden destacar las siguientes reglamentaciones:</w:t>
      </w:r>
    </w:p>
    <w:p w14:paraId="4D77317F" w14:textId="77777777" w:rsidR="00ED1AE6" w:rsidRPr="00ED1AE6" w:rsidRDefault="00ED1AE6" w:rsidP="00ED1AE6">
      <w:pPr>
        <w:numPr>
          <w:ilvl w:val="0"/>
          <w:numId w:val="49"/>
        </w:numPr>
        <w:spacing w:before="240" w:after="240" w:line="240" w:lineRule="auto"/>
        <w:contextualSpacing/>
        <w:jc w:val="both"/>
        <w:rPr>
          <w:rFonts w:eastAsia="Calibri" w:cstheme="minorHAnsi"/>
          <w:sz w:val="24"/>
          <w:szCs w:val="24"/>
          <w:lang w:val="es-419" w:eastAsia="es-CO"/>
        </w:rPr>
      </w:pPr>
      <w:r w:rsidRPr="00ED1AE6">
        <w:rPr>
          <w:rFonts w:eastAsia="Calibri" w:cstheme="minorHAnsi"/>
          <w:sz w:val="24"/>
          <w:szCs w:val="24"/>
          <w:lang w:val="es-419" w:eastAsia="es-CO"/>
        </w:rPr>
        <w:t xml:space="preserve">Definición y objetivos del PAE siguiendo las directrices de la Ley 1176 de 2007 y en los cuales destacan la corresponsabilidad de los múltiples actores inmersos en la ejecución. </w:t>
      </w:r>
    </w:p>
    <w:p w14:paraId="70B2B977" w14:textId="77777777" w:rsidR="00ED1AE6" w:rsidRPr="00ED1AE6" w:rsidRDefault="00ED1AE6" w:rsidP="00ED1AE6">
      <w:pPr>
        <w:numPr>
          <w:ilvl w:val="0"/>
          <w:numId w:val="47"/>
        </w:numPr>
        <w:spacing w:before="240" w:after="240" w:line="240" w:lineRule="auto"/>
        <w:jc w:val="both"/>
        <w:rPr>
          <w:rFonts w:eastAsia="Calibri" w:cstheme="minorHAnsi"/>
          <w:sz w:val="24"/>
          <w:szCs w:val="24"/>
          <w:lang w:val="es-419" w:eastAsia="es-CO"/>
        </w:rPr>
      </w:pPr>
      <w:r w:rsidRPr="00ED1AE6">
        <w:rPr>
          <w:rFonts w:eastAsia="Calibri" w:cstheme="minorHAnsi"/>
          <w:sz w:val="24"/>
          <w:szCs w:val="24"/>
          <w:lang w:val="es-419" w:eastAsia="es-CO"/>
        </w:rPr>
        <w:t>Sera el Ministerios de Educación Nacional la entidad encargada de coordinar a los demás actores participantes para cumplir los objetivos trazados.</w:t>
      </w:r>
    </w:p>
    <w:p w14:paraId="1381EC64" w14:textId="77777777" w:rsidR="00ED1AE6" w:rsidRPr="00ED1AE6" w:rsidRDefault="00ED1AE6" w:rsidP="00ED1AE6">
      <w:pPr>
        <w:numPr>
          <w:ilvl w:val="0"/>
          <w:numId w:val="47"/>
        </w:numPr>
        <w:spacing w:before="240" w:after="240" w:line="240" w:lineRule="auto"/>
        <w:jc w:val="both"/>
        <w:rPr>
          <w:rFonts w:eastAsia="Calibri" w:cstheme="minorHAnsi"/>
          <w:sz w:val="24"/>
          <w:szCs w:val="24"/>
          <w:lang w:val="es-419" w:eastAsia="es-CO"/>
        </w:rPr>
      </w:pPr>
      <w:r w:rsidRPr="00ED1AE6">
        <w:rPr>
          <w:rFonts w:eastAsia="Calibri" w:cstheme="minorHAnsi"/>
          <w:sz w:val="24"/>
          <w:szCs w:val="24"/>
          <w:lang w:val="es-419" w:eastAsia="es-CO"/>
        </w:rPr>
        <w:t>Sera también el Ministerio de Educación quien emita los requerimientos técnico-administrativos por los cuales se ejecutará el programa y estará encargado de la cofinanciación de este, así como de los estándares y condiciones mínimas por los cuales se evaluará el proceso.</w:t>
      </w:r>
    </w:p>
    <w:p w14:paraId="7A566A01" w14:textId="7A8315F6" w:rsidR="00ED1AE6" w:rsidRPr="00ED1AE6" w:rsidRDefault="00ED1AE6" w:rsidP="00ED1AE6">
      <w:pPr>
        <w:numPr>
          <w:ilvl w:val="0"/>
          <w:numId w:val="47"/>
        </w:numPr>
        <w:spacing w:before="240" w:after="240" w:line="240" w:lineRule="auto"/>
        <w:jc w:val="both"/>
        <w:rPr>
          <w:rFonts w:eastAsia="Calibri" w:cstheme="minorHAnsi"/>
          <w:sz w:val="24"/>
          <w:szCs w:val="24"/>
          <w:lang w:val="es-419" w:eastAsia="es-CO"/>
        </w:rPr>
      </w:pPr>
      <w:r w:rsidRPr="00ED1AE6">
        <w:rPr>
          <w:rFonts w:eastAsia="Calibri" w:cstheme="minorHAnsi"/>
          <w:sz w:val="24"/>
          <w:szCs w:val="24"/>
          <w:lang w:val="es-419" w:eastAsia="es-CO"/>
        </w:rPr>
        <w:t xml:space="preserve">Los lineamientos creados por el ministerio estarán sujetos a las costumbres y legislaciones especiales cuando se </w:t>
      </w:r>
      <w:r w:rsidR="00936F19" w:rsidRPr="00ED1AE6">
        <w:rPr>
          <w:rFonts w:eastAsia="Calibri" w:cstheme="minorHAnsi"/>
          <w:sz w:val="24"/>
          <w:szCs w:val="24"/>
          <w:lang w:val="es-419" w:eastAsia="es-CO"/>
        </w:rPr>
        <w:t>trate</w:t>
      </w:r>
      <w:r w:rsidRPr="00ED1AE6">
        <w:rPr>
          <w:rFonts w:eastAsia="Calibri" w:cstheme="minorHAnsi"/>
          <w:sz w:val="24"/>
          <w:szCs w:val="24"/>
          <w:lang w:val="es-419" w:eastAsia="es-CO"/>
        </w:rPr>
        <w:t xml:space="preserve"> de instituciones educativas ubicadas en resguardos indígenas y/o territorios de grupos étnicos.</w:t>
      </w:r>
    </w:p>
    <w:p w14:paraId="602D929C" w14:textId="77777777" w:rsidR="00ED1AE6" w:rsidRPr="00ED1AE6" w:rsidRDefault="00ED1AE6" w:rsidP="00ED1AE6">
      <w:pPr>
        <w:numPr>
          <w:ilvl w:val="0"/>
          <w:numId w:val="47"/>
        </w:numPr>
        <w:spacing w:before="240" w:after="240" w:line="240" w:lineRule="auto"/>
        <w:jc w:val="both"/>
        <w:rPr>
          <w:rFonts w:eastAsia="Calibri" w:cstheme="minorHAnsi"/>
          <w:sz w:val="24"/>
          <w:szCs w:val="24"/>
          <w:lang w:val="es-419" w:eastAsia="es-CO"/>
        </w:rPr>
      </w:pPr>
      <w:r w:rsidRPr="00ED1AE6">
        <w:rPr>
          <w:rFonts w:eastAsia="Calibri" w:cstheme="minorHAnsi"/>
          <w:sz w:val="24"/>
          <w:szCs w:val="24"/>
          <w:lang w:val="es-419" w:eastAsia="es-CO"/>
        </w:rPr>
        <w:t>Se definen las fuentes de financiación como todos aquellos recursos públicos o privados destinados a financiar la actividad del PAE, resaltando el carácter mixto de la financiación del programa.</w:t>
      </w:r>
    </w:p>
    <w:p w14:paraId="4F5E5A64" w14:textId="77777777" w:rsidR="00ED1AE6" w:rsidRPr="00ED1AE6" w:rsidRDefault="00ED1AE6" w:rsidP="00ED1AE6">
      <w:pPr>
        <w:numPr>
          <w:ilvl w:val="0"/>
          <w:numId w:val="47"/>
        </w:numPr>
        <w:spacing w:before="240" w:after="240" w:line="240" w:lineRule="auto"/>
        <w:jc w:val="both"/>
        <w:rPr>
          <w:rFonts w:eastAsia="Calibri" w:cstheme="minorHAnsi"/>
          <w:sz w:val="24"/>
          <w:szCs w:val="24"/>
          <w:lang w:val="es-419" w:eastAsia="es-CO"/>
        </w:rPr>
      </w:pPr>
      <w:r w:rsidRPr="00ED1AE6">
        <w:rPr>
          <w:rFonts w:eastAsia="Calibri" w:cstheme="minorHAnsi"/>
          <w:sz w:val="24"/>
          <w:szCs w:val="24"/>
          <w:lang w:val="es-419" w:eastAsia="es-CO"/>
        </w:rPr>
        <w:lastRenderedPageBreak/>
        <w:t>“Los comedores escolares son responsabilidad de las entidades territoriales; en el evento en que no cumplan con las condiciones adecuadas, las administraciones deberán realizar la adecuación y/o mejoramiento para garantizar las condiciones establecidas en los Lineamientos Técnicos-Administrativos del Programa” (DECRETO 1075 DE 2015).</w:t>
      </w:r>
    </w:p>
    <w:p w14:paraId="71BE817F" w14:textId="2AA32A06" w:rsidR="00ED1AE6" w:rsidRPr="00ED1AE6" w:rsidRDefault="00ED1AE6" w:rsidP="00ED1AE6">
      <w:pPr>
        <w:numPr>
          <w:ilvl w:val="0"/>
          <w:numId w:val="47"/>
        </w:numPr>
        <w:spacing w:before="240" w:after="240" w:line="240" w:lineRule="auto"/>
        <w:jc w:val="both"/>
        <w:rPr>
          <w:rFonts w:eastAsia="Calibri" w:cstheme="minorHAnsi"/>
          <w:sz w:val="24"/>
          <w:szCs w:val="24"/>
          <w:lang w:val="es-419" w:eastAsia="es-CO"/>
        </w:rPr>
      </w:pPr>
      <w:r w:rsidRPr="00ED1AE6">
        <w:rPr>
          <w:rFonts w:eastAsia="Calibri" w:cstheme="minorHAnsi"/>
          <w:sz w:val="24"/>
          <w:szCs w:val="24"/>
          <w:lang w:val="es-419" w:eastAsia="es-CO"/>
        </w:rPr>
        <w:t xml:space="preserve">Solo de manera excepcional será </w:t>
      </w:r>
      <w:r w:rsidR="00A312F1" w:rsidRPr="00ED1AE6">
        <w:rPr>
          <w:rFonts w:eastAsia="Calibri" w:cstheme="minorHAnsi"/>
          <w:sz w:val="24"/>
          <w:szCs w:val="24"/>
          <w:lang w:val="es-419" w:eastAsia="es-CO"/>
        </w:rPr>
        <w:t>el</w:t>
      </w:r>
      <w:r w:rsidRPr="00ED1AE6">
        <w:rPr>
          <w:rFonts w:eastAsia="Calibri" w:cstheme="minorHAnsi"/>
          <w:sz w:val="24"/>
          <w:szCs w:val="24"/>
          <w:lang w:val="es-419" w:eastAsia="es-CO"/>
        </w:rPr>
        <w:t xml:space="preserve"> propio Ministerio de Educación Nacional la entidad que ejecute directamente los recursos del Presupuesto General de la Nación para el PAE. Estos casos son: Calamidad pública, desastre, emergencia grave, fuerza mayor o caso fortuito o graves alteraciones del orden público.</w:t>
      </w:r>
    </w:p>
    <w:p w14:paraId="347AD6CE" w14:textId="77777777" w:rsidR="00ED1AE6" w:rsidRPr="00ED1AE6" w:rsidRDefault="00ED1AE6" w:rsidP="00ED1AE6">
      <w:pPr>
        <w:numPr>
          <w:ilvl w:val="0"/>
          <w:numId w:val="47"/>
        </w:numPr>
        <w:spacing w:before="240" w:after="240" w:line="240" w:lineRule="auto"/>
        <w:jc w:val="both"/>
        <w:rPr>
          <w:rFonts w:eastAsia="Calibri" w:cstheme="minorHAnsi"/>
          <w:sz w:val="24"/>
          <w:szCs w:val="24"/>
          <w:lang w:val="es-419" w:eastAsia="es-CO"/>
        </w:rPr>
      </w:pPr>
      <w:r w:rsidRPr="00ED1AE6">
        <w:rPr>
          <w:rFonts w:eastAsia="Calibri" w:cstheme="minorHAnsi"/>
          <w:sz w:val="24"/>
          <w:szCs w:val="24"/>
          <w:lang w:val="es-419" w:eastAsia="es-CO"/>
        </w:rPr>
        <w:t xml:space="preserve">Obligaciones propias de los planteles educativos, así como su planta docente, directivos y otros trabajadores. </w:t>
      </w:r>
    </w:p>
    <w:p w14:paraId="0D4F6C2E" w14:textId="77777777" w:rsidR="000F379C" w:rsidRDefault="000F379C" w:rsidP="00ED1AE6">
      <w:pPr>
        <w:spacing w:before="240" w:after="240" w:line="240" w:lineRule="auto"/>
        <w:jc w:val="both"/>
        <w:rPr>
          <w:rFonts w:eastAsia="Calibri" w:cstheme="minorHAnsi"/>
          <w:b/>
          <w:sz w:val="24"/>
          <w:szCs w:val="24"/>
          <w:lang w:val="es-419" w:eastAsia="es-CO"/>
        </w:rPr>
      </w:pPr>
    </w:p>
    <w:p w14:paraId="201FF06E" w14:textId="312C5897" w:rsidR="000F379C" w:rsidRDefault="000F379C" w:rsidP="00ED1AE6">
      <w:pPr>
        <w:spacing w:before="240" w:after="240" w:line="240" w:lineRule="auto"/>
        <w:jc w:val="both"/>
        <w:rPr>
          <w:rFonts w:eastAsia="Calibri" w:cstheme="minorHAnsi"/>
          <w:b/>
          <w:sz w:val="24"/>
          <w:szCs w:val="24"/>
          <w:lang w:val="es-419" w:eastAsia="es-CO"/>
        </w:rPr>
      </w:pPr>
      <w:r>
        <w:rPr>
          <w:rFonts w:eastAsia="Calibri" w:cstheme="minorHAnsi"/>
          <w:b/>
          <w:sz w:val="24"/>
          <w:szCs w:val="24"/>
          <w:lang w:val="es-419" w:eastAsia="es-CO"/>
        </w:rPr>
        <w:t>III. INFORMACION RELEVANTE</w:t>
      </w:r>
    </w:p>
    <w:p w14:paraId="678F6570" w14:textId="145F1EF0" w:rsidR="00ED1AE6" w:rsidRPr="00ED1AE6" w:rsidRDefault="000F379C" w:rsidP="00ED1AE6">
      <w:pPr>
        <w:spacing w:before="240" w:after="240" w:line="240" w:lineRule="auto"/>
        <w:jc w:val="both"/>
        <w:rPr>
          <w:rFonts w:eastAsia="Calibri" w:cstheme="minorHAnsi"/>
          <w:b/>
          <w:sz w:val="24"/>
          <w:szCs w:val="24"/>
          <w:lang w:val="es-419" w:eastAsia="es-CO"/>
        </w:rPr>
      </w:pPr>
      <w:r w:rsidRPr="00ED1AE6">
        <w:rPr>
          <w:rFonts w:eastAsia="Calibri" w:cstheme="minorHAnsi"/>
          <w:b/>
          <w:sz w:val="24"/>
          <w:szCs w:val="24"/>
          <w:lang w:val="es-419" w:eastAsia="es-CO"/>
        </w:rPr>
        <w:t>COBERTURA ACTUAL</w:t>
      </w:r>
      <w:r>
        <w:rPr>
          <w:rFonts w:eastAsia="Calibri" w:cstheme="minorHAnsi"/>
          <w:b/>
          <w:sz w:val="24"/>
          <w:szCs w:val="24"/>
          <w:lang w:val="es-419" w:eastAsia="es-CO"/>
        </w:rPr>
        <w:t>:</w:t>
      </w:r>
    </w:p>
    <w:p w14:paraId="03337A45" w14:textId="77777777" w:rsidR="00ED1AE6" w:rsidRPr="00ED1AE6" w:rsidRDefault="00ED1AE6" w:rsidP="00ED1AE6">
      <w:pPr>
        <w:spacing w:before="240" w:after="240" w:line="240" w:lineRule="auto"/>
        <w:jc w:val="both"/>
        <w:rPr>
          <w:rFonts w:eastAsia="Calibri" w:cstheme="minorHAnsi"/>
          <w:color w:val="4D4949"/>
          <w:sz w:val="24"/>
          <w:szCs w:val="24"/>
          <w:lang w:val="es-419" w:eastAsia="es-CO"/>
        </w:rPr>
      </w:pPr>
      <w:r w:rsidRPr="00ED1AE6">
        <w:rPr>
          <w:rFonts w:eastAsia="Calibri" w:cstheme="minorHAnsi"/>
          <w:sz w:val="24"/>
          <w:szCs w:val="24"/>
          <w:lang w:val="es-419" w:eastAsia="es-CO"/>
        </w:rPr>
        <w:t>Respecto de la cobertura total y actual del PAE es imperativo recordar que el programa tiene como objeto atender a todos los niños, niñas y adolescentes que son parte de las instituciones educativas oficiales y que previamente se encuentren inscritos en el SIMAT, además de que existen ciertas poblaciones, como las víctimas del conflicto y poblaciones étnicas, que poseen especial atención y cobertura del programa. Teniendo en cuenta lo anterior y con el fin de explicar de manera general la cobertura del PAE se hará uso del último informe de la Contraloría General de la República, así como de otras fuentes, que permitirán realizar un mapeado sobre los logros y alcance de esta iniciativa</w:t>
      </w:r>
      <w:r w:rsidRPr="00ED1AE6">
        <w:rPr>
          <w:rFonts w:eastAsia="Calibri" w:cstheme="minorHAnsi"/>
          <w:color w:val="4D4949"/>
          <w:sz w:val="24"/>
          <w:szCs w:val="24"/>
          <w:lang w:val="es-419" w:eastAsia="es-CO"/>
        </w:rPr>
        <w:t xml:space="preserve">. </w:t>
      </w:r>
    </w:p>
    <w:p w14:paraId="68E650DA" w14:textId="77777777" w:rsidR="00ED1AE6" w:rsidRPr="00ED1AE6" w:rsidRDefault="00ED1AE6" w:rsidP="00ED1AE6">
      <w:pPr>
        <w:spacing w:before="240" w:after="240" w:line="240" w:lineRule="auto"/>
        <w:jc w:val="both"/>
        <w:rPr>
          <w:rFonts w:eastAsia="Calibri" w:cstheme="minorHAnsi"/>
          <w:sz w:val="24"/>
          <w:szCs w:val="24"/>
          <w:lang w:val="es-419" w:eastAsia="es-CO"/>
        </w:rPr>
      </w:pPr>
      <w:r w:rsidRPr="00ED1AE6">
        <w:rPr>
          <w:rFonts w:eastAsia="Calibri" w:cstheme="minorHAnsi"/>
          <w:sz w:val="24"/>
          <w:szCs w:val="24"/>
          <w:lang w:val="es-419" w:eastAsia="es-CO"/>
        </w:rPr>
        <w:t xml:space="preserve">De acuerdo con el informe y la nota de prensa emitidos por la Contraloría General, en Colombia existen alrededor de 7.819.168 niños, niñas y adolescentes matriculados en instituciones educativas oficiales para la vigencia 2021 según el SIMAT, todos ellos posibles favorecidos de los servicios ofrecidos por el programa. De este total de inscritos el PAE logró una cobertura en el año en cuestión de 5.817.944 niños, niñas, adolescentes y jóvenes entre 5 y 17 años que fueron partícipes de los múltiples beneficios, lo que arroja una cobertura del 74,4% (Contraloría General, 2021). Con el fin de realizar un ejercicio comparativo se tomaron también los datos publicados para la vigencia 2020, siendo el total de posibles beneficiarios 8.067 158, con un total de menores atendidos de 5.691761 para un cumplimiento del 70,55%, mostrando una evolución en la meta de cumplimiento como demuestra la tabla a continuación: </w:t>
      </w:r>
    </w:p>
    <w:p w14:paraId="66B8A658" w14:textId="77777777" w:rsidR="00ED1AE6" w:rsidRPr="00ED1AE6" w:rsidRDefault="00ED1AE6" w:rsidP="00ED1AE6">
      <w:pPr>
        <w:spacing w:before="240" w:after="240" w:line="240" w:lineRule="auto"/>
        <w:jc w:val="center"/>
        <w:rPr>
          <w:rFonts w:eastAsia="Calibri" w:cstheme="minorHAnsi"/>
          <w:b/>
          <w:sz w:val="24"/>
          <w:szCs w:val="24"/>
          <w:lang w:val="es-419" w:eastAsia="es-CO"/>
        </w:rPr>
      </w:pPr>
      <w:r w:rsidRPr="00ED1AE6">
        <w:rPr>
          <w:rFonts w:eastAsia="Calibri" w:cstheme="minorHAnsi"/>
          <w:b/>
          <w:noProof/>
          <w:sz w:val="24"/>
          <w:szCs w:val="24"/>
          <w:lang w:eastAsia="es-CO"/>
        </w:rPr>
        <w:lastRenderedPageBreak/>
        <w:drawing>
          <wp:inline distT="114300" distB="114300" distL="114300" distR="114300" wp14:anchorId="41D6A654" wp14:editId="62B7B4FD">
            <wp:extent cx="4152900" cy="92868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152900" cy="928688"/>
                    </a:xfrm>
                    <a:prstGeom prst="rect">
                      <a:avLst/>
                    </a:prstGeom>
                    <a:ln/>
                  </pic:spPr>
                </pic:pic>
              </a:graphicData>
            </a:graphic>
          </wp:inline>
        </w:drawing>
      </w:r>
    </w:p>
    <w:p w14:paraId="54D26512" w14:textId="77777777" w:rsidR="00ED1AE6" w:rsidRPr="00ED1AE6" w:rsidRDefault="00ED1AE6" w:rsidP="00ED1AE6">
      <w:pPr>
        <w:spacing w:before="240" w:after="240" w:line="240" w:lineRule="auto"/>
        <w:jc w:val="center"/>
        <w:rPr>
          <w:rFonts w:eastAsia="Calibri" w:cstheme="minorHAnsi"/>
          <w:b/>
          <w:color w:val="808080"/>
          <w:sz w:val="24"/>
          <w:szCs w:val="24"/>
          <w:lang w:val="es-419" w:eastAsia="es-CO"/>
        </w:rPr>
      </w:pPr>
      <w:r w:rsidRPr="00ED1AE6">
        <w:rPr>
          <w:rFonts w:eastAsia="Calibri" w:cstheme="minorHAnsi"/>
          <w:b/>
          <w:color w:val="808080"/>
          <w:sz w:val="24"/>
          <w:szCs w:val="24"/>
          <w:lang w:val="es-419" w:eastAsia="es-CO"/>
        </w:rPr>
        <w:t>Fuente: Contraloría General</w:t>
      </w:r>
    </w:p>
    <w:p w14:paraId="267C3AFB" w14:textId="77777777" w:rsidR="00ED1AE6" w:rsidRPr="00ED1AE6" w:rsidRDefault="00ED1AE6" w:rsidP="00ED1AE6">
      <w:pPr>
        <w:spacing w:before="240" w:after="240" w:line="240" w:lineRule="auto"/>
        <w:jc w:val="both"/>
        <w:rPr>
          <w:rFonts w:eastAsia="Calibri" w:cstheme="minorHAnsi"/>
          <w:sz w:val="24"/>
          <w:szCs w:val="24"/>
          <w:lang w:val="es-419" w:eastAsia="es-CO"/>
        </w:rPr>
      </w:pPr>
      <w:r w:rsidRPr="00ED1AE6">
        <w:rPr>
          <w:rFonts w:eastAsia="Calibri" w:cstheme="minorHAnsi"/>
          <w:sz w:val="24"/>
          <w:szCs w:val="24"/>
          <w:lang w:val="es-419" w:eastAsia="es-CO"/>
        </w:rPr>
        <w:t>En adición, el informe de la Unidad de Alimentos para Aprender (UAPA) relacionó el comportamiento de días atendidos por cada ETC, identificando un promedio de atención en las 96 ETC de 166 días del calendario académico (UAPA, 2022). En la tabla siguiente se relacionan las cifras correspondientes para cada caso:</w:t>
      </w:r>
    </w:p>
    <w:p w14:paraId="06EF880D" w14:textId="77777777" w:rsidR="00ED1AE6" w:rsidRPr="00ED1AE6" w:rsidRDefault="00ED1AE6" w:rsidP="00ED1AE6">
      <w:pPr>
        <w:spacing w:before="240" w:after="240" w:line="240" w:lineRule="auto"/>
        <w:jc w:val="center"/>
        <w:rPr>
          <w:rFonts w:eastAsia="Calibri" w:cstheme="minorHAnsi"/>
          <w:b/>
          <w:sz w:val="24"/>
          <w:szCs w:val="24"/>
          <w:lang w:val="es-419" w:eastAsia="es-CO"/>
        </w:rPr>
      </w:pPr>
      <w:r w:rsidRPr="00ED1AE6">
        <w:rPr>
          <w:rFonts w:eastAsia="Calibri" w:cstheme="minorHAnsi"/>
          <w:b/>
          <w:noProof/>
          <w:sz w:val="24"/>
          <w:szCs w:val="24"/>
          <w:lang w:eastAsia="es-CO"/>
        </w:rPr>
        <w:drawing>
          <wp:inline distT="0" distB="0" distL="0" distR="0" wp14:anchorId="3CA72AE6" wp14:editId="74257CFD">
            <wp:extent cx="5808980" cy="4791075"/>
            <wp:effectExtent l="0" t="0" r="127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7249" cy="4797895"/>
                    </a:xfrm>
                    <a:prstGeom prst="rect">
                      <a:avLst/>
                    </a:prstGeom>
                    <a:noFill/>
                  </pic:spPr>
                </pic:pic>
              </a:graphicData>
            </a:graphic>
          </wp:inline>
        </w:drawing>
      </w:r>
    </w:p>
    <w:p w14:paraId="2E431E89" w14:textId="77777777" w:rsidR="00ED1AE6" w:rsidRPr="00ED1AE6" w:rsidRDefault="00ED1AE6" w:rsidP="00ED1AE6">
      <w:pPr>
        <w:spacing w:before="240" w:after="240" w:line="240" w:lineRule="auto"/>
        <w:jc w:val="center"/>
        <w:rPr>
          <w:rFonts w:eastAsia="Calibri" w:cstheme="minorHAnsi"/>
          <w:b/>
          <w:color w:val="808080"/>
          <w:sz w:val="24"/>
          <w:szCs w:val="24"/>
          <w:lang w:val="es-419" w:eastAsia="es-CO"/>
        </w:rPr>
      </w:pPr>
      <w:r w:rsidRPr="00ED1AE6">
        <w:rPr>
          <w:rFonts w:eastAsia="Calibri" w:cstheme="minorHAnsi"/>
          <w:b/>
          <w:color w:val="808080"/>
          <w:sz w:val="24"/>
          <w:szCs w:val="24"/>
          <w:lang w:val="es-419" w:eastAsia="es-CO"/>
        </w:rPr>
        <w:t>Fuente: Contraloría General</w:t>
      </w:r>
    </w:p>
    <w:p w14:paraId="5FF73001" w14:textId="1ACABAB2" w:rsidR="00ED1AE6" w:rsidRPr="00ED1AE6" w:rsidRDefault="00995DED" w:rsidP="00ED1AE6">
      <w:pPr>
        <w:spacing w:before="240" w:after="240" w:line="240" w:lineRule="auto"/>
        <w:jc w:val="both"/>
        <w:rPr>
          <w:rFonts w:eastAsia="Calibri" w:cstheme="minorHAnsi"/>
          <w:b/>
          <w:sz w:val="24"/>
          <w:szCs w:val="24"/>
          <w:lang w:val="es-419" w:eastAsia="es-CO"/>
        </w:rPr>
      </w:pPr>
      <w:r w:rsidRPr="00ED1AE6">
        <w:rPr>
          <w:rFonts w:eastAsia="Calibri" w:cstheme="minorHAnsi"/>
          <w:b/>
          <w:sz w:val="24"/>
          <w:szCs w:val="24"/>
          <w:lang w:val="es-419" w:eastAsia="es-CO"/>
        </w:rPr>
        <w:lastRenderedPageBreak/>
        <w:t>EFECTOS DE LA MALNUTRICIÓN</w:t>
      </w:r>
      <w:r>
        <w:rPr>
          <w:rFonts w:eastAsia="Calibri" w:cstheme="minorHAnsi"/>
          <w:b/>
          <w:sz w:val="24"/>
          <w:szCs w:val="24"/>
          <w:lang w:val="es-419" w:eastAsia="es-CO"/>
        </w:rPr>
        <w:t>:</w:t>
      </w:r>
    </w:p>
    <w:p w14:paraId="28F98615" w14:textId="77777777" w:rsidR="00ED1AE6" w:rsidRPr="00ED1AE6" w:rsidRDefault="00ED1AE6" w:rsidP="00ED1AE6">
      <w:pPr>
        <w:spacing w:before="240" w:after="240" w:line="240" w:lineRule="auto"/>
        <w:jc w:val="both"/>
        <w:rPr>
          <w:rFonts w:eastAsia="Calibri" w:cstheme="minorHAnsi"/>
          <w:sz w:val="24"/>
          <w:szCs w:val="24"/>
          <w:lang w:val="es-419" w:eastAsia="es-CO"/>
        </w:rPr>
      </w:pPr>
      <w:r w:rsidRPr="00ED1AE6">
        <w:rPr>
          <w:rFonts w:eastAsia="Calibri" w:cstheme="minorHAnsi"/>
          <w:sz w:val="24"/>
          <w:szCs w:val="24"/>
          <w:lang w:val="es-419" w:eastAsia="es-CO"/>
        </w:rPr>
        <w:t>La importancia de los programas de alimentación en el entorno escolar reside principalmente en los beneficios ampliamente comprobados que conlleva evitar la malnutrición de los niños, niñas y adolescentes especialmente en los primeros años de estudio y a lo largo de las fases de la infancia y posterior adolescencia, así como las ventajas comparativas que una buena alimentación, balanceada y rica en nutrientes esenciales tiene a lo largo del proceso de aprendizaje que se lleva a cabo por los planteles educativos donde los programas son ejecutados. A continuación, y valiéndonos de fuentes nacionales e internacionales, relacionamos las problemáticas derivadas de la malnutrición en la etapa escolar y cómo estás se pueden evitar manteniendo programas sólidos y de carácter continuo.</w:t>
      </w:r>
    </w:p>
    <w:p w14:paraId="0799A6CE" w14:textId="77777777" w:rsidR="00ED1AE6" w:rsidRPr="00ED1AE6" w:rsidRDefault="00ED1AE6" w:rsidP="00ED1AE6">
      <w:pPr>
        <w:spacing w:before="240" w:after="240" w:line="240" w:lineRule="auto"/>
        <w:jc w:val="both"/>
        <w:rPr>
          <w:rFonts w:eastAsia="Calibri" w:cstheme="minorHAnsi"/>
          <w:sz w:val="24"/>
          <w:szCs w:val="24"/>
          <w:lang w:val="es-419" w:eastAsia="es-CO"/>
        </w:rPr>
      </w:pPr>
      <w:r w:rsidRPr="00ED1AE6">
        <w:rPr>
          <w:rFonts w:eastAsia="Calibri" w:cstheme="minorHAnsi"/>
          <w:sz w:val="24"/>
          <w:szCs w:val="24"/>
          <w:lang w:val="es-419" w:eastAsia="es-CO"/>
        </w:rPr>
        <w:t>En primera instancia, el Instituto Colombiano de Bienestar Familiar (ICBF) en su informe "Señales de alerta de la desnutrición infantil" define la desnutrición infantil como enfermedad se padece como resultado del consumo deficiente de alimentos no solo en cantidad sino también en calidad siendo tan importante el número de ingestas diarias como la cantidad de porciones y los diferentes tipos de alimentos consumidos en cada una de estas, siendo condición esencial para la aparición repetitiva y repentina de enfermedades infecciosas y de factores sociales que afectan el estado nutricional de la niñez. Adicionalmente, señalan en dicho informe, citando al Fondo de las Naciones Unidas para la Infancia (Unicef), que esta situación afecta especialmente a niños y niñas en sus primeros años de vida y genera graves consecuencias en su desarrollo físico y cognitivo dependiendo de su nivel de gravedad. Incluso, puede llegar a provocar la muerte si no recibe atención adecuada y oportuna (ICBF,2019).</w:t>
      </w:r>
    </w:p>
    <w:p w14:paraId="2CA0D1C7" w14:textId="77777777" w:rsidR="00ED1AE6" w:rsidRPr="00ED1AE6" w:rsidRDefault="00ED1AE6" w:rsidP="00ED1AE6">
      <w:pPr>
        <w:spacing w:before="240" w:after="240" w:line="240" w:lineRule="auto"/>
        <w:jc w:val="both"/>
        <w:rPr>
          <w:rFonts w:eastAsia="Calibri" w:cstheme="minorHAnsi"/>
          <w:sz w:val="24"/>
          <w:szCs w:val="24"/>
          <w:lang w:val="es-419" w:eastAsia="es-CO"/>
        </w:rPr>
      </w:pPr>
      <w:r w:rsidRPr="00ED1AE6">
        <w:rPr>
          <w:rFonts w:eastAsia="Calibri" w:cstheme="minorHAnsi"/>
          <w:sz w:val="24"/>
          <w:szCs w:val="24"/>
          <w:lang w:val="es-419" w:eastAsia="es-CO"/>
        </w:rPr>
        <w:t>La Organización Mundial de la Salud (OMS), máxima autoridad en salud a nivel mundial, específica en el apartado dedicado a la malnutrición de su página web que "las repercusiones en el desarrollo y las consecuencias de índole económica, social y médica de la carga mundial de la malnutrición son graves y duraderas, para las personas y sus familias, para las comunidades y para los países" (OMS, 2021). Adicionalmente, la organización recalca en este mismo sentido que el retraso del crecimiento producto de una alimentación deficiente no permite que los niños, niñas y adolescentes fomenten plenamente su potencial físico y cognitivo. Los niños, niñas y adolescentes que poseen un peso significativamente más bajo que el correspondiente a su edad padecen insuficiencia ponderal. Un niño con insuficiencia ponderal puede presentar a la vez retraso del crecimiento y/o emaciación.</w:t>
      </w:r>
    </w:p>
    <w:p w14:paraId="309C87D3" w14:textId="77777777" w:rsidR="00ED1AE6" w:rsidRPr="00ED1AE6" w:rsidRDefault="00ED1AE6" w:rsidP="00ED1AE6">
      <w:pPr>
        <w:spacing w:before="240" w:after="240" w:line="240" w:lineRule="auto"/>
        <w:jc w:val="both"/>
        <w:rPr>
          <w:rFonts w:eastAsia="Calibri" w:cstheme="minorHAnsi"/>
          <w:sz w:val="24"/>
          <w:szCs w:val="24"/>
          <w:lang w:val="es-419" w:eastAsia="es-CO"/>
        </w:rPr>
      </w:pPr>
      <w:r w:rsidRPr="00ED1AE6">
        <w:rPr>
          <w:rFonts w:eastAsia="Calibri" w:cstheme="minorHAnsi"/>
          <w:sz w:val="24"/>
          <w:szCs w:val="24"/>
          <w:lang w:val="es-419" w:eastAsia="es-CO"/>
        </w:rPr>
        <w:t>En este mismo sentido, La Comisión Económica para América Latina y el Caribe (CEPAL) concluye que "la desnutrición crónica es un factor de riesgo para el desarrollo integral de los niños niñas y adolescentes, habiendo revisado una serie de estudios, encuentran que el bajo crecimiento estaría relacionado con baja estatura en la adultez, menos años de escolaridad y menor funcionamiento intelectual" (CEPAL,2018).</w:t>
      </w:r>
    </w:p>
    <w:p w14:paraId="00137CE7" w14:textId="77777777" w:rsidR="00ED1AE6" w:rsidRPr="00ED1AE6" w:rsidRDefault="00ED1AE6" w:rsidP="00ED1AE6">
      <w:pPr>
        <w:spacing w:before="240" w:after="240" w:line="240" w:lineRule="auto"/>
        <w:jc w:val="both"/>
        <w:rPr>
          <w:rFonts w:eastAsia="Calibri" w:cstheme="minorHAnsi"/>
          <w:sz w:val="24"/>
          <w:szCs w:val="24"/>
          <w:lang w:val="es-419" w:eastAsia="es-CO"/>
        </w:rPr>
      </w:pPr>
      <w:r w:rsidRPr="00ED1AE6">
        <w:rPr>
          <w:rFonts w:eastAsia="Calibri" w:cstheme="minorHAnsi"/>
          <w:sz w:val="24"/>
          <w:szCs w:val="24"/>
          <w:lang w:val="es-419" w:eastAsia="es-CO"/>
        </w:rPr>
        <w:lastRenderedPageBreak/>
        <w:t>Por último, la Defensoría del Pueblo en su publicación "Desnutrición en la primera infancia: Causas estructurales y vulneraciones prevenibles y evitables" afirma que la desnutrición crónica posee efectos devastadores en la vida de los infantes a corto, mediano y largo plazo. Los impactos directos en la salud de los menores son evidentes y variados, debido a que multiplica exponencialmente las probabilidades de sufrir enfermedades como la neumonía, la diarrea o la malaria. Es por esta razón, señala el documento, que la desnutrición es uno de los principales factores de riesgo que impiden la supervivencia infantil. Las defensas debilitadas se ven imposibilitadas en cumplir su misión esencial de hacer frente a las enfermedades y, cuando la desnutrición se complica, el riesgo de muerte es muy alto. Una niña o niño víctima de desnutrición aguda grave es propenso a morir a edades tempranas en una proporción 9 veces mayor que uno cuyo estado nutricional se encuentre en niveles considerados normales y a acordé con los lineamientos establecidos por la organización (Defensoría, 2021, pg. 31).</w:t>
      </w:r>
    </w:p>
    <w:p w14:paraId="06AB55D4" w14:textId="77777777" w:rsidR="00ED1AE6" w:rsidRPr="00ED1AE6" w:rsidRDefault="00ED1AE6" w:rsidP="00ED1AE6">
      <w:pPr>
        <w:spacing w:before="240" w:after="240" w:line="240" w:lineRule="auto"/>
        <w:jc w:val="both"/>
        <w:rPr>
          <w:rFonts w:eastAsia="Calibri" w:cstheme="minorHAnsi"/>
          <w:sz w:val="24"/>
          <w:szCs w:val="24"/>
          <w:lang w:val="es-419" w:eastAsia="es-CO"/>
        </w:rPr>
      </w:pPr>
      <w:r w:rsidRPr="00ED1AE6">
        <w:rPr>
          <w:rFonts w:eastAsia="Calibri" w:cstheme="minorHAnsi"/>
          <w:sz w:val="24"/>
          <w:szCs w:val="24"/>
          <w:lang w:val="es-419" w:eastAsia="es-CO"/>
        </w:rPr>
        <w:t>Para aterrizar la discusión sobre la problemática de la malnutrición en niños niñas y adolescentes en el caso específico de Colombia es muy importante tomar en cuenta las cifras suscitadas por el ICBF en la Encuesta Nacional de Situación Nutricional (ENSIN) cuya última publicación se realizó en el año 2015 y muestra datos importantes que permiten analizar de una manera específica las cuestiones anteriormente manifestadas. Según esta encuesta se considera a la edad escolar como una de las fases más importantes del crecimiento humano en la cual los menores experimentan un continuo crecimiento, afianzan sus gustos y hábitos alimenticios y comienza el proceso de por el cual se adaptarán a la alimentación de adulto. El documento añade que "siete de cada 100 menores en edad escolar presentan desnutrición crónica. En los indígenas, 30 de cada 100 menores presentan este problema, mientras que esta situación se extiende a 11 de cada 100 niños de los hogares más pobres del país. El exceso de peso en los menores en edad escolar se incrementó de 18,8% en 2010 a 24,4% en 2015" (ENSIN, 2015). Además la encuesta publicada relaciona otros problemas de salud pública a la desnutrición que en principio pudieran no parecer de índoles similares pero que te dejan una explicación más acertada entendiendo las problemáticas propias que la mala nutrición tiene en la salud mental y psicosocial y es  el tiempo excesivo frente a pantallas, aquel que niños, niñas y jóvenes dedican a actividades sedentarias como ver televisión o jugar a videojuegos, lo cual según el registro estaría afectando a  aproximadamente siete de cada diez menores en áreas urbanas, y a cinco de cada diez en zonas rurales. Este problema se ve acrecentado entre la población de ingresos superiores, donde estaría perjudicando a un aproximado de ocho de cada diez escolares (ENSIN, 2015).</w:t>
      </w:r>
    </w:p>
    <w:p w14:paraId="76086A6C" w14:textId="77777777" w:rsidR="00ED1AE6" w:rsidRPr="00ED1AE6" w:rsidRDefault="00ED1AE6" w:rsidP="00ED1AE6">
      <w:pPr>
        <w:spacing w:before="240" w:after="240" w:line="240" w:lineRule="auto"/>
        <w:jc w:val="both"/>
        <w:rPr>
          <w:rFonts w:eastAsia="Calibri" w:cstheme="minorHAnsi"/>
          <w:sz w:val="24"/>
          <w:szCs w:val="24"/>
          <w:lang w:val="es-419" w:eastAsia="es-CO"/>
        </w:rPr>
      </w:pPr>
      <w:r w:rsidRPr="00ED1AE6">
        <w:rPr>
          <w:rFonts w:eastAsia="Calibri" w:cstheme="minorHAnsi"/>
          <w:sz w:val="24"/>
          <w:szCs w:val="24"/>
          <w:lang w:val="es-419" w:eastAsia="es-CO"/>
        </w:rPr>
        <w:t xml:space="preserve">En conclusión, las múltiples fuentes citadas y revisadas dan muestra de la grave problemática a la que se enfrentan niños, niñas y adolescentes cuando las condiciones que respecta a su alimentación no se satisfacen de manera efectiva produciendo una importante cantidad de alteraciones negativas a la salud psicosocial, física y química del cuerpo. Estos documentos poseen muchas características en común dejando claro que es imperativo crear las condiciones necesarias para que la comunidad específica a quién está dirigida el programa puedan continuar </w:t>
      </w:r>
      <w:r w:rsidRPr="00ED1AE6">
        <w:rPr>
          <w:rFonts w:eastAsia="Calibri" w:cstheme="minorHAnsi"/>
          <w:sz w:val="24"/>
          <w:szCs w:val="24"/>
          <w:lang w:val="es-419" w:eastAsia="es-CO"/>
        </w:rPr>
        <w:lastRenderedPageBreak/>
        <w:t>de manera satisfactoria recibiendo una importante carga de nutricional que contribuya a un crecimiento sano y a una formación óptima en el ambiente escolar; es por las múltiples razones expuestas con anterioridad que asegurar por la vía de políticas estatales continuas y con garantías de recursos los programas de alimentación escolar se convierte hoy más que nunca en una responsabilidad para con las infancias felices, activas y sanas.</w:t>
      </w:r>
    </w:p>
    <w:p w14:paraId="3BE7B8E0" w14:textId="77777777" w:rsidR="00ED1AE6" w:rsidRPr="00ED1AE6" w:rsidRDefault="00ED1AE6" w:rsidP="00ED1AE6">
      <w:pPr>
        <w:spacing w:before="240" w:after="240" w:line="240" w:lineRule="auto"/>
        <w:jc w:val="both"/>
        <w:rPr>
          <w:rFonts w:eastAsia="Calibri" w:cstheme="minorHAnsi"/>
          <w:sz w:val="24"/>
          <w:szCs w:val="24"/>
          <w:lang w:val="es-419" w:eastAsia="es-CO"/>
        </w:rPr>
      </w:pPr>
      <w:r w:rsidRPr="00ED1AE6">
        <w:rPr>
          <w:rFonts w:eastAsia="Calibri" w:cstheme="minorHAnsi"/>
          <w:sz w:val="24"/>
          <w:szCs w:val="24"/>
          <w:lang w:val="es-419" w:eastAsia="es-CO"/>
        </w:rPr>
        <w:t xml:space="preserve">Cita Contraloría: </w:t>
      </w:r>
      <w:hyperlink r:id="rId10" w:history="1">
        <w:r w:rsidRPr="00ED1AE6">
          <w:rPr>
            <w:rFonts w:eastAsia="Calibri" w:cstheme="minorHAnsi"/>
            <w:color w:val="0000FF"/>
            <w:sz w:val="24"/>
            <w:szCs w:val="24"/>
            <w:u w:val="single"/>
            <w:lang w:val="es-419" w:eastAsia="es-CO"/>
          </w:rPr>
          <w:t>https://www.contraloria.gov.co/es/w/comoterminoprogramapae</w:t>
        </w:r>
      </w:hyperlink>
      <w:r w:rsidRPr="00ED1AE6">
        <w:rPr>
          <w:rFonts w:eastAsia="Calibri" w:cstheme="minorHAnsi"/>
          <w:sz w:val="24"/>
          <w:szCs w:val="24"/>
          <w:lang w:val="es-419" w:eastAsia="es-CO"/>
        </w:rPr>
        <w:t xml:space="preserve"> </w:t>
      </w:r>
    </w:p>
    <w:p w14:paraId="43AC3294" w14:textId="77777777" w:rsidR="00ED1AE6" w:rsidRPr="00ED1AE6" w:rsidRDefault="00ED1AE6" w:rsidP="00ED1AE6">
      <w:pPr>
        <w:spacing w:before="240" w:after="240" w:line="240" w:lineRule="auto"/>
        <w:jc w:val="both"/>
        <w:rPr>
          <w:rFonts w:eastAsia="Calibri" w:cstheme="minorHAnsi"/>
          <w:color w:val="1155CC"/>
          <w:sz w:val="24"/>
          <w:szCs w:val="24"/>
          <w:u w:val="single"/>
          <w:lang w:val="es-419" w:eastAsia="es-CO"/>
        </w:rPr>
      </w:pPr>
      <w:r w:rsidRPr="00ED1AE6">
        <w:rPr>
          <w:rFonts w:eastAsia="Calibri" w:cstheme="minorHAnsi"/>
          <w:sz w:val="24"/>
          <w:szCs w:val="24"/>
          <w:lang w:val="es-419" w:eastAsia="es-CO"/>
        </w:rPr>
        <w:t>Cita ICBF:</w:t>
      </w:r>
      <w:hyperlink r:id="rId11" w:anchor=":~:text=La%20desnutrici%C3%B3n%20infantil%20es%20una,estado%20nutricional%20de%20la%20ni%C3%B1ez">
        <w:r w:rsidRPr="00ED1AE6">
          <w:rPr>
            <w:rFonts w:eastAsia="Calibri" w:cstheme="minorHAnsi"/>
            <w:sz w:val="24"/>
            <w:szCs w:val="24"/>
            <w:lang w:val="es-419" w:eastAsia="es-CO"/>
          </w:rPr>
          <w:t xml:space="preserve"> </w:t>
        </w:r>
      </w:hyperlink>
      <w:hyperlink r:id="rId12" w:anchor=":~:text=La%20desnutrici%C3%B3n%20infantil%20es%20una,estado%20nutricional%20de%20la%20ni%C3%B1ez">
        <w:r w:rsidRPr="00ED1AE6">
          <w:rPr>
            <w:rFonts w:eastAsia="Calibri" w:cstheme="minorHAnsi"/>
            <w:color w:val="1155CC"/>
            <w:sz w:val="24"/>
            <w:szCs w:val="24"/>
            <w:u w:val="single"/>
            <w:lang w:val="es-419" w:eastAsia="es-CO"/>
          </w:rPr>
          <w:t>https://www.icbf.gov.co/ser-papas/senales-de-alerta-de-la-desnutricion-infantil#:~:text=La%20desnutrici%C3%B3n%20infantil%20es%20una,estado%20nutricional%20de%20la%20ni%C3%B1ez</w:t>
        </w:r>
      </w:hyperlink>
    </w:p>
    <w:p w14:paraId="401D435D" w14:textId="77777777" w:rsidR="00ED1AE6" w:rsidRPr="00ED1AE6" w:rsidRDefault="00ED1AE6" w:rsidP="00ED1AE6">
      <w:pPr>
        <w:spacing w:before="240" w:after="240" w:line="240" w:lineRule="auto"/>
        <w:jc w:val="both"/>
        <w:rPr>
          <w:rFonts w:eastAsia="Calibri" w:cstheme="minorHAnsi"/>
          <w:color w:val="1155CC"/>
          <w:sz w:val="24"/>
          <w:szCs w:val="24"/>
          <w:u w:val="single"/>
          <w:lang w:val="es-419" w:eastAsia="es-CO"/>
        </w:rPr>
      </w:pPr>
      <w:r w:rsidRPr="00ED1AE6">
        <w:rPr>
          <w:rFonts w:eastAsia="Calibri" w:cstheme="minorHAnsi"/>
          <w:sz w:val="24"/>
          <w:szCs w:val="24"/>
          <w:lang w:val="es-419" w:eastAsia="es-CO"/>
        </w:rPr>
        <w:t>Cita CEPAL:</w:t>
      </w:r>
      <w:hyperlink r:id="rId13" w:anchor=":~:text=En%20el%20caso%20de%20la%20malnutrici%C3%B3n%20por%20exceso%2C%20el%20sobrepeso,2%20y%20alta%20presi%C3%B3n%20arterial">
        <w:r w:rsidRPr="00ED1AE6">
          <w:rPr>
            <w:rFonts w:eastAsia="Calibri" w:cstheme="minorHAnsi"/>
            <w:sz w:val="24"/>
            <w:szCs w:val="24"/>
            <w:lang w:val="es-419" w:eastAsia="es-CO"/>
          </w:rPr>
          <w:t xml:space="preserve"> </w:t>
        </w:r>
      </w:hyperlink>
      <w:hyperlink r:id="rId14" w:anchor=":~:text=En%20el%20caso%20de%20la%20malnutrici%C3%B3n%20por%20exceso%2C%20el%20sobrepeso,2%20y%20alta%20presi%C3%B3n%20arterial">
        <w:r w:rsidRPr="00ED1AE6">
          <w:rPr>
            <w:rFonts w:eastAsia="Calibri" w:cstheme="minorHAnsi"/>
            <w:color w:val="1155CC"/>
            <w:sz w:val="24"/>
            <w:szCs w:val="24"/>
            <w:u w:val="single"/>
            <w:lang w:val="es-419" w:eastAsia="es-CO"/>
          </w:rPr>
          <w:t>https://www.cepal.org/es/enfoques/malnutricion-ninos-ninas-america-latina-caribe#:~:text=En%20el%20caso%20de%20la%20malnutrici%C3%B3n%20por%20exceso%2C%20el%20sobrepeso,2%20y%20alta%20presi%C3%B3n%20arterial</w:t>
        </w:r>
      </w:hyperlink>
    </w:p>
    <w:p w14:paraId="3DAE1A55" w14:textId="77777777" w:rsidR="00ED1AE6" w:rsidRPr="00ED1AE6" w:rsidRDefault="00ED1AE6" w:rsidP="00ED1AE6">
      <w:pPr>
        <w:spacing w:before="240" w:after="240" w:line="240" w:lineRule="auto"/>
        <w:jc w:val="both"/>
        <w:rPr>
          <w:rFonts w:eastAsia="Calibri" w:cstheme="minorHAnsi"/>
          <w:color w:val="1155CC"/>
          <w:sz w:val="24"/>
          <w:szCs w:val="24"/>
          <w:u w:val="single"/>
          <w:lang w:val="es-419" w:eastAsia="es-CO"/>
        </w:rPr>
      </w:pPr>
      <w:r w:rsidRPr="00ED1AE6">
        <w:rPr>
          <w:rFonts w:eastAsia="Calibri" w:cstheme="minorHAnsi"/>
          <w:sz w:val="24"/>
          <w:szCs w:val="24"/>
          <w:lang w:val="es-419" w:eastAsia="es-CO"/>
        </w:rPr>
        <w:t>Cita OMS:</w:t>
      </w:r>
      <w:hyperlink r:id="rId15">
        <w:r w:rsidRPr="00ED1AE6">
          <w:rPr>
            <w:rFonts w:eastAsia="Calibri" w:cstheme="minorHAnsi"/>
            <w:sz w:val="24"/>
            <w:szCs w:val="24"/>
            <w:lang w:val="es-419" w:eastAsia="es-CO"/>
          </w:rPr>
          <w:t xml:space="preserve"> </w:t>
        </w:r>
      </w:hyperlink>
      <w:hyperlink r:id="rId16">
        <w:r w:rsidRPr="00ED1AE6">
          <w:rPr>
            <w:rFonts w:eastAsia="Calibri" w:cstheme="minorHAnsi"/>
            <w:color w:val="1155CC"/>
            <w:sz w:val="24"/>
            <w:szCs w:val="24"/>
            <w:u w:val="single"/>
            <w:lang w:val="es-419" w:eastAsia="es-CO"/>
          </w:rPr>
          <w:t>https://www.who.int/es/news-room/fact-sheets/detail/malnutrition</w:t>
        </w:r>
      </w:hyperlink>
    </w:p>
    <w:p w14:paraId="5B34F6A9" w14:textId="77777777" w:rsidR="00ED1AE6" w:rsidRPr="00ED1AE6" w:rsidRDefault="00ED1AE6" w:rsidP="00ED1AE6">
      <w:pPr>
        <w:spacing w:before="240" w:after="240" w:line="240" w:lineRule="auto"/>
        <w:jc w:val="both"/>
        <w:rPr>
          <w:rFonts w:eastAsia="Calibri" w:cstheme="minorHAnsi"/>
          <w:color w:val="1155CC"/>
          <w:sz w:val="24"/>
          <w:szCs w:val="24"/>
          <w:u w:val="single"/>
          <w:lang w:val="es-419" w:eastAsia="es-CO"/>
        </w:rPr>
      </w:pPr>
      <w:r w:rsidRPr="00ED1AE6">
        <w:rPr>
          <w:rFonts w:eastAsia="Calibri" w:cstheme="minorHAnsi"/>
          <w:sz w:val="24"/>
          <w:szCs w:val="24"/>
          <w:lang w:val="es-419" w:eastAsia="es-CO"/>
        </w:rPr>
        <w:t>Cita ENSIN:</w:t>
      </w:r>
      <w:hyperlink r:id="rId17" w:anchor="ensin3">
        <w:r w:rsidRPr="00ED1AE6">
          <w:rPr>
            <w:rFonts w:eastAsia="Calibri" w:cstheme="minorHAnsi"/>
            <w:sz w:val="24"/>
            <w:szCs w:val="24"/>
            <w:lang w:val="es-419" w:eastAsia="es-CO"/>
          </w:rPr>
          <w:t xml:space="preserve"> </w:t>
        </w:r>
      </w:hyperlink>
      <w:hyperlink r:id="rId18" w:anchor="ensin3">
        <w:r w:rsidRPr="00ED1AE6">
          <w:rPr>
            <w:rFonts w:eastAsia="Calibri" w:cstheme="minorHAnsi"/>
            <w:color w:val="1155CC"/>
            <w:sz w:val="24"/>
            <w:szCs w:val="24"/>
            <w:u w:val="single"/>
            <w:lang w:val="es-419" w:eastAsia="es-CO"/>
          </w:rPr>
          <w:t>https://www.icbf.gov.co/bienestar/nutricion/encuesta-nacional-situacion-nutricional#ensin3</w:t>
        </w:r>
      </w:hyperlink>
    </w:p>
    <w:p w14:paraId="19E78BB0" w14:textId="77777777" w:rsidR="00ED1AE6" w:rsidRPr="00ED1AE6" w:rsidRDefault="00ED1AE6" w:rsidP="00ED1AE6">
      <w:pPr>
        <w:spacing w:before="240" w:after="240" w:line="240" w:lineRule="auto"/>
        <w:jc w:val="both"/>
        <w:rPr>
          <w:rFonts w:eastAsia="Calibri" w:cstheme="minorHAnsi"/>
          <w:sz w:val="24"/>
          <w:szCs w:val="24"/>
          <w:lang w:val="es-419" w:eastAsia="es-CO"/>
        </w:rPr>
      </w:pPr>
      <w:r w:rsidRPr="00ED1AE6">
        <w:rPr>
          <w:rFonts w:eastAsia="Calibri" w:cstheme="minorHAnsi"/>
          <w:sz w:val="24"/>
          <w:szCs w:val="24"/>
          <w:lang w:val="es-419" w:eastAsia="es-CO"/>
        </w:rPr>
        <w:t xml:space="preserve">Cita Defensoría: </w:t>
      </w:r>
      <w:hyperlink r:id="rId19" w:history="1">
        <w:r w:rsidRPr="00ED1AE6">
          <w:rPr>
            <w:rFonts w:eastAsia="Calibri" w:cstheme="minorHAnsi"/>
            <w:color w:val="0000FF"/>
            <w:sz w:val="24"/>
            <w:szCs w:val="24"/>
            <w:u w:val="single"/>
            <w:lang w:val="es-419" w:eastAsia="es-CO"/>
          </w:rPr>
          <w:t>https://www.defensoria.gov.co/attachment/3855/Informe%20Desnutricion%28V2%29-Dg.pdf?g_show_in_browser=1</w:t>
        </w:r>
      </w:hyperlink>
      <w:r w:rsidRPr="00ED1AE6">
        <w:rPr>
          <w:rFonts w:eastAsia="Calibri" w:cstheme="minorHAnsi"/>
          <w:sz w:val="24"/>
          <w:szCs w:val="24"/>
          <w:lang w:val="es-419" w:eastAsia="es-CO"/>
        </w:rPr>
        <w:t xml:space="preserve"> </w:t>
      </w:r>
    </w:p>
    <w:p w14:paraId="51E1E779" w14:textId="76DE6311" w:rsidR="00AE6F00" w:rsidRDefault="00ED1AE6" w:rsidP="00FD7D51">
      <w:pPr>
        <w:spacing w:before="240" w:after="240" w:line="240" w:lineRule="auto"/>
        <w:jc w:val="both"/>
        <w:rPr>
          <w:rFonts w:eastAsia="Calibri" w:cstheme="minorHAnsi"/>
          <w:sz w:val="24"/>
          <w:szCs w:val="24"/>
          <w:lang w:val="es-419" w:eastAsia="es-CO"/>
        </w:rPr>
      </w:pPr>
      <w:r w:rsidRPr="00ED1AE6">
        <w:rPr>
          <w:rFonts w:eastAsia="Calibri" w:cstheme="minorHAnsi"/>
          <w:sz w:val="24"/>
          <w:szCs w:val="24"/>
          <w:lang w:val="es-419" w:eastAsia="es-CO"/>
        </w:rPr>
        <w:t xml:space="preserve"> </w:t>
      </w:r>
    </w:p>
    <w:p w14:paraId="4C8B7418" w14:textId="1CF18C5F" w:rsidR="00FD7D51" w:rsidRDefault="00FD7D51" w:rsidP="00FD7D51">
      <w:pPr>
        <w:spacing w:before="240" w:after="240" w:line="240" w:lineRule="auto"/>
        <w:jc w:val="both"/>
        <w:rPr>
          <w:rFonts w:eastAsia="Calibri" w:cstheme="minorHAnsi"/>
          <w:sz w:val="24"/>
          <w:szCs w:val="24"/>
          <w:lang w:val="es-419" w:eastAsia="es-CO"/>
        </w:rPr>
      </w:pPr>
    </w:p>
    <w:p w14:paraId="79A2CF35" w14:textId="75F41505" w:rsidR="00FD7D51" w:rsidRDefault="00FD7D51" w:rsidP="00FD7D51">
      <w:pPr>
        <w:spacing w:before="240" w:after="240" w:line="240" w:lineRule="auto"/>
        <w:jc w:val="both"/>
        <w:rPr>
          <w:rFonts w:eastAsia="Calibri" w:cstheme="minorHAnsi"/>
          <w:sz w:val="24"/>
          <w:szCs w:val="24"/>
          <w:lang w:val="es-419" w:eastAsia="es-CO"/>
        </w:rPr>
      </w:pPr>
    </w:p>
    <w:p w14:paraId="2FD748E5" w14:textId="71143834" w:rsidR="00FD7D51" w:rsidRDefault="00FD7D51" w:rsidP="00FD7D51">
      <w:pPr>
        <w:spacing w:before="240" w:after="240" w:line="240" w:lineRule="auto"/>
        <w:jc w:val="both"/>
        <w:rPr>
          <w:rFonts w:eastAsia="Calibri" w:cstheme="minorHAnsi"/>
          <w:sz w:val="24"/>
          <w:szCs w:val="24"/>
          <w:lang w:val="es-419" w:eastAsia="es-CO"/>
        </w:rPr>
      </w:pPr>
    </w:p>
    <w:p w14:paraId="2FBD19E1" w14:textId="0496914D" w:rsidR="00FD7D51" w:rsidRDefault="00FD7D51" w:rsidP="00FD7D51">
      <w:pPr>
        <w:spacing w:before="240" w:after="240" w:line="240" w:lineRule="auto"/>
        <w:jc w:val="both"/>
        <w:rPr>
          <w:rFonts w:eastAsia="Calibri" w:cstheme="minorHAnsi"/>
          <w:sz w:val="24"/>
          <w:szCs w:val="24"/>
          <w:lang w:val="es-419" w:eastAsia="es-CO"/>
        </w:rPr>
      </w:pPr>
    </w:p>
    <w:p w14:paraId="1F50F22B" w14:textId="7F672220" w:rsidR="00FD7D51" w:rsidRDefault="00FD7D51" w:rsidP="00FD7D51">
      <w:pPr>
        <w:spacing w:before="240" w:after="240" w:line="240" w:lineRule="auto"/>
        <w:jc w:val="both"/>
        <w:rPr>
          <w:rFonts w:eastAsia="Calibri" w:cstheme="minorHAnsi"/>
          <w:sz w:val="24"/>
          <w:szCs w:val="24"/>
          <w:lang w:val="es-419" w:eastAsia="es-CO"/>
        </w:rPr>
      </w:pPr>
    </w:p>
    <w:p w14:paraId="329522E8" w14:textId="1E68ECBC" w:rsidR="00FD7D51" w:rsidRDefault="00FD7D51" w:rsidP="00FD7D51">
      <w:pPr>
        <w:spacing w:before="240" w:after="240" w:line="240" w:lineRule="auto"/>
        <w:jc w:val="both"/>
        <w:rPr>
          <w:rFonts w:eastAsia="Calibri" w:cstheme="minorHAnsi"/>
          <w:sz w:val="24"/>
          <w:szCs w:val="24"/>
          <w:lang w:val="es-419" w:eastAsia="es-CO"/>
        </w:rPr>
      </w:pPr>
    </w:p>
    <w:p w14:paraId="3A4EA297" w14:textId="75C060D4" w:rsidR="00FD7D51" w:rsidRDefault="00FD7D51" w:rsidP="00FD7D51">
      <w:pPr>
        <w:spacing w:before="240" w:after="240" w:line="240" w:lineRule="auto"/>
        <w:jc w:val="both"/>
        <w:rPr>
          <w:rFonts w:eastAsia="Calibri" w:cstheme="minorHAnsi"/>
          <w:sz w:val="24"/>
          <w:szCs w:val="24"/>
          <w:lang w:val="es-419" w:eastAsia="es-CO"/>
        </w:rPr>
      </w:pPr>
    </w:p>
    <w:p w14:paraId="704FAD62" w14:textId="77777777" w:rsidR="00FD7D51" w:rsidRPr="00FD7D51" w:rsidRDefault="00FD7D51" w:rsidP="00FD7D51">
      <w:pPr>
        <w:spacing w:before="240" w:after="240" w:line="240" w:lineRule="auto"/>
        <w:jc w:val="both"/>
        <w:rPr>
          <w:rFonts w:eastAsia="Calibri" w:cstheme="minorHAnsi"/>
          <w:sz w:val="24"/>
          <w:szCs w:val="24"/>
          <w:lang w:val="es-419" w:eastAsia="es-CO"/>
        </w:rPr>
      </w:pPr>
    </w:p>
    <w:p w14:paraId="3B9DB2BE" w14:textId="655D1E26" w:rsidR="00561D0F" w:rsidRPr="00ED1AE6" w:rsidRDefault="00ED1AE6" w:rsidP="00267A9D">
      <w:pPr>
        <w:spacing w:after="160"/>
        <w:jc w:val="center"/>
        <w:rPr>
          <w:rFonts w:eastAsia="Calibri" w:cstheme="minorHAnsi"/>
          <w:b/>
          <w:bCs/>
          <w:sz w:val="24"/>
          <w:szCs w:val="24"/>
        </w:rPr>
      </w:pPr>
      <w:r w:rsidRPr="00ED1AE6">
        <w:rPr>
          <w:rFonts w:eastAsia="Calibri" w:cstheme="minorHAnsi"/>
          <w:b/>
          <w:bCs/>
          <w:sz w:val="24"/>
          <w:szCs w:val="24"/>
        </w:rPr>
        <w:lastRenderedPageBreak/>
        <w:t xml:space="preserve">PROYECTO DE LEY </w:t>
      </w:r>
      <w:r w:rsidR="00561D0F" w:rsidRPr="00ED1AE6">
        <w:rPr>
          <w:rFonts w:eastAsia="Calibri" w:cstheme="minorHAnsi"/>
          <w:b/>
          <w:bCs/>
          <w:sz w:val="24"/>
          <w:szCs w:val="24"/>
        </w:rPr>
        <w:t>No ------- DE 2022 CAMARA</w:t>
      </w:r>
    </w:p>
    <w:p w14:paraId="61CF210F" w14:textId="5CBF6568" w:rsidR="00ED1AE6" w:rsidRPr="00ED1AE6" w:rsidRDefault="00561D0F" w:rsidP="00ED1AE6">
      <w:pPr>
        <w:tabs>
          <w:tab w:val="left" w:pos="2565"/>
        </w:tabs>
        <w:spacing w:after="160"/>
        <w:jc w:val="center"/>
        <w:rPr>
          <w:rFonts w:eastAsia="Calibri" w:cstheme="minorHAnsi"/>
          <w:b/>
          <w:bCs/>
          <w:i/>
          <w:iCs/>
          <w:sz w:val="24"/>
          <w:szCs w:val="24"/>
          <w:lang w:val="es-ES_tradnl"/>
        </w:rPr>
      </w:pPr>
      <w:r w:rsidRPr="00ED1AE6">
        <w:rPr>
          <w:rFonts w:eastAsia="Calibri" w:cstheme="minorHAnsi"/>
          <w:b/>
          <w:sz w:val="24"/>
          <w:szCs w:val="24"/>
        </w:rPr>
        <w:t xml:space="preserve"> “</w:t>
      </w:r>
      <w:r w:rsidR="00ED1AE6" w:rsidRPr="00ED1AE6">
        <w:rPr>
          <w:rFonts w:eastAsia="Calibri" w:cstheme="minorHAnsi"/>
          <w:b/>
          <w:bCs/>
          <w:iCs/>
          <w:sz w:val="24"/>
          <w:szCs w:val="24"/>
        </w:rPr>
        <w:t>POR EL CUAL EL PROGRAMA DE ALIMENTACION ESCOLAR – PAE, SE CONVIERTE EN POLITICA PUBLICA DE ESTADO</w:t>
      </w:r>
      <w:r w:rsidR="00ED1AE6" w:rsidRPr="00ED1AE6">
        <w:rPr>
          <w:rFonts w:eastAsia="Calibri" w:cstheme="minorHAnsi"/>
          <w:b/>
          <w:bCs/>
          <w:iCs/>
          <w:sz w:val="24"/>
          <w:szCs w:val="24"/>
          <w:lang w:val="es-ES_tradnl"/>
        </w:rPr>
        <w:t>”</w:t>
      </w:r>
    </w:p>
    <w:p w14:paraId="2BDEF752" w14:textId="6BC43385" w:rsidR="00561D0F" w:rsidRPr="00ED1AE6" w:rsidRDefault="00561D0F" w:rsidP="00561D0F">
      <w:pPr>
        <w:tabs>
          <w:tab w:val="left" w:pos="2565"/>
        </w:tabs>
        <w:spacing w:after="160"/>
        <w:jc w:val="center"/>
        <w:rPr>
          <w:rFonts w:eastAsia="Calibri" w:cstheme="minorHAnsi"/>
          <w:i/>
          <w:sz w:val="24"/>
          <w:szCs w:val="24"/>
        </w:rPr>
      </w:pPr>
    </w:p>
    <w:p w14:paraId="23C2C587" w14:textId="77777777" w:rsidR="00561D0F" w:rsidRPr="00ED1AE6" w:rsidRDefault="00561D0F" w:rsidP="00561D0F">
      <w:pPr>
        <w:tabs>
          <w:tab w:val="left" w:pos="2565"/>
        </w:tabs>
        <w:spacing w:after="0"/>
        <w:jc w:val="center"/>
        <w:rPr>
          <w:rFonts w:eastAsia="Calibri" w:cstheme="minorHAnsi"/>
          <w:b/>
          <w:sz w:val="24"/>
          <w:szCs w:val="24"/>
        </w:rPr>
      </w:pPr>
      <w:r w:rsidRPr="00ED1AE6">
        <w:rPr>
          <w:rFonts w:eastAsia="Calibri" w:cstheme="minorHAnsi"/>
          <w:b/>
          <w:sz w:val="24"/>
          <w:szCs w:val="24"/>
        </w:rPr>
        <w:t>EL CONGRESO DE COLOMBIA</w:t>
      </w:r>
    </w:p>
    <w:p w14:paraId="0220A37D" w14:textId="77777777" w:rsidR="00561D0F" w:rsidRPr="00ED1AE6" w:rsidRDefault="00561D0F" w:rsidP="00561D0F">
      <w:pPr>
        <w:tabs>
          <w:tab w:val="left" w:pos="2565"/>
        </w:tabs>
        <w:spacing w:after="0"/>
        <w:jc w:val="center"/>
        <w:rPr>
          <w:rFonts w:eastAsia="Calibri" w:cstheme="minorHAnsi"/>
          <w:b/>
          <w:sz w:val="24"/>
          <w:szCs w:val="24"/>
        </w:rPr>
      </w:pPr>
    </w:p>
    <w:p w14:paraId="392CA4EA" w14:textId="77777777" w:rsidR="00561D0F" w:rsidRPr="00ED1AE6" w:rsidRDefault="00561D0F" w:rsidP="00561D0F">
      <w:pPr>
        <w:tabs>
          <w:tab w:val="left" w:pos="2565"/>
        </w:tabs>
        <w:spacing w:after="0"/>
        <w:jc w:val="center"/>
        <w:rPr>
          <w:rFonts w:eastAsia="Calibri" w:cstheme="minorHAnsi"/>
          <w:b/>
          <w:sz w:val="24"/>
          <w:szCs w:val="24"/>
        </w:rPr>
      </w:pPr>
      <w:r w:rsidRPr="00ED1AE6">
        <w:rPr>
          <w:rFonts w:eastAsia="Calibri" w:cstheme="minorHAnsi"/>
          <w:b/>
          <w:sz w:val="24"/>
          <w:szCs w:val="24"/>
        </w:rPr>
        <w:t>DECRETA:</w:t>
      </w:r>
    </w:p>
    <w:p w14:paraId="00BF68D3" w14:textId="60C9D521" w:rsidR="00561D0F" w:rsidRPr="00FD7D51" w:rsidRDefault="00561D0F" w:rsidP="00FD7D51">
      <w:pPr>
        <w:tabs>
          <w:tab w:val="left" w:pos="2565"/>
        </w:tabs>
        <w:spacing w:after="0" w:line="240" w:lineRule="auto"/>
        <w:jc w:val="center"/>
        <w:rPr>
          <w:rFonts w:eastAsia="Calibri" w:cstheme="minorHAnsi"/>
          <w:b/>
          <w:sz w:val="24"/>
          <w:szCs w:val="24"/>
        </w:rPr>
      </w:pPr>
    </w:p>
    <w:p w14:paraId="009FF48C" w14:textId="77777777" w:rsidR="00FD7D51" w:rsidRPr="00FD7D51" w:rsidRDefault="00FD7D51" w:rsidP="00AD796D">
      <w:pPr>
        <w:spacing w:after="0" w:line="240" w:lineRule="auto"/>
        <w:jc w:val="both"/>
        <w:rPr>
          <w:rFonts w:cstheme="minorHAnsi"/>
          <w:sz w:val="24"/>
          <w:szCs w:val="24"/>
        </w:rPr>
      </w:pPr>
      <w:r w:rsidRPr="00FD7D51">
        <w:rPr>
          <w:rFonts w:cstheme="minorHAnsi"/>
          <w:b/>
          <w:sz w:val="24"/>
          <w:szCs w:val="24"/>
        </w:rPr>
        <w:t>Artículo 1. Naturaleza.</w:t>
      </w:r>
      <w:r w:rsidRPr="00FD7D51">
        <w:rPr>
          <w:rFonts w:cstheme="minorHAnsi"/>
          <w:sz w:val="24"/>
          <w:szCs w:val="24"/>
        </w:rPr>
        <w:t xml:space="preserve"> Conviértase el programa de alimentación escolar – PAE en política pública de Estado.</w:t>
      </w:r>
    </w:p>
    <w:p w14:paraId="17541FB0" w14:textId="77777777" w:rsidR="00FD7D51" w:rsidRDefault="00FD7D51" w:rsidP="00AD796D">
      <w:pPr>
        <w:autoSpaceDE w:val="0"/>
        <w:autoSpaceDN w:val="0"/>
        <w:adjustRightInd w:val="0"/>
        <w:spacing w:after="0" w:line="240" w:lineRule="auto"/>
        <w:jc w:val="both"/>
        <w:rPr>
          <w:rFonts w:cstheme="minorHAnsi"/>
          <w:b/>
          <w:sz w:val="24"/>
          <w:szCs w:val="24"/>
        </w:rPr>
      </w:pPr>
    </w:p>
    <w:p w14:paraId="137550D7" w14:textId="4B91115E" w:rsidR="00FD7D51" w:rsidRPr="00FD7D51" w:rsidRDefault="00FD7D51" w:rsidP="00AD796D">
      <w:pPr>
        <w:autoSpaceDE w:val="0"/>
        <w:autoSpaceDN w:val="0"/>
        <w:adjustRightInd w:val="0"/>
        <w:spacing w:after="0" w:line="240" w:lineRule="auto"/>
        <w:jc w:val="both"/>
        <w:rPr>
          <w:rFonts w:cstheme="minorHAnsi"/>
          <w:sz w:val="24"/>
          <w:szCs w:val="24"/>
        </w:rPr>
      </w:pPr>
      <w:r w:rsidRPr="00FD7D51">
        <w:rPr>
          <w:rFonts w:cstheme="minorHAnsi"/>
          <w:b/>
          <w:sz w:val="24"/>
          <w:szCs w:val="24"/>
        </w:rPr>
        <w:t>Artículo 2. Objeto.</w:t>
      </w:r>
      <w:r w:rsidRPr="00FD7D51">
        <w:rPr>
          <w:rFonts w:cstheme="minorHAnsi"/>
          <w:sz w:val="24"/>
          <w:szCs w:val="24"/>
        </w:rPr>
        <w:t xml:space="preserve"> </w:t>
      </w:r>
      <w:r w:rsidRPr="00FD7D51">
        <w:rPr>
          <w:rFonts w:cstheme="minorHAnsi"/>
          <w:bCs/>
          <w:sz w:val="24"/>
          <w:szCs w:val="24"/>
        </w:rPr>
        <w:t xml:space="preserve">El programa de alimentación escolar – tiene por objeto </w:t>
      </w:r>
      <w:r w:rsidRPr="00FD7D51">
        <w:rPr>
          <w:rFonts w:cstheme="minorHAnsi"/>
          <w:sz w:val="24"/>
          <w:szCs w:val="24"/>
        </w:rPr>
        <w:t>suministrar un complemento alimentario que contribuya al acceso con permanencia en la jornada académica, de los niños, niñas, adolescentes y jóvenes, registrados en la matrícula oficial, fomentando hábitos alimentarios saludables.</w:t>
      </w:r>
    </w:p>
    <w:p w14:paraId="0FE12690" w14:textId="77777777" w:rsidR="00FD7D51" w:rsidRDefault="00FD7D51" w:rsidP="00AD796D">
      <w:pPr>
        <w:spacing w:after="0" w:line="240" w:lineRule="auto"/>
        <w:jc w:val="both"/>
        <w:rPr>
          <w:rFonts w:cstheme="minorHAnsi"/>
          <w:sz w:val="24"/>
          <w:szCs w:val="24"/>
        </w:rPr>
      </w:pPr>
    </w:p>
    <w:p w14:paraId="39657616" w14:textId="095152C6" w:rsidR="00FD7D51" w:rsidRPr="00FD7D51" w:rsidRDefault="00FD7D51" w:rsidP="00AD796D">
      <w:pPr>
        <w:spacing w:after="0" w:line="240" w:lineRule="auto"/>
        <w:jc w:val="both"/>
        <w:rPr>
          <w:rFonts w:cstheme="minorHAnsi"/>
          <w:sz w:val="24"/>
          <w:szCs w:val="24"/>
        </w:rPr>
      </w:pPr>
      <w:r w:rsidRPr="00FD7D51">
        <w:rPr>
          <w:rFonts w:cstheme="minorHAnsi"/>
          <w:b/>
          <w:sz w:val="24"/>
          <w:szCs w:val="24"/>
        </w:rPr>
        <w:t>Artículo 3.</w:t>
      </w:r>
      <w:r w:rsidRPr="00FD7D51">
        <w:rPr>
          <w:rFonts w:cstheme="minorHAnsi"/>
          <w:sz w:val="24"/>
          <w:szCs w:val="24"/>
        </w:rPr>
        <w:t xml:space="preserve"> </w:t>
      </w:r>
      <w:r w:rsidRPr="00FD7D51">
        <w:rPr>
          <w:rFonts w:cstheme="minorHAnsi"/>
          <w:b/>
          <w:sz w:val="24"/>
          <w:szCs w:val="24"/>
        </w:rPr>
        <w:t>Financiación y operación.</w:t>
      </w:r>
      <w:r w:rsidRPr="00FD7D51">
        <w:rPr>
          <w:rFonts w:cstheme="minorHAnsi"/>
          <w:sz w:val="24"/>
          <w:szCs w:val="24"/>
        </w:rPr>
        <w:t xml:space="preserve"> Para efectos de la presente ley, el programa de alimentación escolar – PAE, mantendrá iguales fuentes de financiación y operatividad, establecidas en la ley 1450 de 2011.  </w:t>
      </w:r>
    </w:p>
    <w:p w14:paraId="53EFFC95" w14:textId="77777777" w:rsidR="00FD7D51" w:rsidRDefault="00FD7D51" w:rsidP="00AD796D">
      <w:pPr>
        <w:spacing w:after="0" w:line="240" w:lineRule="auto"/>
        <w:jc w:val="both"/>
        <w:rPr>
          <w:rFonts w:cstheme="minorHAnsi"/>
          <w:b/>
          <w:sz w:val="24"/>
          <w:szCs w:val="24"/>
        </w:rPr>
      </w:pPr>
    </w:p>
    <w:p w14:paraId="046FFF60" w14:textId="218E1BDE" w:rsidR="00FD7D51" w:rsidRPr="00FD7D51" w:rsidRDefault="00FD7D51" w:rsidP="00AD796D">
      <w:pPr>
        <w:spacing w:after="0" w:line="240" w:lineRule="auto"/>
        <w:jc w:val="both"/>
        <w:rPr>
          <w:rFonts w:cstheme="minorHAnsi"/>
          <w:sz w:val="24"/>
          <w:szCs w:val="24"/>
        </w:rPr>
      </w:pPr>
      <w:r w:rsidRPr="00FD7D51">
        <w:rPr>
          <w:rFonts w:cstheme="minorHAnsi"/>
          <w:b/>
          <w:sz w:val="24"/>
          <w:szCs w:val="24"/>
        </w:rPr>
        <w:t xml:space="preserve">Artículo 4. Vigencia. </w:t>
      </w:r>
      <w:r w:rsidRPr="00FD7D51">
        <w:rPr>
          <w:rFonts w:cstheme="minorHAnsi"/>
          <w:sz w:val="24"/>
          <w:szCs w:val="24"/>
        </w:rPr>
        <w:t>La presente ley rige desde su promulgación</w:t>
      </w:r>
      <w:r w:rsidR="001D7734">
        <w:rPr>
          <w:rFonts w:cstheme="minorHAnsi"/>
          <w:sz w:val="24"/>
          <w:szCs w:val="24"/>
        </w:rPr>
        <w:t xml:space="preserve"> y divulgación.</w:t>
      </w:r>
    </w:p>
    <w:p w14:paraId="6827C3AE" w14:textId="77777777" w:rsidR="00FD7D51" w:rsidRPr="00FD7D51" w:rsidRDefault="00FD7D51" w:rsidP="00AD796D">
      <w:pPr>
        <w:spacing w:after="160" w:line="259" w:lineRule="auto"/>
        <w:jc w:val="both"/>
      </w:pPr>
    </w:p>
    <w:p w14:paraId="4ACF23D9" w14:textId="5ADBFFDC" w:rsidR="00561D0F" w:rsidRPr="00ED1AE6" w:rsidRDefault="00561D0F" w:rsidP="00561D0F">
      <w:pPr>
        <w:spacing w:after="160" w:line="256" w:lineRule="auto"/>
        <w:rPr>
          <w:rFonts w:eastAsia="Calibri" w:cstheme="minorHAnsi"/>
          <w:bCs/>
          <w:sz w:val="24"/>
          <w:szCs w:val="24"/>
        </w:rPr>
      </w:pPr>
    </w:p>
    <w:p w14:paraId="079F215D" w14:textId="77777777" w:rsidR="00561D0F" w:rsidRPr="00ED1AE6" w:rsidRDefault="00561D0F" w:rsidP="00561D0F">
      <w:pPr>
        <w:spacing w:after="160" w:line="256" w:lineRule="auto"/>
        <w:rPr>
          <w:rFonts w:eastAsia="Calibri" w:cstheme="minorHAnsi"/>
          <w:sz w:val="24"/>
          <w:szCs w:val="24"/>
        </w:rPr>
      </w:pPr>
      <w:r w:rsidRPr="00ED1AE6">
        <w:rPr>
          <w:rFonts w:eastAsia="Calibri" w:cstheme="minorHAnsi"/>
          <w:bCs/>
          <w:sz w:val="24"/>
          <w:szCs w:val="24"/>
        </w:rPr>
        <w:t>________________________</w:t>
      </w:r>
      <w:r w:rsidRPr="00ED1AE6">
        <w:rPr>
          <w:rFonts w:eastAsia="Calibri" w:cstheme="minorHAnsi"/>
          <w:b/>
          <w:bCs/>
          <w:sz w:val="24"/>
          <w:szCs w:val="24"/>
        </w:rPr>
        <w:t xml:space="preserve">    </w:t>
      </w:r>
      <w:r w:rsidRPr="00ED1AE6">
        <w:rPr>
          <w:rFonts w:eastAsia="Calibri" w:cstheme="minorHAnsi"/>
          <w:b/>
          <w:bCs/>
          <w:sz w:val="24"/>
          <w:szCs w:val="24"/>
        </w:rPr>
        <w:tab/>
      </w:r>
      <w:r w:rsidRPr="00ED1AE6">
        <w:rPr>
          <w:rFonts w:eastAsia="Calibri" w:cstheme="minorHAnsi"/>
          <w:b/>
          <w:bCs/>
          <w:sz w:val="24"/>
          <w:szCs w:val="24"/>
        </w:rPr>
        <w:tab/>
      </w:r>
      <w:r w:rsidRPr="00ED1AE6">
        <w:rPr>
          <w:rFonts w:eastAsia="Calibri" w:cstheme="minorHAnsi"/>
          <w:b/>
          <w:bCs/>
          <w:sz w:val="24"/>
          <w:szCs w:val="24"/>
        </w:rPr>
        <w:tab/>
      </w:r>
      <w:r w:rsidRPr="00ED1AE6">
        <w:rPr>
          <w:rFonts w:eastAsia="Calibri" w:cstheme="minorHAnsi"/>
          <w:sz w:val="24"/>
          <w:szCs w:val="24"/>
        </w:rPr>
        <w:t>_________________________</w:t>
      </w:r>
    </w:p>
    <w:p w14:paraId="7ECFA4FA" w14:textId="77902948" w:rsidR="00561D0F" w:rsidRPr="00ED1AE6" w:rsidRDefault="00F02C19" w:rsidP="00F02C19">
      <w:pPr>
        <w:spacing w:after="0" w:line="240" w:lineRule="auto"/>
        <w:rPr>
          <w:rFonts w:eastAsia="Calibri" w:cstheme="minorHAnsi"/>
          <w:b/>
          <w:sz w:val="24"/>
          <w:szCs w:val="24"/>
        </w:rPr>
      </w:pPr>
      <w:r w:rsidRPr="00ED1AE6">
        <w:rPr>
          <w:rFonts w:eastAsia="Calibri" w:cstheme="minorHAnsi"/>
          <w:b/>
          <w:sz w:val="24"/>
          <w:szCs w:val="24"/>
        </w:rPr>
        <w:t xml:space="preserve">JUAN LORETO GOMEZ </w:t>
      </w:r>
      <w:r w:rsidR="000A3F7E">
        <w:rPr>
          <w:rFonts w:eastAsia="Calibri" w:cstheme="minorHAnsi"/>
          <w:b/>
          <w:sz w:val="24"/>
          <w:szCs w:val="24"/>
        </w:rPr>
        <w:t>SOTO</w:t>
      </w:r>
    </w:p>
    <w:p w14:paraId="3254A3EF" w14:textId="0DDFCD63" w:rsidR="00F02C19" w:rsidRPr="00ED1AE6" w:rsidRDefault="00F02C19" w:rsidP="00F02C19">
      <w:pPr>
        <w:spacing w:after="0" w:line="240" w:lineRule="auto"/>
        <w:rPr>
          <w:rFonts w:eastAsia="Calibri" w:cstheme="minorHAnsi"/>
          <w:b/>
          <w:sz w:val="24"/>
          <w:szCs w:val="24"/>
        </w:rPr>
      </w:pPr>
      <w:r w:rsidRPr="00ED1AE6">
        <w:rPr>
          <w:rFonts w:eastAsia="Calibri" w:cstheme="minorHAnsi"/>
          <w:b/>
          <w:sz w:val="24"/>
          <w:szCs w:val="24"/>
        </w:rPr>
        <w:t xml:space="preserve">Partido Conservador </w:t>
      </w:r>
    </w:p>
    <w:p w14:paraId="7EF913DC" w14:textId="77777777" w:rsidR="00561D0F" w:rsidRPr="00ED1AE6" w:rsidRDefault="00561D0F" w:rsidP="00561D0F">
      <w:pPr>
        <w:spacing w:after="160" w:line="256" w:lineRule="auto"/>
        <w:rPr>
          <w:rFonts w:eastAsia="Calibri" w:cstheme="minorHAnsi"/>
          <w:b/>
          <w:bCs/>
          <w:sz w:val="24"/>
          <w:szCs w:val="24"/>
        </w:rPr>
      </w:pPr>
      <w:r w:rsidRPr="00ED1AE6">
        <w:rPr>
          <w:rFonts w:eastAsia="Calibri" w:cstheme="minorHAnsi"/>
          <w:b/>
          <w:bCs/>
          <w:sz w:val="24"/>
          <w:szCs w:val="24"/>
        </w:rPr>
        <w:t xml:space="preserve">                                  </w:t>
      </w:r>
    </w:p>
    <w:p w14:paraId="347BE7AB" w14:textId="105A4DE5" w:rsidR="00561D0F" w:rsidRPr="00ED1AE6" w:rsidRDefault="00561D0F" w:rsidP="00561D0F">
      <w:pPr>
        <w:spacing w:after="160" w:line="256" w:lineRule="auto"/>
        <w:rPr>
          <w:rFonts w:eastAsia="Calibri" w:cstheme="minorHAnsi"/>
          <w:b/>
          <w:bCs/>
          <w:sz w:val="24"/>
          <w:szCs w:val="24"/>
        </w:rPr>
      </w:pPr>
      <w:r w:rsidRPr="00ED1AE6">
        <w:rPr>
          <w:rFonts w:eastAsia="Calibri" w:cstheme="minorHAnsi"/>
          <w:bCs/>
          <w:sz w:val="24"/>
          <w:szCs w:val="24"/>
        </w:rPr>
        <w:t>_________________________</w:t>
      </w:r>
      <w:r w:rsidRPr="00ED1AE6">
        <w:rPr>
          <w:rFonts w:eastAsia="Calibri" w:cstheme="minorHAnsi"/>
          <w:b/>
          <w:bCs/>
          <w:sz w:val="24"/>
          <w:szCs w:val="24"/>
        </w:rPr>
        <w:t xml:space="preserve">    </w:t>
      </w:r>
      <w:r w:rsidRPr="00ED1AE6">
        <w:rPr>
          <w:rFonts w:eastAsia="Calibri" w:cstheme="minorHAnsi"/>
          <w:b/>
          <w:bCs/>
          <w:sz w:val="24"/>
          <w:szCs w:val="24"/>
        </w:rPr>
        <w:tab/>
      </w:r>
      <w:r w:rsidRPr="00ED1AE6">
        <w:rPr>
          <w:rFonts w:eastAsia="Calibri" w:cstheme="minorHAnsi"/>
          <w:b/>
          <w:bCs/>
          <w:sz w:val="24"/>
          <w:szCs w:val="24"/>
        </w:rPr>
        <w:tab/>
      </w:r>
      <w:r w:rsidR="001D7734">
        <w:rPr>
          <w:rFonts w:eastAsia="Calibri" w:cstheme="minorHAnsi"/>
          <w:b/>
          <w:bCs/>
          <w:sz w:val="24"/>
          <w:szCs w:val="24"/>
        </w:rPr>
        <w:t xml:space="preserve">              </w:t>
      </w:r>
      <w:r w:rsidRPr="00ED1AE6">
        <w:rPr>
          <w:rFonts w:eastAsia="Calibri" w:cstheme="minorHAnsi"/>
          <w:bCs/>
          <w:sz w:val="24"/>
          <w:szCs w:val="24"/>
        </w:rPr>
        <w:t>_________________________</w:t>
      </w:r>
      <w:r w:rsidRPr="00ED1AE6">
        <w:rPr>
          <w:rFonts w:eastAsia="Calibri" w:cstheme="minorHAnsi"/>
          <w:b/>
          <w:bCs/>
          <w:sz w:val="24"/>
          <w:szCs w:val="24"/>
        </w:rPr>
        <w:t xml:space="preserve">    </w:t>
      </w:r>
    </w:p>
    <w:p w14:paraId="107351A2" w14:textId="77777777" w:rsidR="00561D0F" w:rsidRPr="00ED1AE6" w:rsidRDefault="00561D0F" w:rsidP="00561D0F">
      <w:pPr>
        <w:spacing w:after="160" w:line="256" w:lineRule="auto"/>
        <w:rPr>
          <w:rFonts w:eastAsia="Calibri" w:cstheme="minorHAnsi"/>
          <w:b/>
          <w:bCs/>
          <w:sz w:val="24"/>
          <w:szCs w:val="24"/>
        </w:rPr>
      </w:pPr>
    </w:p>
    <w:p w14:paraId="330F6468" w14:textId="77777777" w:rsidR="00561D0F" w:rsidRPr="00ED1AE6" w:rsidRDefault="00561D0F" w:rsidP="00561D0F">
      <w:pPr>
        <w:spacing w:after="160" w:line="256" w:lineRule="auto"/>
        <w:rPr>
          <w:rFonts w:eastAsia="Calibri" w:cstheme="minorHAnsi"/>
          <w:b/>
          <w:bCs/>
          <w:sz w:val="24"/>
          <w:szCs w:val="24"/>
        </w:rPr>
      </w:pPr>
      <w:r w:rsidRPr="00ED1AE6">
        <w:rPr>
          <w:rFonts w:eastAsia="Calibri" w:cstheme="minorHAnsi"/>
          <w:b/>
          <w:bCs/>
          <w:sz w:val="24"/>
          <w:szCs w:val="24"/>
        </w:rPr>
        <w:t xml:space="preserve">                                  </w:t>
      </w:r>
    </w:p>
    <w:p w14:paraId="708BB83B" w14:textId="77777777" w:rsidR="00561D0F" w:rsidRPr="00ED1AE6" w:rsidRDefault="00561D0F" w:rsidP="00561D0F">
      <w:pPr>
        <w:spacing w:after="160" w:line="256" w:lineRule="auto"/>
        <w:rPr>
          <w:rFonts w:eastAsia="Calibri" w:cstheme="minorHAnsi"/>
          <w:b/>
          <w:bCs/>
          <w:sz w:val="24"/>
          <w:szCs w:val="24"/>
        </w:rPr>
      </w:pPr>
      <w:r w:rsidRPr="00ED1AE6">
        <w:rPr>
          <w:rFonts w:eastAsia="Calibri" w:cstheme="minorHAnsi"/>
          <w:bCs/>
          <w:sz w:val="24"/>
          <w:szCs w:val="24"/>
        </w:rPr>
        <w:t>_________________________</w:t>
      </w:r>
      <w:r w:rsidRPr="00ED1AE6">
        <w:rPr>
          <w:rFonts w:eastAsia="Calibri" w:cstheme="minorHAnsi"/>
          <w:bCs/>
          <w:sz w:val="24"/>
          <w:szCs w:val="24"/>
        </w:rPr>
        <w:tab/>
      </w:r>
      <w:r w:rsidRPr="00ED1AE6">
        <w:rPr>
          <w:rFonts w:eastAsia="Calibri" w:cstheme="minorHAnsi"/>
          <w:bCs/>
          <w:sz w:val="24"/>
          <w:szCs w:val="24"/>
        </w:rPr>
        <w:tab/>
      </w:r>
      <w:r w:rsidRPr="00ED1AE6">
        <w:rPr>
          <w:rFonts w:eastAsia="Calibri" w:cstheme="minorHAnsi"/>
          <w:bCs/>
          <w:sz w:val="24"/>
          <w:szCs w:val="24"/>
        </w:rPr>
        <w:tab/>
        <w:t>_________________________</w:t>
      </w:r>
      <w:r w:rsidRPr="00ED1AE6">
        <w:rPr>
          <w:rFonts w:eastAsia="Calibri" w:cstheme="minorHAnsi"/>
          <w:b/>
          <w:bCs/>
          <w:sz w:val="24"/>
          <w:szCs w:val="24"/>
        </w:rPr>
        <w:t xml:space="preserve">    </w:t>
      </w:r>
    </w:p>
    <w:p w14:paraId="3B279017" w14:textId="77777777" w:rsidR="00561D0F" w:rsidRPr="00ED1AE6" w:rsidRDefault="00561D0F" w:rsidP="00561D0F">
      <w:pPr>
        <w:spacing w:after="160" w:line="256" w:lineRule="auto"/>
        <w:rPr>
          <w:rFonts w:eastAsia="Calibri" w:cstheme="minorHAnsi"/>
          <w:b/>
          <w:bCs/>
          <w:sz w:val="24"/>
          <w:szCs w:val="24"/>
        </w:rPr>
      </w:pPr>
    </w:p>
    <w:p w14:paraId="77CFA87B" w14:textId="77777777" w:rsidR="00561D0F" w:rsidRPr="00ED1AE6" w:rsidRDefault="00561D0F" w:rsidP="00561D0F">
      <w:pPr>
        <w:spacing w:after="160" w:line="256" w:lineRule="auto"/>
        <w:rPr>
          <w:rFonts w:eastAsia="Calibri" w:cstheme="minorHAnsi"/>
          <w:b/>
          <w:bCs/>
          <w:sz w:val="24"/>
          <w:szCs w:val="24"/>
        </w:rPr>
      </w:pPr>
    </w:p>
    <w:p w14:paraId="747F66A0" w14:textId="77777777" w:rsidR="00561D0F" w:rsidRPr="00ED1AE6" w:rsidRDefault="00561D0F" w:rsidP="00561D0F">
      <w:pPr>
        <w:spacing w:after="160" w:line="256" w:lineRule="auto"/>
        <w:rPr>
          <w:rFonts w:eastAsia="Calibri" w:cstheme="minorHAnsi"/>
          <w:b/>
          <w:bCs/>
          <w:sz w:val="24"/>
          <w:szCs w:val="24"/>
        </w:rPr>
      </w:pPr>
      <w:r w:rsidRPr="00ED1AE6">
        <w:rPr>
          <w:rFonts w:eastAsia="Calibri" w:cstheme="minorHAnsi"/>
          <w:bCs/>
          <w:sz w:val="24"/>
          <w:szCs w:val="24"/>
        </w:rPr>
        <w:t>_________________________</w:t>
      </w:r>
      <w:r w:rsidRPr="00ED1AE6">
        <w:rPr>
          <w:rFonts w:eastAsia="Calibri" w:cstheme="minorHAnsi"/>
          <w:bCs/>
          <w:sz w:val="24"/>
          <w:szCs w:val="24"/>
        </w:rPr>
        <w:tab/>
      </w:r>
      <w:r w:rsidRPr="00ED1AE6">
        <w:rPr>
          <w:rFonts w:eastAsia="Calibri" w:cstheme="minorHAnsi"/>
          <w:bCs/>
          <w:sz w:val="24"/>
          <w:szCs w:val="24"/>
        </w:rPr>
        <w:tab/>
      </w:r>
      <w:r w:rsidRPr="00ED1AE6">
        <w:rPr>
          <w:rFonts w:eastAsia="Calibri" w:cstheme="minorHAnsi"/>
          <w:bCs/>
          <w:sz w:val="24"/>
          <w:szCs w:val="24"/>
        </w:rPr>
        <w:tab/>
        <w:t>_________________________</w:t>
      </w:r>
      <w:r w:rsidRPr="00ED1AE6">
        <w:rPr>
          <w:rFonts w:eastAsia="Calibri" w:cstheme="minorHAnsi"/>
          <w:b/>
          <w:bCs/>
          <w:sz w:val="24"/>
          <w:szCs w:val="24"/>
        </w:rPr>
        <w:t xml:space="preserve">    </w:t>
      </w:r>
    </w:p>
    <w:p w14:paraId="5690F059" w14:textId="77777777" w:rsidR="00561D0F" w:rsidRPr="00ED1AE6" w:rsidRDefault="00561D0F" w:rsidP="00561D0F">
      <w:pPr>
        <w:spacing w:after="160" w:line="256" w:lineRule="auto"/>
        <w:rPr>
          <w:rFonts w:eastAsia="Calibri" w:cstheme="minorHAnsi"/>
          <w:b/>
          <w:bCs/>
          <w:sz w:val="24"/>
          <w:szCs w:val="24"/>
        </w:rPr>
      </w:pPr>
    </w:p>
    <w:p w14:paraId="116179A6" w14:textId="77777777" w:rsidR="00561D0F" w:rsidRPr="00ED1AE6" w:rsidRDefault="00561D0F" w:rsidP="00561D0F">
      <w:pPr>
        <w:spacing w:after="160" w:line="256" w:lineRule="auto"/>
        <w:rPr>
          <w:rFonts w:eastAsia="Calibri" w:cstheme="minorHAnsi"/>
          <w:b/>
          <w:bCs/>
          <w:sz w:val="24"/>
          <w:szCs w:val="24"/>
        </w:rPr>
      </w:pPr>
    </w:p>
    <w:p w14:paraId="63849DAF" w14:textId="77777777" w:rsidR="00561D0F" w:rsidRPr="00ED1AE6" w:rsidRDefault="00561D0F" w:rsidP="00561D0F">
      <w:pPr>
        <w:spacing w:after="160" w:line="256" w:lineRule="auto"/>
        <w:rPr>
          <w:rFonts w:eastAsia="Calibri" w:cstheme="minorHAnsi"/>
          <w:b/>
          <w:bCs/>
          <w:sz w:val="24"/>
          <w:szCs w:val="24"/>
        </w:rPr>
      </w:pPr>
      <w:r w:rsidRPr="00ED1AE6">
        <w:rPr>
          <w:rFonts w:eastAsia="Calibri" w:cstheme="minorHAnsi"/>
          <w:bCs/>
          <w:sz w:val="24"/>
          <w:szCs w:val="24"/>
        </w:rPr>
        <w:t>_________________________</w:t>
      </w:r>
      <w:r w:rsidRPr="00ED1AE6">
        <w:rPr>
          <w:rFonts w:eastAsia="Calibri" w:cstheme="minorHAnsi"/>
          <w:bCs/>
          <w:sz w:val="24"/>
          <w:szCs w:val="24"/>
        </w:rPr>
        <w:tab/>
      </w:r>
      <w:r w:rsidRPr="00ED1AE6">
        <w:rPr>
          <w:rFonts w:eastAsia="Calibri" w:cstheme="minorHAnsi"/>
          <w:bCs/>
          <w:sz w:val="24"/>
          <w:szCs w:val="24"/>
        </w:rPr>
        <w:tab/>
      </w:r>
      <w:r w:rsidRPr="00ED1AE6">
        <w:rPr>
          <w:rFonts w:eastAsia="Calibri" w:cstheme="minorHAnsi"/>
          <w:bCs/>
          <w:sz w:val="24"/>
          <w:szCs w:val="24"/>
        </w:rPr>
        <w:tab/>
        <w:t>_________________________</w:t>
      </w:r>
      <w:r w:rsidRPr="00ED1AE6">
        <w:rPr>
          <w:rFonts w:eastAsia="Calibri" w:cstheme="minorHAnsi"/>
          <w:b/>
          <w:bCs/>
          <w:sz w:val="24"/>
          <w:szCs w:val="24"/>
        </w:rPr>
        <w:t xml:space="preserve">    </w:t>
      </w:r>
    </w:p>
    <w:p w14:paraId="71A22E3E" w14:textId="77777777" w:rsidR="00561D0F" w:rsidRPr="00ED1AE6" w:rsidRDefault="00561D0F" w:rsidP="00561D0F">
      <w:pPr>
        <w:spacing w:after="160" w:line="256" w:lineRule="auto"/>
        <w:rPr>
          <w:rFonts w:eastAsia="Calibri" w:cstheme="minorHAnsi"/>
          <w:b/>
          <w:bCs/>
          <w:sz w:val="24"/>
          <w:szCs w:val="24"/>
        </w:rPr>
      </w:pPr>
    </w:p>
    <w:p w14:paraId="75D50166" w14:textId="77777777" w:rsidR="00561D0F" w:rsidRPr="00ED1AE6" w:rsidRDefault="00561D0F" w:rsidP="00561D0F">
      <w:pPr>
        <w:spacing w:after="160" w:line="256" w:lineRule="auto"/>
        <w:rPr>
          <w:rFonts w:eastAsia="Calibri" w:cstheme="minorHAnsi"/>
          <w:b/>
          <w:bCs/>
          <w:sz w:val="24"/>
          <w:szCs w:val="24"/>
        </w:rPr>
      </w:pPr>
    </w:p>
    <w:p w14:paraId="07A39015" w14:textId="77777777" w:rsidR="00561D0F" w:rsidRPr="00ED1AE6" w:rsidRDefault="00561D0F" w:rsidP="00561D0F">
      <w:pPr>
        <w:spacing w:after="160" w:line="256" w:lineRule="auto"/>
        <w:rPr>
          <w:rFonts w:eastAsia="Calibri" w:cstheme="minorHAnsi"/>
          <w:b/>
          <w:bCs/>
          <w:sz w:val="24"/>
          <w:szCs w:val="24"/>
        </w:rPr>
      </w:pPr>
      <w:r w:rsidRPr="00ED1AE6">
        <w:rPr>
          <w:rFonts w:eastAsia="Calibri" w:cstheme="minorHAnsi"/>
          <w:bCs/>
          <w:sz w:val="24"/>
          <w:szCs w:val="24"/>
        </w:rPr>
        <w:t>_________________________</w:t>
      </w:r>
      <w:r w:rsidRPr="00ED1AE6">
        <w:rPr>
          <w:rFonts w:eastAsia="Calibri" w:cstheme="minorHAnsi"/>
          <w:bCs/>
          <w:sz w:val="24"/>
          <w:szCs w:val="24"/>
        </w:rPr>
        <w:tab/>
      </w:r>
      <w:r w:rsidRPr="00ED1AE6">
        <w:rPr>
          <w:rFonts w:eastAsia="Calibri" w:cstheme="minorHAnsi"/>
          <w:bCs/>
          <w:sz w:val="24"/>
          <w:szCs w:val="24"/>
        </w:rPr>
        <w:tab/>
      </w:r>
      <w:r w:rsidRPr="00ED1AE6">
        <w:rPr>
          <w:rFonts w:eastAsia="Calibri" w:cstheme="minorHAnsi"/>
          <w:bCs/>
          <w:sz w:val="24"/>
          <w:szCs w:val="24"/>
        </w:rPr>
        <w:tab/>
        <w:t>_________________________</w:t>
      </w:r>
      <w:r w:rsidRPr="00ED1AE6">
        <w:rPr>
          <w:rFonts w:eastAsia="Calibri" w:cstheme="minorHAnsi"/>
          <w:b/>
          <w:bCs/>
          <w:sz w:val="24"/>
          <w:szCs w:val="24"/>
        </w:rPr>
        <w:t xml:space="preserve">    </w:t>
      </w:r>
    </w:p>
    <w:p w14:paraId="28DB2A01" w14:textId="77777777" w:rsidR="00561D0F" w:rsidRPr="00ED1AE6" w:rsidRDefault="00561D0F" w:rsidP="00561D0F">
      <w:pPr>
        <w:spacing w:after="160" w:line="256" w:lineRule="auto"/>
        <w:rPr>
          <w:rFonts w:eastAsia="Calibri" w:cstheme="minorHAnsi"/>
          <w:b/>
          <w:bCs/>
          <w:sz w:val="24"/>
          <w:szCs w:val="24"/>
        </w:rPr>
      </w:pPr>
    </w:p>
    <w:p w14:paraId="7AE740ED" w14:textId="77777777" w:rsidR="00561D0F" w:rsidRPr="00ED1AE6" w:rsidRDefault="00561D0F" w:rsidP="00561D0F">
      <w:pPr>
        <w:spacing w:after="160" w:line="256" w:lineRule="auto"/>
        <w:rPr>
          <w:rFonts w:eastAsia="Calibri" w:cstheme="minorHAnsi"/>
          <w:b/>
          <w:bCs/>
          <w:sz w:val="24"/>
          <w:szCs w:val="24"/>
        </w:rPr>
      </w:pPr>
    </w:p>
    <w:p w14:paraId="14B2B8C4" w14:textId="77777777" w:rsidR="00561D0F" w:rsidRPr="00ED1AE6" w:rsidRDefault="00561D0F" w:rsidP="00561D0F">
      <w:pPr>
        <w:spacing w:after="160" w:line="256" w:lineRule="auto"/>
        <w:rPr>
          <w:rFonts w:eastAsia="Calibri" w:cstheme="minorHAnsi"/>
          <w:b/>
          <w:bCs/>
          <w:sz w:val="24"/>
          <w:szCs w:val="24"/>
        </w:rPr>
      </w:pPr>
      <w:r w:rsidRPr="00ED1AE6">
        <w:rPr>
          <w:rFonts w:eastAsia="Calibri" w:cstheme="minorHAnsi"/>
          <w:bCs/>
          <w:sz w:val="24"/>
          <w:szCs w:val="24"/>
        </w:rPr>
        <w:t>_________________________</w:t>
      </w:r>
      <w:r w:rsidRPr="00ED1AE6">
        <w:rPr>
          <w:rFonts w:eastAsia="Calibri" w:cstheme="minorHAnsi"/>
          <w:bCs/>
          <w:sz w:val="24"/>
          <w:szCs w:val="24"/>
        </w:rPr>
        <w:tab/>
      </w:r>
      <w:r w:rsidRPr="00ED1AE6">
        <w:rPr>
          <w:rFonts w:eastAsia="Calibri" w:cstheme="minorHAnsi"/>
          <w:bCs/>
          <w:sz w:val="24"/>
          <w:szCs w:val="24"/>
        </w:rPr>
        <w:tab/>
      </w:r>
      <w:r w:rsidRPr="00ED1AE6">
        <w:rPr>
          <w:rFonts w:eastAsia="Calibri" w:cstheme="minorHAnsi"/>
          <w:bCs/>
          <w:sz w:val="24"/>
          <w:szCs w:val="24"/>
        </w:rPr>
        <w:tab/>
        <w:t>_________________________</w:t>
      </w:r>
      <w:r w:rsidRPr="00ED1AE6">
        <w:rPr>
          <w:rFonts w:eastAsia="Calibri" w:cstheme="minorHAnsi"/>
          <w:b/>
          <w:bCs/>
          <w:sz w:val="24"/>
          <w:szCs w:val="24"/>
        </w:rPr>
        <w:t xml:space="preserve">  </w:t>
      </w:r>
    </w:p>
    <w:p w14:paraId="2766E3A3" w14:textId="77777777" w:rsidR="00561D0F" w:rsidRPr="00ED1AE6" w:rsidRDefault="00561D0F" w:rsidP="00561D0F">
      <w:pPr>
        <w:spacing w:after="160" w:line="256" w:lineRule="auto"/>
        <w:rPr>
          <w:rFonts w:eastAsia="Calibri" w:cstheme="minorHAnsi"/>
          <w:bCs/>
          <w:sz w:val="24"/>
          <w:szCs w:val="24"/>
        </w:rPr>
      </w:pPr>
    </w:p>
    <w:p w14:paraId="3137B30A" w14:textId="77777777" w:rsidR="00561D0F" w:rsidRPr="00ED1AE6" w:rsidRDefault="00561D0F" w:rsidP="00561D0F">
      <w:pPr>
        <w:spacing w:after="160" w:line="256" w:lineRule="auto"/>
        <w:rPr>
          <w:rFonts w:eastAsia="Calibri" w:cstheme="minorHAnsi"/>
          <w:bCs/>
          <w:sz w:val="24"/>
          <w:szCs w:val="24"/>
        </w:rPr>
      </w:pPr>
    </w:p>
    <w:p w14:paraId="40DC63C5" w14:textId="77777777" w:rsidR="00561D0F" w:rsidRPr="00ED1AE6" w:rsidRDefault="00561D0F" w:rsidP="00561D0F">
      <w:pPr>
        <w:spacing w:after="160" w:line="256" w:lineRule="auto"/>
        <w:rPr>
          <w:rFonts w:eastAsia="Calibri" w:cstheme="minorHAnsi"/>
          <w:b/>
          <w:bCs/>
          <w:sz w:val="24"/>
          <w:szCs w:val="24"/>
        </w:rPr>
      </w:pPr>
      <w:r w:rsidRPr="00ED1AE6">
        <w:rPr>
          <w:rFonts w:eastAsia="Calibri" w:cstheme="minorHAnsi"/>
          <w:bCs/>
          <w:sz w:val="24"/>
          <w:szCs w:val="24"/>
        </w:rPr>
        <w:t>_________________________</w:t>
      </w:r>
      <w:r w:rsidRPr="00ED1AE6">
        <w:rPr>
          <w:rFonts w:eastAsia="Calibri" w:cstheme="minorHAnsi"/>
          <w:bCs/>
          <w:sz w:val="24"/>
          <w:szCs w:val="24"/>
        </w:rPr>
        <w:tab/>
      </w:r>
      <w:r w:rsidRPr="00ED1AE6">
        <w:rPr>
          <w:rFonts w:eastAsia="Calibri" w:cstheme="minorHAnsi"/>
          <w:bCs/>
          <w:sz w:val="24"/>
          <w:szCs w:val="24"/>
        </w:rPr>
        <w:tab/>
      </w:r>
      <w:r w:rsidRPr="00ED1AE6">
        <w:rPr>
          <w:rFonts w:eastAsia="Calibri" w:cstheme="minorHAnsi"/>
          <w:bCs/>
          <w:sz w:val="24"/>
          <w:szCs w:val="24"/>
        </w:rPr>
        <w:tab/>
        <w:t>_________________________</w:t>
      </w:r>
      <w:r w:rsidRPr="00ED1AE6">
        <w:rPr>
          <w:rFonts w:eastAsia="Calibri" w:cstheme="minorHAnsi"/>
          <w:b/>
          <w:bCs/>
          <w:sz w:val="24"/>
          <w:szCs w:val="24"/>
        </w:rPr>
        <w:t xml:space="preserve">    </w:t>
      </w:r>
    </w:p>
    <w:p w14:paraId="61EC4DF0" w14:textId="77777777" w:rsidR="00561D0F" w:rsidRPr="00ED1AE6" w:rsidRDefault="00561D0F" w:rsidP="00561D0F">
      <w:pPr>
        <w:spacing w:after="160" w:line="256" w:lineRule="auto"/>
        <w:rPr>
          <w:rFonts w:eastAsia="Calibri" w:cstheme="minorHAnsi"/>
          <w:bCs/>
          <w:sz w:val="24"/>
          <w:szCs w:val="24"/>
        </w:rPr>
      </w:pPr>
    </w:p>
    <w:p w14:paraId="4176D411" w14:textId="77777777" w:rsidR="00561D0F" w:rsidRPr="00ED1AE6" w:rsidRDefault="00561D0F" w:rsidP="00561D0F">
      <w:pPr>
        <w:spacing w:after="160" w:line="256" w:lineRule="auto"/>
        <w:rPr>
          <w:rFonts w:eastAsia="Calibri" w:cstheme="minorHAnsi"/>
          <w:bCs/>
          <w:sz w:val="24"/>
          <w:szCs w:val="24"/>
        </w:rPr>
      </w:pPr>
    </w:p>
    <w:p w14:paraId="06B26EE4" w14:textId="77777777" w:rsidR="00561D0F" w:rsidRPr="00ED1AE6" w:rsidRDefault="00561D0F" w:rsidP="00561D0F">
      <w:pPr>
        <w:spacing w:after="160" w:line="256" w:lineRule="auto"/>
        <w:rPr>
          <w:rFonts w:eastAsia="Calibri" w:cstheme="minorHAnsi"/>
          <w:b/>
          <w:bCs/>
          <w:sz w:val="24"/>
          <w:szCs w:val="24"/>
        </w:rPr>
      </w:pPr>
      <w:r w:rsidRPr="00ED1AE6">
        <w:rPr>
          <w:rFonts w:eastAsia="Calibri" w:cstheme="minorHAnsi"/>
          <w:bCs/>
          <w:sz w:val="24"/>
          <w:szCs w:val="24"/>
        </w:rPr>
        <w:t>_________________________</w:t>
      </w:r>
      <w:r w:rsidRPr="00ED1AE6">
        <w:rPr>
          <w:rFonts w:eastAsia="Calibri" w:cstheme="minorHAnsi"/>
          <w:bCs/>
          <w:sz w:val="24"/>
          <w:szCs w:val="24"/>
        </w:rPr>
        <w:tab/>
      </w:r>
      <w:r w:rsidRPr="00ED1AE6">
        <w:rPr>
          <w:rFonts w:eastAsia="Calibri" w:cstheme="minorHAnsi"/>
          <w:bCs/>
          <w:sz w:val="24"/>
          <w:szCs w:val="24"/>
        </w:rPr>
        <w:tab/>
      </w:r>
      <w:r w:rsidRPr="00ED1AE6">
        <w:rPr>
          <w:rFonts w:eastAsia="Calibri" w:cstheme="minorHAnsi"/>
          <w:bCs/>
          <w:sz w:val="24"/>
          <w:szCs w:val="24"/>
        </w:rPr>
        <w:tab/>
        <w:t>_________________________</w:t>
      </w:r>
      <w:r w:rsidRPr="00ED1AE6">
        <w:rPr>
          <w:rFonts w:eastAsia="Calibri" w:cstheme="minorHAnsi"/>
          <w:b/>
          <w:bCs/>
          <w:sz w:val="24"/>
          <w:szCs w:val="24"/>
        </w:rPr>
        <w:t xml:space="preserve">    </w:t>
      </w:r>
    </w:p>
    <w:p w14:paraId="0654C4B9" w14:textId="77777777" w:rsidR="00561D0F" w:rsidRPr="00ED1AE6" w:rsidRDefault="00561D0F" w:rsidP="00561D0F">
      <w:pPr>
        <w:spacing w:after="160" w:line="256" w:lineRule="auto"/>
        <w:rPr>
          <w:rFonts w:eastAsia="Calibri" w:cstheme="minorHAnsi"/>
          <w:b/>
          <w:bCs/>
          <w:sz w:val="24"/>
          <w:szCs w:val="24"/>
        </w:rPr>
      </w:pPr>
    </w:p>
    <w:p w14:paraId="7D0BA0E7" w14:textId="77777777" w:rsidR="00561D0F" w:rsidRPr="00ED1AE6" w:rsidRDefault="00561D0F" w:rsidP="00561D0F">
      <w:pPr>
        <w:spacing w:after="160" w:line="256" w:lineRule="auto"/>
        <w:rPr>
          <w:rFonts w:eastAsia="Calibri" w:cstheme="minorHAnsi"/>
          <w:b/>
          <w:bCs/>
          <w:sz w:val="24"/>
          <w:szCs w:val="24"/>
        </w:rPr>
      </w:pPr>
    </w:p>
    <w:p w14:paraId="4228CADC" w14:textId="77777777" w:rsidR="00561D0F" w:rsidRPr="00ED1AE6" w:rsidRDefault="00561D0F" w:rsidP="00561D0F">
      <w:pPr>
        <w:spacing w:after="160" w:line="256" w:lineRule="auto"/>
        <w:rPr>
          <w:rFonts w:eastAsia="Calibri" w:cstheme="minorHAnsi"/>
          <w:b/>
          <w:bCs/>
          <w:sz w:val="24"/>
          <w:szCs w:val="24"/>
        </w:rPr>
      </w:pPr>
      <w:r w:rsidRPr="00ED1AE6">
        <w:rPr>
          <w:rFonts w:eastAsia="Calibri" w:cstheme="minorHAnsi"/>
          <w:bCs/>
          <w:sz w:val="24"/>
          <w:szCs w:val="24"/>
        </w:rPr>
        <w:t>_________________________</w:t>
      </w:r>
      <w:r w:rsidRPr="00ED1AE6">
        <w:rPr>
          <w:rFonts w:eastAsia="Calibri" w:cstheme="minorHAnsi"/>
          <w:bCs/>
          <w:sz w:val="24"/>
          <w:szCs w:val="24"/>
        </w:rPr>
        <w:tab/>
      </w:r>
      <w:r w:rsidRPr="00ED1AE6">
        <w:rPr>
          <w:rFonts w:eastAsia="Calibri" w:cstheme="minorHAnsi"/>
          <w:bCs/>
          <w:sz w:val="24"/>
          <w:szCs w:val="24"/>
        </w:rPr>
        <w:tab/>
      </w:r>
      <w:r w:rsidRPr="00ED1AE6">
        <w:rPr>
          <w:rFonts w:eastAsia="Calibri" w:cstheme="minorHAnsi"/>
          <w:bCs/>
          <w:sz w:val="24"/>
          <w:szCs w:val="24"/>
        </w:rPr>
        <w:tab/>
        <w:t>_________________________</w:t>
      </w:r>
      <w:r w:rsidRPr="00ED1AE6">
        <w:rPr>
          <w:rFonts w:eastAsia="Calibri" w:cstheme="minorHAnsi"/>
          <w:b/>
          <w:bCs/>
          <w:sz w:val="24"/>
          <w:szCs w:val="24"/>
        </w:rPr>
        <w:t xml:space="preserve">    </w:t>
      </w:r>
    </w:p>
    <w:p w14:paraId="31FB2706" w14:textId="77777777" w:rsidR="00561D0F" w:rsidRPr="00ED1AE6" w:rsidRDefault="00561D0F" w:rsidP="00561D0F">
      <w:pPr>
        <w:spacing w:after="160" w:line="256" w:lineRule="auto"/>
        <w:rPr>
          <w:rFonts w:eastAsia="Calibri" w:cstheme="minorHAnsi"/>
          <w:b/>
          <w:bCs/>
          <w:sz w:val="24"/>
          <w:szCs w:val="24"/>
        </w:rPr>
      </w:pPr>
    </w:p>
    <w:p w14:paraId="0B14E780" w14:textId="77777777" w:rsidR="00561D0F" w:rsidRPr="00ED1AE6" w:rsidRDefault="00561D0F" w:rsidP="00561D0F">
      <w:pPr>
        <w:spacing w:after="160" w:line="256" w:lineRule="auto"/>
        <w:rPr>
          <w:rFonts w:eastAsia="Calibri" w:cstheme="minorHAnsi"/>
          <w:b/>
          <w:bCs/>
          <w:sz w:val="24"/>
          <w:szCs w:val="24"/>
        </w:rPr>
      </w:pPr>
      <w:r w:rsidRPr="00ED1AE6">
        <w:rPr>
          <w:rFonts w:eastAsia="Calibri" w:cstheme="minorHAnsi"/>
          <w:b/>
          <w:bCs/>
          <w:sz w:val="24"/>
          <w:szCs w:val="24"/>
        </w:rPr>
        <w:t xml:space="preserve">     </w:t>
      </w:r>
    </w:p>
    <w:p w14:paraId="3C01D691" w14:textId="77777777" w:rsidR="00561D0F" w:rsidRPr="00ED1AE6" w:rsidRDefault="00561D0F" w:rsidP="00561D0F">
      <w:pPr>
        <w:spacing w:after="160"/>
        <w:jc w:val="both"/>
        <w:rPr>
          <w:rFonts w:eastAsia="Calibri" w:cstheme="minorHAnsi"/>
          <w:sz w:val="24"/>
          <w:szCs w:val="24"/>
        </w:rPr>
      </w:pPr>
    </w:p>
    <w:p w14:paraId="2D9153F1" w14:textId="77777777" w:rsidR="00561D0F" w:rsidRPr="00ED1AE6" w:rsidRDefault="00561D0F" w:rsidP="00561D0F">
      <w:pPr>
        <w:spacing w:after="160"/>
        <w:jc w:val="both"/>
        <w:rPr>
          <w:rFonts w:eastAsia="Calibri" w:cstheme="minorHAnsi"/>
          <w:sz w:val="24"/>
          <w:szCs w:val="24"/>
        </w:rPr>
      </w:pPr>
    </w:p>
    <w:p w14:paraId="660650F9" w14:textId="5D987CD0" w:rsidR="00500021" w:rsidRPr="00ED1AE6" w:rsidRDefault="00500021" w:rsidP="00E6564D">
      <w:pPr>
        <w:rPr>
          <w:rFonts w:cstheme="minorHAnsi"/>
          <w:sz w:val="24"/>
          <w:szCs w:val="24"/>
        </w:rPr>
      </w:pPr>
    </w:p>
    <w:sectPr w:rsidR="00500021" w:rsidRPr="00ED1AE6" w:rsidSect="0070386D">
      <w:headerReference w:type="default" r:id="rId20"/>
      <w:footerReference w:type="default" r:id="rId21"/>
      <w:pgSz w:w="12240" w:h="15840"/>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F87D1" w14:textId="77777777" w:rsidR="00EE31A3" w:rsidRDefault="00EE31A3" w:rsidP="004404C3">
      <w:pPr>
        <w:spacing w:after="0" w:line="240" w:lineRule="auto"/>
      </w:pPr>
      <w:r>
        <w:separator/>
      </w:r>
    </w:p>
  </w:endnote>
  <w:endnote w:type="continuationSeparator" w:id="0">
    <w:p w14:paraId="4792D01E" w14:textId="77777777" w:rsidR="00EE31A3" w:rsidRDefault="00EE31A3" w:rsidP="00440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33463" w14:textId="77777777" w:rsidR="00671DCC" w:rsidRDefault="00671DCC" w:rsidP="00513835">
    <w:pPr>
      <w:pStyle w:val="Piedepgina"/>
      <w:pBdr>
        <w:bottom w:val="single" w:sz="6" w:space="1" w:color="auto"/>
      </w:pBdr>
      <w:jc w:val="right"/>
    </w:pPr>
  </w:p>
  <w:p w14:paraId="78BD88C9" w14:textId="4E603989" w:rsidR="00671DCC" w:rsidRPr="004F1754" w:rsidRDefault="00671DCC" w:rsidP="00513835">
    <w:pPr>
      <w:pStyle w:val="Piedepgina"/>
      <w:jc w:val="center"/>
      <w:rPr>
        <w:rFonts w:cs="Calibri"/>
      </w:rPr>
    </w:pPr>
    <w:r w:rsidRPr="004F1754">
      <w:rPr>
        <w:rFonts w:cs="Calibri"/>
      </w:rPr>
      <w:t>Carrera 7 Nro. 8-68 Edificio Nuevo del Congreso</w:t>
    </w:r>
  </w:p>
  <w:p w14:paraId="130FE1C4" w14:textId="005B6C8E" w:rsidR="00671DCC" w:rsidRPr="004F1754" w:rsidRDefault="00671DCC" w:rsidP="00D01B25">
    <w:pPr>
      <w:pStyle w:val="Piedepgina"/>
      <w:jc w:val="center"/>
      <w:rPr>
        <w:rFonts w:cs="Calibri"/>
      </w:rPr>
    </w:pPr>
    <w:r w:rsidRPr="004F1754">
      <w:rPr>
        <w:rFonts w:cs="Calibri"/>
      </w:rPr>
      <w:t>Mezanine Sur Oficina 102 Tels. (601) 3904050 ext. 4468 – 4467 Bogotá D.C.</w:t>
    </w:r>
  </w:p>
  <w:p w14:paraId="69D3AFBD" w14:textId="77777777" w:rsidR="00671DCC" w:rsidRDefault="00671DC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CEA35" w14:textId="77777777" w:rsidR="00EE31A3" w:rsidRDefault="00EE31A3" w:rsidP="004404C3">
      <w:pPr>
        <w:spacing w:after="0" w:line="240" w:lineRule="auto"/>
      </w:pPr>
      <w:r>
        <w:separator/>
      </w:r>
    </w:p>
  </w:footnote>
  <w:footnote w:type="continuationSeparator" w:id="0">
    <w:p w14:paraId="71049E03" w14:textId="77777777" w:rsidR="00EE31A3" w:rsidRDefault="00EE31A3" w:rsidP="00440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767" w:type="dxa"/>
      <w:tblInd w:w="-1318" w:type="dxa"/>
      <w:tblLook w:val="0400" w:firstRow="0" w:lastRow="0" w:firstColumn="0" w:lastColumn="0" w:noHBand="0" w:noVBand="1"/>
    </w:tblPr>
    <w:tblGrid>
      <w:gridCol w:w="9195"/>
    </w:tblGrid>
    <w:tr w:rsidR="00671DCC" w:rsidRPr="00DD5EF7" w14:paraId="3EB3977D" w14:textId="77777777" w:rsidTr="00513835">
      <w:trPr>
        <w:trHeight w:val="273"/>
      </w:trPr>
      <w:tc>
        <w:tcPr>
          <w:tcW w:w="6767" w:type="dxa"/>
          <w:shd w:val="clear" w:color="auto" w:fill="auto"/>
        </w:tcPr>
        <w:tbl>
          <w:tblPr>
            <w:tblW w:w="7557" w:type="dxa"/>
            <w:tblInd w:w="1422" w:type="dxa"/>
            <w:tblLook w:val="0400" w:firstRow="0" w:lastRow="0" w:firstColumn="0" w:lastColumn="0" w:noHBand="0" w:noVBand="1"/>
          </w:tblPr>
          <w:tblGrid>
            <w:gridCol w:w="4480"/>
            <w:gridCol w:w="3077"/>
          </w:tblGrid>
          <w:tr w:rsidR="00671DCC" w:rsidRPr="00DD5EF7" w14:paraId="059449FB" w14:textId="77777777" w:rsidTr="005921DD">
            <w:trPr>
              <w:trHeight w:val="220"/>
            </w:trPr>
            <w:tc>
              <w:tcPr>
                <w:tcW w:w="4480" w:type="dxa"/>
                <w:tcBorders>
                  <w:right w:val="single" w:sz="12" w:space="0" w:color="984806"/>
                </w:tcBorders>
                <w:shd w:val="clear" w:color="auto" w:fill="auto"/>
              </w:tcPr>
              <w:p w14:paraId="387A6BBA" w14:textId="77777777" w:rsidR="00671DCC" w:rsidRPr="00DD5EF7" w:rsidRDefault="00671DCC" w:rsidP="00513835">
                <w:pPr>
                  <w:pStyle w:val="Encabezado"/>
                  <w:rPr>
                    <w:noProof/>
                    <w:sz w:val="12"/>
                    <w:szCs w:val="12"/>
                    <w:lang w:eastAsia="es-ES"/>
                  </w:rPr>
                </w:pPr>
                <w:r>
                  <w:rPr>
                    <w:noProof/>
                    <w:sz w:val="12"/>
                    <w:szCs w:val="12"/>
                    <w:lang w:eastAsia="es-CO"/>
                  </w:rPr>
                  <w:drawing>
                    <wp:anchor distT="0" distB="0" distL="114300" distR="114300" simplePos="0" relativeHeight="251659264" behindDoc="1" locked="0" layoutInCell="1" allowOverlap="1" wp14:anchorId="24E6E492" wp14:editId="48DB8C55">
                      <wp:simplePos x="0" y="0"/>
                      <wp:positionH relativeFrom="column">
                        <wp:posOffset>323850</wp:posOffset>
                      </wp:positionH>
                      <wp:positionV relativeFrom="paragraph">
                        <wp:posOffset>-49530</wp:posOffset>
                      </wp:positionV>
                      <wp:extent cx="2266950" cy="628015"/>
                      <wp:effectExtent l="0" t="0" r="0" b="635"/>
                      <wp:wrapNone/>
                      <wp:docPr id="1" name="Imagen 1" descr="http://t3.gstatic.com/images?q=tbn:ANd9GcS_VZzLfJjh-iXqDmA02jBK6q1YQIAc9LcQqUvvpsS_p4h-wT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t3.gstatic.com/images?q=tbn:ANd9GcS_VZzLfJjh-iXqDmA02jBK6q1YQIAc9LcQqUvvpsS_p4h-wT2F"/>
                              <pic:cNvPicPr>
                                <a:picLocks noChangeAspect="1" noChangeArrowheads="1"/>
                              </pic:cNvPicPr>
                            </pic:nvPicPr>
                            <pic:blipFill>
                              <a:blip r:embed="rId1">
                                <a:extLst>
                                  <a:ext uri="{28A0092B-C50C-407E-A947-70E740481C1C}">
                                    <a14:useLocalDpi xmlns:a14="http://schemas.microsoft.com/office/drawing/2010/main" val="0"/>
                                  </a:ext>
                                </a:extLst>
                              </a:blip>
                              <a:srcRect l="2515" t="5319" r="2267" b="5319"/>
                              <a:stretch>
                                <a:fillRect/>
                              </a:stretch>
                            </pic:blipFill>
                            <pic:spPr bwMode="auto">
                              <a:xfrm>
                                <a:off x="0" y="0"/>
                                <a:ext cx="2266950" cy="628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837FFB" w14:textId="77777777" w:rsidR="00671DCC" w:rsidRPr="00DD5EF7" w:rsidRDefault="00671DCC" w:rsidP="00513835">
                <w:pPr>
                  <w:pStyle w:val="Encabezado"/>
                  <w:jc w:val="center"/>
                  <w:rPr>
                    <w:noProof/>
                    <w:sz w:val="12"/>
                    <w:szCs w:val="12"/>
                    <w:lang w:eastAsia="es-ES"/>
                  </w:rPr>
                </w:pPr>
              </w:p>
              <w:p w14:paraId="0ED1AFFB" w14:textId="0B3C35A5" w:rsidR="00671DCC" w:rsidRPr="00DD5EF7" w:rsidRDefault="00671DCC" w:rsidP="00513835">
                <w:pPr>
                  <w:pStyle w:val="Encabezado"/>
                  <w:jc w:val="center"/>
                  <w:rPr>
                    <w:noProof/>
                    <w:sz w:val="12"/>
                    <w:szCs w:val="12"/>
                    <w:lang w:eastAsia="es-ES"/>
                  </w:rPr>
                </w:pPr>
                <w:r>
                  <w:rPr>
                    <w:noProof/>
                    <w:sz w:val="12"/>
                    <w:szCs w:val="12"/>
                    <w:lang w:eastAsia="es-ES"/>
                  </w:rPr>
                  <w:t xml:space="preserve"> </w:t>
                </w:r>
              </w:p>
              <w:p w14:paraId="1D58E3F6" w14:textId="77777777" w:rsidR="00671DCC" w:rsidRPr="00DD5EF7" w:rsidRDefault="00671DCC" w:rsidP="00FC015F">
                <w:pPr>
                  <w:pStyle w:val="Encabezado"/>
                  <w:jc w:val="right"/>
                  <w:rPr>
                    <w:rFonts w:ascii="Arial" w:hAnsi="Arial" w:cs="Arial"/>
                    <w:color w:val="BD7D3D"/>
                    <w:sz w:val="12"/>
                    <w:szCs w:val="12"/>
                  </w:rPr>
                </w:pPr>
              </w:p>
            </w:tc>
            <w:tc>
              <w:tcPr>
                <w:tcW w:w="3077" w:type="dxa"/>
                <w:tcBorders>
                  <w:left w:val="single" w:sz="12" w:space="0" w:color="984806"/>
                </w:tcBorders>
                <w:shd w:val="clear" w:color="auto" w:fill="auto"/>
              </w:tcPr>
              <w:p w14:paraId="54CE143B" w14:textId="77777777" w:rsidR="00671DCC" w:rsidRDefault="00671DCC" w:rsidP="004F1754">
                <w:pPr>
                  <w:pStyle w:val="Encabezado"/>
                  <w:rPr>
                    <w:rFonts w:ascii="Arial" w:hAnsi="Arial" w:cs="Arial"/>
                    <w:b/>
                    <w:color w:val="BD7D3D"/>
                    <w:sz w:val="18"/>
                    <w:szCs w:val="18"/>
                  </w:rPr>
                </w:pPr>
              </w:p>
              <w:p w14:paraId="61E3B920" w14:textId="26AD68B1" w:rsidR="00671DCC" w:rsidRPr="00322B48" w:rsidRDefault="00671DCC" w:rsidP="004F1754">
                <w:pPr>
                  <w:pStyle w:val="Encabezado"/>
                  <w:rPr>
                    <w:rFonts w:ascii="Arial" w:hAnsi="Arial" w:cs="Arial"/>
                    <w:b/>
                    <w:color w:val="BD7D3D"/>
                    <w:sz w:val="18"/>
                    <w:szCs w:val="18"/>
                  </w:rPr>
                </w:pPr>
                <w:r>
                  <w:rPr>
                    <w:rFonts w:ascii="Arial" w:hAnsi="Arial" w:cs="Arial"/>
                    <w:b/>
                    <w:color w:val="BD7D3D"/>
                    <w:sz w:val="18"/>
                    <w:szCs w:val="18"/>
                  </w:rPr>
                  <w:t xml:space="preserve">     </w:t>
                </w:r>
                <w:r w:rsidRPr="00322B48">
                  <w:rPr>
                    <w:rFonts w:ascii="Arial" w:hAnsi="Arial" w:cs="Arial"/>
                    <w:b/>
                    <w:color w:val="BD7D3D"/>
                    <w:sz w:val="18"/>
                    <w:szCs w:val="18"/>
                  </w:rPr>
                  <w:t>JUAN LORETO GOMEZ SOTO</w:t>
                </w:r>
              </w:p>
              <w:p w14:paraId="69F103F4" w14:textId="77777777" w:rsidR="00671DCC" w:rsidRDefault="00671DCC" w:rsidP="004F1754">
                <w:pPr>
                  <w:pStyle w:val="Encabezado"/>
                  <w:rPr>
                    <w:rFonts w:ascii="Arial" w:hAnsi="Arial" w:cs="Arial"/>
                    <w:b/>
                    <w:color w:val="BD7D3D"/>
                    <w:sz w:val="18"/>
                    <w:szCs w:val="18"/>
                  </w:rPr>
                </w:pPr>
                <w:r>
                  <w:rPr>
                    <w:rFonts w:ascii="Arial" w:hAnsi="Arial" w:cs="Arial"/>
                    <w:b/>
                    <w:color w:val="BD7D3D"/>
                    <w:sz w:val="18"/>
                    <w:szCs w:val="18"/>
                  </w:rPr>
                  <w:t xml:space="preserve">     </w:t>
                </w:r>
                <w:r w:rsidRPr="00322B48">
                  <w:rPr>
                    <w:rFonts w:ascii="Arial" w:hAnsi="Arial" w:cs="Arial"/>
                    <w:b/>
                    <w:color w:val="BD7D3D"/>
                    <w:sz w:val="18"/>
                    <w:szCs w:val="18"/>
                  </w:rPr>
                  <w:t xml:space="preserve">Representante a la Cámara                                             </w:t>
                </w:r>
                <w:r>
                  <w:rPr>
                    <w:rFonts w:ascii="Arial" w:hAnsi="Arial" w:cs="Arial"/>
                    <w:b/>
                    <w:color w:val="BD7D3D"/>
                    <w:sz w:val="18"/>
                    <w:szCs w:val="18"/>
                  </w:rPr>
                  <w:t xml:space="preserve">                  </w:t>
                </w:r>
              </w:p>
              <w:p w14:paraId="7841F6C9" w14:textId="626E375C" w:rsidR="00671DCC" w:rsidRPr="00322B48" w:rsidRDefault="00671DCC" w:rsidP="004F1754">
                <w:pPr>
                  <w:pStyle w:val="Encabezado"/>
                  <w:rPr>
                    <w:rFonts w:ascii="Arial" w:hAnsi="Arial" w:cs="Arial"/>
                    <w:b/>
                    <w:color w:val="BD7D3D"/>
                    <w:sz w:val="18"/>
                    <w:szCs w:val="18"/>
                  </w:rPr>
                </w:pPr>
                <w:r>
                  <w:rPr>
                    <w:rFonts w:ascii="Arial" w:hAnsi="Arial" w:cs="Arial"/>
                    <w:b/>
                    <w:color w:val="BD7D3D"/>
                    <w:sz w:val="18"/>
                    <w:szCs w:val="18"/>
                  </w:rPr>
                  <w:t xml:space="preserve">     </w:t>
                </w:r>
                <w:r w:rsidRPr="00322B48">
                  <w:rPr>
                    <w:rFonts w:ascii="Arial" w:hAnsi="Arial" w:cs="Arial"/>
                    <w:b/>
                    <w:color w:val="BD7D3D"/>
                    <w:sz w:val="18"/>
                    <w:szCs w:val="18"/>
                  </w:rPr>
                  <w:t>Departamento de La Guajira</w:t>
                </w:r>
              </w:p>
              <w:p w14:paraId="15A56805" w14:textId="77777777" w:rsidR="00671DCC" w:rsidRPr="00DD5EF7" w:rsidRDefault="00671DCC" w:rsidP="00513835">
                <w:pPr>
                  <w:pStyle w:val="Encabezado"/>
                  <w:jc w:val="center"/>
                  <w:rPr>
                    <w:rFonts w:ascii="Arial" w:hAnsi="Arial" w:cs="Arial"/>
                    <w:color w:val="BD7D3D"/>
                    <w:sz w:val="12"/>
                    <w:szCs w:val="12"/>
                  </w:rPr>
                </w:pPr>
              </w:p>
            </w:tc>
          </w:tr>
        </w:tbl>
        <w:p w14:paraId="0B16697E" w14:textId="77777777" w:rsidR="00671DCC" w:rsidRPr="00DD5EF7" w:rsidRDefault="00671DCC" w:rsidP="004404C3">
          <w:pPr>
            <w:pStyle w:val="Encabezado"/>
            <w:rPr>
              <w:rFonts w:ascii="Arial" w:hAnsi="Arial" w:cs="Arial"/>
              <w:color w:val="BD7D3D"/>
              <w:sz w:val="12"/>
              <w:szCs w:val="12"/>
            </w:rPr>
          </w:pPr>
        </w:p>
      </w:tc>
    </w:tr>
  </w:tbl>
  <w:p w14:paraId="6BCA6704" w14:textId="414A9F28" w:rsidR="00671DCC" w:rsidRDefault="00671DCC" w:rsidP="004404C3">
    <w:pPr>
      <w:pStyle w:val="Encabezado"/>
    </w:pPr>
  </w:p>
  <w:p w14:paraId="66C893BA" w14:textId="77777777" w:rsidR="00671DCC" w:rsidRDefault="00671DCC" w:rsidP="004404C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11028"/>
    <w:multiLevelType w:val="multilevel"/>
    <w:tmpl w:val="2C66C0B4"/>
    <w:lvl w:ilvl="0">
      <w:start w:val="1"/>
      <w:numFmt w:val="decimal"/>
      <w:lvlText w:val="%1."/>
      <w:lvlJc w:val="left"/>
      <w:pPr>
        <w:ind w:left="720" w:hanging="360"/>
      </w:pPr>
      <w:rPr>
        <w:rFonts w:hint="default"/>
        <w:b/>
        <w:bCs/>
        <w:color w:val="auto"/>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B9B7A51"/>
    <w:multiLevelType w:val="hybridMultilevel"/>
    <w:tmpl w:val="09A66B8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8E5701"/>
    <w:multiLevelType w:val="hybridMultilevel"/>
    <w:tmpl w:val="302C8E32"/>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00F420B"/>
    <w:multiLevelType w:val="hybridMultilevel"/>
    <w:tmpl w:val="C9B84D2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447C5B"/>
    <w:multiLevelType w:val="hybridMultilevel"/>
    <w:tmpl w:val="18386DE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5702642"/>
    <w:multiLevelType w:val="hybridMultilevel"/>
    <w:tmpl w:val="300CC134"/>
    <w:lvl w:ilvl="0" w:tplc="991655B4">
      <w:start w:val="4"/>
      <w:numFmt w:val="bullet"/>
      <w:lvlText w:val="-"/>
      <w:lvlJc w:val="left"/>
      <w:pPr>
        <w:ind w:left="360" w:hanging="360"/>
      </w:pPr>
      <w:rPr>
        <w:rFonts w:ascii="Verdana" w:eastAsiaTheme="minorHAnsi" w:hAnsi="Verdana" w:cstheme="minorBid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5A105C8"/>
    <w:multiLevelType w:val="hybridMultilevel"/>
    <w:tmpl w:val="49F80E8E"/>
    <w:lvl w:ilvl="0" w:tplc="DAF2F616">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9FC0768"/>
    <w:multiLevelType w:val="hybridMultilevel"/>
    <w:tmpl w:val="B68A6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3A93894"/>
    <w:multiLevelType w:val="hybridMultilevel"/>
    <w:tmpl w:val="038A26DE"/>
    <w:lvl w:ilvl="0" w:tplc="74E882EE">
      <w:start w:val="1"/>
      <w:numFmt w:val="decimal"/>
      <w:lvlText w:val="%1."/>
      <w:lvlJc w:val="left"/>
      <w:pPr>
        <w:ind w:left="1065" w:hanging="705"/>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42A0A12"/>
    <w:multiLevelType w:val="hybridMultilevel"/>
    <w:tmpl w:val="3EDAABD6"/>
    <w:lvl w:ilvl="0" w:tplc="240A0017">
      <w:start w:val="1"/>
      <w:numFmt w:val="lowerLetter"/>
      <w:lvlText w:val="%1)"/>
      <w:lvlJc w:val="left"/>
      <w:pPr>
        <w:ind w:left="360" w:hanging="360"/>
      </w:pPr>
    </w:lvl>
    <w:lvl w:ilvl="1" w:tplc="BC208A22">
      <w:start w:val="1"/>
      <w:numFmt w:val="lowerLetter"/>
      <w:lvlText w:val="%2."/>
      <w:lvlJc w:val="left"/>
      <w:pPr>
        <w:ind w:left="1425" w:hanging="705"/>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4A170B7"/>
    <w:multiLevelType w:val="hybridMultilevel"/>
    <w:tmpl w:val="CB889BE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59A3206"/>
    <w:multiLevelType w:val="hybridMultilevel"/>
    <w:tmpl w:val="AA5873A0"/>
    <w:lvl w:ilvl="0" w:tplc="CFB4EC58">
      <w:start w:val="1"/>
      <w:numFmt w:val="lowerLetter"/>
      <w:lvlText w:val="%1."/>
      <w:lvlJc w:val="left"/>
      <w:pPr>
        <w:ind w:left="435" w:hanging="435"/>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26622592"/>
    <w:multiLevelType w:val="hybridMultilevel"/>
    <w:tmpl w:val="756C21D4"/>
    <w:lvl w:ilvl="0" w:tplc="F9DAEC7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6816ED5"/>
    <w:multiLevelType w:val="hybridMultilevel"/>
    <w:tmpl w:val="61846A8E"/>
    <w:lvl w:ilvl="0" w:tplc="0366A9A4">
      <w:start w:val="1"/>
      <w:numFmt w:val="upperRoman"/>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6DE3B4C"/>
    <w:multiLevelType w:val="hybridMultilevel"/>
    <w:tmpl w:val="1780CE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7B628DF"/>
    <w:multiLevelType w:val="hybridMultilevel"/>
    <w:tmpl w:val="55F4DD50"/>
    <w:lvl w:ilvl="0" w:tplc="DAF2F61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7F4725F"/>
    <w:multiLevelType w:val="hybridMultilevel"/>
    <w:tmpl w:val="E9AAD3B0"/>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7" w15:restartNumberingAfterBreak="0">
    <w:nsid w:val="299B573F"/>
    <w:multiLevelType w:val="hybridMultilevel"/>
    <w:tmpl w:val="DEC49F32"/>
    <w:lvl w:ilvl="0" w:tplc="D7126DA4">
      <w:start w:val="1"/>
      <w:numFmt w:val="decimal"/>
      <w:lvlText w:val="%1."/>
      <w:lvlJc w:val="left"/>
      <w:pPr>
        <w:ind w:left="1065" w:hanging="705"/>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27B5CEA"/>
    <w:multiLevelType w:val="multilevel"/>
    <w:tmpl w:val="A9D0F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5791D3C"/>
    <w:multiLevelType w:val="hybridMultilevel"/>
    <w:tmpl w:val="8AB0EA9C"/>
    <w:lvl w:ilvl="0" w:tplc="07B4CEE8">
      <w:start w:val="1"/>
      <w:numFmt w:val="upperRoman"/>
      <w:lvlText w:val="%1."/>
      <w:lvlJc w:val="right"/>
      <w:pPr>
        <w:ind w:left="720" w:hanging="360"/>
      </w:pPr>
      <w:rPr>
        <w:rFonts w:ascii="Verdana" w:hAnsi="Verdana" w:hint="default"/>
        <w:b/>
        <w:i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7573114"/>
    <w:multiLevelType w:val="hybridMultilevel"/>
    <w:tmpl w:val="26E45F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6F01F75"/>
    <w:multiLevelType w:val="hybridMultilevel"/>
    <w:tmpl w:val="01FA3BE4"/>
    <w:lvl w:ilvl="0" w:tplc="E326B0EC">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81054F5"/>
    <w:multiLevelType w:val="hybridMultilevel"/>
    <w:tmpl w:val="0ED41D0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489967E3"/>
    <w:multiLevelType w:val="hybridMultilevel"/>
    <w:tmpl w:val="BE6EF678"/>
    <w:lvl w:ilvl="0" w:tplc="240A0001">
      <w:start w:val="1"/>
      <w:numFmt w:val="bullet"/>
      <w:lvlText w:val=""/>
      <w:lvlJc w:val="left"/>
      <w:pPr>
        <w:ind w:left="360" w:hanging="360"/>
      </w:pPr>
      <w:rPr>
        <w:rFonts w:ascii="Symbol" w:hAnsi="Symbol" w:hint="default"/>
      </w:rPr>
    </w:lvl>
    <w:lvl w:ilvl="1" w:tplc="2156546C">
      <w:numFmt w:val="bullet"/>
      <w:lvlText w:val="•"/>
      <w:lvlJc w:val="left"/>
      <w:pPr>
        <w:ind w:left="1425" w:hanging="705"/>
      </w:pPr>
      <w:rPr>
        <w:rFonts w:ascii="Verdana" w:eastAsia="Times New Roman" w:hAnsi="Verdana"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49BB4872"/>
    <w:multiLevelType w:val="hybridMultilevel"/>
    <w:tmpl w:val="C80C16B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B1C366D"/>
    <w:multiLevelType w:val="hybridMultilevel"/>
    <w:tmpl w:val="0680A0BA"/>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4B682085"/>
    <w:multiLevelType w:val="hybridMultilevel"/>
    <w:tmpl w:val="F4E82BCC"/>
    <w:lvl w:ilvl="0" w:tplc="07B4CEE8">
      <w:start w:val="1"/>
      <w:numFmt w:val="upperRoman"/>
      <w:lvlText w:val="%1."/>
      <w:lvlJc w:val="right"/>
      <w:pPr>
        <w:ind w:left="360" w:hanging="360"/>
      </w:pPr>
      <w:rPr>
        <w:rFonts w:ascii="Verdana" w:hAnsi="Verdana" w:hint="default"/>
        <w:b/>
        <w:i w:val="0"/>
        <w:sz w:val="24"/>
        <w:szCs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4BC3444A"/>
    <w:multiLevelType w:val="hybridMultilevel"/>
    <w:tmpl w:val="6CFEA710"/>
    <w:lvl w:ilvl="0" w:tplc="A808D824">
      <w:start w:val="1"/>
      <w:numFmt w:val="lowerLetter"/>
      <w:lvlText w:val="%1."/>
      <w:lvlJc w:val="left"/>
      <w:pPr>
        <w:ind w:left="465" w:hanging="46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4D3B1CE4"/>
    <w:multiLevelType w:val="hybridMultilevel"/>
    <w:tmpl w:val="ACD6052A"/>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4DE349D7"/>
    <w:multiLevelType w:val="hybridMultilevel"/>
    <w:tmpl w:val="0DACE586"/>
    <w:lvl w:ilvl="0" w:tplc="73BC71EC">
      <w:start w:val="1"/>
      <w:numFmt w:val="lowerLetter"/>
      <w:lvlText w:val="%1."/>
      <w:lvlJc w:val="left"/>
      <w:pPr>
        <w:ind w:left="405" w:hanging="4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50A505F1"/>
    <w:multiLevelType w:val="hybridMultilevel"/>
    <w:tmpl w:val="48C067F4"/>
    <w:lvl w:ilvl="0" w:tplc="07B4CEE8">
      <w:start w:val="1"/>
      <w:numFmt w:val="upperRoman"/>
      <w:lvlText w:val="%1."/>
      <w:lvlJc w:val="right"/>
      <w:pPr>
        <w:ind w:left="720" w:hanging="360"/>
      </w:pPr>
      <w:rPr>
        <w:rFonts w:ascii="Verdana" w:hAnsi="Verdana" w:hint="default"/>
        <w:b/>
        <w:i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2F07BB0"/>
    <w:multiLevelType w:val="hybridMultilevel"/>
    <w:tmpl w:val="B2A27B0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4394805"/>
    <w:multiLevelType w:val="hybridMultilevel"/>
    <w:tmpl w:val="35A42E96"/>
    <w:lvl w:ilvl="0" w:tplc="3B9C1E06">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65D029F"/>
    <w:multiLevelType w:val="hybridMultilevel"/>
    <w:tmpl w:val="4B3ED7B8"/>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5E105D70"/>
    <w:multiLevelType w:val="hybridMultilevel"/>
    <w:tmpl w:val="1FB0E45A"/>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5E6923BA"/>
    <w:multiLevelType w:val="hybridMultilevel"/>
    <w:tmpl w:val="84A6782E"/>
    <w:lvl w:ilvl="0" w:tplc="5D68BAFA">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EFA7A9A"/>
    <w:multiLevelType w:val="hybridMultilevel"/>
    <w:tmpl w:val="80E8E9FC"/>
    <w:lvl w:ilvl="0" w:tplc="D7126DA4">
      <w:start w:val="1"/>
      <w:numFmt w:val="decimal"/>
      <w:lvlText w:val="%1."/>
      <w:lvlJc w:val="left"/>
      <w:pPr>
        <w:ind w:left="1065" w:hanging="705"/>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0266EED"/>
    <w:multiLevelType w:val="hybridMultilevel"/>
    <w:tmpl w:val="5C2A3834"/>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606955C9"/>
    <w:multiLevelType w:val="hybridMultilevel"/>
    <w:tmpl w:val="0114CE0A"/>
    <w:lvl w:ilvl="0" w:tplc="32A092B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4304F02"/>
    <w:multiLevelType w:val="hybridMultilevel"/>
    <w:tmpl w:val="73D8B84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56D4B53"/>
    <w:multiLevelType w:val="hybridMultilevel"/>
    <w:tmpl w:val="9EC8E0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57D375C"/>
    <w:multiLevelType w:val="multilevel"/>
    <w:tmpl w:val="085CF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70F7CA1"/>
    <w:multiLevelType w:val="hybridMultilevel"/>
    <w:tmpl w:val="DD26A4B8"/>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0F00425"/>
    <w:multiLevelType w:val="hybridMultilevel"/>
    <w:tmpl w:val="8710F554"/>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4" w15:restartNumberingAfterBreak="0">
    <w:nsid w:val="71B2169B"/>
    <w:multiLevelType w:val="hybridMultilevel"/>
    <w:tmpl w:val="E724CF0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5" w15:restartNumberingAfterBreak="0">
    <w:nsid w:val="73A26182"/>
    <w:multiLevelType w:val="hybridMultilevel"/>
    <w:tmpl w:val="17A474E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49E1682"/>
    <w:multiLevelType w:val="hybridMultilevel"/>
    <w:tmpl w:val="718EF254"/>
    <w:lvl w:ilvl="0" w:tplc="0366A9A4">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6770B30"/>
    <w:multiLevelType w:val="hybridMultilevel"/>
    <w:tmpl w:val="6B3E96F0"/>
    <w:lvl w:ilvl="0" w:tplc="DE2A7E4E">
      <w:start w:val="5"/>
      <w:numFmt w:val="bullet"/>
      <w:lvlText w:val=""/>
      <w:lvlJc w:val="left"/>
      <w:pPr>
        <w:ind w:left="720" w:hanging="360"/>
      </w:pPr>
      <w:rPr>
        <w:rFonts w:ascii="Symbol" w:eastAsiaTheme="minorHAnsi" w:hAnsi="Symbol" w:cstheme="minorBidi"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7B0412A9"/>
    <w:multiLevelType w:val="hybridMultilevel"/>
    <w:tmpl w:val="F2D6C444"/>
    <w:lvl w:ilvl="0" w:tplc="BCFEF0FE">
      <w:start w:val="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20"/>
  </w:num>
  <w:num w:numId="4">
    <w:abstractNumId w:val="39"/>
  </w:num>
  <w:num w:numId="5">
    <w:abstractNumId w:val="43"/>
  </w:num>
  <w:num w:numId="6">
    <w:abstractNumId w:val="47"/>
  </w:num>
  <w:num w:numId="7">
    <w:abstractNumId w:val="26"/>
  </w:num>
  <w:num w:numId="8">
    <w:abstractNumId w:val="14"/>
  </w:num>
  <w:num w:numId="9">
    <w:abstractNumId w:val="42"/>
  </w:num>
  <w:num w:numId="10">
    <w:abstractNumId w:val="21"/>
  </w:num>
  <w:num w:numId="11">
    <w:abstractNumId w:val="9"/>
  </w:num>
  <w:num w:numId="12">
    <w:abstractNumId w:val="32"/>
  </w:num>
  <w:num w:numId="13">
    <w:abstractNumId w:val="2"/>
  </w:num>
  <w:num w:numId="14">
    <w:abstractNumId w:val="31"/>
  </w:num>
  <w:num w:numId="15">
    <w:abstractNumId w:val="13"/>
  </w:num>
  <w:num w:numId="16">
    <w:abstractNumId w:val="19"/>
  </w:num>
  <w:num w:numId="17">
    <w:abstractNumId w:val="30"/>
  </w:num>
  <w:num w:numId="18">
    <w:abstractNumId w:val="40"/>
  </w:num>
  <w:num w:numId="19">
    <w:abstractNumId w:val="46"/>
  </w:num>
  <w:num w:numId="20">
    <w:abstractNumId w:val="3"/>
  </w:num>
  <w:num w:numId="21">
    <w:abstractNumId w:val="4"/>
  </w:num>
  <w:num w:numId="22">
    <w:abstractNumId w:val="15"/>
  </w:num>
  <w:num w:numId="23">
    <w:abstractNumId w:val="44"/>
  </w:num>
  <w:num w:numId="24">
    <w:abstractNumId w:val="23"/>
  </w:num>
  <w:num w:numId="25">
    <w:abstractNumId w:val="10"/>
  </w:num>
  <w:num w:numId="26">
    <w:abstractNumId w:val="5"/>
  </w:num>
  <w:num w:numId="27">
    <w:abstractNumId w:val="25"/>
  </w:num>
  <w:num w:numId="28">
    <w:abstractNumId w:val="37"/>
  </w:num>
  <w:num w:numId="29">
    <w:abstractNumId w:val="28"/>
  </w:num>
  <w:num w:numId="30">
    <w:abstractNumId w:val="27"/>
  </w:num>
  <w:num w:numId="31">
    <w:abstractNumId w:val="24"/>
  </w:num>
  <w:num w:numId="32">
    <w:abstractNumId w:val="1"/>
  </w:num>
  <w:num w:numId="33">
    <w:abstractNumId w:val="29"/>
  </w:num>
  <w:num w:numId="34">
    <w:abstractNumId w:val="33"/>
  </w:num>
  <w:num w:numId="35">
    <w:abstractNumId w:val="34"/>
  </w:num>
  <w:num w:numId="36">
    <w:abstractNumId w:val="22"/>
  </w:num>
  <w:num w:numId="37">
    <w:abstractNumId w:val="16"/>
  </w:num>
  <w:num w:numId="38">
    <w:abstractNumId w:val="35"/>
  </w:num>
  <w:num w:numId="39">
    <w:abstractNumId w:val="12"/>
  </w:num>
  <w:num w:numId="40">
    <w:abstractNumId w:val="17"/>
  </w:num>
  <w:num w:numId="41">
    <w:abstractNumId w:val="36"/>
  </w:num>
  <w:num w:numId="42">
    <w:abstractNumId w:val="45"/>
  </w:num>
  <w:num w:numId="43">
    <w:abstractNumId w:val="8"/>
  </w:num>
  <w:num w:numId="44">
    <w:abstractNumId w:val="0"/>
  </w:num>
  <w:num w:numId="45">
    <w:abstractNumId w:val="48"/>
  </w:num>
  <w:num w:numId="46">
    <w:abstractNumId w:val="38"/>
  </w:num>
  <w:num w:numId="47">
    <w:abstractNumId w:val="18"/>
  </w:num>
  <w:num w:numId="48">
    <w:abstractNumId w:val="41"/>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DC6"/>
    <w:rsid w:val="00002C61"/>
    <w:rsid w:val="000030D9"/>
    <w:rsid w:val="00007D9B"/>
    <w:rsid w:val="00014873"/>
    <w:rsid w:val="00032625"/>
    <w:rsid w:val="000346EA"/>
    <w:rsid w:val="00043162"/>
    <w:rsid w:val="00044A62"/>
    <w:rsid w:val="0004659E"/>
    <w:rsid w:val="00046BC0"/>
    <w:rsid w:val="00065E74"/>
    <w:rsid w:val="000720B0"/>
    <w:rsid w:val="00074A13"/>
    <w:rsid w:val="00077617"/>
    <w:rsid w:val="000818D7"/>
    <w:rsid w:val="00090D1B"/>
    <w:rsid w:val="000A3F7E"/>
    <w:rsid w:val="000A6691"/>
    <w:rsid w:val="000A6F67"/>
    <w:rsid w:val="000A7B4B"/>
    <w:rsid w:val="000C1128"/>
    <w:rsid w:val="000D26B2"/>
    <w:rsid w:val="000D2A26"/>
    <w:rsid w:val="000E0B6C"/>
    <w:rsid w:val="000E0B77"/>
    <w:rsid w:val="000E15D6"/>
    <w:rsid w:val="000F0AB4"/>
    <w:rsid w:val="000F379C"/>
    <w:rsid w:val="001015CB"/>
    <w:rsid w:val="00106FBB"/>
    <w:rsid w:val="00120F54"/>
    <w:rsid w:val="00131007"/>
    <w:rsid w:val="00131EDE"/>
    <w:rsid w:val="00142751"/>
    <w:rsid w:val="00143C6F"/>
    <w:rsid w:val="00147889"/>
    <w:rsid w:val="00157CFD"/>
    <w:rsid w:val="001617AB"/>
    <w:rsid w:val="0016440F"/>
    <w:rsid w:val="00181733"/>
    <w:rsid w:val="00187726"/>
    <w:rsid w:val="00192FD6"/>
    <w:rsid w:val="001A0EE4"/>
    <w:rsid w:val="001B0280"/>
    <w:rsid w:val="001B50E9"/>
    <w:rsid w:val="001B5ECD"/>
    <w:rsid w:val="001B7595"/>
    <w:rsid w:val="001C08E2"/>
    <w:rsid w:val="001C5DC6"/>
    <w:rsid w:val="001D64C1"/>
    <w:rsid w:val="001D7734"/>
    <w:rsid w:val="001E1BE8"/>
    <w:rsid w:val="001E6C5B"/>
    <w:rsid w:val="00205AB1"/>
    <w:rsid w:val="0022557C"/>
    <w:rsid w:val="0023363C"/>
    <w:rsid w:val="00234E49"/>
    <w:rsid w:val="002360FA"/>
    <w:rsid w:val="00236707"/>
    <w:rsid w:val="00236868"/>
    <w:rsid w:val="00243443"/>
    <w:rsid w:val="00245D0F"/>
    <w:rsid w:val="00250D44"/>
    <w:rsid w:val="00251FA4"/>
    <w:rsid w:val="00253095"/>
    <w:rsid w:val="00253442"/>
    <w:rsid w:val="00267A9D"/>
    <w:rsid w:val="00274F28"/>
    <w:rsid w:val="002754BC"/>
    <w:rsid w:val="002A1346"/>
    <w:rsid w:val="002A2BD9"/>
    <w:rsid w:val="002B1CD6"/>
    <w:rsid w:val="002B5157"/>
    <w:rsid w:val="002B59F3"/>
    <w:rsid w:val="002D4133"/>
    <w:rsid w:val="002D47C4"/>
    <w:rsid w:val="002D6F29"/>
    <w:rsid w:val="002E34F1"/>
    <w:rsid w:val="002E5577"/>
    <w:rsid w:val="002F109C"/>
    <w:rsid w:val="002F2442"/>
    <w:rsid w:val="002F4D57"/>
    <w:rsid w:val="003006DD"/>
    <w:rsid w:val="0030246D"/>
    <w:rsid w:val="003039BE"/>
    <w:rsid w:val="00310A10"/>
    <w:rsid w:val="00310FA1"/>
    <w:rsid w:val="00314D46"/>
    <w:rsid w:val="00322B48"/>
    <w:rsid w:val="00325BB1"/>
    <w:rsid w:val="003312B7"/>
    <w:rsid w:val="00332B12"/>
    <w:rsid w:val="00333EA4"/>
    <w:rsid w:val="0035041D"/>
    <w:rsid w:val="00351BC3"/>
    <w:rsid w:val="0035312E"/>
    <w:rsid w:val="00354E3A"/>
    <w:rsid w:val="00360C11"/>
    <w:rsid w:val="00365B0C"/>
    <w:rsid w:val="003663C3"/>
    <w:rsid w:val="00372057"/>
    <w:rsid w:val="00376EDB"/>
    <w:rsid w:val="0038500E"/>
    <w:rsid w:val="00386FAF"/>
    <w:rsid w:val="003878E5"/>
    <w:rsid w:val="00392028"/>
    <w:rsid w:val="00396245"/>
    <w:rsid w:val="003A2E22"/>
    <w:rsid w:val="003A31A9"/>
    <w:rsid w:val="003A3305"/>
    <w:rsid w:val="003B0884"/>
    <w:rsid w:val="003B4242"/>
    <w:rsid w:val="003B561F"/>
    <w:rsid w:val="003C05F5"/>
    <w:rsid w:val="003C2765"/>
    <w:rsid w:val="003D0C83"/>
    <w:rsid w:val="003D78B5"/>
    <w:rsid w:val="003E14C5"/>
    <w:rsid w:val="003E217F"/>
    <w:rsid w:val="003E547B"/>
    <w:rsid w:val="003F099F"/>
    <w:rsid w:val="004057CB"/>
    <w:rsid w:val="004073CF"/>
    <w:rsid w:val="00411405"/>
    <w:rsid w:val="0041481F"/>
    <w:rsid w:val="00421C7D"/>
    <w:rsid w:val="0042265C"/>
    <w:rsid w:val="00427FB4"/>
    <w:rsid w:val="00431103"/>
    <w:rsid w:val="0043175C"/>
    <w:rsid w:val="00432502"/>
    <w:rsid w:val="00437101"/>
    <w:rsid w:val="0043763B"/>
    <w:rsid w:val="004404C3"/>
    <w:rsid w:val="00451A6B"/>
    <w:rsid w:val="004613AE"/>
    <w:rsid w:val="00466D34"/>
    <w:rsid w:val="0048594E"/>
    <w:rsid w:val="00487D13"/>
    <w:rsid w:val="00487D40"/>
    <w:rsid w:val="004A77FE"/>
    <w:rsid w:val="004B0D5E"/>
    <w:rsid w:val="004B135D"/>
    <w:rsid w:val="004B1ED8"/>
    <w:rsid w:val="004C3E0A"/>
    <w:rsid w:val="004E0CC4"/>
    <w:rsid w:val="004E376E"/>
    <w:rsid w:val="004F1754"/>
    <w:rsid w:val="004F250A"/>
    <w:rsid w:val="004F52BF"/>
    <w:rsid w:val="00500021"/>
    <w:rsid w:val="00502162"/>
    <w:rsid w:val="00512A3E"/>
    <w:rsid w:val="005133DF"/>
    <w:rsid w:val="00513835"/>
    <w:rsid w:val="005158AD"/>
    <w:rsid w:val="005179E5"/>
    <w:rsid w:val="00523FD2"/>
    <w:rsid w:val="00525BC7"/>
    <w:rsid w:val="00531B9D"/>
    <w:rsid w:val="00551271"/>
    <w:rsid w:val="00551426"/>
    <w:rsid w:val="00552F48"/>
    <w:rsid w:val="005564AA"/>
    <w:rsid w:val="00556528"/>
    <w:rsid w:val="005578A4"/>
    <w:rsid w:val="005606D9"/>
    <w:rsid w:val="00560EA8"/>
    <w:rsid w:val="00561D0F"/>
    <w:rsid w:val="00567AEF"/>
    <w:rsid w:val="00577574"/>
    <w:rsid w:val="00581EA0"/>
    <w:rsid w:val="005836AE"/>
    <w:rsid w:val="005921DD"/>
    <w:rsid w:val="005A51F9"/>
    <w:rsid w:val="005A5867"/>
    <w:rsid w:val="005B70E7"/>
    <w:rsid w:val="005C6E01"/>
    <w:rsid w:val="005E24E1"/>
    <w:rsid w:val="005F6363"/>
    <w:rsid w:val="005F6815"/>
    <w:rsid w:val="005F6A05"/>
    <w:rsid w:val="006024C9"/>
    <w:rsid w:val="006031ED"/>
    <w:rsid w:val="0061024D"/>
    <w:rsid w:val="00614CAA"/>
    <w:rsid w:val="00622791"/>
    <w:rsid w:val="00622F83"/>
    <w:rsid w:val="00623CAB"/>
    <w:rsid w:val="00624075"/>
    <w:rsid w:val="00624428"/>
    <w:rsid w:val="0062480A"/>
    <w:rsid w:val="0063571C"/>
    <w:rsid w:val="00641290"/>
    <w:rsid w:val="006415AE"/>
    <w:rsid w:val="0064491F"/>
    <w:rsid w:val="00645F08"/>
    <w:rsid w:val="00665559"/>
    <w:rsid w:val="0066632C"/>
    <w:rsid w:val="00671DCC"/>
    <w:rsid w:val="00695854"/>
    <w:rsid w:val="0069618C"/>
    <w:rsid w:val="006A4B5E"/>
    <w:rsid w:val="006A6478"/>
    <w:rsid w:val="006B69CD"/>
    <w:rsid w:val="006D0B4A"/>
    <w:rsid w:val="006D136D"/>
    <w:rsid w:val="006D4BE2"/>
    <w:rsid w:val="006D67F7"/>
    <w:rsid w:val="006E06F4"/>
    <w:rsid w:val="006F11CF"/>
    <w:rsid w:val="00700F2F"/>
    <w:rsid w:val="0070386D"/>
    <w:rsid w:val="007128FB"/>
    <w:rsid w:val="0071404E"/>
    <w:rsid w:val="00716C59"/>
    <w:rsid w:val="0073415B"/>
    <w:rsid w:val="00736DB2"/>
    <w:rsid w:val="00737F41"/>
    <w:rsid w:val="00742336"/>
    <w:rsid w:val="0074563C"/>
    <w:rsid w:val="00750324"/>
    <w:rsid w:val="00762D57"/>
    <w:rsid w:val="00771ED5"/>
    <w:rsid w:val="00775A6D"/>
    <w:rsid w:val="007769B7"/>
    <w:rsid w:val="00777A79"/>
    <w:rsid w:val="007943E8"/>
    <w:rsid w:val="00795BC8"/>
    <w:rsid w:val="00795E60"/>
    <w:rsid w:val="007A355F"/>
    <w:rsid w:val="007C00E2"/>
    <w:rsid w:val="007C47DD"/>
    <w:rsid w:val="007C5FE8"/>
    <w:rsid w:val="007D2C3C"/>
    <w:rsid w:val="007D2DFF"/>
    <w:rsid w:val="007D4691"/>
    <w:rsid w:val="007D7116"/>
    <w:rsid w:val="007E0C91"/>
    <w:rsid w:val="007F0C55"/>
    <w:rsid w:val="008058A8"/>
    <w:rsid w:val="00817D76"/>
    <w:rsid w:val="00823BF4"/>
    <w:rsid w:val="00824F7A"/>
    <w:rsid w:val="0082596F"/>
    <w:rsid w:val="008433E0"/>
    <w:rsid w:val="00845253"/>
    <w:rsid w:val="00845A9A"/>
    <w:rsid w:val="008620F9"/>
    <w:rsid w:val="00876661"/>
    <w:rsid w:val="008778F9"/>
    <w:rsid w:val="008818F5"/>
    <w:rsid w:val="00884474"/>
    <w:rsid w:val="00885ADB"/>
    <w:rsid w:val="00887CBE"/>
    <w:rsid w:val="00894DC1"/>
    <w:rsid w:val="008B3988"/>
    <w:rsid w:val="008B5389"/>
    <w:rsid w:val="008B57CB"/>
    <w:rsid w:val="008D0994"/>
    <w:rsid w:val="008D1ED5"/>
    <w:rsid w:val="008D204E"/>
    <w:rsid w:val="008F1E9A"/>
    <w:rsid w:val="00902688"/>
    <w:rsid w:val="00904A55"/>
    <w:rsid w:val="009173BB"/>
    <w:rsid w:val="00917A1D"/>
    <w:rsid w:val="00920FB0"/>
    <w:rsid w:val="009271DC"/>
    <w:rsid w:val="009350E0"/>
    <w:rsid w:val="00936F19"/>
    <w:rsid w:val="0094386E"/>
    <w:rsid w:val="00943CCA"/>
    <w:rsid w:val="0095501C"/>
    <w:rsid w:val="00963DCE"/>
    <w:rsid w:val="00971827"/>
    <w:rsid w:val="00973AD3"/>
    <w:rsid w:val="00975B68"/>
    <w:rsid w:val="009846E1"/>
    <w:rsid w:val="00992239"/>
    <w:rsid w:val="00995DED"/>
    <w:rsid w:val="009B1BC4"/>
    <w:rsid w:val="009B37E4"/>
    <w:rsid w:val="009C1B96"/>
    <w:rsid w:val="009C6D64"/>
    <w:rsid w:val="009D282B"/>
    <w:rsid w:val="009E1D23"/>
    <w:rsid w:val="009E22A2"/>
    <w:rsid w:val="009F014A"/>
    <w:rsid w:val="00A1709C"/>
    <w:rsid w:val="00A21470"/>
    <w:rsid w:val="00A21649"/>
    <w:rsid w:val="00A23BB5"/>
    <w:rsid w:val="00A23F10"/>
    <w:rsid w:val="00A30966"/>
    <w:rsid w:val="00A312F1"/>
    <w:rsid w:val="00A312F7"/>
    <w:rsid w:val="00A42A87"/>
    <w:rsid w:val="00A73874"/>
    <w:rsid w:val="00A73B3B"/>
    <w:rsid w:val="00A82AEA"/>
    <w:rsid w:val="00A87A72"/>
    <w:rsid w:val="00A910C6"/>
    <w:rsid w:val="00A96FB5"/>
    <w:rsid w:val="00AA0D89"/>
    <w:rsid w:val="00AA67EA"/>
    <w:rsid w:val="00AB37CA"/>
    <w:rsid w:val="00AB4198"/>
    <w:rsid w:val="00AC0F32"/>
    <w:rsid w:val="00AC21F6"/>
    <w:rsid w:val="00AC5F7B"/>
    <w:rsid w:val="00AD0D68"/>
    <w:rsid w:val="00AD4D58"/>
    <w:rsid w:val="00AD796D"/>
    <w:rsid w:val="00AE0ABE"/>
    <w:rsid w:val="00AE24FE"/>
    <w:rsid w:val="00AE3920"/>
    <w:rsid w:val="00AE3F22"/>
    <w:rsid w:val="00AE6F00"/>
    <w:rsid w:val="00B00D46"/>
    <w:rsid w:val="00B158CC"/>
    <w:rsid w:val="00B32FFC"/>
    <w:rsid w:val="00B357C4"/>
    <w:rsid w:val="00B37700"/>
    <w:rsid w:val="00B40E72"/>
    <w:rsid w:val="00B460D0"/>
    <w:rsid w:val="00B57202"/>
    <w:rsid w:val="00B6218B"/>
    <w:rsid w:val="00B658D4"/>
    <w:rsid w:val="00B707D8"/>
    <w:rsid w:val="00B77C0E"/>
    <w:rsid w:val="00B82059"/>
    <w:rsid w:val="00B846C6"/>
    <w:rsid w:val="00B85E30"/>
    <w:rsid w:val="00B936F6"/>
    <w:rsid w:val="00B9370A"/>
    <w:rsid w:val="00BB278F"/>
    <w:rsid w:val="00BB56BB"/>
    <w:rsid w:val="00BB6571"/>
    <w:rsid w:val="00BC4C7A"/>
    <w:rsid w:val="00BD0E7F"/>
    <w:rsid w:val="00BD25F7"/>
    <w:rsid w:val="00BE04E6"/>
    <w:rsid w:val="00BE1C1B"/>
    <w:rsid w:val="00BE4B24"/>
    <w:rsid w:val="00BE52BD"/>
    <w:rsid w:val="00BF413F"/>
    <w:rsid w:val="00BF79BE"/>
    <w:rsid w:val="00C037FA"/>
    <w:rsid w:val="00C07CDD"/>
    <w:rsid w:val="00C10BE3"/>
    <w:rsid w:val="00C22B25"/>
    <w:rsid w:val="00C2327C"/>
    <w:rsid w:val="00C247CF"/>
    <w:rsid w:val="00C453F9"/>
    <w:rsid w:val="00C50D96"/>
    <w:rsid w:val="00C52EC3"/>
    <w:rsid w:val="00C6117A"/>
    <w:rsid w:val="00C6334D"/>
    <w:rsid w:val="00C63591"/>
    <w:rsid w:val="00C73064"/>
    <w:rsid w:val="00C73F2A"/>
    <w:rsid w:val="00C764D1"/>
    <w:rsid w:val="00C76DED"/>
    <w:rsid w:val="00CB0079"/>
    <w:rsid w:val="00CB4CC6"/>
    <w:rsid w:val="00CD00E4"/>
    <w:rsid w:val="00CD06C4"/>
    <w:rsid w:val="00CD57BE"/>
    <w:rsid w:val="00CE1B2F"/>
    <w:rsid w:val="00CF7338"/>
    <w:rsid w:val="00CF78C2"/>
    <w:rsid w:val="00D00336"/>
    <w:rsid w:val="00D01B25"/>
    <w:rsid w:val="00D04964"/>
    <w:rsid w:val="00D07C6E"/>
    <w:rsid w:val="00D2105A"/>
    <w:rsid w:val="00D2559D"/>
    <w:rsid w:val="00D31B2C"/>
    <w:rsid w:val="00D3734B"/>
    <w:rsid w:val="00D40C95"/>
    <w:rsid w:val="00D50CDE"/>
    <w:rsid w:val="00D51702"/>
    <w:rsid w:val="00D644BB"/>
    <w:rsid w:val="00D718BC"/>
    <w:rsid w:val="00D8152E"/>
    <w:rsid w:val="00D84C18"/>
    <w:rsid w:val="00DA3A87"/>
    <w:rsid w:val="00DC1B80"/>
    <w:rsid w:val="00DC2E0B"/>
    <w:rsid w:val="00DD7C74"/>
    <w:rsid w:val="00DE0FC3"/>
    <w:rsid w:val="00DE320E"/>
    <w:rsid w:val="00DE45C8"/>
    <w:rsid w:val="00DE7E78"/>
    <w:rsid w:val="00E028E6"/>
    <w:rsid w:val="00E04736"/>
    <w:rsid w:val="00E21765"/>
    <w:rsid w:val="00E24F89"/>
    <w:rsid w:val="00E332B0"/>
    <w:rsid w:val="00E406A3"/>
    <w:rsid w:val="00E408FC"/>
    <w:rsid w:val="00E47262"/>
    <w:rsid w:val="00E47752"/>
    <w:rsid w:val="00E478C9"/>
    <w:rsid w:val="00E528F9"/>
    <w:rsid w:val="00E6564D"/>
    <w:rsid w:val="00E65C91"/>
    <w:rsid w:val="00E70C3E"/>
    <w:rsid w:val="00E95E63"/>
    <w:rsid w:val="00EA2EAC"/>
    <w:rsid w:val="00EA6923"/>
    <w:rsid w:val="00EA6F11"/>
    <w:rsid w:val="00EA7832"/>
    <w:rsid w:val="00EA7BBB"/>
    <w:rsid w:val="00EB19CA"/>
    <w:rsid w:val="00EB65A9"/>
    <w:rsid w:val="00EC069E"/>
    <w:rsid w:val="00ED0659"/>
    <w:rsid w:val="00ED1AE6"/>
    <w:rsid w:val="00EE31A3"/>
    <w:rsid w:val="00EE4860"/>
    <w:rsid w:val="00EF043F"/>
    <w:rsid w:val="00EF1283"/>
    <w:rsid w:val="00EF2243"/>
    <w:rsid w:val="00EF2DB7"/>
    <w:rsid w:val="00F004F8"/>
    <w:rsid w:val="00F021D2"/>
    <w:rsid w:val="00F02C19"/>
    <w:rsid w:val="00F0446F"/>
    <w:rsid w:val="00F07165"/>
    <w:rsid w:val="00F30EB2"/>
    <w:rsid w:val="00F55BEE"/>
    <w:rsid w:val="00F6291C"/>
    <w:rsid w:val="00F86621"/>
    <w:rsid w:val="00F94BFE"/>
    <w:rsid w:val="00FA0936"/>
    <w:rsid w:val="00FA0B06"/>
    <w:rsid w:val="00FC015F"/>
    <w:rsid w:val="00FC21D1"/>
    <w:rsid w:val="00FC6EAD"/>
    <w:rsid w:val="00FD02CB"/>
    <w:rsid w:val="00FD4F04"/>
    <w:rsid w:val="00FD70CA"/>
    <w:rsid w:val="00FD7D51"/>
    <w:rsid w:val="00FF011E"/>
    <w:rsid w:val="00FF14BF"/>
    <w:rsid w:val="00FF390D"/>
    <w:rsid w:val="00FF6C0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0A1B5"/>
  <w15:docId w15:val="{DA845313-DF30-4A6B-BE78-CB0F1A9A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DC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95BC8"/>
    <w:pPr>
      <w:ind w:left="720"/>
      <w:contextualSpacing/>
    </w:pPr>
  </w:style>
  <w:style w:type="character" w:styleId="Refdecomentario">
    <w:name w:val="annotation reference"/>
    <w:basedOn w:val="Fuentedeprrafopredeter"/>
    <w:uiPriority w:val="99"/>
    <w:semiHidden/>
    <w:unhideWhenUsed/>
    <w:rsid w:val="0004659E"/>
    <w:rPr>
      <w:sz w:val="16"/>
      <w:szCs w:val="16"/>
    </w:rPr>
  </w:style>
  <w:style w:type="paragraph" w:styleId="Textocomentario">
    <w:name w:val="annotation text"/>
    <w:basedOn w:val="Normal"/>
    <w:link w:val="TextocomentarioCar"/>
    <w:uiPriority w:val="99"/>
    <w:unhideWhenUsed/>
    <w:rsid w:val="0004659E"/>
    <w:pPr>
      <w:spacing w:line="240" w:lineRule="auto"/>
    </w:pPr>
    <w:rPr>
      <w:sz w:val="20"/>
      <w:szCs w:val="20"/>
    </w:rPr>
  </w:style>
  <w:style w:type="character" w:customStyle="1" w:styleId="TextocomentarioCar">
    <w:name w:val="Texto comentario Car"/>
    <w:basedOn w:val="Fuentedeprrafopredeter"/>
    <w:link w:val="Textocomentario"/>
    <w:uiPriority w:val="99"/>
    <w:rsid w:val="0004659E"/>
    <w:rPr>
      <w:sz w:val="20"/>
      <w:szCs w:val="20"/>
    </w:rPr>
  </w:style>
  <w:style w:type="paragraph" w:styleId="Asuntodelcomentario">
    <w:name w:val="annotation subject"/>
    <w:basedOn w:val="Textocomentario"/>
    <w:next w:val="Textocomentario"/>
    <w:link w:val="AsuntodelcomentarioCar"/>
    <w:uiPriority w:val="99"/>
    <w:semiHidden/>
    <w:unhideWhenUsed/>
    <w:rsid w:val="0004659E"/>
    <w:rPr>
      <w:b/>
      <w:bCs/>
    </w:rPr>
  </w:style>
  <w:style w:type="character" w:customStyle="1" w:styleId="AsuntodelcomentarioCar">
    <w:name w:val="Asunto del comentario Car"/>
    <w:basedOn w:val="TextocomentarioCar"/>
    <w:link w:val="Asuntodelcomentario"/>
    <w:uiPriority w:val="99"/>
    <w:semiHidden/>
    <w:rsid w:val="0004659E"/>
    <w:rPr>
      <w:b/>
      <w:bCs/>
      <w:sz w:val="20"/>
      <w:szCs w:val="20"/>
    </w:rPr>
  </w:style>
  <w:style w:type="paragraph" w:styleId="Textodeglobo">
    <w:name w:val="Balloon Text"/>
    <w:basedOn w:val="Normal"/>
    <w:link w:val="TextodegloboCar"/>
    <w:uiPriority w:val="99"/>
    <w:semiHidden/>
    <w:unhideWhenUsed/>
    <w:rsid w:val="0004659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659E"/>
    <w:rPr>
      <w:rFonts w:ascii="Segoe UI" w:hAnsi="Segoe UI" w:cs="Segoe UI"/>
      <w:sz w:val="18"/>
      <w:szCs w:val="18"/>
    </w:rPr>
  </w:style>
  <w:style w:type="paragraph" w:styleId="Encabezado">
    <w:name w:val="header"/>
    <w:basedOn w:val="Normal"/>
    <w:link w:val="EncabezadoCar"/>
    <w:uiPriority w:val="99"/>
    <w:unhideWhenUsed/>
    <w:rsid w:val="004404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04C3"/>
  </w:style>
  <w:style w:type="paragraph" w:styleId="Piedepgina">
    <w:name w:val="footer"/>
    <w:basedOn w:val="Normal"/>
    <w:link w:val="PiedepginaCar"/>
    <w:uiPriority w:val="99"/>
    <w:unhideWhenUsed/>
    <w:rsid w:val="004404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04C3"/>
  </w:style>
  <w:style w:type="paragraph" w:styleId="Textonotapie">
    <w:name w:val="footnote text"/>
    <w:basedOn w:val="Normal"/>
    <w:link w:val="TextonotapieCar"/>
    <w:uiPriority w:val="99"/>
    <w:semiHidden/>
    <w:unhideWhenUsed/>
    <w:rsid w:val="00AA0D8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A0D89"/>
    <w:rPr>
      <w:sz w:val="20"/>
      <w:szCs w:val="20"/>
    </w:rPr>
  </w:style>
  <w:style w:type="character" w:styleId="Refdenotaalpie">
    <w:name w:val="footnote reference"/>
    <w:basedOn w:val="Fuentedeprrafopredeter"/>
    <w:uiPriority w:val="99"/>
    <w:semiHidden/>
    <w:unhideWhenUsed/>
    <w:rsid w:val="00AA0D89"/>
    <w:rPr>
      <w:vertAlign w:val="superscript"/>
    </w:rPr>
  </w:style>
  <w:style w:type="character" w:styleId="Hipervnculo">
    <w:name w:val="Hyperlink"/>
    <w:basedOn w:val="Fuentedeprrafopredeter"/>
    <w:uiPriority w:val="99"/>
    <w:unhideWhenUsed/>
    <w:rsid w:val="0016440F"/>
    <w:rPr>
      <w:color w:val="0000FF"/>
      <w:u w:val="single"/>
    </w:rPr>
  </w:style>
  <w:style w:type="character" w:styleId="Hipervnculovisitado">
    <w:name w:val="FollowedHyperlink"/>
    <w:basedOn w:val="Fuentedeprrafopredeter"/>
    <w:uiPriority w:val="99"/>
    <w:semiHidden/>
    <w:unhideWhenUsed/>
    <w:rsid w:val="0016440F"/>
    <w:rPr>
      <w:color w:val="954F72" w:themeColor="followedHyperlink"/>
      <w:u w:val="single"/>
    </w:rPr>
  </w:style>
  <w:style w:type="table" w:styleId="Tablaconcuadrcula">
    <w:name w:val="Table Grid"/>
    <w:basedOn w:val="Tablanormal"/>
    <w:uiPriority w:val="39"/>
    <w:rsid w:val="00DC2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5E74"/>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unhideWhenUsed/>
    <w:rsid w:val="005E24E1"/>
    <w:rPr>
      <w:rFonts w:ascii="Times New Roman" w:hAnsi="Times New Roman" w:cs="Times New Roman"/>
      <w:sz w:val="24"/>
      <w:szCs w:val="24"/>
    </w:rPr>
  </w:style>
  <w:style w:type="paragraph" w:styleId="Textoindependiente">
    <w:name w:val="Body Text"/>
    <w:basedOn w:val="Normal"/>
    <w:link w:val="TextoindependienteCar"/>
    <w:uiPriority w:val="1"/>
    <w:qFormat/>
    <w:rsid w:val="00EA7BBB"/>
    <w:pPr>
      <w:widowControl w:val="0"/>
      <w:autoSpaceDE w:val="0"/>
      <w:autoSpaceDN w:val="0"/>
      <w:spacing w:after="0" w:line="240" w:lineRule="auto"/>
    </w:pPr>
    <w:rPr>
      <w:rFonts w:ascii="Arial" w:eastAsia="Arial" w:hAnsi="Arial" w:cs="Arial"/>
      <w:lang w:val="en-US"/>
    </w:rPr>
  </w:style>
  <w:style w:type="character" w:customStyle="1" w:styleId="TextoindependienteCar">
    <w:name w:val="Texto independiente Car"/>
    <w:basedOn w:val="Fuentedeprrafopredeter"/>
    <w:link w:val="Textoindependiente"/>
    <w:uiPriority w:val="1"/>
    <w:rsid w:val="00EA7BBB"/>
    <w:rPr>
      <w:rFonts w:ascii="Arial" w:eastAsia="Arial" w:hAnsi="Arial" w:cs="Arial"/>
      <w:lang w:val="en-US"/>
    </w:rPr>
  </w:style>
  <w:style w:type="character" w:customStyle="1" w:styleId="Mencinsinresolver1">
    <w:name w:val="Mención sin resolver1"/>
    <w:basedOn w:val="Fuentedeprrafopredeter"/>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91736">
      <w:bodyDiv w:val="1"/>
      <w:marLeft w:val="0"/>
      <w:marRight w:val="0"/>
      <w:marTop w:val="0"/>
      <w:marBottom w:val="0"/>
      <w:divBdr>
        <w:top w:val="none" w:sz="0" w:space="0" w:color="auto"/>
        <w:left w:val="none" w:sz="0" w:space="0" w:color="auto"/>
        <w:bottom w:val="none" w:sz="0" w:space="0" w:color="auto"/>
        <w:right w:val="none" w:sz="0" w:space="0" w:color="auto"/>
      </w:divBdr>
    </w:div>
    <w:div w:id="121536206">
      <w:bodyDiv w:val="1"/>
      <w:marLeft w:val="0"/>
      <w:marRight w:val="0"/>
      <w:marTop w:val="0"/>
      <w:marBottom w:val="0"/>
      <w:divBdr>
        <w:top w:val="none" w:sz="0" w:space="0" w:color="auto"/>
        <w:left w:val="none" w:sz="0" w:space="0" w:color="auto"/>
        <w:bottom w:val="none" w:sz="0" w:space="0" w:color="auto"/>
        <w:right w:val="none" w:sz="0" w:space="0" w:color="auto"/>
      </w:divBdr>
    </w:div>
    <w:div w:id="205677225">
      <w:bodyDiv w:val="1"/>
      <w:marLeft w:val="0"/>
      <w:marRight w:val="0"/>
      <w:marTop w:val="0"/>
      <w:marBottom w:val="0"/>
      <w:divBdr>
        <w:top w:val="none" w:sz="0" w:space="0" w:color="auto"/>
        <w:left w:val="none" w:sz="0" w:space="0" w:color="auto"/>
        <w:bottom w:val="none" w:sz="0" w:space="0" w:color="auto"/>
        <w:right w:val="none" w:sz="0" w:space="0" w:color="auto"/>
      </w:divBdr>
      <w:divsChild>
        <w:div w:id="393508439">
          <w:marLeft w:val="0"/>
          <w:marRight w:val="0"/>
          <w:marTop w:val="0"/>
          <w:marBottom w:val="0"/>
          <w:divBdr>
            <w:top w:val="none" w:sz="0" w:space="0" w:color="auto"/>
            <w:left w:val="none" w:sz="0" w:space="0" w:color="auto"/>
            <w:bottom w:val="none" w:sz="0" w:space="0" w:color="auto"/>
            <w:right w:val="none" w:sz="0" w:space="0" w:color="auto"/>
          </w:divBdr>
          <w:divsChild>
            <w:div w:id="416750771">
              <w:marLeft w:val="0"/>
              <w:marRight w:val="0"/>
              <w:marTop w:val="0"/>
              <w:marBottom w:val="0"/>
              <w:divBdr>
                <w:top w:val="none" w:sz="0" w:space="0" w:color="auto"/>
                <w:left w:val="none" w:sz="0" w:space="0" w:color="auto"/>
                <w:bottom w:val="none" w:sz="0" w:space="0" w:color="auto"/>
                <w:right w:val="none" w:sz="0" w:space="0" w:color="auto"/>
              </w:divBdr>
              <w:divsChild>
                <w:div w:id="5500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491547">
      <w:bodyDiv w:val="1"/>
      <w:marLeft w:val="0"/>
      <w:marRight w:val="0"/>
      <w:marTop w:val="0"/>
      <w:marBottom w:val="0"/>
      <w:divBdr>
        <w:top w:val="none" w:sz="0" w:space="0" w:color="auto"/>
        <w:left w:val="none" w:sz="0" w:space="0" w:color="auto"/>
        <w:bottom w:val="none" w:sz="0" w:space="0" w:color="auto"/>
        <w:right w:val="none" w:sz="0" w:space="0" w:color="auto"/>
      </w:divBdr>
      <w:divsChild>
        <w:div w:id="28188838">
          <w:marLeft w:val="0"/>
          <w:marRight w:val="0"/>
          <w:marTop w:val="0"/>
          <w:marBottom w:val="0"/>
          <w:divBdr>
            <w:top w:val="none" w:sz="0" w:space="0" w:color="auto"/>
            <w:left w:val="none" w:sz="0" w:space="0" w:color="auto"/>
            <w:bottom w:val="none" w:sz="0" w:space="0" w:color="auto"/>
            <w:right w:val="none" w:sz="0" w:space="0" w:color="auto"/>
          </w:divBdr>
          <w:divsChild>
            <w:div w:id="466357075">
              <w:marLeft w:val="0"/>
              <w:marRight w:val="0"/>
              <w:marTop w:val="0"/>
              <w:marBottom w:val="0"/>
              <w:divBdr>
                <w:top w:val="none" w:sz="0" w:space="0" w:color="auto"/>
                <w:left w:val="none" w:sz="0" w:space="0" w:color="auto"/>
                <w:bottom w:val="none" w:sz="0" w:space="0" w:color="auto"/>
                <w:right w:val="none" w:sz="0" w:space="0" w:color="auto"/>
              </w:divBdr>
              <w:divsChild>
                <w:div w:id="124730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535099">
      <w:bodyDiv w:val="1"/>
      <w:marLeft w:val="0"/>
      <w:marRight w:val="0"/>
      <w:marTop w:val="0"/>
      <w:marBottom w:val="0"/>
      <w:divBdr>
        <w:top w:val="none" w:sz="0" w:space="0" w:color="auto"/>
        <w:left w:val="none" w:sz="0" w:space="0" w:color="auto"/>
        <w:bottom w:val="none" w:sz="0" w:space="0" w:color="auto"/>
        <w:right w:val="none" w:sz="0" w:space="0" w:color="auto"/>
      </w:divBdr>
      <w:divsChild>
        <w:div w:id="1315136119">
          <w:marLeft w:val="0"/>
          <w:marRight w:val="0"/>
          <w:marTop w:val="0"/>
          <w:marBottom w:val="0"/>
          <w:divBdr>
            <w:top w:val="none" w:sz="0" w:space="0" w:color="auto"/>
            <w:left w:val="none" w:sz="0" w:space="0" w:color="auto"/>
            <w:bottom w:val="none" w:sz="0" w:space="0" w:color="auto"/>
            <w:right w:val="none" w:sz="0" w:space="0" w:color="auto"/>
          </w:divBdr>
          <w:divsChild>
            <w:div w:id="1640723569">
              <w:marLeft w:val="0"/>
              <w:marRight w:val="0"/>
              <w:marTop w:val="0"/>
              <w:marBottom w:val="0"/>
              <w:divBdr>
                <w:top w:val="none" w:sz="0" w:space="0" w:color="auto"/>
                <w:left w:val="none" w:sz="0" w:space="0" w:color="auto"/>
                <w:bottom w:val="none" w:sz="0" w:space="0" w:color="auto"/>
                <w:right w:val="none" w:sz="0" w:space="0" w:color="auto"/>
              </w:divBdr>
              <w:divsChild>
                <w:div w:id="120548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838499">
      <w:bodyDiv w:val="1"/>
      <w:marLeft w:val="0"/>
      <w:marRight w:val="0"/>
      <w:marTop w:val="0"/>
      <w:marBottom w:val="0"/>
      <w:divBdr>
        <w:top w:val="none" w:sz="0" w:space="0" w:color="auto"/>
        <w:left w:val="none" w:sz="0" w:space="0" w:color="auto"/>
        <w:bottom w:val="none" w:sz="0" w:space="0" w:color="auto"/>
        <w:right w:val="none" w:sz="0" w:space="0" w:color="auto"/>
      </w:divBdr>
      <w:divsChild>
        <w:div w:id="328018934">
          <w:marLeft w:val="0"/>
          <w:marRight w:val="0"/>
          <w:marTop w:val="0"/>
          <w:marBottom w:val="0"/>
          <w:divBdr>
            <w:top w:val="none" w:sz="0" w:space="0" w:color="auto"/>
            <w:left w:val="none" w:sz="0" w:space="0" w:color="auto"/>
            <w:bottom w:val="none" w:sz="0" w:space="0" w:color="auto"/>
            <w:right w:val="none" w:sz="0" w:space="0" w:color="auto"/>
          </w:divBdr>
          <w:divsChild>
            <w:div w:id="1570381396">
              <w:marLeft w:val="0"/>
              <w:marRight w:val="0"/>
              <w:marTop w:val="0"/>
              <w:marBottom w:val="0"/>
              <w:divBdr>
                <w:top w:val="none" w:sz="0" w:space="0" w:color="auto"/>
                <w:left w:val="none" w:sz="0" w:space="0" w:color="auto"/>
                <w:bottom w:val="none" w:sz="0" w:space="0" w:color="auto"/>
                <w:right w:val="none" w:sz="0" w:space="0" w:color="auto"/>
              </w:divBdr>
              <w:divsChild>
                <w:div w:id="191890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43134">
      <w:bodyDiv w:val="1"/>
      <w:marLeft w:val="0"/>
      <w:marRight w:val="0"/>
      <w:marTop w:val="0"/>
      <w:marBottom w:val="0"/>
      <w:divBdr>
        <w:top w:val="none" w:sz="0" w:space="0" w:color="auto"/>
        <w:left w:val="none" w:sz="0" w:space="0" w:color="auto"/>
        <w:bottom w:val="none" w:sz="0" w:space="0" w:color="auto"/>
        <w:right w:val="none" w:sz="0" w:space="0" w:color="auto"/>
      </w:divBdr>
    </w:div>
    <w:div w:id="746154467">
      <w:bodyDiv w:val="1"/>
      <w:marLeft w:val="0"/>
      <w:marRight w:val="0"/>
      <w:marTop w:val="0"/>
      <w:marBottom w:val="0"/>
      <w:divBdr>
        <w:top w:val="none" w:sz="0" w:space="0" w:color="auto"/>
        <w:left w:val="none" w:sz="0" w:space="0" w:color="auto"/>
        <w:bottom w:val="none" w:sz="0" w:space="0" w:color="auto"/>
        <w:right w:val="none" w:sz="0" w:space="0" w:color="auto"/>
      </w:divBdr>
      <w:divsChild>
        <w:div w:id="826749363">
          <w:marLeft w:val="0"/>
          <w:marRight w:val="0"/>
          <w:marTop w:val="0"/>
          <w:marBottom w:val="0"/>
          <w:divBdr>
            <w:top w:val="none" w:sz="0" w:space="0" w:color="auto"/>
            <w:left w:val="none" w:sz="0" w:space="0" w:color="auto"/>
            <w:bottom w:val="none" w:sz="0" w:space="0" w:color="auto"/>
            <w:right w:val="none" w:sz="0" w:space="0" w:color="auto"/>
          </w:divBdr>
          <w:divsChild>
            <w:div w:id="2071921739">
              <w:marLeft w:val="0"/>
              <w:marRight w:val="0"/>
              <w:marTop w:val="0"/>
              <w:marBottom w:val="0"/>
              <w:divBdr>
                <w:top w:val="none" w:sz="0" w:space="0" w:color="auto"/>
                <w:left w:val="none" w:sz="0" w:space="0" w:color="auto"/>
                <w:bottom w:val="none" w:sz="0" w:space="0" w:color="auto"/>
                <w:right w:val="none" w:sz="0" w:space="0" w:color="auto"/>
              </w:divBdr>
              <w:divsChild>
                <w:div w:id="132168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36737">
      <w:bodyDiv w:val="1"/>
      <w:marLeft w:val="0"/>
      <w:marRight w:val="0"/>
      <w:marTop w:val="0"/>
      <w:marBottom w:val="0"/>
      <w:divBdr>
        <w:top w:val="none" w:sz="0" w:space="0" w:color="auto"/>
        <w:left w:val="none" w:sz="0" w:space="0" w:color="auto"/>
        <w:bottom w:val="none" w:sz="0" w:space="0" w:color="auto"/>
        <w:right w:val="none" w:sz="0" w:space="0" w:color="auto"/>
      </w:divBdr>
    </w:div>
    <w:div w:id="849754845">
      <w:bodyDiv w:val="1"/>
      <w:marLeft w:val="0"/>
      <w:marRight w:val="0"/>
      <w:marTop w:val="0"/>
      <w:marBottom w:val="0"/>
      <w:divBdr>
        <w:top w:val="none" w:sz="0" w:space="0" w:color="auto"/>
        <w:left w:val="none" w:sz="0" w:space="0" w:color="auto"/>
        <w:bottom w:val="none" w:sz="0" w:space="0" w:color="auto"/>
        <w:right w:val="none" w:sz="0" w:space="0" w:color="auto"/>
      </w:divBdr>
    </w:div>
    <w:div w:id="965163467">
      <w:bodyDiv w:val="1"/>
      <w:marLeft w:val="0"/>
      <w:marRight w:val="0"/>
      <w:marTop w:val="0"/>
      <w:marBottom w:val="0"/>
      <w:divBdr>
        <w:top w:val="none" w:sz="0" w:space="0" w:color="auto"/>
        <w:left w:val="none" w:sz="0" w:space="0" w:color="auto"/>
        <w:bottom w:val="none" w:sz="0" w:space="0" w:color="auto"/>
        <w:right w:val="none" w:sz="0" w:space="0" w:color="auto"/>
      </w:divBdr>
    </w:div>
    <w:div w:id="1019358987">
      <w:bodyDiv w:val="1"/>
      <w:marLeft w:val="0"/>
      <w:marRight w:val="0"/>
      <w:marTop w:val="0"/>
      <w:marBottom w:val="0"/>
      <w:divBdr>
        <w:top w:val="none" w:sz="0" w:space="0" w:color="auto"/>
        <w:left w:val="none" w:sz="0" w:space="0" w:color="auto"/>
        <w:bottom w:val="none" w:sz="0" w:space="0" w:color="auto"/>
        <w:right w:val="none" w:sz="0" w:space="0" w:color="auto"/>
      </w:divBdr>
      <w:divsChild>
        <w:div w:id="984050076">
          <w:marLeft w:val="0"/>
          <w:marRight w:val="0"/>
          <w:marTop w:val="0"/>
          <w:marBottom w:val="0"/>
          <w:divBdr>
            <w:top w:val="none" w:sz="0" w:space="0" w:color="auto"/>
            <w:left w:val="none" w:sz="0" w:space="0" w:color="auto"/>
            <w:bottom w:val="none" w:sz="0" w:space="0" w:color="auto"/>
            <w:right w:val="none" w:sz="0" w:space="0" w:color="auto"/>
          </w:divBdr>
          <w:divsChild>
            <w:div w:id="233858370">
              <w:marLeft w:val="0"/>
              <w:marRight w:val="0"/>
              <w:marTop w:val="0"/>
              <w:marBottom w:val="0"/>
              <w:divBdr>
                <w:top w:val="none" w:sz="0" w:space="0" w:color="auto"/>
                <w:left w:val="none" w:sz="0" w:space="0" w:color="auto"/>
                <w:bottom w:val="none" w:sz="0" w:space="0" w:color="auto"/>
                <w:right w:val="none" w:sz="0" w:space="0" w:color="auto"/>
              </w:divBdr>
              <w:divsChild>
                <w:div w:id="186621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396517">
      <w:bodyDiv w:val="1"/>
      <w:marLeft w:val="0"/>
      <w:marRight w:val="0"/>
      <w:marTop w:val="0"/>
      <w:marBottom w:val="0"/>
      <w:divBdr>
        <w:top w:val="none" w:sz="0" w:space="0" w:color="auto"/>
        <w:left w:val="none" w:sz="0" w:space="0" w:color="auto"/>
        <w:bottom w:val="none" w:sz="0" w:space="0" w:color="auto"/>
        <w:right w:val="none" w:sz="0" w:space="0" w:color="auto"/>
      </w:divBdr>
      <w:divsChild>
        <w:div w:id="1098982908">
          <w:marLeft w:val="0"/>
          <w:marRight w:val="0"/>
          <w:marTop w:val="0"/>
          <w:marBottom w:val="0"/>
          <w:divBdr>
            <w:top w:val="none" w:sz="0" w:space="0" w:color="auto"/>
            <w:left w:val="none" w:sz="0" w:space="0" w:color="auto"/>
            <w:bottom w:val="none" w:sz="0" w:space="0" w:color="auto"/>
            <w:right w:val="none" w:sz="0" w:space="0" w:color="auto"/>
          </w:divBdr>
          <w:divsChild>
            <w:div w:id="1116293924">
              <w:marLeft w:val="0"/>
              <w:marRight w:val="0"/>
              <w:marTop w:val="0"/>
              <w:marBottom w:val="0"/>
              <w:divBdr>
                <w:top w:val="none" w:sz="0" w:space="0" w:color="auto"/>
                <w:left w:val="none" w:sz="0" w:space="0" w:color="auto"/>
                <w:bottom w:val="none" w:sz="0" w:space="0" w:color="auto"/>
                <w:right w:val="none" w:sz="0" w:space="0" w:color="auto"/>
              </w:divBdr>
              <w:divsChild>
                <w:div w:id="4361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579565">
      <w:bodyDiv w:val="1"/>
      <w:marLeft w:val="0"/>
      <w:marRight w:val="0"/>
      <w:marTop w:val="0"/>
      <w:marBottom w:val="0"/>
      <w:divBdr>
        <w:top w:val="none" w:sz="0" w:space="0" w:color="auto"/>
        <w:left w:val="none" w:sz="0" w:space="0" w:color="auto"/>
        <w:bottom w:val="none" w:sz="0" w:space="0" w:color="auto"/>
        <w:right w:val="none" w:sz="0" w:space="0" w:color="auto"/>
      </w:divBdr>
    </w:div>
    <w:div w:id="1167133197">
      <w:bodyDiv w:val="1"/>
      <w:marLeft w:val="0"/>
      <w:marRight w:val="0"/>
      <w:marTop w:val="0"/>
      <w:marBottom w:val="0"/>
      <w:divBdr>
        <w:top w:val="none" w:sz="0" w:space="0" w:color="auto"/>
        <w:left w:val="none" w:sz="0" w:space="0" w:color="auto"/>
        <w:bottom w:val="none" w:sz="0" w:space="0" w:color="auto"/>
        <w:right w:val="none" w:sz="0" w:space="0" w:color="auto"/>
      </w:divBdr>
      <w:divsChild>
        <w:div w:id="1419667672">
          <w:marLeft w:val="0"/>
          <w:marRight w:val="0"/>
          <w:marTop w:val="0"/>
          <w:marBottom w:val="0"/>
          <w:divBdr>
            <w:top w:val="none" w:sz="0" w:space="0" w:color="auto"/>
            <w:left w:val="none" w:sz="0" w:space="0" w:color="auto"/>
            <w:bottom w:val="none" w:sz="0" w:space="0" w:color="auto"/>
            <w:right w:val="none" w:sz="0" w:space="0" w:color="auto"/>
          </w:divBdr>
          <w:divsChild>
            <w:div w:id="1255430886">
              <w:marLeft w:val="0"/>
              <w:marRight w:val="0"/>
              <w:marTop w:val="0"/>
              <w:marBottom w:val="0"/>
              <w:divBdr>
                <w:top w:val="none" w:sz="0" w:space="0" w:color="auto"/>
                <w:left w:val="none" w:sz="0" w:space="0" w:color="auto"/>
                <w:bottom w:val="none" w:sz="0" w:space="0" w:color="auto"/>
                <w:right w:val="none" w:sz="0" w:space="0" w:color="auto"/>
              </w:divBdr>
              <w:divsChild>
                <w:div w:id="15200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27202">
      <w:bodyDiv w:val="1"/>
      <w:marLeft w:val="0"/>
      <w:marRight w:val="0"/>
      <w:marTop w:val="0"/>
      <w:marBottom w:val="0"/>
      <w:divBdr>
        <w:top w:val="none" w:sz="0" w:space="0" w:color="auto"/>
        <w:left w:val="none" w:sz="0" w:space="0" w:color="auto"/>
        <w:bottom w:val="none" w:sz="0" w:space="0" w:color="auto"/>
        <w:right w:val="none" w:sz="0" w:space="0" w:color="auto"/>
      </w:divBdr>
      <w:divsChild>
        <w:div w:id="310599054">
          <w:marLeft w:val="0"/>
          <w:marRight w:val="0"/>
          <w:marTop w:val="0"/>
          <w:marBottom w:val="0"/>
          <w:divBdr>
            <w:top w:val="none" w:sz="0" w:space="0" w:color="auto"/>
            <w:left w:val="none" w:sz="0" w:space="0" w:color="auto"/>
            <w:bottom w:val="none" w:sz="0" w:space="0" w:color="auto"/>
            <w:right w:val="none" w:sz="0" w:space="0" w:color="auto"/>
          </w:divBdr>
          <w:divsChild>
            <w:div w:id="1711108745">
              <w:marLeft w:val="0"/>
              <w:marRight w:val="0"/>
              <w:marTop w:val="0"/>
              <w:marBottom w:val="0"/>
              <w:divBdr>
                <w:top w:val="none" w:sz="0" w:space="0" w:color="auto"/>
                <w:left w:val="none" w:sz="0" w:space="0" w:color="auto"/>
                <w:bottom w:val="none" w:sz="0" w:space="0" w:color="auto"/>
                <w:right w:val="none" w:sz="0" w:space="0" w:color="auto"/>
              </w:divBdr>
              <w:divsChild>
                <w:div w:id="14718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7940">
      <w:bodyDiv w:val="1"/>
      <w:marLeft w:val="0"/>
      <w:marRight w:val="0"/>
      <w:marTop w:val="0"/>
      <w:marBottom w:val="0"/>
      <w:divBdr>
        <w:top w:val="none" w:sz="0" w:space="0" w:color="auto"/>
        <w:left w:val="none" w:sz="0" w:space="0" w:color="auto"/>
        <w:bottom w:val="none" w:sz="0" w:space="0" w:color="auto"/>
        <w:right w:val="none" w:sz="0" w:space="0" w:color="auto"/>
      </w:divBdr>
      <w:divsChild>
        <w:div w:id="1201170534">
          <w:marLeft w:val="0"/>
          <w:marRight w:val="0"/>
          <w:marTop w:val="0"/>
          <w:marBottom w:val="0"/>
          <w:divBdr>
            <w:top w:val="none" w:sz="0" w:space="0" w:color="auto"/>
            <w:left w:val="none" w:sz="0" w:space="0" w:color="auto"/>
            <w:bottom w:val="none" w:sz="0" w:space="0" w:color="auto"/>
            <w:right w:val="none" w:sz="0" w:space="0" w:color="auto"/>
          </w:divBdr>
          <w:divsChild>
            <w:div w:id="347755508">
              <w:marLeft w:val="0"/>
              <w:marRight w:val="0"/>
              <w:marTop w:val="0"/>
              <w:marBottom w:val="0"/>
              <w:divBdr>
                <w:top w:val="none" w:sz="0" w:space="0" w:color="auto"/>
                <w:left w:val="none" w:sz="0" w:space="0" w:color="auto"/>
                <w:bottom w:val="none" w:sz="0" w:space="0" w:color="auto"/>
                <w:right w:val="none" w:sz="0" w:space="0" w:color="auto"/>
              </w:divBdr>
              <w:divsChild>
                <w:div w:id="69854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20530">
      <w:bodyDiv w:val="1"/>
      <w:marLeft w:val="0"/>
      <w:marRight w:val="0"/>
      <w:marTop w:val="0"/>
      <w:marBottom w:val="0"/>
      <w:divBdr>
        <w:top w:val="none" w:sz="0" w:space="0" w:color="auto"/>
        <w:left w:val="none" w:sz="0" w:space="0" w:color="auto"/>
        <w:bottom w:val="none" w:sz="0" w:space="0" w:color="auto"/>
        <w:right w:val="none" w:sz="0" w:space="0" w:color="auto"/>
      </w:divBdr>
      <w:divsChild>
        <w:div w:id="1695576968">
          <w:marLeft w:val="0"/>
          <w:marRight w:val="0"/>
          <w:marTop w:val="0"/>
          <w:marBottom w:val="0"/>
          <w:divBdr>
            <w:top w:val="none" w:sz="0" w:space="0" w:color="auto"/>
            <w:left w:val="none" w:sz="0" w:space="0" w:color="auto"/>
            <w:bottom w:val="none" w:sz="0" w:space="0" w:color="auto"/>
            <w:right w:val="none" w:sz="0" w:space="0" w:color="auto"/>
          </w:divBdr>
          <w:divsChild>
            <w:div w:id="1058019652">
              <w:marLeft w:val="0"/>
              <w:marRight w:val="0"/>
              <w:marTop w:val="0"/>
              <w:marBottom w:val="0"/>
              <w:divBdr>
                <w:top w:val="none" w:sz="0" w:space="0" w:color="auto"/>
                <w:left w:val="none" w:sz="0" w:space="0" w:color="auto"/>
                <w:bottom w:val="none" w:sz="0" w:space="0" w:color="auto"/>
                <w:right w:val="none" w:sz="0" w:space="0" w:color="auto"/>
              </w:divBdr>
              <w:divsChild>
                <w:div w:id="192715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57189">
      <w:bodyDiv w:val="1"/>
      <w:marLeft w:val="0"/>
      <w:marRight w:val="0"/>
      <w:marTop w:val="0"/>
      <w:marBottom w:val="0"/>
      <w:divBdr>
        <w:top w:val="none" w:sz="0" w:space="0" w:color="auto"/>
        <w:left w:val="none" w:sz="0" w:space="0" w:color="auto"/>
        <w:bottom w:val="none" w:sz="0" w:space="0" w:color="auto"/>
        <w:right w:val="none" w:sz="0" w:space="0" w:color="auto"/>
      </w:divBdr>
    </w:div>
    <w:div w:id="1522891616">
      <w:bodyDiv w:val="1"/>
      <w:marLeft w:val="0"/>
      <w:marRight w:val="0"/>
      <w:marTop w:val="0"/>
      <w:marBottom w:val="0"/>
      <w:divBdr>
        <w:top w:val="none" w:sz="0" w:space="0" w:color="auto"/>
        <w:left w:val="none" w:sz="0" w:space="0" w:color="auto"/>
        <w:bottom w:val="none" w:sz="0" w:space="0" w:color="auto"/>
        <w:right w:val="none" w:sz="0" w:space="0" w:color="auto"/>
      </w:divBdr>
      <w:divsChild>
        <w:div w:id="962228408">
          <w:marLeft w:val="0"/>
          <w:marRight w:val="0"/>
          <w:marTop w:val="0"/>
          <w:marBottom w:val="0"/>
          <w:divBdr>
            <w:top w:val="none" w:sz="0" w:space="0" w:color="auto"/>
            <w:left w:val="none" w:sz="0" w:space="0" w:color="auto"/>
            <w:bottom w:val="none" w:sz="0" w:space="0" w:color="auto"/>
            <w:right w:val="none" w:sz="0" w:space="0" w:color="auto"/>
          </w:divBdr>
          <w:divsChild>
            <w:div w:id="630328376">
              <w:marLeft w:val="0"/>
              <w:marRight w:val="0"/>
              <w:marTop w:val="0"/>
              <w:marBottom w:val="0"/>
              <w:divBdr>
                <w:top w:val="none" w:sz="0" w:space="0" w:color="auto"/>
                <w:left w:val="none" w:sz="0" w:space="0" w:color="auto"/>
                <w:bottom w:val="none" w:sz="0" w:space="0" w:color="auto"/>
                <w:right w:val="none" w:sz="0" w:space="0" w:color="auto"/>
              </w:divBdr>
              <w:divsChild>
                <w:div w:id="90232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26734">
      <w:bodyDiv w:val="1"/>
      <w:marLeft w:val="0"/>
      <w:marRight w:val="0"/>
      <w:marTop w:val="0"/>
      <w:marBottom w:val="0"/>
      <w:divBdr>
        <w:top w:val="none" w:sz="0" w:space="0" w:color="auto"/>
        <w:left w:val="none" w:sz="0" w:space="0" w:color="auto"/>
        <w:bottom w:val="none" w:sz="0" w:space="0" w:color="auto"/>
        <w:right w:val="none" w:sz="0" w:space="0" w:color="auto"/>
      </w:divBdr>
      <w:divsChild>
        <w:div w:id="387345999">
          <w:marLeft w:val="0"/>
          <w:marRight w:val="0"/>
          <w:marTop w:val="0"/>
          <w:marBottom w:val="0"/>
          <w:divBdr>
            <w:top w:val="none" w:sz="0" w:space="0" w:color="auto"/>
            <w:left w:val="none" w:sz="0" w:space="0" w:color="auto"/>
            <w:bottom w:val="none" w:sz="0" w:space="0" w:color="auto"/>
            <w:right w:val="none" w:sz="0" w:space="0" w:color="auto"/>
          </w:divBdr>
          <w:divsChild>
            <w:div w:id="1608540754">
              <w:marLeft w:val="0"/>
              <w:marRight w:val="0"/>
              <w:marTop w:val="0"/>
              <w:marBottom w:val="0"/>
              <w:divBdr>
                <w:top w:val="none" w:sz="0" w:space="0" w:color="auto"/>
                <w:left w:val="none" w:sz="0" w:space="0" w:color="auto"/>
                <w:bottom w:val="none" w:sz="0" w:space="0" w:color="auto"/>
                <w:right w:val="none" w:sz="0" w:space="0" w:color="auto"/>
              </w:divBdr>
              <w:divsChild>
                <w:div w:id="169557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83093">
      <w:bodyDiv w:val="1"/>
      <w:marLeft w:val="0"/>
      <w:marRight w:val="0"/>
      <w:marTop w:val="0"/>
      <w:marBottom w:val="0"/>
      <w:divBdr>
        <w:top w:val="none" w:sz="0" w:space="0" w:color="auto"/>
        <w:left w:val="none" w:sz="0" w:space="0" w:color="auto"/>
        <w:bottom w:val="none" w:sz="0" w:space="0" w:color="auto"/>
        <w:right w:val="none" w:sz="0" w:space="0" w:color="auto"/>
      </w:divBdr>
    </w:div>
    <w:div w:id="1988824753">
      <w:bodyDiv w:val="1"/>
      <w:marLeft w:val="0"/>
      <w:marRight w:val="0"/>
      <w:marTop w:val="0"/>
      <w:marBottom w:val="0"/>
      <w:divBdr>
        <w:top w:val="none" w:sz="0" w:space="0" w:color="auto"/>
        <w:left w:val="none" w:sz="0" w:space="0" w:color="auto"/>
        <w:bottom w:val="none" w:sz="0" w:space="0" w:color="auto"/>
        <w:right w:val="none" w:sz="0" w:space="0" w:color="auto"/>
      </w:divBdr>
    </w:div>
    <w:div w:id="2056663349">
      <w:bodyDiv w:val="1"/>
      <w:marLeft w:val="0"/>
      <w:marRight w:val="0"/>
      <w:marTop w:val="0"/>
      <w:marBottom w:val="0"/>
      <w:divBdr>
        <w:top w:val="none" w:sz="0" w:space="0" w:color="auto"/>
        <w:left w:val="none" w:sz="0" w:space="0" w:color="auto"/>
        <w:bottom w:val="none" w:sz="0" w:space="0" w:color="auto"/>
        <w:right w:val="none" w:sz="0" w:space="0" w:color="auto"/>
      </w:divBdr>
      <w:divsChild>
        <w:div w:id="249584890">
          <w:marLeft w:val="0"/>
          <w:marRight w:val="0"/>
          <w:marTop w:val="0"/>
          <w:marBottom w:val="0"/>
          <w:divBdr>
            <w:top w:val="none" w:sz="0" w:space="0" w:color="auto"/>
            <w:left w:val="none" w:sz="0" w:space="0" w:color="auto"/>
            <w:bottom w:val="none" w:sz="0" w:space="0" w:color="auto"/>
            <w:right w:val="none" w:sz="0" w:space="0" w:color="auto"/>
          </w:divBdr>
          <w:divsChild>
            <w:div w:id="1089890532">
              <w:marLeft w:val="0"/>
              <w:marRight w:val="0"/>
              <w:marTop w:val="0"/>
              <w:marBottom w:val="0"/>
              <w:divBdr>
                <w:top w:val="none" w:sz="0" w:space="0" w:color="auto"/>
                <w:left w:val="none" w:sz="0" w:space="0" w:color="auto"/>
                <w:bottom w:val="none" w:sz="0" w:space="0" w:color="auto"/>
                <w:right w:val="none" w:sz="0" w:space="0" w:color="auto"/>
              </w:divBdr>
              <w:divsChild>
                <w:div w:id="39350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11645">
      <w:bodyDiv w:val="1"/>
      <w:marLeft w:val="0"/>
      <w:marRight w:val="0"/>
      <w:marTop w:val="0"/>
      <w:marBottom w:val="0"/>
      <w:divBdr>
        <w:top w:val="none" w:sz="0" w:space="0" w:color="auto"/>
        <w:left w:val="none" w:sz="0" w:space="0" w:color="auto"/>
        <w:bottom w:val="none" w:sz="0" w:space="0" w:color="auto"/>
        <w:right w:val="none" w:sz="0" w:space="0" w:color="auto"/>
      </w:divBdr>
      <w:divsChild>
        <w:div w:id="609507711">
          <w:marLeft w:val="0"/>
          <w:marRight w:val="0"/>
          <w:marTop w:val="0"/>
          <w:marBottom w:val="0"/>
          <w:divBdr>
            <w:top w:val="none" w:sz="0" w:space="0" w:color="auto"/>
            <w:left w:val="none" w:sz="0" w:space="0" w:color="auto"/>
            <w:bottom w:val="none" w:sz="0" w:space="0" w:color="auto"/>
            <w:right w:val="none" w:sz="0" w:space="0" w:color="auto"/>
          </w:divBdr>
          <w:divsChild>
            <w:div w:id="967010312">
              <w:marLeft w:val="0"/>
              <w:marRight w:val="0"/>
              <w:marTop w:val="0"/>
              <w:marBottom w:val="0"/>
              <w:divBdr>
                <w:top w:val="none" w:sz="0" w:space="0" w:color="auto"/>
                <w:left w:val="none" w:sz="0" w:space="0" w:color="auto"/>
                <w:bottom w:val="none" w:sz="0" w:space="0" w:color="auto"/>
                <w:right w:val="none" w:sz="0" w:space="0" w:color="auto"/>
              </w:divBdr>
              <w:divsChild>
                <w:div w:id="13259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28206">
      <w:bodyDiv w:val="1"/>
      <w:marLeft w:val="0"/>
      <w:marRight w:val="0"/>
      <w:marTop w:val="0"/>
      <w:marBottom w:val="0"/>
      <w:divBdr>
        <w:top w:val="none" w:sz="0" w:space="0" w:color="auto"/>
        <w:left w:val="none" w:sz="0" w:space="0" w:color="auto"/>
        <w:bottom w:val="none" w:sz="0" w:space="0" w:color="auto"/>
        <w:right w:val="none" w:sz="0" w:space="0" w:color="auto"/>
      </w:divBdr>
    </w:div>
    <w:div w:id="2134591662">
      <w:bodyDiv w:val="1"/>
      <w:marLeft w:val="0"/>
      <w:marRight w:val="0"/>
      <w:marTop w:val="0"/>
      <w:marBottom w:val="0"/>
      <w:divBdr>
        <w:top w:val="none" w:sz="0" w:space="0" w:color="auto"/>
        <w:left w:val="none" w:sz="0" w:space="0" w:color="auto"/>
        <w:bottom w:val="none" w:sz="0" w:space="0" w:color="auto"/>
        <w:right w:val="none" w:sz="0" w:space="0" w:color="auto"/>
      </w:divBdr>
      <w:divsChild>
        <w:div w:id="1081873629">
          <w:marLeft w:val="0"/>
          <w:marRight w:val="0"/>
          <w:marTop w:val="0"/>
          <w:marBottom w:val="0"/>
          <w:divBdr>
            <w:top w:val="none" w:sz="0" w:space="0" w:color="auto"/>
            <w:left w:val="none" w:sz="0" w:space="0" w:color="auto"/>
            <w:bottom w:val="none" w:sz="0" w:space="0" w:color="auto"/>
            <w:right w:val="none" w:sz="0" w:space="0" w:color="auto"/>
          </w:divBdr>
          <w:divsChild>
            <w:div w:id="873923422">
              <w:marLeft w:val="0"/>
              <w:marRight w:val="0"/>
              <w:marTop w:val="0"/>
              <w:marBottom w:val="0"/>
              <w:divBdr>
                <w:top w:val="none" w:sz="0" w:space="0" w:color="auto"/>
                <w:left w:val="none" w:sz="0" w:space="0" w:color="auto"/>
                <w:bottom w:val="none" w:sz="0" w:space="0" w:color="auto"/>
                <w:right w:val="none" w:sz="0" w:space="0" w:color="auto"/>
              </w:divBdr>
              <w:divsChild>
                <w:div w:id="207515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epal.org/es/enfoques/malnutricion-ninos-ninas-america-latina-caribe" TargetMode="External"/><Relationship Id="rId18" Type="http://schemas.openxmlformats.org/officeDocument/2006/relationships/hyperlink" Target="https://www.icbf.gov.co/bienestar/nutricion/encuesta-nacional-situacion-nutriciona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cbf.gov.co/ser-papas/senales-de-alerta-de-la-desnutricion-infantil" TargetMode="External"/><Relationship Id="rId17" Type="http://schemas.openxmlformats.org/officeDocument/2006/relationships/hyperlink" Target="https://www.icbf.gov.co/bienestar/nutricion/encuesta-nacional-situacion-nutricional" TargetMode="External"/><Relationship Id="rId2" Type="http://schemas.openxmlformats.org/officeDocument/2006/relationships/numbering" Target="numbering.xml"/><Relationship Id="rId16" Type="http://schemas.openxmlformats.org/officeDocument/2006/relationships/hyperlink" Target="https://www.who.int/es/news-room/fact-sheets/detail/malnutri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bf.gov.co/ser-papas/senales-de-alerta-de-la-desnutricion-infantil" TargetMode="External"/><Relationship Id="rId5" Type="http://schemas.openxmlformats.org/officeDocument/2006/relationships/webSettings" Target="webSettings.xml"/><Relationship Id="rId15" Type="http://schemas.openxmlformats.org/officeDocument/2006/relationships/hyperlink" Target="https://www.who.int/es/news-room/fact-sheets/detail/malnutrition" TargetMode="External"/><Relationship Id="rId23" Type="http://schemas.openxmlformats.org/officeDocument/2006/relationships/theme" Target="theme/theme1.xml"/><Relationship Id="rId10" Type="http://schemas.openxmlformats.org/officeDocument/2006/relationships/hyperlink" Target="https://www.contraloria.gov.co/es/w/comoterminoprogramapae" TargetMode="External"/><Relationship Id="rId19" Type="http://schemas.openxmlformats.org/officeDocument/2006/relationships/hyperlink" Target="https://www.defensoria.gov.co/attachment/3855/Informe%20Desnutricion%28V2%29-Dg.pdf?g_show_in_browser=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epal.org/es/enfoques/malnutricion-ninos-ninas-america-latina-carib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33BF3-F113-4262-87EF-C42B1480F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3601</Words>
  <Characters>19810</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Edilsa Torres</dc:creator>
  <cp:keywords/>
  <dc:description/>
  <cp:lastModifiedBy>Ximena Rueda Anaya</cp:lastModifiedBy>
  <cp:revision>2</cp:revision>
  <cp:lastPrinted>2022-08-30T13:25:00Z</cp:lastPrinted>
  <dcterms:created xsi:type="dcterms:W3CDTF">2022-08-30T20:01:00Z</dcterms:created>
  <dcterms:modified xsi:type="dcterms:W3CDTF">2022-08-30T20:01:00Z</dcterms:modified>
</cp:coreProperties>
</file>