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A9" w:rsidRDefault="005A31CD">
      <w:pPr>
        <w:spacing w:before="120" w:after="120" w:line="360" w:lineRule="auto"/>
        <w:rPr>
          <w:rFonts w:ascii="Times New Roman" w:eastAsia="Times New Roman" w:hAnsi="Times New Roman" w:cs="Times New Roman"/>
        </w:rPr>
      </w:pPr>
      <w:r>
        <w:rPr>
          <w:rFonts w:ascii="Times New Roman" w:eastAsia="Times New Roman" w:hAnsi="Times New Roman" w:cs="Times New Roman"/>
        </w:rPr>
        <w:t xml:space="preserve">Bogotá́ D.C., septiembre 3 </w:t>
      </w:r>
      <w:r w:rsidR="00575175">
        <w:rPr>
          <w:rFonts w:ascii="Times New Roman" w:eastAsia="Times New Roman" w:hAnsi="Times New Roman" w:cs="Times New Roman"/>
        </w:rPr>
        <w:t>de 2024</w:t>
      </w:r>
    </w:p>
    <w:p w:rsidR="00ED53A9" w:rsidRDefault="00575175">
      <w:pPr>
        <w:spacing w:before="120" w:after="120" w:line="360" w:lineRule="auto"/>
        <w:rPr>
          <w:rFonts w:ascii="Times New Roman" w:eastAsia="Times New Roman" w:hAnsi="Times New Roman" w:cs="Times New Roman"/>
        </w:rPr>
      </w:pPr>
      <w:r>
        <w:rPr>
          <w:rFonts w:ascii="Times New Roman" w:eastAsia="Times New Roman" w:hAnsi="Times New Roman" w:cs="Times New Roman"/>
        </w:rPr>
        <w:t>Doctor</w:t>
      </w:r>
    </w:p>
    <w:p w:rsidR="00ED53A9" w:rsidRDefault="00575175">
      <w:pPr>
        <w:spacing w:before="120" w:after="120" w:line="360" w:lineRule="auto"/>
        <w:rPr>
          <w:rFonts w:ascii="Times New Roman" w:eastAsia="Times New Roman" w:hAnsi="Times New Roman" w:cs="Times New Roman"/>
        </w:rPr>
      </w:pPr>
      <w:r>
        <w:rPr>
          <w:rFonts w:ascii="Times New Roman" w:eastAsia="Times New Roman" w:hAnsi="Times New Roman" w:cs="Times New Roman"/>
          <w:b/>
        </w:rPr>
        <w:t>JAIME LUIS LACOUTURE</w:t>
      </w:r>
      <w:r>
        <w:rPr>
          <w:rFonts w:ascii="Times New Roman" w:eastAsia="Times New Roman" w:hAnsi="Times New Roman" w:cs="Times New Roman"/>
          <w:b/>
        </w:rPr>
        <w:br/>
      </w:r>
      <w:r>
        <w:rPr>
          <w:rFonts w:ascii="Times New Roman" w:eastAsia="Times New Roman" w:hAnsi="Times New Roman" w:cs="Times New Roman"/>
        </w:rPr>
        <w:t>Secretario General</w:t>
      </w:r>
      <w:r>
        <w:rPr>
          <w:rFonts w:ascii="Times New Roman" w:eastAsia="Times New Roman" w:hAnsi="Times New Roman" w:cs="Times New Roman"/>
        </w:rPr>
        <w:br/>
        <w:t xml:space="preserve">Cámara de Representantes </w:t>
      </w:r>
    </w:p>
    <w:p w:rsidR="00ED53A9" w:rsidRDefault="00575175" w:rsidP="005A31CD">
      <w:pPr>
        <w:jc w:val="both"/>
        <w:rPr>
          <w:rFonts w:ascii="Times New Roman" w:eastAsia="Times New Roman" w:hAnsi="Times New Roman" w:cs="Times New Roman"/>
          <w:i/>
        </w:rPr>
      </w:pPr>
      <w:r>
        <w:rPr>
          <w:rFonts w:ascii="Times New Roman" w:eastAsia="Times New Roman" w:hAnsi="Times New Roman" w:cs="Times New Roman"/>
        </w:rPr>
        <w:br/>
        <w:t>Asunto: Radicación de Proyecto de Ley “</w:t>
      </w:r>
      <w:r>
        <w:rPr>
          <w:rFonts w:ascii="Times New Roman" w:eastAsia="Times New Roman" w:hAnsi="Times New Roman" w:cs="Times New Roman"/>
          <w:i/>
          <w:sz w:val="24"/>
          <w:szCs w:val="24"/>
        </w:rPr>
        <w:t xml:space="preserve">Por medio de la cual </w:t>
      </w:r>
      <w:r>
        <w:rPr>
          <w:rFonts w:ascii="Times New Roman" w:eastAsia="Times New Roman" w:hAnsi="Times New Roman" w:cs="Times New Roman"/>
          <w:sz w:val="24"/>
          <w:szCs w:val="24"/>
        </w:rPr>
        <w:t>declara patrimonio cultural e inmaterial de Bucaramanga y la Nación el género musical de las Tecnocumbias como elemento fundamental de la identidad y el territorio bumangués y se dictan otras disposiciones</w:t>
      </w:r>
      <w:r>
        <w:rPr>
          <w:rFonts w:ascii="Times New Roman" w:eastAsia="Times New Roman" w:hAnsi="Times New Roman" w:cs="Times New Roman"/>
          <w:i/>
        </w:rPr>
        <w:t>”</w:t>
      </w:r>
    </w:p>
    <w:p w:rsidR="00ED53A9" w:rsidRDefault="00575175" w:rsidP="005A31CD">
      <w:pPr>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Apreciado Señor Secretario,</w:t>
      </w:r>
    </w:p>
    <w:p w:rsidR="00ED53A9" w:rsidRDefault="00575175" w:rsidP="005A31CD">
      <w:pPr>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En nuestra condició</w:t>
      </w:r>
      <w:r>
        <w:rPr>
          <w:rFonts w:ascii="Times New Roman" w:eastAsia="Times New Roman" w:hAnsi="Times New Roman" w:cs="Times New Roman"/>
        </w:rPr>
        <w:t xml:space="preserve">n de miembros del Congreso de la República y de conformidad con el artículo 154 de la Constitución Política de Colombia, por su digno conducto nos permitimos poner a consideración de la Honorable Cámara de Representantes el siguiente Proyecto de Ley, </w:t>
      </w:r>
      <w:r>
        <w:rPr>
          <w:rFonts w:ascii="Times New Roman" w:eastAsia="Times New Roman" w:hAnsi="Times New Roman" w:cs="Times New Roman"/>
          <w:b/>
          <w:i/>
        </w:rPr>
        <w:t>“</w:t>
      </w:r>
      <w:r>
        <w:rPr>
          <w:rFonts w:ascii="Times New Roman" w:eastAsia="Times New Roman" w:hAnsi="Times New Roman" w:cs="Times New Roman"/>
          <w:i/>
          <w:sz w:val="24"/>
          <w:szCs w:val="24"/>
        </w:rPr>
        <w:t xml:space="preserve">Por </w:t>
      </w:r>
      <w:r>
        <w:rPr>
          <w:rFonts w:ascii="Times New Roman" w:eastAsia="Times New Roman" w:hAnsi="Times New Roman" w:cs="Times New Roman"/>
          <w:i/>
          <w:sz w:val="24"/>
          <w:szCs w:val="24"/>
        </w:rPr>
        <w:t xml:space="preserve">medio de la cual </w:t>
      </w:r>
      <w:r>
        <w:rPr>
          <w:rFonts w:ascii="Times New Roman" w:eastAsia="Times New Roman" w:hAnsi="Times New Roman" w:cs="Times New Roman"/>
          <w:sz w:val="24"/>
          <w:szCs w:val="24"/>
        </w:rPr>
        <w:t>declara patrimonio cultural e inmaterial de Bucaramanga y la Nación el género musical de las Tecnocumbias como elemento fundamental de la identidad y el territorio bumangués y se dictan otras disposiciones</w:t>
      </w:r>
      <w:r>
        <w:rPr>
          <w:rFonts w:ascii="Times New Roman" w:eastAsia="Times New Roman" w:hAnsi="Times New Roman" w:cs="Times New Roman"/>
        </w:rPr>
        <w:t>”</w:t>
      </w:r>
    </w:p>
    <w:p w:rsidR="00ED53A9" w:rsidRDefault="00ED53A9" w:rsidP="005A31CD">
      <w:pPr>
        <w:spacing w:before="120" w:after="120" w:line="360" w:lineRule="auto"/>
        <w:jc w:val="both"/>
        <w:rPr>
          <w:rFonts w:ascii="Arial" w:eastAsia="Arial" w:hAnsi="Arial" w:cs="Arial"/>
        </w:rPr>
      </w:pPr>
    </w:p>
    <w:p w:rsidR="00ED53A9" w:rsidRDefault="00575175" w:rsidP="005A31CD">
      <w:pPr>
        <w:spacing w:before="120" w:after="120" w:line="360" w:lineRule="auto"/>
        <w:jc w:val="both"/>
        <w:rPr>
          <w:rFonts w:ascii="Arial" w:eastAsia="Arial" w:hAnsi="Arial" w:cs="Arial"/>
          <w:b/>
        </w:rPr>
      </w:pPr>
      <w:r>
        <w:rPr>
          <w:rFonts w:ascii="Arial" w:eastAsia="Arial" w:hAnsi="Arial" w:cs="Arial"/>
        </w:rPr>
        <w:t xml:space="preserve">Cordialmente, </w:t>
      </w:r>
    </w:p>
    <w:tbl>
      <w:tblPr>
        <w:tblStyle w:val="a0"/>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sz w:val="24"/>
                <w:szCs w:val="24"/>
              </w:rPr>
            </w:pPr>
          </w:p>
          <w:p w:rsidR="005A31CD" w:rsidRDefault="005A31CD" w:rsidP="00203398">
            <w:pPr>
              <w:spacing w:after="0" w:line="240" w:lineRule="auto"/>
              <w:rPr>
                <w:rFonts w:ascii="Arial" w:eastAsia="Arial" w:hAnsi="Arial" w:cs="Arial"/>
                <w:b/>
                <w:sz w:val="24"/>
                <w:szCs w:val="24"/>
              </w:rPr>
            </w:pPr>
          </w:p>
          <w:p w:rsidR="005A31CD" w:rsidRDefault="005A31CD" w:rsidP="00203398">
            <w:pPr>
              <w:spacing w:after="0" w:line="240" w:lineRule="auto"/>
              <w:rPr>
                <w:rFonts w:ascii="Arial" w:eastAsia="Arial" w:hAnsi="Arial" w:cs="Arial"/>
                <w:b/>
                <w:sz w:val="24"/>
                <w:szCs w:val="24"/>
              </w:rPr>
            </w:pPr>
            <w:r>
              <w:rPr>
                <w:rFonts w:ascii="Arial" w:eastAsia="Arial" w:hAnsi="Arial" w:cs="Arial"/>
                <w:b/>
                <w:sz w:val="24"/>
                <w:szCs w:val="24"/>
              </w:rPr>
              <w:t>ERIKA TATIANA SÁNCHEZ PINTO</w:t>
            </w:r>
          </w:p>
          <w:p w:rsidR="005A31CD" w:rsidRDefault="005A31CD" w:rsidP="00203398">
            <w:pPr>
              <w:spacing w:after="0" w:line="240" w:lineRule="auto"/>
              <w:rPr>
                <w:rFonts w:ascii="Arial" w:eastAsia="Arial" w:hAnsi="Arial" w:cs="Arial"/>
                <w:b/>
                <w:sz w:val="24"/>
                <w:szCs w:val="24"/>
              </w:rPr>
            </w:pPr>
            <w:r>
              <w:rPr>
                <w:rFonts w:ascii="Arial" w:eastAsia="Arial" w:hAnsi="Arial" w:cs="Arial"/>
                <w:b/>
                <w:sz w:val="24"/>
                <w:szCs w:val="24"/>
              </w:rPr>
              <w:t xml:space="preserve">Representante a la Cámara </w:t>
            </w:r>
          </w:p>
          <w:p w:rsidR="005A31CD" w:rsidRDefault="005A31CD" w:rsidP="00203398">
            <w:pPr>
              <w:spacing w:after="0" w:line="240" w:lineRule="auto"/>
              <w:rPr>
                <w:rFonts w:ascii="Times New Roman" w:eastAsia="Times New Roman" w:hAnsi="Times New Roman" w:cs="Times New Roman"/>
                <w:b/>
                <w:sz w:val="24"/>
                <w:szCs w:val="24"/>
              </w:rPr>
            </w:pPr>
            <w:r>
              <w:rPr>
                <w:rFonts w:ascii="Arial" w:eastAsia="Arial" w:hAnsi="Arial" w:cs="Arial"/>
                <w:b/>
                <w:sz w:val="24"/>
                <w:szCs w:val="24"/>
              </w:rPr>
              <w:t>Departamento de Santander</w:t>
            </w: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B443598" wp14:editId="42C8D8FE">
                  <wp:extent cx="1553210" cy="1123950"/>
                  <wp:effectExtent l="0" t="0" r="889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53532" cy="1124183"/>
                          </a:xfrm>
                          <a:prstGeom prst="rect">
                            <a:avLst/>
                          </a:prstGeom>
                          <a:ln/>
                        </pic:spPr>
                      </pic:pic>
                    </a:graphicData>
                  </a:graphic>
                </wp:inline>
              </w:drawing>
            </w:r>
          </w:p>
          <w:p w:rsidR="005A31CD" w:rsidRDefault="005A31CD" w:rsidP="00203398">
            <w:pPr>
              <w:spacing w:after="0" w:line="240" w:lineRule="auto"/>
              <w:jc w:val="center"/>
              <w:rPr>
                <w:rFonts w:ascii="Arial" w:eastAsia="Arial" w:hAnsi="Arial" w:cs="Arial"/>
                <w:b/>
                <w:sz w:val="24"/>
                <w:szCs w:val="24"/>
              </w:rPr>
            </w:pPr>
            <w:r>
              <w:rPr>
                <w:rFonts w:ascii="Arial" w:eastAsia="Arial" w:hAnsi="Arial" w:cs="Arial"/>
                <w:b/>
                <w:sz w:val="24"/>
                <w:szCs w:val="24"/>
              </w:rPr>
              <w:t>MARELEN CASTILLO TORRES</w:t>
            </w:r>
          </w:p>
          <w:p w:rsidR="005A31CD" w:rsidRDefault="005A31CD" w:rsidP="00203398">
            <w:pPr>
              <w:spacing w:after="0" w:line="240" w:lineRule="auto"/>
              <w:jc w:val="center"/>
              <w:rPr>
                <w:rFonts w:ascii="Times New Roman" w:eastAsia="Times New Roman" w:hAnsi="Times New Roman" w:cs="Times New Roman"/>
                <w:b/>
                <w:sz w:val="24"/>
                <w:szCs w:val="24"/>
              </w:rPr>
            </w:pPr>
            <w:r>
              <w:rPr>
                <w:rFonts w:ascii="Arial" w:eastAsia="Arial" w:hAnsi="Arial" w:cs="Arial"/>
                <w:b/>
                <w:sz w:val="24"/>
                <w:szCs w:val="24"/>
              </w:rPr>
              <w:t xml:space="preserve">Representante a la Cámara </w:t>
            </w: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bl>
    <w:p w:rsidR="00ED53A9" w:rsidRDefault="00ED53A9">
      <w:pPr>
        <w:spacing w:after="0" w:line="360" w:lineRule="auto"/>
        <w:jc w:val="center"/>
        <w:rPr>
          <w:rFonts w:ascii="Times New Roman" w:eastAsia="Times New Roman" w:hAnsi="Times New Roman" w:cs="Times New Roman"/>
          <w:b/>
          <w:sz w:val="24"/>
          <w:szCs w:val="24"/>
        </w:rPr>
      </w:pPr>
    </w:p>
    <w:p w:rsidR="005A31CD" w:rsidRDefault="005A31CD">
      <w:pPr>
        <w:spacing w:after="0" w:line="360" w:lineRule="auto"/>
        <w:jc w:val="center"/>
        <w:rPr>
          <w:rFonts w:ascii="Times New Roman" w:eastAsia="Times New Roman" w:hAnsi="Times New Roman" w:cs="Times New Roman"/>
          <w:b/>
          <w:sz w:val="24"/>
          <w:szCs w:val="24"/>
        </w:rPr>
      </w:pPr>
    </w:p>
    <w:p w:rsidR="005A31CD" w:rsidRDefault="005A31CD">
      <w:pPr>
        <w:spacing w:after="0" w:line="360" w:lineRule="auto"/>
        <w:jc w:val="center"/>
        <w:rPr>
          <w:rFonts w:ascii="Times New Roman" w:eastAsia="Times New Roman" w:hAnsi="Times New Roman" w:cs="Times New Roman"/>
          <w:b/>
          <w:sz w:val="24"/>
          <w:szCs w:val="24"/>
        </w:rPr>
      </w:pPr>
    </w:p>
    <w:p w:rsidR="005A31CD" w:rsidRDefault="005A31CD">
      <w:pPr>
        <w:spacing w:after="0" w:line="360" w:lineRule="auto"/>
        <w:jc w:val="center"/>
        <w:rPr>
          <w:rFonts w:ascii="Times New Roman" w:eastAsia="Times New Roman" w:hAnsi="Times New Roman" w:cs="Times New Roman"/>
          <w:b/>
          <w:sz w:val="24"/>
          <w:szCs w:val="24"/>
        </w:rPr>
      </w:pPr>
    </w:p>
    <w:p w:rsidR="00ED53A9" w:rsidRDefault="0057517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No. ______ CÁMARA DE REPRESENTANTES</w:t>
      </w:r>
    </w:p>
    <w:p w:rsidR="00ED53A9" w:rsidRDefault="00ED53A9">
      <w:pPr>
        <w:spacing w:after="0" w:line="360" w:lineRule="auto"/>
        <w:jc w:val="center"/>
        <w:rPr>
          <w:rFonts w:ascii="Times New Roman" w:eastAsia="Times New Roman" w:hAnsi="Times New Roman" w:cs="Times New Roman"/>
          <w:b/>
          <w:sz w:val="24"/>
          <w:szCs w:val="24"/>
        </w:rPr>
      </w:pPr>
    </w:p>
    <w:p w:rsidR="00ED53A9" w:rsidRPr="005A31CD" w:rsidRDefault="00575175">
      <w:pPr>
        <w:spacing w:after="0" w:line="360" w:lineRule="auto"/>
        <w:jc w:val="center"/>
        <w:rPr>
          <w:rFonts w:ascii="Times New Roman" w:eastAsia="Times New Roman" w:hAnsi="Times New Roman" w:cs="Times New Roman"/>
          <w:i/>
          <w:sz w:val="24"/>
          <w:szCs w:val="24"/>
        </w:rPr>
      </w:pPr>
      <w:r w:rsidRPr="005A31CD">
        <w:rPr>
          <w:rFonts w:ascii="Times New Roman" w:eastAsia="Times New Roman" w:hAnsi="Times New Roman" w:cs="Times New Roman"/>
          <w:i/>
          <w:sz w:val="24"/>
          <w:szCs w:val="24"/>
        </w:rPr>
        <w:t xml:space="preserve">Por medio de la cual </w:t>
      </w:r>
      <w:r w:rsidRPr="005A31CD">
        <w:rPr>
          <w:rFonts w:ascii="Times New Roman" w:eastAsia="Times New Roman" w:hAnsi="Times New Roman" w:cs="Times New Roman"/>
          <w:i/>
          <w:sz w:val="24"/>
          <w:szCs w:val="24"/>
        </w:rPr>
        <w:t>declara patrimonio cultural e inmaterial de Bucaramanga y la Nación el género musical de las Tecnocumbias como element</w:t>
      </w:r>
      <w:bookmarkStart w:id="0" w:name="_GoBack"/>
      <w:bookmarkEnd w:id="0"/>
      <w:r w:rsidRPr="005A31CD">
        <w:rPr>
          <w:rFonts w:ascii="Times New Roman" w:eastAsia="Times New Roman" w:hAnsi="Times New Roman" w:cs="Times New Roman"/>
          <w:i/>
          <w:sz w:val="24"/>
          <w:szCs w:val="24"/>
        </w:rPr>
        <w:t>o fundamental de la identidad y el territorio bumangués y se dictan otras disposiciones</w:t>
      </w:r>
    </w:p>
    <w:p w:rsidR="00ED53A9" w:rsidRDefault="00ED53A9">
      <w:pPr>
        <w:spacing w:after="0" w:line="360" w:lineRule="auto"/>
        <w:jc w:val="center"/>
        <w:rPr>
          <w:rFonts w:ascii="Times New Roman" w:eastAsia="Times New Roman" w:hAnsi="Times New Roman" w:cs="Times New Roman"/>
          <w:i/>
          <w:sz w:val="24"/>
          <w:szCs w:val="24"/>
        </w:rPr>
      </w:pPr>
    </w:p>
    <w:p w:rsidR="00ED53A9" w:rsidRDefault="0057517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 Congreso de Colombia</w:t>
      </w:r>
    </w:p>
    <w:p w:rsidR="00ED53A9" w:rsidRDefault="00ED53A9">
      <w:pPr>
        <w:spacing w:after="0" w:line="360" w:lineRule="auto"/>
        <w:jc w:val="center"/>
        <w:rPr>
          <w:rFonts w:ascii="Times New Roman" w:eastAsia="Times New Roman" w:hAnsi="Times New Roman" w:cs="Times New Roman"/>
          <w:sz w:val="24"/>
          <w:szCs w:val="24"/>
        </w:rPr>
      </w:pPr>
    </w:p>
    <w:p w:rsidR="00ED53A9" w:rsidRDefault="0057517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rsidR="00ED53A9" w:rsidRDefault="00ED53A9">
      <w:pPr>
        <w:spacing w:after="0" w:line="360" w:lineRule="auto"/>
        <w:jc w:val="both"/>
        <w:rPr>
          <w:rFonts w:ascii="Times New Roman" w:eastAsia="Times New Roman" w:hAnsi="Times New Roman" w:cs="Times New Roman"/>
          <w:b/>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Pr>
          <w:rFonts w:ascii="Times New Roman" w:eastAsia="Times New Roman" w:hAnsi="Times New Roman" w:cs="Times New Roman"/>
          <w:sz w:val="24"/>
          <w:szCs w:val="24"/>
        </w:rPr>
        <w:t>. La presente ley tiene por objeto declarar patrimonio cultural e inmaterial de Bucaramanga y la Nación el género musical de las Tecnocumbias como elemento fundamental de la identidad y el territorio bumangués y se dictan otras disposic</w:t>
      </w:r>
      <w:r>
        <w:rPr>
          <w:rFonts w:ascii="Times New Roman" w:eastAsia="Times New Roman" w:hAnsi="Times New Roman" w:cs="Times New Roman"/>
          <w:sz w:val="24"/>
          <w:szCs w:val="24"/>
        </w:rPr>
        <w:t>iones.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Declárese Patrimonio Cultural Inmaterial de Bucaramanga y la Nación el género musical de las Tecnocumbias.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Facúltase</w:t>
      </w:r>
      <w:proofErr w:type="spellEnd"/>
      <w:r>
        <w:rPr>
          <w:rFonts w:ascii="Times New Roman" w:eastAsia="Times New Roman" w:hAnsi="Times New Roman" w:cs="Times New Roman"/>
          <w:sz w:val="24"/>
          <w:szCs w:val="24"/>
        </w:rPr>
        <w:t xml:space="preserve"> al Gobierno Nacional por medio del Ministerio de las Culturas, las Artes y los Saberes para que realice la</w:t>
      </w:r>
      <w:r>
        <w:rPr>
          <w:rFonts w:ascii="Times New Roman" w:eastAsia="Times New Roman" w:hAnsi="Times New Roman" w:cs="Times New Roman"/>
          <w:sz w:val="24"/>
          <w:szCs w:val="24"/>
        </w:rPr>
        <w:t xml:space="preserve">s gestiones necesarias y se incluya en la Lista Representativa de Patrimonio Cultural Inmaterial (LRPCI) del ámbito nacional el género musical de las Tecnocumbias.  </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w:t>
      </w:r>
      <w:r>
        <w:rPr>
          <w:rFonts w:ascii="Times New Roman" w:eastAsia="Times New Roman" w:hAnsi="Times New Roman" w:cs="Times New Roman"/>
          <w:sz w:val="24"/>
          <w:szCs w:val="24"/>
        </w:rPr>
        <w:t xml:space="preserve"> El Gobierno Nacional por medio del Ministerio de las Culturas, las Artes y lo</w:t>
      </w:r>
      <w:r>
        <w:rPr>
          <w:rFonts w:ascii="Times New Roman" w:eastAsia="Times New Roman" w:hAnsi="Times New Roman" w:cs="Times New Roman"/>
          <w:sz w:val="24"/>
          <w:szCs w:val="24"/>
        </w:rPr>
        <w:t>s Saberes en articulación con los entes territoriales promoverá la difusión, promoción, sostenimiento, conservación, divulgación y desarrollo del género musical de las Tecnocumbias como elemento de la integración social y el desarrollo cultural propio de B</w:t>
      </w:r>
      <w:r>
        <w:rPr>
          <w:rFonts w:ascii="Times New Roman" w:eastAsia="Times New Roman" w:hAnsi="Times New Roman" w:cs="Times New Roman"/>
          <w:sz w:val="24"/>
          <w:szCs w:val="24"/>
        </w:rPr>
        <w:t>ucaramanga y su área metropolitana.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Autorizase al Gobierno nacional a través del Ministerio de las Culturas, las Artes y los Saberes para apropiar en el Presupuesto General de la Nación de cada vigencia fiscal, los recursos destinados al objeto que se refiere la presente ley.</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Autorizase a los entes territoriales, en el marco de su autonomía, la apropiación de recursos para la difusión, promoción, sostenimiento, conservación, divulgación y desarrollo del género musical de las Tecnocumbias.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Pr>
          <w:rFonts w:ascii="Times New Roman" w:eastAsia="Times New Roman" w:hAnsi="Times New Roman" w:cs="Times New Roman"/>
          <w:sz w:val="24"/>
          <w:szCs w:val="24"/>
        </w:rPr>
        <w:t>. La presente ley rige a par</w:t>
      </w:r>
      <w:r>
        <w:rPr>
          <w:rFonts w:ascii="Times New Roman" w:eastAsia="Times New Roman" w:hAnsi="Times New Roman" w:cs="Times New Roman"/>
          <w:sz w:val="24"/>
          <w:szCs w:val="24"/>
        </w:rPr>
        <w:t>tir de su promulgación y deroga todas las disposiciones que le sean contrarias.</w:t>
      </w:r>
    </w:p>
    <w:p w:rsidR="00ED53A9" w:rsidRDefault="00ED53A9">
      <w:pPr>
        <w:spacing w:after="0" w:line="360" w:lineRule="auto"/>
        <w:jc w:val="both"/>
        <w:rPr>
          <w:rFonts w:ascii="Times New Roman" w:eastAsia="Times New Roman" w:hAnsi="Times New Roman" w:cs="Times New Roman"/>
          <w:sz w:val="24"/>
          <w:szCs w:val="24"/>
        </w:rPr>
      </w:pPr>
    </w:p>
    <w:p w:rsidR="005A31CD" w:rsidRDefault="005A31CD">
      <w:pPr>
        <w:spacing w:after="0" w:line="360" w:lineRule="auto"/>
        <w:jc w:val="both"/>
        <w:rPr>
          <w:rFonts w:ascii="Times New Roman" w:eastAsia="Times New Roman" w:hAnsi="Times New Roman" w:cs="Times New Roman"/>
          <w:sz w:val="24"/>
          <w:szCs w:val="24"/>
        </w:rPr>
      </w:pPr>
    </w:p>
    <w:p w:rsidR="005A31CD" w:rsidRDefault="005A31CD">
      <w:pPr>
        <w:spacing w:after="0" w:line="360" w:lineRule="auto"/>
        <w:jc w:val="both"/>
        <w:rPr>
          <w:rFonts w:ascii="Times New Roman" w:eastAsia="Times New Roman" w:hAnsi="Times New Roman" w:cs="Times New Roman"/>
          <w:sz w:val="24"/>
          <w:szCs w:val="24"/>
        </w:rPr>
      </w:pPr>
    </w:p>
    <w:p w:rsidR="005A31CD" w:rsidRDefault="005A31CD">
      <w:pPr>
        <w:spacing w:after="0" w:line="360" w:lineRule="auto"/>
        <w:jc w:val="both"/>
        <w:rPr>
          <w:rFonts w:ascii="Times New Roman" w:eastAsia="Times New Roman" w:hAnsi="Times New Roman" w:cs="Times New Roman"/>
          <w:sz w:val="24"/>
          <w:szCs w:val="24"/>
        </w:rPr>
      </w:pPr>
    </w:p>
    <w:p w:rsidR="00ED53A9" w:rsidRDefault="00ED53A9">
      <w:pPr>
        <w:spacing w:after="0" w:line="360" w:lineRule="auto"/>
        <w:jc w:val="center"/>
        <w:rPr>
          <w:rFonts w:ascii="Times New Roman" w:eastAsia="Times New Roman" w:hAnsi="Times New Roman" w:cs="Times New Roman"/>
          <w:b/>
          <w:sz w:val="24"/>
          <w:szCs w:val="24"/>
        </w:rPr>
      </w:pPr>
    </w:p>
    <w:tbl>
      <w:tblPr>
        <w:tblStyle w:val="a0"/>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sz w:val="24"/>
                <w:szCs w:val="24"/>
              </w:rPr>
            </w:pPr>
          </w:p>
          <w:p w:rsidR="005A31CD" w:rsidRDefault="005A31CD" w:rsidP="00203398">
            <w:pPr>
              <w:spacing w:after="0" w:line="240" w:lineRule="auto"/>
              <w:rPr>
                <w:rFonts w:ascii="Arial" w:eastAsia="Arial" w:hAnsi="Arial" w:cs="Arial"/>
                <w:b/>
                <w:sz w:val="24"/>
                <w:szCs w:val="24"/>
              </w:rPr>
            </w:pPr>
          </w:p>
          <w:p w:rsidR="005A31CD" w:rsidRDefault="005A31CD" w:rsidP="00203398">
            <w:pPr>
              <w:spacing w:after="0" w:line="240" w:lineRule="auto"/>
              <w:rPr>
                <w:rFonts w:ascii="Arial" w:eastAsia="Arial" w:hAnsi="Arial" w:cs="Arial"/>
                <w:b/>
                <w:sz w:val="24"/>
                <w:szCs w:val="24"/>
              </w:rPr>
            </w:pPr>
            <w:r>
              <w:rPr>
                <w:rFonts w:ascii="Arial" w:eastAsia="Arial" w:hAnsi="Arial" w:cs="Arial"/>
                <w:b/>
                <w:sz w:val="24"/>
                <w:szCs w:val="24"/>
              </w:rPr>
              <w:t>ERIKA TATIANA SÁNCHEZ PINTO</w:t>
            </w:r>
          </w:p>
          <w:p w:rsidR="005A31CD" w:rsidRDefault="005A31CD" w:rsidP="00203398">
            <w:pPr>
              <w:spacing w:after="0" w:line="240" w:lineRule="auto"/>
              <w:rPr>
                <w:rFonts w:ascii="Arial" w:eastAsia="Arial" w:hAnsi="Arial" w:cs="Arial"/>
                <w:b/>
                <w:sz w:val="24"/>
                <w:szCs w:val="24"/>
              </w:rPr>
            </w:pPr>
            <w:r>
              <w:rPr>
                <w:rFonts w:ascii="Arial" w:eastAsia="Arial" w:hAnsi="Arial" w:cs="Arial"/>
                <w:b/>
                <w:sz w:val="24"/>
                <w:szCs w:val="24"/>
              </w:rPr>
              <w:t xml:space="preserve">Representante a la Cámara </w:t>
            </w:r>
          </w:p>
          <w:p w:rsidR="005A31CD" w:rsidRDefault="005A31CD" w:rsidP="00203398">
            <w:pPr>
              <w:spacing w:after="0" w:line="240" w:lineRule="auto"/>
              <w:rPr>
                <w:rFonts w:ascii="Times New Roman" w:eastAsia="Times New Roman" w:hAnsi="Times New Roman" w:cs="Times New Roman"/>
                <w:b/>
                <w:sz w:val="24"/>
                <w:szCs w:val="24"/>
              </w:rPr>
            </w:pPr>
            <w:r>
              <w:rPr>
                <w:rFonts w:ascii="Arial" w:eastAsia="Arial" w:hAnsi="Arial" w:cs="Arial"/>
                <w:b/>
                <w:sz w:val="24"/>
                <w:szCs w:val="24"/>
              </w:rPr>
              <w:t>Departamento de Santander</w:t>
            </w: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5C5B613F" wp14:editId="38AE87E0">
                  <wp:extent cx="1553210" cy="1123950"/>
                  <wp:effectExtent l="0" t="0" r="889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53532" cy="1124183"/>
                          </a:xfrm>
                          <a:prstGeom prst="rect">
                            <a:avLst/>
                          </a:prstGeom>
                          <a:ln/>
                        </pic:spPr>
                      </pic:pic>
                    </a:graphicData>
                  </a:graphic>
                </wp:inline>
              </w:drawing>
            </w:r>
          </w:p>
          <w:p w:rsidR="005A31CD" w:rsidRDefault="005A31CD" w:rsidP="00203398">
            <w:pPr>
              <w:spacing w:after="0" w:line="240" w:lineRule="auto"/>
              <w:jc w:val="center"/>
              <w:rPr>
                <w:rFonts w:ascii="Arial" w:eastAsia="Arial" w:hAnsi="Arial" w:cs="Arial"/>
                <w:b/>
                <w:sz w:val="24"/>
                <w:szCs w:val="24"/>
              </w:rPr>
            </w:pPr>
            <w:r>
              <w:rPr>
                <w:rFonts w:ascii="Arial" w:eastAsia="Arial" w:hAnsi="Arial" w:cs="Arial"/>
                <w:b/>
                <w:sz w:val="24"/>
                <w:szCs w:val="24"/>
              </w:rPr>
              <w:t>MARELEN CASTILLO TORRES</w:t>
            </w:r>
          </w:p>
          <w:p w:rsidR="005A31CD" w:rsidRDefault="005A31CD" w:rsidP="00203398">
            <w:pPr>
              <w:spacing w:after="0" w:line="240" w:lineRule="auto"/>
              <w:jc w:val="center"/>
              <w:rPr>
                <w:rFonts w:ascii="Times New Roman" w:eastAsia="Times New Roman" w:hAnsi="Times New Roman" w:cs="Times New Roman"/>
                <w:b/>
                <w:sz w:val="24"/>
                <w:szCs w:val="24"/>
              </w:rPr>
            </w:pPr>
            <w:r>
              <w:rPr>
                <w:rFonts w:ascii="Arial" w:eastAsia="Arial" w:hAnsi="Arial" w:cs="Arial"/>
                <w:b/>
                <w:sz w:val="24"/>
                <w:szCs w:val="24"/>
              </w:rPr>
              <w:t xml:space="preserve">Representante a la Cámara </w:t>
            </w: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bl>
    <w:p w:rsidR="005A31CD" w:rsidRDefault="005A31CD">
      <w:pPr>
        <w:spacing w:after="0" w:line="360" w:lineRule="auto"/>
        <w:jc w:val="center"/>
        <w:rPr>
          <w:rFonts w:ascii="Times New Roman" w:eastAsia="Times New Roman" w:hAnsi="Times New Roman" w:cs="Times New Roman"/>
          <w:sz w:val="24"/>
          <w:szCs w:val="24"/>
        </w:rPr>
      </w:pPr>
    </w:p>
    <w:p w:rsidR="005A31CD" w:rsidRDefault="005A31CD">
      <w:pPr>
        <w:spacing w:after="0" w:line="360" w:lineRule="auto"/>
        <w:jc w:val="center"/>
        <w:rPr>
          <w:rFonts w:ascii="Times New Roman" w:eastAsia="Times New Roman" w:hAnsi="Times New Roman" w:cs="Times New Roman"/>
          <w:sz w:val="24"/>
          <w:szCs w:val="24"/>
        </w:rPr>
      </w:pPr>
    </w:p>
    <w:p w:rsidR="005A31CD" w:rsidRDefault="005A31CD">
      <w:pPr>
        <w:spacing w:after="0" w:line="360" w:lineRule="auto"/>
        <w:jc w:val="center"/>
        <w:rPr>
          <w:rFonts w:ascii="Times New Roman" w:eastAsia="Times New Roman" w:hAnsi="Times New Roman" w:cs="Times New Roman"/>
          <w:sz w:val="24"/>
          <w:szCs w:val="24"/>
        </w:rPr>
      </w:pPr>
    </w:p>
    <w:p w:rsidR="005A31CD" w:rsidRDefault="005A31CD">
      <w:pPr>
        <w:spacing w:after="0" w:line="360" w:lineRule="auto"/>
        <w:jc w:val="center"/>
        <w:rPr>
          <w:rFonts w:ascii="Times New Roman" w:eastAsia="Times New Roman" w:hAnsi="Times New Roman" w:cs="Times New Roman"/>
          <w:sz w:val="24"/>
          <w:szCs w:val="24"/>
        </w:rPr>
      </w:pPr>
    </w:p>
    <w:p w:rsidR="00ED53A9" w:rsidRPr="005A31CD" w:rsidRDefault="00575175">
      <w:pPr>
        <w:spacing w:after="0" w:line="360" w:lineRule="auto"/>
        <w:jc w:val="center"/>
        <w:rPr>
          <w:rFonts w:ascii="Times New Roman" w:eastAsia="Times New Roman" w:hAnsi="Times New Roman" w:cs="Times New Roman"/>
          <w:b/>
          <w:sz w:val="24"/>
          <w:szCs w:val="24"/>
        </w:rPr>
      </w:pPr>
      <w:r w:rsidRPr="005A31CD">
        <w:rPr>
          <w:rFonts w:ascii="Times New Roman" w:eastAsia="Times New Roman" w:hAnsi="Times New Roman" w:cs="Times New Roman"/>
          <w:b/>
          <w:sz w:val="24"/>
          <w:szCs w:val="24"/>
        </w:rPr>
        <w:t>EXPOSICIÓN DE MOTIVOS</w:t>
      </w:r>
    </w:p>
    <w:p w:rsidR="00ED53A9" w:rsidRDefault="00ED53A9">
      <w:pPr>
        <w:spacing w:after="0" w:line="360" w:lineRule="auto"/>
        <w:jc w:val="center"/>
        <w:rPr>
          <w:rFonts w:ascii="Times New Roman" w:eastAsia="Times New Roman" w:hAnsi="Times New Roman" w:cs="Times New Roman"/>
          <w:sz w:val="24"/>
          <w:szCs w:val="24"/>
        </w:rPr>
      </w:pPr>
    </w:p>
    <w:p w:rsidR="00ED53A9" w:rsidRDefault="0057517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No. ______ CÁMARA DE REPRESENTANTES</w:t>
      </w:r>
    </w:p>
    <w:p w:rsidR="00ED53A9" w:rsidRDefault="00575175">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Por medio de la cual </w:t>
      </w:r>
      <w:r>
        <w:rPr>
          <w:rFonts w:ascii="Times New Roman" w:eastAsia="Times New Roman" w:hAnsi="Times New Roman" w:cs="Times New Roman"/>
          <w:sz w:val="24"/>
          <w:szCs w:val="24"/>
        </w:rPr>
        <w:t>declara patrimonio cultural e inmaterial de Bucaramanga y la Nación el género musical de las Tecnocumbias como elemento fundamental de la identidad y el territorio bumangués y se dictan otras disposiciones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cumbia es un género musical propio de Colombia, mantuvo su máximo esplendor a nivel Latinoamericano durante los años 60 cuando grupos como Los Corraleros de Majagual, Los Hispanos, La Sonora Dinamita y Los Graduados llevaron sus ritmos a Venezuela, El S</w:t>
      </w:r>
      <w:r>
        <w:rPr>
          <w:rFonts w:ascii="Times New Roman" w:eastAsia="Times New Roman" w:hAnsi="Times New Roman" w:cs="Times New Roman"/>
          <w:sz w:val="24"/>
          <w:szCs w:val="24"/>
        </w:rPr>
        <w:t xml:space="preserve">alvador, México, Argentina y Perú. En estos países sus sonidos fueron fusionados con otros ritmos, transformándolos en subgéneros como: la cumbia plancha en Uruguay, la cumbia villera propia de Argentina, la cumbia </w:t>
      </w:r>
      <w:proofErr w:type="spellStart"/>
      <w:r>
        <w:rPr>
          <w:rFonts w:ascii="Times New Roman" w:eastAsia="Times New Roman" w:hAnsi="Times New Roman" w:cs="Times New Roman"/>
          <w:sz w:val="24"/>
          <w:szCs w:val="24"/>
        </w:rPr>
        <w:t>sonidera</w:t>
      </w:r>
      <w:proofErr w:type="spellEnd"/>
      <w:r>
        <w:rPr>
          <w:rFonts w:ascii="Times New Roman" w:eastAsia="Times New Roman" w:hAnsi="Times New Roman" w:cs="Times New Roman"/>
          <w:sz w:val="24"/>
          <w:szCs w:val="24"/>
        </w:rPr>
        <w:t xml:space="preserve"> de México, la cumbia chicha y te</w:t>
      </w:r>
      <w:r>
        <w:rPr>
          <w:rFonts w:ascii="Times New Roman" w:eastAsia="Times New Roman" w:hAnsi="Times New Roman" w:cs="Times New Roman"/>
          <w:sz w:val="24"/>
          <w:szCs w:val="24"/>
        </w:rPr>
        <w:t xml:space="preserve">cnocumbia del Perú. Estas dos últimas de mayor gusto por los </w:t>
      </w:r>
      <w:proofErr w:type="spellStart"/>
      <w:r>
        <w:rPr>
          <w:rFonts w:ascii="Times New Roman" w:eastAsia="Times New Roman" w:hAnsi="Times New Roman" w:cs="Times New Roman"/>
          <w:sz w:val="24"/>
          <w:szCs w:val="24"/>
        </w:rPr>
        <w:t>cumbieros</w:t>
      </w:r>
      <w:proofErr w:type="spellEnd"/>
      <w:r>
        <w:rPr>
          <w:rFonts w:ascii="Times New Roman" w:eastAsia="Times New Roman" w:hAnsi="Times New Roman" w:cs="Times New Roman"/>
          <w:sz w:val="24"/>
          <w:szCs w:val="24"/>
        </w:rPr>
        <w:t xml:space="preserve"> de Bucaramanga.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década de los 90’s, en Bucaramanga, brotó un movimiento cultural y social basado en la tecnocumbia; surgieron artistas, grupos musicales, bares, discotecas y toda</w:t>
      </w:r>
      <w:r>
        <w:rPr>
          <w:rFonts w:ascii="Times New Roman" w:eastAsia="Times New Roman" w:hAnsi="Times New Roman" w:cs="Times New Roman"/>
          <w:sz w:val="24"/>
          <w:szCs w:val="24"/>
        </w:rPr>
        <w:t xml:space="preserve"> una industria la cual se basó en la producción de esta música cual encontró su apogeo durante los primeros años de la siguiente década permeando todos los estratos sociales, aunque su mayor nicho fueron los pobladores de los barrios marginales de la ciuda</w:t>
      </w:r>
      <w:r>
        <w:rPr>
          <w:rFonts w:ascii="Times New Roman" w:eastAsia="Times New Roman" w:hAnsi="Times New Roman" w:cs="Times New Roman"/>
          <w:sz w:val="24"/>
          <w:szCs w:val="24"/>
        </w:rPr>
        <w:t xml:space="preserve">d. </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Actualmente, Bucaramanga es reconocida como la “la capital mundial de la Tecnocumbia”, pues el reconocimiento nacional e internacional que han recibido los artistas de este género es considerable, llegando incluso a ser posicionados dentro de las emis</w:t>
      </w:r>
      <w:r>
        <w:rPr>
          <w:rFonts w:ascii="Times New Roman" w:eastAsia="Times New Roman" w:hAnsi="Times New Roman" w:cs="Times New Roman"/>
          <w:sz w:val="24"/>
          <w:szCs w:val="24"/>
        </w:rPr>
        <w:t>oras regionales y siendo fenómenos artísticos en internet que han alcanzado a cientos de seguidores por todo el mundo.</w:t>
      </w:r>
    </w:p>
    <w:p w:rsidR="00ED53A9" w:rsidRDefault="0057517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 Y CONTENIDO</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objeto de la presente ley es reconocer el valor social que tienen la tecnocumbia dentro de la construcción de ident</w:t>
      </w:r>
      <w:r>
        <w:rPr>
          <w:rFonts w:ascii="Times New Roman" w:eastAsia="Times New Roman" w:hAnsi="Times New Roman" w:cs="Times New Roman"/>
          <w:sz w:val="24"/>
          <w:szCs w:val="24"/>
        </w:rPr>
        <w:t xml:space="preserve">idad en los bumangueses, por ello, se busca que este género musical sea reconocido como patrimonio cultural inmaterial de la nación y la ciudad como un aporte </w:t>
      </w:r>
      <w:r>
        <w:rPr>
          <w:rFonts w:ascii="Times New Roman" w:eastAsia="Times New Roman" w:hAnsi="Times New Roman" w:cs="Times New Roman"/>
          <w:sz w:val="24"/>
          <w:szCs w:val="24"/>
        </w:rPr>
        <w:lastRenderedPageBreak/>
        <w:t xml:space="preserve">a las transformaciones culturales que se han generado y que han transformado la estructura de la </w:t>
      </w:r>
      <w:r>
        <w:rPr>
          <w:rFonts w:ascii="Times New Roman" w:eastAsia="Times New Roman" w:hAnsi="Times New Roman" w:cs="Times New Roman"/>
          <w:sz w:val="24"/>
          <w:szCs w:val="24"/>
        </w:rPr>
        <w:t>sociedad bumanguesa.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busca que el gobierno nacional y los entes territoriales destinen recursos para que se promocione y apoye a la industria alrededor de la tecnocumbia y permita un despliegue se acciones del Estado para fortalecer est</w:t>
      </w:r>
      <w:r>
        <w:rPr>
          <w:rFonts w:ascii="Times New Roman" w:eastAsia="Times New Roman" w:hAnsi="Times New Roman" w:cs="Times New Roman"/>
          <w:sz w:val="24"/>
          <w:szCs w:val="24"/>
        </w:rPr>
        <w:t xml:space="preserve">e fenómeno cultural que impregna a toda la ciudad y que ha contribuido a romper estereotipos generando procesos de inclusión social. </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JUSTIFICACIÓN </w:t>
      </w:r>
    </w:p>
    <w:p w:rsidR="00ED53A9" w:rsidRDefault="0057517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3.1 Las tecnocumbias en Bucaramanga. </w:t>
      </w:r>
    </w:p>
    <w:p w:rsidR="005A31CD" w:rsidRDefault="005A31CD">
      <w:pPr>
        <w:spacing w:after="0" w:line="360" w:lineRule="auto"/>
        <w:jc w:val="both"/>
        <w:rPr>
          <w:rFonts w:ascii="Times New Roman" w:eastAsia="Times New Roman" w:hAnsi="Times New Roman" w:cs="Times New Roman"/>
          <w:i/>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fenómeno cultural de la Tecnocumbia en Bucaramanga, escapa a una </w:t>
      </w:r>
      <w:r>
        <w:rPr>
          <w:rFonts w:ascii="Times New Roman" w:eastAsia="Times New Roman" w:hAnsi="Times New Roman" w:cs="Times New Roman"/>
          <w:sz w:val="24"/>
          <w:szCs w:val="24"/>
        </w:rPr>
        <w:t>mera visión del contenido musical de la misma puesto que con su desarrollo se han establecido diferentes expresiones simbólicas de la sociedad bumanguesa los cuales giran en torno a las formas de comunicación más significativas entre ella y como se ha desa</w:t>
      </w:r>
      <w:r>
        <w:rPr>
          <w:rFonts w:ascii="Times New Roman" w:eastAsia="Times New Roman" w:hAnsi="Times New Roman" w:cs="Times New Roman"/>
          <w:sz w:val="24"/>
          <w:szCs w:val="24"/>
        </w:rPr>
        <w:t>rrollado su diversidad cultural asumiendo una identidad propia con base a todo lo que gira alrededor de esta expresión cultural.</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un estudio realizado por la Alcaldía Municipal señala “el escenario bumangués desde el corazón de la urbe: la cotidianidad, las experiencias e historias de sus actores sociales, aquellas de las que son testigos sus comunas y sus barrios, que surgen a</w:t>
      </w:r>
      <w:r>
        <w:rPr>
          <w:rFonts w:ascii="Times New Roman" w:eastAsia="Times New Roman" w:hAnsi="Times New Roman" w:cs="Times New Roman"/>
          <w:sz w:val="24"/>
          <w:szCs w:val="24"/>
        </w:rPr>
        <w:t>lrededor o dentro del fenómeno de las cumbias en la ciudad, las cuales ocupan un lugar importante en la cultura de sus habitantes.” (Alcaldía de Bucaramanga: 2020: 17). Como se puede apreciar el fenómeno de las tecnocumbias se ha extendido por toda la ciud</w:t>
      </w:r>
      <w:r>
        <w:rPr>
          <w:rFonts w:ascii="Times New Roman" w:eastAsia="Times New Roman" w:hAnsi="Times New Roman" w:cs="Times New Roman"/>
          <w:sz w:val="24"/>
          <w:szCs w:val="24"/>
        </w:rPr>
        <w:t>ad y hoy es considerada como un elemento fundamental de la cultura bumanguesa.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este mismo estudio, uno de los principales factores por los cuales las tecnocumbias en la ciudad han tenido una penetración social tan importante, es porque estas ya han </w:t>
      </w:r>
      <w:r>
        <w:rPr>
          <w:rFonts w:ascii="Times New Roman" w:eastAsia="Times New Roman" w:hAnsi="Times New Roman" w:cs="Times New Roman"/>
          <w:sz w:val="24"/>
          <w:szCs w:val="24"/>
        </w:rPr>
        <w:t>trascendido a diversas generaciones por lo que hoy la apropiación del fenómeno cultural de este género musical ya se puede considerar como hereditario pues al menos el 81% de la población refiere que conoce y gusta de esta música debido a la herencia “Here</w:t>
      </w:r>
      <w:r>
        <w:rPr>
          <w:rFonts w:ascii="Times New Roman" w:eastAsia="Times New Roman" w:hAnsi="Times New Roman" w:cs="Times New Roman"/>
          <w:sz w:val="24"/>
          <w:szCs w:val="24"/>
        </w:rPr>
        <w:t>ncia: Esta se entiende como el proceso de inmersión en el fenómeno cumbiero desde una edad temprano, en el cual, hay elementos de transmisión como la familia, familiares o personas cercanas con vínculos afectivos. Lo que convierte las cumbias en un element</w:t>
      </w:r>
      <w:r>
        <w:rPr>
          <w:rFonts w:ascii="Times New Roman" w:eastAsia="Times New Roman" w:hAnsi="Times New Roman" w:cs="Times New Roman"/>
          <w:sz w:val="24"/>
          <w:szCs w:val="24"/>
        </w:rPr>
        <w:t>o central del diario vivir de la persona” (Alcaldía de Bucaramanga: 2020. P:40).</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se evidencia pues según las investigaciones, actualmente en la ciudad la penetración del fenómeno cultural de las tecnocumbias se encuentra en todos los grupos et</w:t>
      </w:r>
      <w:r>
        <w:rPr>
          <w:rFonts w:ascii="Times New Roman" w:eastAsia="Times New Roman" w:hAnsi="Times New Roman" w:cs="Times New Roman"/>
          <w:sz w:val="24"/>
          <w:szCs w:val="24"/>
        </w:rPr>
        <w:t xml:space="preserve">arios de la población: </w:t>
      </w:r>
    </w:p>
    <w:p w:rsidR="00ED53A9" w:rsidRDefault="00575175">
      <w:pPr>
        <w:keepNext/>
        <w:pBdr>
          <w:top w:val="nil"/>
          <w:left w:val="nil"/>
          <w:bottom w:val="nil"/>
          <w:right w:val="nil"/>
          <w:between w:val="nil"/>
        </w:pBdr>
        <w:spacing w:after="0" w:line="360" w:lineRule="auto"/>
        <w:jc w:val="center"/>
        <w:rPr>
          <w:rFonts w:ascii="Times New Roman" w:eastAsia="Times New Roman" w:hAnsi="Times New Roman" w:cs="Times New Roman"/>
          <w:i/>
          <w:color w:val="44546A"/>
          <w:sz w:val="24"/>
          <w:szCs w:val="24"/>
        </w:rPr>
      </w:pPr>
      <w:r>
        <w:rPr>
          <w:rFonts w:ascii="Times New Roman" w:eastAsia="Times New Roman" w:hAnsi="Times New Roman" w:cs="Times New Roman"/>
          <w:i/>
          <w:color w:val="44546A"/>
          <w:sz w:val="24"/>
          <w:szCs w:val="24"/>
        </w:rPr>
        <w:t>Ilustración 1 Distribución de Población</w:t>
      </w:r>
    </w:p>
    <w:p w:rsidR="00ED53A9" w:rsidRDefault="00575175">
      <w:pPr>
        <w:keepNext/>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00320" cy="2886075"/>
            <wp:effectExtent l="0" t="0" r="5080" b="9525"/>
            <wp:docPr id="166725877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101184" cy="2886564"/>
                    </a:xfrm>
                    <a:prstGeom prst="rect">
                      <a:avLst/>
                    </a:prstGeom>
                    <a:ln/>
                  </pic:spPr>
                </pic:pic>
              </a:graphicData>
            </a:graphic>
          </wp:inline>
        </w:drawing>
      </w:r>
    </w:p>
    <w:p w:rsidR="00ED53A9" w:rsidRDefault="0057517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Alcaldía de Bucaramanga</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modo, se reconoce que las cumbias son un fenómeno transversal a todas la etapas o ciclos vitales, lo que lo convierte en un grupo heterogéneo, en el que se evidencia mayor concentración poblacional en jóvenes adultos y en adultez, con un 52% y 38</w:t>
      </w:r>
      <w:r>
        <w:rPr>
          <w:rFonts w:ascii="Times New Roman" w:eastAsia="Times New Roman" w:hAnsi="Times New Roman" w:cs="Times New Roman"/>
          <w:sz w:val="24"/>
          <w:szCs w:val="24"/>
        </w:rPr>
        <w:t xml:space="preserve">% respectivamente, correspondientes a rangos de edad entre los 19-28 y 29-59 en cada etapa, asimismo, la adolescencia representa el 9% y la adultez mayor el 1%. Respecto a la distribución de la población según el sexo y el ciclo vital (, se observa que no </w:t>
      </w:r>
      <w:r>
        <w:rPr>
          <w:rFonts w:ascii="Times New Roman" w:eastAsia="Times New Roman" w:hAnsi="Times New Roman" w:cs="Times New Roman"/>
          <w:sz w:val="24"/>
          <w:szCs w:val="24"/>
        </w:rPr>
        <w:t>hay mayor diferencia porcentual entre hombres y mujeres en cada ciclo, en el caso de la adultez existe concentración de hombres y mujeres con más del 50%, seguido por Jóvenes adultos con un 40,80% y 32,80% respectivamente, luego adolescencia (7,20% hombres</w:t>
      </w:r>
      <w:r>
        <w:rPr>
          <w:rFonts w:ascii="Times New Roman" w:eastAsia="Times New Roman" w:hAnsi="Times New Roman" w:cs="Times New Roman"/>
          <w:sz w:val="24"/>
          <w:szCs w:val="24"/>
        </w:rPr>
        <w:t xml:space="preserve"> y 12,10% mujeres) y con menor porcentaje la adultez mayor (0,80% hombres y 1,7% mujeres).” (Alcaldía de Bucaramanga: 2020 P:20).</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manera se puede identificar que la apropiación del patrimonio cultural de las tecnocumbias no es algo solamente rela</w:t>
      </w:r>
      <w:r>
        <w:rPr>
          <w:rFonts w:ascii="Times New Roman" w:eastAsia="Times New Roman" w:hAnsi="Times New Roman" w:cs="Times New Roman"/>
          <w:sz w:val="24"/>
          <w:szCs w:val="24"/>
        </w:rPr>
        <w:t>cionado con la edad, según el mismo estudio, la presencia de este fenómeno cultural también está en todos los estratos socioeconómicos de la ciudad, lo que ha logrado que este género musical se posesione en diversos espacios económicos, sociales, educativo</w:t>
      </w:r>
      <w:r>
        <w:rPr>
          <w:rFonts w:ascii="Times New Roman" w:eastAsia="Times New Roman" w:hAnsi="Times New Roman" w:cs="Times New Roman"/>
          <w:sz w:val="24"/>
          <w:szCs w:val="24"/>
        </w:rPr>
        <w:t>s y de esparcimiento.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keepNext/>
        <w:pBdr>
          <w:top w:val="nil"/>
          <w:left w:val="nil"/>
          <w:bottom w:val="nil"/>
          <w:right w:val="nil"/>
          <w:between w:val="nil"/>
        </w:pBdr>
        <w:spacing w:after="0" w:line="360" w:lineRule="auto"/>
        <w:jc w:val="center"/>
        <w:rPr>
          <w:rFonts w:ascii="Times New Roman" w:eastAsia="Times New Roman" w:hAnsi="Times New Roman" w:cs="Times New Roman"/>
          <w:i/>
          <w:color w:val="44546A"/>
          <w:sz w:val="24"/>
          <w:szCs w:val="24"/>
        </w:rPr>
      </w:pPr>
      <w:r>
        <w:rPr>
          <w:rFonts w:ascii="Times New Roman" w:eastAsia="Times New Roman" w:hAnsi="Times New Roman" w:cs="Times New Roman"/>
          <w:i/>
          <w:color w:val="44546A"/>
          <w:sz w:val="24"/>
          <w:szCs w:val="24"/>
        </w:rPr>
        <w:t>Ilustración 2 Población según estrato socioeconómico</w:t>
      </w:r>
    </w:p>
    <w:p w:rsidR="00ED53A9" w:rsidRDefault="0057517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9034" cy="2314575"/>
            <wp:effectExtent l="0" t="0" r="0" b="0"/>
            <wp:docPr id="16672587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10414" cy="2326113"/>
                    </a:xfrm>
                    <a:prstGeom prst="rect">
                      <a:avLst/>
                    </a:prstGeom>
                    <a:ln/>
                  </pic:spPr>
                </pic:pic>
              </a:graphicData>
            </a:graphic>
          </wp:inline>
        </w:drawing>
      </w:r>
    </w:p>
    <w:p w:rsidR="00ED53A9" w:rsidRDefault="0057517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Alcaldía de Bucaramanga</w:t>
      </w:r>
    </w:p>
    <w:p w:rsidR="00ED53A9" w:rsidRDefault="00ED53A9">
      <w:pPr>
        <w:spacing w:after="0" w:line="360" w:lineRule="auto"/>
        <w:jc w:val="center"/>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la mayoría de la población se encuentra entre los estratos 1, 2 y 3, el fenómeno cultural de las tecnocumbias se ha esparcido tanto que </w:t>
      </w:r>
      <w:r>
        <w:rPr>
          <w:rFonts w:ascii="Times New Roman" w:eastAsia="Times New Roman" w:hAnsi="Times New Roman" w:cs="Times New Roman"/>
          <w:sz w:val="24"/>
          <w:szCs w:val="24"/>
        </w:rPr>
        <w:t>ya se encuentra con una posición significativa en el estrato 4 y está ganando espacios dentro de las familias con mayores ingresos económicos, lo que demuestra como la cultural de la ciudad va evolucionando hacia un mayor reconocimiento y apropiación del g</w:t>
      </w:r>
      <w:r>
        <w:rPr>
          <w:rFonts w:ascii="Times New Roman" w:eastAsia="Times New Roman" w:hAnsi="Times New Roman" w:cs="Times New Roman"/>
          <w:sz w:val="24"/>
          <w:szCs w:val="24"/>
        </w:rPr>
        <w:t>usto por las tecnocumbias.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lo anterior se entiende que este fenómeno cultural de las tecnocumbias no es algo transitorio, puesto que las nuevas generaciones se van formando inmersas en dicha realidad, creando imaginarios sociales, actividades económic</w:t>
      </w:r>
      <w:r>
        <w:rPr>
          <w:rFonts w:ascii="Times New Roman" w:eastAsia="Times New Roman" w:hAnsi="Times New Roman" w:cs="Times New Roman"/>
          <w:sz w:val="24"/>
          <w:szCs w:val="24"/>
        </w:rPr>
        <w:t>as, desarrollo social y comunitario gracias al surgimiento de líderes que trabajan alrededor del mundo de las cumbias para contrarrestar procesos de violencia y rompimiento del tejido social de la comunidad.</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3.2 El patrimonio cultural y la identidad bumanguesa.</w:t>
      </w:r>
    </w:p>
    <w:p w:rsidR="00ED53A9" w:rsidRDefault="00ED53A9">
      <w:pPr>
        <w:spacing w:after="0" w:line="360" w:lineRule="auto"/>
        <w:jc w:val="both"/>
        <w:rPr>
          <w:rFonts w:ascii="Times New Roman" w:eastAsia="Times New Roman" w:hAnsi="Times New Roman" w:cs="Times New Roman"/>
          <w:i/>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UNESCO el patrimonio cultural es variado y se encuentra en constante cambio, lo que ha llevado a nuevas interpretaciones de este. Actualmente se considera que el patrimonio cultural “no se limi</w:t>
      </w:r>
      <w:r>
        <w:rPr>
          <w:rFonts w:ascii="Times New Roman" w:eastAsia="Times New Roman" w:hAnsi="Times New Roman" w:cs="Times New Roman"/>
          <w:sz w:val="24"/>
          <w:szCs w:val="24"/>
        </w:rPr>
        <w:t>ta a monumentos y colecciones de objetos, sino que comprende también tradiciones o expresiones vivas heredadas de nuestros antepasados y transmitidas a nuestros descendientes, como </w:t>
      </w:r>
      <w:hyperlink r:id="rId9">
        <w:r>
          <w:rPr>
            <w:rFonts w:ascii="Times New Roman" w:eastAsia="Times New Roman" w:hAnsi="Times New Roman" w:cs="Times New Roman"/>
            <w:color w:val="000000"/>
            <w:sz w:val="24"/>
            <w:szCs w:val="24"/>
          </w:rPr>
          <w:t>tradiciones orales</w:t>
        </w:r>
      </w:hyperlink>
      <w:r>
        <w:rPr>
          <w:rFonts w:ascii="Times New Roman" w:eastAsia="Times New Roman" w:hAnsi="Times New Roman" w:cs="Times New Roman"/>
          <w:sz w:val="24"/>
          <w:szCs w:val="24"/>
        </w:rPr>
        <w:t>, </w:t>
      </w:r>
      <w:hyperlink r:id="rId10">
        <w:r>
          <w:rPr>
            <w:rFonts w:ascii="Times New Roman" w:eastAsia="Times New Roman" w:hAnsi="Times New Roman" w:cs="Times New Roman"/>
            <w:color w:val="000000"/>
            <w:sz w:val="24"/>
            <w:szCs w:val="24"/>
          </w:rPr>
          <w:t>artes del espectáculo</w:t>
        </w:r>
      </w:hyperlink>
      <w:r>
        <w:rPr>
          <w:rFonts w:ascii="Times New Roman" w:eastAsia="Times New Roman" w:hAnsi="Times New Roman" w:cs="Times New Roman"/>
          <w:sz w:val="24"/>
          <w:szCs w:val="24"/>
        </w:rPr>
        <w:t>, </w:t>
      </w:r>
      <w:hyperlink r:id="rId11">
        <w:r>
          <w:rPr>
            <w:rFonts w:ascii="Times New Roman" w:eastAsia="Times New Roman" w:hAnsi="Times New Roman" w:cs="Times New Roman"/>
            <w:color w:val="000000"/>
            <w:sz w:val="24"/>
            <w:szCs w:val="24"/>
          </w:rPr>
          <w:t>usos sociales, rituales, actos festivos</w:t>
        </w:r>
      </w:hyperlink>
      <w:r>
        <w:rPr>
          <w:rFonts w:ascii="Times New Roman" w:eastAsia="Times New Roman" w:hAnsi="Times New Roman" w:cs="Times New Roman"/>
          <w:sz w:val="24"/>
          <w:szCs w:val="24"/>
        </w:rPr>
        <w:t>, </w:t>
      </w:r>
      <w:hyperlink r:id="rId12">
        <w:r>
          <w:rPr>
            <w:rFonts w:ascii="Times New Roman" w:eastAsia="Times New Roman" w:hAnsi="Times New Roman" w:cs="Times New Roman"/>
            <w:color w:val="000000"/>
            <w:sz w:val="24"/>
            <w:szCs w:val="24"/>
          </w:rPr>
          <w:t>conocimientos y prácticas relativos a la naturaleza y el universo</w:t>
        </w:r>
      </w:hyperlink>
      <w:r>
        <w:rPr>
          <w:rFonts w:ascii="Times New Roman" w:eastAsia="Times New Roman" w:hAnsi="Times New Roman" w:cs="Times New Roman"/>
          <w:sz w:val="24"/>
          <w:szCs w:val="24"/>
        </w:rPr>
        <w:t>, y </w:t>
      </w:r>
      <w:hyperlink r:id="rId13">
        <w:r>
          <w:rPr>
            <w:rFonts w:ascii="Times New Roman" w:eastAsia="Times New Roman" w:hAnsi="Times New Roman" w:cs="Times New Roman"/>
            <w:color w:val="000000"/>
            <w:sz w:val="24"/>
            <w:szCs w:val="24"/>
          </w:rPr>
          <w:t>saberes</w:t>
        </w:r>
        <w:r>
          <w:rPr>
            <w:rFonts w:ascii="Times New Roman" w:eastAsia="Times New Roman" w:hAnsi="Times New Roman" w:cs="Times New Roman"/>
            <w:color w:val="000000"/>
            <w:sz w:val="24"/>
            <w:szCs w:val="24"/>
          </w:rPr>
          <w:t xml:space="preserve"> y técnicas vinculados a la artesanía tradicional</w:t>
        </w:r>
      </w:hyperlink>
      <w:r>
        <w:rPr>
          <w:rFonts w:ascii="Times New Roman" w:eastAsia="Times New Roman" w:hAnsi="Times New Roman" w:cs="Times New Roman"/>
          <w:sz w:val="24"/>
          <w:szCs w:val="24"/>
        </w:rPr>
        <w:t>.” () Esto indica que no solo las tradiciones heredadas de siglos anteriores dadas por procesos históricos y sociales de larga duración deben ser considerados como patrimonio cultural.</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cultura en su térm</w:t>
      </w:r>
      <w:r>
        <w:rPr>
          <w:rFonts w:ascii="Times New Roman" w:eastAsia="Times New Roman" w:hAnsi="Times New Roman" w:cs="Times New Roman"/>
          <w:sz w:val="24"/>
          <w:szCs w:val="24"/>
        </w:rPr>
        <w:t>ino más amplio sigue siendo debatida por diversas ciencias y disciplinas sociales, pero en su inmensa mayoría convergen en que la cultura es un fenómeno diverso y en constante cambio, por lo que no puede detenerse en ciertos momentos de la historia, sino p</w:t>
      </w:r>
      <w:r>
        <w:rPr>
          <w:rFonts w:ascii="Times New Roman" w:eastAsia="Times New Roman" w:hAnsi="Times New Roman" w:cs="Times New Roman"/>
          <w:sz w:val="24"/>
          <w:szCs w:val="24"/>
        </w:rPr>
        <w:t>or el contrario abarca una gran cantidad de bienes materiales e inmateriales que constantemente se están creando y que no deben someterse a un juicio únicamente por su duración temporal sino por su impacto en la sociedad.</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UNESCO, el patrimonio cul</w:t>
      </w:r>
      <w:r>
        <w:rPr>
          <w:rFonts w:ascii="Times New Roman" w:eastAsia="Times New Roman" w:hAnsi="Times New Roman" w:cs="Times New Roman"/>
          <w:sz w:val="24"/>
          <w:szCs w:val="24"/>
        </w:rPr>
        <w:t>tural inmaterial cuenta con 4 elementos:</w:t>
      </w:r>
    </w:p>
    <w:p w:rsidR="00ED53A9" w:rsidRDefault="00575175">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Tradicional, contemporáneo y viviente a un mismo tiempo</w:t>
      </w:r>
      <w:r>
        <w:rPr>
          <w:rFonts w:ascii="Times New Roman" w:eastAsia="Times New Roman" w:hAnsi="Times New Roman" w:cs="Times New Roman"/>
          <w:sz w:val="24"/>
          <w:szCs w:val="24"/>
        </w:rPr>
        <w:t>: el patrimonio cultural inmaterial no solo incluye tradiciones heredadas del pasado, sino también usos rurales y urbanos contemporáneos característicos de dive</w:t>
      </w:r>
      <w:r>
        <w:rPr>
          <w:rFonts w:ascii="Times New Roman" w:eastAsia="Times New Roman" w:hAnsi="Times New Roman" w:cs="Times New Roman"/>
          <w:sz w:val="24"/>
          <w:szCs w:val="24"/>
        </w:rPr>
        <w:t>rsos grupos culturales.</w:t>
      </w:r>
    </w:p>
    <w:p w:rsidR="00ED53A9" w:rsidRDefault="00575175">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Integrador</w:t>
      </w:r>
      <w:r>
        <w:rPr>
          <w:rFonts w:ascii="Times New Roman" w:eastAsia="Times New Roman" w:hAnsi="Times New Roman" w:cs="Times New Roman"/>
          <w:sz w:val="24"/>
          <w:szCs w:val="24"/>
        </w:rPr>
        <w:t>: podemos compartir expresiones del patrimonio cultural inmaterial que son parecidas a las de otros. Tanto si son de la aldea vecina como si provienen de una ciudad en las antípodas o han sido adaptadas por pueblos que han</w:t>
      </w:r>
      <w:r>
        <w:rPr>
          <w:rFonts w:ascii="Times New Roman" w:eastAsia="Times New Roman" w:hAnsi="Times New Roman" w:cs="Times New Roman"/>
          <w:sz w:val="24"/>
          <w:szCs w:val="24"/>
        </w:rPr>
        <w:t xml:space="preserve"> emigrado a otra región, todas forman parte del patrimonio cultural inmaterial: se han transmitido de generación en generación, han evolucionado en respuesta a su entorno y contribuyen a infundirnos un sentimiento de identidad y continuidad, creando un vín</w:t>
      </w:r>
      <w:r>
        <w:rPr>
          <w:rFonts w:ascii="Times New Roman" w:eastAsia="Times New Roman" w:hAnsi="Times New Roman" w:cs="Times New Roman"/>
          <w:sz w:val="24"/>
          <w:szCs w:val="24"/>
        </w:rPr>
        <w:t>culo entre el pasado y el futuro a través del presente. El patrimonio cultural inmaterial no se presta a preguntas sobre la pertenencia de un determinado uso a una cultura, sino que contribuye a la cohesión social fomentando un sentimiento de identidad y r</w:t>
      </w:r>
      <w:r>
        <w:rPr>
          <w:rFonts w:ascii="Times New Roman" w:eastAsia="Times New Roman" w:hAnsi="Times New Roman" w:cs="Times New Roman"/>
          <w:sz w:val="24"/>
          <w:szCs w:val="24"/>
        </w:rPr>
        <w:t>esponsabilidad que ayuda a los individuos a sentirse miembros de una o varias comunidades y de la sociedad en general.</w:t>
      </w:r>
    </w:p>
    <w:p w:rsidR="00ED53A9" w:rsidRDefault="00575175">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Representativo</w:t>
      </w:r>
      <w:r>
        <w:rPr>
          <w:rFonts w:ascii="Times New Roman" w:eastAsia="Times New Roman" w:hAnsi="Times New Roman" w:cs="Times New Roman"/>
          <w:sz w:val="24"/>
          <w:szCs w:val="24"/>
        </w:rPr>
        <w:t>: el patrimonio cultural inmaterial no se valora simplemente como un bien cultural, a título comparativo, por su exclusivid</w:t>
      </w:r>
      <w:r>
        <w:rPr>
          <w:rFonts w:ascii="Times New Roman" w:eastAsia="Times New Roman" w:hAnsi="Times New Roman" w:cs="Times New Roman"/>
          <w:sz w:val="24"/>
          <w:szCs w:val="24"/>
        </w:rPr>
        <w:t>ad o valor excepcional. Florece en las comunidades y depende de aquéllos cuyos conocimientos de las tradiciones, técnicas y costumbres se transmiten al resto de la comunidad, de generación en generación, o a otras comunidades.</w:t>
      </w:r>
    </w:p>
    <w:p w:rsidR="00ED53A9" w:rsidRDefault="00575175">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Basado en la comunidad</w:t>
      </w:r>
      <w:r>
        <w:rPr>
          <w:rFonts w:ascii="Times New Roman" w:eastAsia="Times New Roman" w:hAnsi="Times New Roman" w:cs="Times New Roman"/>
          <w:sz w:val="24"/>
          <w:szCs w:val="24"/>
        </w:rPr>
        <w:t>: el pa</w:t>
      </w:r>
      <w:r>
        <w:rPr>
          <w:rFonts w:ascii="Times New Roman" w:eastAsia="Times New Roman" w:hAnsi="Times New Roman" w:cs="Times New Roman"/>
          <w:sz w:val="24"/>
          <w:szCs w:val="24"/>
        </w:rPr>
        <w:t>trimonio cultural inmaterial sólo puede serlo si es reconocido como tal por las comunidades, grupos o individuos que lo crean, mantienen y transmiten. Sin este reconocimiento, nadie puede decidir por ellos que una expresión o un uso determinado forma parte</w:t>
      </w:r>
      <w:r>
        <w:rPr>
          <w:rFonts w:ascii="Times New Roman" w:eastAsia="Times New Roman" w:hAnsi="Times New Roman" w:cs="Times New Roman"/>
          <w:sz w:val="24"/>
          <w:szCs w:val="24"/>
        </w:rPr>
        <w:t xml:space="preserve"> de su patrimonio.</w:t>
      </w:r>
    </w:p>
    <w:p w:rsidR="00ED53A9" w:rsidRDefault="00ED53A9">
      <w:pPr>
        <w:spacing w:after="0" w:line="360" w:lineRule="auto"/>
        <w:ind w:left="720"/>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puede evidenciar, estos cuatro elementos hacen parte del fenómeno cultural de los </w:t>
      </w:r>
      <w:proofErr w:type="spellStart"/>
      <w:r>
        <w:rPr>
          <w:rFonts w:ascii="Times New Roman" w:eastAsia="Times New Roman" w:hAnsi="Times New Roman" w:cs="Times New Roman"/>
          <w:sz w:val="24"/>
          <w:szCs w:val="24"/>
        </w:rPr>
        <w:t>cumbieros</w:t>
      </w:r>
      <w:proofErr w:type="spellEnd"/>
      <w:r>
        <w:rPr>
          <w:rFonts w:ascii="Times New Roman" w:eastAsia="Times New Roman" w:hAnsi="Times New Roman" w:cs="Times New Roman"/>
          <w:sz w:val="24"/>
          <w:szCs w:val="24"/>
        </w:rPr>
        <w:t xml:space="preserve"> de Bucaramanga, pues actualmente este es representativo en gran parte de la sociedad bumanguesa; genera fuertes procesos de integración </w:t>
      </w:r>
      <w:r>
        <w:rPr>
          <w:rFonts w:ascii="Times New Roman" w:eastAsia="Times New Roman" w:hAnsi="Times New Roman" w:cs="Times New Roman"/>
          <w:sz w:val="24"/>
          <w:szCs w:val="24"/>
        </w:rPr>
        <w:t>social debido a la generación de espacios culturales y economías creativas que se crecen alrededor del mundo de las tecnocumbias; es representativo para la ciudad y el país al considerar a la ciudad como “capital de las tecnocumbias” y está basado en una c</w:t>
      </w:r>
      <w:r>
        <w:rPr>
          <w:rFonts w:ascii="Times New Roman" w:eastAsia="Times New Roman" w:hAnsi="Times New Roman" w:cs="Times New Roman"/>
          <w:sz w:val="24"/>
          <w:szCs w:val="24"/>
        </w:rPr>
        <w:t>reación de identidades, imaginarios sociales y procesos de cambio muy propios de la ciudad por lo que su impacto ha sido reconocido por el mundo académico y político.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el estudio publicado por la Alcaldía de Bucaramanga, las tecnocumbias han creado d</w:t>
      </w:r>
      <w:r>
        <w:rPr>
          <w:rFonts w:ascii="Times New Roman" w:eastAsia="Times New Roman" w:hAnsi="Times New Roman" w:cs="Times New Roman"/>
          <w:sz w:val="24"/>
          <w:szCs w:val="24"/>
        </w:rPr>
        <w:t>iversos imaginarios socioculturales alrededor de estas, lo que la han integrado a la vida diaria de los pobladores:</w:t>
      </w:r>
    </w:p>
    <w:p w:rsidR="00ED53A9" w:rsidRDefault="0057517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18710" cy="2847975"/>
            <wp:effectExtent l="0" t="0" r="0" b="9525"/>
            <wp:docPr id="16672587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919302" cy="2848318"/>
                    </a:xfrm>
                    <a:prstGeom prst="rect">
                      <a:avLst/>
                    </a:prstGeom>
                    <a:ln/>
                  </pic:spPr>
                </pic:pic>
              </a:graphicData>
            </a:graphic>
          </wp:inline>
        </w:drawing>
      </w:r>
    </w:p>
    <w:p w:rsidR="00ED53A9" w:rsidRDefault="0057517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Alcaldía de Bucaramanga</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 la pena mencionar como casi el 80% de la población muestra del estudio, señala que “ser cumbiero es p</w:t>
      </w:r>
      <w:r>
        <w:rPr>
          <w:rFonts w:ascii="Times New Roman" w:eastAsia="Times New Roman" w:hAnsi="Times New Roman" w:cs="Times New Roman"/>
          <w:sz w:val="24"/>
          <w:szCs w:val="24"/>
        </w:rPr>
        <w:t>ara toda la vida” y que “las cumbias son parte de la identidad del bumangués”, esto es un ejemplo de cómo la cultura de la ciudad ha evolucionado en las últimas décadas y se ha decantado hacia un reconocimiento especial del valor que tienen las tecnocumbia</w:t>
      </w:r>
      <w:r>
        <w:rPr>
          <w:rFonts w:ascii="Times New Roman" w:eastAsia="Times New Roman" w:hAnsi="Times New Roman" w:cs="Times New Roman"/>
          <w:sz w:val="24"/>
          <w:szCs w:val="24"/>
        </w:rPr>
        <w:t>s en la ciudad para la creación de una identidad e imaginarios sociales que permitan un avance la cultura replanteando cómo estos elementos hacen parte del diario vivir de las personas y el avance social de la ciudad.</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imaginarios y percepciones respec</w:t>
      </w:r>
      <w:r>
        <w:rPr>
          <w:rFonts w:ascii="Times New Roman" w:eastAsia="Times New Roman" w:hAnsi="Times New Roman" w:cs="Times New Roman"/>
          <w:sz w:val="24"/>
          <w:szCs w:val="24"/>
        </w:rPr>
        <w:t xml:space="preserve">to a las cumbias y </w:t>
      </w:r>
      <w:proofErr w:type="spellStart"/>
      <w:r>
        <w:rPr>
          <w:rFonts w:ascii="Times New Roman" w:eastAsia="Times New Roman" w:hAnsi="Times New Roman" w:cs="Times New Roman"/>
          <w:sz w:val="24"/>
          <w:szCs w:val="24"/>
        </w:rPr>
        <w:t>cumbieros</w:t>
      </w:r>
      <w:proofErr w:type="spellEnd"/>
      <w:r>
        <w:rPr>
          <w:rFonts w:ascii="Times New Roman" w:eastAsia="Times New Roman" w:hAnsi="Times New Roman" w:cs="Times New Roman"/>
          <w:sz w:val="24"/>
          <w:szCs w:val="24"/>
        </w:rPr>
        <w:t>/as están relacionados con aspectos positivos, asimismo, se caracterizan por ser palabras relacionadas con emociones, sentimientos, territorialidad (ciudad-departamento) y con elementos como cultura, historia y tradición. Solo h</w:t>
      </w:r>
      <w:r>
        <w:rPr>
          <w:rFonts w:ascii="Times New Roman" w:eastAsia="Times New Roman" w:hAnsi="Times New Roman" w:cs="Times New Roman"/>
          <w:sz w:val="24"/>
          <w:szCs w:val="24"/>
        </w:rPr>
        <w:t>ay un término (ñero) que puede ser asociado con un estigma social, pero habría que profundizar más para poder afirmar lo anterior, ya que, esta palabra también hace referencia a un modo de relacionarse entre la población para referir amistad.</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aspecto</w:t>
      </w:r>
      <w:r>
        <w:rPr>
          <w:rFonts w:ascii="Times New Roman" w:eastAsia="Times New Roman" w:hAnsi="Times New Roman" w:cs="Times New Roman"/>
          <w:sz w:val="24"/>
          <w:szCs w:val="24"/>
        </w:rPr>
        <w:t xml:space="preserve"> importante a resaltar es que la población </w:t>
      </w:r>
      <w:proofErr w:type="spellStart"/>
      <w:r>
        <w:rPr>
          <w:rFonts w:ascii="Times New Roman" w:eastAsia="Times New Roman" w:hAnsi="Times New Roman" w:cs="Times New Roman"/>
          <w:sz w:val="24"/>
          <w:szCs w:val="24"/>
        </w:rPr>
        <w:t>cumbiera</w:t>
      </w:r>
      <w:proofErr w:type="spellEnd"/>
      <w:r>
        <w:rPr>
          <w:rFonts w:ascii="Times New Roman" w:eastAsia="Times New Roman" w:hAnsi="Times New Roman" w:cs="Times New Roman"/>
          <w:sz w:val="24"/>
          <w:szCs w:val="24"/>
        </w:rPr>
        <w:t xml:space="preserve"> asocia las cumbias con la ciudad, pues, con un 90% refieren que Bucaramanga es la capital de las cumbias, con un 88% dicen que las cumbias son parte de la identidad Bumanguesa y que las cumbias son igual </w:t>
      </w:r>
      <w:r>
        <w:rPr>
          <w:rFonts w:ascii="Times New Roman" w:eastAsia="Times New Roman" w:hAnsi="Times New Roman" w:cs="Times New Roman"/>
          <w:sz w:val="24"/>
          <w:szCs w:val="24"/>
        </w:rPr>
        <w:t>de típicas en Bucaramanga que las hormigas culonas.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modo de conclusión se evidencia que las tecnocumbias no solo son género musical que ha gustado en la ciudad, estas han desarrollado todo un imaginario social y cultural de la población creando sentidos de pertenencia, heredando a las nuevas generaciones,</w:t>
      </w:r>
      <w:r>
        <w:rPr>
          <w:rFonts w:ascii="Times New Roman" w:eastAsia="Times New Roman" w:hAnsi="Times New Roman" w:cs="Times New Roman"/>
          <w:sz w:val="24"/>
          <w:szCs w:val="24"/>
        </w:rPr>
        <w:t xml:space="preserve"> desarrollando todo un renglón económico y dando vida a un nuevo patrimonio cultural inmaterial de la sociedad bumanguesa que se ha desarrollado y desarrollará en el futuro al son de las tecnocumbias.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MARCO JURÍDICO Y CONSTITUCIONAL</w:t>
      </w:r>
    </w:p>
    <w:p w:rsidR="005A31CD" w:rsidRDefault="005A31CD" w:rsidP="005A31CD">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ED53A9" w:rsidRDefault="0057517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4.1 Constitución Política</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 Define a la Nación Colombiana como un Estado social de derecho, descentralizado, democrático, participativo, pluralista, fundado en el respeto a la dignidad humana, el trabajo, la solidaridad, y la prevalencia del inte</w:t>
      </w:r>
      <w:r>
        <w:rPr>
          <w:rFonts w:ascii="Times New Roman" w:eastAsia="Times New Roman" w:hAnsi="Times New Roman" w:cs="Times New Roman"/>
          <w:sz w:val="24"/>
          <w:szCs w:val="24"/>
        </w:rPr>
        <w:t>rés general.</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 Regula como fines esenciales del Estado, servir a la comunidad, promover la prosperidad general, garantizar la efectividad de los principios constitucionales, derechos y deberes, facilitar la participación de todos en las decision</w:t>
      </w:r>
      <w:r>
        <w:rPr>
          <w:rFonts w:ascii="Times New Roman" w:eastAsia="Times New Roman" w:hAnsi="Times New Roman" w:cs="Times New Roman"/>
          <w:sz w:val="24"/>
          <w:szCs w:val="24"/>
        </w:rPr>
        <w:t>es que los afecten y en la vida económica, política administrativa y cultural de la Nación.</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7. El estado reconoce y protege la diversidad étnica y cultural de la </w:t>
      </w:r>
      <w:proofErr w:type="gramStart"/>
      <w:r>
        <w:rPr>
          <w:rFonts w:ascii="Times New Roman" w:eastAsia="Times New Roman" w:hAnsi="Times New Roman" w:cs="Times New Roman"/>
          <w:sz w:val="24"/>
          <w:szCs w:val="24"/>
        </w:rPr>
        <w:t>Nación .</w:t>
      </w:r>
      <w:proofErr w:type="gramEnd"/>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68 inciso quinto, sobre el derecho al respeto de la identidad en </w:t>
      </w:r>
      <w:r>
        <w:rPr>
          <w:rFonts w:ascii="Times New Roman" w:eastAsia="Times New Roman" w:hAnsi="Times New Roman" w:cs="Times New Roman"/>
          <w:sz w:val="24"/>
          <w:szCs w:val="24"/>
        </w:rPr>
        <w:t>materia educativa, y en el Artículo 70, relacionado con la cultura como fundamento de la nacionalidad colombiana y el reconocimiento por parte del Estado de la igualdad y la dignidad de todas las culturas que conviven en el país.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72. El patrimoni</w:t>
      </w:r>
      <w:r>
        <w:rPr>
          <w:rFonts w:ascii="Times New Roman" w:eastAsia="Times New Roman" w:hAnsi="Times New Roman" w:cs="Times New Roman"/>
          <w:sz w:val="24"/>
          <w:szCs w:val="24"/>
        </w:rPr>
        <w:t>o cultural de la Nación está bajo la protección del Estado.</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Constitución Política igualmente dio especial protección a los valores culturales y sociales encarnados en las comunidades indígenas que aún subsisten en el país.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importancia de estos valor</w:t>
      </w:r>
      <w:r>
        <w:rPr>
          <w:rFonts w:ascii="Times New Roman" w:eastAsia="Times New Roman" w:hAnsi="Times New Roman" w:cs="Times New Roman"/>
          <w:sz w:val="24"/>
          <w:szCs w:val="24"/>
        </w:rPr>
        <w:t>es se pone de presente de manera directa en el Artículo 7 que reconoce y protege la diversidad étnica y cultural de la nación colombiana. En el artículo 8 sobre la obligación del Estado de proteger la riqueza cultural de la nación.</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70: El Estado </w:t>
      </w:r>
      <w:r>
        <w:rPr>
          <w:rFonts w:ascii="Times New Roman" w:eastAsia="Times New Roman" w:hAnsi="Times New Roman" w:cs="Times New Roman"/>
          <w:sz w:val="24"/>
          <w:szCs w:val="24"/>
        </w:rPr>
        <w:t>tiene el deber de promover y fomentar el acceso a la cultura de todos los colombianos en igualdad de oportunidades, por medio de la educación permanente y la enseñanza científica, técnica, artística y profesional en todas las etapas del proceso de creación</w:t>
      </w:r>
      <w:r>
        <w:rPr>
          <w:rFonts w:ascii="Times New Roman" w:eastAsia="Times New Roman" w:hAnsi="Times New Roman" w:cs="Times New Roman"/>
          <w:sz w:val="24"/>
          <w:szCs w:val="24"/>
        </w:rPr>
        <w:t xml:space="preserve"> de la identidad nacional.</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cultura en sus diversas manifestaciones es fundamento de la nacionalidad. El Estado reconoce la igualdad y dignidad de todas las personas que conviven en el país. El Estado promoverá la Investigación, la Ciencia, el Desarroll</w:t>
      </w:r>
      <w:r>
        <w:rPr>
          <w:rFonts w:ascii="Times New Roman" w:eastAsia="Times New Roman" w:hAnsi="Times New Roman" w:cs="Times New Roman"/>
          <w:sz w:val="24"/>
          <w:szCs w:val="24"/>
        </w:rPr>
        <w:t>o y la Difusión de los Valores Culturales de la Nación.</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71: La búsqueda del conocimiento y la expresión artística son libres. </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planes de desarrollo económico y social incluirán el fomento a las ciencias y, en general, a la cultura. El Estado creará incentivos para personas e instituciones que desarrollen y fomenten la Ciencia y la Tecnología, y las demás manifestaciones cultur</w:t>
      </w:r>
      <w:r>
        <w:rPr>
          <w:rFonts w:ascii="Times New Roman" w:eastAsia="Times New Roman" w:hAnsi="Times New Roman" w:cs="Times New Roman"/>
          <w:sz w:val="24"/>
          <w:szCs w:val="24"/>
        </w:rPr>
        <w:t>ales, y ofrecerá estímulos especiales a personas e instituciones que ejerzan estas actividades.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Leyes y decretos</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DECRETO 1397 DE 1989, por el cual se reglamenta la ley 163 de 1959.</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DECRETO 1589 DE 1998, por el cual se reglamenta el Sistema Nacional de Cul</w:t>
      </w:r>
      <w:r>
        <w:rPr>
          <w:rFonts w:ascii="Times New Roman" w:eastAsia="Times New Roman" w:hAnsi="Times New Roman" w:cs="Times New Roman"/>
          <w:color w:val="000000"/>
          <w:sz w:val="24"/>
          <w:szCs w:val="24"/>
        </w:rPr>
        <w:t>tura –</w:t>
      </w:r>
      <w:proofErr w:type="spellStart"/>
      <w:r>
        <w:rPr>
          <w:rFonts w:ascii="Times New Roman" w:eastAsia="Times New Roman" w:hAnsi="Times New Roman" w:cs="Times New Roman"/>
          <w:color w:val="000000"/>
          <w:sz w:val="24"/>
          <w:szCs w:val="24"/>
        </w:rPr>
        <w:t>SNCu</w:t>
      </w:r>
      <w:proofErr w:type="spellEnd"/>
      <w:r>
        <w:rPr>
          <w:rFonts w:ascii="Times New Roman" w:eastAsia="Times New Roman" w:hAnsi="Times New Roman" w:cs="Times New Roman"/>
          <w:color w:val="000000"/>
          <w:sz w:val="24"/>
          <w:szCs w:val="24"/>
        </w:rPr>
        <w:t>– y se dictan otras disposiciones.</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DECRETO 264 DE 1963, por el cual se reglamenta la ley 163 de 1959 sobre defensa y conservación del patrimonio histórico, artístico y monumentos públicos de la Nación.</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DECRETO 763 DE 2009, por el cual se reglamen</w:t>
      </w:r>
      <w:r>
        <w:rPr>
          <w:rFonts w:ascii="Times New Roman" w:eastAsia="Times New Roman" w:hAnsi="Times New Roman" w:cs="Times New Roman"/>
          <w:color w:val="000000"/>
          <w:sz w:val="24"/>
          <w:szCs w:val="24"/>
        </w:rPr>
        <w:t xml:space="preserve">tan parcialmente las Leyes 814 de 2003 y 397 de 1997 </w:t>
      </w:r>
      <w:r>
        <w:rPr>
          <w:rFonts w:ascii="Times New Roman" w:eastAsia="Times New Roman" w:hAnsi="Times New Roman" w:cs="Times New Roman"/>
          <w:sz w:val="24"/>
          <w:szCs w:val="24"/>
        </w:rPr>
        <w:t>modificadas</w:t>
      </w:r>
      <w:r>
        <w:rPr>
          <w:rFonts w:ascii="Times New Roman" w:eastAsia="Times New Roman" w:hAnsi="Times New Roman" w:cs="Times New Roman"/>
          <w:color w:val="000000"/>
          <w:sz w:val="24"/>
          <w:szCs w:val="24"/>
        </w:rPr>
        <w:t xml:space="preserve"> por medio de la Ley 1185 de 2008, en lo correspondiente al Patrimonio Cultural de la Nación de naturaleza material.</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histórico, artístico y monumentos públicos de la Nación.</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163 DE 1959, por la cual se dictan medidas sobre defensa y conservación del patrimonio</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232 DE 1924</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397 DE 1997, por la cual se desarrollan los artículos 70, 71 y 72 y demás artículos concordantes de la Constitución Política y se dictan normas s</w:t>
      </w:r>
      <w:r>
        <w:rPr>
          <w:rFonts w:ascii="Times New Roman" w:eastAsia="Times New Roman" w:hAnsi="Times New Roman" w:cs="Times New Roman"/>
          <w:color w:val="000000"/>
          <w:sz w:val="24"/>
          <w:szCs w:val="24"/>
        </w:rPr>
        <w:t>obre patrimonio cultural, fomentos y estímulos a la cultura, se crea el Ministerio de la Cultura y se trasladan algunas dependencias.</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47 DE 1993, por la cual se dictan normas especiales para la organización y el funcionamiento del Departamento Archipié</w:t>
      </w:r>
      <w:r>
        <w:rPr>
          <w:rFonts w:ascii="Times New Roman" w:eastAsia="Times New Roman" w:hAnsi="Times New Roman" w:cs="Times New Roman"/>
          <w:color w:val="000000"/>
          <w:sz w:val="24"/>
          <w:szCs w:val="24"/>
        </w:rPr>
        <w:t>lago de San Andrés, Providencia y Santa Catalina.</w:t>
      </w:r>
    </w:p>
    <w:p w:rsidR="00ED53A9" w:rsidRDefault="00575175">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94 DE 1945, por la cual se hace una cesión al municipio de Cartagena y se establecen algunas prohibiciones.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pStyle w:val="Ttulo1"/>
        <w:numPr>
          <w:ilvl w:val="0"/>
          <w:numId w:val="2"/>
        </w:numPr>
        <w:spacing w:before="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rsidR="005A31CD" w:rsidRPr="005A31CD" w:rsidRDefault="005A31CD" w:rsidP="005A31CD"/>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costos generados por la implementación de esta ley deben ajustarse al marc</w:t>
      </w:r>
      <w:r>
        <w:rPr>
          <w:rFonts w:ascii="Times New Roman" w:eastAsia="Times New Roman" w:hAnsi="Times New Roman" w:cs="Times New Roman"/>
          <w:sz w:val="24"/>
          <w:szCs w:val="24"/>
        </w:rPr>
        <w:t>o fiscal de mediano plazo según lo señalado en la Ley 819 de 2003 que establece en su artículo 7, que:</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impacto fiscal de cualquier proyecto de ley, ordenanza o acuerdo, que ordene gasto o que otorgue beneficios tributarios, deberá hacerse explícito y d</w:t>
      </w:r>
      <w:r>
        <w:rPr>
          <w:rFonts w:ascii="Times New Roman" w:eastAsia="Times New Roman" w:hAnsi="Times New Roman" w:cs="Times New Roman"/>
          <w:sz w:val="24"/>
          <w:szCs w:val="24"/>
        </w:rPr>
        <w:t>eberá ser compatible con el Marco Fiscal de Mediano Plazo. Para estos propósitos, deberá incluirse expresamente en la exposición de motivos y en las ponencias de trámite respectivas los costos fiscales de la iniciativa y la fuente de ingreso adicional gene</w:t>
      </w:r>
      <w:r>
        <w:rPr>
          <w:rFonts w:ascii="Times New Roman" w:eastAsia="Times New Roman" w:hAnsi="Times New Roman" w:cs="Times New Roman"/>
          <w:sz w:val="24"/>
          <w:szCs w:val="24"/>
        </w:rPr>
        <w:t>rada para el financiamiento de dicho costo”.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respecto del impacto fiscal que los proyectos de ley pudieran generar, la Corte ha dicho:</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obligaciones previstas en el artículo 7 de la Ley 819 de 2003 constituyen un parámetro de racionalidad legislati</w:t>
      </w:r>
      <w:r>
        <w:rPr>
          <w:rFonts w:ascii="Times New Roman" w:eastAsia="Times New Roman" w:hAnsi="Times New Roman" w:cs="Times New Roman"/>
          <w:sz w:val="24"/>
          <w:szCs w:val="24"/>
        </w:rPr>
        <w:t>va, que está encaminado a cumplir propósitos constitucionalmente valiosos, entre ellos el orden de las finanzas públicas, la estabilidad macroeconómica y la aplicación efectiva de las leyes. Esto último en tanto un estudio previo de la compatibilidad entre</w:t>
      </w:r>
      <w:r>
        <w:rPr>
          <w:rFonts w:ascii="Times New Roman" w:eastAsia="Times New Roman" w:hAnsi="Times New Roman" w:cs="Times New Roman"/>
          <w:sz w:val="24"/>
          <w:szCs w:val="24"/>
        </w:rPr>
        <w:t xml:space="preserve"> el contenido del proyecto de ley y las proyecciones de la política económica, disminuye el margen de incertidumbre respecto de la ejecución material de las previsiones legislativas. El mandato de adecuación entre la justificación de los proyectos de ley y</w:t>
      </w:r>
      <w:r>
        <w:rPr>
          <w:rFonts w:ascii="Times New Roman" w:eastAsia="Times New Roman" w:hAnsi="Times New Roman" w:cs="Times New Roman"/>
          <w:sz w:val="24"/>
          <w:szCs w:val="24"/>
        </w:rPr>
        <w:t xml:space="preserve"> la planeación de la política económica, empero, no puede comprenderse como un requisito de trámite para la aprobación de las iniciativas legislativas, cuyo cumplimiento recaiga exclusivamente en el Congreso. Ello en tanto (i) el Congreso carece de las ins</w:t>
      </w:r>
      <w:r>
        <w:rPr>
          <w:rFonts w:ascii="Times New Roman" w:eastAsia="Times New Roman" w:hAnsi="Times New Roman" w:cs="Times New Roman"/>
          <w:sz w:val="24"/>
          <w:szCs w:val="24"/>
        </w:rPr>
        <w:t>tancias de evaluación técnica para determinar el impacto fiscal de cada proyecto, la determinación de las fuentes adicionales de financiación y la compatibilidad con el marco fiscal de mediano plazo; y (ii) aceptar una interpretación de esta naturaleza con</w:t>
      </w:r>
      <w:r>
        <w:rPr>
          <w:rFonts w:ascii="Times New Roman" w:eastAsia="Times New Roman" w:hAnsi="Times New Roman" w:cs="Times New Roman"/>
          <w:sz w:val="24"/>
          <w:szCs w:val="24"/>
        </w:rPr>
        <w:t xml:space="preserve">stituye una carga irrazonable para el Legislador y otorgaría un poder correlativo de veto al Ejecutivo, a través del Ministerio de Hacienda, respecto de la competencia del Congreso para hacer las leyes. </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poder de este carácter, que involucra una barrera en la función constitucional de producción normativa, se muestra incompatible con el balance entre los poderes públicos y el principio democrático. Si se considera dicho mandato como un mecanismo de raci</w:t>
      </w:r>
      <w:r>
        <w:rPr>
          <w:rFonts w:ascii="Times New Roman" w:eastAsia="Times New Roman" w:hAnsi="Times New Roman" w:cs="Times New Roman"/>
          <w:sz w:val="24"/>
          <w:szCs w:val="24"/>
        </w:rPr>
        <w:t>onalidad legislativa, su cumplimiento corresponde inicialmente al Ministerio de Hacienda y Crédito Público, una vez el Congreso ha valorado, mediante las herramientas que tiene a su alcance, la compatibilidad entre los gastos que genera la iniciativa legis</w:t>
      </w:r>
      <w:r>
        <w:rPr>
          <w:rFonts w:ascii="Times New Roman" w:eastAsia="Times New Roman" w:hAnsi="Times New Roman" w:cs="Times New Roman"/>
          <w:sz w:val="24"/>
          <w:szCs w:val="24"/>
        </w:rPr>
        <w:t>lativa y las proyecciones de la política económica trazada por el Gobierno. (...). El artículo 7 de la Ley 819/03 no puede interpretarse de modo tal que la falta de concurrencia del Ministerio de Hacienda y Crédito Público dentro del proceso legislativo af</w:t>
      </w:r>
      <w:r>
        <w:rPr>
          <w:rFonts w:ascii="Times New Roman" w:eastAsia="Times New Roman" w:hAnsi="Times New Roman" w:cs="Times New Roman"/>
          <w:sz w:val="24"/>
          <w:szCs w:val="24"/>
        </w:rPr>
        <w:t>ecte la validez constitucional del trámite respectivo. (Sentencia C-315 de 2008).</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lo anterior, si bien es responsabilidad del Congreso tener en cuenta el costo fiscal que se genera por la aprobación de leyes, es el Ministerio de Hacienda el que disp</w:t>
      </w:r>
      <w:r>
        <w:rPr>
          <w:rFonts w:ascii="Times New Roman" w:eastAsia="Times New Roman" w:hAnsi="Times New Roman" w:cs="Times New Roman"/>
          <w:sz w:val="24"/>
          <w:szCs w:val="24"/>
        </w:rPr>
        <w:t xml:space="preserve">one de los elementos técnicos necesarios para valorar correctamente ese impacto, y a partir de ello, llegado el caso, demostrar a los miembros del órgano legislativo la viabilidad financiera de la propuesta que se estudia, siendo un asunto de persuasión y </w:t>
      </w:r>
      <w:r>
        <w:rPr>
          <w:rFonts w:ascii="Times New Roman" w:eastAsia="Times New Roman" w:hAnsi="Times New Roman" w:cs="Times New Roman"/>
          <w:sz w:val="24"/>
          <w:szCs w:val="24"/>
        </w:rPr>
        <w:t>racionalidad legislativa, no de prohibición o veto.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pStyle w:val="Ttulo1"/>
        <w:numPr>
          <w:ilvl w:val="0"/>
          <w:numId w:val="2"/>
        </w:numPr>
        <w:spacing w:before="0" w:line="36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182 de la Constitución Política de Colombia dispone que los congresistas deberán poner en conocimiento de la respectiva Cámara las situaciones de carácter moral o econó</w:t>
      </w:r>
      <w:r>
        <w:rPr>
          <w:rFonts w:ascii="Times New Roman" w:eastAsia="Times New Roman" w:hAnsi="Times New Roman" w:cs="Times New Roman"/>
          <w:sz w:val="24"/>
          <w:szCs w:val="24"/>
        </w:rPr>
        <w:t>mico que los inhiban para participar en el trámite de los asuntos sometidos a su consideración, y que la Ley determinará lo relacionado con los conflictos de intereses y las recusaciones. En consecuencia, el artículo 286 de la Ley 5 de 1992, modificado por</w:t>
      </w:r>
      <w:r>
        <w:rPr>
          <w:rFonts w:ascii="Times New Roman" w:eastAsia="Times New Roman" w:hAnsi="Times New Roman" w:cs="Times New Roman"/>
          <w:sz w:val="24"/>
          <w:szCs w:val="24"/>
        </w:rPr>
        <w:t xml:space="preserve"> la Ley 2033 de 2009, definió lo relativo al Régimen de Conflicto de Interés de los Congresistas, en ese sentido dispuso: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entiende como conflicto de interés una situación donde la discusión o votación de un proyecto de ley o acto legislativo o a</w:t>
      </w:r>
      <w:r>
        <w:rPr>
          <w:rFonts w:ascii="Times New Roman" w:eastAsia="Times New Roman" w:hAnsi="Times New Roman" w:cs="Times New Roman"/>
          <w:sz w:val="24"/>
          <w:szCs w:val="24"/>
        </w:rPr>
        <w:t>rtículo, pueda resultar en un beneficio particular, actual y directo a favor del congresista.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Beneficio particular: aquel que otorga un privilegio o genera ganancias o crea indemnizaciones económicas o elimina obligaciones a favor del congresista de la</w:t>
      </w:r>
      <w:r>
        <w:rPr>
          <w:rFonts w:ascii="Times New Roman" w:eastAsia="Times New Roman" w:hAnsi="Times New Roman" w:cs="Times New Roman"/>
          <w:sz w:val="24"/>
          <w:szCs w:val="24"/>
        </w:rPr>
        <w:t>s que no gozan el resto de los ciudadanos. Modifique normas que afecten investigaciones penales, disciplinarias, fiscales o administrativas a las que se encuentre formalmente vinculado.</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Beneficio actual: aquel que efectivamente se configura en las circu</w:t>
      </w:r>
      <w:r>
        <w:rPr>
          <w:rFonts w:ascii="Times New Roman" w:eastAsia="Times New Roman" w:hAnsi="Times New Roman" w:cs="Times New Roman"/>
          <w:sz w:val="24"/>
          <w:szCs w:val="24"/>
        </w:rPr>
        <w:t>nstancias presentes y existentes al momento en el que el congresista participa de la decisión.</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Beneficio directo: aquel que se produzca de forma específica respecto del congresista, de su cónyuge, compañero o compañera permanente, o parientes dentro del</w:t>
      </w:r>
      <w:r>
        <w:rPr>
          <w:rFonts w:ascii="Times New Roman" w:eastAsia="Times New Roman" w:hAnsi="Times New Roman" w:cs="Times New Roman"/>
          <w:sz w:val="24"/>
          <w:szCs w:val="24"/>
        </w:rPr>
        <w:t xml:space="preserve"> segundo grado de consanguinidad, segundo de afinidad o primero civil.”</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la Ley precitada también define las circunstancias bajo las cuales se entiende que no hay conflicto de interés para los congresistas, en ese sentido se dispuso: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todos los efectos se entiende que no hay conflicto de interés en las siguientes circunstancias:</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Cuando el congresista participe, discuta, vote un proyecto de ley o de acto legislativo que otorgue beneficios o cargos de carácter general, es decir cuando </w:t>
      </w:r>
      <w:r>
        <w:rPr>
          <w:rFonts w:ascii="Times New Roman" w:eastAsia="Times New Roman" w:hAnsi="Times New Roman" w:cs="Times New Roman"/>
          <w:sz w:val="24"/>
          <w:szCs w:val="24"/>
        </w:rPr>
        <w:t>el interés del congresista coincide o se fusiona con los intereses de los electores.</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Cuando el beneficio podría o no configurarse para el congresista en el futuro.</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Cuando el congresista participe, discuta o vote artículos de proyectos de ley o acto l</w:t>
      </w:r>
      <w:r>
        <w:rPr>
          <w:rFonts w:ascii="Times New Roman" w:eastAsia="Times New Roman" w:hAnsi="Times New Roman" w:cs="Times New Roman"/>
          <w:sz w:val="24"/>
          <w:szCs w:val="24"/>
        </w:rPr>
        <w:t>egislativo de carácter particular, que establezcan sanciones o disminuyan beneficios, en el cual, el congresista tiene un interés particular, actual y directo. El voto negativo no constituirá conflicto de interés cuando se mantenga la normatividad vigente.</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w:t>
      </w:r>
      <w:r>
        <w:rPr>
          <w:rFonts w:ascii="Times New Roman" w:eastAsia="Times New Roman" w:hAnsi="Times New Roman" w:cs="Times New Roman"/>
          <w:sz w:val="24"/>
          <w:szCs w:val="24"/>
        </w:rPr>
        <w:t>beneficio particular, directo y actual.</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Cuando el congresista participa en la elección de otros servidores públicos mediante el voto secreto. Se exceptúan los casos en que se presenten inhabilidades referidas al parentesco con los candidatos.</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1o. Entiéndase por conflicto de interés moral aquel que presentan los congresistas cuando por razones de conciencia se quieren apartar de la discusión y votación del proyecto.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2o. Cuando se trate de funciones judiciales, disciplinarias</w:t>
      </w:r>
      <w:r>
        <w:rPr>
          <w:rFonts w:ascii="Times New Roman" w:eastAsia="Times New Roman" w:hAnsi="Times New Roman" w:cs="Times New Roman"/>
          <w:sz w:val="24"/>
          <w:szCs w:val="24"/>
        </w:rPr>
        <w:t xml:space="preserve"> o fiscales de los congresistas, sobre conflicto de interés se aplicará la norma especial que rige ese tipo de investigación.</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3o. Igualmente se aplicará el régimen de conflicto de intereses para todos y cada uno de los actores que presenten, discutan o participen de cualquier iniciativa legislativa, conforme al artículo 140 de la Ley 5 de 1992.”</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el conflicto de i</w:t>
      </w:r>
      <w:r>
        <w:rPr>
          <w:rFonts w:ascii="Times New Roman" w:eastAsia="Times New Roman" w:hAnsi="Times New Roman" w:cs="Times New Roman"/>
          <w:sz w:val="24"/>
          <w:szCs w:val="24"/>
        </w:rPr>
        <w:t>nterés el Consejo de Estado en se ha pronunciado en Sentencia del año 2022, estableciendo que: “Siempre que se produzca un resultado provechoso por el simple ejercicio de una función oficial, que convenga al agente o a otra persona allegada, en el orden mo</w:t>
      </w:r>
      <w:r>
        <w:rPr>
          <w:rFonts w:ascii="Times New Roman" w:eastAsia="Times New Roman" w:hAnsi="Times New Roman" w:cs="Times New Roman"/>
          <w:sz w:val="24"/>
          <w:szCs w:val="24"/>
        </w:rPr>
        <w:t xml:space="preserve">ral o material, surgirá un conflicto de intereses. Si la ley protege el interés, será lícito; pero si se persigue con fines personales, particulares, que sobrepasen el interés social, será ilícito”   </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el Consejo de Estado el año 2010 sobre el confl</w:t>
      </w:r>
      <w:r>
        <w:rPr>
          <w:rFonts w:ascii="Times New Roman" w:eastAsia="Times New Roman" w:hAnsi="Times New Roman" w:cs="Times New Roman"/>
          <w:sz w:val="24"/>
          <w:szCs w:val="24"/>
        </w:rPr>
        <w:t>icto de interés se conceptuó:</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institución del conflicto de intereses apunta a trazar un límite entre el ejercicio legítimo de la función legislativa y el aprovechamiento de esta función por parte del congresista para obtener beneficios personales o en</w:t>
      </w:r>
      <w:r>
        <w:rPr>
          <w:rFonts w:ascii="Times New Roman" w:eastAsia="Times New Roman" w:hAnsi="Times New Roman" w:cs="Times New Roman"/>
          <w:sz w:val="24"/>
          <w:szCs w:val="24"/>
        </w:rPr>
        <w:t xml:space="preserve"> favor de aquellas personas allegadas que determina la ley. Así las cosas, no se presenta conflicto entre el interés personal del congresista y el interés general cuando la ley tiene por destinataria a la generalidad de la sociedad, en abstracto, hipótesis</w:t>
      </w:r>
      <w:r>
        <w:rPr>
          <w:rFonts w:ascii="Times New Roman" w:eastAsia="Times New Roman" w:hAnsi="Times New Roman" w:cs="Times New Roman"/>
          <w:sz w:val="24"/>
          <w:szCs w:val="24"/>
        </w:rPr>
        <w:t xml:space="preserve"> en la cual quedan incluidos los amplios sectores sociales que son objeto de determinadas leyes, como por ejemplo las minorías étnicas o culturales, las profesiones, los contribuyentes o, como el caso que nos ocupa, las víctimas de la violencia en Colombia</w:t>
      </w:r>
      <w:r>
        <w:rPr>
          <w:rFonts w:ascii="Times New Roman" w:eastAsia="Times New Roman" w:hAnsi="Times New Roman" w:cs="Times New Roman"/>
          <w:sz w:val="24"/>
          <w:szCs w:val="24"/>
        </w:rPr>
        <w:t xml:space="preserve">. </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sería razonable, por consiguiente, afirmar que por el hecho de ser abogado un congresista estaría impedido para participar en la aprobación de una ley que expida el estatuto de esa profesión; que por ser indígena estaría impedido para participar en </w:t>
      </w:r>
      <w:r>
        <w:rPr>
          <w:rFonts w:ascii="Times New Roman" w:eastAsia="Times New Roman" w:hAnsi="Times New Roman" w:cs="Times New Roman"/>
          <w:sz w:val="24"/>
          <w:szCs w:val="24"/>
        </w:rPr>
        <w:t>el trámite de la ley orgánica que reglamente las entidades territoriales indígenas; que por ser propietario estaría impedido para intervenir en la discusión de una ley sobre impuesto predial; o que por encajar en la definición legal de víctima del conflict</w:t>
      </w:r>
      <w:r>
        <w:rPr>
          <w:rFonts w:ascii="Times New Roman" w:eastAsia="Times New Roman" w:hAnsi="Times New Roman" w:cs="Times New Roman"/>
          <w:sz w:val="24"/>
          <w:szCs w:val="24"/>
        </w:rPr>
        <w:t>o estaría impedido para intervenir en los debates a un proyecto de ley que establece de manera general las reglas de resarcimiento a las víctimas de la violencia en Colombia.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todos estos casos, ciertamente, podría el congresista derivar de la ley en c</w:t>
      </w:r>
      <w:r>
        <w:rPr>
          <w:rFonts w:ascii="Times New Roman" w:eastAsia="Times New Roman" w:hAnsi="Times New Roman" w:cs="Times New Roman"/>
          <w:sz w:val="24"/>
          <w:szCs w:val="24"/>
        </w:rPr>
        <w:t xml:space="preserve">uya discusión interviene un beneficio personal, pero no por la circunstancia de ser miembro del Congreso ni porque la ley se dirija a un grupo de personas tan restringido y exclusivo (y por tanto excluyente) que convierta al congresista en un destinatario </w:t>
      </w:r>
      <w:r>
        <w:rPr>
          <w:rFonts w:ascii="Times New Roman" w:eastAsia="Times New Roman" w:hAnsi="Times New Roman" w:cs="Times New Roman"/>
          <w:sz w:val="24"/>
          <w:szCs w:val="24"/>
        </w:rPr>
        <w:t>predilecto. En los anteriores ejemplos las leyes no se dirigen a todos los colombianos sino a grupos muy significativos: los abogados, los indígenas, los propietarios de inmuebles, las víctimas del conflicto. No todos los congresistas forman parte necesari</w:t>
      </w:r>
      <w:r>
        <w:rPr>
          <w:rFonts w:ascii="Times New Roman" w:eastAsia="Times New Roman" w:hAnsi="Times New Roman" w:cs="Times New Roman"/>
          <w:sz w:val="24"/>
          <w:szCs w:val="24"/>
        </w:rPr>
        <w:t>amente de estos grupos, pero por la amplitud social de dichos sectores en la nación y la generalidad de las prescripciones de la ley a ellos dirigida, normalmente algunos de los congresistas podrían quedar incluidos. Pues bien, en estos casos no cabe la fi</w:t>
      </w:r>
      <w:r>
        <w:rPr>
          <w:rFonts w:ascii="Times New Roman" w:eastAsia="Times New Roman" w:hAnsi="Times New Roman" w:cs="Times New Roman"/>
          <w:sz w:val="24"/>
          <w:szCs w:val="24"/>
        </w:rPr>
        <w:t>gura de conflicto de intereses, pues a pesar de que un congresista podría convertirse en destinatario de alguna de las disposiciones legales, tal hecho no obedece a que la ley busque favorecerlo directa, exclusiva y especialmente.”</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consecuencia, se con</w:t>
      </w:r>
      <w:r>
        <w:rPr>
          <w:rFonts w:ascii="Times New Roman" w:eastAsia="Times New Roman" w:hAnsi="Times New Roman" w:cs="Times New Roman"/>
          <w:sz w:val="24"/>
          <w:szCs w:val="24"/>
        </w:rPr>
        <w:t>sidera que la Ley y la jurisprudencia han dado los criterios orientadores que determinan circunstancias en las cuales se podría estar incurso en un conflicto de interés. Para lo cual será necesario que respecto del asunto objeto de conocimiento de parte de</w:t>
      </w:r>
      <w:r>
        <w:rPr>
          <w:rFonts w:ascii="Times New Roman" w:eastAsia="Times New Roman" w:hAnsi="Times New Roman" w:cs="Times New Roman"/>
          <w:sz w:val="24"/>
          <w:szCs w:val="24"/>
        </w:rPr>
        <w:t>l congresista (discusión o votación) se reporte un beneficio en el que concurran tres características simultáneas, a saber, ser actual, particular y directo. Define la Ley también las circunstancias bajo las cuales se considera que no existe un conflicto d</w:t>
      </w:r>
      <w:r>
        <w:rPr>
          <w:rFonts w:ascii="Times New Roman" w:eastAsia="Times New Roman" w:hAnsi="Times New Roman" w:cs="Times New Roman"/>
          <w:sz w:val="24"/>
          <w:szCs w:val="24"/>
        </w:rPr>
        <w:t>e interés, en esa medida, se señala que aun cuando el congresista pueda reportar un beneficio, pero este se funde en el interés general, en el interés de sus electores, se dará lugar a que no exista tal conflicto.</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numPr>
          <w:ilvl w:val="0"/>
          <w:numId w:val="2"/>
        </w:numPr>
        <w:pBdr>
          <w:top w:val="nil"/>
          <w:left w:val="nil"/>
          <w:bottom w:val="nil"/>
          <w:right w:val="nil"/>
          <w:between w:val="nil"/>
        </w:pBdr>
        <w:rPr>
          <w:b/>
          <w:color w:val="000000"/>
        </w:rPr>
      </w:pPr>
      <w:r>
        <w:rPr>
          <w:b/>
          <w:color w:val="000000"/>
        </w:rPr>
        <w:t>PROPOSICIÓN</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concordancia con los térmi</w:t>
      </w:r>
      <w:r>
        <w:rPr>
          <w:rFonts w:ascii="Times New Roman" w:eastAsia="Times New Roman" w:hAnsi="Times New Roman" w:cs="Times New Roman"/>
          <w:sz w:val="24"/>
          <w:szCs w:val="24"/>
        </w:rPr>
        <w:t>nos anteriores, en nuestra condición de miembros del Congreso de la República, y en uso del derecho consagrado en el artículo 152 de la Constitución Política de Colombia, nos permitimos poner a consideración de los Honorables Miembros del Congreso de la Re</w:t>
      </w:r>
      <w:r>
        <w:rPr>
          <w:rFonts w:ascii="Times New Roman" w:eastAsia="Times New Roman" w:hAnsi="Times New Roman" w:cs="Times New Roman"/>
          <w:sz w:val="24"/>
          <w:szCs w:val="24"/>
        </w:rPr>
        <w:t>pública el presente proyecto de ley para su discusión y votación.</w:t>
      </w:r>
    </w:p>
    <w:p w:rsidR="00ED53A9" w:rsidRDefault="00ED53A9">
      <w:pPr>
        <w:spacing w:after="0" w:line="360" w:lineRule="auto"/>
        <w:jc w:val="both"/>
        <w:rPr>
          <w:rFonts w:ascii="Times New Roman" w:eastAsia="Times New Roman" w:hAnsi="Times New Roman" w:cs="Times New Roman"/>
          <w:sz w:val="24"/>
          <w:szCs w:val="24"/>
        </w:rPr>
      </w:pPr>
    </w:p>
    <w:p w:rsidR="00ED53A9" w:rsidRPr="005A31CD" w:rsidRDefault="0057517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A31CD">
        <w:rPr>
          <w:rFonts w:ascii="Times New Roman" w:eastAsia="Times New Roman" w:hAnsi="Times New Roman" w:cs="Times New Roman"/>
          <w:color w:val="000000"/>
          <w:sz w:val="24"/>
          <w:szCs w:val="24"/>
        </w:rPr>
        <w:t>BIBLIOGRAFÍA</w:t>
      </w:r>
    </w:p>
    <w:p w:rsidR="00ED53A9" w:rsidRDefault="00ED53A9">
      <w:pPr>
        <w:spacing w:after="0" w:line="360" w:lineRule="auto"/>
        <w:jc w:val="both"/>
        <w:rPr>
          <w:rFonts w:ascii="Times New Roman" w:eastAsia="Times New Roman" w:hAnsi="Times New Roman" w:cs="Times New Roman"/>
          <w:sz w:val="24"/>
          <w:szCs w:val="24"/>
        </w:rPr>
      </w:pP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ABDAHLLAH, Ricardo. “Aquí se baila”. En: ROLLING STONE Argentina. Buenos Aires. Mayo 1 de 2005.</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Alcaldía de Bucaramanga (2020). LAS CUMBIAS COMO SÍMBOLO DE IDENTIDAD, BUCARAMANGA 2020. </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BARRAGAN, Luz Marina Barragán. “Vivencias propias”. Letras de las cumbias y los maravillosos años 80.”. </w:t>
      </w:r>
      <w:proofErr w:type="spellStart"/>
      <w:r>
        <w:rPr>
          <w:rFonts w:ascii="Times New Roman" w:eastAsia="Times New Roman" w:hAnsi="Times New Roman" w:cs="Times New Roman"/>
          <w:sz w:val="24"/>
          <w:szCs w:val="24"/>
        </w:rPr>
        <w:t>Mimeo</w:t>
      </w:r>
      <w:proofErr w:type="spellEnd"/>
      <w:r>
        <w:rPr>
          <w:rFonts w:ascii="Times New Roman" w:eastAsia="Times New Roman" w:hAnsi="Times New Roman" w:cs="Times New Roman"/>
          <w:sz w:val="24"/>
          <w:szCs w:val="24"/>
        </w:rPr>
        <w:t>. Octubre de 2015. Bucaramanga.</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BUCARAMANGA. Concejo Muni</w:t>
      </w:r>
      <w:r>
        <w:rPr>
          <w:rFonts w:ascii="Times New Roman" w:eastAsia="Times New Roman" w:hAnsi="Times New Roman" w:cs="Times New Roman"/>
          <w:sz w:val="24"/>
          <w:szCs w:val="24"/>
        </w:rPr>
        <w:t xml:space="preserve">cipal de Bucaramanga. Acta # 031. Marzo 31 de 2014. Sesiones extraordinarias. </w:t>
      </w:r>
      <w:proofErr w:type="spellStart"/>
      <w:r>
        <w:rPr>
          <w:rFonts w:ascii="Times New Roman" w:eastAsia="Times New Roman" w:hAnsi="Times New Roman" w:cs="Times New Roman"/>
          <w:sz w:val="24"/>
          <w:szCs w:val="24"/>
        </w:rPr>
        <w:t>Mimeo</w:t>
      </w:r>
      <w:proofErr w:type="spellEnd"/>
      <w:r>
        <w:rPr>
          <w:rFonts w:ascii="Times New Roman" w:eastAsia="Times New Roman" w:hAnsi="Times New Roman" w:cs="Times New Roman"/>
          <w:sz w:val="24"/>
          <w:szCs w:val="24"/>
        </w:rPr>
        <w:t>.</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CUENCA, James. “Identidades sociales en jóvenes de sectores populares Aproximaciones a un grupo de raperos”. En: Culturales. Centro de Investigaciones y Estudios Superiore</w:t>
      </w:r>
      <w:r>
        <w:rPr>
          <w:rFonts w:ascii="Times New Roman" w:eastAsia="Times New Roman" w:hAnsi="Times New Roman" w:cs="Times New Roman"/>
          <w:sz w:val="24"/>
          <w:szCs w:val="24"/>
        </w:rPr>
        <w:t xml:space="preserve">s en Antropología Social 37. Enero-junio de 2008. página 25. </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Declaración Americana de los derechos humanos. Convención americana de derechos humanos. En: </w:t>
      </w:r>
      <w:hyperlink r:id="rId15">
        <w:r>
          <w:rPr>
            <w:rFonts w:ascii="Times New Roman" w:eastAsia="Times New Roman" w:hAnsi="Times New Roman" w:cs="Times New Roman"/>
            <w:color w:val="0563C1"/>
            <w:sz w:val="24"/>
            <w:szCs w:val="24"/>
            <w:u w:val="single"/>
          </w:rPr>
          <w:t>http://www.oas.org/es/c</w:t>
        </w:r>
        <w:r>
          <w:rPr>
            <w:rFonts w:ascii="Times New Roman" w:eastAsia="Times New Roman" w:hAnsi="Times New Roman" w:cs="Times New Roman"/>
            <w:color w:val="0563C1"/>
            <w:sz w:val="24"/>
            <w:szCs w:val="24"/>
            <w:u w:val="single"/>
          </w:rPr>
          <w:t>idh/mandato/Basicos/declaracion.asp</w:t>
        </w:r>
      </w:hyperlink>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EERTZ </w:t>
      </w:r>
      <w:proofErr w:type="spellStart"/>
      <w:r>
        <w:rPr>
          <w:rFonts w:ascii="Times New Roman" w:eastAsia="Times New Roman" w:hAnsi="Times New Roman" w:cs="Times New Roman"/>
          <w:sz w:val="24"/>
          <w:szCs w:val="24"/>
        </w:rPr>
        <w:t>Clifford</w:t>
      </w:r>
      <w:proofErr w:type="spellEnd"/>
      <w:r>
        <w:rPr>
          <w:rFonts w:ascii="Times New Roman" w:eastAsia="Times New Roman" w:hAnsi="Times New Roman" w:cs="Times New Roman"/>
          <w:sz w:val="24"/>
          <w:szCs w:val="24"/>
        </w:rPr>
        <w:t xml:space="preserve"> "La interpretación de las culturas". 2003. </w:t>
      </w:r>
      <w:proofErr w:type="spellStart"/>
      <w:r>
        <w:rPr>
          <w:rFonts w:ascii="Times New Roman" w:eastAsia="Times New Roman" w:hAnsi="Times New Roman" w:cs="Times New Roman"/>
          <w:sz w:val="24"/>
          <w:szCs w:val="24"/>
        </w:rPr>
        <w:t>Gedisa</w:t>
      </w:r>
      <w:proofErr w:type="spellEnd"/>
      <w:r>
        <w:rPr>
          <w:rFonts w:ascii="Times New Roman" w:eastAsia="Times New Roman" w:hAnsi="Times New Roman" w:cs="Times New Roman"/>
          <w:sz w:val="24"/>
          <w:szCs w:val="24"/>
        </w:rPr>
        <w:t>, Barcelona, 1983.</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JAIVER SNICK GÓMEZ TAPIAS y otro. “Tecnocumbia: música de una subcultura en Bucaramanga”. Trabajo final seminario metodología de la investigación. UIS. Escuela de Historia. 2013.Mimeo</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ORTIZ MANRIQUE, José. “La crisis pasional en el rito de entierro desarro</w:t>
      </w:r>
      <w:r>
        <w:rPr>
          <w:rFonts w:ascii="Times New Roman" w:eastAsia="Times New Roman" w:hAnsi="Times New Roman" w:cs="Times New Roman"/>
          <w:sz w:val="24"/>
          <w:szCs w:val="24"/>
        </w:rPr>
        <w:t xml:space="preserve">llado por un grupo de jóvenes de la periferia de </w:t>
      </w:r>
      <w:proofErr w:type="gramStart"/>
      <w:r>
        <w:rPr>
          <w:rFonts w:ascii="Times New Roman" w:eastAsia="Times New Roman" w:hAnsi="Times New Roman" w:cs="Times New Roman"/>
          <w:sz w:val="24"/>
          <w:szCs w:val="24"/>
        </w:rPr>
        <w:t>Bucaramanga“</w:t>
      </w:r>
      <w:proofErr w:type="gramEnd"/>
      <w:r>
        <w:rPr>
          <w:rFonts w:ascii="Times New Roman" w:eastAsia="Times New Roman" w:hAnsi="Times New Roman" w:cs="Times New Roman"/>
          <w:sz w:val="24"/>
          <w:szCs w:val="24"/>
        </w:rPr>
        <w:t>. En: Cuadernos de Semiótica Aplicada Vol. 4 # 1. Brasilia, junio de 2006.</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UNESCO (2011).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intangible cultural </w:t>
      </w:r>
      <w:proofErr w:type="spellStart"/>
      <w:proofErr w:type="gramStart"/>
      <w:r>
        <w:rPr>
          <w:rFonts w:ascii="Times New Roman" w:eastAsia="Times New Roman" w:hAnsi="Times New Roman" w:cs="Times New Roman"/>
          <w:sz w:val="24"/>
          <w:szCs w:val="24"/>
        </w:rPr>
        <w:t>heritage</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Recuperado de: </w:t>
      </w:r>
      <w:hyperlink r:id="rId16" w:anchor=":~:text=El%20patrimonio%20cultural%20inmaterial%20es%3A,caracter%C3%ADsticos%20de%20diversos%20grupos%20culturales">
        <w:r>
          <w:rPr>
            <w:rFonts w:ascii="Times New Roman" w:eastAsia="Times New Roman" w:hAnsi="Times New Roman" w:cs="Times New Roman"/>
            <w:color w:val="0563C1"/>
            <w:sz w:val="24"/>
            <w:szCs w:val="24"/>
            <w:u w:val="single"/>
          </w:rPr>
          <w:t>https://ich.unesco.org/es/que-es-el-patrimonio-inmaterial-00003#:~:text=El%20patrimonio%20cultural%20in</w:t>
        </w:r>
        <w:r>
          <w:rPr>
            <w:rFonts w:ascii="Times New Roman" w:eastAsia="Times New Roman" w:hAnsi="Times New Roman" w:cs="Times New Roman"/>
            <w:color w:val="0563C1"/>
            <w:sz w:val="24"/>
            <w:szCs w:val="24"/>
            <w:u w:val="single"/>
          </w:rPr>
          <w:t>material%20es%3A,caracter%C3%ADsticos%20de%20diversos%20grupos%20culturales</w:t>
        </w:r>
      </w:hyperlink>
      <w:r>
        <w:rPr>
          <w:rFonts w:ascii="Times New Roman" w:eastAsia="Times New Roman" w:hAnsi="Times New Roman" w:cs="Times New Roman"/>
          <w:sz w:val="24"/>
          <w:szCs w:val="24"/>
        </w:rPr>
        <w:t>.</w:t>
      </w:r>
    </w:p>
    <w:p w:rsidR="00ED53A9" w:rsidRDefault="005751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VARGAS MANCIPE, Yaneth. Tesis de grado. </w:t>
      </w:r>
      <w:proofErr w:type="spellStart"/>
      <w:r>
        <w:rPr>
          <w:rFonts w:ascii="Times New Roman" w:eastAsia="Times New Roman" w:hAnsi="Times New Roman" w:cs="Times New Roman"/>
          <w:sz w:val="24"/>
          <w:szCs w:val="24"/>
        </w:rPr>
        <w:t>Cumbieros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cumbieras</w:t>
      </w:r>
      <w:proofErr w:type="spellEnd"/>
      <w:r>
        <w:rPr>
          <w:rFonts w:ascii="Times New Roman" w:eastAsia="Times New Roman" w:hAnsi="Times New Roman" w:cs="Times New Roman"/>
          <w:sz w:val="24"/>
          <w:szCs w:val="24"/>
        </w:rPr>
        <w:t>: bailando y cantando al son de la exclusión en Bucaramanga. Universidad Tecnológica de Pereira. Maestría en Comunicac</w:t>
      </w:r>
      <w:r>
        <w:rPr>
          <w:rFonts w:ascii="Times New Roman" w:eastAsia="Times New Roman" w:hAnsi="Times New Roman" w:cs="Times New Roman"/>
          <w:sz w:val="24"/>
          <w:szCs w:val="24"/>
        </w:rPr>
        <w:t>ión Educativa. 2011.</w:t>
      </w:r>
    </w:p>
    <w:p w:rsidR="00ED53A9" w:rsidRDefault="00ED53A9">
      <w:pPr>
        <w:spacing w:after="0" w:line="360" w:lineRule="auto"/>
        <w:jc w:val="both"/>
        <w:rPr>
          <w:rFonts w:ascii="Times New Roman" w:eastAsia="Times New Roman" w:hAnsi="Times New Roman" w:cs="Times New Roman"/>
          <w:sz w:val="24"/>
          <w:szCs w:val="24"/>
        </w:rPr>
      </w:pPr>
    </w:p>
    <w:tbl>
      <w:tblPr>
        <w:tblStyle w:val="a0"/>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sz w:val="24"/>
                <w:szCs w:val="24"/>
              </w:rPr>
            </w:pPr>
          </w:p>
          <w:p w:rsidR="005A31CD" w:rsidRDefault="005A31CD" w:rsidP="00203398">
            <w:pPr>
              <w:spacing w:after="0" w:line="240" w:lineRule="auto"/>
              <w:rPr>
                <w:rFonts w:ascii="Arial" w:eastAsia="Arial" w:hAnsi="Arial" w:cs="Arial"/>
                <w:b/>
                <w:sz w:val="24"/>
                <w:szCs w:val="24"/>
              </w:rPr>
            </w:pPr>
          </w:p>
          <w:p w:rsidR="005A31CD" w:rsidRDefault="005A31CD" w:rsidP="00203398">
            <w:pPr>
              <w:spacing w:after="0" w:line="240" w:lineRule="auto"/>
              <w:rPr>
                <w:rFonts w:ascii="Arial" w:eastAsia="Arial" w:hAnsi="Arial" w:cs="Arial"/>
                <w:b/>
                <w:sz w:val="24"/>
                <w:szCs w:val="24"/>
              </w:rPr>
            </w:pPr>
            <w:r>
              <w:rPr>
                <w:rFonts w:ascii="Arial" w:eastAsia="Arial" w:hAnsi="Arial" w:cs="Arial"/>
                <w:b/>
                <w:sz w:val="24"/>
                <w:szCs w:val="24"/>
              </w:rPr>
              <w:t>ERIKA TATIANA SÁNCHEZ PINTO</w:t>
            </w:r>
          </w:p>
          <w:p w:rsidR="005A31CD" w:rsidRDefault="005A31CD" w:rsidP="00203398">
            <w:pPr>
              <w:spacing w:after="0" w:line="240" w:lineRule="auto"/>
              <w:rPr>
                <w:rFonts w:ascii="Arial" w:eastAsia="Arial" w:hAnsi="Arial" w:cs="Arial"/>
                <w:b/>
                <w:sz w:val="24"/>
                <w:szCs w:val="24"/>
              </w:rPr>
            </w:pPr>
            <w:r>
              <w:rPr>
                <w:rFonts w:ascii="Arial" w:eastAsia="Arial" w:hAnsi="Arial" w:cs="Arial"/>
                <w:b/>
                <w:sz w:val="24"/>
                <w:szCs w:val="24"/>
              </w:rPr>
              <w:t xml:space="preserve">Representante a la Cámara </w:t>
            </w:r>
          </w:p>
          <w:p w:rsidR="005A31CD" w:rsidRDefault="005A31CD" w:rsidP="00203398">
            <w:pPr>
              <w:spacing w:after="0" w:line="240" w:lineRule="auto"/>
              <w:rPr>
                <w:rFonts w:ascii="Times New Roman" w:eastAsia="Times New Roman" w:hAnsi="Times New Roman" w:cs="Times New Roman"/>
                <w:b/>
                <w:sz w:val="24"/>
                <w:szCs w:val="24"/>
              </w:rPr>
            </w:pPr>
            <w:r>
              <w:rPr>
                <w:rFonts w:ascii="Arial" w:eastAsia="Arial" w:hAnsi="Arial" w:cs="Arial"/>
                <w:b/>
                <w:sz w:val="24"/>
                <w:szCs w:val="24"/>
              </w:rPr>
              <w:t>Departamento de Santander</w:t>
            </w: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B86E47A" wp14:editId="40F7F590">
                  <wp:extent cx="1553210" cy="1123950"/>
                  <wp:effectExtent l="0" t="0" r="889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53532" cy="1124183"/>
                          </a:xfrm>
                          <a:prstGeom prst="rect">
                            <a:avLst/>
                          </a:prstGeom>
                          <a:ln/>
                        </pic:spPr>
                      </pic:pic>
                    </a:graphicData>
                  </a:graphic>
                </wp:inline>
              </w:drawing>
            </w:r>
          </w:p>
          <w:p w:rsidR="005A31CD" w:rsidRDefault="005A31CD" w:rsidP="00203398">
            <w:pPr>
              <w:spacing w:after="0" w:line="240" w:lineRule="auto"/>
              <w:jc w:val="center"/>
              <w:rPr>
                <w:rFonts w:ascii="Arial" w:eastAsia="Arial" w:hAnsi="Arial" w:cs="Arial"/>
                <w:b/>
                <w:sz w:val="24"/>
                <w:szCs w:val="24"/>
              </w:rPr>
            </w:pPr>
            <w:r>
              <w:rPr>
                <w:rFonts w:ascii="Arial" w:eastAsia="Arial" w:hAnsi="Arial" w:cs="Arial"/>
                <w:b/>
                <w:sz w:val="24"/>
                <w:szCs w:val="24"/>
              </w:rPr>
              <w:t>MARELEN CASTILLO TORRES</w:t>
            </w:r>
          </w:p>
          <w:p w:rsidR="005A31CD" w:rsidRDefault="005A31CD" w:rsidP="00203398">
            <w:pPr>
              <w:spacing w:after="0" w:line="240" w:lineRule="auto"/>
              <w:jc w:val="center"/>
              <w:rPr>
                <w:rFonts w:ascii="Times New Roman" w:eastAsia="Times New Roman" w:hAnsi="Times New Roman" w:cs="Times New Roman"/>
                <w:b/>
                <w:sz w:val="24"/>
                <w:szCs w:val="24"/>
              </w:rPr>
            </w:pPr>
            <w:r>
              <w:rPr>
                <w:rFonts w:ascii="Arial" w:eastAsia="Arial" w:hAnsi="Arial" w:cs="Arial"/>
                <w:b/>
                <w:sz w:val="24"/>
                <w:szCs w:val="24"/>
              </w:rPr>
              <w:t xml:space="preserve">Representante a la Cámara </w:t>
            </w: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r w:rsidR="005A31CD" w:rsidTr="00203398">
        <w:trPr>
          <w:jc w:val="center"/>
        </w:trPr>
        <w:tc>
          <w:tcPr>
            <w:tcW w:w="4419" w:type="dxa"/>
            <w:shd w:val="clear" w:color="auto" w:fill="auto"/>
            <w:tcMar>
              <w:top w:w="100" w:type="dxa"/>
              <w:left w:w="100" w:type="dxa"/>
              <w:bottom w:w="100" w:type="dxa"/>
              <w:right w:w="100" w:type="dxa"/>
            </w:tcMar>
          </w:tcPr>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p w:rsidR="005A31CD" w:rsidRDefault="005A31CD" w:rsidP="00203398">
            <w:pPr>
              <w:spacing w:after="0" w:line="240" w:lineRule="auto"/>
              <w:rPr>
                <w:rFonts w:ascii="Arial" w:eastAsia="Arial" w:hAnsi="Arial" w:cs="Arial"/>
                <w:b/>
                <w:noProof/>
                <w:sz w:val="24"/>
                <w:szCs w:val="24"/>
              </w:rPr>
            </w:pPr>
          </w:p>
        </w:tc>
        <w:tc>
          <w:tcPr>
            <w:tcW w:w="4419" w:type="dxa"/>
            <w:shd w:val="clear" w:color="auto" w:fill="auto"/>
            <w:tcMar>
              <w:top w:w="100" w:type="dxa"/>
              <w:left w:w="100" w:type="dxa"/>
              <w:bottom w:w="100" w:type="dxa"/>
              <w:right w:w="100" w:type="dxa"/>
            </w:tcMar>
          </w:tcPr>
          <w:p w:rsidR="005A31CD" w:rsidRDefault="005A31CD" w:rsidP="00203398">
            <w:pPr>
              <w:spacing w:after="0" w:line="240" w:lineRule="auto"/>
              <w:jc w:val="center"/>
              <w:rPr>
                <w:rFonts w:ascii="Arial" w:eastAsia="Arial" w:hAnsi="Arial" w:cs="Arial"/>
                <w:b/>
                <w:noProof/>
                <w:sz w:val="24"/>
                <w:szCs w:val="24"/>
              </w:rPr>
            </w:pPr>
          </w:p>
        </w:tc>
      </w:tr>
    </w:tbl>
    <w:p w:rsidR="00ED53A9" w:rsidRDefault="00ED53A9" w:rsidP="005A31CD">
      <w:pPr>
        <w:spacing w:after="0" w:line="360" w:lineRule="auto"/>
        <w:jc w:val="center"/>
        <w:rPr>
          <w:rFonts w:ascii="Times New Roman" w:eastAsia="Times New Roman" w:hAnsi="Times New Roman" w:cs="Times New Roman"/>
          <w:sz w:val="24"/>
          <w:szCs w:val="24"/>
        </w:rPr>
      </w:pPr>
    </w:p>
    <w:sectPr w:rsidR="00ED53A9">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4BCF"/>
    <w:multiLevelType w:val="multilevel"/>
    <w:tmpl w:val="2A0ED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803082"/>
    <w:multiLevelType w:val="multilevel"/>
    <w:tmpl w:val="39FE5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2E01C3"/>
    <w:multiLevelType w:val="multilevel"/>
    <w:tmpl w:val="951E34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A9"/>
    <w:rsid w:val="00575175"/>
    <w:rsid w:val="005A31CD"/>
    <w:rsid w:val="006A27A9"/>
    <w:rsid w:val="00EB36AB"/>
    <w:rsid w:val="00ED53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5C7A"/>
  <w15:docId w15:val="{B24FA7C5-346C-479C-8CCA-0CB0E912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33A"/>
  </w:style>
  <w:style w:type="paragraph" w:styleId="Ttulo1">
    <w:name w:val="heading 1"/>
    <w:basedOn w:val="Normal"/>
    <w:next w:val="Normal"/>
    <w:link w:val="Ttulo1Car"/>
    <w:uiPriority w:val="9"/>
    <w:qFormat/>
    <w:rsid w:val="00765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C6532"/>
    <w:rPr>
      <w:color w:val="0563C1" w:themeColor="hyperlink"/>
      <w:u w:val="single"/>
    </w:rPr>
  </w:style>
  <w:style w:type="character" w:customStyle="1" w:styleId="Mencinsinresolver1">
    <w:name w:val="Mención sin resolver1"/>
    <w:basedOn w:val="Fuentedeprrafopredeter"/>
    <w:uiPriority w:val="99"/>
    <w:semiHidden/>
    <w:unhideWhenUsed/>
    <w:rsid w:val="009C6532"/>
    <w:rPr>
      <w:color w:val="605E5C"/>
      <w:shd w:val="clear" w:color="auto" w:fill="E1DFDD"/>
    </w:rPr>
  </w:style>
  <w:style w:type="paragraph" w:styleId="Prrafodelista">
    <w:name w:val="List Paragraph"/>
    <w:basedOn w:val="Normal"/>
    <w:uiPriority w:val="34"/>
    <w:qFormat/>
    <w:rsid w:val="00BD7A05"/>
    <w:pPr>
      <w:ind w:left="720"/>
      <w:contextualSpacing/>
    </w:pPr>
  </w:style>
  <w:style w:type="character" w:customStyle="1" w:styleId="Ttulo1Car">
    <w:name w:val="Título 1 Car"/>
    <w:basedOn w:val="Fuentedeprrafopredeter"/>
    <w:link w:val="Ttulo1"/>
    <w:uiPriority w:val="9"/>
    <w:rsid w:val="00765CC2"/>
    <w:rPr>
      <w:rFonts w:asciiTheme="majorHAnsi" w:eastAsiaTheme="majorEastAsia" w:hAnsiTheme="majorHAnsi" w:cstheme="majorBidi"/>
      <w:color w:val="2F5496" w:themeColor="accent1" w:themeShade="BF"/>
      <w:sz w:val="32"/>
      <w:szCs w:val="32"/>
    </w:rPr>
  </w:style>
  <w:style w:type="paragraph" w:styleId="Descripcin">
    <w:name w:val="caption"/>
    <w:basedOn w:val="Normal"/>
    <w:next w:val="Normal"/>
    <w:uiPriority w:val="35"/>
    <w:unhideWhenUsed/>
    <w:qFormat/>
    <w:rsid w:val="00025344"/>
    <w:pPr>
      <w:spacing w:after="200" w:line="240" w:lineRule="auto"/>
    </w:pPr>
    <w:rPr>
      <w:i/>
      <w:iCs/>
      <w:color w:val="44546A" w:themeColor="text2"/>
      <w:sz w:val="18"/>
      <w:szCs w:val="18"/>
    </w:rPr>
  </w:style>
  <w:style w:type="character" w:customStyle="1" w:styleId="UnresolvedMention">
    <w:name w:val="Unresolved Mention"/>
    <w:basedOn w:val="Fuentedeprrafopredeter"/>
    <w:uiPriority w:val="99"/>
    <w:semiHidden/>
    <w:unhideWhenUsed/>
    <w:rsid w:val="00E34CCB"/>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A27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2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ch.unesco.org/es/tecnicas-artesanales-tradicionales-000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ch.unesco.org/es/conocimientos-relacionados-con-la-naturaleza-000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s/que-es-el-patrimonio-inmaterial-0000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ch.unesco.org/es/usos-sociales-rituales-y-00055" TargetMode="External"/><Relationship Id="rId5" Type="http://schemas.openxmlformats.org/officeDocument/2006/relationships/webSettings" Target="webSettings.xml"/><Relationship Id="rId15" Type="http://schemas.openxmlformats.org/officeDocument/2006/relationships/hyperlink" Target="http://www.oas.org/es/cidh/mandato/Basicos/declaracion.asp" TargetMode="External"/><Relationship Id="rId10" Type="http://schemas.openxmlformats.org/officeDocument/2006/relationships/hyperlink" Target="https://ich.unesco.org/es/artes-del-espectaculo-00054" TargetMode="External"/><Relationship Id="rId4" Type="http://schemas.openxmlformats.org/officeDocument/2006/relationships/settings" Target="settings.xml"/><Relationship Id="rId9" Type="http://schemas.openxmlformats.org/officeDocument/2006/relationships/hyperlink" Target="https://ich.unesco.org/es/tradiciones-y-expresiones-orales-00053"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IJnxr40iLdH8u7PDskPmpACrw==">CgMxLjAaHwoBMBIaChgICVIUChJ0YWJsZS54eno5YXJiNDcxa2MaHwoBMRIaChgICVIUChJ0YWJsZS5ha2J1NGZtdmZ6cnUaHwoBMhIaChgICVIUChJ0YWJsZS5rY2NrNDBwMWZ3YWg4AHIhMUlEWkU1WlQ1aEFLM2ZUMGJYakZYTWo2Y3BtY2lIRHlI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5227</Words>
  <Characters>28750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Botero</dc:creator>
  <cp:lastModifiedBy>Felipe Andres Botero Urquijo</cp:lastModifiedBy>
  <cp:revision>4</cp:revision>
  <cp:lastPrinted>2024-09-03T16:21:00Z</cp:lastPrinted>
  <dcterms:created xsi:type="dcterms:W3CDTF">2024-09-03T16:20:00Z</dcterms:created>
  <dcterms:modified xsi:type="dcterms:W3CDTF">2024-09-03T16:21:00Z</dcterms:modified>
</cp:coreProperties>
</file>