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9CAD" w14:textId="38A35A16" w:rsidR="00100797" w:rsidRPr="00BA2289" w:rsidRDefault="0003180F" w:rsidP="00983F5D">
      <w:pPr>
        <w:widowControl w:val="0"/>
        <w:pBdr>
          <w:top w:val="nil"/>
          <w:left w:val="nil"/>
          <w:bottom w:val="nil"/>
          <w:right w:val="nil"/>
          <w:between w:val="nil"/>
        </w:pBdr>
        <w:spacing w:after="0"/>
        <w:ind w:hanging="2"/>
        <w:jc w:val="center"/>
        <w:rPr>
          <w:rStyle w:val="Ninguno"/>
          <w:rFonts w:ascii="Arial" w:eastAsia="Arial" w:hAnsi="Arial" w:cs="Arial"/>
          <w:b/>
          <w:bCs/>
          <w:lang w:val="es-CO"/>
        </w:rPr>
      </w:pPr>
      <w:r w:rsidRPr="00BA2289">
        <w:rPr>
          <w:rFonts w:ascii="Arial" w:hAnsi="Arial" w:cs="Arial"/>
          <w:noProof/>
          <w:lang w:eastAsia="es-CO"/>
        </w:rPr>
        <mc:AlternateContent>
          <mc:Choice Requires="wps">
            <w:drawing>
              <wp:inline distT="0" distB="0" distL="0" distR="0" wp14:anchorId="5A41D887" wp14:editId="3E5AA1FD">
                <wp:extent cx="307340" cy="307340"/>
                <wp:effectExtent l="0" t="0" r="0" b="0"/>
                <wp:docPr id="17" name="Rectángulo 17" descr="blob:https://web.whatsapp.com/cc58f256-516f-4b4c-a2c0-1a1a939c1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59469F" id="Rectángulo 17" o:spid="_x0000_s1026" alt="blob:https://web.whatsapp.com/cc58f256-516f-4b4c-a2c0-1a1a939c1153"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" filled="f" stroked="f">
                <o:lock v:ext="edit" aspectratio="t"/>
                <w10:anchorlock/>
              </v:rect>
            </w:pict>
          </mc:Fallback>
        </mc:AlternateContent>
      </w:r>
      <w:r w:rsidRPr="00BA2289">
        <w:rPr>
          <w:rFonts w:ascii="Arial" w:hAnsi="Arial" w:cs="Arial"/>
          <w:noProof/>
          <w:lang w:eastAsia="es-CO"/>
        </w:rPr>
        <mc:AlternateContent>
          <mc:Choice Requires="wps">
            <w:drawing>
              <wp:inline distT="0" distB="0" distL="0" distR="0" wp14:anchorId="2FE8AF29" wp14:editId="5FD8FC60">
                <wp:extent cx="307340" cy="307340"/>
                <wp:effectExtent l="0" t="0" r="0" b="0"/>
                <wp:docPr id="18" name="Rectángulo 18" descr="blob:https://web.whatsapp.com/cc58f256-516f-4b4c-a2c0-1a1a939c1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F42CA" id="Rectángulo 18" o:spid="_x0000_s1026" alt="blob:https://web.whatsapp.com/cc58f256-516f-4b4c-a2c0-1a1a939c1153"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" filled="f" stroked="f">
                <o:lock v:ext="edit" aspectratio="t"/>
                <w10:anchorlock/>
              </v:rect>
            </w:pict>
          </mc:Fallback>
        </mc:AlternateContent>
      </w:r>
      <w:r w:rsidR="00100797" w:rsidRPr="00BA2289">
        <w:rPr>
          <w:rStyle w:val="Ninguno"/>
          <w:rFonts w:ascii="Arial" w:hAnsi="Arial" w:cs="Arial"/>
          <w:b/>
          <w:lang w:val="es-CO"/>
        </w:rPr>
        <w:t>PROYECTO DE LEY ___ DE 202</w:t>
      </w:r>
      <w:r w:rsidR="007F3421" w:rsidRPr="00BA2289">
        <w:rPr>
          <w:rStyle w:val="Ninguno"/>
          <w:rFonts w:ascii="Arial" w:hAnsi="Arial" w:cs="Arial"/>
          <w:b/>
          <w:lang w:val="es-CO"/>
        </w:rPr>
        <w:t>5</w:t>
      </w:r>
      <w:r w:rsidR="00100797" w:rsidRPr="00BA2289">
        <w:rPr>
          <w:rStyle w:val="Ninguno"/>
          <w:rFonts w:ascii="Arial" w:hAnsi="Arial" w:cs="Arial"/>
          <w:b/>
          <w:lang w:val="es-CO"/>
        </w:rPr>
        <w:t xml:space="preserve"> CÁMARA</w:t>
      </w:r>
    </w:p>
    <w:p w14:paraId="7C136EF0" w14:textId="77777777" w:rsidR="00100797" w:rsidRPr="00BA2289" w:rsidRDefault="00100797" w:rsidP="00BA5C8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Arial" w:hAnsi="Arial" w:cs="Arial"/>
          <w:b/>
          <w:bCs/>
          <w:color w:val="auto"/>
          <w:lang w:val="es-CO"/>
        </w:rPr>
      </w:pPr>
    </w:p>
    <w:p w14:paraId="5F42B004" w14:textId="6B980A69" w:rsidR="00270081" w:rsidRPr="00BA2289" w:rsidRDefault="00983F5D" w:rsidP="00BA5C8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hAnsi="Arial" w:cs="Arial"/>
          <w:b/>
          <w:color w:val="auto"/>
          <w:shd w:val="clear" w:color="auto" w:fill="FFFFFF"/>
          <w:lang w:val="es-CO"/>
        </w:rPr>
      </w:pPr>
      <w:r w:rsidRPr="00BA2289">
        <w:rPr>
          <w:rFonts w:ascii="Arial" w:hAnsi="Arial" w:cs="Arial"/>
          <w:b/>
          <w:color w:val="auto"/>
          <w:shd w:val="clear" w:color="auto" w:fill="FFFFFF"/>
          <w:lang w:val="es-CO"/>
        </w:rPr>
        <w:t xml:space="preserve"> “POR MEDIO DE LA CUAL SE RECONOCE BONIFICACIÓN </w:t>
      </w:r>
      <w:r w:rsidR="007F3421" w:rsidRPr="00BA2289">
        <w:rPr>
          <w:rFonts w:ascii="Arial" w:hAnsi="Arial" w:cs="Arial"/>
          <w:b/>
          <w:color w:val="auto"/>
          <w:shd w:val="clear" w:color="auto" w:fill="FFFFFF"/>
          <w:lang w:val="es-CO"/>
        </w:rPr>
        <w:t xml:space="preserve">ESPECIAL </w:t>
      </w:r>
      <w:r w:rsidRPr="00BA2289">
        <w:rPr>
          <w:rFonts w:ascii="Arial" w:hAnsi="Arial" w:cs="Arial"/>
          <w:b/>
          <w:color w:val="auto"/>
          <w:shd w:val="clear" w:color="auto" w:fill="FFFFFF"/>
          <w:lang w:val="es-CO"/>
        </w:rPr>
        <w:t>AL PERSONAL ADMINISTRATIVO DE INSTITUCIONES EDUCATIVAS DEL ESTADO, UBICADAS EN ZONAS DE DIFÍCIL ACCESO”</w:t>
      </w:r>
    </w:p>
    <w:p w14:paraId="543B714B" w14:textId="77777777" w:rsidR="002C4112" w:rsidRPr="00BA2289" w:rsidRDefault="002C4112" w:rsidP="00BA5C8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Times New Roman" w:hAnsi="Arial" w:cs="Arial"/>
          <w:b/>
          <w:color w:val="auto"/>
          <w:lang w:val="es-CO"/>
        </w:rPr>
      </w:pPr>
    </w:p>
    <w:p w14:paraId="16504EE7" w14:textId="77777777" w:rsidR="00100797" w:rsidRPr="00BA2289" w:rsidRDefault="00100797" w:rsidP="00BA5C8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Arial" w:eastAsia="Arial" w:hAnsi="Arial" w:cs="Arial"/>
          <w:color w:val="auto"/>
          <w:lang w:val="es-CO"/>
        </w:rPr>
      </w:pPr>
      <w:r w:rsidRPr="00BA2289">
        <w:rPr>
          <w:rStyle w:val="Ninguno"/>
          <w:rFonts w:ascii="Arial" w:hAnsi="Arial" w:cs="Arial"/>
          <w:color w:val="auto"/>
          <w:lang w:val="es-CO"/>
        </w:rPr>
        <w:t>El Congreso de Colombia</w:t>
      </w:r>
    </w:p>
    <w:p w14:paraId="21EFAFF0" w14:textId="77777777" w:rsidR="00100797" w:rsidRPr="00BA2289" w:rsidRDefault="00100797" w:rsidP="00BA5C8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Roboto" w:hAnsi="Arial" w:cs="Arial"/>
          <w:b/>
          <w:color w:val="auto"/>
          <w:lang w:val="es-CO"/>
        </w:rPr>
      </w:pPr>
    </w:p>
    <w:p w14:paraId="033D50A0" w14:textId="39D544CF" w:rsidR="00100797" w:rsidRPr="00BA2289" w:rsidRDefault="00100797" w:rsidP="00BA5C8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eastAsia="Roboto" w:hAnsi="Arial" w:cs="Arial"/>
          <w:b/>
          <w:color w:val="auto"/>
          <w:lang w:val="es-CO"/>
        </w:rPr>
      </w:pPr>
      <w:r w:rsidRPr="00BA2289">
        <w:rPr>
          <w:rFonts w:ascii="Arial" w:eastAsia="Roboto" w:hAnsi="Arial" w:cs="Arial"/>
          <w:b/>
          <w:color w:val="auto"/>
          <w:lang w:val="es-CO"/>
        </w:rPr>
        <w:t>DECRETA</w:t>
      </w:r>
    </w:p>
    <w:p w14:paraId="2BCB409F" w14:textId="123235AA" w:rsidR="005D2DA3" w:rsidRPr="00BA2289" w:rsidRDefault="00E77D10" w:rsidP="00DA3CF4">
      <w:pPr>
        <w:shd w:val="clear" w:color="auto" w:fill="FFFFFF"/>
        <w:spacing w:before="100" w:beforeAutospacing="1" w:after="100" w:afterAutospacing="1"/>
        <w:jc w:val="both"/>
        <w:rPr>
          <w:rFonts w:ascii="Arial" w:hAnsi="Arial" w:cs="Arial"/>
          <w:shd w:val="clear" w:color="auto" w:fill="FFFFFF"/>
        </w:rPr>
      </w:pPr>
      <w:r w:rsidRPr="00BA2289">
        <w:rPr>
          <w:rFonts w:ascii="Arial" w:hAnsi="Arial" w:cs="Arial"/>
          <w:b/>
          <w:bCs/>
          <w:shd w:val="clear" w:color="auto" w:fill="FFFFFF"/>
        </w:rPr>
        <w:t xml:space="preserve">ARTÍCULO 1°. </w:t>
      </w:r>
      <w:r w:rsidR="001C0495" w:rsidRPr="00BA2289">
        <w:rPr>
          <w:rFonts w:ascii="Arial" w:hAnsi="Arial" w:cs="Arial"/>
          <w:shd w:val="clear" w:color="auto" w:fill="FFFFFF"/>
        </w:rPr>
        <w:t>Adiciónese un parágrafo al artículo 2 de la Ley</w:t>
      </w:r>
      <w:r w:rsidR="001C0495" w:rsidRPr="00BA2289">
        <w:rPr>
          <w:rFonts w:ascii="Arial" w:hAnsi="Arial" w:cs="Arial"/>
          <w:b/>
          <w:bCs/>
          <w:shd w:val="clear" w:color="auto" w:fill="FFFFFF"/>
        </w:rPr>
        <w:t xml:space="preserve"> </w:t>
      </w:r>
      <w:r w:rsidR="001C0495" w:rsidRPr="00BA2289">
        <w:rPr>
          <w:rFonts w:ascii="Arial" w:hAnsi="Arial" w:cs="Arial"/>
          <w:shd w:val="clear" w:color="auto" w:fill="FFFFFF"/>
        </w:rPr>
        <w:t xml:space="preserve">1297 de 2009, el cual quedara así: </w:t>
      </w:r>
    </w:p>
    <w:p w14:paraId="5B00F495" w14:textId="1E1E2806" w:rsidR="001C0495" w:rsidRPr="00BA2289" w:rsidRDefault="001C0495" w:rsidP="00DA3CF4">
      <w:pPr>
        <w:shd w:val="clear" w:color="auto" w:fill="FFFFFF"/>
        <w:spacing w:before="100" w:beforeAutospacing="1" w:after="100" w:afterAutospacing="1"/>
        <w:jc w:val="both"/>
        <w:rPr>
          <w:rFonts w:ascii="Arial" w:hAnsi="Arial" w:cs="Arial"/>
          <w:shd w:val="clear" w:color="auto" w:fill="FFFFFF"/>
        </w:rPr>
      </w:pPr>
      <w:bookmarkStart w:id="0" w:name="2"/>
      <w:r w:rsidRPr="00BA2289">
        <w:rPr>
          <w:rFonts w:ascii="Arial" w:hAnsi="Arial" w:cs="Arial"/>
          <w:b/>
          <w:bCs/>
          <w:shd w:val="clear" w:color="auto" w:fill="FFFFFF"/>
        </w:rPr>
        <w:t>ARTÍCULO 2o. INCENTIVOS A DOCENTES DE ZONAS DE DIFÍCIL ACCESO.</w:t>
      </w:r>
      <w:bookmarkEnd w:id="0"/>
      <w:r w:rsidRPr="00BA2289">
        <w:rPr>
          <w:rFonts w:ascii="Arial" w:hAnsi="Arial" w:cs="Arial"/>
          <w:shd w:val="clear" w:color="auto" w:fill="FFFFFF"/>
        </w:rPr>
        <w:t> Los docentes estatales que presten servicios en zonas de difícil acceso, que acrediten cualquiera de los títulos académicos requeridos para el ejercicio de la docencia al servicio del Estado, mientras presten sus servicios en esas zonas, disfrutarán de una bonificación especial, según reglamentación que expida el Gobierno Nacional. Esta bonificación también se pagará a los docentes que se contraten en los términos del parágrafo 1o de esta ley siempre que acrediten título de normalista superior, licenciado o profesional. Además, con cargo a los recursos del Sistema General de Participaciones, destinados a mantener, evaluar y promover la calidad educativa, se contratará anualmente la capacitación de los docentes vinculados a la educación estatal en las zonas de difícil acceso, conducente a título para los no titulados y de actualización para los demás.</w:t>
      </w:r>
    </w:p>
    <w:p w14:paraId="05F22E52" w14:textId="11368EEA" w:rsidR="001C0495" w:rsidRPr="00BA2289" w:rsidRDefault="001C0495" w:rsidP="00DA3CF4">
      <w:pPr>
        <w:shd w:val="clear" w:color="auto" w:fill="FFFFFF"/>
        <w:spacing w:before="100" w:beforeAutospacing="1" w:after="100" w:afterAutospacing="1"/>
        <w:jc w:val="both"/>
        <w:rPr>
          <w:rFonts w:ascii="Arial" w:hAnsi="Arial" w:cs="Arial"/>
          <w:u w:val="single"/>
          <w:shd w:val="clear" w:color="auto" w:fill="FFFFFF"/>
        </w:rPr>
      </w:pPr>
      <w:r w:rsidRPr="00BA2289">
        <w:rPr>
          <w:rFonts w:ascii="Arial" w:hAnsi="Arial" w:cs="Arial"/>
          <w:b/>
          <w:bCs/>
          <w:u w:val="single"/>
          <w:shd w:val="clear" w:color="auto" w:fill="FFFFFF"/>
        </w:rPr>
        <w:t xml:space="preserve">PARÁGRAFO. </w:t>
      </w:r>
      <w:r w:rsidR="007F5306" w:rsidRPr="00BA2289">
        <w:rPr>
          <w:rFonts w:ascii="Arial" w:hAnsi="Arial" w:cs="Arial"/>
          <w:u w:val="single"/>
          <w:shd w:val="clear" w:color="auto" w:fill="FFFFFF"/>
        </w:rPr>
        <w:t>EL</w:t>
      </w:r>
      <w:r w:rsidR="007F5306" w:rsidRPr="00BA2289">
        <w:rPr>
          <w:rFonts w:ascii="Arial" w:hAnsi="Arial" w:cs="Arial"/>
          <w:b/>
          <w:bCs/>
          <w:u w:val="single"/>
          <w:shd w:val="clear" w:color="auto" w:fill="FFFFFF"/>
        </w:rPr>
        <w:t xml:space="preserve"> </w:t>
      </w:r>
      <w:r w:rsidR="0027499B" w:rsidRPr="00BA2289">
        <w:rPr>
          <w:rFonts w:ascii="Arial" w:hAnsi="Arial" w:cs="Arial"/>
          <w:u w:val="single"/>
          <w:shd w:val="clear" w:color="auto" w:fill="FFFFFF"/>
        </w:rPr>
        <w:t>personal administrativo de las Instituciones Educativas del Estado</w:t>
      </w:r>
      <w:r w:rsidR="007F5306" w:rsidRPr="00BA2289">
        <w:rPr>
          <w:rFonts w:ascii="Arial" w:hAnsi="Arial" w:cs="Arial"/>
          <w:u w:val="single"/>
          <w:shd w:val="clear" w:color="auto" w:fill="FFFFFF"/>
        </w:rPr>
        <w:t xml:space="preserve"> ubicadas en zonas definidas como </w:t>
      </w:r>
      <w:r w:rsidRPr="00BA2289">
        <w:rPr>
          <w:rFonts w:ascii="Arial" w:hAnsi="Arial" w:cs="Arial"/>
          <w:u w:val="single"/>
          <w:shd w:val="clear" w:color="auto" w:fill="FFFFFF"/>
        </w:rPr>
        <w:t>de difícil acceso</w:t>
      </w:r>
      <w:r w:rsidR="007F5306" w:rsidRPr="00BA2289">
        <w:rPr>
          <w:rFonts w:ascii="Arial" w:hAnsi="Arial" w:cs="Arial"/>
          <w:u w:val="single"/>
          <w:shd w:val="clear" w:color="auto" w:fill="FFFFFF"/>
        </w:rPr>
        <w:t>, tendrá derecho a</w:t>
      </w:r>
      <w:r w:rsidR="00A029E1" w:rsidRPr="00BA2289">
        <w:rPr>
          <w:rFonts w:ascii="Arial" w:hAnsi="Arial" w:cs="Arial"/>
          <w:u w:val="single"/>
          <w:shd w:val="clear" w:color="auto" w:fill="FFFFFF"/>
        </w:rPr>
        <w:t xml:space="preserve"> la misma bonificación especial de la que trata el presente artículo, según reglamentación que expida el Gobierno Nacional. </w:t>
      </w:r>
    </w:p>
    <w:p w14:paraId="2A7C0E95" w14:textId="44A006EA" w:rsidR="00CB3F80" w:rsidRPr="00BA2289" w:rsidRDefault="002C4112" w:rsidP="00DA3CF4">
      <w:pPr>
        <w:spacing w:line="360" w:lineRule="auto"/>
        <w:jc w:val="both"/>
        <w:rPr>
          <w:rFonts w:ascii="Arial" w:hAnsi="Arial" w:cs="Arial"/>
          <w:lang w:eastAsia="es-ES"/>
        </w:rPr>
      </w:pPr>
      <w:r w:rsidRPr="00BA2289">
        <w:rPr>
          <w:rFonts w:ascii="Arial" w:hAnsi="Arial" w:cs="Arial"/>
          <w:b/>
          <w:bCs/>
          <w:shd w:val="clear" w:color="auto" w:fill="FFFFFF"/>
        </w:rPr>
        <w:t xml:space="preserve">ARTÍCULO </w:t>
      </w:r>
      <w:r w:rsidR="001C0495" w:rsidRPr="00BA2289">
        <w:rPr>
          <w:rFonts w:ascii="Arial" w:hAnsi="Arial" w:cs="Arial"/>
          <w:b/>
          <w:bCs/>
          <w:shd w:val="clear" w:color="auto" w:fill="FFFFFF"/>
        </w:rPr>
        <w:t>2</w:t>
      </w:r>
      <w:r w:rsidR="00CB3F80" w:rsidRPr="00BA2289">
        <w:rPr>
          <w:rFonts w:ascii="Arial" w:hAnsi="Arial" w:cs="Arial"/>
          <w:b/>
          <w:bCs/>
          <w:shd w:val="clear" w:color="auto" w:fill="FFFFFF"/>
        </w:rPr>
        <w:t xml:space="preserve">°. </w:t>
      </w:r>
      <w:r w:rsidR="00CB3F80" w:rsidRPr="00BA2289">
        <w:rPr>
          <w:rFonts w:ascii="Arial" w:hAnsi="Arial" w:cs="Arial"/>
          <w:shd w:val="clear" w:color="auto" w:fill="FFFFFF"/>
        </w:rPr>
        <w:t xml:space="preserve"> La presente Ley rige a partir de su promulgación y deroga las disposiciones que le sean contrarias. </w:t>
      </w:r>
    </w:p>
    <w:p w14:paraId="5141BA48" w14:textId="64B48AD0" w:rsidR="000B6D32" w:rsidRPr="00BA2289" w:rsidRDefault="000B6D32" w:rsidP="007F3421">
      <w:pPr>
        <w:shd w:val="clear" w:color="auto" w:fill="FFFFFF"/>
        <w:tabs>
          <w:tab w:val="left" w:pos="6591"/>
        </w:tabs>
        <w:spacing w:before="100" w:beforeAutospacing="1" w:after="100" w:afterAutospacing="1"/>
        <w:jc w:val="both"/>
        <w:rPr>
          <w:rFonts w:ascii="Arial" w:eastAsia="Times New Roman" w:hAnsi="Arial" w:cs="Arial"/>
          <w:lang w:eastAsia="es-CO"/>
        </w:rPr>
      </w:pPr>
      <w:r w:rsidRPr="00BA2289">
        <w:rPr>
          <w:rFonts w:ascii="Arial" w:eastAsia="Times New Roman" w:hAnsi="Arial" w:cs="Arial"/>
          <w:lang w:eastAsia="es-CO"/>
        </w:rPr>
        <w:t xml:space="preserve">Cordialmente, </w:t>
      </w:r>
      <w:r w:rsidR="007F3421" w:rsidRPr="00BA2289">
        <w:rPr>
          <w:rFonts w:ascii="Arial" w:eastAsia="Times New Roman" w:hAnsi="Arial" w:cs="Arial"/>
          <w:lang w:eastAsia="es-CO"/>
        </w:rPr>
        <w:tab/>
      </w:r>
    </w:p>
    <w:p w14:paraId="2AF8E516" w14:textId="77777777" w:rsidR="00CB27C9" w:rsidRPr="00BA2289" w:rsidRDefault="00CB27C9" w:rsidP="00BA5C88">
      <w:pPr>
        <w:shd w:val="clear" w:color="auto" w:fill="FFFFFF"/>
        <w:spacing w:before="100" w:beforeAutospacing="1" w:after="100" w:afterAutospacing="1"/>
        <w:jc w:val="both"/>
        <w:rPr>
          <w:rFonts w:ascii="Arial" w:eastAsia="Times New Roman" w:hAnsi="Arial" w:cs="Arial"/>
          <w:lang w:eastAsia="es-CO"/>
        </w:rPr>
      </w:pPr>
    </w:p>
    <w:p w14:paraId="2F724D24" w14:textId="4854A852" w:rsidR="00CB27C9" w:rsidRPr="00BA2289" w:rsidRDefault="007F3421" w:rsidP="00DA3CF4">
      <w:pPr>
        <w:widowControl w:val="0"/>
        <w:pBdr>
          <w:top w:val="nil"/>
          <w:left w:val="nil"/>
          <w:bottom w:val="nil"/>
          <w:right w:val="nil"/>
          <w:between w:val="nil"/>
        </w:pBdr>
        <w:spacing w:after="0"/>
        <w:jc w:val="both"/>
        <w:rPr>
          <w:rStyle w:val="Ninguno"/>
          <w:rFonts w:ascii="Arial" w:eastAsia="Arial Unicode MS" w:hAnsi="Arial" w:cs="Arial"/>
          <w:b/>
          <w:bCs/>
          <w:u w:color="000000"/>
          <w:bdr w:val="nil"/>
          <w:lang w:val="es-CO" w:eastAsia="es-CO"/>
        </w:rPr>
      </w:pPr>
      <w:r w:rsidRPr="00BA2289">
        <w:rPr>
          <w:rStyle w:val="Ninguno"/>
          <w:rFonts w:ascii="Arial" w:eastAsia="Arial Unicode MS" w:hAnsi="Arial" w:cs="Arial"/>
          <w:b/>
          <w:bCs/>
          <w:u w:color="000000"/>
          <w:bdr w:val="nil"/>
          <w:lang w:val="es-CO" w:eastAsia="es-CO"/>
        </w:rPr>
        <w:t xml:space="preserve">GILBERTO BETANCOURT PEREZ </w:t>
      </w:r>
    </w:p>
    <w:p w14:paraId="5010A495" w14:textId="73FB93D2" w:rsidR="004A2F91" w:rsidRPr="00BA2289" w:rsidRDefault="00CB27C9" w:rsidP="00DA3CF4">
      <w:pPr>
        <w:widowControl w:val="0"/>
        <w:pBdr>
          <w:top w:val="nil"/>
          <w:left w:val="nil"/>
          <w:bottom w:val="nil"/>
          <w:right w:val="nil"/>
          <w:between w:val="nil"/>
        </w:pBdr>
        <w:spacing w:after="0"/>
        <w:jc w:val="both"/>
        <w:rPr>
          <w:rStyle w:val="Ninguno"/>
          <w:rFonts w:ascii="Arial" w:eastAsia="Arial Unicode MS" w:hAnsi="Arial" w:cs="Arial"/>
          <w:u w:color="000000"/>
          <w:bdr w:val="nil"/>
          <w:lang w:val="es-CO" w:eastAsia="es-CO"/>
        </w:rPr>
      </w:pPr>
      <w:r w:rsidRPr="00BA2289">
        <w:rPr>
          <w:rStyle w:val="Ninguno"/>
          <w:rFonts w:ascii="Arial" w:eastAsia="Arial Unicode MS" w:hAnsi="Arial" w:cs="Arial"/>
          <w:u w:color="000000"/>
          <w:bdr w:val="nil"/>
          <w:lang w:val="es-CO" w:eastAsia="es-CO"/>
        </w:rPr>
        <w:t xml:space="preserve">Representante a la Cámara </w:t>
      </w:r>
      <w:r w:rsidR="004A2F91" w:rsidRPr="00BA2289">
        <w:rPr>
          <w:rStyle w:val="Ninguno"/>
          <w:rFonts w:ascii="Arial" w:eastAsia="Arial Unicode MS" w:hAnsi="Arial" w:cs="Arial"/>
          <w:b/>
          <w:bCs/>
          <w:u w:color="000000"/>
          <w:bdr w:val="nil"/>
          <w:lang w:val="es-CO" w:eastAsia="es-CO"/>
        </w:rPr>
        <w:tab/>
      </w:r>
      <w:r w:rsidR="004A2F91" w:rsidRPr="00BA2289">
        <w:rPr>
          <w:rStyle w:val="Ninguno"/>
          <w:rFonts w:ascii="Arial" w:eastAsia="Arial Unicode MS" w:hAnsi="Arial" w:cs="Arial"/>
          <w:b/>
          <w:bCs/>
          <w:u w:color="000000"/>
          <w:bdr w:val="nil"/>
          <w:lang w:val="es-CO" w:eastAsia="es-CO"/>
        </w:rPr>
        <w:tab/>
        <w:t xml:space="preserve">              </w:t>
      </w:r>
    </w:p>
    <w:p w14:paraId="6F507BB6" w14:textId="77777777" w:rsidR="00DF28F8" w:rsidRPr="00BA2289" w:rsidRDefault="00DF28F8" w:rsidP="00BA5C88">
      <w:pPr>
        <w:widowControl w:val="0"/>
        <w:pBdr>
          <w:top w:val="nil"/>
          <w:left w:val="nil"/>
          <w:bottom w:val="nil"/>
          <w:right w:val="nil"/>
          <w:between w:val="nil"/>
        </w:pBdr>
        <w:spacing w:after="0"/>
        <w:ind w:hanging="2"/>
        <w:jc w:val="both"/>
        <w:rPr>
          <w:rStyle w:val="Ninguno"/>
          <w:rFonts w:ascii="Arial" w:eastAsia="Arial Unicode MS" w:hAnsi="Arial" w:cs="Arial"/>
          <w:u w:color="000000"/>
          <w:bdr w:val="nil"/>
          <w:lang w:val="es-CO" w:eastAsia="es-CO"/>
        </w:rPr>
      </w:pPr>
    </w:p>
    <w:p w14:paraId="52AD7D80" w14:textId="77777777" w:rsidR="007F3421" w:rsidRPr="00BA2289" w:rsidRDefault="007F3421">
      <w:pPr>
        <w:spacing w:after="160" w:line="259" w:lineRule="auto"/>
        <w:rPr>
          <w:rFonts w:ascii="Arial" w:hAnsi="Arial" w:cs="Arial"/>
          <w:b/>
        </w:rPr>
      </w:pPr>
      <w:r w:rsidRPr="00BA2289">
        <w:rPr>
          <w:rFonts w:ascii="Arial" w:hAnsi="Arial" w:cs="Arial"/>
          <w:b/>
        </w:rPr>
        <w:br w:type="page"/>
      </w:r>
    </w:p>
    <w:p w14:paraId="3B29EA3B" w14:textId="72CA3704" w:rsidR="000B6D32" w:rsidRPr="00BA2289" w:rsidRDefault="000B6D32" w:rsidP="00BA5C88">
      <w:pPr>
        <w:widowControl w:val="0"/>
        <w:pBdr>
          <w:top w:val="nil"/>
          <w:left w:val="nil"/>
          <w:bottom w:val="nil"/>
          <w:right w:val="nil"/>
          <w:between w:val="nil"/>
        </w:pBdr>
        <w:spacing w:after="0"/>
        <w:ind w:hanging="2"/>
        <w:jc w:val="center"/>
        <w:rPr>
          <w:rFonts w:ascii="Arial" w:hAnsi="Arial" w:cs="Arial"/>
          <w:b/>
        </w:rPr>
      </w:pPr>
      <w:r w:rsidRPr="00BA2289">
        <w:rPr>
          <w:rFonts w:ascii="Arial" w:hAnsi="Arial" w:cs="Arial"/>
          <w:b/>
        </w:rPr>
        <w:lastRenderedPageBreak/>
        <w:t>EXPOSICIÓN DE MOTIVOS</w:t>
      </w:r>
    </w:p>
    <w:p w14:paraId="520BA7E2" w14:textId="77777777" w:rsidR="000B6D32" w:rsidRPr="00BA2289" w:rsidRDefault="000B6D32" w:rsidP="00BA5C8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Arial" w:hAnsi="Arial" w:cs="Arial"/>
          <w:b/>
          <w:color w:val="auto"/>
          <w:lang w:val="es-CO"/>
        </w:rPr>
      </w:pPr>
    </w:p>
    <w:p w14:paraId="19F92E38" w14:textId="77777777" w:rsidR="001A432F" w:rsidRPr="00BA2289" w:rsidRDefault="001A432F" w:rsidP="001A432F">
      <w:pPr>
        <w:widowControl w:val="0"/>
        <w:pBdr>
          <w:top w:val="nil"/>
          <w:left w:val="nil"/>
          <w:bottom w:val="nil"/>
          <w:right w:val="nil"/>
          <w:between w:val="nil"/>
        </w:pBdr>
        <w:spacing w:after="0"/>
        <w:ind w:hanging="2"/>
        <w:jc w:val="center"/>
        <w:rPr>
          <w:rStyle w:val="Ninguno"/>
          <w:rFonts w:ascii="Arial" w:eastAsia="Arial" w:hAnsi="Arial" w:cs="Arial"/>
          <w:b/>
          <w:bCs/>
          <w:lang w:val="es-CO"/>
        </w:rPr>
      </w:pPr>
      <w:r w:rsidRPr="00BA2289">
        <w:rPr>
          <w:rStyle w:val="Ninguno"/>
          <w:rFonts w:ascii="Arial" w:hAnsi="Arial" w:cs="Arial"/>
          <w:b/>
          <w:lang w:val="es-CO"/>
        </w:rPr>
        <w:t>PROYECTO DE LEY ___ DE 2025 CÁMARA</w:t>
      </w:r>
    </w:p>
    <w:p w14:paraId="076ED64A" w14:textId="77777777" w:rsidR="001A432F" w:rsidRPr="00BA2289" w:rsidRDefault="001A432F" w:rsidP="001A432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Arial" w:hAnsi="Arial" w:cs="Arial"/>
          <w:b/>
          <w:bCs/>
          <w:color w:val="auto"/>
          <w:lang w:val="es-CO"/>
        </w:rPr>
      </w:pPr>
    </w:p>
    <w:p w14:paraId="421F9459" w14:textId="77777777" w:rsidR="001A432F" w:rsidRPr="00BA2289" w:rsidRDefault="001A432F" w:rsidP="001A432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Arial" w:hAnsi="Arial" w:cs="Arial"/>
          <w:b/>
          <w:color w:val="auto"/>
          <w:shd w:val="clear" w:color="auto" w:fill="FFFFFF"/>
          <w:lang w:val="es-CO"/>
        </w:rPr>
      </w:pPr>
      <w:r w:rsidRPr="00BA2289">
        <w:rPr>
          <w:rFonts w:ascii="Arial" w:hAnsi="Arial" w:cs="Arial"/>
          <w:b/>
          <w:color w:val="auto"/>
          <w:shd w:val="clear" w:color="auto" w:fill="FFFFFF"/>
          <w:lang w:val="es-CO"/>
        </w:rPr>
        <w:t xml:space="preserve"> “POR MEDIO DE LA CUAL SE RECONOCE BONIFICACIÓN ESPECIAL AL PERSONAL ADMINISTRATIVO DE INSTITUCIONES EDUCATIVAS DEL ESTADO, UBICADAS EN ZONAS DE DIFÍCIL ACCESO”</w:t>
      </w:r>
    </w:p>
    <w:p w14:paraId="09CA1D75" w14:textId="77777777" w:rsidR="000B6D32" w:rsidRPr="00BA2289" w:rsidRDefault="000B6D32" w:rsidP="002C411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Arial" w:eastAsia="Arial" w:hAnsi="Arial" w:cs="Arial"/>
          <w:b/>
          <w:bCs/>
          <w:color w:val="auto"/>
          <w:lang w:val="es-CO"/>
        </w:rPr>
      </w:pPr>
    </w:p>
    <w:p w14:paraId="3ABBCD0E" w14:textId="77777777" w:rsidR="00A46846" w:rsidRPr="00BA2289" w:rsidRDefault="00A46846" w:rsidP="00A46846">
      <w:pPr>
        <w:jc w:val="both"/>
        <w:rPr>
          <w:rFonts w:ascii="Arial" w:hAnsi="Arial" w:cs="Arial"/>
          <w:b/>
          <w:bCs/>
        </w:rPr>
      </w:pPr>
      <w:r w:rsidRPr="00BA2289">
        <w:rPr>
          <w:rFonts w:ascii="Arial" w:hAnsi="Arial" w:cs="Arial"/>
          <w:b/>
          <w:bCs/>
        </w:rPr>
        <w:t>Antecedentes y contexto.</w:t>
      </w:r>
    </w:p>
    <w:p w14:paraId="62C2DFD4" w14:textId="0FBE63BD" w:rsidR="00A46846" w:rsidRPr="00BA2289" w:rsidRDefault="00D26FEA" w:rsidP="00D91E9D">
      <w:pPr>
        <w:jc w:val="both"/>
        <w:rPr>
          <w:rFonts w:ascii="Arial" w:hAnsi="Arial" w:cs="Arial"/>
        </w:rPr>
      </w:pPr>
      <w:r w:rsidRPr="00BA2289">
        <w:rPr>
          <w:rFonts w:ascii="Arial" w:hAnsi="Arial" w:cs="Arial"/>
        </w:rPr>
        <w:t xml:space="preserve">A partir del año 2001, con la promulgación de la ley 715 del mismo año, el Estado </w:t>
      </w:r>
      <w:r w:rsidR="0047087B" w:rsidRPr="00BA2289">
        <w:rPr>
          <w:rFonts w:ascii="Arial" w:hAnsi="Arial" w:cs="Arial"/>
        </w:rPr>
        <w:t>abrió la posibilidad de que los docentes que laboran</w:t>
      </w:r>
      <w:r w:rsidR="0047087B" w:rsidRPr="00BA2289">
        <w:rPr>
          <w:rFonts w:ascii="Arial" w:hAnsi="Arial" w:cs="Arial"/>
          <w:b/>
          <w:bCs/>
        </w:rPr>
        <w:t xml:space="preserve"> </w:t>
      </w:r>
      <w:r w:rsidR="0047087B" w:rsidRPr="00BA2289">
        <w:rPr>
          <w:rFonts w:ascii="Arial" w:hAnsi="Arial" w:cs="Arial"/>
        </w:rPr>
        <w:t xml:space="preserve">áreas rurales de difícil acceso tengan </w:t>
      </w:r>
      <w:r w:rsidR="00470EE1" w:rsidRPr="00BA2289">
        <w:rPr>
          <w:rFonts w:ascii="Arial" w:hAnsi="Arial" w:cs="Arial"/>
        </w:rPr>
        <w:t>estímulos consistentes</w:t>
      </w:r>
      <w:r w:rsidRPr="00BA2289">
        <w:rPr>
          <w:rFonts w:ascii="Arial" w:hAnsi="Arial" w:cs="Arial"/>
        </w:rPr>
        <w:t xml:space="preserve"> en bonificación, capacitación, y tiempo, entre otros</w:t>
      </w:r>
      <w:r w:rsidR="0047087B" w:rsidRPr="00BA2289">
        <w:rPr>
          <w:rFonts w:ascii="Arial" w:hAnsi="Arial" w:cs="Arial"/>
        </w:rPr>
        <w:t>.</w:t>
      </w:r>
      <w:r w:rsidRPr="00BA2289">
        <w:rPr>
          <w:rFonts w:ascii="Arial" w:hAnsi="Arial" w:cs="Arial"/>
        </w:rPr>
        <w:t xml:space="preserve">   </w:t>
      </w:r>
    </w:p>
    <w:p w14:paraId="5471E0E9" w14:textId="1439C843" w:rsidR="00D26FEA" w:rsidRPr="00BA2289" w:rsidRDefault="00D26FEA" w:rsidP="00D91E9D">
      <w:pPr>
        <w:jc w:val="both"/>
        <w:rPr>
          <w:rFonts w:ascii="Arial" w:hAnsi="Arial" w:cs="Arial"/>
        </w:rPr>
      </w:pPr>
      <w:r w:rsidRPr="00BA2289">
        <w:rPr>
          <w:rFonts w:ascii="Arial" w:hAnsi="Arial" w:cs="Arial"/>
        </w:rPr>
        <w:t xml:space="preserve">Posteriormente en el año 2009, la </w:t>
      </w:r>
      <w:r w:rsidRPr="00BA2289">
        <w:rPr>
          <w:rFonts w:ascii="Arial" w:eastAsia="Arial" w:hAnsi="Arial" w:cs="Arial"/>
        </w:rPr>
        <w:t xml:space="preserve">Ley 1297 reguló los incentivos a docentes de zonas de difícil acceso, y en el año 2010 el Decreto 521 reglamentó la normatividad vigente, </w:t>
      </w:r>
      <w:r w:rsidRPr="00BA2289">
        <w:rPr>
          <w:rFonts w:ascii="Arial" w:hAnsi="Arial" w:cs="Arial"/>
        </w:rPr>
        <w:t>en lo relacionado con los estímulos para los docentes y directivos docentes de los establecimientos educativos estatales ubicados en las zonas de difícil acceso.</w:t>
      </w:r>
    </w:p>
    <w:p w14:paraId="07C4703C" w14:textId="29C6ADC1" w:rsidR="00D26FEA" w:rsidRPr="00BA2289" w:rsidRDefault="00D26FEA" w:rsidP="00D91E9D">
      <w:pPr>
        <w:jc w:val="both"/>
        <w:rPr>
          <w:rFonts w:ascii="Arial" w:hAnsi="Arial" w:cs="Arial"/>
        </w:rPr>
      </w:pPr>
      <w:r w:rsidRPr="00BA2289">
        <w:rPr>
          <w:rFonts w:ascii="Arial" w:hAnsi="Arial" w:cs="Arial"/>
        </w:rPr>
        <w:t xml:space="preserve">Es entonces a partir </w:t>
      </w:r>
      <w:r w:rsidR="008C740E" w:rsidRPr="00BA2289">
        <w:rPr>
          <w:rFonts w:ascii="Arial" w:hAnsi="Arial" w:cs="Arial"/>
        </w:rPr>
        <w:t xml:space="preserve">de la expedición de estas normas, que </w:t>
      </w:r>
      <w:r w:rsidRPr="00BA2289">
        <w:rPr>
          <w:rFonts w:ascii="Arial" w:hAnsi="Arial" w:cs="Arial"/>
        </w:rPr>
        <w:t>los docentes que desempeñan sus labores en las denominadas zonas de difícil acceso c</w:t>
      </w:r>
      <w:r w:rsidR="008C740E" w:rsidRPr="00BA2289">
        <w:rPr>
          <w:rFonts w:ascii="Arial" w:hAnsi="Arial" w:cs="Arial"/>
        </w:rPr>
        <w:t>uentan con una bonificación especial,</w:t>
      </w:r>
      <w:r w:rsidR="00FA3E04" w:rsidRPr="00BA2289">
        <w:rPr>
          <w:rFonts w:ascii="Arial" w:hAnsi="Arial" w:cs="Arial"/>
        </w:rPr>
        <w:t xml:space="preserve"> equivalente al quince por ciento (15%) del salario básico mensual que devenguen,</w:t>
      </w:r>
      <w:r w:rsidR="008C740E" w:rsidRPr="00BA2289">
        <w:rPr>
          <w:rFonts w:ascii="Arial" w:hAnsi="Arial" w:cs="Arial"/>
        </w:rPr>
        <w:t xml:space="preserve"> normatividad que no tuvo en cuenta al personal administrativo de las Instituciones Educativas ubicadas en zonas de difícil acceso, </w:t>
      </w:r>
      <w:r w:rsidR="00FA3E04" w:rsidRPr="00BA2289">
        <w:rPr>
          <w:rFonts w:ascii="Arial" w:hAnsi="Arial" w:cs="Arial"/>
        </w:rPr>
        <w:t>a pesar de estar sometidos a las mismas situaciones que los docentes para acceder a sus lugares de trabajo ubicados en zonas de difícil acceso.</w:t>
      </w:r>
    </w:p>
    <w:p w14:paraId="46049849" w14:textId="03F66AC4" w:rsidR="00FA3E04" w:rsidRPr="00BA2289" w:rsidRDefault="00FA3E04" w:rsidP="00D91E9D">
      <w:pPr>
        <w:jc w:val="both"/>
        <w:rPr>
          <w:rFonts w:ascii="Arial" w:hAnsi="Arial" w:cs="Arial"/>
        </w:rPr>
      </w:pPr>
      <w:r w:rsidRPr="00BA2289">
        <w:rPr>
          <w:rFonts w:ascii="Arial" w:hAnsi="Arial" w:cs="Arial"/>
        </w:rPr>
        <w:t>Esta clara discriminación a los funcionarios del área administrativa y de servicios generales designados a estas Instituciones Educativas no tiene ningún sustento técnico o legal, razón por la cual es una clara y flagrante vulneración al derecho a la igualdad por omisión.</w:t>
      </w:r>
    </w:p>
    <w:p w14:paraId="45DB6561" w14:textId="77777777" w:rsidR="00F314DE" w:rsidRPr="00BA2289" w:rsidRDefault="00F314DE" w:rsidP="00D91E9D">
      <w:pPr>
        <w:jc w:val="both"/>
        <w:rPr>
          <w:rFonts w:ascii="Arial" w:hAnsi="Arial" w:cs="Arial"/>
          <w:b/>
          <w:bCs/>
        </w:rPr>
      </w:pPr>
    </w:p>
    <w:p w14:paraId="021412D3" w14:textId="32176070" w:rsidR="00D91E9D" w:rsidRPr="00BA2289" w:rsidRDefault="00D91E9D" w:rsidP="00D91E9D">
      <w:pPr>
        <w:jc w:val="both"/>
        <w:rPr>
          <w:rFonts w:ascii="Arial" w:hAnsi="Arial" w:cs="Arial"/>
          <w:b/>
          <w:bCs/>
        </w:rPr>
      </w:pPr>
      <w:r w:rsidRPr="00BA2289">
        <w:rPr>
          <w:rFonts w:ascii="Arial" w:hAnsi="Arial" w:cs="Arial"/>
          <w:b/>
          <w:bCs/>
        </w:rPr>
        <w:t xml:space="preserve">Marco Constitucional y Legal: </w:t>
      </w:r>
    </w:p>
    <w:tbl>
      <w:tblPr>
        <w:tblStyle w:val="Tablaconcuadrcula"/>
        <w:tblW w:w="0" w:type="auto"/>
        <w:tblLook w:val="04A0" w:firstRow="1" w:lastRow="0" w:firstColumn="1" w:lastColumn="0" w:noHBand="0" w:noVBand="1"/>
      </w:tblPr>
      <w:tblGrid>
        <w:gridCol w:w="2405"/>
        <w:gridCol w:w="6989"/>
      </w:tblGrid>
      <w:tr w:rsidR="00BA2289" w:rsidRPr="00BA2289" w14:paraId="08987D7D" w14:textId="77777777" w:rsidTr="0024672C">
        <w:tc>
          <w:tcPr>
            <w:tcW w:w="2405" w:type="dxa"/>
          </w:tcPr>
          <w:p w14:paraId="500AF2BB" w14:textId="1054878F" w:rsidR="00A46846" w:rsidRPr="00BA2289" w:rsidRDefault="00A46846" w:rsidP="00445129">
            <w:pPr>
              <w:jc w:val="both"/>
              <w:rPr>
                <w:rFonts w:ascii="Arial" w:eastAsia="Arial" w:hAnsi="Arial" w:cs="Arial"/>
                <w:b/>
                <w:bCs/>
              </w:rPr>
            </w:pPr>
            <w:r w:rsidRPr="00BA2289">
              <w:rPr>
                <w:rFonts w:ascii="Arial" w:eastAsia="Arial" w:hAnsi="Arial" w:cs="Arial"/>
                <w:b/>
                <w:bCs/>
                <w:highlight w:val="white"/>
              </w:rPr>
              <w:t>Ley 715 de 2001</w:t>
            </w:r>
          </w:p>
        </w:tc>
        <w:tc>
          <w:tcPr>
            <w:tcW w:w="6989" w:type="dxa"/>
          </w:tcPr>
          <w:p w14:paraId="0AEBD0B6" w14:textId="32B05907" w:rsidR="00A46846" w:rsidRPr="00BA2289" w:rsidRDefault="00D26FEA" w:rsidP="00445129">
            <w:pPr>
              <w:jc w:val="both"/>
              <w:rPr>
                <w:rStyle w:val="nfasis"/>
                <w:rFonts w:ascii="Arial" w:hAnsi="Arial" w:cs="Arial"/>
                <w:shd w:val="clear" w:color="auto" w:fill="FFFFFF"/>
              </w:rPr>
            </w:pPr>
            <w:r w:rsidRPr="00BA2289">
              <w:rPr>
                <w:rStyle w:val="Textoennegrita"/>
                <w:rFonts w:ascii="Arial" w:hAnsi="Arial" w:cs="Arial"/>
                <w:shd w:val="clear" w:color="auto" w:fill="FFFFFF"/>
              </w:rPr>
              <w:t>ARTÍCULO </w:t>
            </w:r>
            <w:bookmarkStart w:id="1" w:name="24"/>
            <w:bookmarkEnd w:id="1"/>
            <w:r w:rsidRPr="00BA2289">
              <w:rPr>
                <w:rStyle w:val="Textoennegrita"/>
                <w:rFonts w:ascii="Arial" w:hAnsi="Arial" w:cs="Arial"/>
                <w:shd w:val="clear" w:color="auto" w:fill="FFFFFF"/>
              </w:rPr>
              <w:t>24.</w:t>
            </w:r>
            <w:r w:rsidRPr="00BA2289">
              <w:rPr>
                <w:rFonts w:ascii="Arial" w:hAnsi="Arial" w:cs="Arial"/>
                <w:shd w:val="clear" w:color="auto" w:fill="FFFFFF"/>
              </w:rPr>
              <w:t> </w:t>
            </w:r>
            <w:r w:rsidRPr="00BA2289">
              <w:rPr>
                <w:rStyle w:val="nfasis"/>
                <w:rFonts w:ascii="Arial" w:hAnsi="Arial" w:cs="Arial"/>
                <w:shd w:val="clear" w:color="auto" w:fill="FFFFFF"/>
              </w:rPr>
              <w:t>Sostenibilidad del Sistema General de Participaciones.</w:t>
            </w:r>
          </w:p>
          <w:p w14:paraId="32543983" w14:textId="4FC2135A" w:rsidR="0024672C" w:rsidRPr="00BA2289" w:rsidRDefault="0024672C" w:rsidP="00445129">
            <w:pPr>
              <w:jc w:val="both"/>
              <w:rPr>
                <w:rStyle w:val="nfasis"/>
                <w:rFonts w:ascii="Arial" w:hAnsi="Arial" w:cs="Arial"/>
                <w:shd w:val="clear" w:color="auto" w:fill="FFFFFF"/>
              </w:rPr>
            </w:pPr>
            <w:r w:rsidRPr="00BA2289">
              <w:rPr>
                <w:rStyle w:val="nfasis"/>
                <w:rFonts w:ascii="Arial" w:hAnsi="Arial" w:cs="Arial"/>
                <w:shd w:val="clear" w:color="auto" w:fill="FFFFFF"/>
              </w:rPr>
              <w:t>…..</w:t>
            </w:r>
          </w:p>
          <w:p w14:paraId="636D3870" w14:textId="36373C04" w:rsidR="0024672C" w:rsidRPr="00BA2289" w:rsidRDefault="0024672C" w:rsidP="00445129">
            <w:pPr>
              <w:jc w:val="both"/>
              <w:rPr>
                <w:rFonts w:ascii="Arial" w:hAnsi="Arial" w:cs="Arial"/>
                <w:shd w:val="clear" w:color="auto" w:fill="FFFFFF"/>
              </w:rPr>
            </w:pPr>
            <w:r w:rsidRPr="00BA2289">
              <w:rPr>
                <w:rFonts w:ascii="Arial" w:hAnsi="Arial" w:cs="Arial"/>
                <w:shd w:val="clear" w:color="auto" w:fill="FFFFFF"/>
              </w:rPr>
              <w:t xml:space="preserve">Los docentes que laboran en áreas rurales de difícil acceso podrán tener estímulos consistentes en bonificación, capacitación, y tiempo, </w:t>
            </w:r>
            <w:r w:rsidRPr="00BA2289">
              <w:rPr>
                <w:rFonts w:ascii="Arial" w:hAnsi="Arial" w:cs="Arial"/>
                <w:shd w:val="clear" w:color="auto" w:fill="FFFFFF"/>
              </w:rPr>
              <w:lastRenderedPageBreak/>
              <w:t>entre otros, de conformidad con el reglamento que para la aplicación de este artículo expida el Gobierno Nacional.</w:t>
            </w:r>
          </w:p>
          <w:p w14:paraId="4F0EDF47" w14:textId="0CCD1907" w:rsidR="00D26FEA" w:rsidRPr="00BA2289" w:rsidRDefault="0024672C" w:rsidP="00F314DE">
            <w:pPr>
              <w:jc w:val="both"/>
              <w:rPr>
                <w:rFonts w:ascii="Arial" w:eastAsia="Arial" w:hAnsi="Arial" w:cs="Arial"/>
                <w:b/>
              </w:rPr>
            </w:pPr>
            <w:r w:rsidRPr="00BA2289">
              <w:rPr>
                <w:rStyle w:val="nfasis"/>
                <w:rFonts w:ascii="Arial" w:hAnsi="Arial" w:cs="Arial"/>
                <w:shd w:val="clear" w:color="auto" w:fill="FFFFFF"/>
              </w:rPr>
              <w:t>…..</w:t>
            </w:r>
          </w:p>
        </w:tc>
      </w:tr>
      <w:tr w:rsidR="00BA2289" w:rsidRPr="00BA2289" w14:paraId="38A72640" w14:textId="77777777" w:rsidTr="0024672C">
        <w:tc>
          <w:tcPr>
            <w:tcW w:w="2405" w:type="dxa"/>
          </w:tcPr>
          <w:p w14:paraId="5D12DDF4" w14:textId="697F56E8" w:rsidR="00A46846" w:rsidRPr="00BA2289" w:rsidRDefault="00A46846" w:rsidP="00445129">
            <w:pPr>
              <w:jc w:val="both"/>
              <w:rPr>
                <w:rFonts w:ascii="Arial" w:eastAsia="Arial" w:hAnsi="Arial" w:cs="Arial"/>
                <w:b/>
                <w:bCs/>
              </w:rPr>
            </w:pPr>
            <w:r w:rsidRPr="00BA2289">
              <w:rPr>
                <w:rFonts w:ascii="Arial" w:hAnsi="Arial" w:cs="Arial"/>
                <w:b/>
                <w:bCs/>
              </w:rPr>
              <w:lastRenderedPageBreak/>
              <w:t xml:space="preserve">la </w:t>
            </w:r>
            <w:r w:rsidRPr="00BA2289">
              <w:rPr>
                <w:rFonts w:ascii="Arial" w:eastAsia="Arial" w:hAnsi="Arial" w:cs="Arial"/>
                <w:b/>
                <w:bCs/>
              </w:rPr>
              <w:t>Ley 1297 de 2009</w:t>
            </w:r>
          </w:p>
        </w:tc>
        <w:tc>
          <w:tcPr>
            <w:tcW w:w="6989" w:type="dxa"/>
          </w:tcPr>
          <w:p w14:paraId="37D9C6AA" w14:textId="53C3D269" w:rsidR="00A46846" w:rsidRPr="00BA2289" w:rsidRDefault="0024672C" w:rsidP="00445129">
            <w:pPr>
              <w:jc w:val="both"/>
              <w:rPr>
                <w:rFonts w:ascii="Arial" w:eastAsia="Arial" w:hAnsi="Arial" w:cs="Arial"/>
                <w:b/>
              </w:rPr>
            </w:pPr>
            <w:r w:rsidRPr="00BA2289">
              <w:rPr>
                <w:rFonts w:ascii="Arial" w:hAnsi="Arial" w:cs="Arial"/>
                <w:b/>
                <w:bCs/>
                <w:shd w:val="clear" w:color="auto" w:fill="FFFFFF"/>
              </w:rPr>
              <w:t>Artículo 2º. </w:t>
            </w:r>
            <w:r w:rsidRPr="00BA2289">
              <w:rPr>
                <w:rStyle w:val="nfasis"/>
                <w:rFonts w:ascii="Arial" w:hAnsi="Arial" w:cs="Arial"/>
                <w:shd w:val="clear" w:color="auto" w:fill="FFFFFF"/>
              </w:rPr>
              <w:t>Incentivos a docentes de zonas de difícil acceso. </w:t>
            </w:r>
            <w:r w:rsidRPr="00BA2289">
              <w:rPr>
                <w:rFonts w:ascii="Arial" w:hAnsi="Arial" w:cs="Arial"/>
                <w:shd w:val="clear" w:color="auto" w:fill="FFFFFF"/>
              </w:rPr>
              <w:t>Los docentes estatales que presten servicios en zonas de difícil acceso, que acrediten cualquiera de los títulos académicos requeridos para el ejercicio de la docencia al servicio del Estado, mientras presten sus servicios en esas zonas, disfrutarán de una bonificación especial, según reglamentación que expida el Gobierno Nacional. Esta bonificación también se pagará a los docentes que se contraten en los términos del parágrafo 1º de esta ley siempre que acrediten título de normalista superior, licenciado o profesional. Además, con cargo a los recursos del Sistema General de Participaciones, destinados a mantener, evaluar y promover la calidad educativa, se contratará anualmente la capacitación de los docentes vinculados a la educación estatal en las zonas de difícil acceso, conducente a título para los no titulados y de actualización para los demás.</w:t>
            </w:r>
          </w:p>
        </w:tc>
      </w:tr>
      <w:tr w:rsidR="00BA2289" w:rsidRPr="00BA2289" w14:paraId="05DB6F9D" w14:textId="77777777" w:rsidTr="0024672C">
        <w:tc>
          <w:tcPr>
            <w:tcW w:w="2405" w:type="dxa"/>
          </w:tcPr>
          <w:p w14:paraId="3DEC87A6" w14:textId="0B18B78E" w:rsidR="00A46846" w:rsidRPr="00BA2289" w:rsidRDefault="00A46846" w:rsidP="00445129">
            <w:pPr>
              <w:jc w:val="both"/>
              <w:rPr>
                <w:rFonts w:ascii="Arial" w:hAnsi="Arial" w:cs="Arial"/>
                <w:b/>
                <w:bCs/>
              </w:rPr>
            </w:pPr>
            <w:r w:rsidRPr="00BA2289">
              <w:rPr>
                <w:rFonts w:ascii="Arial" w:eastAsia="Arial" w:hAnsi="Arial" w:cs="Arial"/>
                <w:b/>
                <w:bCs/>
              </w:rPr>
              <w:t xml:space="preserve">Decreto 521 de 2010, </w:t>
            </w:r>
          </w:p>
        </w:tc>
        <w:tc>
          <w:tcPr>
            <w:tcW w:w="6989" w:type="dxa"/>
          </w:tcPr>
          <w:p w14:paraId="361CB1BD" w14:textId="33AD7EBF" w:rsidR="00A46846" w:rsidRPr="00BA2289" w:rsidRDefault="0024672C" w:rsidP="00445129">
            <w:pPr>
              <w:jc w:val="both"/>
              <w:rPr>
                <w:rFonts w:ascii="Arial" w:hAnsi="Arial" w:cs="Arial"/>
              </w:rPr>
            </w:pPr>
            <w:r w:rsidRPr="00BA2289">
              <w:rPr>
                <w:rFonts w:ascii="Arial" w:hAnsi="Arial" w:cs="Arial"/>
              </w:rPr>
              <w:t xml:space="preserve">Por el cual se reglamentan parcialmente el inciso 6 del </w:t>
            </w:r>
            <w:r w:rsidR="008C740E" w:rsidRPr="00BA2289">
              <w:rPr>
                <w:rFonts w:ascii="Arial" w:hAnsi="Arial" w:cs="Arial"/>
              </w:rPr>
              <w:t>artículo</w:t>
            </w:r>
            <w:r w:rsidRPr="00BA2289">
              <w:rPr>
                <w:rFonts w:ascii="Arial" w:hAnsi="Arial" w:cs="Arial"/>
              </w:rPr>
              <w:t xml:space="preserve"> 24 de la ley 715 de 2001 y el </w:t>
            </w:r>
            <w:r w:rsidR="008C740E" w:rsidRPr="00BA2289">
              <w:rPr>
                <w:rFonts w:ascii="Arial" w:hAnsi="Arial" w:cs="Arial"/>
              </w:rPr>
              <w:t>artículo</w:t>
            </w:r>
            <w:r w:rsidRPr="00BA2289">
              <w:rPr>
                <w:rFonts w:ascii="Arial" w:hAnsi="Arial" w:cs="Arial"/>
              </w:rPr>
              <w:t xml:space="preserve"> 2 de la ley 1297 de 2009, en lo relacionado con los estímulos para los docentes y directivos docentes de los establecimientos educativos estatales ubicados en las zonas de difícil acceso.</w:t>
            </w:r>
          </w:p>
        </w:tc>
      </w:tr>
    </w:tbl>
    <w:p w14:paraId="288E49D3" w14:textId="77777777" w:rsidR="00D91E9D" w:rsidRPr="00BA2289" w:rsidRDefault="00D91E9D" w:rsidP="00445129">
      <w:pPr>
        <w:pBdr>
          <w:top w:val="nil"/>
          <w:left w:val="nil"/>
          <w:bottom w:val="nil"/>
          <w:right w:val="nil"/>
          <w:between w:val="nil"/>
        </w:pBdr>
        <w:shd w:val="clear" w:color="auto" w:fill="FFFFFF"/>
        <w:jc w:val="both"/>
        <w:rPr>
          <w:rFonts w:ascii="Arial" w:eastAsia="Arial" w:hAnsi="Arial" w:cs="Arial"/>
          <w:b/>
        </w:rPr>
      </w:pPr>
    </w:p>
    <w:p w14:paraId="6ACE2952" w14:textId="77777777" w:rsidR="00D91E9D" w:rsidRPr="00BA2289" w:rsidRDefault="00D91E9D" w:rsidP="00445129">
      <w:pPr>
        <w:pBdr>
          <w:top w:val="nil"/>
          <w:left w:val="nil"/>
          <w:bottom w:val="nil"/>
          <w:right w:val="nil"/>
          <w:between w:val="nil"/>
        </w:pBdr>
        <w:shd w:val="clear" w:color="auto" w:fill="FFFFFF"/>
        <w:jc w:val="both"/>
        <w:rPr>
          <w:rFonts w:ascii="Arial" w:eastAsia="Arial" w:hAnsi="Arial" w:cs="Arial"/>
          <w:b/>
        </w:rPr>
      </w:pPr>
    </w:p>
    <w:p w14:paraId="50C5DBA4" w14:textId="75B2E37D" w:rsidR="00345448" w:rsidRPr="00BA2289" w:rsidRDefault="00CB27C9" w:rsidP="00445129">
      <w:pPr>
        <w:pBdr>
          <w:top w:val="nil"/>
          <w:left w:val="nil"/>
          <w:bottom w:val="nil"/>
          <w:right w:val="nil"/>
          <w:between w:val="nil"/>
        </w:pBdr>
        <w:shd w:val="clear" w:color="auto" w:fill="FFFFFF"/>
        <w:jc w:val="both"/>
        <w:rPr>
          <w:rFonts w:ascii="Arial" w:eastAsia="Arial" w:hAnsi="Arial" w:cs="Arial"/>
          <w:b/>
          <w:bCs/>
          <w:lang w:val="es-ES"/>
        </w:rPr>
      </w:pPr>
      <w:r w:rsidRPr="00BA2289">
        <w:rPr>
          <w:rFonts w:ascii="Arial" w:eastAsia="Arial" w:hAnsi="Arial" w:cs="Arial"/>
          <w:b/>
        </w:rPr>
        <w:t xml:space="preserve">JUSTIFICACIÓN. </w:t>
      </w:r>
    </w:p>
    <w:p w14:paraId="3462AA92" w14:textId="2E70E198" w:rsidR="00217BED" w:rsidRPr="00BA2289" w:rsidRDefault="00826F59" w:rsidP="00FE0FC1">
      <w:pPr>
        <w:jc w:val="both"/>
        <w:rPr>
          <w:rFonts w:ascii="Arial" w:eastAsia="Arial" w:hAnsi="Arial" w:cs="Arial"/>
        </w:rPr>
      </w:pPr>
      <w:r w:rsidRPr="00BA2289">
        <w:rPr>
          <w:rFonts w:ascii="Arial" w:eastAsia="Arial" w:hAnsi="Arial" w:cs="Arial"/>
          <w:highlight w:val="white"/>
        </w:rPr>
        <w:t xml:space="preserve">El inciso 6 del articulo 24 de la Ley 715 de 2001, </w:t>
      </w:r>
      <w:r w:rsidRPr="00BA2289">
        <w:rPr>
          <w:rFonts w:ascii="Arial" w:eastAsia="Arial" w:hAnsi="Arial" w:cs="Arial"/>
        </w:rPr>
        <w:t>reconoce el derecho de l</w:t>
      </w:r>
      <w:r w:rsidRPr="00BA2289">
        <w:rPr>
          <w:rFonts w:ascii="Arial" w:hAnsi="Arial" w:cs="Arial"/>
        </w:rPr>
        <w:t>os docentes que laboran en áreas rurales de difícil acceso</w:t>
      </w:r>
      <w:r w:rsidR="00F40D69" w:rsidRPr="00BA2289">
        <w:rPr>
          <w:rFonts w:ascii="Arial" w:hAnsi="Arial" w:cs="Arial"/>
        </w:rPr>
        <w:t>,</w:t>
      </w:r>
      <w:r w:rsidRPr="00BA2289">
        <w:rPr>
          <w:rFonts w:ascii="Arial" w:hAnsi="Arial" w:cs="Arial"/>
        </w:rPr>
        <w:t xml:space="preserve"> a tener estímulos consistentes en bonificación, capacitación, y tiempo, entre otros, de conformidad con el reglamento que expida el Gobierno Nacional</w:t>
      </w:r>
      <w:r w:rsidR="00F40D69" w:rsidRPr="00BA2289">
        <w:rPr>
          <w:rFonts w:ascii="Arial" w:hAnsi="Arial" w:cs="Arial"/>
        </w:rPr>
        <w:t>.</w:t>
      </w:r>
      <w:r w:rsidRPr="00BA2289">
        <w:rPr>
          <w:rFonts w:ascii="Arial" w:hAnsi="Arial" w:cs="Arial"/>
        </w:rPr>
        <w:t xml:space="preserve"> </w:t>
      </w:r>
      <w:r w:rsidR="00F40D69" w:rsidRPr="00BA2289">
        <w:rPr>
          <w:rFonts w:ascii="Arial" w:hAnsi="Arial" w:cs="Arial"/>
        </w:rPr>
        <w:t>I</w:t>
      </w:r>
      <w:r w:rsidRPr="00BA2289">
        <w:rPr>
          <w:rFonts w:ascii="Arial" w:hAnsi="Arial" w:cs="Arial"/>
        </w:rPr>
        <w:t>gualmente</w:t>
      </w:r>
      <w:r w:rsidR="00F40D69" w:rsidRPr="00BA2289">
        <w:rPr>
          <w:rFonts w:ascii="Arial" w:hAnsi="Arial" w:cs="Arial"/>
        </w:rPr>
        <w:t>,</w:t>
      </w:r>
      <w:r w:rsidRPr="00BA2289">
        <w:rPr>
          <w:rFonts w:ascii="Arial" w:hAnsi="Arial" w:cs="Arial"/>
        </w:rPr>
        <w:t xml:space="preserve"> el articulo 2 de la </w:t>
      </w:r>
      <w:r w:rsidRPr="00BA2289">
        <w:rPr>
          <w:rFonts w:ascii="Arial" w:eastAsia="Arial" w:hAnsi="Arial" w:cs="Arial"/>
        </w:rPr>
        <w:t>Ley</w:t>
      </w:r>
      <w:r w:rsidR="00F40D69" w:rsidRPr="00BA2289">
        <w:rPr>
          <w:rFonts w:ascii="Arial" w:eastAsia="Arial" w:hAnsi="Arial" w:cs="Arial"/>
        </w:rPr>
        <w:t xml:space="preserve"> 1297 de 2009</w:t>
      </w:r>
      <w:r w:rsidRPr="00BA2289">
        <w:rPr>
          <w:rFonts w:ascii="Arial" w:eastAsia="Arial" w:hAnsi="Arial" w:cs="Arial"/>
        </w:rPr>
        <w:t xml:space="preserve"> </w:t>
      </w:r>
      <w:r w:rsidR="00FE0FC1" w:rsidRPr="00BA2289">
        <w:rPr>
          <w:rFonts w:ascii="Arial" w:eastAsia="Arial" w:hAnsi="Arial" w:cs="Arial"/>
        </w:rPr>
        <w:t>regula los incentivos a docentes de zonas de difícil acceso</w:t>
      </w:r>
      <w:r w:rsidR="009E5D72" w:rsidRPr="00BA2289">
        <w:rPr>
          <w:rFonts w:ascii="Arial" w:eastAsia="Arial" w:hAnsi="Arial" w:cs="Arial"/>
        </w:rPr>
        <w:t xml:space="preserve">. </w:t>
      </w:r>
    </w:p>
    <w:p w14:paraId="3B8B604E" w14:textId="3597396C" w:rsidR="009E5D72" w:rsidRPr="00BA2289" w:rsidRDefault="009E5D72" w:rsidP="00FE0FC1">
      <w:pPr>
        <w:jc w:val="both"/>
        <w:rPr>
          <w:rFonts w:ascii="Arial" w:hAnsi="Arial" w:cs="Arial"/>
          <w:shd w:val="clear" w:color="auto" w:fill="FFFFFF"/>
        </w:rPr>
      </w:pPr>
      <w:r w:rsidRPr="00BA2289">
        <w:rPr>
          <w:rFonts w:ascii="Arial" w:eastAsia="Arial" w:hAnsi="Arial" w:cs="Arial"/>
        </w:rPr>
        <w:t xml:space="preserve">A su vez, el </w:t>
      </w:r>
      <w:r w:rsidR="00A46846" w:rsidRPr="00BA2289">
        <w:rPr>
          <w:rFonts w:ascii="Arial" w:eastAsia="Arial" w:hAnsi="Arial" w:cs="Arial"/>
        </w:rPr>
        <w:t xml:space="preserve">Decreto 521 de 2010, </w:t>
      </w:r>
      <w:r w:rsidR="00A46846" w:rsidRPr="00BA2289">
        <w:rPr>
          <w:rFonts w:ascii="Arial" w:hAnsi="Arial" w:cs="Arial"/>
        </w:rPr>
        <w:t>reglamento parcialmente el inciso 6° del artículo </w:t>
      </w:r>
      <w:hyperlink r:id="rId8" w:anchor="24" w:history="1">
        <w:r w:rsidR="00A46846" w:rsidRPr="00BA2289">
          <w:rPr>
            <w:rFonts w:ascii="Arial" w:hAnsi="Arial" w:cs="Arial"/>
          </w:rPr>
          <w:t>24</w:t>
        </w:r>
      </w:hyperlink>
      <w:r w:rsidR="00A46846" w:rsidRPr="00BA2289">
        <w:rPr>
          <w:rFonts w:ascii="Arial" w:hAnsi="Arial" w:cs="Arial"/>
        </w:rPr>
        <w:t> de la Ley 715 de 2001 y el artículo </w:t>
      </w:r>
      <w:hyperlink r:id="rId9" w:anchor="2" w:history="1">
        <w:r w:rsidR="00A46846" w:rsidRPr="00BA2289">
          <w:rPr>
            <w:rFonts w:ascii="Arial" w:hAnsi="Arial" w:cs="Arial"/>
          </w:rPr>
          <w:t>2°</w:t>
        </w:r>
      </w:hyperlink>
      <w:r w:rsidR="00A46846" w:rsidRPr="00BA2289">
        <w:rPr>
          <w:rFonts w:ascii="Arial" w:hAnsi="Arial" w:cs="Arial"/>
        </w:rPr>
        <w:t> de la Ley 1297 de 2009, en lo relacionado con los estímulos para los docentes y directivos docentes de los establecimientos educativos estatales ubicados en las zonas de difícil acceso</w:t>
      </w:r>
      <w:r w:rsidR="00126E08" w:rsidRPr="00BA2289">
        <w:rPr>
          <w:rFonts w:ascii="Arial" w:hAnsi="Arial" w:cs="Arial"/>
        </w:rPr>
        <w:t>, precisando que se entiendo como zona de difícil acceso,</w:t>
      </w:r>
      <w:r w:rsidR="002528AE" w:rsidRPr="00BA2289">
        <w:rPr>
          <w:rFonts w:ascii="Arial" w:hAnsi="Arial" w:cs="Arial"/>
        </w:rPr>
        <w:t xml:space="preserve"> </w:t>
      </w:r>
      <w:r w:rsidR="00126E08" w:rsidRPr="00BA2289">
        <w:rPr>
          <w:rFonts w:ascii="Arial" w:hAnsi="Arial" w:cs="Arial"/>
          <w:shd w:val="clear" w:color="auto" w:fill="FFFFFF"/>
        </w:rPr>
        <w:t>aquella zona rural que cumple con los criterios establecidos en el Decreto y que en todo caso</w:t>
      </w:r>
      <w:r w:rsidR="002528AE" w:rsidRPr="00BA2289">
        <w:rPr>
          <w:rFonts w:ascii="Arial" w:hAnsi="Arial" w:cs="Arial"/>
          <w:shd w:val="clear" w:color="auto" w:fill="FFFFFF"/>
        </w:rPr>
        <w:t xml:space="preserve"> será</w:t>
      </w:r>
      <w:r w:rsidR="00126E08" w:rsidRPr="00BA2289">
        <w:rPr>
          <w:rFonts w:ascii="Arial" w:hAnsi="Arial" w:cs="Arial"/>
          <w:shd w:val="clear" w:color="auto" w:fill="FFFFFF"/>
        </w:rPr>
        <w:t xml:space="preserve"> el  </w:t>
      </w:r>
      <w:r w:rsidR="00126E08" w:rsidRPr="00BA2289">
        <w:rPr>
          <w:rFonts w:ascii="Arial" w:hAnsi="Arial" w:cs="Arial"/>
          <w:shd w:val="clear" w:color="auto" w:fill="FFFFFF"/>
        </w:rPr>
        <w:lastRenderedPageBreak/>
        <w:t xml:space="preserve">gobernador o alcalde de cada entidad territorial certificada en educación </w:t>
      </w:r>
      <w:r w:rsidR="002528AE" w:rsidRPr="00BA2289">
        <w:rPr>
          <w:rFonts w:ascii="Arial" w:hAnsi="Arial" w:cs="Arial"/>
          <w:shd w:val="clear" w:color="auto" w:fill="FFFFFF"/>
        </w:rPr>
        <w:t xml:space="preserve">el que </w:t>
      </w:r>
      <w:r w:rsidR="008A56B9" w:rsidRPr="00BA2289">
        <w:rPr>
          <w:rFonts w:ascii="Arial" w:hAnsi="Arial" w:cs="Arial"/>
          <w:shd w:val="clear" w:color="auto" w:fill="FFFFFF"/>
        </w:rPr>
        <w:t>determine</w:t>
      </w:r>
      <w:r w:rsidR="00126E08" w:rsidRPr="00BA2289">
        <w:rPr>
          <w:rFonts w:ascii="Arial" w:hAnsi="Arial" w:cs="Arial"/>
          <w:shd w:val="clear" w:color="auto" w:fill="FFFFFF"/>
        </w:rPr>
        <w:t xml:space="preserve"> cada año, mediante acto administrativo, y simultáneamente con el que fija el calendario académico,  las zonas rurales de difícil acceso y las sedes de los establecimientos educativos estatales de su jurisdicción, de conformidad con la ley, considerando una de las siguientes situaciones:</w:t>
      </w:r>
      <w:r w:rsidR="008A56B9" w:rsidRPr="00BA2289">
        <w:rPr>
          <w:rFonts w:ascii="Arial" w:hAnsi="Arial" w:cs="Arial"/>
          <w:shd w:val="clear" w:color="auto" w:fill="FFFFFF"/>
        </w:rPr>
        <w:t xml:space="preserve">   </w:t>
      </w:r>
    </w:p>
    <w:p w14:paraId="670D0AF6" w14:textId="77777777" w:rsidR="00126E08" w:rsidRPr="00BA2289" w:rsidRDefault="00126E08" w:rsidP="00126E08">
      <w:pPr>
        <w:shd w:val="clear" w:color="auto" w:fill="FFFFFF"/>
        <w:spacing w:after="100" w:afterAutospacing="1" w:line="240" w:lineRule="auto"/>
        <w:rPr>
          <w:rFonts w:ascii="Arial" w:eastAsia="Times New Roman" w:hAnsi="Arial" w:cs="Arial"/>
          <w:lang w:eastAsia="es-CO"/>
        </w:rPr>
      </w:pPr>
      <w:r w:rsidRPr="00BA2289">
        <w:rPr>
          <w:rFonts w:ascii="Arial" w:eastAsia="Times New Roman" w:hAnsi="Arial" w:cs="Arial"/>
          <w:b/>
          <w:bCs/>
          <w:lang w:eastAsia="es-CO"/>
        </w:rPr>
        <w:t>1.</w:t>
      </w:r>
      <w:r w:rsidRPr="00BA2289">
        <w:rPr>
          <w:rFonts w:ascii="Arial" w:eastAsia="Times New Roman" w:hAnsi="Arial" w:cs="Arial"/>
          <w:lang w:eastAsia="es-CO"/>
        </w:rPr>
        <w:t xml:space="preserve"> Que sea necesaria la utilización habitual de dos o más medios de transporte para un desplazamiento hasta el perímetro urbano.</w:t>
      </w:r>
    </w:p>
    <w:p w14:paraId="7A6A5CE0" w14:textId="77777777" w:rsidR="00126E08" w:rsidRPr="00BA2289" w:rsidRDefault="00126E08" w:rsidP="00126E08">
      <w:pPr>
        <w:shd w:val="clear" w:color="auto" w:fill="FFFFFF"/>
        <w:spacing w:after="100" w:afterAutospacing="1" w:line="240" w:lineRule="auto"/>
        <w:rPr>
          <w:rFonts w:ascii="Arial" w:eastAsia="Times New Roman" w:hAnsi="Arial" w:cs="Arial"/>
          <w:lang w:eastAsia="es-CO"/>
        </w:rPr>
      </w:pPr>
      <w:r w:rsidRPr="00BA2289">
        <w:rPr>
          <w:rFonts w:ascii="Arial" w:eastAsia="Times New Roman" w:hAnsi="Arial" w:cs="Arial"/>
          <w:b/>
          <w:bCs/>
          <w:lang w:eastAsia="es-CO"/>
        </w:rPr>
        <w:t>2</w:t>
      </w:r>
      <w:r w:rsidRPr="00BA2289">
        <w:rPr>
          <w:rFonts w:ascii="Arial" w:eastAsia="Times New Roman" w:hAnsi="Arial" w:cs="Arial"/>
          <w:lang w:eastAsia="es-CO"/>
        </w:rPr>
        <w:t>. Que no existan vías de comunicación que permitan el tránsito motorizado durante la mayor parte del año lectivo.</w:t>
      </w:r>
    </w:p>
    <w:p w14:paraId="5D79F196" w14:textId="0D01D686" w:rsidR="00126E08" w:rsidRPr="00BA2289" w:rsidRDefault="00126E08" w:rsidP="008A56B9">
      <w:pPr>
        <w:shd w:val="clear" w:color="auto" w:fill="FFFFFF"/>
        <w:spacing w:after="100" w:afterAutospacing="1" w:line="240" w:lineRule="auto"/>
        <w:jc w:val="both"/>
        <w:rPr>
          <w:rFonts w:ascii="Arial" w:eastAsia="Times New Roman" w:hAnsi="Arial" w:cs="Arial"/>
          <w:lang w:eastAsia="es-CO"/>
        </w:rPr>
      </w:pPr>
      <w:r w:rsidRPr="00BA2289">
        <w:rPr>
          <w:rFonts w:ascii="Arial" w:eastAsia="Times New Roman" w:hAnsi="Arial" w:cs="Arial"/>
          <w:b/>
          <w:bCs/>
          <w:lang w:eastAsia="es-CO"/>
        </w:rPr>
        <w:t>3.</w:t>
      </w:r>
      <w:r w:rsidRPr="00BA2289">
        <w:rPr>
          <w:rFonts w:ascii="Arial" w:eastAsia="Times New Roman" w:hAnsi="Arial" w:cs="Arial"/>
          <w:lang w:eastAsia="es-CO"/>
        </w:rPr>
        <w:t xml:space="preserve"> Que la prestación del servicio público de transporte terrestre, fluvial o marítimo,</w:t>
      </w:r>
      <w:r w:rsidR="008A56B9" w:rsidRPr="00BA2289">
        <w:rPr>
          <w:rFonts w:ascii="Arial" w:eastAsia="Times New Roman" w:hAnsi="Arial" w:cs="Arial"/>
          <w:lang w:eastAsia="es-CO"/>
        </w:rPr>
        <w:t xml:space="preserve"> </w:t>
      </w:r>
      <w:r w:rsidRPr="00BA2289">
        <w:rPr>
          <w:rFonts w:ascii="Arial" w:eastAsia="Times New Roman" w:hAnsi="Arial" w:cs="Arial"/>
          <w:lang w:eastAsia="es-CO"/>
        </w:rPr>
        <w:t>tenga una sola frecuencia, ida o vuelta, diaria.</w:t>
      </w:r>
    </w:p>
    <w:p w14:paraId="1190DD1A" w14:textId="77777777" w:rsidR="00A46846" w:rsidRPr="00BA2289" w:rsidRDefault="00A46846" w:rsidP="00447829">
      <w:pPr>
        <w:jc w:val="both"/>
        <w:rPr>
          <w:rFonts w:ascii="Arial" w:eastAsia="Times New Roman" w:hAnsi="Arial" w:cs="Arial"/>
          <w:bCs/>
          <w:lang w:eastAsia="es-CO"/>
        </w:rPr>
      </w:pPr>
      <w:r w:rsidRPr="00BA2289">
        <w:rPr>
          <w:rFonts w:ascii="Arial" w:eastAsia="Times New Roman" w:hAnsi="Arial" w:cs="Arial"/>
          <w:bCs/>
          <w:lang w:eastAsia="es-CO"/>
        </w:rPr>
        <w:t>Esta normativa define y</w:t>
      </w:r>
      <w:r w:rsidR="00050DAF" w:rsidRPr="00BA2289">
        <w:rPr>
          <w:rFonts w:ascii="Arial" w:eastAsia="Times New Roman" w:hAnsi="Arial" w:cs="Arial"/>
          <w:bCs/>
          <w:lang w:eastAsia="es-CO"/>
        </w:rPr>
        <w:t xml:space="preserve"> reconoce las dificultades a que se enfrentan los docentes que prestan sus servicios en las zonas de difícil acceso, </w:t>
      </w:r>
      <w:r w:rsidRPr="00BA2289">
        <w:rPr>
          <w:rFonts w:ascii="Arial" w:eastAsia="Times New Roman" w:hAnsi="Arial" w:cs="Arial"/>
          <w:bCs/>
          <w:lang w:eastAsia="es-CO"/>
        </w:rPr>
        <w:t>principalmente</w:t>
      </w:r>
      <w:r w:rsidR="00050DAF" w:rsidRPr="00BA2289">
        <w:rPr>
          <w:rFonts w:ascii="Arial" w:eastAsia="Times New Roman" w:hAnsi="Arial" w:cs="Arial"/>
          <w:bCs/>
          <w:lang w:eastAsia="es-CO"/>
        </w:rPr>
        <w:t xml:space="preserve"> en el acceso a transporte </w:t>
      </w:r>
      <w:r w:rsidRPr="00BA2289">
        <w:rPr>
          <w:rFonts w:ascii="Arial" w:eastAsia="Times New Roman" w:hAnsi="Arial" w:cs="Arial"/>
          <w:bCs/>
          <w:lang w:eastAsia="es-CO"/>
        </w:rPr>
        <w:t>por</w:t>
      </w:r>
      <w:r w:rsidR="00050DAF" w:rsidRPr="00BA2289">
        <w:rPr>
          <w:rFonts w:ascii="Arial" w:eastAsia="Times New Roman" w:hAnsi="Arial" w:cs="Arial"/>
          <w:bCs/>
          <w:lang w:eastAsia="es-CO"/>
        </w:rPr>
        <w:t xml:space="preserve"> las condiciones físicas de los lugares </w:t>
      </w:r>
      <w:r w:rsidRPr="00BA2289">
        <w:rPr>
          <w:rFonts w:ascii="Arial" w:eastAsia="Times New Roman" w:hAnsi="Arial" w:cs="Arial"/>
          <w:bCs/>
          <w:lang w:eastAsia="es-CO"/>
        </w:rPr>
        <w:t>en los q</w:t>
      </w:r>
      <w:r w:rsidR="00050DAF" w:rsidRPr="00BA2289">
        <w:rPr>
          <w:rFonts w:ascii="Arial" w:eastAsia="Times New Roman" w:hAnsi="Arial" w:cs="Arial"/>
          <w:bCs/>
          <w:lang w:eastAsia="es-CO"/>
        </w:rPr>
        <w:t>ue se deben desplazar</w:t>
      </w:r>
      <w:r w:rsidR="00BF7F69" w:rsidRPr="00BA2289">
        <w:rPr>
          <w:rFonts w:ascii="Arial" w:eastAsia="Times New Roman" w:hAnsi="Arial" w:cs="Arial"/>
          <w:bCs/>
          <w:lang w:eastAsia="es-CO"/>
        </w:rPr>
        <w:t xml:space="preserve">, otorgando una bonificación especial de transporte a los docentes que </w:t>
      </w:r>
      <w:r w:rsidR="00FE5AE6" w:rsidRPr="00BA2289">
        <w:rPr>
          <w:rFonts w:ascii="Arial" w:eastAsia="Times New Roman" w:hAnsi="Arial" w:cs="Arial"/>
          <w:bCs/>
          <w:lang w:eastAsia="es-CO"/>
        </w:rPr>
        <w:t>prestan sus servicios en estas zonas</w:t>
      </w:r>
      <w:r w:rsidR="00BF7F69" w:rsidRPr="00BA2289">
        <w:rPr>
          <w:rFonts w:ascii="Arial" w:eastAsia="Times New Roman" w:hAnsi="Arial" w:cs="Arial"/>
          <w:bCs/>
          <w:lang w:eastAsia="es-CO"/>
        </w:rPr>
        <w:t xml:space="preserve">. </w:t>
      </w:r>
    </w:p>
    <w:p w14:paraId="235EB890" w14:textId="3345CC67" w:rsidR="00A46846" w:rsidRPr="00BA2289" w:rsidRDefault="00A46846" w:rsidP="00447829">
      <w:pPr>
        <w:jc w:val="both"/>
        <w:rPr>
          <w:rFonts w:ascii="Arial" w:eastAsia="Times New Roman" w:hAnsi="Arial" w:cs="Arial"/>
          <w:bCs/>
          <w:lang w:eastAsia="es-CO"/>
        </w:rPr>
      </w:pPr>
      <w:r w:rsidRPr="00BA2289">
        <w:rPr>
          <w:rFonts w:ascii="Arial" w:eastAsia="Times New Roman" w:hAnsi="Arial" w:cs="Arial"/>
          <w:bCs/>
          <w:lang w:eastAsia="es-CO"/>
        </w:rPr>
        <w:t>El personal administrativo de estas Instituciones Educativas se ve enfrentado a las mismas dificultades del personal docent</w:t>
      </w:r>
      <w:r w:rsidR="00405343" w:rsidRPr="00BA2289">
        <w:rPr>
          <w:rFonts w:ascii="Arial" w:eastAsia="Times New Roman" w:hAnsi="Arial" w:cs="Arial"/>
          <w:bCs/>
          <w:lang w:eastAsia="es-CO"/>
        </w:rPr>
        <w:t xml:space="preserve">e, sin </w:t>
      </w:r>
      <w:proofErr w:type="spellStart"/>
      <w:r w:rsidR="00405343" w:rsidRPr="00BA2289">
        <w:rPr>
          <w:rFonts w:ascii="Arial" w:eastAsia="Times New Roman" w:hAnsi="Arial" w:cs="Arial"/>
          <w:bCs/>
          <w:lang w:eastAsia="es-CO"/>
        </w:rPr>
        <w:t>embarg</w:t>
      </w:r>
      <w:r w:rsidR="00F314DE" w:rsidRPr="00BA2289">
        <w:rPr>
          <w:rFonts w:ascii="Arial" w:eastAsia="Times New Roman" w:hAnsi="Arial" w:cs="Arial"/>
          <w:bCs/>
          <w:lang w:eastAsia="es-CO"/>
        </w:rPr>
        <w:t>,</w:t>
      </w:r>
      <w:r w:rsidR="00405343" w:rsidRPr="00BA2289">
        <w:rPr>
          <w:rFonts w:ascii="Arial" w:eastAsia="Times New Roman" w:hAnsi="Arial" w:cs="Arial"/>
          <w:bCs/>
          <w:lang w:eastAsia="es-CO"/>
        </w:rPr>
        <w:t>o</w:t>
      </w:r>
      <w:proofErr w:type="spellEnd"/>
      <w:r w:rsidR="00405343" w:rsidRPr="00BA2289">
        <w:rPr>
          <w:rFonts w:ascii="Arial" w:eastAsia="Times New Roman" w:hAnsi="Arial" w:cs="Arial"/>
          <w:bCs/>
          <w:lang w:eastAsia="es-CO"/>
        </w:rPr>
        <w:t xml:space="preserve"> no cuenta con el reconocimiento de esta bonificación porque tanto la ley como el decreto solo se refieren a los docentes, dejando desamparadas a las personas que prestan sus servicios en estas zonas de difícil acceso en las áreas administrativas y de servicios generales de las Entida</w:t>
      </w:r>
      <w:r w:rsidR="00DA6FEC" w:rsidRPr="00BA2289">
        <w:rPr>
          <w:rFonts w:ascii="Arial" w:eastAsia="Times New Roman" w:hAnsi="Arial" w:cs="Arial"/>
          <w:bCs/>
          <w:lang w:eastAsia="es-CO"/>
        </w:rPr>
        <w:t>d</w:t>
      </w:r>
      <w:r w:rsidR="00405343" w:rsidRPr="00BA2289">
        <w:rPr>
          <w:rFonts w:ascii="Arial" w:eastAsia="Times New Roman" w:hAnsi="Arial" w:cs="Arial"/>
          <w:bCs/>
          <w:lang w:eastAsia="es-CO"/>
        </w:rPr>
        <w:t>es E</w:t>
      </w:r>
      <w:r w:rsidR="00DA6FEC" w:rsidRPr="00BA2289">
        <w:rPr>
          <w:rFonts w:ascii="Arial" w:eastAsia="Times New Roman" w:hAnsi="Arial" w:cs="Arial"/>
          <w:bCs/>
          <w:lang w:eastAsia="es-CO"/>
        </w:rPr>
        <w:t>d</w:t>
      </w:r>
      <w:r w:rsidR="00405343" w:rsidRPr="00BA2289">
        <w:rPr>
          <w:rFonts w:ascii="Arial" w:eastAsia="Times New Roman" w:hAnsi="Arial" w:cs="Arial"/>
          <w:bCs/>
          <w:lang w:eastAsia="es-CO"/>
        </w:rPr>
        <w:t>ucativas Estatales</w:t>
      </w:r>
      <w:r w:rsidR="00DA6FEC" w:rsidRPr="00BA2289">
        <w:rPr>
          <w:rFonts w:ascii="Arial" w:eastAsia="Times New Roman" w:hAnsi="Arial" w:cs="Arial"/>
          <w:bCs/>
          <w:lang w:eastAsia="es-CO"/>
        </w:rPr>
        <w:t>, sin una justificación clara y valedera para ellos.</w:t>
      </w:r>
    </w:p>
    <w:p w14:paraId="16CE061C" w14:textId="274E55E7" w:rsidR="00DA6FEC" w:rsidRPr="00BA2289" w:rsidRDefault="00DA6FEC" w:rsidP="00447829">
      <w:pPr>
        <w:jc w:val="both"/>
        <w:rPr>
          <w:rFonts w:ascii="Arial" w:eastAsia="Times New Roman" w:hAnsi="Arial" w:cs="Arial"/>
          <w:bCs/>
          <w:lang w:eastAsia="es-CO"/>
        </w:rPr>
      </w:pPr>
      <w:r w:rsidRPr="00BA2289">
        <w:rPr>
          <w:rFonts w:ascii="Arial" w:eastAsia="Times New Roman" w:hAnsi="Arial" w:cs="Arial"/>
          <w:bCs/>
          <w:lang w:eastAsia="es-CO"/>
        </w:rPr>
        <w:t xml:space="preserve">Esta exclusión en la normatividad, genera una desigualdad en los derechos de unas mismas personas que cumplen con iguales condiciones laborales, reconociendo una bonificación especial solo a unos dejando desamparadas a otras, sin justificación legal o técnica alguna. </w:t>
      </w:r>
      <w:r w:rsidR="00102941" w:rsidRPr="00BA2289">
        <w:rPr>
          <w:rFonts w:ascii="Arial" w:eastAsia="Times New Roman" w:hAnsi="Arial" w:cs="Arial"/>
          <w:bCs/>
          <w:lang w:eastAsia="es-CO"/>
        </w:rPr>
        <w:t>Esto es una clara vulneración a un derecho de rango constitucional como lo es derecho a la igualdad.</w:t>
      </w:r>
    </w:p>
    <w:p w14:paraId="60B59521" w14:textId="77777777" w:rsidR="005F370C" w:rsidRPr="00BA2289" w:rsidRDefault="00DA6FEC" w:rsidP="00660585">
      <w:pPr>
        <w:pStyle w:val="NormalWeb"/>
        <w:spacing w:line="270" w:lineRule="atLeast"/>
        <w:jc w:val="both"/>
        <w:rPr>
          <w:rFonts w:ascii="Arial" w:hAnsi="Arial" w:cs="Arial"/>
          <w:bCs/>
          <w:sz w:val="22"/>
          <w:szCs w:val="22"/>
        </w:rPr>
      </w:pPr>
      <w:r w:rsidRPr="00BA2289">
        <w:rPr>
          <w:rFonts w:ascii="Arial" w:hAnsi="Arial" w:cs="Arial"/>
          <w:bCs/>
          <w:sz w:val="22"/>
          <w:szCs w:val="22"/>
        </w:rPr>
        <w:t>EL derecho a la igualdad consagrado en</w:t>
      </w:r>
      <w:r w:rsidR="00660585" w:rsidRPr="00BA2289">
        <w:rPr>
          <w:rFonts w:ascii="Arial" w:hAnsi="Arial" w:cs="Arial"/>
          <w:bCs/>
          <w:sz w:val="22"/>
          <w:szCs w:val="22"/>
        </w:rPr>
        <w:t xml:space="preserve"> el artículo 13 de </w:t>
      </w:r>
      <w:r w:rsidRPr="00BA2289">
        <w:rPr>
          <w:rFonts w:ascii="Arial" w:hAnsi="Arial" w:cs="Arial"/>
          <w:bCs/>
          <w:sz w:val="22"/>
          <w:szCs w:val="22"/>
        </w:rPr>
        <w:t xml:space="preserve">la Constitución Nacional </w:t>
      </w:r>
      <w:r w:rsidR="00660585" w:rsidRPr="00BA2289">
        <w:rPr>
          <w:rFonts w:ascii="Arial" w:hAnsi="Arial" w:cs="Arial"/>
          <w:bCs/>
          <w:sz w:val="22"/>
          <w:szCs w:val="22"/>
        </w:rPr>
        <w:t>establece</w:t>
      </w:r>
      <w:r w:rsidRPr="00BA2289">
        <w:rPr>
          <w:rFonts w:ascii="Arial" w:hAnsi="Arial" w:cs="Arial"/>
          <w:bCs/>
          <w:sz w:val="22"/>
          <w:szCs w:val="22"/>
        </w:rPr>
        <w:t xml:space="preserve"> que: </w:t>
      </w:r>
    </w:p>
    <w:p w14:paraId="4108F136" w14:textId="21B9671D" w:rsidR="00660585" w:rsidRPr="00BA2289" w:rsidRDefault="00660585" w:rsidP="00660585">
      <w:pPr>
        <w:pStyle w:val="NormalWeb"/>
        <w:spacing w:line="270" w:lineRule="atLeast"/>
        <w:jc w:val="both"/>
        <w:rPr>
          <w:rFonts w:ascii="Arial" w:hAnsi="Arial" w:cs="Arial"/>
          <w:i/>
          <w:iCs/>
          <w:sz w:val="22"/>
          <w:szCs w:val="22"/>
        </w:rPr>
      </w:pPr>
      <w:r w:rsidRPr="00BA2289">
        <w:rPr>
          <w:rFonts w:ascii="Arial" w:hAnsi="Arial" w:cs="Arial"/>
          <w:bCs/>
          <w:i/>
          <w:iCs/>
          <w:sz w:val="22"/>
          <w:szCs w:val="22"/>
        </w:rPr>
        <w:t>“</w:t>
      </w:r>
      <w:r w:rsidRPr="00BA2289">
        <w:rPr>
          <w:rFonts w:ascii="Arial" w:hAnsi="Arial" w:cs="Arial"/>
          <w:i/>
          <w:iCs/>
          <w:sz w:val="22"/>
          <w:szCs w:val="22"/>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30D9C33E" w14:textId="77777777" w:rsidR="00660585" w:rsidRPr="00BA2289" w:rsidRDefault="00660585" w:rsidP="00660585">
      <w:pPr>
        <w:pStyle w:val="NormalWeb"/>
        <w:spacing w:line="270" w:lineRule="atLeast"/>
        <w:jc w:val="both"/>
        <w:rPr>
          <w:rFonts w:ascii="Arial" w:hAnsi="Arial" w:cs="Arial"/>
          <w:i/>
          <w:iCs/>
          <w:sz w:val="22"/>
          <w:szCs w:val="22"/>
        </w:rPr>
      </w:pPr>
      <w:r w:rsidRPr="00BA2289">
        <w:rPr>
          <w:rFonts w:ascii="Arial" w:hAnsi="Arial" w:cs="Arial"/>
          <w:i/>
          <w:iCs/>
          <w:sz w:val="22"/>
          <w:szCs w:val="22"/>
        </w:rPr>
        <w:t>El Estado promoverá las condiciones para que la igualdad sea real y efectiva y adoptará medidas en favor de grupos discriminados o marginados.</w:t>
      </w:r>
    </w:p>
    <w:p w14:paraId="2D23ED81" w14:textId="30A0E064" w:rsidR="00660585" w:rsidRPr="00BA2289" w:rsidRDefault="00660585" w:rsidP="00660585">
      <w:pPr>
        <w:pStyle w:val="NormalWeb"/>
        <w:spacing w:line="270" w:lineRule="atLeast"/>
        <w:jc w:val="both"/>
        <w:rPr>
          <w:rFonts w:ascii="Arial" w:hAnsi="Arial" w:cs="Arial"/>
          <w:i/>
          <w:iCs/>
          <w:sz w:val="22"/>
          <w:szCs w:val="22"/>
        </w:rPr>
      </w:pPr>
      <w:r w:rsidRPr="00BA2289">
        <w:rPr>
          <w:rFonts w:ascii="Arial" w:hAnsi="Arial" w:cs="Arial"/>
          <w:i/>
          <w:iCs/>
          <w:sz w:val="22"/>
          <w:szCs w:val="22"/>
        </w:rPr>
        <w:lastRenderedPageBreak/>
        <w:t xml:space="preserve">El Estado protegerá especialmente a aquellas personas </w:t>
      </w:r>
      <w:proofErr w:type="gramStart"/>
      <w:r w:rsidRPr="00BA2289">
        <w:rPr>
          <w:rFonts w:ascii="Arial" w:hAnsi="Arial" w:cs="Arial"/>
          <w:i/>
          <w:iCs/>
          <w:sz w:val="22"/>
          <w:szCs w:val="22"/>
        </w:rPr>
        <w:t>que</w:t>
      </w:r>
      <w:proofErr w:type="gramEnd"/>
      <w:r w:rsidRPr="00BA2289">
        <w:rPr>
          <w:rFonts w:ascii="Arial" w:hAnsi="Arial" w:cs="Arial"/>
          <w:i/>
          <w:iCs/>
          <w:sz w:val="22"/>
          <w:szCs w:val="22"/>
        </w:rPr>
        <w:t xml:space="preserve"> por su condición económica, física o mental, se encuentren en circunstancia de debilidad manifiesta y sancionará los abusos o maltratos que contra ellas se cometan.”</w:t>
      </w:r>
    </w:p>
    <w:p w14:paraId="32F492B0" w14:textId="571AC141" w:rsidR="00660585" w:rsidRPr="00BA2289" w:rsidRDefault="00E36F36" w:rsidP="00447829">
      <w:pPr>
        <w:jc w:val="both"/>
        <w:rPr>
          <w:rFonts w:ascii="Arial" w:hAnsi="Arial" w:cs="Arial"/>
          <w:spacing w:val="1"/>
          <w:shd w:val="clear" w:color="auto" w:fill="FFFFFF"/>
        </w:rPr>
      </w:pPr>
      <w:r w:rsidRPr="00BA2289">
        <w:rPr>
          <w:rFonts w:ascii="Arial" w:eastAsia="Times New Roman" w:hAnsi="Arial" w:cs="Arial"/>
          <w:bCs/>
          <w:lang w:eastAsia="es-CO"/>
        </w:rPr>
        <w:t>En cuanto a la aplicación de este artículo en el ámbito laboral, e</w:t>
      </w:r>
      <w:r w:rsidR="005F370C" w:rsidRPr="00BA2289">
        <w:rPr>
          <w:rFonts w:ascii="Arial" w:eastAsia="Times New Roman" w:hAnsi="Arial" w:cs="Arial"/>
          <w:bCs/>
          <w:lang w:eastAsia="es-CO"/>
        </w:rPr>
        <w:t xml:space="preserve">xiste </w:t>
      </w:r>
      <w:r w:rsidR="00660585" w:rsidRPr="00BA2289">
        <w:rPr>
          <w:rFonts w:ascii="Arial" w:hAnsi="Arial" w:cs="Arial"/>
          <w:spacing w:val="1"/>
          <w:shd w:val="clear" w:color="auto" w:fill="FFFFFF"/>
        </w:rPr>
        <w:t xml:space="preserve">un amplio desarrollo del principio de la igualdad y la no </w:t>
      </w:r>
      <w:r w:rsidR="005F370C" w:rsidRPr="00BA2289">
        <w:rPr>
          <w:rFonts w:ascii="Arial" w:hAnsi="Arial" w:cs="Arial"/>
          <w:spacing w:val="1"/>
          <w:shd w:val="clear" w:color="auto" w:fill="FFFFFF"/>
        </w:rPr>
        <w:t>discriminación</w:t>
      </w:r>
      <w:r w:rsidR="00660585" w:rsidRPr="00BA2289">
        <w:rPr>
          <w:rFonts w:ascii="Arial" w:hAnsi="Arial" w:cs="Arial"/>
          <w:spacing w:val="1"/>
          <w:shd w:val="clear" w:color="auto" w:fill="FFFFFF"/>
        </w:rPr>
        <w:t xml:space="preserve"> en la jurisprudencia de las altas cortes,</w:t>
      </w:r>
      <w:r w:rsidR="005F370C" w:rsidRPr="00BA2289">
        <w:rPr>
          <w:rFonts w:ascii="Arial" w:hAnsi="Arial" w:cs="Arial"/>
          <w:spacing w:val="1"/>
          <w:shd w:val="clear" w:color="auto" w:fill="FFFFFF"/>
        </w:rPr>
        <w:t xml:space="preserve"> así</w:t>
      </w:r>
      <w:r w:rsidRPr="00BA2289">
        <w:rPr>
          <w:rFonts w:ascii="Arial" w:hAnsi="Arial" w:cs="Arial"/>
          <w:spacing w:val="1"/>
          <w:shd w:val="clear" w:color="auto" w:fill="FFFFFF"/>
        </w:rPr>
        <w:t xml:space="preserve">, </w:t>
      </w:r>
      <w:r w:rsidR="005F370C" w:rsidRPr="00BA2289">
        <w:rPr>
          <w:rFonts w:ascii="Arial" w:hAnsi="Arial" w:cs="Arial"/>
          <w:spacing w:val="1"/>
          <w:shd w:val="clear" w:color="auto" w:fill="FFFFFF"/>
        </w:rPr>
        <w:t xml:space="preserve">encontramos sentencias que ratifican </w:t>
      </w:r>
      <w:r w:rsidRPr="00BA2289">
        <w:rPr>
          <w:rFonts w:ascii="Arial" w:hAnsi="Arial" w:cs="Arial"/>
          <w:spacing w:val="1"/>
          <w:shd w:val="clear" w:color="auto" w:fill="FFFFFF"/>
        </w:rPr>
        <w:t>la obligación de dar el mismo trato a supuestos de hecho similares, el deber de garantizar una igualdad real que es un trato igual a las personas que estén bajo iguales condiciones, y el desarrollo del principio “a trabajo igual salario igual”</w:t>
      </w:r>
    </w:p>
    <w:p w14:paraId="379D38E0" w14:textId="77777777" w:rsidR="00BA2289" w:rsidRDefault="00BA2289" w:rsidP="00101AA9">
      <w:pPr>
        <w:jc w:val="both"/>
        <w:rPr>
          <w:rFonts w:ascii="Arial" w:hAnsi="Arial" w:cs="Arial"/>
          <w:b/>
          <w:bCs/>
        </w:rPr>
      </w:pPr>
    </w:p>
    <w:p w14:paraId="43952F64" w14:textId="57962F30" w:rsidR="00101AA9" w:rsidRPr="00BA2289" w:rsidRDefault="00101AA9" w:rsidP="00101AA9">
      <w:pPr>
        <w:jc w:val="both"/>
        <w:rPr>
          <w:rFonts w:ascii="Arial" w:hAnsi="Arial" w:cs="Arial"/>
          <w:b/>
          <w:bCs/>
        </w:rPr>
      </w:pPr>
      <w:r w:rsidRPr="00BA2289">
        <w:rPr>
          <w:rFonts w:ascii="Arial" w:hAnsi="Arial" w:cs="Arial"/>
          <w:b/>
          <w:bCs/>
        </w:rPr>
        <w:t>Sentencia T-079 del 28 de febrero de 1995 Corte Constitucional</w:t>
      </w:r>
    </w:p>
    <w:p w14:paraId="4D47EB90" w14:textId="2AE9D244" w:rsidR="00101AA9" w:rsidRPr="00BA2289" w:rsidRDefault="00101AA9" w:rsidP="00101AA9">
      <w:pPr>
        <w:jc w:val="both"/>
        <w:rPr>
          <w:rFonts w:ascii="Arial" w:hAnsi="Arial" w:cs="Arial"/>
          <w:i/>
          <w:iCs/>
        </w:rPr>
      </w:pPr>
      <w:r w:rsidRPr="00BA2289">
        <w:rPr>
          <w:rFonts w:ascii="Arial" w:hAnsi="Arial" w:cs="Arial"/>
          <w:i/>
          <w:iCs/>
        </w:rPr>
        <w:t>“Es obvio que la </w:t>
      </w:r>
      <w:r w:rsidRPr="00BA2289">
        <w:rPr>
          <w:rFonts w:ascii="Arial" w:hAnsi="Arial" w:cs="Arial"/>
          <w:i/>
          <w:iCs/>
          <w:u w:val="single"/>
        </w:rPr>
        <w:t>discriminación salarial</w:t>
      </w:r>
      <w:r w:rsidRPr="00BA2289">
        <w:rPr>
          <w:rFonts w:ascii="Arial" w:hAnsi="Arial" w:cs="Arial"/>
          <w:i/>
          <w:iCs/>
        </w:rPr>
        <w:t xml:space="preserve"> atenta contra la </w:t>
      </w:r>
      <w:r w:rsidR="00BA2289" w:rsidRPr="00BA2289">
        <w:rPr>
          <w:rFonts w:ascii="Arial" w:hAnsi="Arial" w:cs="Arial"/>
          <w:i/>
          <w:iCs/>
        </w:rPr>
        <w:t>IGUALDAD como</w:t>
      </w:r>
      <w:r w:rsidRPr="00BA2289">
        <w:rPr>
          <w:rFonts w:ascii="Arial" w:hAnsi="Arial" w:cs="Arial"/>
          <w:i/>
          <w:iCs/>
        </w:rPr>
        <w:t xml:space="preserve"> derecho fundamental constitucionalmente protegido e inherente a la relación laboral. Lo cual implica, en principio, que habrá discriminación cuando ante situaciones iguales se da un trato jurídico diferente, por eso se proclama el principio A TRABAJO IGUAL SALARIO IGUAL.</w:t>
      </w:r>
      <w:r w:rsidR="00BA2289">
        <w:rPr>
          <w:rFonts w:ascii="Arial" w:hAnsi="Arial" w:cs="Arial"/>
          <w:i/>
          <w:iCs/>
        </w:rPr>
        <w:t>”</w:t>
      </w:r>
    </w:p>
    <w:p w14:paraId="652994CE" w14:textId="77777777" w:rsidR="00BA2289" w:rsidRDefault="00BA2289" w:rsidP="00101AA9">
      <w:pPr>
        <w:tabs>
          <w:tab w:val="left" w:pos="3644"/>
        </w:tabs>
        <w:spacing w:after="0" w:line="240" w:lineRule="auto"/>
        <w:jc w:val="both"/>
        <w:rPr>
          <w:rFonts w:ascii="Arial" w:eastAsia="Times New Roman" w:hAnsi="Arial" w:cs="Arial"/>
          <w:b/>
          <w:bCs/>
          <w:lang w:eastAsia="es-CO"/>
        </w:rPr>
      </w:pPr>
    </w:p>
    <w:p w14:paraId="6381CD5C" w14:textId="416F880C" w:rsidR="00101AA9" w:rsidRPr="00BA2289" w:rsidRDefault="00101AA9" w:rsidP="00101AA9">
      <w:pPr>
        <w:tabs>
          <w:tab w:val="left" w:pos="3644"/>
        </w:tabs>
        <w:spacing w:after="0" w:line="240" w:lineRule="auto"/>
        <w:jc w:val="both"/>
        <w:rPr>
          <w:rFonts w:ascii="Arial" w:eastAsia="Times New Roman" w:hAnsi="Arial" w:cs="Arial"/>
          <w:b/>
          <w:bCs/>
          <w:lang w:eastAsia="es-CO"/>
        </w:rPr>
      </w:pPr>
      <w:r w:rsidRPr="005F370C">
        <w:rPr>
          <w:rFonts w:ascii="Arial" w:eastAsia="Times New Roman" w:hAnsi="Arial" w:cs="Arial"/>
          <w:b/>
          <w:bCs/>
          <w:lang w:eastAsia="es-CO"/>
        </w:rPr>
        <w:t>Sentencia T-018/</w:t>
      </w:r>
      <w:r w:rsidR="00BA2289" w:rsidRPr="005F370C">
        <w:rPr>
          <w:rFonts w:ascii="Arial" w:eastAsia="Times New Roman" w:hAnsi="Arial" w:cs="Arial"/>
          <w:b/>
          <w:bCs/>
          <w:lang w:eastAsia="es-CO"/>
        </w:rPr>
        <w:t>99</w:t>
      </w:r>
      <w:r w:rsidR="00BA2289" w:rsidRPr="00BA2289">
        <w:rPr>
          <w:rFonts w:ascii="Arial" w:eastAsia="Times New Roman" w:hAnsi="Arial" w:cs="Arial"/>
          <w:b/>
          <w:bCs/>
          <w:lang w:eastAsia="es-CO"/>
        </w:rPr>
        <w:t xml:space="preserve"> Corte</w:t>
      </w:r>
      <w:r w:rsidRPr="00BA2289">
        <w:rPr>
          <w:rFonts w:ascii="Arial" w:eastAsia="Times New Roman" w:hAnsi="Arial" w:cs="Arial"/>
          <w:b/>
          <w:bCs/>
          <w:lang w:eastAsia="es-CO"/>
        </w:rPr>
        <w:t xml:space="preserve"> Constitucional: </w:t>
      </w:r>
    </w:p>
    <w:p w14:paraId="05B02C39" w14:textId="77777777" w:rsidR="00101AA9" w:rsidRPr="005F370C" w:rsidRDefault="00101AA9" w:rsidP="00101AA9">
      <w:pPr>
        <w:tabs>
          <w:tab w:val="left" w:pos="3644"/>
        </w:tabs>
        <w:spacing w:after="0" w:line="240" w:lineRule="auto"/>
        <w:jc w:val="both"/>
        <w:rPr>
          <w:rFonts w:ascii="Arial" w:eastAsia="Times New Roman" w:hAnsi="Arial" w:cs="Arial"/>
          <w:lang w:eastAsia="es-CO"/>
        </w:rPr>
      </w:pPr>
    </w:p>
    <w:p w14:paraId="778B4F30" w14:textId="226AC9C2" w:rsidR="00101AA9" w:rsidRPr="005F370C" w:rsidRDefault="00101AA9" w:rsidP="00101AA9">
      <w:pPr>
        <w:spacing w:after="0" w:line="240" w:lineRule="auto"/>
        <w:ind w:right="335"/>
        <w:jc w:val="both"/>
        <w:rPr>
          <w:rFonts w:ascii="Arial" w:eastAsia="Times New Roman" w:hAnsi="Arial" w:cs="Arial"/>
          <w:lang w:eastAsia="es-CO"/>
        </w:rPr>
      </w:pPr>
      <w:r w:rsidRPr="005F370C">
        <w:rPr>
          <w:rFonts w:ascii="Arial" w:eastAsia="Times New Roman" w:hAnsi="Arial" w:cs="Arial"/>
          <w:b/>
          <w:bCs/>
          <w:lang w:eastAsia="es-CO"/>
        </w:rPr>
        <w:t> </w:t>
      </w:r>
      <w:r w:rsidR="00BA2289">
        <w:rPr>
          <w:rFonts w:ascii="Arial" w:eastAsia="Times New Roman" w:hAnsi="Arial" w:cs="Arial"/>
          <w:b/>
          <w:bCs/>
          <w:lang w:eastAsia="es-CO"/>
        </w:rPr>
        <w:t>“</w:t>
      </w:r>
      <w:r w:rsidRPr="005F370C">
        <w:rPr>
          <w:rFonts w:ascii="Arial" w:eastAsia="Times New Roman" w:hAnsi="Arial" w:cs="Arial"/>
          <w:i/>
          <w:iCs/>
          <w:lang w:eastAsia="es-CO"/>
        </w:rPr>
        <w:t xml:space="preserve">En reiterada jurisprudencia de </w:t>
      </w:r>
      <w:r w:rsidRPr="00BA2289">
        <w:rPr>
          <w:rFonts w:ascii="Arial" w:eastAsia="Times New Roman" w:hAnsi="Arial" w:cs="Arial"/>
          <w:i/>
          <w:iCs/>
          <w:lang w:eastAsia="es-CO"/>
        </w:rPr>
        <w:t>esta</w:t>
      </w:r>
      <w:r w:rsidRPr="005F370C">
        <w:rPr>
          <w:rFonts w:ascii="Arial" w:eastAsia="Times New Roman" w:hAnsi="Arial" w:cs="Arial"/>
          <w:i/>
          <w:iCs/>
          <w:lang w:eastAsia="es-CO"/>
        </w:rPr>
        <w:t xml:space="preserve"> Corporación, se ha señalado que el derecho a la igualdad, no plantea una igualdad matemática, sino una igualdad real, que busca un trato igual a las personas que se encuentran bajo unas mismas condiciones, y que justifica un trato diferente sólo cuando se encuentran bajo distintas condiciones. Con base en </w:t>
      </w:r>
      <w:r w:rsidRPr="00BA2289">
        <w:rPr>
          <w:rFonts w:ascii="Arial" w:eastAsia="Times New Roman" w:hAnsi="Arial" w:cs="Arial"/>
          <w:i/>
          <w:iCs/>
          <w:lang w:eastAsia="es-CO"/>
        </w:rPr>
        <w:t>este</w:t>
      </w:r>
      <w:r w:rsidRPr="005F370C">
        <w:rPr>
          <w:rFonts w:ascii="Arial" w:eastAsia="Times New Roman" w:hAnsi="Arial" w:cs="Arial"/>
          <w:i/>
          <w:iCs/>
          <w:lang w:eastAsia="es-CO"/>
        </w:rPr>
        <w:t xml:space="preserve"> derecho fundamental contenido en la Carta Política es que se ha dado desarrollo al principio de "a trabajo igual, salario igual". No se puede dar un trato discriminatorio entre trabajadores, </w:t>
      </w:r>
      <w:proofErr w:type="gramStart"/>
      <w:r w:rsidRPr="005F370C">
        <w:rPr>
          <w:rFonts w:ascii="Arial" w:eastAsia="Times New Roman" w:hAnsi="Arial" w:cs="Arial"/>
          <w:i/>
          <w:iCs/>
          <w:lang w:eastAsia="es-CO"/>
        </w:rPr>
        <w:t>que</w:t>
      </w:r>
      <w:proofErr w:type="gramEnd"/>
      <w:r w:rsidRPr="005F370C">
        <w:rPr>
          <w:rFonts w:ascii="Arial" w:eastAsia="Times New Roman" w:hAnsi="Arial" w:cs="Arial"/>
          <w:i/>
          <w:iCs/>
          <w:lang w:eastAsia="es-CO"/>
        </w:rPr>
        <w:t xml:space="preserve"> cumpliendo una misma labor con las mismas responsabilidades, sean objeto de una remuneración diferente. Al respecto cabe señalar que no se puede dejar en manos del mismo empleador, la posibilidad de que éste desarrolle criterios, subjetivos, amañados y caprichosos que pretendan justificar un trato discriminatorio entre trabajadores que desarrollan la misma actividad.</w:t>
      </w:r>
      <w:r w:rsidR="00BA2289">
        <w:rPr>
          <w:rFonts w:ascii="Arial" w:eastAsia="Times New Roman" w:hAnsi="Arial" w:cs="Arial"/>
          <w:i/>
          <w:iCs/>
          <w:lang w:eastAsia="es-CO"/>
        </w:rPr>
        <w:t>”</w:t>
      </w:r>
    </w:p>
    <w:p w14:paraId="3669DC19" w14:textId="77777777" w:rsidR="00101AA9" w:rsidRPr="00BA2289" w:rsidRDefault="00101AA9" w:rsidP="00101AA9">
      <w:pPr>
        <w:jc w:val="both"/>
        <w:rPr>
          <w:rFonts w:ascii="Arial" w:eastAsia="Times New Roman" w:hAnsi="Arial" w:cs="Arial"/>
          <w:bCs/>
          <w:lang w:eastAsia="es-CO"/>
        </w:rPr>
      </w:pPr>
    </w:p>
    <w:p w14:paraId="6BC9DDF9" w14:textId="77777777" w:rsidR="00101AA9" w:rsidRPr="00BA2289" w:rsidRDefault="00101AA9" w:rsidP="00101AA9">
      <w:pPr>
        <w:jc w:val="both"/>
        <w:rPr>
          <w:rFonts w:ascii="Arial" w:hAnsi="Arial" w:cs="Arial"/>
          <w:b/>
          <w:bCs/>
          <w:shd w:val="clear" w:color="auto" w:fill="FFFFFF"/>
        </w:rPr>
      </w:pPr>
      <w:r w:rsidRPr="00BA2289">
        <w:rPr>
          <w:rFonts w:ascii="Arial" w:hAnsi="Arial" w:cs="Arial"/>
          <w:b/>
          <w:bCs/>
          <w:shd w:val="clear" w:color="auto" w:fill="FFFFFF"/>
        </w:rPr>
        <w:t>Corte Suprema de Justicia SL6217-2014, 26 de noviembre de 2014, radicado 45830.</w:t>
      </w:r>
    </w:p>
    <w:p w14:paraId="3A558594" w14:textId="33F9E616" w:rsidR="00101AA9" w:rsidRPr="00FA3F7C" w:rsidRDefault="00BA2289" w:rsidP="00101AA9">
      <w:pPr>
        <w:shd w:val="clear" w:color="auto" w:fill="FFFFFF"/>
        <w:spacing w:after="0" w:line="240" w:lineRule="auto"/>
        <w:jc w:val="both"/>
        <w:rPr>
          <w:rFonts w:ascii="Arial" w:eastAsia="Times New Roman" w:hAnsi="Arial" w:cs="Arial"/>
          <w:lang w:eastAsia="es-CO"/>
        </w:rPr>
      </w:pPr>
      <w:r>
        <w:rPr>
          <w:rFonts w:ascii="Arial" w:eastAsia="Times New Roman" w:hAnsi="Arial" w:cs="Arial"/>
          <w:i/>
          <w:iCs/>
          <w:lang w:eastAsia="es-CO"/>
        </w:rPr>
        <w:t>“</w:t>
      </w:r>
      <w:r w:rsidR="00101AA9" w:rsidRPr="00FA3F7C">
        <w:rPr>
          <w:rFonts w:ascii="Arial" w:eastAsia="Times New Roman" w:hAnsi="Arial" w:cs="Arial"/>
          <w:i/>
          <w:iCs/>
          <w:lang w:eastAsia="es-CO"/>
        </w:rPr>
        <w:t>De esta manera, las diferencias en las retribuciones de trabajadores que desempeñen iguales o semejantes trabajos, solo podrán justificarse cuando ellas obedezcan a criterios objetivos, como se explicará ahora.</w:t>
      </w:r>
    </w:p>
    <w:p w14:paraId="7DF25CCC" w14:textId="77777777" w:rsidR="00101AA9" w:rsidRPr="00FA3F7C" w:rsidRDefault="00101AA9" w:rsidP="00101AA9">
      <w:pPr>
        <w:shd w:val="clear" w:color="auto" w:fill="FFFFFF"/>
        <w:spacing w:after="0" w:line="240" w:lineRule="auto"/>
        <w:jc w:val="both"/>
        <w:rPr>
          <w:rFonts w:ascii="Arial" w:eastAsia="Times New Roman" w:hAnsi="Arial" w:cs="Arial"/>
          <w:lang w:eastAsia="es-CO"/>
        </w:rPr>
      </w:pPr>
      <w:r w:rsidRPr="00FA3F7C">
        <w:rPr>
          <w:rFonts w:ascii="Arial" w:eastAsia="Times New Roman" w:hAnsi="Arial" w:cs="Arial"/>
          <w:i/>
          <w:iCs/>
          <w:lang w:eastAsia="es-CO"/>
        </w:rPr>
        <w:t> </w:t>
      </w:r>
    </w:p>
    <w:p w14:paraId="55DEFCBD" w14:textId="77777777" w:rsidR="00101AA9" w:rsidRPr="00FA3F7C" w:rsidRDefault="00101AA9" w:rsidP="00101AA9">
      <w:pPr>
        <w:shd w:val="clear" w:color="auto" w:fill="FFFFFF"/>
        <w:spacing w:after="0" w:line="240" w:lineRule="auto"/>
        <w:jc w:val="both"/>
        <w:rPr>
          <w:rFonts w:ascii="Arial" w:eastAsia="Times New Roman" w:hAnsi="Arial" w:cs="Arial"/>
          <w:lang w:eastAsia="es-CO"/>
        </w:rPr>
      </w:pPr>
      <w:r w:rsidRPr="00FA3F7C">
        <w:rPr>
          <w:rFonts w:ascii="Arial" w:eastAsia="Times New Roman" w:hAnsi="Arial" w:cs="Arial"/>
          <w:i/>
          <w:iCs/>
          <w:lang w:eastAsia="es-CO"/>
        </w:rPr>
        <w:t>B. Los criterios de valoración para determinar un trato igualitario.</w:t>
      </w:r>
    </w:p>
    <w:p w14:paraId="6692B799" w14:textId="77777777" w:rsidR="00101AA9" w:rsidRPr="00FA3F7C" w:rsidRDefault="00101AA9" w:rsidP="00101AA9">
      <w:pPr>
        <w:shd w:val="clear" w:color="auto" w:fill="FFFFFF"/>
        <w:spacing w:after="0" w:line="240" w:lineRule="auto"/>
        <w:jc w:val="both"/>
        <w:rPr>
          <w:rFonts w:ascii="Arial" w:eastAsia="Times New Roman" w:hAnsi="Arial" w:cs="Arial"/>
          <w:lang w:eastAsia="es-CO"/>
        </w:rPr>
      </w:pPr>
      <w:r w:rsidRPr="00FA3F7C">
        <w:rPr>
          <w:rFonts w:ascii="Arial" w:eastAsia="Times New Roman" w:hAnsi="Arial" w:cs="Arial"/>
          <w:i/>
          <w:iCs/>
          <w:lang w:eastAsia="es-CO"/>
        </w:rPr>
        <w:t> </w:t>
      </w:r>
    </w:p>
    <w:p w14:paraId="259A59BA" w14:textId="77777777" w:rsidR="00101AA9" w:rsidRPr="00FA3F7C" w:rsidRDefault="00101AA9" w:rsidP="00101AA9">
      <w:pPr>
        <w:shd w:val="clear" w:color="auto" w:fill="FFFFFF"/>
        <w:spacing w:after="0" w:line="240" w:lineRule="auto"/>
        <w:jc w:val="both"/>
        <w:rPr>
          <w:rFonts w:ascii="Arial" w:eastAsia="Times New Roman" w:hAnsi="Arial" w:cs="Arial"/>
          <w:lang w:eastAsia="es-CO"/>
        </w:rPr>
      </w:pPr>
      <w:r w:rsidRPr="00FA3F7C">
        <w:rPr>
          <w:rFonts w:ascii="Arial" w:eastAsia="Times New Roman" w:hAnsi="Arial" w:cs="Arial"/>
          <w:i/>
          <w:iCs/>
          <w:lang w:eastAsia="es-CO"/>
        </w:rPr>
        <w:lastRenderedPageBreak/>
        <w:t>Ha de darse un tratamiento igual (en beneficios o cargas), cuando dos entes u objetos compartan uno o varios elementos comunes, con base en los cuales se predique su igualdad. Al respecto, esta Sala, en sentencia de anulación del 4 de diciembre de 2012, Rad. 55501, se expresó así:</w:t>
      </w:r>
    </w:p>
    <w:p w14:paraId="2D70F2B0" w14:textId="77777777" w:rsidR="00101AA9" w:rsidRPr="00FA3F7C" w:rsidRDefault="00101AA9" w:rsidP="00101AA9">
      <w:pPr>
        <w:shd w:val="clear" w:color="auto" w:fill="FFFFFF"/>
        <w:spacing w:after="0" w:line="240" w:lineRule="auto"/>
        <w:jc w:val="both"/>
        <w:rPr>
          <w:rFonts w:ascii="Arial" w:eastAsia="Times New Roman" w:hAnsi="Arial" w:cs="Arial"/>
          <w:lang w:eastAsia="es-CO"/>
        </w:rPr>
      </w:pPr>
      <w:r w:rsidRPr="00FA3F7C">
        <w:rPr>
          <w:rFonts w:ascii="Arial" w:eastAsia="Times New Roman" w:hAnsi="Arial" w:cs="Arial"/>
          <w:i/>
          <w:iCs/>
          <w:lang w:eastAsia="es-CO"/>
        </w:rPr>
        <w:t> </w:t>
      </w:r>
    </w:p>
    <w:p w14:paraId="611B13AA" w14:textId="77777777" w:rsidR="00101AA9" w:rsidRPr="00FA3F7C" w:rsidRDefault="00101AA9" w:rsidP="00101AA9">
      <w:pPr>
        <w:shd w:val="clear" w:color="auto" w:fill="FFFFFF"/>
        <w:spacing w:after="0" w:line="240" w:lineRule="auto"/>
        <w:jc w:val="both"/>
        <w:rPr>
          <w:rFonts w:ascii="Arial" w:eastAsia="Times New Roman" w:hAnsi="Arial" w:cs="Arial"/>
          <w:lang w:eastAsia="es-CO"/>
        </w:rPr>
      </w:pPr>
      <w:r w:rsidRPr="00FA3F7C">
        <w:rPr>
          <w:rFonts w:ascii="Arial" w:eastAsia="Times New Roman" w:hAnsi="Arial" w:cs="Arial"/>
          <w:i/>
          <w:iCs/>
          <w:lang w:eastAsia="es-CO"/>
        </w:rPr>
        <w:t>[…]  En otras palabras, la igualdad de trato y no discriminación en el trabajo, exige tratamiento igualitario en materias salariales y prestacionales para los trabajadores dentro de un mismo contexto laboral, cuando los trabajadores se encuentren en igualdad de condiciones.</w:t>
      </w:r>
    </w:p>
    <w:p w14:paraId="66CE56C5" w14:textId="77777777" w:rsidR="00101AA9" w:rsidRPr="00FA3F7C" w:rsidRDefault="00101AA9" w:rsidP="00101AA9">
      <w:pPr>
        <w:shd w:val="clear" w:color="auto" w:fill="FFFFFF"/>
        <w:spacing w:after="0" w:line="240" w:lineRule="auto"/>
        <w:jc w:val="both"/>
        <w:rPr>
          <w:rFonts w:ascii="Arial" w:eastAsia="Times New Roman" w:hAnsi="Arial" w:cs="Arial"/>
          <w:lang w:eastAsia="es-CO"/>
        </w:rPr>
      </w:pPr>
      <w:r w:rsidRPr="00FA3F7C">
        <w:rPr>
          <w:rFonts w:ascii="Arial" w:eastAsia="Times New Roman" w:hAnsi="Arial" w:cs="Arial"/>
          <w:i/>
          <w:iCs/>
          <w:lang w:eastAsia="es-CO"/>
        </w:rPr>
        <w:t> </w:t>
      </w:r>
    </w:p>
    <w:p w14:paraId="14E3A0A1" w14:textId="6D558AA7" w:rsidR="00101AA9" w:rsidRPr="00FA3F7C" w:rsidRDefault="00101AA9" w:rsidP="00101AA9">
      <w:pPr>
        <w:shd w:val="clear" w:color="auto" w:fill="FFFFFF"/>
        <w:spacing w:after="0" w:line="240" w:lineRule="auto"/>
        <w:jc w:val="both"/>
        <w:rPr>
          <w:rFonts w:ascii="Arial" w:eastAsia="Times New Roman" w:hAnsi="Arial" w:cs="Arial"/>
          <w:lang w:eastAsia="es-CO"/>
        </w:rPr>
      </w:pPr>
      <w:r w:rsidRPr="00FA3F7C">
        <w:rPr>
          <w:rFonts w:ascii="Arial" w:eastAsia="Times New Roman" w:hAnsi="Arial" w:cs="Arial"/>
          <w:i/>
          <w:iCs/>
          <w:lang w:eastAsia="es-CO"/>
        </w:rPr>
        <w:t>Lo anterior quiere decir que no son admisibles tratos diferenciados en temas salariales, prestacionales, en oportunidades de promoción, en seguridad y salud ocupacionales, en formación, etc., cuando esos tratos se basen en motivos irrelevantes –o sea, no objetivos-, pues en tales casos el trato será discriminatorio.</w:t>
      </w:r>
      <w:r w:rsidR="00C822D1">
        <w:rPr>
          <w:rFonts w:ascii="Arial" w:eastAsia="Times New Roman" w:hAnsi="Arial" w:cs="Arial"/>
          <w:i/>
          <w:iCs/>
          <w:lang w:eastAsia="es-CO"/>
        </w:rPr>
        <w:t>”</w:t>
      </w:r>
    </w:p>
    <w:p w14:paraId="7B960AE4" w14:textId="77777777" w:rsidR="00101AA9" w:rsidRPr="00BA2289" w:rsidRDefault="00101AA9" w:rsidP="00101AA9">
      <w:pPr>
        <w:jc w:val="both"/>
        <w:rPr>
          <w:rFonts w:ascii="Arial" w:eastAsia="Times New Roman" w:hAnsi="Arial" w:cs="Arial"/>
          <w:bCs/>
          <w:lang w:eastAsia="es-CO"/>
        </w:rPr>
      </w:pPr>
    </w:p>
    <w:p w14:paraId="19ED8B4E" w14:textId="39CA81A8" w:rsidR="00736F25" w:rsidRPr="00BA2289" w:rsidRDefault="00736F25" w:rsidP="00736F25">
      <w:pPr>
        <w:jc w:val="both"/>
        <w:rPr>
          <w:rFonts w:ascii="Arial" w:eastAsia="Times New Roman" w:hAnsi="Arial" w:cs="Arial"/>
          <w:b/>
          <w:i/>
          <w:iCs/>
          <w:lang w:eastAsia="es-CO"/>
        </w:rPr>
      </w:pPr>
      <w:r w:rsidRPr="00BA2289">
        <w:rPr>
          <w:rFonts w:ascii="Arial" w:eastAsia="Times New Roman" w:hAnsi="Arial" w:cs="Arial"/>
          <w:b/>
          <w:lang w:eastAsia="es-CO"/>
        </w:rPr>
        <w:t xml:space="preserve">Sentencia C – 571 de 2017 Corte Constitucional: </w:t>
      </w:r>
    </w:p>
    <w:p w14:paraId="4905E489" w14:textId="77777777" w:rsidR="00736F25" w:rsidRPr="00BA2289" w:rsidRDefault="00736F25" w:rsidP="00736F25">
      <w:pPr>
        <w:jc w:val="both"/>
        <w:rPr>
          <w:rFonts w:ascii="Arial" w:eastAsia="Times New Roman" w:hAnsi="Arial" w:cs="Arial"/>
          <w:bCs/>
          <w:i/>
          <w:iCs/>
          <w:lang w:eastAsia="es-CO"/>
        </w:rPr>
      </w:pPr>
      <w:r w:rsidRPr="00BA2289">
        <w:rPr>
          <w:rFonts w:ascii="Arial" w:eastAsia="Times New Roman" w:hAnsi="Arial" w:cs="Arial"/>
          <w:bCs/>
          <w:i/>
          <w:iCs/>
          <w:lang w:eastAsia="es-CO"/>
        </w:rPr>
        <w:t>“El derecho a la igualdad está previsto en el artículo 13 de la Constitución Política, así como en instrumentos internacionales de derechos humanos que, en virtud del artículo 93 numeral 2, hacen parte del bloque de constitucionalidad. De este derecho se desprenden dos mandatos básicos</w:t>
      </w:r>
      <w:r w:rsidRPr="00C822D1">
        <w:rPr>
          <w:rFonts w:ascii="Arial" w:eastAsia="Times New Roman" w:hAnsi="Arial" w:cs="Arial"/>
          <w:bCs/>
          <w:i/>
          <w:iCs/>
          <w:lang w:eastAsia="es-CO"/>
        </w:rPr>
        <w:t>: (i) otorgar el mismo trato a supuestos de hecho equivalentes y (</w:t>
      </w:r>
      <w:proofErr w:type="spellStart"/>
      <w:r w:rsidRPr="00C822D1">
        <w:rPr>
          <w:rFonts w:ascii="Arial" w:eastAsia="Times New Roman" w:hAnsi="Arial" w:cs="Arial"/>
          <w:bCs/>
          <w:i/>
          <w:iCs/>
          <w:lang w:eastAsia="es-CO"/>
        </w:rPr>
        <w:t>ii</w:t>
      </w:r>
      <w:proofErr w:type="spellEnd"/>
      <w:r w:rsidRPr="00C822D1">
        <w:rPr>
          <w:rFonts w:ascii="Arial" w:eastAsia="Times New Roman" w:hAnsi="Arial" w:cs="Arial"/>
          <w:bCs/>
          <w:i/>
          <w:iCs/>
          <w:lang w:eastAsia="es-CO"/>
        </w:rPr>
        <w:t>) otorgar un trato diferente a situaciones de hecho disímiles. Como se observa, el rasgo esencial del derecho a la igualdad es que implica un juicio de comparación entre dos personas o grupos de personas. Para determinar con mayor precisión el alcance del derecho a la igualdad, la Corte ha especificado estos dos mandatos generales en cuatro reglas, a saber: (i) debe darse un tratamiento distinto a situaciones de hecho que no tienen ningún elemento en común; (</w:t>
      </w:r>
      <w:proofErr w:type="spellStart"/>
      <w:r w:rsidRPr="00C822D1">
        <w:rPr>
          <w:rFonts w:ascii="Arial" w:eastAsia="Times New Roman" w:hAnsi="Arial" w:cs="Arial"/>
          <w:bCs/>
          <w:i/>
          <w:iCs/>
          <w:lang w:eastAsia="es-CO"/>
        </w:rPr>
        <w:t>ii</w:t>
      </w:r>
      <w:proofErr w:type="spellEnd"/>
      <w:r w:rsidRPr="00C822D1">
        <w:rPr>
          <w:rFonts w:ascii="Arial" w:eastAsia="Times New Roman" w:hAnsi="Arial" w:cs="Arial"/>
          <w:bCs/>
          <w:i/>
          <w:iCs/>
          <w:lang w:eastAsia="es-CO"/>
        </w:rPr>
        <w:t>) debe darse el mismo trato a situaciones de hecho idénticas; (</w:t>
      </w:r>
      <w:proofErr w:type="spellStart"/>
      <w:r w:rsidRPr="00C822D1">
        <w:rPr>
          <w:rFonts w:ascii="Arial" w:eastAsia="Times New Roman" w:hAnsi="Arial" w:cs="Arial"/>
          <w:bCs/>
          <w:i/>
          <w:iCs/>
          <w:lang w:eastAsia="es-CO"/>
        </w:rPr>
        <w:t>iii</w:t>
      </w:r>
      <w:proofErr w:type="spellEnd"/>
      <w:r w:rsidRPr="00C822D1">
        <w:rPr>
          <w:rFonts w:ascii="Arial" w:eastAsia="Times New Roman" w:hAnsi="Arial" w:cs="Arial"/>
          <w:bCs/>
          <w:i/>
          <w:iCs/>
          <w:lang w:eastAsia="es-CO"/>
        </w:rPr>
        <w:t>) debe darse</w:t>
      </w:r>
      <w:r w:rsidRPr="00BA2289">
        <w:rPr>
          <w:rFonts w:ascii="Arial" w:eastAsia="Times New Roman" w:hAnsi="Arial" w:cs="Arial"/>
          <w:bCs/>
          <w:i/>
          <w:iCs/>
          <w:lang w:eastAsia="es-CO"/>
        </w:rPr>
        <w:t xml:space="preserve"> un trato paritario a situaciones de hecho que presenten similitudes y diferencias, cuando las similitudes sean más relevantes que las diferencias; y (</w:t>
      </w:r>
      <w:proofErr w:type="spellStart"/>
      <w:r w:rsidRPr="00BA2289">
        <w:rPr>
          <w:rFonts w:ascii="Arial" w:eastAsia="Times New Roman" w:hAnsi="Arial" w:cs="Arial"/>
          <w:bCs/>
          <w:i/>
          <w:iCs/>
          <w:lang w:eastAsia="es-CO"/>
        </w:rPr>
        <w:t>iv</w:t>
      </w:r>
      <w:proofErr w:type="spellEnd"/>
      <w:r w:rsidRPr="00BA2289">
        <w:rPr>
          <w:rFonts w:ascii="Arial" w:eastAsia="Times New Roman" w:hAnsi="Arial" w:cs="Arial"/>
          <w:bCs/>
          <w:i/>
          <w:iCs/>
          <w:lang w:eastAsia="es-CO"/>
        </w:rPr>
        <w:t xml:space="preserve">) debe darse un trato diferente a situaciones de hecho que presenten similitudes y diferencias, cuando las diferencias sean más relevantes que las similitudes. Con el propósito de determinar cuándo se presenta alguna de las hipótesis mencionadas antes, la Corte ha tenido en cuenta un juicio a partir de tres etapas de análisis. Primero, se debe establecer el criterio de comparación (también denominado </w:t>
      </w:r>
      <w:proofErr w:type="spellStart"/>
      <w:r w:rsidRPr="00BA2289">
        <w:rPr>
          <w:rFonts w:ascii="Arial" w:eastAsia="Times New Roman" w:hAnsi="Arial" w:cs="Arial"/>
          <w:bCs/>
          <w:i/>
          <w:iCs/>
          <w:lang w:eastAsia="es-CO"/>
        </w:rPr>
        <w:t>tertium</w:t>
      </w:r>
      <w:proofErr w:type="spellEnd"/>
      <w:r w:rsidRPr="00BA2289">
        <w:rPr>
          <w:rFonts w:ascii="Arial" w:eastAsia="Times New Roman" w:hAnsi="Arial" w:cs="Arial"/>
          <w:bCs/>
          <w:i/>
          <w:iCs/>
          <w:lang w:eastAsia="es-CO"/>
        </w:rPr>
        <w:t xml:space="preserve"> </w:t>
      </w:r>
      <w:proofErr w:type="spellStart"/>
      <w:r w:rsidRPr="00BA2289">
        <w:rPr>
          <w:rFonts w:ascii="Arial" w:eastAsia="Times New Roman" w:hAnsi="Arial" w:cs="Arial"/>
          <w:bCs/>
          <w:i/>
          <w:iCs/>
          <w:lang w:eastAsia="es-CO"/>
        </w:rPr>
        <w:t>comparationis</w:t>
      </w:r>
      <w:proofErr w:type="spellEnd"/>
      <w:r w:rsidRPr="00BA2289">
        <w:rPr>
          <w:rFonts w:ascii="Arial" w:eastAsia="Times New Roman" w:hAnsi="Arial" w:cs="Arial"/>
          <w:bCs/>
          <w:i/>
          <w:iCs/>
          <w:lang w:eastAsia="es-CO"/>
        </w:rPr>
        <w:t xml:space="preserve">). Segundo, se debe definir si en el plano fáctico y en el plano jurídico existe realmente un trato igual o diferenciado. Así, una vez establecido el criterio de comparación, debe verificarse si efectivamente existe un trato igual o un trato diferenciado o si en realidad el cargo por vulneración del derecho a la igualdad parte de una indebida comprensión o interpretación de lo que establece la medida analizada. De este juicio pueden entonces desprenderse dos hipótesis: o los grupos o personas no son comparables a la luz del criterio de comparación y, en consecuencia, no se afecta el mandato de trato igual; o los grupos o personas si pueden ser asimiladas y, en esa medida, se presenta una afectación prima facie del derecho a la igualdad.   Si ocurre lo segundo (si las personas o grupos pueden ser asimilados), en tercer lugar, se debe determinar si la diferencia de trato se encuentra constitucionalmente justificada, análisis que varía, pues puede hacerse en intensidades distintas, </w:t>
      </w:r>
      <w:r w:rsidRPr="00BA2289">
        <w:rPr>
          <w:rFonts w:ascii="Arial" w:eastAsia="Times New Roman" w:hAnsi="Arial" w:cs="Arial"/>
          <w:bCs/>
          <w:i/>
          <w:iCs/>
          <w:lang w:eastAsia="es-CO"/>
        </w:rPr>
        <w:lastRenderedPageBreak/>
        <w:t>teniendo como propósito salvaguardar el principio democrático y la separación de poderes, sin afectar gravemente los derechos inalienables de la persona (artículos 1, 5 y 113 de la Constitución, respectivamente). En este sentido, la Corte ha señalado que el juicio de proporcionalidad no puede ser aplicado con la misma intensidad en todos los casos. De no proceder así (es decir, si siempre se aplicara la misma intensidad en el análisis de proporcionalidad), las competencias de los diferentes órganos del Estado, al igual que las posibilidades de actuación de los particulares en ejercicio de la libre iniciativa privada, podrían resultar anuladas o afectadas gravemente. Ello se debe a que, en últimas, en este paso lo que se analiza es si la diferenciación prevista por la medida analizada es o no proporcional. Con fundamento en lo anterior, la jurisprudencia constitucional ha reconocido tres intensidades que pueden tenerse en cuenta para este análisis, a saber: leve, intermedia y estricta.  En cada caso deberá el juez valorar las diferentes razones que concurren para fundamentar la intensidad del juicio, de acuerdo con los criterios jurisprudencialmente establecidos”.</w:t>
      </w:r>
    </w:p>
    <w:p w14:paraId="3AEB4D08" w14:textId="77777777" w:rsidR="001E78AD" w:rsidRPr="00BA2289" w:rsidRDefault="001E78AD" w:rsidP="001E78AD">
      <w:pPr>
        <w:tabs>
          <w:tab w:val="left" w:pos="3644"/>
        </w:tabs>
        <w:spacing w:after="0" w:line="240" w:lineRule="auto"/>
        <w:jc w:val="both"/>
        <w:rPr>
          <w:rFonts w:ascii="Arial" w:eastAsia="Times New Roman" w:hAnsi="Arial" w:cs="Arial"/>
          <w:b/>
          <w:bCs/>
          <w:lang w:eastAsia="es-CO"/>
        </w:rPr>
      </w:pPr>
    </w:p>
    <w:p w14:paraId="19CFC49E" w14:textId="77777777" w:rsidR="00C822D1" w:rsidRDefault="00C822D1" w:rsidP="00102941">
      <w:pPr>
        <w:jc w:val="both"/>
        <w:rPr>
          <w:rFonts w:ascii="Arial" w:eastAsia="Times New Roman" w:hAnsi="Arial" w:cs="Arial"/>
          <w:bCs/>
          <w:lang w:eastAsia="es-CO"/>
        </w:rPr>
      </w:pPr>
    </w:p>
    <w:p w14:paraId="2846FB0E" w14:textId="5E2703F5" w:rsidR="00736F25" w:rsidRPr="00BA2289" w:rsidRDefault="00102941" w:rsidP="00102941">
      <w:pPr>
        <w:jc w:val="both"/>
        <w:rPr>
          <w:rFonts w:ascii="Arial" w:eastAsia="Times New Roman" w:hAnsi="Arial" w:cs="Arial"/>
          <w:bCs/>
          <w:lang w:eastAsia="es-CO"/>
        </w:rPr>
      </w:pPr>
      <w:r w:rsidRPr="00BA2289">
        <w:rPr>
          <w:rFonts w:ascii="Arial" w:eastAsia="Times New Roman" w:hAnsi="Arial" w:cs="Arial"/>
          <w:bCs/>
          <w:lang w:eastAsia="es-CO"/>
        </w:rPr>
        <w:t xml:space="preserve">En este caso, el ordenamiento jurídico vigente le está dando un trato desigual a situaciones de hecho iguales, </w:t>
      </w:r>
      <w:r w:rsidR="00101AA9" w:rsidRPr="00BA2289">
        <w:rPr>
          <w:rFonts w:ascii="Arial" w:eastAsia="Times New Roman" w:hAnsi="Arial" w:cs="Arial"/>
          <w:bCs/>
          <w:lang w:eastAsia="es-CO"/>
        </w:rPr>
        <w:t xml:space="preserve">vulnerando el derecho fundamental a la igualdad y el principio de “a trabajo igual, salario igual”, </w:t>
      </w:r>
      <w:r w:rsidR="00736F25" w:rsidRPr="00BA2289">
        <w:rPr>
          <w:rFonts w:ascii="Arial" w:eastAsia="Times New Roman" w:hAnsi="Arial" w:cs="Arial"/>
          <w:bCs/>
          <w:lang w:eastAsia="es-CO"/>
        </w:rPr>
        <w:t xml:space="preserve">puesto que tanto docentes como personal no docente del área administrativa y de servicios generales que deben laborar en zonas de difícil acceso, deben someterse a las mismas condiciones para llegar a su lugar de trabajo, sin embargo solo a algunos individuos, en este caso los docentes, se les otorga un derecho especial materializado en la bonificación que les permite sobrellevar de mejor manera las condiciones de difícil acceso a su lugar de trabajo, mientras tanto, los empleados del área administrativa y de servicios generales de la misma Institución Educativa que deben someterse a las mismas difíciles condiciones, son excluidas de este derecho especial materializado en la bonificación sin que medie una justificación válida para este trato desigual. </w:t>
      </w:r>
    </w:p>
    <w:p w14:paraId="127CC246" w14:textId="3FC0947F" w:rsidR="00102941" w:rsidRPr="00BA2289" w:rsidRDefault="00102941" w:rsidP="00447829">
      <w:pPr>
        <w:jc w:val="both"/>
        <w:rPr>
          <w:rFonts w:ascii="Arial" w:eastAsia="Times New Roman" w:hAnsi="Arial" w:cs="Arial"/>
          <w:bCs/>
          <w:lang w:eastAsia="es-CO"/>
        </w:rPr>
      </w:pPr>
      <w:r w:rsidRPr="00BA2289">
        <w:rPr>
          <w:rFonts w:ascii="Arial" w:eastAsia="Times New Roman" w:hAnsi="Arial" w:cs="Arial"/>
          <w:bCs/>
          <w:lang w:eastAsia="es-CO"/>
        </w:rPr>
        <w:t>Es necesario entonces, en aras de defender el derecho a la igualdad que la bonificación a que hacen relación el artículo</w:t>
      </w:r>
      <w:r w:rsidRPr="00BA2289">
        <w:rPr>
          <w:rFonts w:ascii="Arial" w:eastAsia="Arial" w:hAnsi="Arial" w:cs="Arial"/>
        </w:rPr>
        <w:t xml:space="preserve">, </w:t>
      </w:r>
      <w:hyperlink r:id="rId10" w:anchor="24" w:history="1">
        <w:r w:rsidRPr="00BA2289">
          <w:rPr>
            <w:rFonts w:ascii="Arial" w:hAnsi="Arial" w:cs="Arial"/>
          </w:rPr>
          <w:t>24</w:t>
        </w:r>
      </w:hyperlink>
      <w:r w:rsidRPr="00BA2289">
        <w:rPr>
          <w:rFonts w:ascii="Arial" w:hAnsi="Arial" w:cs="Arial"/>
        </w:rPr>
        <w:t> de la Ley 715 de 2001,  el artículo </w:t>
      </w:r>
      <w:hyperlink r:id="rId11" w:anchor="2" w:history="1">
        <w:r w:rsidRPr="00BA2289">
          <w:rPr>
            <w:rFonts w:ascii="Arial" w:hAnsi="Arial" w:cs="Arial"/>
          </w:rPr>
          <w:t>2°</w:t>
        </w:r>
      </w:hyperlink>
      <w:r w:rsidRPr="00BA2289">
        <w:rPr>
          <w:rFonts w:ascii="Arial" w:hAnsi="Arial" w:cs="Arial"/>
        </w:rPr>
        <w:t> de la Ley 1297 de 2009</w:t>
      </w:r>
      <w:r w:rsidRPr="00BA2289">
        <w:rPr>
          <w:rFonts w:ascii="Arial" w:eastAsia="Arial" w:hAnsi="Arial" w:cs="Arial"/>
        </w:rPr>
        <w:t xml:space="preserve"> y Decreto 521 de 2010</w:t>
      </w:r>
      <w:r w:rsidRPr="00BA2289">
        <w:rPr>
          <w:rFonts w:ascii="Arial" w:eastAsia="Times New Roman" w:hAnsi="Arial" w:cs="Arial"/>
          <w:bCs/>
          <w:lang w:eastAsia="es-CO"/>
        </w:rPr>
        <w:t xml:space="preserve"> sea reconocida también a los trabajadores, no docentes, de las Instituciones Educativas Estatales que se encuentren en zonas de difícil acceso, en las mismas condiciones y montos establecidos para el personal docente.</w:t>
      </w:r>
    </w:p>
    <w:p w14:paraId="4490A37B" w14:textId="77777777" w:rsidR="00C822D1" w:rsidRDefault="00C822D1" w:rsidP="00445129">
      <w:pPr>
        <w:jc w:val="both"/>
        <w:rPr>
          <w:rFonts w:ascii="Arial" w:hAnsi="Arial" w:cs="Arial"/>
          <w:b/>
          <w:bCs/>
        </w:rPr>
      </w:pPr>
    </w:p>
    <w:p w14:paraId="061AB64C" w14:textId="52B6A97B" w:rsidR="00445129" w:rsidRPr="00BA2289" w:rsidRDefault="00445129" w:rsidP="00445129">
      <w:pPr>
        <w:jc w:val="both"/>
        <w:rPr>
          <w:rFonts w:ascii="Arial" w:hAnsi="Arial" w:cs="Arial"/>
          <w:b/>
          <w:bCs/>
        </w:rPr>
      </w:pPr>
      <w:r w:rsidRPr="00BA2289">
        <w:rPr>
          <w:rFonts w:ascii="Arial" w:hAnsi="Arial" w:cs="Arial"/>
          <w:b/>
          <w:bCs/>
        </w:rPr>
        <w:t>Impacto Fiscal:</w:t>
      </w:r>
    </w:p>
    <w:p w14:paraId="1BB08A47" w14:textId="2D1C28BB" w:rsidR="00DF7C46" w:rsidRPr="00BA2289" w:rsidRDefault="00DF7C46" w:rsidP="00445129">
      <w:pPr>
        <w:jc w:val="both"/>
        <w:rPr>
          <w:rFonts w:ascii="Arial" w:hAnsi="Arial" w:cs="Arial"/>
        </w:rPr>
      </w:pPr>
      <w:r w:rsidRPr="00BA2289">
        <w:rPr>
          <w:rFonts w:ascii="Arial" w:hAnsi="Arial" w:cs="Arial"/>
        </w:rPr>
        <w:t xml:space="preserve">El artículo 7°, de la Ley 819, de 2003 “por la cual se dictan normas orgánicas en materia de presupuesto, responsabilidad y transparencia fiscal y se dictan otras disposiciones”, determina que en la exposición de motivos y en las ponencias de los proyectos de ley se debe hacer explícito </w:t>
      </w:r>
      <w:r w:rsidRPr="00BA2289">
        <w:rPr>
          <w:rFonts w:ascii="Arial" w:hAnsi="Arial" w:cs="Arial"/>
        </w:rPr>
        <w:lastRenderedPageBreak/>
        <w:t>el costo fiscal que se genera por el gasto ordenado o por el otorgamiento de beneficios tributarios, que debe ser compatible con el Marco Fiscal de Mediano Plazo, al mismo tiempo que debe señalar la fuente de financiación de dicho costo.</w:t>
      </w:r>
    </w:p>
    <w:p w14:paraId="64E0E4F0" w14:textId="77777777" w:rsidR="00E60744" w:rsidRPr="00BA2289" w:rsidRDefault="00DF7C46" w:rsidP="00445129">
      <w:pPr>
        <w:jc w:val="both"/>
        <w:rPr>
          <w:rFonts w:ascii="Arial" w:hAnsi="Arial" w:cs="Arial"/>
        </w:rPr>
      </w:pPr>
      <w:r w:rsidRPr="00BA2289">
        <w:rPr>
          <w:rFonts w:ascii="Arial" w:hAnsi="Arial" w:cs="Arial"/>
        </w:rPr>
        <w:t>Ahora bien, en cumplimiento a la disposición referida, se deja de manifiesto que, el gasto de que trata</w:t>
      </w:r>
      <w:r w:rsidR="00E60744" w:rsidRPr="00BA2289">
        <w:rPr>
          <w:rFonts w:ascii="Arial" w:hAnsi="Arial" w:cs="Arial"/>
        </w:rPr>
        <w:t xml:space="preserve"> el proyecto de ley</w:t>
      </w:r>
      <w:r w:rsidRPr="00BA2289">
        <w:rPr>
          <w:rFonts w:ascii="Arial" w:hAnsi="Arial" w:cs="Arial"/>
        </w:rPr>
        <w:t xml:space="preserve">, no se impone u ordena, sino que se autoriza, para que el Gobierno incorpore dentro del Presupuesto General de la Nación y/o impulse a través del sistema nacional de cofinanciación las apropiaciones requeridas para dar cumplimiento a lo allí estipulado. </w:t>
      </w:r>
    </w:p>
    <w:p w14:paraId="624A45F5" w14:textId="77777777" w:rsidR="00E60744" w:rsidRPr="00BA2289" w:rsidRDefault="00DF7C46" w:rsidP="00445129">
      <w:pPr>
        <w:jc w:val="both"/>
        <w:rPr>
          <w:rFonts w:ascii="Arial" w:hAnsi="Arial" w:cs="Arial"/>
        </w:rPr>
      </w:pPr>
      <w:r w:rsidRPr="00BA2289">
        <w:rPr>
          <w:rFonts w:ascii="Arial" w:hAnsi="Arial" w:cs="Arial"/>
        </w:rPr>
        <w:t>Frente a este acápite es importante manifestar que la Corte Constitucional le ha reconocido al Congreso de la República la facultad que tiene para aprobar proyectos de ley que comporten gasto público, siempre y cuando no se imponga su ejecución, sino que se faculte al Gobierno para incluir las partidas correspondientes en el Presupuesto General de la Nación, en los siguientes términos: “</w:t>
      </w:r>
      <w:r w:rsidRPr="00BA2289">
        <w:rPr>
          <w:rFonts w:ascii="Arial" w:hAnsi="Arial" w:cs="Arial"/>
          <w:i/>
          <w:iCs/>
        </w:rPr>
        <w:t>La jurisprudencia ha indicado que tanto el Congreso de la República como el Gobierno nacional poseen iniciativa en materia de gasto público. El Congreso está facultado para presentar proyectos que comporten gasto público, pero la inclusión de las partidas presupuestales en el presupuesto de gastos es facultad exclusiva del Gobierno. También ha indicado que el legislador puede autorizar al Gobierno nacional para realizar obras en las entidades territoriales, siempre y cuando en las normas respectivas se establezca que el desembolso procede a través del sistema de cofinanciación</w:t>
      </w:r>
      <w:r w:rsidRPr="00BA2289">
        <w:rPr>
          <w:rFonts w:ascii="Arial" w:hAnsi="Arial" w:cs="Arial"/>
        </w:rPr>
        <w:t>”</w:t>
      </w:r>
      <w:r w:rsidR="00E60744" w:rsidRPr="00BA2289">
        <w:rPr>
          <w:rStyle w:val="Refdenotaalpie"/>
          <w:rFonts w:ascii="Arial" w:hAnsi="Arial" w:cs="Arial"/>
        </w:rPr>
        <w:footnoteReference w:id="1"/>
      </w:r>
      <w:r w:rsidRPr="00BA2289">
        <w:rPr>
          <w:rFonts w:ascii="Arial" w:hAnsi="Arial" w:cs="Arial"/>
        </w:rPr>
        <w:t xml:space="preserve">. </w:t>
      </w:r>
    </w:p>
    <w:p w14:paraId="2EF76F0A" w14:textId="6DC77B02" w:rsidR="00D73885" w:rsidRPr="00BA2289" w:rsidRDefault="00DF7C46" w:rsidP="00445129">
      <w:pPr>
        <w:jc w:val="both"/>
        <w:rPr>
          <w:rFonts w:ascii="Arial" w:hAnsi="Arial" w:cs="Arial"/>
        </w:rPr>
      </w:pPr>
      <w:r w:rsidRPr="00BA2289">
        <w:rPr>
          <w:rFonts w:ascii="Arial" w:hAnsi="Arial" w:cs="Arial"/>
        </w:rPr>
        <w:t>Además, téngase en cuenta que, para la Honorable Corte Constitucional</w:t>
      </w:r>
      <w:r w:rsidR="00E60744" w:rsidRPr="00BA2289">
        <w:rPr>
          <w:rFonts w:ascii="Arial" w:hAnsi="Arial" w:cs="Arial"/>
        </w:rPr>
        <w:t xml:space="preserve"> </w:t>
      </w:r>
      <w:r w:rsidR="00E60744" w:rsidRPr="00BA2289">
        <w:rPr>
          <w:rStyle w:val="Refdenotaalpie"/>
          <w:rFonts w:ascii="Arial" w:hAnsi="Arial" w:cs="Arial"/>
        </w:rPr>
        <w:footnoteReference w:id="2"/>
      </w:r>
      <w:r w:rsidRPr="00BA2289">
        <w:rPr>
          <w:rFonts w:ascii="Arial" w:hAnsi="Arial" w:cs="Arial"/>
        </w:rPr>
        <w:t xml:space="preserve">, el análisis del impacto fiscal de las normas, en el cuerpo del proyecto de ley, no es requisito sine qua non para su trámite legislativo, el cumplimiento de lo dispuesto en el artículo 7º de la Ley 819 de 2003 corresponde al </w:t>
      </w:r>
      <w:r w:rsidR="00E60744" w:rsidRPr="00BA2289">
        <w:rPr>
          <w:rFonts w:ascii="Arial" w:hAnsi="Arial" w:cs="Arial"/>
        </w:rPr>
        <w:t>C</w:t>
      </w:r>
      <w:r w:rsidRPr="00BA2289">
        <w:rPr>
          <w:rFonts w:ascii="Arial" w:hAnsi="Arial" w:cs="Arial"/>
        </w:rPr>
        <w:t xml:space="preserve">ongreso, pero principalmente al Ministro de Hacienda y Crédito Público, en tanto que </w:t>
      </w:r>
      <w:r w:rsidRPr="00BA2289">
        <w:rPr>
          <w:rFonts w:ascii="Arial" w:hAnsi="Arial" w:cs="Arial"/>
          <w:i/>
          <w:iCs/>
        </w:rPr>
        <w:t>“es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w:t>
      </w:r>
      <w:r w:rsidR="00D73885" w:rsidRPr="00BA2289">
        <w:rPr>
          <w:rStyle w:val="Refdenotaalpie"/>
          <w:rFonts w:ascii="Arial" w:hAnsi="Arial" w:cs="Arial"/>
          <w:i/>
          <w:iCs/>
        </w:rPr>
        <w:footnoteReference w:id="3"/>
      </w:r>
      <w:r w:rsidRPr="00BA2289">
        <w:rPr>
          <w:rFonts w:ascii="Arial" w:hAnsi="Arial" w:cs="Arial"/>
        </w:rPr>
        <w:t xml:space="preserve">. </w:t>
      </w:r>
    </w:p>
    <w:p w14:paraId="611C0432" w14:textId="21859032" w:rsidR="00DF7C46" w:rsidRPr="00BA2289" w:rsidRDefault="00DF7C46" w:rsidP="00445129">
      <w:pPr>
        <w:jc w:val="both"/>
        <w:rPr>
          <w:rFonts w:ascii="Arial" w:hAnsi="Arial" w:cs="Arial"/>
        </w:rPr>
      </w:pPr>
      <w:r w:rsidRPr="00BA2289">
        <w:rPr>
          <w:rFonts w:ascii="Arial" w:hAnsi="Arial" w:cs="Arial"/>
        </w:rPr>
        <w:t xml:space="preserve">Lo anterior significa que, en cualquier momento del trámite legislativo, el Ministro de Hacienda y Crédito Público podrá ilustrarle a este congreso las consecuencias económicas del presente proyecto de ley, ya sea de manera oficiosa o a petición; toda vez que, de acuerdo con el proceso </w:t>
      </w:r>
      <w:r w:rsidRPr="00BA2289">
        <w:rPr>
          <w:rFonts w:ascii="Arial" w:hAnsi="Arial" w:cs="Arial"/>
        </w:rPr>
        <w:lastRenderedPageBreak/>
        <w:t>de racionalidad legislativa, la carga principal del análisis de impacto f iscal reposa en esta cartera por contar con los datos, los equipos de funcionarios y la experticia en materia económica; esto sin desconocer que el trámite del proyecto no se viciaría, sino se llegase a contar con tal pronunciamiento por parte de Hacienda</w:t>
      </w:r>
      <w:r w:rsidR="00D73885" w:rsidRPr="00BA2289">
        <w:rPr>
          <w:rStyle w:val="Refdenotaalpie"/>
          <w:rFonts w:ascii="Arial" w:hAnsi="Arial" w:cs="Arial"/>
        </w:rPr>
        <w:footnoteReference w:id="4"/>
      </w:r>
      <w:r w:rsidRPr="00BA2289">
        <w:rPr>
          <w:rFonts w:ascii="Arial" w:hAnsi="Arial" w:cs="Arial"/>
        </w:rPr>
        <w:t xml:space="preserve">. </w:t>
      </w:r>
    </w:p>
    <w:p w14:paraId="57A74BBC" w14:textId="77777777" w:rsidR="00C822D1" w:rsidRDefault="00C822D1" w:rsidP="00445129">
      <w:pPr>
        <w:jc w:val="both"/>
        <w:rPr>
          <w:rFonts w:ascii="Arial" w:hAnsi="Arial" w:cs="Arial"/>
          <w:b/>
          <w:bCs/>
        </w:rPr>
      </w:pPr>
    </w:p>
    <w:p w14:paraId="51BCD3BE" w14:textId="7BDC90AE" w:rsidR="00445129" w:rsidRPr="00BA2289" w:rsidRDefault="00445129" w:rsidP="00445129">
      <w:pPr>
        <w:jc w:val="both"/>
        <w:rPr>
          <w:rFonts w:ascii="Arial" w:hAnsi="Arial" w:cs="Arial"/>
          <w:b/>
          <w:bCs/>
        </w:rPr>
      </w:pPr>
      <w:r w:rsidRPr="00BA2289">
        <w:rPr>
          <w:rFonts w:ascii="Arial" w:hAnsi="Arial" w:cs="Arial"/>
          <w:b/>
          <w:bCs/>
        </w:rPr>
        <w:t>Conflicto De Intereses:</w:t>
      </w:r>
    </w:p>
    <w:p w14:paraId="54140CF8" w14:textId="77777777" w:rsidR="00445129" w:rsidRPr="00BA2289" w:rsidRDefault="00445129" w:rsidP="00445129">
      <w:pPr>
        <w:jc w:val="both"/>
        <w:rPr>
          <w:rFonts w:ascii="Arial" w:hAnsi="Arial" w:cs="Arial"/>
        </w:rPr>
      </w:pPr>
      <w:r w:rsidRPr="00BA2289">
        <w:rPr>
          <w:rFonts w:ascii="Arial" w:hAnsi="Arial" w:cs="Arial"/>
        </w:rPr>
        <w:t>De acuerdo con el artículo 3º de la Ley 2003 de 2019, “El autor del proyecto y el ponente presentarán en el cuerpo de la exposición de motivos un acápite que describa las circunstancias o eventos que podrían generar un conflicto de interés para la discusión y votación del proyecto”</w:t>
      </w:r>
    </w:p>
    <w:p w14:paraId="204263FB" w14:textId="77777777" w:rsidR="00445129" w:rsidRPr="00BA2289" w:rsidRDefault="00445129" w:rsidP="00445129">
      <w:pPr>
        <w:jc w:val="both"/>
        <w:rPr>
          <w:rFonts w:ascii="Arial" w:hAnsi="Arial" w:cs="Arial"/>
        </w:rPr>
      </w:pPr>
      <w:r w:rsidRPr="00BA2289">
        <w:rPr>
          <w:rFonts w:ascii="Arial" w:hAnsi="Arial" w:cs="Arial"/>
        </w:rPr>
        <w:t>Estos criterios serán guías para que los otros Congresistas tomen una decisión en torno a sí se encuentran en una causal de impedimento, no obstante, los Congresistas al momento de la votación pueden encontrar otras causales que les generen este tipo de impedimentos por lo cual podrán manifestarlo.</w:t>
      </w:r>
    </w:p>
    <w:p w14:paraId="2E025E84" w14:textId="77777777" w:rsidR="00445129" w:rsidRPr="00BA2289" w:rsidRDefault="00445129" w:rsidP="00445129">
      <w:pPr>
        <w:jc w:val="both"/>
        <w:rPr>
          <w:rFonts w:ascii="Arial" w:hAnsi="Arial" w:cs="Arial"/>
        </w:rPr>
      </w:pPr>
      <w:r w:rsidRPr="00BA2289">
        <w:rPr>
          <w:rFonts w:ascii="Arial" w:hAnsi="Arial" w:cs="Arial"/>
        </w:rPr>
        <w:t>La Ley 2003 de 2019 contempla las circunstancias que requieren el análisis que debe hacerse el Congresista, para determinar los posibles impedimentos en que puede incurrir en razón a un conflicto de interés en el ejercicio de la función congresional, entre ellas la legislativa, así:</w:t>
      </w:r>
    </w:p>
    <w:p w14:paraId="2BF0A8A0" w14:textId="77777777" w:rsidR="00445129" w:rsidRPr="00BA2289" w:rsidRDefault="00445129" w:rsidP="00445129">
      <w:pPr>
        <w:jc w:val="both"/>
        <w:rPr>
          <w:rFonts w:ascii="Arial" w:hAnsi="Arial" w:cs="Arial"/>
        </w:rPr>
      </w:pPr>
      <w:r w:rsidRPr="00BA2289">
        <w:rPr>
          <w:rFonts w:ascii="Arial" w:hAnsi="Arial" w:cs="Arial"/>
        </w:rPr>
        <w:t>“Artículo 1º. El artículo 286 de la Ley 5 de 1992 quedará así: (…)</w:t>
      </w:r>
    </w:p>
    <w:p w14:paraId="4A81BE38" w14:textId="77777777" w:rsidR="00445129" w:rsidRPr="00BA2289" w:rsidRDefault="00445129" w:rsidP="00445129">
      <w:pPr>
        <w:jc w:val="both"/>
        <w:rPr>
          <w:rFonts w:ascii="Arial" w:hAnsi="Arial" w:cs="Arial"/>
        </w:rPr>
      </w:pPr>
      <w:r w:rsidRPr="00BA2289">
        <w:rPr>
          <w:rFonts w:ascii="Arial" w:hAnsi="Arial" w:cs="Aria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E6B37BE" w14:textId="77777777" w:rsidR="00445129" w:rsidRPr="00BA2289" w:rsidRDefault="00445129" w:rsidP="00445129">
      <w:pPr>
        <w:jc w:val="both"/>
        <w:rPr>
          <w:rFonts w:ascii="Arial" w:hAnsi="Arial" w:cs="Arial"/>
        </w:rPr>
      </w:pPr>
      <w:r w:rsidRPr="00BA2289">
        <w:rPr>
          <w:rFonts w:ascii="Arial" w:hAnsi="Arial" w:cs="Arial"/>
        </w:rPr>
        <w:t>b) Beneficio actual: aquel que efectivamente se configura en las circunstancias presentes y existentes al momento en el que el congresista participa de la decisión.</w:t>
      </w:r>
    </w:p>
    <w:p w14:paraId="22466637" w14:textId="77777777" w:rsidR="00445129" w:rsidRPr="00BA2289" w:rsidRDefault="00445129" w:rsidP="00445129">
      <w:pPr>
        <w:jc w:val="both"/>
        <w:rPr>
          <w:rFonts w:ascii="Arial" w:hAnsi="Arial" w:cs="Arial"/>
        </w:rPr>
      </w:pPr>
      <w:r w:rsidRPr="00BA2289">
        <w:rPr>
          <w:rFonts w:ascii="Arial" w:hAnsi="Arial" w:cs="Arial"/>
        </w:rPr>
        <w:t>c) Beneficio directo: aquel que se produzca de forma específica respecto del congresista, de su cónyuge, compañero o compañera permanente, o parientes dentro del segundo grado de consanguinidad, segundo de afinidad o primero civil.</w:t>
      </w:r>
    </w:p>
    <w:p w14:paraId="01CC1EEE" w14:textId="77777777" w:rsidR="00445129" w:rsidRPr="00BA2289" w:rsidRDefault="00445129" w:rsidP="00445129">
      <w:pPr>
        <w:jc w:val="both"/>
        <w:rPr>
          <w:rFonts w:ascii="Arial" w:hAnsi="Arial" w:cs="Arial"/>
        </w:rPr>
      </w:pPr>
      <w:r w:rsidRPr="00BA2289">
        <w:rPr>
          <w:rFonts w:ascii="Arial" w:hAnsi="Arial" w:cs="Arial"/>
        </w:rPr>
        <w:t>Para todos los efectos se entiende que no hay conflicto de interés en las siguientes circunstancias:</w:t>
      </w:r>
    </w:p>
    <w:p w14:paraId="0ECB46DD" w14:textId="77777777" w:rsidR="00445129" w:rsidRPr="00BA2289" w:rsidRDefault="00445129" w:rsidP="00445129">
      <w:pPr>
        <w:jc w:val="both"/>
        <w:rPr>
          <w:rFonts w:ascii="Arial" w:hAnsi="Arial" w:cs="Arial"/>
        </w:rPr>
      </w:pPr>
      <w:r w:rsidRPr="00BA2289">
        <w:rPr>
          <w:rFonts w:ascii="Arial" w:hAnsi="Arial" w:cs="Arial"/>
        </w:rPr>
        <w:lastRenderedPageBreak/>
        <w:t>a) Cuando el congresista participe, discuta, vote un proyecto de ley o de acto legislativo que otorgue beneficios o cargos de carácter general, es decir cuando el interés del congresista coincide o se fusione con los intereses de los electores.</w:t>
      </w:r>
    </w:p>
    <w:p w14:paraId="276A3AD2" w14:textId="77777777" w:rsidR="00445129" w:rsidRPr="00BA2289" w:rsidRDefault="00445129" w:rsidP="00445129">
      <w:pPr>
        <w:jc w:val="both"/>
        <w:rPr>
          <w:rFonts w:ascii="Arial" w:hAnsi="Arial" w:cs="Arial"/>
        </w:rPr>
      </w:pPr>
      <w:r w:rsidRPr="00BA2289">
        <w:rPr>
          <w:rFonts w:ascii="Arial" w:hAnsi="Arial" w:cs="Arial"/>
        </w:rPr>
        <w:t>b) Cuando el beneficio podría o no configurarse para el congresista en el futuro.</w:t>
      </w:r>
    </w:p>
    <w:p w14:paraId="315F4D0D" w14:textId="77777777" w:rsidR="00445129" w:rsidRPr="00BA2289" w:rsidRDefault="00445129" w:rsidP="00445129">
      <w:pPr>
        <w:jc w:val="both"/>
        <w:rPr>
          <w:rFonts w:ascii="Arial" w:hAnsi="Arial" w:cs="Arial"/>
        </w:rPr>
      </w:pPr>
      <w:r w:rsidRPr="00BA2289">
        <w:rPr>
          <w:rFonts w:ascii="Arial" w:hAnsi="Arial" w:cs="Aria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301BBF7E" w14:textId="77777777" w:rsidR="00445129" w:rsidRPr="00BA2289" w:rsidRDefault="00445129" w:rsidP="00445129">
      <w:pPr>
        <w:jc w:val="both"/>
        <w:rPr>
          <w:rFonts w:ascii="Arial" w:hAnsi="Arial" w:cs="Arial"/>
        </w:rPr>
      </w:pPr>
      <w:r w:rsidRPr="00BA2289">
        <w:rPr>
          <w:rFonts w:ascii="Arial" w:hAnsi="Arial" w:cs="Aria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38E2176" w14:textId="77777777" w:rsidR="00445129" w:rsidRPr="00BA2289" w:rsidRDefault="00445129" w:rsidP="00445129">
      <w:pPr>
        <w:jc w:val="both"/>
        <w:rPr>
          <w:rFonts w:ascii="Arial" w:hAnsi="Arial" w:cs="Arial"/>
        </w:rPr>
      </w:pPr>
      <w:r w:rsidRPr="00BA2289">
        <w:rPr>
          <w:rFonts w:ascii="Arial" w:hAnsi="Arial" w:cs="Aria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6EA679CA" w14:textId="77777777" w:rsidR="00445129" w:rsidRPr="00BA2289" w:rsidRDefault="00445129" w:rsidP="00445129">
      <w:pPr>
        <w:jc w:val="both"/>
        <w:rPr>
          <w:rFonts w:ascii="Arial" w:hAnsi="Arial" w:cs="Arial"/>
        </w:rPr>
      </w:pPr>
      <w:r w:rsidRPr="00BA2289">
        <w:rPr>
          <w:rFonts w:ascii="Arial" w:hAnsi="Arial" w:cs="Arial"/>
        </w:rPr>
        <w:t>f) Cuando el congresista participa en la elección de otros servidores públicos mediante el voto secreto. Se exceptúan los casos en que se presenten inhabilidades referidas al parentesco con los candidatos (...)”.</w:t>
      </w:r>
    </w:p>
    <w:p w14:paraId="039B36FE" w14:textId="77777777" w:rsidR="00445129" w:rsidRPr="00BA2289" w:rsidRDefault="00445129" w:rsidP="00445129">
      <w:pPr>
        <w:jc w:val="both"/>
        <w:rPr>
          <w:rFonts w:ascii="Arial" w:hAnsi="Arial" w:cs="Arial"/>
        </w:rPr>
      </w:pPr>
      <w:r w:rsidRPr="00BA2289">
        <w:rPr>
          <w:rFonts w:ascii="Arial" w:hAnsi="Arial" w:cs="Arial"/>
        </w:rPr>
        <w:t>Por tanto, y de forma orientativa, se considera que para la discusión y aprobación de este proyecto de ley existen circunstancias que pudieran dar lugar a un eventual conflicto de interés por parte de los Representantes que consideren pueden verse afectados de forma positiva o negativa con la normatividad propuesta, al tratarse de  una iniciativa de carácter particular y directa dirigida al gremio de constructores y fiduciarias y con lo cual se materializa una situación concreta que permita enmarcar un beneficio particular, directo y actual. Sin embargo, la decisión es netamente personal en cuanto a la consideración de hallarse inmerso en un conflicto de interés, por lo que se deja a criterio de los representantes basado en la normatividad existente y a juicio de una sana lógica</w:t>
      </w:r>
    </w:p>
    <w:p w14:paraId="74996472" w14:textId="77777777" w:rsidR="00445129" w:rsidRPr="00BA2289" w:rsidRDefault="00445129" w:rsidP="00445129">
      <w:pPr>
        <w:jc w:val="both"/>
        <w:rPr>
          <w:rFonts w:ascii="Arial" w:hAnsi="Arial" w:cs="Arial"/>
        </w:rPr>
      </w:pPr>
    </w:p>
    <w:p w14:paraId="3BAF4FC4" w14:textId="77777777" w:rsidR="00445129" w:rsidRPr="00BA2289" w:rsidRDefault="00445129" w:rsidP="00445129">
      <w:pPr>
        <w:pStyle w:val="Sinespaciado"/>
        <w:rPr>
          <w:rFonts w:ascii="Arial" w:hAnsi="Arial" w:cs="Arial"/>
          <w:b/>
          <w:bCs/>
        </w:rPr>
      </w:pPr>
    </w:p>
    <w:p w14:paraId="4F93F0D6" w14:textId="77777777" w:rsidR="00445129" w:rsidRPr="00BA2289" w:rsidRDefault="00445129" w:rsidP="00445129">
      <w:pPr>
        <w:pStyle w:val="Sinespaciado"/>
        <w:rPr>
          <w:rFonts w:ascii="Arial" w:hAnsi="Arial" w:cs="Arial"/>
          <w:b/>
          <w:bCs/>
        </w:rPr>
      </w:pPr>
      <w:r w:rsidRPr="00BA2289">
        <w:rPr>
          <w:rFonts w:ascii="Arial" w:hAnsi="Arial" w:cs="Arial"/>
          <w:b/>
          <w:bCs/>
        </w:rPr>
        <w:t>BAYARDO GILBERTO BETANCOURT PÉREZ</w:t>
      </w:r>
    </w:p>
    <w:p w14:paraId="2FC3BE02" w14:textId="168E667D" w:rsidR="004A2F91" w:rsidRPr="00BA2289" w:rsidRDefault="00445129" w:rsidP="00C822D1">
      <w:pPr>
        <w:pStyle w:val="Sinespaciado"/>
        <w:rPr>
          <w:rStyle w:val="Ninguno"/>
          <w:rFonts w:ascii="Arial" w:eastAsia="Arial Unicode MS" w:hAnsi="Arial" w:cs="Arial"/>
          <w:b/>
          <w:bCs/>
          <w:u w:color="000000"/>
          <w:bdr w:val="nil"/>
          <w:lang w:val="es-CO" w:eastAsia="es-CO"/>
        </w:rPr>
      </w:pPr>
      <w:r w:rsidRPr="00BA2289">
        <w:rPr>
          <w:rFonts w:ascii="Arial" w:hAnsi="Arial" w:cs="Arial"/>
          <w:b/>
          <w:bCs/>
        </w:rPr>
        <w:t>Representante a la Cámara por Nariño</w:t>
      </w:r>
    </w:p>
    <w:sectPr w:rsidR="004A2F91" w:rsidRPr="00BA2289" w:rsidSect="00CB27C9">
      <w:headerReference w:type="default" r:id="rId12"/>
      <w:footerReference w:type="defaul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D92E" w14:textId="77777777" w:rsidR="00A97A6E" w:rsidRDefault="00A97A6E" w:rsidP="00100797">
      <w:pPr>
        <w:spacing w:after="0" w:line="240" w:lineRule="auto"/>
      </w:pPr>
      <w:r>
        <w:separator/>
      </w:r>
    </w:p>
  </w:endnote>
  <w:endnote w:type="continuationSeparator" w:id="0">
    <w:p w14:paraId="55276546" w14:textId="77777777" w:rsidR="00A97A6E" w:rsidRDefault="00A97A6E" w:rsidP="001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1F99" w14:textId="77777777" w:rsidR="007F3421" w:rsidRPr="004541B5" w:rsidRDefault="007F3421" w:rsidP="007F3421">
    <w:pPr>
      <w:pStyle w:val="Piedepgina"/>
      <w:jc w:val="center"/>
      <w:rPr>
        <w:lang w:val="es-ES"/>
      </w:rPr>
    </w:pPr>
    <w:r>
      <w:rPr>
        <w:lang w:val="es-ES"/>
      </w:rPr>
      <w:t xml:space="preserve">Carrera 7 N°8-68 Oficina 502-503 Bogotá D.C. </w:t>
    </w:r>
    <w:proofErr w:type="gramStart"/>
    <w:r>
      <w:rPr>
        <w:lang w:val="es-ES"/>
      </w:rPr>
      <w:t>/  mail</w:t>
    </w:r>
    <w:proofErr w:type="gramEnd"/>
    <w:r>
      <w:rPr>
        <w:lang w:val="es-ES"/>
      </w:rPr>
      <w:t>: bayardo.betancourt@camara.gov.co</w:t>
    </w:r>
  </w:p>
  <w:p w14:paraId="71905289" w14:textId="5782A5F3" w:rsidR="008B29F8" w:rsidRPr="007F3421" w:rsidRDefault="008B29F8" w:rsidP="00100797">
    <w:pPr>
      <w:pStyle w:val="Sinespaciado"/>
      <w:jc w:val="center"/>
      <w:rPr>
        <w:color w:val="00000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8A1C" w14:textId="77777777" w:rsidR="00A97A6E" w:rsidRDefault="00A97A6E" w:rsidP="00100797">
      <w:pPr>
        <w:spacing w:after="0" w:line="240" w:lineRule="auto"/>
      </w:pPr>
      <w:r>
        <w:separator/>
      </w:r>
    </w:p>
  </w:footnote>
  <w:footnote w:type="continuationSeparator" w:id="0">
    <w:p w14:paraId="3ECDE3E3" w14:textId="77777777" w:rsidR="00A97A6E" w:rsidRDefault="00A97A6E" w:rsidP="00100797">
      <w:pPr>
        <w:spacing w:after="0" w:line="240" w:lineRule="auto"/>
      </w:pPr>
      <w:r>
        <w:continuationSeparator/>
      </w:r>
    </w:p>
  </w:footnote>
  <w:footnote w:id="1">
    <w:p w14:paraId="2C90C702" w14:textId="166AECF2" w:rsidR="00E60744" w:rsidRPr="00E60744" w:rsidRDefault="00E60744">
      <w:pPr>
        <w:pStyle w:val="Textonotapie"/>
        <w:rPr>
          <w:lang w:val="es-ES"/>
        </w:rPr>
      </w:pPr>
      <w:r>
        <w:rPr>
          <w:rStyle w:val="Refdenotaalpie"/>
        </w:rPr>
        <w:footnoteRef/>
      </w:r>
      <w:r>
        <w:t xml:space="preserve"> Corte Constitucional. Sentencia C-411 de 2009. Magistrado Ponente: Juan Carlos Henao Pérez. Recuperada de: https://www.corteconstitucional.gov.co/ RELATORIA/2009/C-441-09.htm</w:t>
      </w:r>
    </w:p>
  </w:footnote>
  <w:footnote w:id="2">
    <w:p w14:paraId="3BC345EF" w14:textId="1C5B6F21" w:rsidR="00E60744" w:rsidRPr="00E60744" w:rsidRDefault="00E60744">
      <w:pPr>
        <w:pStyle w:val="Textonotapie"/>
        <w:rPr>
          <w:lang w:val="es-ES"/>
        </w:rPr>
      </w:pPr>
      <w:r>
        <w:rPr>
          <w:rStyle w:val="Refdenotaalpie"/>
        </w:rPr>
        <w:footnoteRef/>
      </w:r>
      <w:r>
        <w:t xml:space="preserve"> Corte Constitucional. Sentencia C-507 de 2008. Ma </w:t>
      </w:r>
      <w:r>
        <w:t>gistrado Ponente: Jaime Córdoba Triviño. Recupe rada de: https://www.corteconstitucional.gov.co/ relatoria/2008/C-507-08.htm (…)</w:t>
      </w:r>
    </w:p>
  </w:footnote>
  <w:footnote w:id="3">
    <w:p w14:paraId="77811871" w14:textId="0007830D" w:rsidR="00D73885" w:rsidRPr="00D73885" w:rsidRDefault="00D73885">
      <w:pPr>
        <w:pStyle w:val="Textonotapie"/>
        <w:rPr>
          <w:lang w:val="es-ES"/>
        </w:rPr>
      </w:pPr>
      <w:r>
        <w:rPr>
          <w:rStyle w:val="Refdenotaalpie"/>
        </w:rPr>
        <w:footnoteRef/>
      </w:r>
      <w:r>
        <w:t xml:space="preserve"> Corte Constitucional. Sentencia C-866 de 2010. Ma </w:t>
      </w:r>
      <w:r>
        <w:t>gistrado Ponente: Jorge Ignacio Pretelt Chaljub. Re cuperada de: https://www.corteconstitucional.gov.co/ RELATORIA/2010/C-866-10.htm</w:t>
      </w:r>
    </w:p>
  </w:footnote>
  <w:footnote w:id="4">
    <w:p w14:paraId="7737A5E9" w14:textId="16360795" w:rsidR="00D73885" w:rsidRPr="00090D11" w:rsidRDefault="00D73885" w:rsidP="00D73885">
      <w:pPr>
        <w:jc w:val="both"/>
        <w:rPr>
          <w:rFonts w:ascii="Arial" w:hAnsi="Arial" w:cs="Arial"/>
          <w:b/>
          <w:bCs/>
          <w:sz w:val="24"/>
          <w:szCs w:val="24"/>
        </w:rPr>
      </w:pPr>
      <w:r>
        <w:rPr>
          <w:rStyle w:val="Refdenotaalpie"/>
        </w:rPr>
        <w:footnoteRef/>
      </w:r>
      <w:r>
        <w:t xml:space="preserve"> Corte Constitucional. Sentencia C-502 de 2007. Magistrado Ponente: Manuel José Cepeda Espinosa. Recuperada de: https://www.corteconstitucional.gov.co/relatoria/2007/c-502-07.htm</w:t>
      </w:r>
    </w:p>
    <w:p w14:paraId="1BF9A3E2" w14:textId="2CE4DACD" w:rsidR="00D73885" w:rsidRPr="00D73885" w:rsidRDefault="00D7388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4E7B" w14:textId="77777777" w:rsidR="007F5306" w:rsidRPr="007F40F3" w:rsidRDefault="007F5306" w:rsidP="007F5306">
    <w:pPr>
      <w:pStyle w:val="Encabezado"/>
      <w:rPr>
        <w:lang w:val="es-ES"/>
      </w:rPr>
    </w:pPr>
    <w:r>
      <w:rPr>
        <w:noProof/>
        <w:lang w:eastAsia="es-CO"/>
      </w:rPr>
      <w:drawing>
        <wp:inline distT="0" distB="0" distL="0" distR="0" wp14:anchorId="0FAEBB55" wp14:editId="3D55698C">
          <wp:extent cx="1495837" cy="708263"/>
          <wp:effectExtent l="0" t="0" r="0" b="0"/>
          <wp:docPr id="4" name="Imagen 4" descr="Resultado de imagen para logo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822" cy="742821"/>
                  </a:xfrm>
                  <a:prstGeom prst="rect">
                    <a:avLst/>
                  </a:prstGeom>
                  <a:noFill/>
                  <a:ln>
                    <a:noFill/>
                  </a:ln>
                </pic:spPr>
              </pic:pic>
            </a:graphicData>
          </a:graphic>
        </wp:inline>
      </w:drawing>
    </w:r>
    <w:r w:rsidRPr="007F40F3">
      <w:rPr>
        <w:noProof/>
        <w:lang w:val="es-ES"/>
      </w:rPr>
      <w:t xml:space="preserve">                                                                                                            </w:t>
    </w:r>
    <w:r>
      <w:rPr>
        <w:noProof/>
        <w:lang w:eastAsia="es-CO"/>
      </w:rPr>
      <w:drawing>
        <wp:inline distT="0" distB="0" distL="0" distR="0" wp14:anchorId="10BEE625" wp14:editId="068FDB75">
          <wp:extent cx="697892" cy="459843"/>
          <wp:effectExtent l="0" t="0" r="6985" b="0"/>
          <wp:docPr id="3" name="Imagen 3" descr="Resultado de imagen para logo cambio radical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cambio radical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088" cy="479739"/>
                  </a:xfrm>
                  <a:prstGeom prst="rect">
                    <a:avLst/>
                  </a:prstGeom>
                  <a:noFill/>
                  <a:ln>
                    <a:noFill/>
                  </a:ln>
                </pic:spPr>
              </pic:pic>
            </a:graphicData>
          </a:graphic>
        </wp:inline>
      </w:drawing>
    </w:r>
    <w:r w:rsidRPr="007F40F3">
      <w:rPr>
        <w:noProof/>
        <w:lang w:val="es-ES"/>
      </w:rPr>
      <w:t xml:space="preserve">           </w:t>
    </w:r>
    <w:r w:rsidRPr="0053062F">
      <w:rPr>
        <w:noProof/>
        <w:lang w:val="es-ES"/>
      </w:rPr>
      <w:t xml:space="preserve"> </w:t>
    </w:r>
  </w:p>
  <w:p w14:paraId="17E4B23B" w14:textId="77777777" w:rsidR="007F5306" w:rsidRPr="004541B5" w:rsidRDefault="007F5306" w:rsidP="007F5306">
    <w:pPr>
      <w:pStyle w:val="Encabezado"/>
      <w:rPr>
        <w:rFonts w:ascii="Baskerville Old Face" w:hAnsi="Baskerville Old Face"/>
        <w:sz w:val="28"/>
        <w:lang w:val="es-ES"/>
      </w:rPr>
    </w:pPr>
    <w:r w:rsidRPr="004541B5">
      <w:rPr>
        <w:rFonts w:ascii="Baskerville Old Face" w:hAnsi="Baskerville Old Face"/>
        <w:sz w:val="28"/>
        <w:lang w:val="es-ES"/>
      </w:rPr>
      <w:t>Gilberto Betancourt Pérez</w:t>
    </w:r>
  </w:p>
  <w:p w14:paraId="18617FC4" w14:textId="12A9C9FB" w:rsidR="008B29F8" w:rsidRPr="007F5306" w:rsidRDefault="007F5306" w:rsidP="0047087B">
    <w:pPr>
      <w:rPr>
        <w:lang w:val="es-ES"/>
      </w:rPr>
    </w:pPr>
    <w:r w:rsidRPr="004541B5">
      <w:rPr>
        <w:rFonts w:ascii="Baskerville Old Face" w:hAnsi="Baskerville Old Face"/>
        <w:lang w:val="es-ES"/>
      </w:rPr>
      <w:t>Representante a la Cámara por Nariño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A1B"/>
    <w:multiLevelType w:val="hybridMultilevel"/>
    <w:tmpl w:val="FB7EC0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E22F39"/>
    <w:multiLevelType w:val="hybridMultilevel"/>
    <w:tmpl w:val="EFB4847E"/>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 w15:restartNumberingAfterBreak="0">
    <w:nsid w:val="0E394331"/>
    <w:multiLevelType w:val="hybridMultilevel"/>
    <w:tmpl w:val="38C088E2"/>
    <w:lvl w:ilvl="0" w:tplc="B9384A5C">
      <w:numFmt w:val="bullet"/>
      <w:lvlText w:val="-"/>
      <w:lvlJc w:val="left"/>
      <w:pPr>
        <w:ind w:left="720" w:hanging="360"/>
      </w:pPr>
      <w:rPr>
        <w:rFonts w:ascii="Century Gothic" w:eastAsia="Roboto" w:hAnsi="Century Gothic" w:cs="Roboto"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E919D3"/>
    <w:multiLevelType w:val="hybridMultilevel"/>
    <w:tmpl w:val="6B284D44"/>
    <w:lvl w:ilvl="0" w:tplc="D4C64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E64487"/>
    <w:multiLevelType w:val="hybridMultilevel"/>
    <w:tmpl w:val="F13E8FE4"/>
    <w:lvl w:ilvl="0" w:tplc="0F987F4C">
      <w:numFmt w:val="bullet"/>
      <w:lvlText w:val="-"/>
      <w:lvlJc w:val="left"/>
      <w:pPr>
        <w:ind w:left="1440" w:hanging="360"/>
      </w:pPr>
      <w:rPr>
        <w:rFonts w:ascii="Calibri" w:eastAsia="Calibri" w:hAnsi="Calibri" w:cs="Calibri" w:hint="default"/>
        <w:color w:val="auto"/>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A450B8D"/>
    <w:multiLevelType w:val="hybridMultilevel"/>
    <w:tmpl w:val="AD5EA5E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990F71"/>
    <w:multiLevelType w:val="hybridMultilevel"/>
    <w:tmpl w:val="97EA6E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085E6E"/>
    <w:multiLevelType w:val="hybridMultilevel"/>
    <w:tmpl w:val="39C0D8F2"/>
    <w:lvl w:ilvl="0" w:tplc="BB009E6C">
      <w:start w:val="2"/>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940D22"/>
    <w:multiLevelType w:val="hybridMultilevel"/>
    <w:tmpl w:val="11F2C450"/>
    <w:lvl w:ilvl="0" w:tplc="C8E0F06C">
      <w:numFmt w:val="bullet"/>
      <w:lvlText w:val="-"/>
      <w:lvlJc w:val="left"/>
      <w:pPr>
        <w:ind w:left="1440" w:hanging="360"/>
      </w:pPr>
      <w:rPr>
        <w:rFonts w:ascii="Century Gothic" w:eastAsia="Arial" w:hAnsi="Century Gothic"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4366071"/>
    <w:multiLevelType w:val="hybridMultilevel"/>
    <w:tmpl w:val="FB7EC0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583EF4"/>
    <w:multiLevelType w:val="multilevel"/>
    <w:tmpl w:val="91A01A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EA11247"/>
    <w:multiLevelType w:val="hybridMultilevel"/>
    <w:tmpl w:val="CE46C78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FA04DD8"/>
    <w:multiLevelType w:val="hybridMultilevel"/>
    <w:tmpl w:val="61CA0D74"/>
    <w:lvl w:ilvl="0" w:tplc="2B02523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9E49C0"/>
    <w:multiLevelType w:val="hybridMultilevel"/>
    <w:tmpl w:val="CBFADA6E"/>
    <w:lvl w:ilvl="0" w:tplc="5B287624">
      <w:start w:val="2"/>
      <w:numFmt w:val="bullet"/>
      <w:lvlText w:val="-"/>
      <w:lvlJc w:val="left"/>
      <w:pPr>
        <w:ind w:left="1080" w:hanging="360"/>
      </w:pPr>
      <w:rPr>
        <w:rFonts w:ascii="Century Gothic" w:eastAsia="Times New Roman" w:hAnsi="Century Gothic"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8C77BCD"/>
    <w:multiLevelType w:val="hybridMultilevel"/>
    <w:tmpl w:val="3E629688"/>
    <w:lvl w:ilvl="0" w:tplc="555C1B9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C3682B"/>
    <w:multiLevelType w:val="hybridMultilevel"/>
    <w:tmpl w:val="C4D0E93A"/>
    <w:lvl w:ilvl="0" w:tplc="012E803C">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A51372"/>
    <w:multiLevelType w:val="hybridMultilevel"/>
    <w:tmpl w:val="D74CF874"/>
    <w:lvl w:ilvl="0" w:tplc="03AADD72">
      <w:numFmt w:val="bullet"/>
      <w:lvlText w:val="-"/>
      <w:lvlJc w:val="left"/>
      <w:pPr>
        <w:ind w:left="720" w:hanging="360"/>
      </w:pPr>
      <w:rPr>
        <w:rFonts w:ascii="Century Gothic" w:eastAsia="Calibri" w:hAnsi="Century Gothic"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2B43E35"/>
    <w:multiLevelType w:val="hybridMultilevel"/>
    <w:tmpl w:val="260293A0"/>
    <w:lvl w:ilvl="0" w:tplc="59E8A890">
      <w:start w:val="19"/>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49396039"/>
    <w:multiLevelType w:val="hybridMultilevel"/>
    <w:tmpl w:val="96941C18"/>
    <w:lvl w:ilvl="0" w:tplc="AF664B06">
      <w:start w:val="3"/>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EDF0467"/>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6A7567"/>
    <w:multiLevelType w:val="hybridMultilevel"/>
    <w:tmpl w:val="A91AD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285A4D"/>
    <w:multiLevelType w:val="hybridMultilevel"/>
    <w:tmpl w:val="B6BE073A"/>
    <w:lvl w:ilvl="0" w:tplc="D690DA0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1A08A2"/>
    <w:multiLevelType w:val="hybridMultilevel"/>
    <w:tmpl w:val="65ACF9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CAF7C17"/>
    <w:multiLevelType w:val="hybridMultilevel"/>
    <w:tmpl w:val="B5C4BBEC"/>
    <w:lvl w:ilvl="0" w:tplc="675E183A">
      <w:start w:val="3"/>
      <w:numFmt w:val="bullet"/>
      <w:lvlText w:val="-"/>
      <w:lvlJc w:val="left"/>
      <w:pPr>
        <w:ind w:left="1068" w:hanging="360"/>
      </w:pPr>
      <w:rPr>
        <w:rFonts w:ascii="Century Gothic" w:eastAsia="Calibri" w:hAnsi="Century Gothic" w:cs="Arial" w:hint="default"/>
        <w:b w:val="0"/>
      </w:rPr>
    </w:lvl>
    <w:lvl w:ilvl="1" w:tplc="240A0003" w:tentative="1">
      <w:start w:val="1"/>
      <w:numFmt w:val="bullet"/>
      <w:lvlText w:val="o"/>
      <w:lvlJc w:val="left"/>
      <w:pPr>
        <w:ind w:left="2442" w:hanging="360"/>
      </w:pPr>
      <w:rPr>
        <w:rFonts w:ascii="Courier New" w:hAnsi="Courier New" w:cs="Courier New" w:hint="default"/>
      </w:rPr>
    </w:lvl>
    <w:lvl w:ilvl="2" w:tplc="240A0005" w:tentative="1">
      <w:start w:val="1"/>
      <w:numFmt w:val="bullet"/>
      <w:lvlText w:val=""/>
      <w:lvlJc w:val="left"/>
      <w:pPr>
        <w:ind w:left="3162" w:hanging="360"/>
      </w:pPr>
      <w:rPr>
        <w:rFonts w:ascii="Wingdings" w:hAnsi="Wingdings" w:hint="default"/>
      </w:rPr>
    </w:lvl>
    <w:lvl w:ilvl="3" w:tplc="240A0001" w:tentative="1">
      <w:start w:val="1"/>
      <w:numFmt w:val="bullet"/>
      <w:lvlText w:val=""/>
      <w:lvlJc w:val="left"/>
      <w:pPr>
        <w:ind w:left="3882" w:hanging="360"/>
      </w:pPr>
      <w:rPr>
        <w:rFonts w:ascii="Symbol" w:hAnsi="Symbol" w:hint="default"/>
      </w:rPr>
    </w:lvl>
    <w:lvl w:ilvl="4" w:tplc="240A0003" w:tentative="1">
      <w:start w:val="1"/>
      <w:numFmt w:val="bullet"/>
      <w:lvlText w:val="o"/>
      <w:lvlJc w:val="left"/>
      <w:pPr>
        <w:ind w:left="4602" w:hanging="360"/>
      </w:pPr>
      <w:rPr>
        <w:rFonts w:ascii="Courier New" w:hAnsi="Courier New" w:cs="Courier New" w:hint="default"/>
      </w:rPr>
    </w:lvl>
    <w:lvl w:ilvl="5" w:tplc="240A0005" w:tentative="1">
      <w:start w:val="1"/>
      <w:numFmt w:val="bullet"/>
      <w:lvlText w:val=""/>
      <w:lvlJc w:val="left"/>
      <w:pPr>
        <w:ind w:left="5322" w:hanging="360"/>
      </w:pPr>
      <w:rPr>
        <w:rFonts w:ascii="Wingdings" w:hAnsi="Wingdings" w:hint="default"/>
      </w:rPr>
    </w:lvl>
    <w:lvl w:ilvl="6" w:tplc="240A0001" w:tentative="1">
      <w:start w:val="1"/>
      <w:numFmt w:val="bullet"/>
      <w:lvlText w:val=""/>
      <w:lvlJc w:val="left"/>
      <w:pPr>
        <w:ind w:left="6042" w:hanging="360"/>
      </w:pPr>
      <w:rPr>
        <w:rFonts w:ascii="Symbol" w:hAnsi="Symbol" w:hint="default"/>
      </w:rPr>
    </w:lvl>
    <w:lvl w:ilvl="7" w:tplc="240A0003" w:tentative="1">
      <w:start w:val="1"/>
      <w:numFmt w:val="bullet"/>
      <w:lvlText w:val="o"/>
      <w:lvlJc w:val="left"/>
      <w:pPr>
        <w:ind w:left="6762" w:hanging="360"/>
      </w:pPr>
      <w:rPr>
        <w:rFonts w:ascii="Courier New" w:hAnsi="Courier New" w:cs="Courier New" w:hint="default"/>
      </w:rPr>
    </w:lvl>
    <w:lvl w:ilvl="8" w:tplc="240A0005" w:tentative="1">
      <w:start w:val="1"/>
      <w:numFmt w:val="bullet"/>
      <w:lvlText w:val=""/>
      <w:lvlJc w:val="left"/>
      <w:pPr>
        <w:ind w:left="7482" w:hanging="360"/>
      </w:pPr>
      <w:rPr>
        <w:rFonts w:ascii="Wingdings" w:hAnsi="Wingdings" w:hint="default"/>
      </w:rPr>
    </w:lvl>
  </w:abstractNum>
  <w:abstractNum w:abstractNumId="24" w15:restartNumberingAfterBreak="0">
    <w:nsid w:val="60706DE0"/>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5" w15:restartNumberingAfterBreak="0">
    <w:nsid w:val="61176914"/>
    <w:multiLevelType w:val="hybridMultilevel"/>
    <w:tmpl w:val="9176CF7E"/>
    <w:lvl w:ilvl="0" w:tplc="8C76366E">
      <w:start w:val="1"/>
      <w:numFmt w:val="upperRoman"/>
      <w:lvlText w:val="%1."/>
      <w:lvlJc w:val="left"/>
      <w:pPr>
        <w:ind w:left="720" w:hanging="720"/>
      </w:pPr>
      <w:rPr>
        <w:rFonts w:eastAsia="Calibri" w:cs="Times New Roman"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2A22553"/>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1372509"/>
    <w:multiLevelType w:val="hybridMultilevel"/>
    <w:tmpl w:val="61EE4100"/>
    <w:lvl w:ilvl="0" w:tplc="0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A45F6D"/>
    <w:multiLevelType w:val="hybridMultilevel"/>
    <w:tmpl w:val="A0AECE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91731FD"/>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30" w15:restartNumberingAfterBreak="0">
    <w:nsid w:val="7B251E1C"/>
    <w:multiLevelType w:val="hybridMultilevel"/>
    <w:tmpl w:val="8BF0ED0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F0B248C"/>
    <w:multiLevelType w:val="hybridMultilevel"/>
    <w:tmpl w:val="C7C42E3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16"/>
  </w:num>
  <w:num w:numId="4">
    <w:abstractNumId w:val="3"/>
  </w:num>
  <w:num w:numId="5">
    <w:abstractNumId w:val="28"/>
  </w:num>
  <w:num w:numId="6">
    <w:abstractNumId w:val="13"/>
  </w:num>
  <w:num w:numId="7">
    <w:abstractNumId w:val="7"/>
  </w:num>
  <w:num w:numId="8">
    <w:abstractNumId w:val="17"/>
  </w:num>
  <w:num w:numId="9">
    <w:abstractNumId w:val="19"/>
  </w:num>
  <w:num w:numId="10">
    <w:abstractNumId w:val="2"/>
  </w:num>
  <w:num w:numId="11">
    <w:abstractNumId w:val="29"/>
  </w:num>
  <w:num w:numId="12">
    <w:abstractNumId w:val="6"/>
  </w:num>
  <w:num w:numId="13">
    <w:abstractNumId w:val="23"/>
  </w:num>
  <w:num w:numId="14">
    <w:abstractNumId w:val="25"/>
  </w:num>
  <w:num w:numId="15">
    <w:abstractNumId w:val="18"/>
  </w:num>
  <w:num w:numId="16">
    <w:abstractNumId w:val="14"/>
  </w:num>
  <w:num w:numId="17">
    <w:abstractNumId w:val="24"/>
  </w:num>
  <w:num w:numId="18">
    <w:abstractNumId w:val="26"/>
  </w:num>
  <w:num w:numId="19">
    <w:abstractNumId w:val="10"/>
  </w:num>
  <w:num w:numId="20">
    <w:abstractNumId w:val="15"/>
  </w:num>
  <w:num w:numId="21">
    <w:abstractNumId w:val="1"/>
  </w:num>
  <w:num w:numId="22">
    <w:abstractNumId w:val="27"/>
  </w:num>
  <w:num w:numId="23">
    <w:abstractNumId w:val="21"/>
  </w:num>
  <w:num w:numId="24">
    <w:abstractNumId w:val="31"/>
  </w:num>
  <w:num w:numId="25">
    <w:abstractNumId w:val="11"/>
  </w:num>
  <w:num w:numId="26">
    <w:abstractNumId w:val="9"/>
  </w:num>
  <w:num w:numId="27">
    <w:abstractNumId w:val="20"/>
  </w:num>
  <w:num w:numId="28">
    <w:abstractNumId w:val="22"/>
  </w:num>
  <w:num w:numId="29">
    <w:abstractNumId w:val="30"/>
  </w:num>
  <w:num w:numId="30">
    <w:abstractNumId w:val="0"/>
  </w:num>
  <w:num w:numId="31">
    <w:abstractNumId w:val="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85"/>
    <w:rsid w:val="0000501F"/>
    <w:rsid w:val="00005493"/>
    <w:rsid w:val="00006B94"/>
    <w:rsid w:val="00011696"/>
    <w:rsid w:val="000127DF"/>
    <w:rsid w:val="0002399D"/>
    <w:rsid w:val="0002641A"/>
    <w:rsid w:val="0003180F"/>
    <w:rsid w:val="0004654B"/>
    <w:rsid w:val="00050DAF"/>
    <w:rsid w:val="00051202"/>
    <w:rsid w:val="00053698"/>
    <w:rsid w:val="0006186F"/>
    <w:rsid w:val="00074E3D"/>
    <w:rsid w:val="0009000F"/>
    <w:rsid w:val="00090543"/>
    <w:rsid w:val="000906CB"/>
    <w:rsid w:val="00092857"/>
    <w:rsid w:val="000A3E3E"/>
    <w:rsid w:val="000A4634"/>
    <w:rsid w:val="000A5B3A"/>
    <w:rsid w:val="000B6D32"/>
    <w:rsid w:val="000B79C8"/>
    <w:rsid w:val="000C4722"/>
    <w:rsid w:val="000C70A5"/>
    <w:rsid w:val="000C7E15"/>
    <w:rsid w:val="000D0D53"/>
    <w:rsid w:val="000D5489"/>
    <w:rsid w:val="000E249C"/>
    <w:rsid w:val="000E2AD5"/>
    <w:rsid w:val="000E49F4"/>
    <w:rsid w:val="000E7CC4"/>
    <w:rsid w:val="000F2E64"/>
    <w:rsid w:val="00100797"/>
    <w:rsid w:val="00101AA9"/>
    <w:rsid w:val="001024DF"/>
    <w:rsid w:val="00102941"/>
    <w:rsid w:val="00111890"/>
    <w:rsid w:val="00115B57"/>
    <w:rsid w:val="001163F3"/>
    <w:rsid w:val="00123D94"/>
    <w:rsid w:val="00126E08"/>
    <w:rsid w:val="001304C2"/>
    <w:rsid w:val="001319A4"/>
    <w:rsid w:val="0015619A"/>
    <w:rsid w:val="00172D22"/>
    <w:rsid w:val="001846ED"/>
    <w:rsid w:val="001A432F"/>
    <w:rsid w:val="001C0495"/>
    <w:rsid w:val="001C22AC"/>
    <w:rsid w:val="001E505B"/>
    <w:rsid w:val="001E78AD"/>
    <w:rsid w:val="001F7212"/>
    <w:rsid w:val="002062D7"/>
    <w:rsid w:val="0020693F"/>
    <w:rsid w:val="00216D87"/>
    <w:rsid w:val="00217BED"/>
    <w:rsid w:val="00230AE8"/>
    <w:rsid w:val="00241633"/>
    <w:rsid w:val="00241D01"/>
    <w:rsid w:val="00243642"/>
    <w:rsid w:val="0024672C"/>
    <w:rsid w:val="00246A58"/>
    <w:rsid w:val="002528AE"/>
    <w:rsid w:val="00256783"/>
    <w:rsid w:val="00270081"/>
    <w:rsid w:val="00272C62"/>
    <w:rsid w:val="0027499B"/>
    <w:rsid w:val="00287A28"/>
    <w:rsid w:val="0029036A"/>
    <w:rsid w:val="00295326"/>
    <w:rsid w:val="002966E6"/>
    <w:rsid w:val="002A456C"/>
    <w:rsid w:val="002A521B"/>
    <w:rsid w:val="002B1E6E"/>
    <w:rsid w:val="002B44E1"/>
    <w:rsid w:val="002B7D39"/>
    <w:rsid w:val="002C3EC6"/>
    <w:rsid w:val="002C4112"/>
    <w:rsid w:val="002C69D8"/>
    <w:rsid w:val="002C7ECF"/>
    <w:rsid w:val="002E4148"/>
    <w:rsid w:val="002E66CB"/>
    <w:rsid w:val="002F02DA"/>
    <w:rsid w:val="002F077B"/>
    <w:rsid w:val="002F342A"/>
    <w:rsid w:val="002F37F3"/>
    <w:rsid w:val="00313451"/>
    <w:rsid w:val="00323924"/>
    <w:rsid w:val="0032644F"/>
    <w:rsid w:val="00333A4A"/>
    <w:rsid w:val="00345448"/>
    <w:rsid w:val="003517B2"/>
    <w:rsid w:val="0035704C"/>
    <w:rsid w:val="0036482D"/>
    <w:rsid w:val="00373992"/>
    <w:rsid w:val="00374546"/>
    <w:rsid w:val="00375D3A"/>
    <w:rsid w:val="00377DB0"/>
    <w:rsid w:val="00380B61"/>
    <w:rsid w:val="003A2862"/>
    <w:rsid w:val="003C2E06"/>
    <w:rsid w:val="003C3580"/>
    <w:rsid w:val="003C393A"/>
    <w:rsid w:val="003D05F8"/>
    <w:rsid w:val="003D6532"/>
    <w:rsid w:val="003E3797"/>
    <w:rsid w:val="003E3E20"/>
    <w:rsid w:val="003F2FBE"/>
    <w:rsid w:val="003F75EE"/>
    <w:rsid w:val="00400441"/>
    <w:rsid w:val="00401BFA"/>
    <w:rsid w:val="00405343"/>
    <w:rsid w:val="00413638"/>
    <w:rsid w:val="00414216"/>
    <w:rsid w:val="0043749C"/>
    <w:rsid w:val="00443DF3"/>
    <w:rsid w:val="00445129"/>
    <w:rsid w:val="00447829"/>
    <w:rsid w:val="00447B83"/>
    <w:rsid w:val="004505AA"/>
    <w:rsid w:val="0045354A"/>
    <w:rsid w:val="0046292E"/>
    <w:rsid w:val="00464C64"/>
    <w:rsid w:val="00465B99"/>
    <w:rsid w:val="0047087B"/>
    <w:rsid w:val="00470EE1"/>
    <w:rsid w:val="004856D2"/>
    <w:rsid w:val="00492754"/>
    <w:rsid w:val="004A2F91"/>
    <w:rsid w:val="004A6B4D"/>
    <w:rsid w:val="004B0D53"/>
    <w:rsid w:val="004B3DBF"/>
    <w:rsid w:val="004B6AFE"/>
    <w:rsid w:val="004B743A"/>
    <w:rsid w:val="004C3A43"/>
    <w:rsid w:val="004D21C7"/>
    <w:rsid w:val="004D238F"/>
    <w:rsid w:val="004D36DB"/>
    <w:rsid w:val="004E4BCD"/>
    <w:rsid w:val="004E7B32"/>
    <w:rsid w:val="004F01BC"/>
    <w:rsid w:val="00504C41"/>
    <w:rsid w:val="00514C8F"/>
    <w:rsid w:val="0052485C"/>
    <w:rsid w:val="00546904"/>
    <w:rsid w:val="00547731"/>
    <w:rsid w:val="00550579"/>
    <w:rsid w:val="00551598"/>
    <w:rsid w:val="00564DDF"/>
    <w:rsid w:val="0056606A"/>
    <w:rsid w:val="00572D04"/>
    <w:rsid w:val="00574C18"/>
    <w:rsid w:val="00583DC2"/>
    <w:rsid w:val="00585981"/>
    <w:rsid w:val="00586A64"/>
    <w:rsid w:val="0059605E"/>
    <w:rsid w:val="005A43DE"/>
    <w:rsid w:val="005A71C3"/>
    <w:rsid w:val="005B249A"/>
    <w:rsid w:val="005C5DD2"/>
    <w:rsid w:val="005D2DA3"/>
    <w:rsid w:val="005F370C"/>
    <w:rsid w:val="00607F6A"/>
    <w:rsid w:val="00625911"/>
    <w:rsid w:val="00642016"/>
    <w:rsid w:val="00643AF3"/>
    <w:rsid w:val="00647049"/>
    <w:rsid w:val="00652D9A"/>
    <w:rsid w:val="00660585"/>
    <w:rsid w:val="00662A12"/>
    <w:rsid w:val="006659DB"/>
    <w:rsid w:val="00675077"/>
    <w:rsid w:val="00684ACB"/>
    <w:rsid w:val="0068620C"/>
    <w:rsid w:val="006878C1"/>
    <w:rsid w:val="006971B3"/>
    <w:rsid w:val="006A5DC0"/>
    <w:rsid w:val="006B3C4E"/>
    <w:rsid w:val="006C2A65"/>
    <w:rsid w:val="006C6603"/>
    <w:rsid w:val="006D5361"/>
    <w:rsid w:val="006E16CA"/>
    <w:rsid w:val="006E31E7"/>
    <w:rsid w:val="006F0817"/>
    <w:rsid w:val="006F0DEE"/>
    <w:rsid w:val="006F713E"/>
    <w:rsid w:val="00712799"/>
    <w:rsid w:val="007144A6"/>
    <w:rsid w:val="00725F9F"/>
    <w:rsid w:val="00726583"/>
    <w:rsid w:val="00727BFD"/>
    <w:rsid w:val="0073633C"/>
    <w:rsid w:val="00736F25"/>
    <w:rsid w:val="007573DE"/>
    <w:rsid w:val="007733CC"/>
    <w:rsid w:val="00773B5B"/>
    <w:rsid w:val="00774676"/>
    <w:rsid w:val="007754D8"/>
    <w:rsid w:val="007759E8"/>
    <w:rsid w:val="00775ADF"/>
    <w:rsid w:val="0079596C"/>
    <w:rsid w:val="007B6F67"/>
    <w:rsid w:val="007C387A"/>
    <w:rsid w:val="007D3043"/>
    <w:rsid w:val="007D710D"/>
    <w:rsid w:val="007F0102"/>
    <w:rsid w:val="007F3421"/>
    <w:rsid w:val="007F48A4"/>
    <w:rsid w:val="007F5306"/>
    <w:rsid w:val="008029C1"/>
    <w:rsid w:val="00826F59"/>
    <w:rsid w:val="00833C51"/>
    <w:rsid w:val="00836402"/>
    <w:rsid w:val="00843C70"/>
    <w:rsid w:val="00846DDA"/>
    <w:rsid w:val="00846EA7"/>
    <w:rsid w:val="00847C4B"/>
    <w:rsid w:val="0085324E"/>
    <w:rsid w:val="00853F58"/>
    <w:rsid w:val="008566A7"/>
    <w:rsid w:val="0086583F"/>
    <w:rsid w:val="00874A7F"/>
    <w:rsid w:val="00882D67"/>
    <w:rsid w:val="008873A6"/>
    <w:rsid w:val="008902E8"/>
    <w:rsid w:val="008940DA"/>
    <w:rsid w:val="00894ADD"/>
    <w:rsid w:val="008A56B9"/>
    <w:rsid w:val="008B29F8"/>
    <w:rsid w:val="008B5257"/>
    <w:rsid w:val="008C0254"/>
    <w:rsid w:val="008C1B09"/>
    <w:rsid w:val="008C740E"/>
    <w:rsid w:val="008D4107"/>
    <w:rsid w:val="008F07F9"/>
    <w:rsid w:val="008F70C5"/>
    <w:rsid w:val="0091182B"/>
    <w:rsid w:val="00922D8D"/>
    <w:rsid w:val="009261BA"/>
    <w:rsid w:val="00927DB0"/>
    <w:rsid w:val="00930BA1"/>
    <w:rsid w:val="00953E18"/>
    <w:rsid w:val="009726FA"/>
    <w:rsid w:val="00976A55"/>
    <w:rsid w:val="00983F5D"/>
    <w:rsid w:val="009851D6"/>
    <w:rsid w:val="009860B2"/>
    <w:rsid w:val="00987E3D"/>
    <w:rsid w:val="00993804"/>
    <w:rsid w:val="009B365C"/>
    <w:rsid w:val="009E4B7F"/>
    <w:rsid w:val="009E5D72"/>
    <w:rsid w:val="009E70E3"/>
    <w:rsid w:val="009F0124"/>
    <w:rsid w:val="009F153B"/>
    <w:rsid w:val="009F3FFF"/>
    <w:rsid w:val="00A029E1"/>
    <w:rsid w:val="00A0343B"/>
    <w:rsid w:val="00A1214E"/>
    <w:rsid w:val="00A12154"/>
    <w:rsid w:val="00A25B76"/>
    <w:rsid w:val="00A278B8"/>
    <w:rsid w:val="00A46846"/>
    <w:rsid w:val="00A71E85"/>
    <w:rsid w:val="00A7564A"/>
    <w:rsid w:val="00A8506D"/>
    <w:rsid w:val="00A92147"/>
    <w:rsid w:val="00A97A6E"/>
    <w:rsid w:val="00AA2541"/>
    <w:rsid w:val="00AA6C43"/>
    <w:rsid w:val="00AB03DE"/>
    <w:rsid w:val="00AB2E73"/>
    <w:rsid w:val="00AB4CC0"/>
    <w:rsid w:val="00AB5762"/>
    <w:rsid w:val="00AB6C61"/>
    <w:rsid w:val="00AB6D2F"/>
    <w:rsid w:val="00AC0652"/>
    <w:rsid w:val="00AE1F38"/>
    <w:rsid w:val="00AF00BE"/>
    <w:rsid w:val="00AF4A84"/>
    <w:rsid w:val="00AF7B03"/>
    <w:rsid w:val="00B0007C"/>
    <w:rsid w:val="00B0757A"/>
    <w:rsid w:val="00B13B0A"/>
    <w:rsid w:val="00B32D12"/>
    <w:rsid w:val="00B4559F"/>
    <w:rsid w:val="00B50D75"/>
    <w:rsid w:val="00B52547"/>
    <w:rsid w:val="00B52F2C"/>
    <w:rsid w:val="00B614D9"/>
    <w:rsid w:val="00B86DF6"/>
    <w:rsid w:val="00BA2289"/>
    <w:rsid w:val="00BA288B"/>
    <w:rsid w:val="00BA5C88"/>
    <w:rsid w:val="00BC4029"/>
    <w:rsid w:val="00BC6951"/>
    <w:rsid w:val="00BE481B"/>
    <w:rsid w:val="00BF4BCB"/>
    <w:rsid w:val="00BF7F69"/>
    <w:rsid w:val="00C076DA"/>
    <w:rsid w:val="00C10661"/>
    <w:rsid w:val="00C2161E"/>
    <w:rsid w:val="00C36DAC"/>
    <w:rsid w:val="00C441CA"/>
    <w:rsid w:val="00C562E3"/>
    <w:rsid w:val="00C72B79"/>
    <w:rsid w:val="00C74323"/>
    <w:rsid w:val="00C80600"/>
    <w:rsid w:val="00C822D1"/>
    <w:rsid w:val="00C86A26"/>
    <w:rsid w:val="00CA140A"/>
    <w:rsid w:val="00CA15E9"/>
    <w:rsid w:val="00CA3748"/>
    <w:rsid w:val="00CB0CA1"/>
    <w:rsid w:val="00CB27C9"/>
    <w:rsid w:val="00CB3F80"/>
    <w:rsid w:val="00CB670A"/>
    <w:rsid w:val="00CD0468"/>
    <w:rsid w:val="00CD2AE2"/>
    <w:rsid w:val="00CD41BA"/>
    <w:rsid w:val="00CD693F"/>
    <w:rsid w:val="00CD7EE8"/>
    <w:rsid w:val="00CE19FE"/>
    <w:rsid w:val="00CF0368"/>
    <w:rsid w:val="00D26FEA"/>
    <w:rsid w:val="00D27E76"/>
    <w:rsid w:val="00D32277"/>
    <w:rsid w:val="00D42817"/>
    <w:rsid w:val="00D52B0D"/>
    <w:rsid w:val="00D63D8F"/>
    <w:rsid w:val="00D701A0"/>
    <w:rsid w:val="00D73885"/>
    <w:rsid w:val="00D7567F"/>
    <w:rsid w:val="00D91E9D"/>
    <w:rsid w:val="00D956E1"/>
    <w:rsid w:val="00DA3CF4"/>
    <w:rsid w:val="00DA6FEC"/>
    <w:rsid w:val="00DB4049"/>
    <w:rsid w:val="00DC2D6A"/>
    <w:rsid w:val="00DD300F"/>
    <w:rsid w:val="00DD4475"/>
    <w:rsid w:val="00DD665B"/>
    <w:rsid w:val="00DE4AB2"/>
    <w:rsid w:val="00DE666C"/>
    <w:rsid w:val="00DF28F8"/>
    <w:rsid w:val="00DF7C46"/>
    <w:rsid w:val="00E16D6F"/>
    <w:rsid w:val="00E36F36"/>
    <w:rsid w:val="00E51961"/>
    <w:rsid w:val="00E60744"/>
    <w:rsid w:val="00E77D10"/>
    <w:rsid w:val="00E819E7"/>
    <w:rsid w:val="00E85EB5"/>
    <w:rsid w:val="00E8720A"/>
    <w:rsid w:val="00E87908"/>
    <w:rsid w:val="00EA25F5"/>
    <w:rsid w:val="00EE7417"/>
    <w:rsid w:val="00F019D1"/>
    <w:rsid w:val="00F06293"/>
    <w:rsid w:val="00F30F2C"/>
    <w:rsid w:val="00F314DE"/>
    <w:rsid w:val="00F315F2"/>
    <w:rsid w:val="00F33915"/>
    <w:rsid w:val="00F34B89"/>
    <w:rsid w:val="00F34E2F"/>
    <w:rsid w:val="00F40D69"/>
    <w:rsid w:val="00F41582"/>
    <w:rsid w:val="00F42397"/>
    <w:rsid w:val="00F437FF"/>
    <w:rsid w:val="00F4506E"/>
    <w:rsid w:val="00F50665"/>
    <w:rsid w:val="00F51530"/>
    <w:rsid w:val="00F518D8"/>
    <w:rsid w:val="00F63852"/>
    <w:rsid w:val="00F63F4D"/>
    <w:rsid w:val="00F671DA"/>
    <w:rsid w:val="00F735CE"/>
    <w:rsid w:val="00F757DA"/>
    <w:rsid w:val="00F81656"/>
    <w:rsid w:val="00F83EFF"/>
    <w:rsid w:val="00F84A2F"/>
    <w:rsid w:val="00FA05BD"/>
    <w:rsid w:val="00FA2A87"/>
    <w:rsid w:val="00FA333E"/>
    <w:rsid w:val="00FA3E04"/>
    <w:rsid w:val="00FA3F7C"/>
    <w:rsid w:val="00FA4583"/>
    <w:rsid w:val="00FC6983"/>
    <w:rsid w:val="00FE0FC1"/>
    <w:rsid w:val="00FE18DB"/>
    <w:rsid w:val="00FE2DEB"/>
    <w:rsid w:val="00FE5AE6"/>
    <w:rsid w:val="00FF11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7B9C"/>
  <w15:chartTrackingRefBased/>
  <w15:docId w15:val="{16AEA895-F1A5-4961-BBB2-07A0EB2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9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ascii="Calibri" w:eastAsia="Calibri" w:hAnsi="Calibri"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AB4CC0"/>
    <w:pPr>
      <w:ind w:left="720"/>
      <w:contextualSpacing/>
    </w:pPr>
  </w:style>
  <w:style w:type="character" w:styleId="Hipervnculo">
    <w:name w:val="Hyperlink"/>
    <w:basedOn w:val="Fuentedeprrafopredeter"/>
    <w:uiPriority w:val="99"/>
    <w:semiHidden/>
    <w:unhideWhenUsed/>
    <w:rsid w:val="00241D01"/>
    <w:rPr>
      <w:color w:val="0000FF"/>
      <w:u w:val="single"/>
    </w:rPr>
  </w:style>
  <w:style w:type="character" w:customStyle="1" w:styleId="baj">
    <w:name w:val="b_aj"/>
    <w:basedOn w:val="Fuentedeprrafopredeter"/>
    <w:rsid w:val="00241D01"/>
  </w:style>
  <w:style w:type="character" w:styleId="Textoennegrita">
    <w:name w:val="Strong"/>
    <w:basedOn w:val="Fuentedeprrafopredeter"/>
    <w:uiPriority w:val="22"/>
    <w:qFormat/>
    <w:rsid w:val="00D7567F"/>
    <w:rPr>
      <w:b/>
      <w:bCs/>
    </w:rPr>
  </w:style>
  <w:style w:type="character" w:styleId="nfasis">
    <w:name w:val="Emphasis"/>
    <w:basedOn w:val="Fuentedeprrafopredeter"/>
    <w:uiPriority w:val="20"/>
    <w:qFormat/>
    <w:rsid w:val="00D7567F"/>
    <w:rPr>
      <w:i/>
      <w:iCs/>
    </w:rPr>
  </w:style>
  <w:style w:type="table" w:styleId="Tablaconcuadrcula">
    <w:name w:val="Table Grid"/>
    <w:basedOn w:val="Tablanormal"/>
    <w:uiPriority w:val="39"/>
    <w:rsid w:val="000F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2E64"/>
    <w:rPr>
      <w:sz w:val="16"/>
      <w:szCs w:val="16"/>
    </w:rPr>
  </w:style>
  <w:style w:type="paragraph" w:styleId="Textocomentario">
    <w:name w:val="annotation text"/>
    <w:basedOn w:val="Normal"/>
    <w:link w:val="TextocomentarioCar"/>
    <w:uiPriority w:val="99"/>
    <w:unhideWhenUsed/>
    <w:rsid w:val="000F2E64"/>
    <w:pPr>
      <w:spacing w:line="240" w:lineRule="auto"/>
    </w:pPr>
    <w:rPr>
      <w:sz w:val="20"/>
      <w:szCs w:val="20"/>
    </w:rPr>
  </w:style>
  <w:style w:type="character" w:customStyle="1" w:styleId="TextocomentarioCar">
    <w:name w:val="Texto comentario Car"/>
    <w:basedOn w:val="Fuentedeprrafopredeter"/>
    <w:link w:val="Textocomentario"/>
    <w:uiPriority w:val="99"/>
    <w:rsid w:val="000F2E6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2E64"/>
    <w:rPr>
      <w:b/>
      <w:bCs/>
    </w:rPr>
  </w:style>
  <w:style w:type="character" w:customStyle="1" w:styleId="AsuntodelcomentarioCar">
    <w:name w:val="Asunto del comentario Car"/>
    <w:basedOn w:val="TextocomentarioCar"/>
    <w:link w:val="Asuntodelcomentario"/>
    <w:uiPriority w:val="99"/>
    <w:semiHidden/>
    <w:rsid w:val="000F2E64"/>
    <w:rPr>
      <w:rFonts w:ascii="Calibri" w:eastAsia="Calibri" w:hAnsi="Calibri" w:cs="Times New Roman"/>
      <w:b/>
      <w:bCs/>
      <w:sz w:val="20"/>
      <w:szCs w:val="20"/>
    </w:rPr>
  </w:style>
  <w:style w:type="table" w:customStyle="1" w:styleId="3">
    <w:name w:val="3"/>
    <w:basedOn w:val="Tablanormal"/>
    <w:rsid w:val="00CD2AE2"/>
    <w:pPr>
      <w:spacing w:after="200" w:line="276" w:lineRule="auto"/>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2">
    <w:name w:val="2"/>
    <w:basedOn w:val="Tablanormal"/>
    <w:rsid w:val="00CD2AE2"/>
    <w:pPr>
      <w:spacing w:after="0" w:line="240" w:lineRule="auto"/>
    </w:pPr>
    <w:rPr>
      <w:rFonts w:ascii="Calibri" w:eastAsia="Calibri" w:hAnsi="Calibri" w:cs="Calibri"/>
    </w:rPr>
    <w:tblPr>
      <w:tblStyleRowBandSize w:val="1"/>
      <w:tblStyleColBandSize w:val="1"/>
      <w:tblInd w:w="0" w:type="nil"/>
    </w:tblPr>
  </w:style>
  <w:style w:type="paragraph" w:styleId="Textoindependiente">
    <w:name w:val="Body Text"/>
    <w:basedOn w:val="Normal"/>
    <w:link w:val="TextoindependienteCar"/>
    <w:uiPriority w:val="1"/>
    <w:qFormat/>
    <w:rsid w:val="00CD2AE2"/>
    <w:pPr>
      <w:widowControl w:val="0"/>
      <w:autoSpaceDE w:val="0"/>
      <w:autoSpaceDN w:val="0"/>
      <w:spacing w:after="0" w:line="240" w:lineRule="auto"/>
    </w:pPr>
    <w:rPr>
      <w:rFonts w:ascii="Tahoma" w:eastAsia="Tahoma" w:hAnsi="Tahoma" w:cs="Tahoma"/>
      <w:sz w:val="24"/>
      <w:szCs w:val="24"/>
      <w:lang w:val="es-ES"/>
    </w:rPr>
  </w:style>
  <w:style w:type="character" w:customStyle="1" w:styleId="TextoindependienteCar">
    <w:name w:val="Texto independiente Car"/>
    <w:basedOn w:val="Fuentedeprrafopredeter"/>
    <w:link w:val="Textoindependiente"/>
    <w:uiPriority w:val="1"/>
    <w:rsid w:val="00CD2AE2"/>
    <w:rPr>
      <w:rFonts w:ascii="Tahoma" w:eastAsia="Tahoma" w:hAnsi="Tahoma" w:cs="Tahoma"/>
      <w:sz w:val="24"/>
      <w:szCs w:val="24"/>
      <w:lang w:val="es-ES"/>
    </w:rPr>
  </w:style>
  <w:style w:type="paragraph" w:customStyle="1" w:styleId="TableParagraph">
    <w:name w:val="Table Paragraph"/>
    <w:basedOn w:val="Normal"/>
    <w:uiPriority w:val="1"/>
    <w:qFormat/>
    <w:rsid w:val="00CD2AE2"/>
    <w:pPr>
      <w:widowControl w:val="0"/>
      <w:autoSpaceDE w:val="0"/>
      <w:autoSpaceDN w:val="0"/>
      <w:spacing w:after="0" w:line="240" w:lineRule="auto"/>
      <w:ind w:left="107"/>
    </w:pPr>
    <w:rPr>
      <w:rFonts w:ascii="Tahoma" w:eastAsia="Tahoma" w:hAnsi="Tahoma" w:cs="Tahoma"/>
      <w:lang w:val="es-E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6F0DEE"/>
    <w:rPr>
      <w:rFonts w:ascii="Calibri" w:eastAsia="Calibri" w:hAnsi="Calibri" w:cs="Times New Roman"/>
    </w:rPr>
  </w:style>
  <w:style w:type="table" w:customStyle="1" w:styleId="TableNormal">
    <w:name w:val="Table Normal"/>
    <w:uiPriority w:val="2"/>
    <w:semiHidden/>
    <w:unhideWhenUsed/>
    <w:qFormat/>
    <w:rsid w:val="00172D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notaalpie">
    <w:name w:val="footnote reference"/>
    <w:basedOn w:val="Fuentedeprrafopredeter"/>
    <w:uiPriority w:val="99"/>
    <w:semiHidden/>
    <w:unhideWhenUsed/>
    <w:rsid w:val="009261BA"/>
  </w:style>
  <w:style w:type="paragraph" w:styleId="Textonotaalfinal">
    <w:name w:val="endnote text"/>
    <w:basedOn w:val="Normal"/>
    <w:link w:val="TextonotaalfinalCar"/>
    <w:uiPriority w:val="99"/>
    <w:semiHidden/>
    <w:unhideWhenUsed/>
    <w:rsid w:val="00E6074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60744"/>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E60744"/>
    <w:rPr>
      <w:vertAlign w:val="superscript"/>
    </w:rPr>
  </w:style>
  <w:style w:type="paragraph" w:styleId="Textonotapie">
    <w:name w:val="footnote text"/>
    <w:basedOn w:val="Normal"/>
    <w:link w:val="TextonotapieCar"/>
    <w:uiPriority w:val="99"/>
    <w:semiHidden/>
    <w:unhideWhenUsed/>
    <w:rsid w:val="00E607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0744"/>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52281">
      <w:bodyDiv w:val="1"/>
      <w:marLeft w:val="0"/>
      <w:marRight w:val="0"/>
      <w:marTop w:val="0"/>
      <w:marBottom w:val="0"/>
      <w:divBdr>
        <w:top w:val="none" w:sz="0" w:space="0" w:color="auto"/>
        <w:left w:val="none" w:sz="0" w:space="0" w:color="auto"/>
        <w:bottom w:val="none" w:sz="0" w:space="0" w:color="auto"/>
        <w:right w:val="none" w:sz="0" w:space="0" w:color="auto"/>
      </w:divBdr>
    </w:div>
    <w:div w:id="1010529447">
      <w:bodyDiv w:val="1"/>
      <w:marLeft w:val="0"/>
      <w:marRight w:val="0"/>
      <w:marTop w:val="0"/>
      <w:marBottom w:val="0"/>
      <w:divBdr>
        <w:top w:val="none" w:sz="0" w:space="0" w:color="auto"/>
        <w:left w:val="none" w:sz="0" w:space="0" w:color="auto"/>
        <w:bottom w:val="none" w:sz="0" w:space="0" w:color="auto"/>
        <w:right w:val="none" w:sz="0" w:space="0" w:color="auto"/>
      </w:divBdr>
    </w:div>
    <w:div w:id="1059597080">
      <w:bodyDiv w:val="1"/>
      <w:marLeft w:val="0"/>
      <w:marRight w:val="0"/>
      <w:marTop w:val="0"/>
      <w:marBottom w:val="0"/>
      <w:divBdr>
        <w:top w:val="none" w:sz="0" w:space="0" w:color="auto"/>
        <w:left w:val="none" w:sz="0" w:space="0" w:color="auto"/>
        <w:bottom w:val="none" w:sz="0" w:space="0" w:color="auto"/>
        <w:right w:val="none" w:sz="0" w:space="0" w:color="auto"/>
      </w:divBdr>
    </w:div>
    <w:div w:id="1206329885">
      <w:bodyDiv w:val="1"/>
      <w:marLeft w:val="0"/>
      <w:marRight w:val="0"/>
      <w:marTop w:val="0"/>
      <w:marBottom w:val="0"/>
      <w:divBdr>
        <w:top w:val="none" w:sz="0" w:space="0" w:color="auto"/>
        <w:left w:val="none" w:sz="0" w:space="0" w:color="auto"/>
        <w:bottom w:val="none" w:sz="0" w:space="0" w:color="auto"/>
        <w:right w:val="none" w:sz="0" w:space="0" w:color="auto"/>
      </w:divBdr>
    </w:div>
    <w:div w:id="1207370898">
      <w:bodyDiv w:val="1"/>
      <w:marLeft w:val="0"/>
      <w:marRight w:val="0"/>
      <w:marTop w:val="0"/>
      <w:marBottom w:val="0"/>
      <w:divBdr>
        <w:top w:val="none" w:sz="0" w:space="0" w:color="auto"/>
        <w:left w:val="none" w:sz="0" w:space="0" w:color="auto"/>
        <w:bottom w:val="none" w:sz="0" w:space="0" w:color="auto"/>
        <w:right w:val="none" w:sz="0" w:space="0" w:color="auto"/>
      </w:divBdr>
    </w:div>
    <w:div w:id="1425103694">
      <w:bodyDiv w:val="1"/>
      <w:marLeft w:val="0"/>
      <w:marRight w:val="0"/>
      <w:marTop w:val="0"/>
      <w:marBottom w:val="0"/>
      <w:divBdr>
        <w:top w:val="none" w:sz="0" w:space="0" w:color="auto"/>
        <w:left w:val="none" w:sz="0" w:space="0" w:color="auto"/>
        <w:bottom w:val="none" w:sz="0" w:space="0" w:color="auto"/>
        <w:right w:val="none" w:sz="0" w:space="0" w:color="auto"/>
      </w:divBdr>
    </w:div>
    <w:div w:id="1478916505">
      <w:bodyDiv w:val="1"/>
      <w:marLeft w:val="0"/>
      <w:marRight w:val="0"/>
      <w:marTop w:val="0"/>
      <w:marBottom w:val="0"/>
      <w:divBdr>
        <w:top w:val="none" w:sz="0" w:space="0" w:color="auto"/>
        <w:left w:val="none" w:sz="0" w:space="0" w:color="auto"/>
        <w:bottom w:val="none" w:sz="0" w:space="0" w:color="auto"/>
        <w:right w:val="none" w:sz="0" w:space="0" w:color="auto"/>
      </w:divBdr>
    </w:div>
    <w:div w:id="1800033675">
      <w:bodyDiv w:val="1"/>
      <w:marLeft w:val="0"/>
      <w:marRight w:val="0"/>
      <w:marTop w:val="0"/>
      <w:marBottom w:val="0"/>
      <w:divBdr>
        <w:top w:val="none" w:sz="0" w:space="0" w:color="auto"/>
        <w:left w:val="none" w:sz="0" w:space="0" w:color="auto"/>
        <w:bottom w:val="none" w:sz="0" w:space="0" w:color="auto"/>
        <w:right w:val="none" w:sz="0" w:space="0" w:color="auto"/>
      </w:divBdr>
    </w:div>
    <w:div w:id="1848866044">
      <w:bodyDiv w:val="1"/>
      <w:marLeft w:val="0"/>
      <w:marRight w:val="0"/>
      <w:marTop w:val="0"/>
      <w:marBottom w:val="0"/>
      <w:divBdr>
        <w:top w:val="none" w:sz="0" w:space="0" w:color="auto"/>
        <w:left w:val="none" w:sz="0" w:space="0" w:color="auto"/>
        <w:bottom w:val="none" w:sz="0" w:space="0" w:color="auto"/>
        <w:right w:val="none" w:sz="0" w:space="0" w:color="auto"/>
      </w:divBdr>
    </w:div>
    <w:div w:id="1870952891">
      <w:bodyDiv w:val="1"/>
      <w:marLeft w:val="0"/>
      <w:marRight w:val="0"/>
      <w:marTop w:val="0"/>
      <w:marBottom w:val="0"/>
      <w:divBdr>
        <w:top w:val="none" w:sz="0" w:space="0" w:color="auto"/>
        <w:left w:val="none" w:sz="0" w:space="0" w:color="auto"/>
        <w:bottom w:val="none" w:sz="0" w:space="0" w:color="auto"/>
        <w:right w:val="none" w:sz="0" w:space="0" w:color="auto"/>
      </w:divBdr>
    </w:div>
    <w:div w:id="1895307440">
      <w:bodyDiv w:val="1"/>
      <w:marLeft w:val="0"/>
      <w:marRight w:val="0"/>
      <w:marTop w:val="0"/>
      <w:marBottom w:val="0"/>
      <w:divBdr>
        <w:top w:val="none" w:sz="0" w:space="0" w:color="auto"/>
        <w:left w:val="none" w:sz="0" w:space="0" w:color="auto"/>
        <w:bottom w:val="none" w:sz="0" w:space="0" w:color="auto"/>
        <w:right w:val="none" w:sz="0" w:space="0" w:color="auto"/>
      </w:divBdr>
    </w:div>
    <w:div w:id="2003271127">
      <w:bodyDiv w:val="1"/>
      <w:marLeft w:val="0"/>
      <w:marRight w:val="0"/>
      <w:marTop w:val="0"/>
      <w:marBottom w:val="0"/>
      <w:divBdr>
        <w:top w:val="none" w:sz="0" w:space="0" w:color="auto"/>
        <w:left w:val="none" w:sz="0" w:space="0" w:color="auto"/>
        <w:bottom w:val="none" w:sz="0" w:space="0" w:color="auto"/>
        <w:right w:val="none" w:sz="0" w:space="0" w:color="auto"/>
      </w:divBdr>
    </w:div>
    <w:div w:id="20109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home/Norma1.jsp?i=445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home/Norma1.jsp?i=361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uncionpublica.gov.co/home/Norma1.jsp?i=4452" TargetMode="External"/><Relationship Id="rId4" Type="http://schemas.openxmlformats.org/officeDocument/2006/relationships/settings" Target="settings.xml"/><Relationship Id="rId9" Type="http://schemas.openxmlformats.org/officeDocument/2006/relationships/hyperlink" Target="https://www.funcionpublica.gov.co/home/Norma1.jsp?i=3611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7EBE-5A15-4E8A-9D90-FD36B59B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3828</Words>
  <Characters>21060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enciso enciso</dc:creator>
  <cp:keywords/>
  <dc:description/>
  <cp:lastModifiedBy>BAYARDO GILBERTO BETANCOURT PEREZ</cp:lastModifiedBy>
  <cp:revision>2</cp:revision>
  <cp:lastPrinted>2022-05-17T14:28:00Z</cp:lastPrinted>
  <dcterms:created xsi:type="dcterms:W3CDTF">2025-03-12T21:22:00Z</dcterms:created>
  <dcterms:modified xsi:type="dcterms:W3CDTF">2025-03-12T21:22:00Z</dcterms:modified>
</cp:coreProperties>
</file>