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B28" w:rsidRDefault="00805B28"/>
    <w:p w:rsidR="00805B28" w:rsidRDefault="00861838">
      <w:pPr>
        <w:spacing w:after="0" w:line="264" w:lineRule="auto"/>
        <w:jc w:val="center"/>
        <w:rPr>
          <w:rFonts w:ascii="Arial" w:eastAsia="Arial" w:hAnsi="Arial" w:cs="Arial"/>
          <w:b/>
          <w:sz w:val="24"/>
          <w:szCs w:val="24"/>
        </w:rPr>
      </w:pPr>
      <w:r>
        <w:rPr>
          <w:rFonts w:ascii="Arial" w:eastAsia="Arial" w:hAnsi="Arial" w:cs="Arial"/>
          <w:b/>
          <w:sz w:val="24"/>
          <w:szCs w:val="24"/>
        </w:rPr>
        <w:t>Proyecto de Ley No. ____ De 2022</w:t>
      </w:r>
    </w:p>
    <w:p w:rsidR="00805B28" w:rsidRDefault="00805B28">
      <w:pPr>
        <w:spacing w:after="0" w:line="264" w:lineRule="auto"/>
        <w:jc w:val="center"/>
        <w:rPr>
          <w:rFonts w:ascii="Arial" w:eastAsia="Arial" w:hAnsi="Arial" w:cs="Arial"/>
          <w:b/>
          <w:sz w:val="24"/>
          <w:szCs w:val="24"/>
          <w:u w:val="single"/>
        </w:rPr>
      </w:pPr>
    </w:p>
    <w:p w:rsidR="00805B28" w:rsidRDefault="00861838">
      <w:pPr>
        <w:spacing w:after="0" w:line="264" w:lineRule="auto"/>
        <w:jc w:val="center"/>
        <w:rPr>
          <w:rFonts w:ascii="Arial" w:eastAsia="Arial" w:hAnsi="Arial" w:cs="Arial"/>
          <w:sz w:val="24"/>
          <w:szCs w:val="24"/>
        </w:rPr>
      </w:pPr>
      <w:r>
        <w:rPr>
          <w:rFonts w:ascii="Arial" w:eastAsia="Arial" w:hAnsi="Arial" w:cs="Arial"/>
          <w:sz w:val="24"/>
          <w:szCs w:val="24"/>
        </w:rPr>
        <w:t>“Por medio del cual se modifica el artículo 163 de la ley 100 de 1993”</w:t>
      </w:r>
    </w:p>
    <w:p w:rsidR="00805B28" w:rsidRDefault="00805B28">
      <w:pPr>
        <w:spacing w:after="0" w:line="264" w:lineRule="auto"/>
        <w:rPr>
          <w:rFonts w:ascii="Arial" w:eastAsia="Arial" w:hAnsi="Arial" w:cs="Arial"/>
          <w:b/>
          <w:color w:val="000000"/>
          <w:sz w:val="24"/>
          <w:szCs w:val="24"/>
        </w:rPr>
      </w:pPr>
    </w:p>
    <w:p w:rsidR="00805B28" w:rsidRDefault="00861838">
      <w:pPr>
        <w:spacing w:after="0" w:line="264" w:lineRule="auto"/>
        <w:jc w:val="center"/>
        <w:rPr>
          <w:rFonts w:ascii="Arial" w:eastAsia="Arial" w:hAnsi="Arial" w:cs="Arial"/>
          <w:b/>
          <w:color w:val="000000"/>
          <w:sz w:val="24"/>
          <w:szCs w:val="24"/>
        </w:rPr>
      </w:pPr>
      <w:r>
        <w:rPr>
          <w:rFonts w:ascii="Arial" w:eastAsia="Arial" w:hAnsi="Arial" w:cs="Arial"/>
          <w:b/>
          <w:color w:val="000000"/>
          <w:sz w:val="24"/>
          <w:szCs w:val="24"/>
        </w:rPr>
        <w:t>EL CONGRESO DE LA REPÚBLICA</w:t>
      </w:r>
    </w:p>
    <w:p w:rsidR="00805B28" w:rsidRDefault="00861838">
      <w:pPr>
        <w:spacing w:after="0" w:line="264" w:lineRule="auto"/>
        <w:jc w:val="center"/>
        <w:rPr>
          <w:rFonts w:ascii="Arial" w:eastAsia="Arial" w:hAnsi="Arial" w:cs="Arial"/>
          <w:b/>
          <w:color w:val="000000"/>
          <w:sz w:val="24"/>
          <w:szCs w:val="24"/>
        </w:rPr>
      </w:pPr>
      <w:r>
        <w:rPr>
          <w:rFonts w:ascii="Arial" w:eastAsia="Arial" w:hAnsi="Arial" w:cs="Arial"/>
          <w:b/>
          <w:color w:val="000000"/>
          <w:sz w:val="24"/>
          <w:szCs w:val="24"/>
        </w:rPr>
        <w:br/>
        <w:t>DECRETA:</w:t>
      </w:r>
    </w:p>
    <w:p w:rsidR="00805B28" w:rsidRDefault="00805B28">
      <w:pPr>
        <w:spacing w:after="0" w:line="264" w:lineRule="auto"/>
        <w:jc w:val="center"/>
        <w:rPr>
          <w:rFonts w:ascii="Arial" w:eastAsia="Arial" w:hAnsi="Arial" w:cs="Arial"/>
          <w:b/>
          <w:color w:val="000000"/>
          <w:sz w:val="24"/>
          <w:szCs w:val="24"/>
        </w:rPr>
      </w:pPr>
    </w:p>
    <w:p w:rsidR="00805B28" w:rsidRDefault="00861838">
      <w:pPr>
        <w:spacing w:after="0" w:line="264"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1. Objeto. </w:t>
      </w:r>
      <w:r>
        <w:rPr>
          <w:rFonts w:ascii="Arial" w:eastAsia="Arial" w:hAnsi="Arial" w:cs="Arial"/>
          <w:color w:val="000000"/>
          <w:sz w:val="24"/>
          <w:szCs w:val="24"/>
        </w:rPr>
        <w:t xml:space="preserve">La presente ley pretende modificar el literal h de la ley 100 de 1993 con el fin de ampliar el grupo familiar del afiliado cotizante. </w:t>
      </w:r>
    </w:p>
    <w:p w:rsidR="00805B28" w:rsidRDefault="00805B28">
      <w:pPr>
        <w:jc w:val="both"/>
        <w:rPr>
          <w:rFonts w:ascii="Arial" w:eastAsia="Arial" w:hAnsi="Arial" w:cs="Arial"/>
          <w:sz w:val="24"/>
          <w:szCs w:val="24"/>
        </w:rPr>
      </w:pPr>
    </w:p>
    <w:p w:rsidR="00805B28" w:rsidRDefault="00861838">
      <w:pPr>
        <w:jc w:val="both"/>
        <w:rPr>
          <w:rFonts w:ascii="Arial" w:eastAsia="Arial" w:hAnsi="Arial" w:cs="Arial"/>
          <w:sz w:val="24"/>
          <w:szCs w:val="24"/>
        </w:rPr>
      </w:pPr>
      <w:r>
        <w:rPr>
          <w:rFonts w:ascii="Arial" w:eastAsia="Arial" w:hAnsi="Arial" w:cs="Arial"/>
          <w:b/>
          <w:sz w:val="24"/>
          <w:szCs w:val="24"/>
        </w:rPr>
        <w:t>Artículo 2</w:t>
      </w:r>
      <w:r>
        <w:rPr>
          <w:rFonts w:ascii="Arial" w:eastAsia="Arial" w:hAnsi="Arial" w:cs="Arial"/>
          <w:sz w:val="24"/>
          <w:szCs w:val="24"/>
        </w:rPr>
        <w:t xml:space="preserve"> Modifíquese el literal  h del  artículo163 de la Ley 100 de 1993, el cual quedará así:</w:t>
      </w:r>
    </w:p>
    <w:p w:rsidR="00805B28" w:rsidRDefault="00861838">
      <w:pPr>
        <w:jc w:val="both"/>
        <w:rPr>
          <w:rFonts w:ascii="Arial" w:eastAsia="Arial" w:hAnsi="Arial" w:cs="Arial"/>
          <w:sz w:val="24"/>
          <w:szCs w:val="24"/>
        </w:rPr>
      </w:pPr>
      <w:bookmarkStart w:id="0" w:name="bookmark=id.gjdgxs" w:colFirst="0" w:colLast="0"/>
      <w:bookmarkEnd w:id="0"/>
      <w:r>
        <w:rPr>
          <w:rFonts w:ascii="Arial" w:eastAsia="Arial" w:hAnsi="Arial" w:cs="Arial"/>
          <w:sz w:val="24"/>
          <w:szCs w:val="24"/>
        </w:rPr>
        <w:t>ARTÍCULO 163. BENEFICIARIOS DEL RÉGIMEN CONTRIBUTIVO DE SALUD.  El núcleo familiar del afiliado cotizante, estará constituido por:</w:t>
      </w:r>
    </w:p>
    <w:p w:rsidR="00805B28" w:rsidRDefault="00861838">
      <w:pPr>
        <w:jc w:val="both"/>
        <w:rPr>
          <w:rFonts w:ascii="Arial" w:eastAsia="Arial" w:hAnsi="Arial" w:cs="Arial"/>
          <w:sz w:val="24"/>
          <w:szCs w:val="24"/>
        </w:rPr>
      </w:pPr>
      <w:r>
        <w:rPr>
          <w:rFonts w:ascii="Arial" w:eastAsia="Arial" w:hAnsi="Arial" w:cs="Arial"/>
          <w:sz w:val="24"/>
          <w:szCs w:val="24"/>
        </w:rPr>
        <w:t>a) El cónyuge.</w:t>
      </w:r>
    </w:p>
    <w:p w:rsidR="00805B28" w:rsidRDefault="00861838">
      <w:pPr>
        <w:jc w:val="both"/>
        <w:rPr>
          <w:rFonts w:ascii="Arial" w:eastAsia="Arial" w:hAnsi="Arial" w:cs="Arial"/>
          <w:sz w:val="24"/>
          <w:szCs w:val="24"/>
        </w:rPr>
      </w:pPr>
      <w:r>
        <w:rPr>
          <w:rFonts w:ascii="Arial" w:eastAsia="Arial" w:hAnsi="Arial" w:cs="Arial"/>
          <w:sz w:val="24"/>
          <w:szCs w:val="24"/>
        </w:rPr>
        <w:t>b) A falta de cónyuge la compañera o compañero permanente.</w:t>
      </w:r>
    </w:p>
    <w:p w:rsidR="00805B28" w:rsidRDefault="00861838">
      <w:pPr>
        <w:jc w:val="both"/>
        <w:rPr>
          <w:rFonts w:ascii="Arial" w:eastAsia="Arial" w:hAnsi="Arial" w:cs="Arial"/>
          <w:sz w:val="24"/>
          <w:szCs w:val="24"/>
        </w:rPr>
      </w:pPr>
      <w:r>
        <w:rPr>
          <w:rFonts w:ascii="Arial" w:eastAsia="Arial" w:hAnsi="Arial" w:cs="Arial"/>
          <w:sz w:val="24"/>
          <w:szCs w:val="24"/>
        </w:rPr>
        <w:t>c) Los hijos hasta que cumplan los veinticinco (25) años de edad que dependen económicamente del afiliado.</w:t>
      </w:r>
    </w:p>
    <w:p w:rsidR="00805B28" w:rsidRDefault="00861838">
      <w:pPr>
        <w:jc w:val="both"/>
        <w:rPr>
          <w:rFonts w:ascii="Arial" w:eastAsia="Arial" w:hAnsi="Arial" w:cs="Arial"/>
          <w:sz w:val="24"/>
          <w:szCs w:val="24"/>
        </w:rPr>
      </w:pPr>
      <w:r>
        <w:rPr>
          <w:rFonts w:ascii="Arial" w:eastAsia="Arial" w:hAnsi="Arial" w:cs="Arial"/>
          <w:sz w:val="24"/>
          <w:szCs w:val="24"/>
        </w:rPr>
        <w:t>d) Los hijos de cualquier edad si tienen incapacidad permanente y dependen económicamente del afiliado.</w:t>
      </w:r>
    </w:p>
    <w:p w:rsidR="00805B28" w:rsidRDefault="00861838">
      <w:pPr>
        <w:jc w:val="both"/>
        <w:rPr>
          <w:rFonts w:ascii="Arial" w:eastAsia="Arial" w:hAnsi="Arial" w:cs="Arial"/>
          <w:sz w:val="24"/>
          <w:szCs w:val="24"/>
        </w:rPr>
      </w:pPr>
      <w:r>
        <w:rPr>
          <w:rFonts w:ascii="Arial" w:eastAsia="Arial" w:hAnsi="Arial" w:cs="Arial"/>
          <w:sz w:val="24"/>
          <w:szCs w:val="24"/>
        </w:rPr>
        <w:t>e) Los hijos del cónyuge o compañero permanente del afiliado que se encuentren en las situaciones definidas en los numerales e) y d) del presente artículo.</w:t>
      </w:r>
    </w:p>
    <w:p w:rsidR="00805B28" w:rsidRDefault="00861838">
      <w:pPr>
        <w:jc w:val="both"/>
        <w:rPr>
          <w:rFonts w:ascii="Arial" w:eastAsia="Arial" w:hAnsi="Arial" w:cs="Arial"/>
          <w:sz w:val="24"/>
          <w:szCs w:val="24"/>
        </w:rPr>
      </w:pPr>
      <w:r>
        <w:rPr>
          <w:rFonts w:ascii="Arial" w:eastAsia="Arial" w:hAnsi="Arial" w:cs="Arial"/>
          <w:sz w:val="24"/>
          <w:szCs w:val="24"/>
        </w:rPr>
        <w:t>f) Los hijos de beneficiarios y hasta que dichos beneficiarios conserven su condición.</w:t>
      </w:r>
    </w:p>
    <w:p w:rsidR="00805B28" w:rsidRDefault="00861838">
      <w:pPr>
        <w:jc w:val="both"/>
        <w:rPr>
          <w:rFonts w:ascii="Arial" w:eastAsia="Arial" w:hAnsi="Arial" w:cs="Arial"/>
          <w:sz w:val="24"/>
          <w:szCs w:val="24"/>
        </w:rPr>
      </w:pPr>
      <w:r>
        <w:rPr>
          <w:rFonts w:ascii="Arial" w:eastAsia="Arial" w:hAnsi="Arial" w:cs="Arial"/>
          <w:sz w:val="24"/>
          <w:szCs w:val="24"/>
        </w:rPr>
        <w:t>g) Las personas identificadas en los literales e), d) y e) del presente artículo que están a cargo del afiliado familiar hasta el tercer grado de consanguinidad como consecuencia del fallecimiento o la ausencia de sus padres o la pérdida de la patria potestad por parte de los mismos.</w:t>
      </w:r>
    </w:p>
    <w:p w:rsidR="00805B28" w:rsidRDefault="00861838">
      <w:pPr>
        <w:jc w:val="both"/>
        <w:rPr>
          <w:rFonts w:ascii="Arial" w:eastAsia="Arial" w:hAnsi="Arial" w:cs="Arial"/>
          <w:sz w:val="24"/>
          <w:szCs w:val="24"/>
        </w:rPr>
      </w:pPr>
      <w:r>
        <w:rPr>
          <w:rFonts w:ascii="Arial" w:eastAsia="Arial" w:hAnsi="Arial" w:cs="Arial"/>
          <w:b/>
          <w:sz w:val="24"/>
          <w:szCs w:val="24"/>
          <w:u w:val="single"/>
        </w:rPr>
        <w:t>h) Los padres y abuelos del afiliado que no estén pensionados y dependan económicamente de este</w:t>
      </w:r>
      <w:r>
        <w:rPr>
          <w:rFonts w:ascii="Arial" w:eastAsia="Arial" w:hAnsi="Arial" w:cs="Arial"/>
          <w:sz w:val="24"/>
          <w:szCs w:val="24"/>
        </w:rPr>
        <w:t>.</w:t>
      </w:r>
    </w:p>
    <w:p w:rsidR="00805B28" w:rsidRDefault="00861838">
      <w:pPr>
        <w:jc w:val="both"/>
        <w:rPr>
          <w:rFonts w:ascii="Arial" w:eastAsia="Arial" w:hAnsi="Arial" w:cs="Arial"/>
          <w:sz w:val="24"/>
          <w:szCs w:val="24"/>
        </w:rPr>
      </w:pPr>
      <w:r>
        <w:rPr>
          <w:rFonts w:ascii="Arial" w:eastAsia="Arial" w:hAnsi="Arial" w:cs="Arial"/>
          <w:sz w:val="24"/>
          <w:szCs w:val="24"/>
        </w:rPr>
        <w:t>i) Los menores entregados en custodia legal por la autoridad competente.</w:t>
      </w:r>
    </w:p>
    <w:p w:rsidR="00805B28" w:rsidRDefault="00805B28">
      <w:pPr>
        <w:jc w:val="both"/>
        <w:rPr>
          <w:rFonts w:ascii="Arial" w:eastAsia="Arial" w:hAnsi="Arial" w:cs="Arial"/>
          <w:sz w:val="24"/>
          <w:szCs w:val="24"/>
        </w:rPr>
      </w:pPr>
    </w:p>
    <w:p w:rsidR="00805B28" w:rsidRDefault="00805B28">
      <w:pPr>
        <w:spacing w:after="0" w:line="264" w:lineRule="auto"/>
        <w:jc w:val="both"/>
        <w:rPr>
          <w:rFonts w:ascii="Arial" w:eastAsia="Arial" w:hAnsi="Arial" w:cs="Arial"/>
          <w:b/>
          <w:color w:val="000000"/>
          <w:sz w:val="24"/>
          <w:szCs w:val="24"/>
        </w:rPr>
      </w:pPr>
    </w:p>
    <w:p w:rsidR="00805B28" w:rsidRDefault="00805B28">
      <w:pPr>
        <w:spacing w:after="0" w:line="264" w:lineRule="auto"/>
        <w:jc w:val="both"/>
        <w:rPr>
          <w:rFonts w:ascii="Arial" w:eastAsia="Arial" w:hAnsi="Arial" w:cs="Arial"/>
          <w:b/>
          <w:color w:val="000000"/>
          <w:sz w:val="24"/>
          <w:szCs w:val="24"/>
        </w:rPr>
      </w:pPr>
    </w:p>
    <w:p w:rsidR="00805B28" w:rsidRDefault="00805B28">
      <w:pPr>
        <w:spacing w:after="0" w:line="264" w:lineRule="auto"/>
        <w:jc w:val="both"/>
        <w:rPr>
          <w:rFonts w:ascii="Arial" w:eastAsia="Arial" w:hAnsi="Arial" w:cs="Arial"/>
          <w:b/>
          <w:color w:val="000000"/>
          <w:sz w:val="24"/>
          <w:szCs w:val="24"/>
        </w:rPr>
      </w:pPr>
    </w:p>
    <w:p w:rsidR="00805B28" w:rsidRDefault="00861838">
      <w:pPr>
        <w:spacing w:after="0" w:line="264"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3. Vigencia y derogatorias. </w:t>
      </w:r>
      <w:r>
        <w:rPr>
          <w:rFonts w:ascii="Arial" w:eastAsia="Arial" w:hAnsi="Arial" w:cs="Arial"/>
          <w:color w:val="000000"/>
          <w:sz w:val="24"/>
          <w:szCs w:val="24"/>
        </w:rPr>
        <w:t>La presente ley rige a partir de su promulgación y deroga las disposiciones legales o reglamentarias que le sean contrarias.</w:t>
      </w:r>
    </w:p>
    <w:p w:rsidR="00805B28" w:rsidRDefault="00805B28">
      <w:pPr>
        <w:spacing w:after="0" w:line="264" w:lineRule="auto"/>
        <w:jc w:val="both"/>
        <w:rPr>
          <w:rFonts w:ascii="Arial" w:eastAsia="Arial" w:hAnsi="Arial" w:cs="Arial"/>
          <w:color w:val="000000"/>
          <w:sz w:val="24"/>
          <w:szCs w:val="24"/>
        </w:rPr>
      </w:pPr>
    </w:p>
    <w:p w:rsidR="00C27D0F" w:rsidRDefault="00C27D0F">
      <w:pPr>
        <w:spacing w:after="0" w:line="264" w:lineRule="auto"/>
        <w:jc w:val="both"/>
        <w:rPr>
          <w:rFonts w:ascii="Arial" w:eastAsia="Arial" w:hAnsi="Arial" w:cs="Arial"/>
          <w:color w:val="000000"/>
          <w:sz w:val="24"/>
          <w:szCs w:val="24"/>
        </w:rPr>
      </w:pPr>
      <w:r>
        <w:rPr>
          <w:noProof/>
        </w:rPr>
        <w:drawing>
          <wp:anchor distT="0" distB="0" distL="114300" distR="114300" simplePos="0" relativeHeight="251658240" behindDoc="0" locked="0" layoutInCell="1" hidden="0" allowOverlap="1">
            <wp:simplePos x="0" y="0"/>
            <wp:positionH relativeFrom="column">
              <wp:posOffset>3282315</wp:posOffset>
            </wp:positionH>
            <wp:positionV relativeFrom="paragraph">
              <wp:posOffset>109855</wp:posOffset>
            </wp:positionV>
            <wp:extent cx="1809750" cy="849630"/>
            <wp:effectExtent l="0" t="0" r="0" b="7620"/>
            <wp:wrapNone/>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809750" cy="849630"/>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color w:val="000000"/>
          <w:sz w:val="24"/>
          <w:szCs w:val="24"/>
        </w:rPr>
        <w:t xml:space="preserve">De los congresistas </w:t>
      </w:r>
    </w:p>
    <w:p w:rsidR="00C27D0F" w:rsidRDefault="008D6111">
      <w:pPr>
        <w:spacing w:after="0" w:line="264" w:lineRule="auto"/>
        <w:jc w:val="both"/>
        <w:rPr>
          <w:rFonts w:ascii="Arial" w:eastAsia="Arial" w:hAnsi="Arial" w:cs="Arial"/>
          <w:color w:val="000000"/>
          <w:sz w:val="24"/>
          <w:szCs w:val="24"/>
        </w:rPr>
      </w:pPr>
      <w:r w:rsidRPr="001553A4">
        <w:rPr>
          <w:noProof/>
        </w:rPr>
        <w:drawing>
          <wp:anchor distT="0" distB="0" distL="114300" distR="114300" simplePos="0" relativeHeight="251663360" behindDoc="1" locked="0" layoutInCell="1" allowOverlap="1" wp14:anchorId="45E37644" wp14:editId="423CF0A2">
            <wp:simplePos x="0" y="0"/>
            <wp:positionH relativeFrom="margin">
              <wp:posOffset>0</wp:posOffset>
            </wp:positionH>
            <wp:positionV relativeFrom="paragraph">
              <wp:posOffset>53975</wp:posOffset>
            </wp:positionV>
            <wp:extent cx="1524000" cy="804545"/>
            <wp:effectExtent l="0" t="0" r="0" b="0"/>
            <wp:wrapNone/>
            <wp:docPr id="6" name="Imagen 6" descr="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ma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804545"/>
                    </a:xfrm>
                    <a:prstGeom prst="rect">
                      <a:avLst/>
                    </a:prstGeom>
                    <a:noFill/>
                  </pic:spPr>
                </pic:pic>
              </a:graphicData>
            </a:graphic>
            <wp14:sizeRelH relativeFrom="page">
              <wp14:pctWidth>0</wp14:pctWidth>
            </wp14:sizeRelH>
            <wp14:sizeRelV relativeFrom="page">
              <wp14:pctHeight>0</wp14:pctHeight>
            </wp14:sizeRelV>
          </wp:anchor>
        </w:drawing>
      </w:r>
    </w:p>
    <w:p w:rsidR="00C27D0F" w:rsidRDefault="00C27D0F">
      <w:pPr>
        <w:spacing w:after="0" w:line="264" w:lineRule="auto"/>
        <w:jc w:val="both"/>
        <w:rPr>
          <w:rFonts w:ascii="Arial" w:eastAsia="Arial" w:hAnsi="Arial" w:cs="Arial"/>
          <w:color w:val="000000"/>
          <w:sz w:val="24"/>
          <w:szCs w:val="24"/>
        </w:rPr>
      </w:pPr>
    </w:p>
    <w:p w:rsidR="00805B28" w:rsidRDefault="00805B28">
      <w:pPr>
        <w:pBdr>
          <w:top w:val="nil"/>
          <w:left w:val="nil"/>
          <w:bottom w:val="nil"/>
          <w:right w:val="nil"/>
          <w:between w:val="nil"/>
        </w:pBdr>
        <w:spacing w:after="0" w:line="264" w:lineRule="auto"/>
        <w:jc w:val="both"/>
        <w:rPr>
          <w:rFonts w:ascii="Arial" w:eastAsia="Arial" w:hAnsi="Arial" w:cs="Arial"/>
          <w:color w:val="000000"/>
          <w:sz w:val="24"/>
          <w:szCs w:val="24"/>
        </w:rPr>
      </w:pPr>
    </w:p>
    <w:p w:rsidR="00805B28" w:rsidRDefault="00805B28">
      <w:pPr>
        <w:pBdr>
          <w:top w:val="nil"/>
          <w:left w:val="nil"/>
          <w:bottom w:val="nil"/>
          <w:right w:val="nil"/>
          <w:between w:val="nil"/>
        </w:pBdr>
        <w:spacing w:after="0" w:line="264" w:lineRule="auto"/>
        <w:jc w:val="both"/>
        <w:rPr>
          <w:rFonts w:ascii="Arial" w:eastAsia="Arial" w:hAnsi="Arial" w:cs="Arial"/>
          <w:color w:val="000000"/>
          <w:sz w:val="24"/>
          <w:szCs w:val="24"/>
        </w:rPr>
      </w:pPr>
    </w:p>
    <w:p w:rsidR="00805B28" w:rsidRDefault="00861838">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ÓSCAR SÁNCHEZ LEÓN</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ALEJANDRO VEGA PÉREZ</w:t>
      </w:r>
    </w:p>
    <w:p w:rsidR="00805B28" w:rsidRDefault="0086183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Representante a la Cámara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Senador de la República</w:t>
      </w:r>
    </w:p>
    <w:p w:rsidR="00805B28" w:rsidRDefault="00805B28">
      <w:pPr>
        <w:pBdr>
          <w:top w:val="nil"/>
          <w:left w:val="nil"/>
          <w:bottom w:val="nil"/>
          <w:right w:val="nil"/>
          <w:between w:val="nil"/>
        </w:pBdr>
        <w:spacing w:after="0" w:line="264" w:lineRule="auto"/>
        <w:jc w:val="both"/>
        <w:rPr>
          <w:rFonts w:ascii="Arial" w:eastAsia="Arial" w:hAnsi="Arial" w:cs="Arial"/>
          <w:color w:val="000000"/>
          <w:sz w:val="24"/>
          <w:szCs w:val="24"/>
        </w:rPr>
      </w:pPr>
    </w:p>
    <w:p w:rsidR="00805B28" w:rsidRDefault="00805B28">
      <w:pPr>
        <w:pBdr>
          <w:top w:val="nil"/>
          <w:left w:val="nil"/>
          <w:bottom w:val="nil"/>
          <w:right w:val="nil"/>
          <w:between w:val="nil"/>
        </w:pBdr>
        <w:spacing w:after="0" w:line="240" w:lineRule="auto"/>
        <w:jc w:val="both"/>
        <w:rPr>
          <w:rFonts w:ascii="Arial" w:eastAsia="Arial" w:hAnsi="Arial" w:cs="Arial"/>
          <w:color w:val="000000"/>
          <w:sz w:val="24"/>
          <w:szCs w:val="24"/>
        </w:rPr>
      </w:pPr>
    </w:p>
    <w:p w:rsidR="00805B28" w:rsidRDefault="0086183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805B28" w:rsidRDefault="00861838">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Century Gothic" w:eastAsia="Century Gothic" w:hAnsi="Century Gothic" w:cs="Century Gothic"/>
          <w:noProof/>
          <w:color w:val="000000"/>
        </w:rPr>
        <w:drawing>
          <wp:inline distT="0" distB="0" distL="0" distR="0">
            <wp:extent cx="2085975" cy="647700"/>
            <wp:effectExtent l="0" t="0" r="0" b="0"/>
            <wp:docPr id="2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0"/>
                    <a:srcRect l="26646" t="38939" r="23456" b="33588"/>
                    <a:stretch>
                      <a:fillRect/>
                    </a:stretch>
                  </pic:blipFill>
                  <pic:spPr>
                    <a:xfrm>
                      <a:off x="0" y="0"/>
                      <a:ext cx="2085975" cy="647700"/>
                    </a:xfrm>
                    <a:prstGeom prst="rect">
                      <a:avLst/>
                    </a:prstGeom>
                    <a:ln/>
                  </pic:spPr>
                </pic:pic>
              </a:graphicData>
            </a:graphic>
          </wp:inline>
        </w:drawing>
      </w:r>
      <w:r>
        <w:rPr>
          <w:rFonts w:ascii="Arial" w:eastAsia="Arial" w:hAnsi="Arial" w:cs="Arial"/>
          <w:color w:val="000000"/>
          <w:sz w:val="24"/>
          <w:szCs w:val="24"/>
        </w:rPr>
        <w:t xml:space="preserve">                      </w:t>
      </w:r>
      <w:r>
        <w:rPr>
          <w:rFonts w:ascii="Arial" w:eastAsia="Arial" w:hAnsi="Arial" w:cs="Arial"/>
          <w:noProof/>
          <w:color w:val="000000"/>
          <w:sz w:val="24"/>
          <w:szCs w:val="24"/>
        </w:rPr>
        <w:drawing>
          <wp:inline distT="114300" distB="114300" distL="114300" distR="114300">
            <wp:extent cx="2351314" cy="555171"/>
            <wp:effectExtent l="0" t="0" r="0" b="0"/>
            <wp:docPr id="2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2351314" cy="555171"/>
                    </a:xfrm>
                    <a:prstGeom prst="rect">
                      <a:avLst/>
                    </a:prstGeom>
                    <a:ln/>
                  </pic:spPr>
                </pic:pic>
              </a:graphicData>
            </a:graphic>
          </wp:inline>
        </w:drawing>
      </w:r>
    </w:p>
    <w:p w:rsidR="00805B28" w:rsidRDefault="00861838">
      <w:pPr>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HÉCTOR DAVID CHAPARRO</w:t>
      </w:r>
      <w:r>
        <w:t xml:space="preserve">                            </w:t>
      </w:r>
      <w:r>
        <w:rPr>
          <w:rFonts w:ascii="Arial" w:eastAsia="Arial" w:hAnsi="Arial" w:cs="Arial"/>
          <w:b/>
          <w:sz w:val="24"/>
          <w:szCs w:val="24"/>
        </w:rPr>
        <w:t>DOLCEY OSCAR TORRES ROMERO</w:t>
      </w:r>
      <w:r>
        <w:t xml:space="preserve"> </w:t>
      </w:r>
      <w:r>
        <w:rPr>
          <w:rFonts w:ascii="Arial" w:eastAsia="Arial" w:hAnsi="Arial" w:cs="Arial"/>
          <w:sz w:val="24"/>
          <w:szCs w:val="24"/>
        </w:rPr>
        <w:t xml:space="preserve">Representante a la Cámara                          Representante a la Cámara </w:t>
      </w:r>
    </w:p>
    <w:p w:rsidR="00805B28" w:rsidRDefault="00805B28">
      <w:pPr>
        <w:pBdr>
          <w:top w:val="nil"/>
          <w:left w:val="nil"/>
          <w:bottom w:val="nil"/>
          <w:right w:val="nil"/>
          <w:between w:val="nil"/>
        </w:pBdr>
        <w:spacing w:after="0" w:line="240" w:lineRule="auto"/>
        <w:jc w:val="both"/>
        <w:rPr>
          <w:rFonts w:ascii="Arial" w:eastAsia="Arial" w:hAnsi="Arial" w:cs="Arial"/>
          <w:color w:val="000000"/>
          <w:sz w:val="24"/>
          <w:szCs w:val="24"/>
        </w:rPr>
      </w:pPr>
    </w:p>
    <w:p w:rsidR="00805B28" w:rsidRDefault="00805B28">
      <w:pPr>
        <w:spacing w:after="0" w:line="264" w:lineRule="auto"/>
        <w:rPr>
          <w:rFonts w:ascii="Arial" w:eastAsia="Arial" w:hAnsi="Arial" w:cs="Arial"/>
          <w:b/>
          <w:sz w:val="24"/>
          <w:szCs w:val="24"/>
        </w:rPr>
      </w:pPr>
    </w:p>
    <w:p w:rsidR="00805B28" w:rsidRDefault="00861838">
      <w:pPr>
        <w:spacing w:after="0" w:line="264" w:lineRule="auto"/>
        <w:rPr>
          <w:rFonts w:ascii="Arial" w:eastAsia="Arial" w:hAnsi="Arial" w:cs="Arial"/>
          <w:b/>
          <w:sz w:val="24"/>
          <w:szCs w:val="24"/>
        </w:rPr>
      </w:pPr>
      <w:r>
        <w:rPr>
          <w:noProof/>
        </w:rPr>
        <w:drawing>
          <wp:anchor distT="0" distB="0" distL="114300" distR="114300" simplePos="0" relativeHeight="251659264" behindDoc="0" locked="0" layoutInCell="1" hidden="0" allowOverlap="1">
            <wp:simplePos x="0" y="0"/>
            <wp:positionH relativeFrom="column">
              <wp:posOffset>1</wp:posOffset>
            </wp:positionH>
            <wp:positionV relativeFrom="paragraph">
              <wp:posOffset>178705</wp:posOffset>
            </wp:positionV>
            <wp:extent cx="1486853" cy="813008"/>
            <wp:effectExtent l="0" t="0" r="0" b="0"/>
            <wp:wrapSquare wrapText="bothSides" distT="0" distB="0" distL="114300" distR="114300"/>
            <wp:docPr id="1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l="29701" t="31998" r="35846" b="34494"/>
                    <a:stretch>
                      <a:fillRect/>
                    </a:stretch>
                  </pic:blipFill>
                  <pic:spPr>
                    <a:xfrm>
                      <a:off x="0" y="0"/>
                      <a:ext cx="1486853" cy="813008"/>
                    </a:xfrm>
                    <a:prstGeom prst="rect">
                      <a:avLst/>
                    </a:prstGeom>
                    <a:ln/>
                  </pic:spPr>
                </pic:pic>
              </a:graphicData>
            </a:graphic>
          </wp:anchor>
        </w:drawing>
      </w:r>
    </w:p>
    <w:p w:rsidR="00C27D0F" w:rsidRDefault="00861838">
      <w:pPr>
        <w:spacing w:after="0" w:line="264" w:lineRule="auto"/>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b/>
          <w:noProof/>
          <w:sz w:val="24"/>
          <w:szCs w:val="24"/>
        </w:rPr>
        <w:drawing>
          <wp:inline distT="114300" distB="114300" distL="114300" distR="114300">
            <wp:extent cx="1639253" cy="730308"/>
            <wp:effectExtent l="0" t="0" r="0" b="0"/>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1639253" cy="730308"/>
                    </a:xfrm>
                    <a:prstGeom prst="rect">
                      <a:avLst/>
                    </a:prstGeom>
                    <a:ln/>
                  </pic:spPr>
                </pic:pic>
              </a:graphicData>
            </a:graphic>
          </wp:inline>
        </w:drawing>
      </w:r>
    </w:p>
    <w:p w:rsidR="00C27D0F" w:rsidRDefault="00C27D0F">
      <w:pPr>
        <w:spacing w:after="0" w:line="264" w:lineRule="auto"/>
        <w:rPr>
          <w:rFonts w:ascii="Arial" w:eastAsia="Arial" w:hAnsi="Arial" w:cs="Arial"/>
          <w:b/>
          <w:sz w:val="24"/>
          <w:szCs w:val="24"/>
        </w:rPr>
      </w:pPr>
    </w:p>
    <w:p w:rsidR="00C27D0F" w:rsidRDefault="00861838">
      <w:pPr>
        <w:spacing w:after="0" w:line="264" w:lineRule="auto"/>
        <w:rPr>
          <w:rFonts w:ascii="Arial" w:eastAsia="Arial" w:hAnsi="Arial" w:cs="Arial"/>
          <w:b/>
          <w:sz w:val="24"/>
          <w:szCs w:val="24"/>
        </w:rPr>
      </w:pPr>
      <w:r>
        <w:rPr>
          <w:rFonts w:ascii="Arial" w:eastAsia="Arial" w:hAnsi="Arial" w:cs="Arial"/>
          <w:b/>
          <w:sz w:val="24"/>
          <w:szCs w:val="24"/>
        </w:rPr>
        <w:t xml:space="preserve">ANDRÉS DAVID CALLE                             JAIRO H. CRISTO CORREA                          </w:t>
      </w:r>
      <w:r>
        <w:rPr>
          <w:rFonts w:ascii="Arial" w:eastAsia="Arial" w:hAnsi="Arial" w:cs="Arial"/>
          <w:b/>
          <w:sz w:val="24"/>
          <w:szCs w:val="24"/>
        </w:rPr>
        <w:br/>
      </w:r>
      <w:r>
        <w:rPr>
          <w:rFonts w:ascii="Arial" w:eastAsia="Arial" w:hAnsi="Arial" w:cs="Arial"/>
          <w:sz w:val="24"/>
          <w:szCs w:val="24"/>
        </w:rPr>
        <w:t>Representante a la Cámara                         Representante a la Cámara</w:t>
      </w:r>
    </w:p>
    <w:p w:rsidR="00805B28" w:rsidRDefault="00861838">
      <w:pPr>
        <w:spacing w:after="0" w:line="264" w:lineRule="auto"/>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sz w:val="24"/>
          <w:szCs w:val="24"/>
        </w:rPr>
        <w:t xml:space="preserve"> </w:t>
      </w:r>
      <w:r w:rsidR="00C27D0F">
        <w:rPr>
          <w:rFonts w:ascii="Arial" w:eastAsia="Arial" w:hAnsi="Arial" w:cs="Arial"/>
          <w:sz w:val="24"/>
          <w:szCs w:val="24"/>
        </w:rPr>
        <w:t xml:space="preserve">       </w:t>
      </w:r>
      <w:proofErr w:type="spellStart"/>
      <w:r>
        <w:rPr>
          <w:rFonts w:ascii="Arial" w:eastAsia="Arial" w:hAnsi="Arial" w:cs="Arial"/>
          <w:sz w:val="24"/>
          <w:szCs w:val="24"/>
        </w:rPr>
        <w:t>Dpto</w:t>
      </w:r>
      <w:proofErr w:type="spellEnd"/>
      <w:r>
        <w:rPr>
          <w:rFonts w:ascii="Arial" w:eastAsia="Arial" w:hAnsi="Arial" w:cs="Arial"/>
          <w:sz w:val="24"/>
          <w:szCs w:val="24"/>
        </w:rPr>
        <w:t xml:space="preserve"> Norte Santander</w:t>
      </w:r>
    </w:p>
    <w:p w:rsidR="00C27D0F" w:rsidRDefault="00C27D0F">
      <w:pPr>
        <w:spacing w:after="0" w:line="264" w:lineRule="auto"/>
        <w:rPr>
          <w:rFonts w:ascii="Arial" w:eastAsia="Arial" w:hAnsi="Arial" w:cs="Arial"/>
          <w:sz w:val="24"/>
          <w:szCs w:val="24"/>
        </w:rPr>
      </w:pPr>
    </w:p>
    <w:p w:rsidR="00C27D0F" w:rsidRDefault="00C27D0F">
      <w:pPr>
        <w:spacing w:after="0" w:line="264" w:lineRule="auto"/>
        <w:rPr>
          <w:rFonts w:ascii="Arial" w:eastAsia="Arial" w:hAnsi="Arial" w:cs="Arial"/>
          <w:b/>
          <w:sz w:val="24"/>
          <w:szCs w:val="24"/>
        </w:rPr>
      </w:pPr>
    </w:p>
    <w:p w:rsidR="00805B28" w:rsidRDefault="00861838">
      <w:pPr>
        <w:spacing w:after="0" w:line="264"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extent cx="2027227" cy="565738"/>
            <wp:effectExtent l="0" t="0" r="0" b="0"/>
            <wp:docPr id="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2027227" cy="565738"/>
                    </a:xfrm>
                    <a:prstGeom prst="rect">
                      <a:avLst/>
                    </a:prstGeom>
                    <a:ln/>
                  </pic:spPr>
                </pic:pic>
              </a:graphicData>
            </a:graphic>
          </wp:inline>
        </w:drawing>
      </w:r>
    </w:p>
    <w:p w:rsidR="00805B28" w:rsidRDefault="00861838">
      <w:pPr>
        <w:spacing w:after="0" w:line="264" w:lineRule="auto"/>
        <w:rPr>
          <w:rFonts w:ascii="Arial" w:eastAsia="Arial" w:hAnsi="Arial" w:cs="Arial"/>
          <w:b/>
          <w:sz w:val="24"/>
          <w:szCs w:val="24"/>
        </w:rPr>
      </w:pPr>
      <w:r>
        <w:rPr>
          <w:rFonts w:ascii="Arial" w:eastAsia="Arial" w:hAnsi="Arial" w:cs="Arial"/>
          <w:b/>
          <w:sz w:val="24"/>
          <w:szCs w:val="24"/>
        </w:rPr>
        <w:t>GERMAN R. ROZO ANIS</w:t>
      </w:r>
    </w:p>
    <w:p w:rsidR="00805B28" w:rsidRDefault="00861838">
      <w:pPr>
        <w:spacing w:after="0" w:line="264" w:lineRule="auto"/>
        <w:rPr>
          <w:rFonts w:ascii="Arial" w:eastAsia="Arial" w:hAnsi="Arial" w:cs="Arial"/>
          <w:sz w:val="24"/>
          <w:szCs w:val="24"/>
        </w:rPr>
      </w:pPr>
      <w:r>
        <w:rPr>
          <w:rFonts w:ascii="Arial" w:eastAsia="Arial" w:hAnsi="Arial" w:cs="Arial"/>
          <w:sz w:val="24"/>
          <w:szCs w:val="24"/>
        </w:rPr>
        <w:t>Representante a la Cámara</w:t>
      </w:r>
    </w:p>
    <w:p w:rsidR="00805B28" w:rsidRDefault="00861838" w:rsidP="00C27D0F">
      <w:pPr>
        <w:spacing w:after="0" w:line="264" w:lineRule="auto"/>
        <w:rPr>
          <w:rFonts w:ascii="Arial" w:eastAsia="Arial" w:hAnsi="Arial" w:cs="Arial"/>
          <w:sz w:val="24"/>
          <w:szCs w:val="24"/>
        </w:rPr>
      </w:pPr>
      <w:r>
        <w:rPr>
          <w:rFonts w:ascii="Arial" w:eastAsia="Arial" w:hAnsi="Arial" w:cs="Arial"/>
          <w:sz w:val="24"/>
          <w:szCs w:val="24"/>
        </w:rPr>
        <w:t>Departamento de Arauca</w:t>
      </w:r>
      <w:r>
        <w:rPr>
          <w:rFonts w:ascii="Arial" w:eastAsia="Arial" w:hAnsi="Arial" w:cs="Arial"/>
          <w:b/>
          <w:sz w:val="24"/>
          <w:szCs w:val="24"/>
        </w:rPr>
        <w:br/>
      </w:r>
    </w:p>
    <w:p w:rsidR="00C27D0F" w:rsidRDefault="00C27D0F" w:rsidP="00C27D0F">
      <w:pPr>
        <w:spacing w:after="0" w:line="264" w:lineRule="auto"/>
        <w:rPr>
          <w:rFonts w:ascii="Arial" w:eastAsia="Arial" w:hAnsi="Arial" w:cs="Arial"/>
          <w:sz w:val="24"/>
          <w:szCs w:val="24"/>
        </w:rPr>
      </w:pPr>
    </w:p>
    <w:p w:rsidR="00805B28" w:rsidRDefault="00861838">
      <w:pPr>
        <w:pBdr>
          <w:top w:val="nil"/>
          <w:left w:val="nil"/>
          <w:bottom w:val="nil"/>
          <w:right w:val="nil"/>
          <w:between w:val="nil"/>
        </w:pBdr>
        <w:spacing w:after="0" w:line="264" w:lineRule="auto"/>
        <w:jc w:val="center"/>
        <w:rPr>
          <w:rFonts w:ascii="Arial" w:eastAsia="Arial" w:hAnsi="Arial" w:cs="Arial"/>
          <w:b/>
          <w:color w:val="000000"/>
          <w:sz w:val="24"/>
          <w:szCs w:val="24"/>
        </w:rPr>
      </w:pPr>
      <w:r>
        <w:rPr>
          <w:rFonts w:ascii="Arial" w:eastAsia="Arial" w:hAnsi="Arial" w:cs="Arial"/>
          <w:b/>
          <w:color w:val="000000"/>
          <w:sz w:val="24"/>
          <w:szCs w:val="24"/>
        </w:rPr>
        <w:t>EXPOSICIÓN DE MOTIVOS</w:t>
      </w:r>
    </w:p>
    <w:p w:rsidR="00805B28" w:rsidRDefault="00805B28">
      <w:pPr>
        <w:pBdr>
          <w:top w:val="nil"/>
          <w:left w:val="nil"/>
          <w:bottom w:val="nil"/>
          <w:right w:val="nil"/>
          <w:between w:val="nil"/>
        </w:pBdr>
        <w:spacing w:after="0" w:line="264" w:lineRule="auto"/>
        <w:rPr>
          <w:rFonts w:ascii="Arial" w:eastAsia="Arial" w:hAnsi="Arial" w:cs="Arial"/>
          <w:b/>
          <w:color w:val="000000"/>
          <w:sz w:val="24"/>
          <w:szCs w:val="24"/>
        </w:rPr>
      </w:pPr>
    </w:p>
    <w:p w:rsidR="00805B28" w:rsidRDefault="00861838">
      <w:pPr>
        <w:pBdr>
          <w:top w:val="nil"/>
          <w:left w:val="nil"/>
          <w:bottom w:val="nil"/>
          <w:right w:val="nil"/>
          <w:between w:val="nil"/>
        </w:pBdr>
        <w:spacing w:after="0" w:line="264" w:lineRule="auto"/>
        <w:rPr>
          <w:rFonts w:ascii="Arial" w:eastAsia="Arial" w:hAnsi="Arial" w:cs="Arial"/>
          <w:b/>
          <w:color w:val="000000"/>
          <w:sz w:val="24"/>
          <w:szCs w:val="24"/>
        </w:rPr>
      </w:pPr>
      <w:r>
        <w:rPr>
          <w:rFonts w:ascii="Arial" w:eastAsia="Arial" w:hAnsi="Arial" w:cs="Arial"/>
          <w:b/>
          <w:color w:val="000000"/>
          <w:sz w:val="24"/>
          <w:szCs w:val="24"/>
        </w:rPr>
        <w:t>MARCO NORMATIVO</w:t>
      </w:r>
    </w:p>
    <w:p w:rsidR="00805B28" w:rsidRDefault="00805B28">
      <w:pPr>
        <w:pBdr>
          <w:top w:val="nil"/>
          <w:left w:val="nil"/>
          <w:bottom w:val="nil"/>
          <w:right w:val="nil"/>
          <w:between w:val="nil"/>
        </w:pBdr>
        <w:spacing w:after="0" w:line="264" w:lineRule="auto"/>
        <w:rPr>
          <w:rFonts w:ascii="Arial" w:eastAsia="Arial" w:hAnsi="Arial" w:cs="Arial"/>
          <w:b/>
          <w:color w:val="000000"/>
          <w:sz w:val="24"/>
          <w:szCs w:val="24"/>
        </w:rPr>
      </w:pPr>
    </w:p>
    <w:p w:rsidR="00805B28" w:rsidRDefault="00861838">
      <w:pPr>
        <w:pBdr>
          <w:top w:val="nil"/>
          <w:left w:val="nil"/>
          <w:bottom w:val="nil"/>
          <w:right w:val="nil"/>
          <w:between w:val="nil"/>
        </w:pBdr>
        <w:spacing w:after="0" w:line="264" w:lineRule="auto"/>
        <w:rPr>
          <w:rFonts w:ascii="Arial" w:eastAsia="Arial" w:hAnsi="Arial" w:cs="Arial"/>
          <w:color w:val="000000"/>
          <w:sz w:val="24"/>
          <w:szCs w:val="24"/>
        </w:rPr>
      </w:pPr>
      <w:r>
        <w:rPr>
          <w:rFonts w:ascii="Arial" w:eastAsia="Arial" w:hAnsi="Arial" w:cs="Arial"/>
          <w:color w:val="000000"/>
          <w:sz w:val="24"/>
          <w:szCs w:val="24"/>
        </w:rPr>
        <w:t>El artículo 1 de la constitución política establece:</w:t>
      </w:r>
    </w:p>
    <w:p w:rsidR="00805B28" w:rsidRDefault="00805B28">
      <w:pPr>
        <w:pBdr>
          <w:top w:val="nil"/>
          <w:left w:val="nil"/>
          <w:bottom w:val="nil"/>
          <w:right w:val="nil"/>
          <w:between w:val="nil"/>
        </w:pBdr>
        <w:spacing w:after="0" w:line="264" w:lineRule="auto"/>
        <w:jc w:val="both"/>
        <w:rPr>
          <w:rFonts w:ascii="Arial" w:eastAsia="Arial" w:hAnsi="Arial" w:cs="Arial"/>
          <w:color w:val="000000"/>
          <w:sz w:val="24"/>
          <w:szCs w:val="24"/>
        </w:rPr>
      </w:pPr>
    </w:p>
    <w:p w:rsidR="00805B28" w:rsidRDefault="00861838">
      <w:pPr>
        <w:pBdr>
          <w:top w:val="nil"/>
          <w:left w:val="nil"/>
          <w:bottom w:val="nil"/>
          <w:right w:val="nil"/>
          <w:between w:val="nil"/>
        </w:pBdr>
        <w:spacing w:after="0" w:line="264" w:lineRule="auto"/>
        <w:jc w:val="both"/>
        <w:rPr>
          <w:rFonts w:ascii="Arial" w:eastAsia="Arial" w:hAnsi="Arial" w:cs="Arial"/>
          <w:color w:val="000000"/>
          <w:sz w:val="24"/>
          <w:szCs w:val="24"/>
        </w:rPr>
      </w:pPr>
      <w:r>
        <w:rPr>
          <w:rFonts w:ascii="Arial" w:eastAsia="Arial" w:hAnsi="Arial" w:cs="Arial"/>
          <w:color w:val="000000"/>
          <w:sz w:val="24"/>
          <w:szCs w:val="24"/>
        </w:rPr>
        <w:t xml:space="preserve">Artículo 1. Colombia es un Estado social de derecho, organizado en forma de República unitaria, descentralizada, con autonomía de sus entidades territoriales, democrática, participativa y pluralista, fundada en el </w:t>
      </w:r>
      <w:r>
        <w:rPr>
          <w:rFonts w:ascii="Arial" w:eastAsia="Arial" w:hAnsi="Arial" w:cs="Arial"/>
          <w:color w:val="000000"/>
          <w:sz w:val="24"/>
          <w:szCs w:val="24"/>
          <w:u w:val="single"/>
        </w:rPr>
        <w:t>respeto de la dignidad humana</w:t>
      </w:r>
      <w:r>
        <w:rPr>
          <w:rFonts w:ascii="Arial" w:eastAsia="Arial" w:hAnsi="Arial" w:cs="Arial"/>
          <w:color w:val="000000"/>
          <w:sz w:val="24"/>
          <w:szCs w:val="24"/>
        </w:rPr>
        <w:t xml:space="preserve">, en el trabajo y </w:t>
      </w:r>
      <w:r>
        <w:rPr>
          <w:rFonts w:ascii="Arial" w:eastAsia="Arial" w:hAnsi="Arial" w:cs="Arial"/>
          <w:color w:val="000000"/>
          <w:sz w:val="24"/>
          <w:szCs w:val="24"/>
          <w:u w:val="single"/>
        </w:rPr>
        <w:t>la solidaridad de las personas que la integran</w:t>
      </w:r>
      <w:r>
        <w:rPr>
          <w:rFonts w:ascii="Arial" w:eastAsia="Arial" w:hAnsi="Arial" w:cs="Arial"/>
          <w:color w:val="000000"/>
          <w:sz w:val="24"/>
          <w:szCs w:val="24"/>
        </w:rPr>
        <w:t xml:space="preserve"> y en la </w:t>
      </w:r>
      <w:r>
        <w:rPr>
          <w:rFonts w:ascii="Arial" w:eastAsia="Arial" w:hAnsi="Arial" w:cs="Arial"/>
          <w:color w:val="000000"/>
          <w:sz w:val="24"/>
          <w:szCs w:val="24"/>
          <w:u w:val="single"/>
        </w:rPr>
        <w:t>prevalencia del interés general</w:t>
      </w:r>
      <w:r>
        <w:rPr>
          <w:rFonts w:ascii="Arial" w:eastAsia="Arial" w:hAnsi="Arial" w:cs="Arial"/>
          <w:color w:val="000000"/>
          <w:sz w:val="24"/>
          <w:szCs w:val="24"/>
        </w:rPr>
        <w:t xml:space="preserve"> (Const.,1991, art. 1). (Subrayado fuera de texto).</w:t>
      </w:r>
    </w:p>
    <w:p w:rsidR="00805B28" w:rsidRDefault="00805B28">
      <w:pPr>
        <w:pBdr>
          <w:top w:val="nil"/>
          <w:left w:val="nil"/>
          <w:bottom w:val="nil"/>
          <w:right w:val="nil"/>
          <w:between w:val="nil"/>
        </w:pBdr>
        <w:spacing w:after="0" w:line="264" w:lineRule="auto"/>
        <w:jc w:val="both"/>
        <w:rPr>
          <w:rFonts w:ascii="Arial" w:eastAsia="Arial" w:hAnsi="Arial" w:cs="Arial"/>
          <w:color w:val="000000"/>
          <w:sz w:val="24"/>
          <w:szCs w:val="24"/>
        </w:rPr>
      </w:pPr>
    </w:p>
    <w:p w:rsidR="00805B28" w:rsidRDefault="00861838">
      <w:pPr>
        <w:pBdr>
          <w:top w:val="nil"/>
          <w:left w:val="nil"/>
          <w:bottom w:val="nil"/>
          <w:right w:val="nil"/>
          <w:between w:val="nil"/>
        </w:pBdr>
        <w:spacing w:after="0" w:line="264" w:lineRule="auto"/>
        <w:jc w:val="both"/>
        <w:rPr>
          <w:rFonts w:ascii="Arial" w:eastAsia="Arial" w:hAnsi="Arial" w:cs="Arial"/>
          <w:color w:val="000000"/>
          <w:sz w:val="24"/>
          <w:szCs w:val="24"/>
        </w:rPr>
      </w:pPr>
      <w:r>
        <w:rPr>
          <w:rFonts w:ascii="Arial" w:eastAsia="Arial" w:hAnsi="Arial" w:cs="Arial"/>
          <w:color w:val="000000"/>
          <w:sz w:val="24"/>
          <w:szCs w:val="24"/>
        </w:rPr>
        <w:t>El artículo 2, establece os fines del Estado Social de Derecho donde se destacan:</w:t>
      </w:r>
    </w:p>
    <w:p w:rsidR="00805B28" w:rsidRDefault="00861838">
      <w:pPr>
        <w:pBdr>
          <w:top w:val="nil"/>
          <w:left w:val="nil"/>
          <w:bottom w:val="nil"/>
          <w:right w:val="nil"/>
          <w:between w:val="nil"/>
        </w:pBdr>
        <w:spacing w:after="0" w:line="264" w:lineRule="auto"/>
        <w:jc w:val="both"/>
        <w:rPr>
          <w:rFonts w:ascii="Arial" w:eastAsia="Arial" w:hAnsi="Arial" w:cs="Arial"/>
          <w:color w:val="000000"/>
          <w:sz w:val="24"/>
          <w:szCs w:val="24"/>
        </w:rPr>
      </w:pPr>
      <w:r>
        <w:rPr>
          <w:rFonts w:ascii="Arial" w:eastAsia="Arial" w:hAnsi="Arial" w:cs="Arial"/>
          <w:color w:val="000000"/>
          <w:sz w:val="24"/>
          <w:szCs w:val="24"/>
        </w:rPr>
        <w:t xml:space="preserve"> </w:t>
      </w:r>
    </w:p>
    <w:p w:rsidR="00805B28" w:rsidRDefault="00861838">
      <w:pPr>
        <w:pBdr>
          <w:top w:val="nil"/>
          <w:left w:val="nil"/>
          <w:bottom w:val="nil"/>
          <w:right w:val="nil"/>
          <w:between w:val="nil"/>
        </w:pBdr>
        <w:spacing w:after="0" w:line="264" w:lineRule="auto"/>
        <w:jc w:val="both"/>
        <w:rPr>
          <w:rFonts w:ascii="Arial" w:eastAsia="Arial" w:hAnsi="Arial" w:cs="Arial"/>
          <w:color w:val="000000"/>
          <w:sz w:val="24"/>
          <w:szCs w:val="24"/>
        </w:rPr>
      </w:pPr>
      <w:r>
        <w:rPr>
          <w:rFonts w:ascii="Arial" w:eastAsia="Arial" w:hAnsi="Arial" w:cs="Arial"/>
          <w:color w:val="000000"/>
          <w:sz w:val="24"/>
          <w:szCs w:val="24"/>
        </w:rPr>
        <w:t>Artículo 2. Son fines esenciales del Estado: servir a la comunidad, promover la prosperidad general y garantizar la efectividad de los principios, derechos y deberes consagrados en la Constitución;(Const., 1991, art. 2).</w:t>
      </w:r>
    </w:p>
    <w:p w:rsidR="00805B28" w:rsidRDefault="00805B28">
      <w:pPr>
        <w:pBdr>
          <w:top w:val="nil"/>
          <w:left w:val="nil"/>
          <w:bottom w:val="nil"/>
          <w:right w:val="nil"/>
          <w:between w:val="nil"/>
        </w:pBdr>
        <w:spacing w:after="0" w:line="264" w:lineRule="auto"/>
        <w:rPr>
          <w:rFonts w:ascii="Arial" w:eastAsia="Arial" w:hAnsi="Arial" w:cs="Arial"/>
          <w:color w:val="000000"/>
          <w:sz w:val="24"/>
          <w:szCs w:val="24"/>
        </w:rPr>
      </w:pPr>
    </w:p>
    <w:p w:rsidR="00805B28" w:rsidRDefault="00861838">
      <w:pPr>
        <w:pBdr>
          <w:top w:val="nil"/>
          <w:left w:val="nil"/>
          <w:bottom w:val="nil"/>
          <w:right w:val="nil"/>
          <w:between w:val="nil"/>
        </w:pBdr>
        <w:spacing w:after="0" w:line="264" w:lineRule="auto"/>
        <w:jc w:val="both"/>
        <w:rPr>
          <w:rFonts w:ascii="Arial" w:eastAsia="Arial" w:hAnsi="Arial" w:cs="Arial"/>
          <w:color w:val="000000"/>
          <w:sz w:val="24"/>
          <w:szCs w:val="24"/>
        </w:rPr>
      </w:pPr>
      <w:r>
        <w:rPr>
          <w:rFonts w:ascii="Arial" w:eastAsia="Arial" w:hAnsi="Arial" w:cs="Arial"/>
          <w:color w:val="000000"/>
          <w:sz w:val="24"/>
          <w:szCs w:val="24"/>
        </w:rPr>
        <w:t xml:space="preserve">Facultad del Congreso el artículo 114 de la Constitución Política de 1991, determinó claramente que corresponde al Congreso de la República reformar la Constitución; hacer las leyes y ejercer control político sobre el gobierno y la administración. </w:t>
      </w:r>
    </w:p>
    <w:p w:rsidR="00805B28" w:rsidRDefault="00805B28">
      <w:pPr>
        <w:pBdr>
          <w:top w:val="nil"/>
          <w:left w:val="nil"/>
          <w:bottom w:val="nil"/>
          <w:right w:val="nil"/>
          <w:between w:val="nil"/>
        </w:pBdr>
        <w:spacing w:after="0" w:line="264" w:lineRule="auto"/>
        <w:rPr>
          <w:rFonts w:ascii="Arial" w:eastAsia="Arial" w:hAnsi="Arial" w:cs="Arial"/>
          <w:color w:val="000000"/>
          <w:sz w:val="24"/>
          <w:szCs w:val="24"/>
        </w:rPr>
      </w:pPr>
    </w:p>
    <w:p w:rsidR="00805B28" w:rsidRDefault="00861838">
      <w:pPr>
        <w:pBdr>
          <w:top w:val="nil"/>
          <w:left w:val="nil"/>
          <w:bottom w:val="nil"/>
          <w:right w:val="nil"/>
          <w:between w:val="nil"/>
        </w:pBdr>
        <w:spacing w:after="0" w:line="264" w:lineRule="auto"/>
        <w:jc w:val="both"/>
        <w:rPr>
          <w:rFonts w:ascii="Arial" w:eastAsia="Arial" w:hAnsi="Arial" w:cs="Arial"/>
          <w:color w:val="000000"/>
          <w:sz w:val="24"/>
          <w:szCs w:val="24"/>
        </w:rPr>
      </w:pPr>
      <w:r>
        <w:rPr>
          <w:rFonts w:ascii="Arial" w:eastAsia="Arial" w:hAnsi="Arial" w:cs="Arial"/>
          <w:color w:val="000000"/>
          <w:sz w:val="24"/>
          <w:szCs w:val="24"/>
        </w:rPr>
        <w:t>El artículo 150 determina que: Corresponde al Congreso hacer las leyes. El artículo 140 de la Ley 5ª de 1992 modificado por el artículo 13 de la Ley 974 de 2005 establece:</w:t>
      </w:r>
    </w:p>
    <w:p w:rsidR="00805B28" w:rsidRDefault="00805B28">
      <w:pPr>
        <w:pBdr>
          <w:top w:val="nil"/>
          <w:left w:val="nil"/>
          <w:bottom w:val="nil"/>
          <w:right w:val="nil"/>
          <w:between w:val="nil"/>
        </w:pBdr>
        <w:spacing w:after="0" w:line="264" w:lineRule="auto"/>
        <w:jc w:val="both"/>
        <w:rPr>
          <w:rFonts w:ascii="Arial" w:eastAsia="Arial" w:hAnsi="Arial" w:cs="Arial"/>
          <w:color w:val="000000"/>
          <w:sz w:val="24"/>
          <w:szCs w:val="24"/>
        </w:rPr>
      </w:pPr>
    </w:p>
    <w:p w:rsidR="00805B28" w:rsidRDefault="00861838">
      <w:pPr>
        <w:pBdr>
          <w:top w:val="nil"/>
          <w:left w:val="nil"/>
          <w:bottom w:val="nil"/>
          <w:right w:val="nil"/>
          <w:between w:val="nil"/>
        </w:pBdr>
        <w:spacing w:after="0" w:line="264" w:lineRule="auto"/>
        <w:jc w:val="both"/>
        <w:rPr>
          <w:rFonts w:ascii="Arial" w:eastAsia="Arial" w:hAnsi="Arial" w:cs="Arial"/>
          <w:color w:val="000000"/>
          <w:sz w:val="24"/>
          <w:szCs w:val="24"/>
        </w:rPr>
      </w:pPr>
      <w:r>
        <w:rPr>
          <w:rFonts w:ascii="Arial" w:eastAsia="Arial" w:hAnsi="Arial" w:cs="Arial"/>
          <w:color w:val="000000"/>
          <w:sz w:val="24"/>
          <w:szCs w:val="24"/>
        </w:rPr>
        <w:t>Pueden presentar proyectos de ley:</w:t>
      </w:r>
    </w:p>
    <w:p w:rsidR="00805B28" w:rsidRDefault="00861838">
      <w:pPr>
        <w:pBdr>
          <w:top w:val="nil"/>
          <w:left w:val="nil"/>
          <w:bottom w:val="nil"/>
          <w:right w:val="nil"/>
          <w:between w:val="nil"/>
        </w:pBdr>
        <w:spacing w:after="0" w:line="264" w:lineRule="auto"/>
        <w:rPr>
          <w:rFonts w:ascii="Arial" w:eastAsia="Arial" w:hAnsi="Arial" w:cs="Arial"/>
          <w:color w:val="000000"/>
          <w:sz w:val="24"/>
          <w:szCs w:val="24"/>
        </w:rPr>
      </w:pPr>
      <w:r>
        <w:rPr>
          <w:rFonts w:ascii="Arial" w:eastAsia="Arial" w:hAnsi="Arial" w:cs="Arial"/>
          <w:color w:val="000000"/>
          <w:sz w:val="24"/>
          <w:szCs w:val="24"/>
          <w:u w:val="single"/>
        </w:rPr>
        <w:t>1. Los Senadores y Representantes a la Cámara individualmente y a través de las bancadas.</w:t>
      </w:r>
      <w:r>
        <w:rPr>
          <w:rFonts w:ascii="Arial" w:eastAsia="Arial" w:hAnsi="Arial" w:cs="Arial"/>
          <w:color w:val="000000"/>
          <w:sz w:val="24"/>
          <w:szCs w:val="24"/>
        </w:rPr>
        <w:t> (Subrayado fuera de texto).</w:t>
      </w:r>
    </w:p>
    <w:p w:rsidR="00805B28" w:rsidRDefault="00861838">
      <w:pPr>
        <w:pBdr>
          <w:top w:val="nil"/>
          <w:left w:val="nil"/>
          <w:bottom w:val="nil"/>
          <w:right w:val="nil"/>
          <w:between w:val="nil"/>
        </w:pBdr>
        <w:spacing w:after="0" w:line="264" w:lineRule="auto"/>
        <w:rPr>
          <w:rFonts w:ascii="Arial" w:eastAsia="Arial" w:hAnsi="Arial" w:cs="Arial"/>
          <w:color w:val="000000"/>
          <w:sz w:val="24"/>
          <w:szCs w:val="24"/>
        </w:rPr>
      </w:pPr>
      <w:r>
        <w:rPr>
          <w:rFonts w:ascii="Arial" w:eastAsia="Arial" w:hAnsi="Arial" w:cs="Arial"/>
          <w:color w:val="000000"/>
          <w:sz w:val="24"/>
          <w:szCs w:val="24"/>
        </w:rPr>
        <w:t>2. El Gobierno nacional, a través de los Ministros del Despacho.</w:t>
      </w:r>
    </w:p>
    <w:p w:rsidR="00805B28" w:rsidRDefault="00861838">
      <w:pPr>
        <w:pBdr>
          <w:top w:val="nil"/>
          <w:left w:val="nil"/>
          <w:bottom w:val="nil"/>
          <w:right w:val="nil"/>
          <w:between w:val="nil"/>
        </w:pBdr>
        <w:spacing w:after="0" w:line="264" w:lineRule="auto"/>
        <w:rPr>
          <w:rFonts w:ascii="Arial" w:eastAsia="Arial" w:hAnsi="Arial" w:cs="Arial"/>
          <w:color w:val="000000"/>
          <w:sz w:val="24"/>
          <w:szCs w:val="24"/>
        </w:rPr>
      </w:pPr>
      <w:r>
        <w:rPr>
          <w:rFonts w:ascii="Arial" w:eastAsia="Arial" w:hAnsi="Arial" w:cs="Arial"/>
          <w:color w:val="000000"/>
          <w:sz w:val="24"/>
          <w:szCs w:val="24"/>
        </w:rPr>
        <w:t>3. La Corte Constitucional.</w:t>
      </w:r>
    </w:p>
    <w:p w:rsidR="00805B28" w:rsidRDefault="00861838">
      <w:pPr>
        <w:pBdr>
          <w:top w:val="nil"/>
          <w:left w:val="nil"/>
          <w:bottom w:val="nil"/>
          <w:right w:val="nil"/>
          <w:between w:val="nil"/>
        </w:pBdr>
        <w:spacing w:after="0" w:line="264" w:lineRule="auto"/>
        <w:rPr>
          <w:rFonts w:ascii="Arial" w:eastAsia="Arial" w:hAnsi="Arial" w:cs="Arial"/>
          <w:color w:val="000000"/>
          <w:sz w:val="24"/>
          <w:szCs w:val="24"/>
        </w:rPr>
      </w:pPr>
      <w:r>
        <w:rPr>
          <w:rFonts w:ascii="Arial" w:eastAsia="Arial" w:hAnsi="Arial" w:cs="Arial"/>
          <w:color w:val="000000"/>
          <w:sz w:val="24"/>
          <w:szCs w:val="24"/>
        </w:rPr>
        <w:t>4. El Consejo Superior de la Judicatura.</w:t>
      </w:r>
    </w:p>
    <w:p w:rsidR="00805B28" w:rsidRDefault="00861838">
      <w:pPr>
        <w:pBdr>
          <w:top w:val="nil"/>
          <w:left w:val="nil"/>
          <w:bottom w:val="nil"/>
          <w:right w:val="nil"/>
          <w:between w:val="nil"/>
        </w:pBdr>
        <w:spacing w:after="0" w:line="264" w:lineRule="auto"/>
        <w:rPr>
          <w:rFonts w:ascii="Arial" w:eastAsia="Arial" w:hAnsi="Arial" w:cs="Arial"/>
          <w:color w:val="000000"/>
          <w:sz w:val="24"/>
          <w:szCs w:val="24"/>
        </w:rPr>
      </w:pPr>
      <w:r>
        <w:rPr>
          <w:rFonts w:ascii="Arial" w:eastAsia="Arial" w:hAnsi="Arial" w:cs="Arial"/>
          <w:color w:val="000000"/>
          <w:sz w:val="24"/>
          <w:szCs w:val="24"/>
        </w:rPr>
        <w:t>5. La Corte Suprema de Justicia.</w:t>
      </w:r>
    </w:p>
    <w:p w:rsidR="00805B28" w:rsidRDefault="00861838">
      <w:pPr>
        <w:pBdr>
          <w:top w:val="nil"/>
          <w:left w:val="nil"/>
          <w:bottom w:val="nil"/>
          <w:right w:val="nil"/>
          <w:between w:val="nil"/>
        </w:pBdr>
        <w:spacing w:after="0" w:line="264" w:lineRule="auto"/>
        <w:rPr>
          <w:rFonts w:ascii="Arial" w:eastAsia="Arial" w:hAnsi="Arial" w:cs="Arial"/>
          <w:color w:val="000000"/>
          <w:sz w:val="24"/>
          <w:szCs w:val="24"/>
        </w:rPr>
      </w:pPr>
      <w:r>
        <w:rPr>
          <w:rFonts w:ascii="Arial" w:eastAsia="Arial" w:hAnsi="Arial" w:cs="Arial"/>
          <w:color w:val="000000"/>
          <w:sz w:val="24"/>
          <w:szCs w:val="24"/>
        </w:rPr>
        <w:t>6. El Consejo de Estado.</w:t>
      </w:r>
    </w:p>
    <w:p w:rsidR="00805B28" w:rsidRDefault="00861838">
      <w:pPr>
        <w:pBdr>
          <w:top w:val="nil"/>
          <w:left w:val="nil"/>
          <w:bottom w:val="nil"/>
          <w:right w:val="nil"/>
          <w:between w:val="nil"/>
        </w:pBdr>
        <w:spacing w:after="0" w:line="264" w:lineRule="auto"/>
        <w:rPr>
          <w:rFonts w:ascii="Arial" w:eastAsia="Arial" w:hAnsi="Arial" w:cs="Arial"/>
          <w:color w:val="000000"/>
          <w:sz w:val="24"/>
          <w:szCs w:val="24"/>
        </w:rPr>
      </w:pPr>
      <w:r>
        <w:rPr>
          <w:rFonts w:ascii="Arial" w:eastAsia="Arial" w:hAnsi="Arial" w:cs="Arial"/>
          <w:color w:val="000000"/>
          <w:sz w:val="24"/>
          <w:szCs w:val="24"/>
        </w:rPr>
        <w:t>7. El Consejo Nacional Electoral.</w:t>
      </w:r>
    </w:p>
    <w:p w:rsidR="00805B28" w:rsidRDefault="00861838">
      <w:pPr>
        <w:pBdr>
          <w:top w:val="nil"/>
          <w:left w:val="nil"/>
          <w:bottom w:val="nil"/>
          <w:right w:val="nil"/>
          <w:between w:val="nil"/>
        </w:pBdr>
        <w:spacing w:after="0" w:line="264" w:lineRule="auto"/>
        <w:rPr>
          <w:rFonts w:ascii="Arial" w:eastAsia="Arial" w:hAnsi="Arial" w:cs="Arial"/>
          <w:color w:val="000000"/>
          <w:sz w:val="24"/>
          <w:szCs w:val="24"/>
        </w:rPr>
      </w:pPr>
      <w:r>
        <w:rPr>
          <w:rFonts w:ascii="Arial" w:eastAsia="Arial" w:hAnsi="Arial" w:cs="Arial"/>
          <w:color w:val="000000"/>
          <w:sz w:val="24"/>
          <w:szCs w:val="24"/>
        </w:rPr>
        <w:t>8. El Procurador General de la Nación.</w:t>
      </w:r>
    </w:p>
    <w:p w:rsidR="00805B28" w:rsidRDefault="00861838">
      <w:pPr>
        <w:pBdr>
          <w:top w:val="nil"/>
          <w:left w:val="nil"/>
          <w:bottom w:val="nil"/>
          <w:right w:val="nil"/>
          <w:between w:val="nil"/>
        </w:pBdr>
        <w:spacing w:after="0" w:line="264" w:lineRule="auto"/>
        <w:rPr>
          <w:rFonts w:ascii="Arial" w:eastAsia="Arial" w:hAnsi="Arial" w:cs="Arial"/>
          <w:color w:val="000000"/>
          <w:sz w:val="24"/>
          <w:szCs w:val="24"/>
        </w:rPr>
      </w:pPr>
      <w:r>
        <w:rPr>
          <w:rFonts w:ascii="Arial" w:eastAsia="Arial" w:hAnsi="Arial" w:cs="Arial"/>
          <w:color w:val="000000"/>
          <w:sz w:val="24"/>
          <w:szCs w:val="24"/>
        </w:rPr>
        <w:t>9. El Contralor General de la República.</w:t>
      </w:r>
    </w:p>
    <w:p w:rsidR="00805B28" w:rsidRDefault="00861838">
      <w:pPr>
        <w:pBdr>
          <w:top w:val="nil"/>
          <w:left w:val="nil"/>
          <w:bottom w:val="nil"/>
          <w:right w:val="nil"/>
          <w:between w:val="nil"/>
        </w:pBdr>
        <w:spacing w:after="0" w:line="264" w:lineRule="auto"/>
        <w:rPr>
          <w:rFonts w:ascii="Arial" w:eastAsia="Arial" w:hAnsi="Arial" w:cs="Arial"/>
          <w:color w:val="000000"/>
          <w:sz w:val="24"/>
          <w:szCs w:val="24"/>
        </w:rPr>
      </w:pPr>
      <w:r>
        <w:rPr>
          <w:rFonts w:ascii="Arial" w:eastAsia="Arial" w:hAnsi="Arial" w:cs="Arial"/>
          <w:color w:val="000000"/>
          <w:sz w:val="24"/>
          <w:szCs w:val="24"/>
        </w:rPr>
        <w:t>10. El Fiscal General de la Nación.</w:t>
      </w:r>
    </w:p>
    <w:p w:rsidR="00805B28" w:rsidRDefault="00861838">
      <w:pPr>
        <w:pBdr>
          <w:top w:val="nil"/>
          <w:left w:val="nil"/>
          <w:bottom w:val="nil"/>
          <w:right w:val="nil"/>
          <w:between w:val="nil"/>
        </w:pBdr>
        <w:spacing w:after="0" w:line="264" w:lineRule="auto"/>
        <w:rPr>
          <w:rFonts w:ascii="Arial" w:eastAsia="Arial" w:hAnsi="Arial" w:cs="Arial"/>
          <w:color w:val="000000"/>
          <w:sz w:val="24"/>
          <w:szCs w:val="24"/>
        </w:rPr>
      </w:pPr>
      <w:r>
        <w:rPr>
          <w:rFonts w:ascii="Arial" w:eastAsia="Arial" w:hAnsi="Arial" w:cs="Arial"/>
          <w:color w:val="000000"/>
          <w:sz w:val="24"/>
          <w:szCs w:val="24"/>
        </w:rPr>
        <w:t>11. El Defensor del Pueblo.</w:t>
      </w:r>
    </w:p>
    <w:p w:rsidR="00805B28" w:rsidRDefault="00805B28">
      <w:pPr>
        <w:rPr>
          <w:rFonts w:ascii="Arial" w:eastAsia="Arial" w:hAnsi="Arial" w:cs="Arial"/>
          <w:sz w:val="24"/>
          <w:szCs w:val="24"/>
        </w:rPr>
      </w:pPr>
    </w:p>
    <w:p w:rsidR="00805B28" w:rsidRDefault="00805B28">
      <w:pPr>
        <w:rPr>
          <w:rFonts w:ascii="Arial" w:eastAsia="Arial" w:hAnsi="Arial" w:cs="Arial"/>
          <w:sz w:val="24"/>
          <w:szCs w:val="24"/>
        </w:rPr>
      </w:pPr>
    </w:p>
    <w:p w:rsidR="00805B28" w:rsidRDefault="00861838">
      <w:pPr>
        <w:rPr>
          <w:rFonts w:ascii="Arial" w:eastAsia="Arial" w:hAnsi="Arial" w:cs="Arial"/>
          <w:b/>
          <w:color w:val="000000"/>
          <w:sz w:val="24"/>
          <w:szCs w:val="24"/>
          <w:highlight w:val="white"/>
        </w:rPr>
      </w:pPr>
      <w:r>
        <w:rPr>
          <w:rFonts w:ascii="Arial" w:eastAsia="Arial" w:hAnsi="Arial" w:cs="Arial"/>
          <w:b/>
          <w:color w:val="000000"/>
          <w:sz w:val="24"/>
          <w:szCs w:val="24"/>
          <w:highlight w:val="white"/>
        </w:rPr>
        <w:t>Derecho a la Seguridad Social</w:t>
      </w:r>
    </w:p>
    <w:p w:rsidR="00805B28" w:rsidRDefault="00861838">
      <w:pPr>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La Corte Constitucional sobre el derecho a la seguridad social, en la sentencia T 192 de 2019 presenta la forma como este derecho ha adquirido el carácter de fundamental, su relación directa con la dignidad humana y las formas de garantizar este derecho, para esto la corporación tomando los argumentos de diferentes sentencias realiza una recuento de los principales postulado en la materia. </w:t>
      </w:r>
    </w:p>
    <w:p w:rsidR="00805B28" w:rsidRDefault="00805B28">
      <w:pPr>
        <w:rPr>
          <w:rFonts w:ascii="Arial" w:eastAsia="Arial" w:hAnsi="Arial" w:cs="Arial"/>
          <w:color w:val="000000"/>
          <w:sz w:val="24"/>
          <w:szCs w:val="24"/>
          <w:highlight w:val="white"/>
        </w:rPr>
      </w:pPr>
    </w:p>
    <w:p w:rsidR="00805B28" w:rsidRDefault="00861838">
      <w:pPr>
        <w:ind w:left="708"/>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Inicialmente, este derecho fue considerado por esta Corporación como de carácter meramente prestacional y solo fue entendido como un derecho fundamental en la medida en que se concretara en una garantía de aplicación inmediata, como cuando, en aplicación de la tesis de la conexidad, se evidenciaba que su vulneración se materializaba en una afrenta contra el derecho a la vida o a la integridad personal (sentencia T 192 de 2019). </w:t>
      </w:r>
    </w:p>
    <w:p w:rsidR="00805B28" w:rsidRDefault="00805B28">
      <w:pPr>
        <w:rPr>
          <w:rFonts w:ascii="Arial" w:eastAsia="Arial" w:hAnsi="Arial" w:cs="Arial"/>
          <w:color w:val="000000"/>
          <w:sz w:val="24"/>
          <w:szCs w:val="24"/>
          <w:highlight w:val="white"/>
        </w:rPr>
      </w:pPr>
    </w:p>
    <w:p w:rsidR="00805B28" w:rsidRDefault="00861838">
      <w:pPr>
        <w:shd w:val="clear" w:color="auto" w:fill="FFFFFF"/>
        <w:spacing w:after="0" w:line="240" w:lineRule="auto"/>
        <w:jc w:val="both"/>
        <w:rPr>
          <w:rFonts w:ascii="Arial" w:eastAsia="Arial" w:hAnsi="Arial" w:cs="Arial"/>
          <w:color w:val="2D2D2D"/>
          <w:sz w:val="24"/>
          <w:szCs w:val="24"/>
        </w:rPr>
      </w:pPr>
      <w:r>
        <w:rPr>
          <w:rFonts w:ascii="Arial" w:eastAsia="Arial" w:hAnsi="Arial" w:cs="Arial"/>
          <w:color w:val="000000"/>
          <w:sz w:val="24"/>
          <w:szCs w:val="24"/>
        </w:rPr>
        <w:t>La corte mencione la Sentencia T-742 de 2008, que señaló que por su relación intrínseca con la dignidad humana:</w:t>
      </w:r>
    </w:p>
    <w:p w:rsidR="00805B28" w:rsidRDefault="00861838">
      <w:pPr>
        <w:shd w:val="clear" w:color="auto" w:fill="FFFFFF"/>
        <w:spacing w:after="0" w:line="240" w:lineRule="auto"/>
        <w:jc w:val="both"/>
        <w:rPr>
          <w:rFonts w:ascii="Arial" w:eastAsia="Arial" w:hAnsi="Arial" w:cs="Arial"/>
          <w:color w:val="2D2D2D"/>
          <w:sz w:val="24"/>
          <w:szCs w:val="24"/>
        </w:rPr>
      </w:pPr>
      <w:r>
        <w:rPr>
          <w:rFonts w:ascii="Arial" w:eastAsia="Arial" w:hAnsi="Arial" w:cs="Arial"/>
          <w:color w:val="000000"/>
          <w:sz w:val="24"/>
          <w:szCs w:val="24"/>
        </w:rPr>
        <w:t> </w:t>
      </w:r>
    </w:p>
    <w:p w:rsidR="00805B28" w:rsidRDefault="00861838">
      <w:pPr>
        <w:shd w:val="clear" w:color="auto" w:fill="FFFFFF"/>
        <w:spacing w:after="0" w:line="240" w:lineRule="auto"/>
        <w:ind w:left="708"/>
        <w:jc w:val="both"/>
        <w:rPr>
          <w:rFonts w:ascii="Arial" w:eastAsia="Arial" w:hAnsi="Arial" w:cs="Arial"/>
          <w:color w:val="2D2D2D"/>
          <w:sz w:val="24"/>
          <w:szCs w:val="24"/>
        </w:rPr>
      </w:pPr>
      <w:r>
        <w:rPr>
          <w:rFonts w:ascii="Arial" w:eastAsia="Arial" w:hAnsi="Arial" w:cs="Arial"/>
          <w:color w:val="000000"/>
          <w:sz w:val="24"/>
          <w:szCs w:val="24"/>
        </w:rPr>
        <w:t>“la seguridad social es un verdadero derecho fundamental autónomo –calificado como “derecho irrenunciable” según el inciso 2° del artículo 48 constitucional; consagrado como “derecho de toda persona” de acuerdo al artículo 9° del PIDESC, el cual hace parte del bloque de constitucionalidad; y, finalmente, definido como “derecho humano” por parte del CDESC en la observación general número 19-</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Sentencia T-742 de 2008)</w:t>
      </w:r>
    </w:p>
    <w:p w:rsidR="00805B28" w:rsidRDefault="00805B28">
      <w:pPr>
        <w:rPr>
          <w:rFonts w:ascii="Arial" w:eastAsia="Arial" w:hAnsi="Arial" w:cs="Arial"/>
          <w:sz w:val="24"/>
          <w:szCs w:val="24"/>
        </w:rPr>
      </w:pPr>
    </w:p>
    <w:p w:rsidR="00805B28" w:rsidRDefault="00861838">
      <w:pPr>
        <w:shd w:val="clear" w:color="auto" w:fill="FFFFFF"/>
        <w:spacing w:after="0" w:line="240" w:lineRule="auto"/>
        <w:jc w:val="both"/>
        <w:rPr>
          <w:rFonts w:ascii="Arial" w:eastAsia="Arial" w:hAnsi="Arial" w:cs="Arial"/>
          <w:color w:val="2D2D2D"/>
          <w:sz w:val="24"/>
          <w:szCs w:val="24"/>
        </w:rPr>
      </w:pPr>
      <w:r>
        <w:rPr>
          <w:rFonts w:ascii="Arial" w:eastAsia="Arial" w:hAnsi="Arial" w:cs="Arial"/>
          <w:color w:val="000000"/>
          <w:sz w:val="24"/>
          <w:szCs w:val="24"/>
        </w:rPr>
        <w:t>Argumento reiterado en la  Sentencia C-1141 de 2008: </w:t>
      </w:r>
    </w:p>
    <w:p w:rsidR="00805B28" w:rsidRDefault="00861838">
      <w:pPr>
        <w:shd w:val="clear" w:color="auto" w:fill="FFFFFF"/>
        <w:spacing w:after="0" w:line="240" w:lineRule="auto"/>
        <w:jc w:val="both"/>
        <w:rPr>
          <w:rFonts w:ascii="Arial" w:eastAsia="Arial" w:hAnsi="Arial" w:cs="Arial"/>
          <w:color w:val="2D2D2D"/>
          <w:sz w:val="24"/>
          <w:szCs w:val="24"/>
        </w:rPr>
      </w:pPr>
      <w:r>
        <w:rPr>
          <w:rFonts w:ascii="Arial" w:eastAsia="Arial" w:hAnsi="Arial" w:cs="Arial"/>
          <w:i/>
          <w:color w:val="000000"/>
          <w:sz w:val="24"/>
          <w:szCs w:val="24"/>
        </w:rPr>
        <w:t> </w:t>
      </w:r>
    </w:p>
    <w:p w:rsidR="00805B28" w:rsidRDefault="00861838">
      <w:pPr>
        <w:shd w:val="clear" w:color="auto" w:fill="FFFFFF"/>
        <w:spacing w:after="0" w:line="240" w:lineRule="auto"/>
        <w:ind w:left="708"/>
        <w:jc w:val="both"/>
        <w:rPr>
          <w:rFonts w:ascii="Arial" w:eastAsia="Arial" w:hAnsi="Arial" w:cs="Arial"/>
          <w:color w:val="2D2D2D"/>
          <w:sz w:val="24"/>
          <w:szCs w:val="24"/>
        </w:rPr>
      </w:pPr>
      <w:r>
        <w:rPr>
          <w:rFonts w:ascii="Arial" w:eastAsia="Arial" w:hAnsi="Arial" w:cs="Arial"/>
          <w:color w:val="000000"/>
          <w:sz w:val="24"/>
          <w:szCs w:val="24"/>
        </w:rPr>
        <w:t xml:space="preserve">“[E]l derecho a la seguridad social, en la medida en que es de importancia fundamental para garantizar a todas las personas su dignidad humana es un verdadero derecho fundamental cuyo desarrollo, si bien ha sido confiado a entidades específicas que participan en el sistema general de seguridad social fundado por la Ley 100 de 1993, encuentra una configuración normativa preestablecida en el texto constitucional (artículo 49 superior) y en los tratados internacionales que hacen parte del bloque de constitucionalidad; cuerpos normativos que dan cuenta de una categoría </w:t>
      </w:r>
      <w:proofErr w:type="spellStart"/>
      <w:r>
        <w:rPr>
          <w:rFonts w:ascii="Arial" w:eastAsia="Arial" w:hAnsi="Arial" w:cs="Arial"/>
          <w:color w:val="000000"/>
          <w:sz w:val="24"/>
          <w:szCs w:val="24"/>
        </w:rPr>
        <w:t>iusfundamental</w:t>
      </w:r>
      <w:proofErr w:type="spellEnd"/>
      <w:r>
        <w:rPr>
          <w:rFonts w:ascii="Arial" w:eastAsia="Arial" w:hAnsi="Arial" w:cs="Arial"/>
          <w:color w:val="000000"/>
          <w:sz w:val="24"/>
          <w:szCs w:val="24"/>
        </w:rPr>
        <w:t xml:space="preserve"> íntimamente arraigada al principio de dignidad humana, razón por la cual su especificación en el nivel legislativo se encuentra sometida a contenidos sustanciales preestablecidos”( Sentencia C-1141 de 2008 )</w:t>
      </w:r>
    </w:p>
    <w:p w:rsidR="00805B28" w:rsidRDefault="00805B28">
      <w:pPr>
        <w:rPr>
          <w:rFonts w:ascii="Arial" w:eastAsia="Arial" w:hAnsi="Arial" w:cs="Arial"/>
          <w:sz w:val="24"/>
          <w:szCs w:val="24"/>
        </w:rPr>
      </w:pPr>
    </w:p>
    <w:p w:rsidR="00805B28" w:rsidRDefault="00861838">
      <w:pPr>
        <w:jc w:val="both"/>
        <w:rPr>
          <w:rFonts w:ascii="Arial" w:eastAsia="Arial" w:hAnsi="Arial" w:cs="Arial"/>
          <w:sz w:val="24"/>
          <w:szCs w:val="24"/>
        </w:rPr>
      </w:pPr>
      <w:r>
        <w:rPr>
          <w:rFonts w:ascii="Arial" w:eastAsia="Arial" w:hAnsi="Arial" w:cs="Arial"/>
          <w:sz w:val="24"/>
          <w:szCs w:val="24"/>
        </w:rPr>
        <w:lastRenderedPageBreak/>
        <w:t xml:space="preserve">A su vez la Corporación de manera diáfana explica la forma como se garantiza este derecho. </w:t>
      </w:r>
    </w:p>
    <w:p w:rsidR="00805B28" w:rsidRDefault="00805B28">
      <w:pPr>
        <w:rPr>
          <w:rFonts w:ascii="Arial" w:eastAsia="Arial" w:hAnsi="Arial" w:cs="Arial"/>
          <w:sz w:val="24"/>
          <w:szCs w:val="24"/>
        </w:rPr>
      </w:pPr>
    </w:p>
    <w:p w:rsidR="00805B28" w:rsidRDefault="00861838">
      <w:pPr>
        <w:shd w:val="clear" w:color="auto" w:fill="FFFFFF"/>
        <w:spacing w:after="0" w:line="240" w:lineRule="auto"/>
        <w:ind w:left="708"/>
        <w:jc w:val="both"/>
        <w:rPr>
          <w:rFonts w:ascii="Arial" w:eastAsia="Arial" w:hAnsi="Arial" w:cs="Arial"/>
          <w:color w:val="2D2D2D"/>
          <w:sz w:val="24"/>
          <w:szCs w:val="24"/>
        </w:rPr>
      </w:pPr>
      <w:r>
        <w:rPr>
          <w:rFonts w:ascii="Arial" w:eastAsia="Arial" w:hAnsi="Arial" w:cs="Arial"/>
          <w:color w:val="000000"/>
          <w:sz w:val="24"/>
          <w:szCs w:val="24"/>
        </w:rPr>
        <w:t>La Ley 100 de 1993, por la cual se creó el sistema de seguridad social integral, estipuló que el SGSSS cubre a todos los residentes en el país y, por lo tanto, todas las personas tienen la posibilidad de participar en él; unos en su condición de (i) afiliados al régimen contributivo, otros como (ii) afiliados al régimen subsidiado. Los primeros son las personas vinculadas a través de contrato de trabajo, los servidores públicos, los pensionados y jubilados y los trabajadores independientes con capacidad de pago. Los segundos son las personas sin capacidad de pago para cotizar al sistema; se trata de la población más pobre y vulnerable del país a la que se le subsidia su participación en el SGSSS.</w:t>
      </w:r>
    </w:p>
    <w:p w:rsidR="00805B28" w:rsidRDefault="00861838">
      <w:pPr>
        <w:shd w:val="clear" w:color="auto" w:fill="FFFFFF"/>
        <w:spacing w:after="0" w:line="240" w:lineRule="auto"/>
        <w:ind w:left="708"/>
        <w:jc w:val="both"/>
        <w:rPr>
          <w:rFonts w:ascii="Arial" w:eastAsia="Arial" w:hAnsi="Arial" w:cs="Arial"/>
          <w:color w:val="2D2D2D"/>
          <w:sz w:val="24"/>
          <w:szCs w:val="24"/>
        </w:rPr>
      </w:pPr>
      <w:r>
        <w:rPr>
          <w:rFonts w:ascii="Arial" w:eastAsia="Arial" w:hAnsi="Arial" w:cs="Arial"/>
          <w:color w:val="000000"/>
          <w:sz w:val="24"/>
          <w:szCs w:val="24"/>
        </w:rPr>
        <w:t> </w:t>
      </w:r>
    </w:p>
    <w:p w:rsidR="00805B28" w:rsidRDefault="00861838">
      <w:pPr>
        <w:ind w:left="708"/>
        <w:jc w:val="both"/>
        <w:rPr>
          <w:rFonts w:ascii="Arial" w:eastAsia="Arial" w:hAnsi="Arial" w:cs="Arial"/>
          <w:color w:val="000000"/>
          <w:sz w:val="24"/>
          <w:szCs w:val="24"/>
          <w:highlight w:val="white"/>
        </w:rPr>
      </w:pPr>
      <w:r>
        <w:rPr>
          <w:rFonts w:ascii="Arial" w:eastAsia="Arial" w:hAnsi="Arial" w:cs="Arial"/>
          <w:color w:val="000000"/>
          <w:sz w:val="24"/>
          <w:szCs w:val="24"/>
        </w:rPr>
        <w:t>Además de estos dos tipos de participantes del SGSSS, el Legislador también ha regulado la atención en salud de un tercer grupo: la población pobre no asegurada que no se encuentra afiliada ni al régimen contributivo ni al subsidiado, y que carece de medios de pago para sufragar los servicios de salud, quienes</w:t>
      </w:r>
      <w:r>
        <w:rPr>
          <w:rFonts w:ascii="Arial" w:eastAsia="Arial" w:hAnsi="Arial" w:cs="Arial"/>
          <w:color w:val="000000"/>
          <w:sz w:val="24"/>
          <w:szCs w:val="24"/>
          <w:highlight w:val="white"/>
        </w:rPr>
        <w:t xml:space="preserve"> mientras logran ser beneficiarios del régimen subsidiado tendrán derecho a los servicios de atención de salud que prestan las instituciones públicas y aquellas privadas que tengan contrato con el Estado. (Sentencia T 192 de 2019). </w:t>
      </w:r>
    </w:p>
    <w:p w:rsidR="00805B28" w:rsidRDefault="00805B28">
      <w:pPr>
        <w:jc w:val="both"/>
        <w:rPr>
          <w:rFonts w:ascii="Arial" w:eastAsia="Arial" w:hAnsi="Arial" w:cs="Arial"/>
          <w:color w:val="000000"/>
          <w:sz w:val="24"/>
          <w:szCs w:val="24"/>
          <w:highlight w:val="white"/>
        </w:rPr>
      </w:pPr>
    </w:p>
    <w:p w:rsidR="00805B28" w:rsidRDefault="00861838">
      <w:pPr>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Por otro lado la Organización de las Naciones Unidas sobre el derecho a la seguridad social ha manifestado: </w:t>
      </w:r>
    </w:p>
    <w:p w:rsidR="00805B28" w:rsidRDefault="00861838">
      <w:pPr>
        <w:ind w:left="708"/>
        <w:rPr>
          <w:rFonts w:ascii="Arial" w:eastAsia="Arial" w:hAnsi="Arial" w:cs="Arial"/>
          <w:sz w:val="24"/>
          <w:szCs w:val="24"/>
        </w:rPr>
      </w:pPr>
      <w:r>
        <w:rPr>
          <w:rFonts w:ascii="Arial" w:eastAsia="Arial" w:hAnsi="Arial" w:cs="Arial"/>
          <w:sz w:val="24"/>
          <w:szCs w:val="24"/>
        </w:rPr>
        <w:t>El derecho a la seguridad social incluye el derecho a obtener y mantener prestaciones sociales, sin discriminación, con el fin de obtener protección, en particular contra:</w:t>
      </w:r>
    </w:p>
    <w:p w:rsidR="00805B28" w:rsidRDefault="0086183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 falta de ingresos procedentes del trabajo debido a enfermedad, invalidez, maternidad, accidente laboral, vejez o muerte de un familiar;</w:t>
      </w:r>
    </w:p>
    <w:p w:rsidR="00805B28" w:rsidRDefault="0086183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gastos excesivos de atención de salud; y</w:t>
      </w:r>
    </w:p>
    <w:p w:rsidR="00805B28" w:rsidRDefault="00861838">
      <w:pPr>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un apoyo familiar insuficiente, en particular para los hijos y los familiares a cargo.</w:t>
      </w:r>
    </w:p>
    <w:p w:rsidR="00805B28" w:rsidRDefault="00861838">
      <w:pPr>
        <w:ind w:left="708"/>
        <w:rPr>
          <w:rFonts w:ascii="Arial" w:eastAsia="Arial" w:hAnsi="Arial" w:cs="Arial"/>
          <w:sz w:val="24"/>
          <w:szCs w:val="24"/>
        </w:rPr>
      </w:pPr>
      <w:r>
        <w:rPr>
          <w:rFonts w:ascii="Arial" w:eastAsia="Arial" w:hAnsi="Arial" w:cs="Arial"/>
          <w:sz w:val="24"/>
          <w:szCs w:val="24"/>
        </w:rPr>
        <w:t>La seguridad social desempeña un papel importante para reducir y mitigar la pobreza, prevenir la exclusión social y promover la inclusión social. (ONU. S,F)</w:t>
      </w:r>
    </w:p>
    <w:p w:rsidR="00805B28" w:rsidRDefault="00805B28">
      <w:pPr>
        <w:rPr>
          <w:rFonts w:ascii="Arial" w:eastAsia="Arial" w:hAnsi="Arial" w:cs="Arial"/>
          <w:sz w:val="24"/>
          <w:szCs w:val="24"/>
        </w:rPr>
      </w:pPr>
    </w:p>
    <w:p w:rsidR="00805B28" w:rsidRDefault="00805B28">
      <w:pPr>
        <w:rPr>
          <w:rFonts w:ascii="Arial" w:eastAsia="Arial" w:hAnsi="Arial" w:cs="Arial"/>
          <w:sz w:val="24"/>
          <w:szCs w:val="24"/>
        </w:rPr>
      </w:pPr>
    </w:p>
    <w:p w:rsidR="00805B28" w:rsidRDefault="00861838">
      <w:pPr>
        <w:jc w:val="both"/>
        <w:rPr>
          <w:rFonts w:ascii="Arial" w:eastAsia="Arial" w:hAnsi="Arial" w:cs="Arial"/>
          <w:sz w:val="24"/>
          <w:szCs w:val="24"/>
        </w:rPr>
      </w:pPr>
      <w:r>
        <w:rPr>
          <w:rFonts w:ascii="Arial" w:eastAsia="Arial" w:hAnsi="Arial" w:cs="Arial"/>
          <w:sz w:val="24"/>
          <w:szCs w:val="24"/>
        </w:rPr>
        <w:t xml:space="preserve">El Comité de Derechos Económicos, Sociales y Culturales de las Naciones Unidas en la observación general No 19 sobre el derecho a la seguridad social ha manifestado que los Estados Partes deben tomar medidas efectivas las cuales no podrán ser restrictivas y garantizar un disfrute mínimo del derecho, en todo caso, deben garantizar a toda persona un disfrute mínimo de este derecho humano. Estas medidas pueden consistir en: </w:t>
      </w:r>
    </w:p>
    <w:p w:rsidR="00805B28" w:rsidRDefault="00805B28">
      <w:pPr>
        <w:shd w:val="clear" w:color="auto" w:fill="FFFFFF"/>
        <w:spacing w:after="0" w:line="240" w:lineRule="auto"/>
        <w:jc w:val="both"/>
        <w:rPr>
          <w:rFonts w:ascii="Arial" w:eastAsia="Arial" w:hAnsi="Arial" w:cs="Arial"/>
          <w:sz w:val="24"/>
          <w:szCs w:val="24"/>
        </w:rPr>
      </w:pPr>
    </w:p>
    <w:p w:rsidR="00805B28" w:rsidRDefault="00861838">
      <w:pPr>
        <w:numPr>
          <w:ilvl w:val="0"/>
          <w:numId w:val="3"/>
        </w:num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Planes contributivos o planes basados en un seguro, como el seguro social expresamente mencionado en el artículo 9. Estos planes implican generalmente el pago de cotizaciones obligatorias de los beneficiarios, los empleadores y a veces el Estado, juntamente con el pago de las prestaciones y los gastos administrativos con cargo a un fondo común. </w:t>
      </w:r>
    </w:p>
    <w:p w:rsidR="00805B28" w:rsidRDefault="00805B28">
      <w:pPr>
        <w:pBdr>
          <w:top w:val="nil"/>
          <w:left w:val="nil"/>
          <w:bottom w:val="nil"/>
          <w:right w:val="nil"/>
          <w:between w:val="nil"/>
        </w:pBdr>
        <w:shd w:val="clear" w:color="auto" w:fill="FFFFFF"/>
        <w:spacing w:after="0" w:line="240" w:lineRule="auto"/>
        <w:ind w:left="720"/>
        <w:jc w:val="both"/>
        <w:rPr>
          <w:rFonts w:ascii="Arial" w:eastAsia="Arial" w:hAnsi="Arial" w:cs="Arial"/>
          <w:color w:val="000000"/>
          <w:sz w:val="24"/>
          <w:szCs w:val="24"/>
        </w:rPr>
      </w:pPr>
    </w:p>
    <w:p w:rsidR="00805B28" w:rsidRDefault="00861838">
      <w:pPr>
        <w:numPr>
          <w:ilvl w:val="0"/>
          <w:numId w:val="3"/>
        </w:num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Los planes no contributivos, como los planes universales (que en principio ofrecen la prestación correspondiente a toda persona expuesta a un riesgo o situación imprevista particular) o los planes de asistencia social destinados a determinados beneficiarios (en que reciben las prestaciones las personas necesitadas). En casi todos los Estados habrá necesidad de planes no contributivos, ya que es poco probable que pueda proporcionarse la protección necesaria a todas las personas mediante un sistema basado en un seguro. </w:t>
      </w:r>
    </w:p>
    <w:p w:rsidR="00805B28" w:rsidRDefault="00805B28">
      <w:pPr>
        <w:pBdr>
          <w:top w:val="nil"/>
          <w:left w:val="nil"/>
          <w:bottom w:val="nil"/>
          <w:right w:val="nil"/>
          <w:between w:val="nil"/>
        </w:pBdr>
        <w:spacing w:after="0"/>
        <w:ind w:left="720"/>
        <w:rPr>
          <w:rFonts w:ascii="Arial" w:eastAsia="Arial" w:hAnsi="Arial" w:cs="Arial"/>
          <w:color w:val="000000"/>
          <w:sz w:val="24"/>
          <w:szCs w:val="24"/>
        </w:rPr>
      </w:pPr>
    </w:p>
    <w:p w:rsidR="00805B28" w:rsidRDefault="00861838">
      <w:pPr>
        <w:numPr>
          <w:ilvl w:val="0"/>
          <w:numId w:val="1"/>
        </w:num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También son aceptables otras formas de seguridad social, en particular: a) los planes privados y b) las medidas de autoayuda u otras medidas, como los planes comunitarios o los planes de asistencia mutua. Cualquiera que sea el sistema elegido, debe respetar los elementos esenciales del derecho a la seguridad social y, en ese sentido, deben ser considerados como planes que contribuyen a la seguridad social y por consiguiente deberán estar amparados por los Estados, de conformidad con la presente observación general. (Consejo Económico y Social, 2007,p.2)</w:t>
      </w:r>
    </w:p>
    <w:p w:rsidR="00805B28" w:rsidRDefault="00805B28">
      <w:pPr>
        <w:shd w:val="clear" w:color="auto" w:fill="FFFFFF"/>
        <w:spacing w:after="0" w:line="240" w:lineRule="auto"/>
        <w:ind w:left="1068"/>
        <w:jc w:val="both"/>
      </w:pPr>
    </w:p>
    <w:p w:rsidR="00805B28" w:rsidRDefault="00805B28">
      <w:pPr>
        <w:rPr>
          <w:rFonts w:ascii="Arial" w:eastAsia="Arial" w:hAnsi="Arial" w:cs="Arial"/>
          <w:sz w:val="24"/>
          <w:szCs w:val="24"/>
        </w:rPr>
      </w:pPr>
    </w:p>
    <w:p w:rsidR="00805B28" w:rsidRDefault="00861838">
      <w:pPr>
        <w:jc w:val="both"/>
        <w:rPr>
          <w:rFonts w:ascii="Arial" w:eastAsia="Arial" w:hAnsi="Arial" w:cs="Arial"/>
          <w:sz w:val="24"/>
          <w:szCs w:val="24"/>
        </w:rPr>
      </w:pPr>
      <w:r>
        <w:rPr>
          <w:rFonts w:ascii="Arial" w:eastAsia="Arial" w:hAnsi="Arial" w:cs="Arial"/>
          <w:sz w:val="24"/>
          <w:szCs w:val="24"/>
        </w:rPr>
        <w:t xml:space="preserve">Lo anterior permite concluir que el derecho a la seguridad social es un derecho fundamental, irrenunciable que presenta una relación directa con la dignidad humana, para lo cual el Estado debe establecer garantías materiales y legales que permita el goce efectivo del derecho fundamental a la seguridad social. </w:t>
      </w:r>
    </w:p>
    <w:p w:rsidR="00805B28" w:rsidRDefault="00805B28">
      <w:pPr>
        <w:jc w:val="both"/>
        <w:rPr>
          <w:rFonts w:ascii="Arial" w:eastAsia="Arial" w:hAnsi="Arial" w:cs="Arial"/>
          <w:sz w:val="24"/>
          <w:szCs w:val="24"/>
        </w:rPr>
      </w:pPr>
    </w:p>
    <w:p w:rsidR="00805B28" w:rsidRDefault="00805B28">
      <w:pPr>
        <w:rPr>
          <w:rFonts w:ascii="Arial" w:eastAsia="Arial" w:hAnsi="Arial" w:cs="Arial"/>
          <w:sz w:val="24"/>
          <w:szCs w:val="24"/>
        </w:rPr>
      </w:pPr>
    </w:p>
    <w:p w:rsidR="00805B28" w:rsidRDefault="00861838">
      <w:pPr>
        <w:jc w:val="both"/>
        <w:rPr>
          <w:rFonts w:ascii="Arial" w:eastAsia="Arial" w:hAnsi="Arial" w:cs="Arial"/>
          <w:color w:val="000000"/>
          <w:sz w:val="24"/>
          <w:szCs w:val="24"/>
        </w:rPr>
      </w:pPr>
      <w:r>
        <w:rPr>
          <w:rFonts w:ascii="Arial" w:eastAsia="Arial" w:hAnsi="Arial" w:cs="Arial"/>
          <w:sz w:val="24"/>
          <w:szCs w:val="24"/>
        </w:rPr>
        <w:lastRenderedPageBreak/>
        <w:t xml:space="preserve">Por tanto al ampliar el </w:t>
      </w:r>
      <w:r>
        <w:rPr>
          <w:rFonts w:ascii="Arial" w:eastAsia="Arial" w:hAnsi="Arial" w:cs="Arial"/>
          <w:color w:val="000000"/>
          <w:sz w:val="24"/>
          <w:szCs w:val="24"/>
        </w:rPr>
        <w:t xml:space="preserve">grupo familiar del afiliado cotizante, se establece una herramienta amplia y novedosa que contribuye a dicha garantía del derecho. Lo cual permitiría a más actores contribuir con este fin, cuyos beneficiarios representan en su mayoría personas mayores con dependencia económica y sin pensión.  </w:t>
      </w:r>
    </w:p>
    <w:p w:rsidR="00805B28" w:rsidRDefault="00861838">
      <w:pPr>
        <w:jc w:val="both"/>
        <w:rPr>
          <w:rFonts w:ascii="Arial" w:eastAsia="Arial" w:hAnsi="Arial" w:cs="Arial"/>
          <w:sz w:val="24"/>
          <w:szCs w:val="24"/>
        </w:rPr>
      </w:pPr>
      <w:r>
        <w:rPr>
          <w:rFonts w:ascii="Arial" w:eastAsia="Arial" w:hAnsi="Arial" w:cs="Arial"/>
          <w:sz w:val="24"/>
          <w:szCs w:val="24"/>
        </w:rPr>
        <w:t xml:space="preserve">El Decreto 780 de 2016 Sector Salud y Protección Social en el artículo 2.1.1.3, establece en el numeral 3 </w:t>
      </w:r>
    </w:p>
    <w:p w:rsidR="00805B28" w:rsidRDefault="00861838">
      <w:pPr>
        <w:jc w:val="both"/>
        <w:rPr>
          <w:rFonts w:ascii="Arial" w:eastAsia="Arial" w:hAnsi="Arial" w:cs="Arial"/>
          <w:sz w:val="24"/>
          <w:szCs w:val="24"/>
        </w:rPr>
      </w:pPr>
      <w:r>
        <w:rPr>
          <w:rFonts w:ascii="Arial" w:eastAsia="Arial" w:hAnsi="Arial" w:cs="Arial"/>
          <w:sz w:val="24"/>
          <w:szCs w:val="24"/>
          <w:highlight w:val="white"/>
        </w:rPr>
        <w:t>3. Afiliado adicional al Régimen Contributivo: Es la persona que, por no cumplir los requisitos para ser cotizante o beneficiario en el Régimen Contributivo, conforme a lo previsto en la presente Parte se inscribe en el núcleo familiar de un afiliado cotizante mediante el pago de una Unidad de Pago por Capitación adicional.</w:t>
      </w:r>
    </w:p>
    <w:p w:rsidR="00805B28" w:rsidRDefault="00861838">
      <w:pPr>
        <w:jc w:val="both"/>
        <w:rPr>
          <w:rFonts w:ascii="Arial" w:eastAsia="Arial" w:hAnsi="Arial" w:cs="Arial"/>
          <w:sz w:val="24"/>
          <w:szCs w:val="24"/>
        </w:rPr>
      </w:pPr>
      <w:r>
        <w:rPr>
          <w:rFonts w:ascii="Arial" w:eastAsia="Arial" w:hAnsi="Arial" w:cs="Arial"/>
          <w:sz w:val="24"/>
          <w:szCs w:val="24"/>
        </w:rPr>
        <w:t>Esta unidad de pago por capitalización está regulada en la resolución 2381 DE 2021. “Por la cual se fija el valor anual de la Unidad de Pago por Capitación (UPC) que financiará los servicios y tecnologías de salud de los Regímenes Contributivo y Subsidiado para la vigencia 2022 y se dictan otras disposiciones”</w:t>
      </w:r>
    </w:p>
    <w:p w:rsidR="00805B28" w:rsidRDefault="00805B28">
      <w:pPr>
        <w:pBdr>
          <w:top w:val="nil"/>
          <w:left w:val="nil"/>
          <w:bottom w:val="nil"/>
          <w:right w:val="nil"/>
          <w:between w:val="nil"/>
        </w:pBdr>
        <w:spacing w:after="0" w:line="240" w:lineRule="auto"/>
        <w:jc w:val="both"/>
        <w:rPr>
          <w:rFonts w:ascii="Arial" w:eastAsia="Arial" w:hAnsi="Arial" w:cs="Arial"/>
          <w:color w:val="000000"/>
          <w:sz w:val="24"/>
          <w:szCs w:val="24"/>
        </w:rPr>
      </w:pPr>
    </w:p>
    <w:p w:rsidR="00805B28" w:rsidRDefault="0086183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El artículo 1 establece: </w:t>
      </w:r>
    </w:p>
    <w:p w:rsidR="00805B28" w:rsidRDefault="00805B28">
      <w:pPr>
        <w:pBdr>
          <w:top w:val="nil"/>
          <w:left w:val="nil"/>
          <w:bottom w:val="nil"/>
          <w:right w:val="nil"/>
          <w:between w:val="nil"/>
        </w:pBdr>
        <w:spacing w:after="0" w:line="240" w:lineRule="auto"/>
        <w:jc w:val="both"/>
        <w:rPr>
          <w:rFonts w:ascii="Arial" w:eastAsia="Arial" w:hAnsi="Arial" w:cs="Arial"/>
          <w:color w:val="000000"/>
          <w:sz w:val="24"/>
          <w:szCs w:val="24"/>
        </w:rPr>
      </w:pPr>
    </w:p>
    <w:p w:rsidR="00805B28" w:rsidRDefault="0086183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Unidad de Pago por Capitación</w:t>
      </w:r>
      <w:r>
        <w:rPr>
          <w:rFonts w:ascii="Arial" w:eastAsia="Arial" w:hAnsi="Arial" w:cs="Arial"/>
          <w:b/>
          <w:color w:val="000000"/>
          <w:sz w:val="24"/>
          <w:szCs w:val="24"/>
        </w:rPr>
        <w:t>.</w:t>
      </w:r>
      <w:r>
        <w:rPr>
          <w:rFonts w:ascii="Arial" w:eastAsia="Arial" w:hAnsi="Arial" w:cs="Arial"/>
          <w:color w:val="000000"/>
          <w:sz w:val="24"/>
          <w:szCs w:val="24"/>
        </w:rPr>
        <w:t> Determínese como valor anual de la Unidad de Pago por Capitación del Régimen Contributivo (UPC-C) para el año 2022 por concepto de las tecnologías y servicios de salud que se venían financiando con esta fuente, la suma de NOVECIENTOS OCHENTA Y NUEVE MIL SETECIENTOS DOCE PESOS ($989.712), cuyo valor diario será de DOS MIL SETECIENTOS CUARENTA Y NUEVE PESOS CON VEINTE CENTAVOS ($2.749,20). </w:t>
      </w:r>
    </w:p>
    <w:p w:rsidR="00805B28" w:rsidRDefault="00805B28">
      <w:pPr>
        <w:spacing w:after="0"/>
        <w:jc w:val="both"/>
        <w:rPr>
          <w:rFonts w:ascii="Arial" w:eastAsia="Arial" w:hAnsi="Arial" w:cs="Arial"/>
          <w:color w:val="000000"/>
          <w:sz w:val="24"/>
          <w:szCs w:val="24"/>
        </w:rPr>
      </w:pPr>
    </w:p>
    <w:p w:rsidR="00805B28" w:rsidRDefault="00861838">
      <w:pPr>
        <w:spacing w:after="0"/>
        <w:jc w:val="both"/>
        <w:rPr>
          <w:rFonts w:ascii="Arial" w:eastAsia="Arial" w:hAnsi="Arial" w:cs="Arial"/>
          <w:color w:val="000000"/>
          <w:sz w:val="24"/>
          <w:szCs w:val="24"/>
        </w:rPr>
      </w:pPr>
      <w:r>
        <w:rPr>
          <w:rFonts w:ascii="Arial" w:eastAsia="Arial" w:hAnsi="Arial" w:cs="Arial"/>
          <w:color w:val="000000"/>
          <w:sz w:val="24"/>
          <w:szCs w:val="24"/>
        </w:rPr>
        <w:t>La estructura de costo por grupo etario de la UPC-C es la siguiente:</w:t>
      </w:r>
    </w:p>
    <w:p w:rsidR="00805B28" w:rsidRDefault="00805B28">
      <w:pPr>
        <w:spacing w:after="0"/>
        <w:jc w:val="both"/>
        <w:rPr>
          <w:rFonts w:ascii="Arial" w:eastAsia="Arial" w:hAnsi="Arial" w:cs="Arial"/>
          <w:color w:val="000000"/>
          <w:sz w:val="24"/>
          <w:szCs w:val="24"/>
        </w:rPr>
      </w:pPr>
    </w:p>
    <w:p w:rsidR="00805B28" w:rsidRDefault="00861838">
      <w:pPr>
        <w:jc w:val="both"/>
        <w:rPr>
          <w:rFonts w:ascii="Arial" w:eastAsia="Arial" w:hAnsi="Arial" w:cs="Arial"/>
          <w:sz w:val="24"/>
          <w:szCs w:val="24"/>
        </w:rPr>
      </w:pPr>
      <w:r>
        <w:rPr>
          <w:noProof/>
        </w:rPr>
        <w:drawing>
          <wp:inline distT="0" distB="0" distL="0" distR="0">
            <wp:extent cx="4611066" cy="2518221"/>
            <wp:effectExtent l="0" t="0" r="0" b="0"/>
            <wp:docPr id="2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l="26137" t="41285" r="27868" b="13455"/>
                    <a:stretch>
                      <a:fillRect/>
                    </a:stretch>
                  </pic:blipFill>
                  <pic:spPr>
                    <a:xfrm>
                      <a:off x="0" y="0"/>
                      <a:ext cx="4611066" cy="2518221"/>
                    </a:xfrm>
                    <a:prstGeom prst="rect">
                      <a:avLst/>
                    </a:prstGeom>
                    <a:ln/>
                  </pic:spPr>
                </pic:pic>
              </a:graphicData>
            </a:graphic>
          </wp:inline>
        </w:drawing>
      </w:r>
    </w:p>
    <w:p w:rsidR="00805B28" w:rsidRDefault="00805B28">
      <w:pPr>
        <w:jc w:val="both"/>
        <w:rPr>
          <w:rFonts w:ascii="Arial" w:eastAsia="Arial" w:hAnsi="Arial" w:cs="Arial"/>
          <w:sz w:val="24"/>
          <w:szCs w:val="24"/>
        </w:rPr>
      </w:pPr>
    </w:p>
    <w:p w:rsidR="00805B28" w:rsidRDefault="0086183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Artículo 2°.</w:t>
      </w:r>
      <w:r>
        <w:rPr>
          <w:rFonts w:ascii="Arial" w:eastAsia="Arial" w:hAnsi="Arial" w:cs="Arial"/>
          <w:i/>
          <w:color w:val="000000"/>
          <w:sz w:val="24"/>
          <w:szCs w:val="24"/>
        </w:rPr>
        <w:t> Unidad de Pago por Capitación por zona especial de dispersión geográfica</w:t>
      </w:r>
      <w:r>
        <w:rPr>
          <w:rFonts w:ascii="Arial" w:eastAsia="Arial" w:hAnsi="Arial" w:cs="Arial"/>
          <w:color w:val="000000"/>
          <w:sz w:val="24"/>
          <w:szCs w:val="24"/>
        </w:rPr>
        <w:t>. A la Unidad de Pago por Capitación del Régimen Contributivo (UPC-C) prevista en el artículo 1° del presente acto administrativo, se le incluye una prima adicional para zona especial por dispersión geográfica del 10% en los municipios y áreas no municipalizadas señalados en el Anexo 1 de la presente resolución, dando como resultado un valor de Unidad de Pago por Capitación UPC-C anual de UN MILLÓN OCHENTA Y OCHO MIL SEISCIENTOS OCHENTA Y TRES PESOS CON VEINTE CENTAVOS ($1.088.683,20) que corresponde a un valor diario de TRES MIL VEINTICUATRO PESOS CON DOCE CENTAVOS ($3.024,12). </w:t>
      </w:r>
    </w:p>
    <w:p w:rsidR="00805B28" w:rsidRDefault="00861838">
      <w:pPr>
        <w:spacing w:after="0"/>
        <w:jc w:val="both"/>
        <w:rPr>
          <w:rFonts w:ascii="Arial" w:eastAsia="Arial" w:hAnsi="Arial" w:cs="Arial"/>
          <w:color w:val="000000"/>
          <w:sz w:val="24"/>
          <w:szCs w:val="24"/>
        </w:rPr>
      </w:pPr>
      <w:r>
        <w:rPr>
          <w:rFonts w:ascii="Arial" w:eastAsia="Arial" w:hAnsi="Arial" w:cs="Arial"/>
          <w:color w:val="000000"/>
          <w:sz w:val="24"/>
          <w:szCs w:val="24"/>
        </w:rPr>
        <w:t>La estructura de costo por grupo etario de la UPC-C es la siguiente: </w:t>
      </w:r>
    </w:p>
    <w:p w:rsidR="00805B28" w:rsidRDefault="00805B28">
      <w:pPr>
        <w:jc w:val="both"/>
        <w:rPr>
          <w:rFonts w:ascii="Arial" w:eastAsia="Arial" w:hAnsi="Arial" w:cs="Arial"/>
          <w:sz w:val="24"/>
          <w:szCs w:val="24"/>
        </w:rPr>
      </w:pPr>
    </w:p>
    <w:p w:rsidR="00805B28" w:rsidRDefault="00861838">
      <w:pPr>
        <w:jc w:val="both"/>
        <w:rPr>
          <w:rFonts w:ascii="Arial" w:eastAsia="Arial" w:hAnsi="Arial" w:cs="Arial"/>
          <w:sz w:val="24"/>
          <w:szCs w:val="24"/>
        </w:rPr>
      </w:pPr>
      <w:r>
        <w:rPr>
          <w:noProof/>
        </w:rPr>
        <w:drawing>
          <wp:inline distT="0" distB="0" distL="0" distR="0">
            <wp:extent cx="4590816" cy="2414429"/>
            <wp:effectExtent l="0" t="0" r="0" b="0"/>
            <wp:docPr id="2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l="26307" t="36224" r="27868" b="20909"/>
                    <a:stretch>
                      <a:fillRect/>
                    </a:stretch>
                  </pic:blipFill>
                  <pic:spPr>
                    <a:xfrm>
                      <a:off x="0" y="0"/>
                      <a:ext cx="4590816" cy="2414429"/>
                    </a:xfrm>
                    <a:prstGeom prst="rect">
                      <a:avLst/>
                    </a:prstGeom>
                    <a:ln/>
                  </pic:spPr>
                </pic:pic>
              </a:graphicData>
            </a:graphic>
          </wp:inline>
        </w:drawing>
      </w:r>
    </w:p>
    <w:p w:rsidR="00805B28" w:rsidRDefault="00805B28">
      <w:pPr>
        <w:jc w:val="both"/>
        <w:rPr>
          <w:rFonts w:ascii="Arial" w:eastAsia="Arial" w:hAnsi="Arial" w:cs="Arial"/>
          <w:sz w:val="24"/>
          <w:szCs w:val="24"/>
        </w:rPr>
      </w:pPr>
    </w:p>
    <w:p w:rsidR="00805B28" w:rsidRDefault="00861838">
      <w:pPr>
        <w:jc w:val="both"/>
        <w:rPr>
          <w:rFonts w:ascii="Arial" w:eastAsia="Arial" w:hAnsi="Arial" w:cs="Arial"/>
          <w:sz w:val="24"/>
          <w:szCs w:val="24"/>
        </w:rPr>
      </w:pPr>
      <w:r>
        <w:rPr>
          <w:rFonts w:ascii="Arial" w:eastAsia="Arial" w:hAnsi="Arial" w:cs="Arial"/>
          <w:sz w:val="24"/>
          <w:szCs w:val="24"/>
        </w:rPr>
        <w:t xml:space="preserve">El artículo 3 establece el monto por Unidad de pago por capitación para ciudades, el artículo 4. Por Unidad de pago por capitación para zona alejada y los siguientes artículos establece demás cobros. </w:t>
      </w:r>
    </w:p>
    <w:p w:rsidR="00805B28" w:rsidRDefault="00861838">
      <w:pPr>
        <w:jc w:val="both"/>
        <w:rPr>
          <w:rFonts w:ascii="Arial" w:eastAsia="Arial" w:hAnsi="Arial" w:cs="Arial"/>
          <w:sz w:val="24"/>
          <w:szCs w:val="24"/>
        </w:rPr>
      </w:pPr>
      <w:r>
        <w:rPr>
          <w:rFonts w:ascii="Arial" w:eastAsia="Arial" w:hAnsi="Arial" w:cs="Arial"/>
          <w:sz w:val="24"/>
          <w:szCs w:val="24"/>
        </w:rPr>
        <w:t>En este sentido a un cotizante que quiera afiliar a sus padres o abuelos que dependan de ellos económicamente y que a su vez no tengan pensión, en los términos del artículo 2.1.1.3</w:t>
      </w:r>
      <w:r>
        <w:t xml:space="preserve"> </w:t>
      </w:r>
      <w:r>
        <w:rPr>
          <w:rFonts w:ascii="Arial" w:eastAsia="Arial" w:hAnsi="Arial" w:cs="Arial"/>
          <w:sz w:val="24"/>
          <w:szCs w:val="24"/>
        </w:rPr>
        <w:t xml:space="preserve">del Decreto 780 de 2016 tendrían que sufragar entre dos millones quinientos cincuenta y siete mil (2.557.000) y tres millones ochocientos cincuenta y nueve mil (3.589.000) al año por cada familiar. </w:t>
      </w:r>
    </w:p>
    <w:p w:rsidR="00805B28" w:rsidRDefault="00861838">
      <w:pPr>
        <w:jc w:val="both"/>
        <w:rPr>
          <w:rFonts w:ascii="Arial" w:eastAsia="Arial" w:hAnsi="Arial" w:cs="Arial"/>
          <w:sz w:val="24"/>
          <w:szCs w:val="24"/>
        </w:rPr>
      </w:pPr>
      <w:r>
        <w:rPr>
          <w:rFonts w:ascii="Arial" w:eastAsia="Arial" w:hAnsi="Arial" w:cs="Arial"/>
          <w:sz w:val="24"/>
          <w:szCs w:val="24"/>
        </w:rPr>
        <w:t xml:space="preserve">En este sentido se pretende modificar el artículo 163 de la ley 100 de 1993, para quien de manera voluntaria y con el cumplimiento de los requisitos exigidos pueda afiliar a sus padres o abuelos como beneficiarios sin incurrir en costos adicionales, que para la mayoría de las personas en la actualidad se hacen imposibles de cumplir. Como se mencionó anteriormente, el cambio representaría una forma para </w:t>
      </w:r>
      <w:r>
        <w:rPr>
          <w:rFonts w:ascii="Arial" w:eastAsia="Arial" w:hAnsi="Arial" w:cs="Arial"/>
          <w:sz w:val="24"/>
          <w:szCs w:val="24"/>
        </w:rPr>
        <w:lastRenderedPageBreak/>
        <w:t>garantizar los derechos fundamentales a la seguridad social y la salud  y directamente la dignidad humana.</w:t>
      </w:r>
    </w:p>
    <w:p w:rsidR="00805B28" w:rsidRDefault="00805B28">
      <w:pPr>
        <w:jc w:val="both"/>
        <w:rPr>
          <w:rFonts w:ascii="Arial" w:eastAsia="Arial" w:hAnsi="Arial" w:cs="Arial"/>
          <w:sz w:val="24"/>
          <w:szCs w:val="24"/>
        </w:rPr>
      </w:pPr>
    </w:p>
    <w:p w:rsidR="00805B28" w:rsidRDefault="00861838">
      <w:pPr>
        <w:spacing w:after="0" w:line="264" w:lineRule="auto"/>
        <w:jc w:val="both"/>
        <w:rPr>
          <w:rFonts w:ascii="Arial" w:eastAsia="Arial" w:hAnsi="Arial" w:cs="Arial"/>
          <w:b/>
          <w:sz w:val="24"/>
          <w:szCs w:val="24"/>
        </w:rPr>
      </w:pPr>
      <w:r>
        <w:rPr>
          <w:rFonts w:ascii="Arial" w:eastAsia="Arial" w:hAnsi="Arial" w:cs="Arial"/>
          <w:b/>
          <w:sz w:val="24"/>
          <w:szCs w:val="24"/>
        </w:rPr>
        <w:t>Conflictos de Interés</w:t>
      </w:r>
    </w:p>
    <w:p w:rsidR="00805B28" w:rsidRDefault="00805B28">
      <w:pPr>
        <w:spacing w:after="0" w:line="264" w:lineRule="auto"/>
        <w:jc w:val="both"/>
        <w:rPr>
          <w:rFonts w:ascii="Arial" w:eastAsia="Arial" w:hAnsi="Arial" w:cs="Arial"/>
          <w:sz w:val="24"/>
          <w:szCs w:val="24"/>
        </w:rPr>
      </w:pPr>
    </w:p>
    <w:p w:rsidR="00805B28" w:rsidRDefault="00861838">
      <w:pPr>
        <w:spacing w:after="0" w:line="264" w:lineRule="auto"/>
        <w:jc w:val="both"/>
        <w:rPr>
          <w:rFonts w:ascii="Arial" w:eastAsia="Arial" w:hAnsi="Arial" w:cs="Arial"/>
          <w:sz w:val="24"/>
          <w:szCs w:val="24"/>
        </w:rPr>
      </w:pPr>
      <w:r>
        <w:rPr>
          <w:rFonts w:ascii="Arial" w:eastAsia="Arial" w:hAnsi="Arial" w:cs="Arial"/>
          <w:sz w:val="24"/>
          <w:szCs w:val="24"/>
        </w:rPr>
        <w:t>Según lo establecido en el artículo 3 de la Ley 2003 del 19 de noviembre de 2019, por la cual se modifica parcialmente la Ley 5 de 1992, se hacen las siguientes consideraciones:</w:t>
      </w:r>
    </w:p>
    <w:p w:rsidR="00805B28" w:rsidRDefault="00805B28">
      <w:pPr>
        <w:spacing w:after="0" w:line="264" w:lineRule="auto"/>
        <w:jc w:val="both"/>
        <w:rPr>
          <w:rFonts w:ascii="Arial" w:eastAsia="Arial" w:hAnsi="Arial" w:cs="Arial"/>
          <w:sz w:val="24"/>
          <w:szCs w:val="24"/>
        </w:rPr>
      </w:pPr>
    </w:p>
    <w:p w:rsidR="00805B28" w:rsidRDefault="00861838">
      <w:pPr>
        <w:spacing w:after="0" w:line="264" w:lineRule="auto"/>
        <w:jc w:val="both"/>
        <w:rPr>
          <w:rFonts w:ascii="Arial" w:eastAsia="Arial" w:hAnsi="Arial" w:cs="Arial"/>
          <w:sz w:val="24"/>
          <w:szCs w:val="24"/>
        </w:rPr>
      </w:pPr>
      <w:r>
        <w:rPr>
          <w:rFonts w:ascii="Arial" w:eastAsia="Arial" w:hAnsi="Arial" w:cs="Arial"/>
          <w:sz w:val="24"/>
          <w:szCs w:val="24"/>
        </w:rPr>
        <w:t>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rsidR="00805B28" w:rsidRDefault="00805B28">
      <w:pPr>
        <w:spacing w:after="0" w:line="264" w:lineRule="auto"/>
        <w:jc w:val="both"/>
        <w:rPr>
          <w:rFonts w:ascii="Arial" w:eastAsia="Arial" w:hAnsi="Arial" w:cs="Arial"/>
          <w:sz w:val="24"/>
          <w:szCs w:val="24"/>
        </w:rPr>
      </w:pPr>
    </w:p>
    <w:p w:rsidR="00805B28" w:rsidRDefault="00805B28">
      <w:pPr>
        <w:spacing w:after="0" w:line="264" w:lineRule="auto"/>
        <w:jc w:val="both"/>
        <w:rPr>
          <w:rFonts w:ascii="Arial" w:eastAsia="Arial" w:hAnsi="Arial" w:cs="Arial"/>
          <w:sz w:val="24"/>
          <w:szCs w:val="24"/>
        </w:rPr>
      </w:pPr>
    </w:p>
    <w:p w:rsidR="00805B28" w:rsidRDefault="00C27D0F">
      <w:pPr>
        <w:spacing w:after="0" w:line="264" w:lineRule="auto"/>
        <w:jc w:val="both"/>
        <w:rPr>
          <w:rFonts w:ascii="Arial" w:eastAsia="Arial" w:hAnsi="Arial" w:cs="Arial"/>
          <w:sz w:val="24"/>
          <w:szCs w:val="24"/>
        </w:rPr>
      </w:pPr>
      <w:bookmarkStart w:id="1" w:name="_GoBack"/>
      <w:r>
        <w:rPr>
          <w:noProof/>
        </w:rPr>
        <w:drawing>
          <wp:anchor distT="0" distB="0" distL="114300" distR="114300" simplePos="0" relativeHeight="251660288" behindDoc="0" locked="0" layoutInCell="1" hidden="0" allowOverlap="1">
            <wp:simplePos x="0" y="0"/>
            <wp:positionH relativeFrom="margin">
              <wp:posOffset>2878455</wp:posOffset>
            </wp:positionH>
            <wp:positionV relativeFrom="paragraph">
              <wp:posOffset>178435</wp:posOffset>
            </wp:positionV>
            <wp:extent cx="2676525" cy="1073785"/>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676525" cy="1073785"/>
                    </a:xfrm>
                    <a:prstGeom prst="rect">
                      <a:avLst/>
                    </a:prstGeom>
                    <a:ln/>
                  </pic:spPr>
                </pic:pic>
              </a:graphicData>
            </a:graphic>
            <wp14:sizeRelH relativeFrom="margin">
              <wp14:pctWidth>0</wp14:pctWidth>
            </wp14:sizeRelH>
            <wp14:sizeRelV relativeFrom="margin">
              <wp14:pctHeight>0</wp14:pctHeight>
            </wp14:sizeRelV>
          </wp:anchor>
        </w:drawing>
      </w:r>
      <w:bookmarkEnd w:id="1"/>
    </w:p>
    <w:p w:rsidR="00805B28" w:rsidRDefault="00861838">
      <w:pPr>
        <w:spacing w:after="0" w:line="264" w:lineRule="auto"/>
        <w:rPr>
          <w:rFonts w:ascii="Arial" w:eastAsia="Arial" w:hAnsi="Arial" w:cs="Arial"/>
          <w:color w:val="000000"/>
          <w:sz w:val="24"/>
          <w:szCs w:val="24"/>
        </w:rPr>
      </w:pPr>
      <w:r>
        <w:rPr>
          <w:rFonts w:ascii="Arial" w:eastAsia="Arial" w:hAnsi="Arial" w:cs="Arial"/>
          <w:color w:val="000000"/>
          <w:sz w:val="24"/>
          <w:szCs w:val="24"/>
        </w:rPr>
        <w:t>De los Honorables Representantes,</w:t>
      </w:r>
    </w:p>
    <w:p w:rsidR="00805B28" w:rsidRDefault="008D6111">
      <w:pPr>
        <w:pBdr>
          <w:top w:val="nil"/>
          <w:left w:val="nil"/>
          <w:bottom w:val="nil"/>
          <w:right w:val="nil"/>
          <w:between w:val="nil"/>
        </w:pBdr>
        <w:spacing w:after="0" w:line="264" w:lineRule="auto"/>
        <w:jc w:val="both"/>
        <w:rPr>
          <w:rFonts w:ascii="Arial" w:eastAsia="Arial" w:hAnsi="Arial" w:cs="Arial"/>
          <w:color w:val="000000"/>
          <w:sz w:val="24"/>
          <w:szCs w:val="24"/>
        </w:rPr>
      </w:pPr>
      <w:r w:rsidRPr="001553A4">
        <w:rPr>
          <w:noProof/>
        </w:rPr>
        <w:drawing>
          <wp:anchor distT="0" distB="0" distL="114300" distR="114300" simplePos="0" relativeHeight="251665408" behindDoc="1" locked="0" layoutInCell="1" allowOverlap="1" wp14:anchorId="21C316E1" wp14:editId="54517A86">
            <wp:simplePos x="0" y="0"/>
            <wp:positionH relativeFrom="margin">
              <wp:posOffset>0</wp:posOffset>
            </wp:positionH>
            <wp:positionV relativeFrom="paragraph">
              <wp:posOffset>99695</wp:posOffset>
            </wp:positionV>
            <wp:extent cx="1524000" cy="804545"/>
            <wp:effectExtent l="0" t="0" r="0" b="0"/>
            <wp:wrapNone/>
            <wp:docPr id="1" name="Imagen 1" descr="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ma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804545"/>
                    </a:xfrm>
                    <a:prstGeom prst="rect">
                      <a:avLst/>
                    </a:prstGeom>
                    <a:noFill/>
                  </pic:spPr>
                </pic:pic>
              </a:graphicData>
            </a:graphic>
            <wp14:sizeRelH relativeFrom="page">
              <wp14:pctWidth>0</wp14:pctWidth>
            </wp14:sizeRelH>
            <wp14:sizeRelV relativeFrom="page">
              <wp14:pctHeight>0</wp14:pctHeight>
            </wp14:sizeRelV>
          </wp:anchor>
        </w:drawing>
      </w:r>
    </w:p>
    <w:p w:rsidR="00805B28" w:rsidRDefault="00805B28">
      <w:pPr>
        <w:pBdr>
          <w:top w:val="nil"/>
          <w:left w:val="nil"/>
          <w:bottom w:val="nil"/>
          <w:right w:val="nil"/>
          <w:between w:val="nil"/>
        </w:pBdr>
        <w:spacing w:after="0" w:line="264" w:lineRule="auto"/>
        <w:jc w:val="both"/>
        <w:rPr>
          <w:rFonts w:ascii="Arial" w:eastAsia="Arial" w:hAnsi="Arial" w:cs="Arial"/>
          <w:color w:val="000000"/>
          <w:sz w:val="24"/>
          <w:szCs w:val="24"/>
        </w:rPr>
      </w:pPr>
    </w:p>
    <w:p w:rsidR="00805B28" w:rsidRDefault="00805B28">
      <w:pPr>
        <w:pBdr>
          <w:top w:val="nil"/>
          <w:left w:val="nil"/>
          <w:bottom w:val="nil"/>
          <w:right w:val="nil"/>
          <w:between w:val="nil"/>
        </w:pBdr>
        <w:spacing w:after="0" w:line="264" w:lineRule="auto"/>
        <w:jc w:val="both"/>
        <w:rPr>
          <w:rFonts w:ascii="Arial" w:eastAsia="Arial" w:hAnsi="Arial" w:cs="Arial"/>
          <w:color w:val="000000"/>
          <w:sz w:val="24"/>
          <w:szCs w:val="24"/>
        </w:rPr>
      </w:pPr>
    </w:p>
    <w:p w:rsidR="00805B28" w:rsidRDefault="00805B28">
      <w:pPr>
        <w:spacing w:after="0" w:line="264" w:lineRule="auto"/>
        <w:jc w:val="both"/>
        <w:rPr>
          <w:rFonts w:ascii="Arial" w:eastAsia="Arial" w:hAnsi="Arial" w:cs="Arial"/>
          <w:b/>
          <w:color w:val="000000"/>
          <w:sz w:val="24"/>
          <w:szCs w:val="24"/>
        </w:rPr>
      </w:pPr>
    </w:p>
    <w:p w:rsidR="00805B28" w:rsidRDefault="00861838">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ÓSCAR SÁNCHEZ LEÓN</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ALEJANDRO VEGA PÉREZ</w:t>
      </w:r>
    </w:p>
    <w:p w:rsidR="00805B28" w:rsidRDefault="0086183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Representante a la Cámara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Senador de la República</w:t>
      </w:r>
    </w:p>
    <w:p w:rsidR="00805B28" w:rsidRDefault="00805B28">
      <w:pPr>
        <w:pBdr>
          <w:top w:val="nil"/>
          <w:left w:val="nil"/>
          <w:bottom w:val="nil"/>
          <w:right w:val="nil"/>
          <w:between w:val="nil"/>
        </w:pBdr>
        <w:spacing w:after="0" w:line="264" w:lineRule="auto"/>
        <w:jc w:val="both"/>
        <w:rPr>
          <w:rFonts w:ascii="Arial" w:eastAsia="Arial" w:hAnsi="Arial" w:cs="Arial"/>
          <w:color w:val="000000"/>
          <w:sz w:val="24"/>
          <w:szCs w:val="24"/>
        </w:rPr>
      </w:pPr>
    </w:p>
    <w:p w:rsidR="00805B28" w:rsidRDefault="00805B28">
      <w:pPr>
        <w:pBdr>
          <w:top w:val="nil"/>
          <w:left w:val="nil"/>
          <w:bottom w:val="nil"/>
          <w:right w:val="nil"/>
          <w:between w:val="nil"/>
        </w:pBdr>
        <w:spacing w:after="0" w:line="240" w:lineRule="auto"/>
        <w:jc w:val="both"/>
        <w:rPr>
          <w:rFonts w:ascii="Arial" w:eastAsia="Arial" w:hAnsi="Arial" w:cs="Arial"/>
          <w:color w:val="000000"/>
          <w:sz w:val="24"/>
          <w:szCs w:val="24"/>
        </w:rPr>
      </w:pPr>
    </w:p>
    <w:p w:rsidR="00805B28" w:rsidRDefault="0086183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805B28" w:rsidRDefault="00861838">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Century Gothic" w:eastAsia="Century Gothic" w:hAnsi="Century Gothic" w:cs="Century Gothic"/>
          <w:noProof/>
          <w:color w:val="000000"/>
        </w:rPr>
        <w:drawing>
          <wp:inline distT="0" distB="0" distL="0" distR="0">
            <wp:extent cx="2085975" cy="647700"/>
            <wp:effectExtent l="0" t="0" r="0" b="0"/>
            <wp:docPr id="3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0"/>
                    <a:srcRect l="26646" t="38939" r="23456" b="33588"/>
                    <a:stretch>
                      <a:fillRect/>
                    </a:stretch>
                  </pic:blipFill>
                  <pic:spPr>
                    <a:xfrm>
                      <a:off x="0" y="0"/>
                      <a:ext cx="2085975" cy="647700"/>
                    </a:xfrm>
                    <a:prstGeom prst="rect">
                      <a:avLst/>
                    </a:prstGeom>
                    <a:ln/>
                  </pic:spPr>
                </pic:pic>
              </a:graphicData>
            </a:graphic>
          </wp:inline>
        </w:drawing>
      </w:r>
      <w:r>
        <w:rPr>
          <w:rFonts w:ascii="Arial" w:eastAsia="Arial" w:hAnsi="Arial" w:cs="Arial"/>
          <w:color w:val="000000"/>
          <w:sz w:val="24"/>
          <w:szCs w:val="24"/>
        </w:rPr>
        <w:t xml:space="preserve">                      </w:t>
      </w:r>
      <w:r>
        <w:rPr>
          <w:rFonts w:ascii="Arial" w:eastAsia="Arial" w:hAnsi="Arial" w:cs="Arial"/>
          <w:noProof/>
          <w:color w:val="000000"/>
          <w:sz w:val="24"/>
          <w:szCs w:val="24"/>
        </w:rPr>
        <w:drawing>
          <wp:inline distT="114300" distB="114300" distL="114300" distR="114300">
            <wp:extent cx="2351314" cy="555171"/>
            <wp:effectExtent l="0" t="0" r="0" b="0"/>
            <wp:docPr id="2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2351314" cy="555171"/>
                    </a:xfrm>
                    <a:prstGeom prst="rect">
                      <a:avLst/>
                    </a:prstGeom>
                    <a:ln/>
                  </pic:spPr>
                </pic:pic>
              </a:graphicData>
            </a:graphic>
          </wp:inline>
        </w:drawing>
      </w:r>
    </w:p>
    <w:p w:rsidR="00805B28" w:rsidRDefault="00861838">
      <w:pPr>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HÉCTOR DAVID CHAPARRO</w:t>
      </w:r>
      <w:r>
        <w:t xml:space="preserve">                            </w:t>
      </w:r>
      <w:r>
        <w:rPr>
          <w:rFonts w:ascii="Arial" w:eastAsia="Arial" w:hAnsi="Arial" w:cs="Arial"/>
          <w:b/>
          <w:sz w:val="24"/>
          <w:szCs w:val="24"/>
        </w:rPr>
        <w:t>DOLCEY OSCAR TORRES ROMERO</w:t>
      </w:r>
      <w:r>
        <w:t xml:space="preserve"> </w:t>
      </w:r>
      <w:r>
        <w:rPr>
          <w:rFonts w:ascii="Arial" w:eastAsia="Arial" w:hAnsi="Arial" w:cs="Arial"/>
          <w:sz w:val="24"/>
          <w:szCs w:val="24"/>
        </w:rPr>
        <w:t xml:space="preserve">Representante a la Cámara                          Representante a la Cámara </w:t>
      </w:r>
    </w:p>
    <w:p w:rsidR="00805B28" w:rsidRDefault="00805B28">
      <w:pPr>
        <w:spacing w:after="0" w:line="264" w:lineRule="auto"/>
        <w:rPr>
          <w:rFonts w:ascii="Arial" w:eastAsia="Arial" w:hAnsi="Arial" w:cs="Arial"/>
          <w:b/>
          <w:sz w:val="24"/>
          <w:szCs w:val="24"/>
        </w:rPr>
      </w:pPr>
    </w:p>
    <w:p w:rsidR="00805B28" w:rsidRDefault="00805B28">
      <w:pPr>
        <w:spacing w:after="0" w:line="264" w:lineRule="auto"/>
        <w:rPr>
          <w:rFonts w:ascii="Arial" w:eastAsia="Arial" w:hAnsi="Arial" w:cs="Arial"/>
          <w:b/>
          <w:sz w:val="24"/>
          <w:szCs w:val="24"/>
        </w:rPr>
      </w:pPr>
    </w:p>
    <w:p w:rsidR="00805B28" w:rsidRDefault="00C27D0F">
      <w:pPr>
        <w:spacing w:after="0" w:line="264" w:lineRule="auto"/>
        <w:rPr>
          <w:rFonts w:ascii="Arial" w:eastAsia="Arial" w:hAnsi="Arial" w:cs="Arial"/>
          <w:b/>
          <w:sz w:val="24"/>
          <w:szCs w:val="24"/>
        </w:rPr>
      </w:pPr>
      <w:r>
        <w:rPr>
          <w:noProof/>
        </w:rPr>
        <w:lastRenderedPageBreak/>
        <w:drawing>
          <wp:anchor distT="0" distB="0" distL="114300" distR="114300" simplePos="0" relativeHeight="251661312" behindDoc="0" locked="0" layoutInCell="1" hidden="0" allowOverlap="1">
            <wp:simplePos x="0" y="0"/>
            <wp:positionH relativeFrom="column">
              <wp:posOffset>47625</wp:posOffset>
            </wp:positionH>
            <wp:positionV relativeFrom="paragraph">
              <wp:posOffset>14605</wp:posOffset>
            </wp:positionV>
            <wp:extent cx="1601153" cy="875507"/>
            <wp:effectExtent l="0" t="0" r="0" b="0"/>
            <wp:wrapSquare wrapText="bothSides" distT="0" distB="0" distL="114300" distR="114300"/>
            <wp:docPr id="3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l="29701" t="31998" r="35846" b="34494"/>
                    <a:stretch>
                      <a:fillRect/>
                    </a:stretch>
                  </pic:blipFill>
                  <pic:spPr>
                    <a:xfrm>
                      <a:off x="0" y="0"/>
                      <a:ext cx="1601153" cy="875507"/>
                    </a:xfrm>
                    <a:prstGeom prst="rect">
                      <a:avLst/>
                    </a:prstGeom>
                    <a:ln/>
                  </pic:spPr>
                </pic:pic>
              </a:graphicData>
            </a:graphic>
          </wp:anchor>
        </w:drawing>
      </w:r>
    </w:p>
    <w:p w:rsidR="00805B28" w:rsidRDefault="00861838">
      <w:pPr>
        <w:spacing w:after="0" w:line="264" w:lineRule="auto"/>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b/>
          <w:noProof/>
          <w:sz w:val="24"/>
          <w:szCs w:val="24"/>
        </w:rPr>
        <w:drawing>
          <wp:inline distT="114300" distB="114300" distL="114300" distR="114300">
            <wp:extent cx="1587659" cy="705626"/>
            <wp:effectExtent l="0" t="0" r="0" b="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587659" cy="705626"/>
                    </a:xfrm>
                    <a:prstGeom prst="rect">
                      <a:avLst/>
                    </a:prstGeom>
                    <a:ln/>
                  </pic:spPr>
                </pic:pic>
              </a:graphicData>
            </a:graphic>
          </wp:inline>
        </w:drawing>
      </w:r>
    </w:p>
    <w:p w:rsidR="00805B28" w:rsidRDefault="00861838">
      <w:pPr>
        <w:spacing w:after="0" w:line="264" w:lineRule="auto"/>
        <w:rPr>
          <w:rFonts w:ascii="Arial" w:eastAsia="Arial" w:hAnsi="Arial" w:cs="Arial"/>
          <w:sz w:val="24"/>
          <w:szCs w:val="24"/>
        </w:rPr>
      </w:pPr>
      <w:r>
        <w:rPr>
          <w:rFonts w:ascii="Arial" w:eastAsia="Arial" w:hAnsi="Arial" w:cs="Arial"/>
          <w:b/>
          <w:sz w:val="24"/>
          <w:szCs w:val="24"/>
        </w:rPr>
        <w:t>ANDRÉS DAVID CALLE                                JAIRO H. CRISTO CORREA</w:t>
      </w:r>
      <w:r>
        <w:rPr>
          <w:rFonts w:ascii="Arial" w:eastAsia="Arial" w:hAnsi="Arial" w:cs="Arial"/>
          <w:b/>
          <w:sz w:val="24"/>
          <w:szCs w:val="24"/>
        </w:rPr>
        <w:br/>
      </w:r>
      <w:r>
        <w:rPr>
          <w:rFonts w:ascii="Arial" w:eastAsia="Arial" w:hAnsi="Arial" w:cs="Arial"/>
          <w:sz w:val="24"/>
          <w:szCs w:val="24"/>
        </w:rPr>
        <w:t>Representante a la Cámara                            Representante a la Cámara</w:t>
      </w:r>
    </w:p>
    <w:p w:rsidR="00805B28" w:rsidRDefault="00861838">
      <w:pPr>
        <w:spacing w:after="0" w:line="264" w:lineRule="auto"/>
        <w:rPr>
          <w:rFonts w:ascii="Arial" w:eastAsia="Arial" w:hAnsi="Arial" w:cs="Arial"/>
          <w:sz w:val="24"/>
          <w:szCs w:val="24"/>
        </w:rPr>
      </w:pPr>
      <w:r>
        <w:rPr>
          <w:rFonts w:ascii="Arial" w:eastAsia="Arial" w:hAnsi="Arial" w:cs="Arial"/>
          <w:b/>
          <w:sz w:val="24"/>
          <w:szCs w:val="24"/>
        </w:rPr>
        <w:t xml:space="preserve">                                                                        </w:t>
      </w:r>
      <w:proofErr w:type="spellStart"/>
      <w:r>
        <w:rPr>
          <w:rFonts w:ascii="Arial" w:eastAsia="Arial" w:hAnsi="Arial" w:cs="Arial"/>
          <w:sz w:val="24"/>
          <w:szCs w:val="24"/>
        </w:rPr>
        <w:t>Dpto</w:t>
      </w:r>
      <w:proofErr w:type="spellEnd"/>
      <w:r>
        <w:rPr>
          <w:rFonts w:ascii="Arial" w:eastAsia="Arial" w:hAnsi="Arial" w:cs="Arial"/>
          <w:sz w:val="24"/>
          <w:szCs w:val="24"/>
        </w:rPr>
        <w:t xml:space="preserve"> Norte de Santander</w:t>
      </w:r>
    </w:p>
    <w:p w:rsidR="00805B28" w:rsidRDefault="00861838">
      <w:pPr>
        <w:spacing w:after="0" w:line="264"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extent cx="1724976" cy="485520"/>
            <wp:effectExtent l="0" t="0" r="0" b="0"/>
            <wp:docPr id="2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4"/>
                    <a:srcRect/>
                    <a:stretch>
                      <a:fillRect/>
                    </a:stretch>
                  </pic:blipFill>
                  <pic:spPr>
                    <a:xfrm>
                      <a:off x="0" y="0"/>
                      <a:ext cx="1724976" cy="485520"/>
                    </a:xfrm>
                    <a:prstGeom prst="rect">
                      <a:avLst/>
                    </a:prstGeom>
                    <a:ln/>
                  </pic:spPr>
                </pic:pic>
              </a:graphicData>
            </a:graphic>
          </wp:inline>
        </w:drawing>
      </w:r>
    </w:p>
    <w:p w:rsidR="00805B28" w:rsidRDefault="00861838">
      <w:pPr>
        <w:spacing w:after="0" w:line="264" w:lineRule="auto"/>
        <w:rPr>
          <w:rFonts w:ascii="Arial" w:eastAsia="Arial" w:hAnsi="Arial" w:cs="Arial"/>
          <w:b/>
          <w:sz w:val="24"/>
          <w:szCs w:val="24"/>
        </w:rPr>
      </w:pPr>
      <w:r>
        <w:rPr>
          <w:rFonts w:ascii="Arial" w:eastAsia="Arial" w:hAnsi="Arial" w:cs="Arial"/>
          <w:b/>
          <w:sz w:val="24"/>
          <w:szCs w:val="24"/>
        </w:rPr>
        <w:t>GERMAN R. ROZO ANIS</w:t>
      </w:r>
    </w:p>
    <w:p w:rsidR="00805B28" w:rsidRDefault="00861838">
      <w:pPr>
        <w:spacing w:after="0" w:line="264" w:lineRule="auto"/>
        <w:rPr>
          <w:rFonts w:ascii="Arial" w:eastAsia="Arial" w:hAnsi="Arial" w:cs="Arial"/>
          <w:sz w:val="24"/>
          <w:szCs w:val="24"/>
        </w:rPr>
      </w:pPr>
      <w:r>
        <w:rPr>
          <w:rFonts w:ascii="Arial" w:eastAsia="Arial" w:hAnsi="Arial" w:cs="Arial"/>
          <w:sz w:val="24"/>
          <w:szCs w:val="24"/>
        </w:rPr>
        <w:t>Representante a la Cámara</w:t>
      </w:r>
    </w:p>
    <w:p w:rsidR="00805B28" w:rsidRDefault="00861838">
      <w:pPr>
        <w:spacing w:after="0" w:line="264" w:lineRule="auto"/>
        <w:rPr>
          <w:rFonts w:ascii="Arial" w:eastAsia="Arial" w:hAnsi="Arial" w:cs="Arial"/>
          <w:sz w:val="24"/>
          <w:szCs w:val="24"/>
        </w:rPr>
      </w:pPr>
      <w:r>
        <w:rPr>
          <w:rFonts w:ascii="Arial" w:eastAsia="Arial" w:hAnsi="Arial" w:cs="Arial"/>
          <w:sz w:val="24"/>
          <w:szCs w:val="24"/>
        </w:rPr>
        <w:t>Departamento de Arauca</w:t>
      </w:r>
      <w:r>
        <w:rPr>
          <w:rFonts w:ascii="Arial" w:eastAsia="Arial" w:hAnsi="Arial" w:cs="Arial"/>
          <w:b/>
          <w:sz w:val="24"/>
          <w:szCs w:val="24"/>
        </w:rPr>
        <w:br/>
      </w:r>
    </w:p>
    <w:p w:rsidR="00805B28" w:rsidRDefault="00805B28">
      <w:pPr>
        <w:spacing w:after="0" w:line="264" w:lineRule="auto"/>
        <w:jc w:val="both"/>
        <w:rPr>
          <w:rFonts w:ascii="Arial" w:eastAsia="Arial" w:hAnsi="Arial" w:cs="Arial"/>
          <w:sz w:val="24"/>
          <w:szCs w:val="24"/>
        </w:rPr>
      </w:pPr>
    </w:p>
    <w:p w:rsidR="00805B28" w:rsidRDefault="00805B28">
      <w:pPr>
        <w:spacing w:after="0" w:line="264" w:lineRule="auto"/>
        <w:jc w:val="both"/>
        <w:rPr>
          <w:rFonts w:ascii="Arial" w:eastAsia="Arial" w:hAnsi="Arial" w:cs="Arial"/>
          <w:sz w:val="24"/>
          <w:szCs w:val="24"/>
        </w:rPr>
      </w:pPr>
    </w:p>
    <w:p w:rsidR="00C27D0F" w:rsidRDefault="00C27D0F">
      <w:pPr>
        <w:spacing w:after="0" w:line="264" w:lineRule="auto"/>
        <w:jc w:val="both"/>
        <w:rPr>
          <w:rFonts w:ascii="Arial" w:eastAsia="Arial" w:hAnsi="Arial" w:cs="Arial"/>
          <w:sz w:val="24"/>
          <w:szCs w:val="24"/>
        </w:rPr>
      </w:pPr>
    </w:p>
    <w:p w:rsidR="00C27D0F" w:rsidRDefault="00C27D0F">
      <w:pPr>
        <w:spacing w:after="0" w:line="264" w:lineRule="auto"/>
        <w:jc w:val="both"/>
        <w:rPr>
          <w:rFonts w:ascii="Arial" w:eastAsia="Arial" w:hAnsi="Arial" w:cs="Arial"/>
          <w:sz w:val="24"/>
          <w:szCs w:val="24"/>
        </w:rPr>
      </w:pPr>
    </w:p>
    <w:p w:rsidR="00C27D0F" w:rsidRDefault="00C27D0F">
      <w:pPr>
        <w:spacing w:after="0" w:line="264" w:lineRule="auto"/>
        <w:jc w:val="both"/>
        <w:rPr>
          <w:rFonts w:ascii="Arial" w:eastAsia="Arial" w:hAnsi="Arial" w:cs="Arial"/>
          <w:sz w:val="24"/>
          <w:szCs w:val="24"/>
        </w:rPr>
      </w:pPr>
    </w:p>
    <w:p w:rsidR="00C27D0F" w:rsidRDefault="00C27D0F">
      <w:pPr>
        <w:spacing w:after="0" w:line="264" w:lineRule="auto"/>
        <w:jc w:val="both"/>
        <w:rPr>
          <w:rFonts w:ascii="Arial" w:eastAsia="Arial" w:hAnsi="Arial" w:cs="Arial"/>
          <w:sz w:val="24"/>
          <w:szCs w:val="24"/>
        </w:rPr>
      </w:pPr>
    </w:p>
    <w:p w:rsidR="00C27D0F" w:rsidRDefault="00C27D0F">
      <w:pPr>
        <w:spacing w:after="0" w:line="264" w:lineRule="auto"/>
        <w:jc w:val="both"/>
        <w:rPr>
          <w:rFonts w:ascii="Arial" w:eastAsia="Arial" w:hAnsi="Arial" w:cs="Arial"/>
          <w:sz w:val="24"/>
          <w:szCs w:val="24"/>
        </w:rPr>
      </w:pPr>
    </w:p>
    <w:p w:rsidR="00C27D0F" w:rsidRDefault="00C27D0F">
      <w:pPr>
        <w:spacing w:after="0" w:line="264" w:lineRule="auto"/>
        <w:jc w:val="both"/>
        <w:rPr>
          <w:rFonts w:ascii="Arial" w:eastAsia="Arial" w:hAnsi="Arial" w:cs="Arial"/>
          <w:sz w:val="24"/>
          <w:szCs w:val="24"/>
        </w:rPr>
      </w:pPr>
    </w:p>
    <w:p w:rsidR="00C27D0F" w:rsidRDefault="00C27D0F">
      <w:pPr>
        <w:spacing w:after="0" w:line="264" w:lineRule="auto"/>
        <w:jc w:val="both"/>
        <w:rPr>
          <w:rFonts w:ascii="Arial" w:eastAsia="Arial" w:hAnsi="Arial" w:cs="Arial"/>
          <w:sz w:val="24"/>
          <w:szCs w:val="24"/>
        </w:rPr>
      </w:pPr>
    </w:p>
    <w:p w:rsidR="00C27D0F" w:rsidRDefault="00C27D0F">
      <w:pPr>
        <w:spacing w:after="0" w:line="264" w:lineRule="auto"/>
        <w:jc w:val="both"/>
        <w:rPr>
          <w:rFonts w:ascii="Arial" w:eastAsia="Arial" w:hAnsi="Arial" w:cs="Arial"/>
          <w:sz w:val="24"/>
          <w:szCs w:val="24"/>
        </w:rPr>
      </w:pPr>
    </w:p>
    <w:p w:rsidR="00C27D0F" w:rsidRDefault="00C27D0F">
      <w:pPr>
        <w:spacing w:after="0" w:line="264" w:lineRule="auto"/>
        <w:jc w:val="both"/>
        <w:rPr>
          <w:rFonts w:ascii="Arial" w:eastAsia="Arial" w:hAnsi="Arial" w:cs="Arial"/>
          <w:sz w:val="24"/>
          <w:szCs w:val="24"/>
        </w:rPr>
      </w:pPr>
    </w:p>
    <w:p w:rsidR="00C27D0F" w:rsidRDefault="00C27D0F">
      <w:pPr>
        <w:spacing w:after="0" w:line="264" w:lineRule="auto"/>
        <w:jc w:val="both"/>
        <w:rPr>
          <w:rFonts w:ascii="Arial" w:eastAsia="Arial" w:hAnsi="Arial" w:cs="Arial"/>
          <w:sz w:val="24"/>
          <w:szCs w:val="24"/>
        </w:rPr>
      </w:pPr>
    </w:p>
    <w:p w:rsidR="00C27D0F" w:rsidRDefault="00C27D0F">
      <w:pPr>
        <w:spacing w:after="0" w:line="264" w:lineRule="auto"/>
        <w:jc w:val="both"/>
        <w:rPr>
          <w:rFonts w:ascii="Arial" w:eastAsia="Arial" w:hAnsi="Arial" w:cs="Arial"/>
          <w:sz w:val="24"/>
          <w:szCs w:val="24"/>
        </w:rPr>
      </w:pPr>
    </w:p>
    <w:p w:rsidR="00C27D0F" w:rsidRDefault="00C27D0F">
      <w:pPr>
        <w:spacing w:after="0" w:line="264" w:lineRule="auto"/>
        <w:jc w:val="both"/>
        <w:rPr>
          <w:rFonts w:ascii="Arial" w:eastAsia="Arial" w:hAnsi="Arial" w:cs="Arial"/>
          <w:sz w:val="24"/>
          <w:szCs w:val="24"/>
        </w:rPr>
      </w:pPr>
    </w:p>
    <w:p w:rsidR="00805B28" w:rsidRDefault="00805B28">
      <w:pPr>
        <w:spacing w:after="0" w:line="264" w:lineRule="auto"/>
        <w:jc w:val="both"/>
        <w:rPr>
          <w:rFonts w:ascii="Arial" w:eastAsia="Arial" w:hAnsi="Arial" w:cs="Arial"/>
          <w:sz w:val="24"/>
          <w:szCs w:val="24"/>
        </w:rPr>
      </w:pPr>
    </w:p>
    <w:p w:rsidR="00805B28" w:rsidRDefault="00805B28">
      <w:pPr>
        <w:spacing w:after="0" w:line="264" w:lineRule="auto"/>
        <w:jc w:val="both"/>
        <w:rPr>
          <w:rFonts w:ascii="Arial" w:eastAsia="Arial" w:hAnsi="Arial" w:cs="Arial"/>
          <w:sz w:val="24"/>
          <w:szCs w:val="24"/>
        </w:rPr>
      </w:pPr>
    </w:p>
    <w:p w:rsidR="00805B28" w:rsidRDefault="00805B28">
      <w:pPr>
        <w:spacing w:after="0" w:line="264" w:lineRule="auto"/>
        <w:jc w:val="both"/>
        <w:rPr>
          <w:rFonts w:ascii="Arial" w:eastAsia="Arial" w:hAnsi="Arial" w:cs="Arial"/>
          <w:sz w:val="24"/>
          <w:szCs w:val="24"/>
        </w:rPr>
      </w:pPr>
    </w:p>
    <w:p w:rsidR="00805B28" w:rsidRDefault="00805B28">
      <w:pPr>
        <w:spacing w:after="0" w:line="264" w:lineRule="auto"/>
        <w:jc w:val="both"/>
        <w:rPr>
          <w:rFonts w:ascii="Arial" w:eastAsia="Arial" w:hAnsi="Arial" w:cs="Arial"/>
          <w:sz w:val="24"/>
          <w:szCs w:val="24"/>
        </w:rPr>
      </w:pPr>
    </w:p>
    <w:p w:rsidR="00C27D0F" w:rsidRDefault="00C27D0F">
      <w:pPr>
        <w:jc w:val="both"/>
        <w:rPr>
          <w:rFonts w:ascii="Arial" w:eastAsia="Arial" w:hAnsi="Arial" w:cs="Arial"/>
          <w:b/>
          <w:sz w:val="24"/>
          <w:szCs w:val="24"/>
        </w:rPr>
      </w:pPr>
    </w:p>
    <w:p w:rsidR="00C27D0F" w:rsidRDefault="00C27D0F">
      <w:pPr>
        <w:jc w:val="both"/>
        <w:rPr>
          <w:rFonts w:ascii="Arial" w:eastAsia="Arial" w:hAnsi="Arial" w:cs="Arial"/>
          <w:b/>
          <w:sz w:val="24"/>
          <w:szCs w:val="24"/>
        </w:rPr>
      </w:pPr>
    </w:p>
    <w:p w:rsidR="00C27D0F" w:rsidRDefault="00C27D0F">
      <w:pPr>
        <w:jc w:val="both"/>
        <w:rPr>
          <w:rFonts w:ascii="Arial" w:eastAsia="Arial" w:hAnsi="Arial" w:cs="Arial"/>
          <w:b/>
          <w:sz w:val="24"/>
          <w:szCs w:val="24"/>
        </w:rPr>
      </w:pPr>
    </w:p>
    <w:p w:rsidR="00C27D0F" w:rsidRDefault="00C27D0F">
      <w:pPr>
        <w:jc w:val="both"/>
        <w:rPr>
          <w:rFonts w:ascii="Arial" w:eastAsia="Arial" w:hAnsi="Arial" w:cs="Arial"/>
          <w:b/>
          <w:sz w:val="24"/>
          <w:szCs w:val="24"/>
        </w:rPr>
      </w:pPr>
    </w:p>
    <w:p w:rsidR="00C27D0F" w:rsidRDefault="00C27D0F">
      <w:pPr>
        <w:jc w:val="both"/>
        <w:rPr>
          <w:rFonts w:ascii="Arial" w:eastAsia="Arial" w:hAnsi="Arial" w:cs="Arial"/>
          <w:b/>
          <w:sz w:val="24"/>
          <w:szCs w:val="24"/>
        </w:rPr>
      </w:pPr>
    </w:p>
    <w:p w:rsidR="00C27D0F" w:rsidRDefault="00C27D0F">
      <w:pPr>
        <w:jc w:val="both"/>
        <w:rPr>
          <w:rFonts w:ascii="Arial" w:eastAsia="Arial" w:hAnsi="Arial" w:cs="Arial"/>
          <w:b/>
          <w:sz w:val="24"/>
          <w:szCs w:val="24"/>
        </w:rPr>
      </w:pPr>
    </w:p>
    <w:p w:rsidR="00805B28" w:rsidRDefault="00861838">
      <w:pPr>
        <w:jc w:val="both"/>
        <w:rPr>
          <w:rFonts w:ascii="Arial" w:eastAsia="Arial" w:hAnsi="Arial" w:cs="Arial"/>
          <w:b/>
          <w:sz w:val="24"/>
          <w:szCs w:val="24"/>
        </w:rPr>
      </w:pPr>
      <w:r>
        <w:rPr>
          <w:rFonts w:ascii="Arial" w:eastAsia="Arial" w:hAnsi="Arial" w:cs="Arial"/>
          <w:b/>
          <w:sz w:val="24"/>
          <w:szCs w:val="24"/>
        </w:rPr>
        <w:lastRenderedPageBreak/>
        <w:t>Referencias</w:t>
      </w:r>
    </w:p>
    <w:p w:rsidR="00805B28" w:rsidRDefault="00805B28">
      <w:pPr>
        <w:rPr>
          <w:rFonts w:ascii="Arial" w:eastAsia="Arial" w:hAnsi="Arial" w:cs="Arial"/>
          <w:sz w:val="24"/>
          <w:szCs w:val="24"/>
        </w:rPr>
      </w:pPr>
    </w:p>
    <w:p w:rsidR="00805B28" w:rsidRDefault="00861838">
      <w:pPr>
        <w:jc w:val="both"/>
        <w:rPr>
          <w:rFonts w:ascii="Arial" w:eastAsia="Arial" w:hAnsi="Arial" w:cs="Arial"/>
          <w:sz w:val="24"/>
          <w:szCs w:val="24"/>
        </w:rPr>
      </w:pPr>
      <w:r>
        <w:rPr>
          <w:rFonts w:ascii="Arial" w:eastAsia="Arial" w:hAnsi="Arial" w:cs="Arial"/>
          <w:sz w:val="24"/>
          <w:szCs w:val="24"/>
        </w:rPr>
        <w:t xml:space="preserve">Corte Constitucional. (13 de mayo de 2013). Sentencia T 192 de 2019. [MP: Ortiz, Gloria] </w:t>
      </w:r>
      <w:hyperlink r:id="rId17" w:anchor="_ftn43">
        <w:r>
          <w:rPr>
            <w:rFonts w:ascii="Arial" w:eastAsia="Arial" w:hAnsi="Arial" w:cs="Arial"/>
            <w:color w:val="0000FF"/>
            <w:sz w:val="24"/>
            <w:szCs w:val="24"/>
            <w:u w:val="single"/>
          </w:rPr>
          <w:t>https://www.corteconstitucional.gov.co/relatoria/2019/T-192-19.htm#_ftn43</w:t>
        </w:r>
      </w:hyperlink>
    </w:p>
    <w:p w:rsidR="00805B28" w:rsidRDefault="00805B28">
      <w:pPr>
        <w:jc w:val="both"/>
        <w:rPr>
          <w:rFonts w:ascii="Arial" w:eastAsia="Arial" w:hAnsi="Arial" w:cs="Arial"/>
          <w:sz w:val="24"/>
          <w:szCs w:val="24"/>
        </w:rPr>
      </w:pPr>
    </w:p>
    <w:p w:rsidR="00805B28" w:rsidRDefault="00861838">
      <w:pPr>
        <w:jc w:val="both"/>
        <w:rPr>
          <w:rFonts w:ascii="Arial" w:eastAsia="Arial" w:hAnsi="Arial" w:cs="Arial"/>
          <w:sz w:val="24"/>
          <w:szCs w:val="24"/>
        </w:rPr>
      </w:pPr>
      <w:r>
        <w:rPr>
          <w:rFonts w:ascii="Arial" w:eastAsia="Arial" w:hAnsi="Arial" w:cs="Arial"/>
          <w:sz w:val="24"/>
          <w:szCs w:val="24"/>
        </w:rPr>
        <w:t xml:space="preserve">Organización de las Naciones Unidas (Sin Especificar Fechas). Acerca del Derecho a la Seguridad Social El ACNUDH y el derecho a la seguridad social. </w:t>
      </w:r>
    </w:p>
    <w:bookmarkStart w:id="2" w:name="_heading=h.30j0zll" w:colFirst="0" w:colLast="0"/>
    <w:bookmarkEnd w:id="2"/>
    <w:p w:rsidR="00805B28" w:rsidRDefault="00861838">
      <w:pPr>
        <w:jc w:val="both"/>
        <w:rPr>
          <w:rFonts w:ascii="Arial" w:eastAsia="Arial" w:hAnsi="Arial" w:cs="Arial"/>
          <w:sz w:val="24"/>
          <w:szCs w:val="24"/>
        </w:rPr>
      </w:pPr>
      <w:r>
        <w:rPr>
          <w:rFonts w:ascii="Arial" w:eastAsia="Arial" w:hAnsi="Arial" w:cs="Arial"/>
          <w:color w:val="0000FF"/>
          <w:sz w:val="24"/>
          <w:szCs w:val="24"/>
          <w:u w:val="single"/>
        </w:rPr>
        <w:fldChar w:fldCharType="begin"/>
      </w:r>
      <w:r>
        <w:rPr>
          <w:rFonts w:ascii="Arial" w:eastAsia="Arial" w:hAnsi="Arial" w:cs="Arial"/>
          <w:color w:val="0000FF"/>
          <w:sz w:val="24"/>
          <w:szCs w:val="24"/>
          <w:u w:val="single"/>
        </w:rPr>
        <w:instrText xml:space="preserve"> HYPERLINK "https://www.ohchr.org/es/social-security/about-right-social-security-and-human-rights" \l ":~:text=El%20derecho%20a%20la%20seguridad%20social%20es%20de%20importancia%20fundamental,ejercer%20plenamente%20los%20derechos%20humanos" \h </w:instrText>
      </w:r>
      <w:r>
        <w:rPr>
          <w:rFonts w:ascii="Arial" w:eastAsia="Arial" w:hAnsi="Arial" w:cs="Arial"/>
          <w:color w:val="0000FF"/>
          <w:sz w:val="24"/>
          <w:szCs w:val="24"/>
          <w:u w:val="single"/>
        </w:rPr>
        <w:fldChar w:fldCharType="separate"/>
      </w:r>
      <w:r>
        <w:rPr>
          <w:rFonts w:ascii="Arial" w:eastAsia="Arial" w:hAnsi="Arial" w:cs="Arial"/>
          <w:color w:val="0000FF"/>
          <w:sz w:val="24"/>
          <w:szCs w:val="24"/>
          <w:u w:val="single"/>
        </w:rPr>
        <w:t>https://www.ohchr.org/es/social-security/about-right-social-security-and-human-rights#:~:text=El%20derecho%20a%20la%20seguridad%20social%20es%20de%20importancia%20fundamental,ejercer%20plenamente%20los%20derechos%20humanos</w:t>
      </w:r>
      <w:r>
        <w:rPr>
          <w:rFonts w:ascii="Arial" w:eastAsia="Arial" w:hAnsi="Arial" w:cs="Arial"/>
          <w:color w:val="0000FF"/>
          <w:sz w:val="24"/>
          <w:szCs w:val="24"/>
          <w:u w:val="single"/>
        </w:rPr>
        <w:fldChar w:fldCharType="end"/>
      </w:r>
      <w:r>
        <w:rPr>
          <w:rFonts w:ascii="Arial" w:eastAsia="Arial" w:hAnsi="Arial" w:cs="Arial"/>
          <w:sz w:val="24"/>
          <w:szCs w:val="24"/>
        </w:rPr>
        <w:t>.</w:t>
      </w:r>
    </w:p>
    <w:p w:rsidR="00805B28" w:rsidRDefault="00861838">
      <w:pPr>
        <w:jc w:val="both"/>
        <w:rPr>
          <w:rFonts w:ascii="Arial" w:eastAsia="Arial" w:hAnsi="Arial" w:cs="Arial"/>
          <w:sz w:val="24"/>
          <w:szCs w:val="24"/>
        </w:rPr>
      </w:pPr>
      <w:r>
        <w:rPr>
          <w:rFonts w:ascii="Arial" w:eastAsia="Arial" w:hAnsi="Arial" w:cs="Arial"/>
          <w:sz w:val="24"/>
          <w:szCs w:val="24"/>
        </w:rPr>
        <w:t xml:space="preserve">Comité De Derechos Económicos, Sociales y Culturales. (2007). Observación General Nº 19 El derecho a la seguridad social (artículo 9). </w:t>
      </w:r>
      <w:hyperlink r:id="rId18">
        <w:r>
          <w:rPr>
            <w:rFonts w:ascii="Arial" w:eastAsia="Arial" w:hAnsi="Arial" w:cs="Arial"/>
            <w:color w:val="0000FF"/>
            <w:sz w:val="24"/>
            <w:szCs w:val="24"/>
            <w:u w:val="single"/>
          </w:rPr>
          <w:t>https://www.acnur.org/fileadmin/Documentos/BDL/2012/8791.pdf</w:t>
        </w:r>
      </w:hyperlink>
    </w:p>
    <w:p w:rsidR="00805B28" w:rsidRDefault="00805B28">
      <w:pPr>
        <w:rPr>
          <w:rFonts w:ascii="Arial" w:eastAsia="Arial" w:hAnsi="Arial" w:cs="Arial"/>
          <w:sz w:val="24"/>
          <w:szCs w:val="24"/>
        </w:rPr>
      </w:pPr>
    </w:p>
    <w:p w:rsidR="00805B28" w:rsidRDefault="00861838">
      <w:pPr>
        <w:tabs>
          <w:tab w:val="left" w:pos="3015"/>
        </w:tabs>
        <w:rPr>
          <w:rFonts w:ascii="Arial" w:eastAsia="Arial" w:hAnsi="Arial" w:cs="Arial"/>
          <w:sz w:val="24"/>
          <w:szCs w:val="24"/>
        </w:rPr>
      </w:pPr>
      <w:r>
        <w:rPr>
          <w:rFonts w:ascii="Arial" w:eastAsia="Arial" w:hAnsi="Arial" w:cs="Arial"/>
          <w:sz w:val="24"/>
          <w:szCs w:val="24"/>
        </w:rPr>
        <w:tab/>
        <w:t xml:space="preserve"> </w:t>
      </w:r>
    </w:p>
    <w:sectPr w:rsidR="00805B28">
      <w:headerReference w:type="default" r:id="rId19"/>
      <w:footerReference w:type="default" r:id="rId2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D30" w:rsidRDefault="00886D30">
      <w:pPr>
        <w:spacing w:after="0" w:line="240" w:lineRule="auto"/>
      </w:pPr>
      <w:r>
        <w:separator/>
      </w:r>
    </w:p>
  </w:endnote>
  <w:endnote w:type="continuationSeparator" w:id="0">
    <w:p w:rsidR="00886D30" w:rsidRDefault="00886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B28" w:rsidRDefault="00861838">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1867852</wp:posOffset>
          </wp:positionH>
          <wp:positionV relativeFrom="paragraph">
            <wp:posOffset>-57149</wp:posOffset>
          </wp:positionV>
          <wp:extent cx="1876425" cy="542290"/>
          <wp:effectExtent l="0" t="0" r="0" b="0"/>
          <wp:wrapNone/>
          <wp:docPr id="18" name="image8.png" descr="C:\Users\Lenovo\AppData\Local\Microsoft\Windows\INetCache\Content.Word\418 osl-01 (1).png"/>
          <wp:cNvGraphicFramePr/>
          <a:graphic xmlns:a="http://schemas.openxmlformats.org/drawingml/2006/main">
            <a:graphicData uri="http://schemas.openxmlformats.org/drawingml/2006/picture">
              <pic:pic xmlns:pic="http://schemas.openxmlformats.org/drawingml/2006/picture">
                <pic:nvPicPr>
                  <pic:cNvPr id="0" name="image8.png" descr="C:\Users\Lenovo\AppData\Local\Microsoft\Windows\INetCache\Content.Word\418 osl-01 (1).png"/>
                  <pic:cNvPicPr preferRelativeResize="0"/>
                </pic:nvPicPr>
                <pic:blipFill>
                  <a:blip r:embed="rId1"/>
                  <a:srcRect l="9854" t="31650" r="42460" b="17746"/>
                  <a:stretch>
                    <a:fillRect/>
                  </a:stretch>
                </pic:blipFill>
                <pic:spPr>
                  <a:xfrm>
                    <a:off x="0" y="0"/>
                    <a:ext cx="1876425" cy="54229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D30" w:rsidRDefault="00886D30">
      <w:pPr>
        <w:spacing w:after="0" w:line="240" w:lineRule="auto"/>
      </w:pPr>
      <w:r>
        <w:separator/>
      </w:r>
    </w:p>
  </w:footnote>
  <w:footnote w:type="continuationSeparator" w:id="0">
    <w:p w:rsidR="00886D30" w:rsidRDefault="00886D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B28" w:rsidRDefault="00861838">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extent cx="2420620" cy="713105"/>
          <wp:effectExtent l="0" t="0" r="0" b="0"/>
          <wp:docPr id="3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2420620" cy="71310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92449"/>
    <w:multiLevelType w:val="multilevel"/>
    <w:tmpl w:val="8A9644C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943F2F"/>
    <w:multiLevelType w:val="multilevel"/>
    <w:tmpl w:val="737616DA"/>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15:restartNumberingAfterBreak="0">
    <w:nsid w:val="7A2533E5"/>
    <w:multiLevelType w:val="multilevel"/>
    <w:tmpl w:val="11E4D4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B28"/>
    <w:rsid w:val="00523163"/>
    <w:rsid w:val="00805B28"/>
    <w:rsid w:val="00861838"/>
    <w:rsid w:val="00886D30"/>
    <w:rsid w:val="008D6111"/>
    <w:rsid w:val="00C27D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C5D606-70D4-4D3E-9B73-BFC651F7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412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semiHidden/>
    <w:unhideWhenUsed/>
    <w:qFormat/>
    <w:rsid w:val="00EA0E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E41414"/>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E41414"/>
    <w:rPr>
      <w:color w:val="0000FF"/>
      <w:u w:val="single"/>
    </w:rPr>
  </w:style>
  <w:style w:type="paragraph" w:styleId="Encabezado">
    <w:name w:val="header"/>
    <w:basedOn w:val="Normal"/>
    <w:link w:val="EncabezadoCar"/>
    <w:uiPriority w:val="99"/>
    <w:unhideWhenUsed/>
    <w:rsid w:val="007F5E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5E43"/>
  </w:style>
  <w:style w:type="paragraph" w:styleId="Piedepgina">
    <w:name w:val="footer"/>
    <w:basedOn w:val="Normal"/>
    <w:link w:val="PiedepginaCar"/>
    <w:uiPriority w:val="99"/>
    <w:unhideWhenUsed/>
    <w:rsid w:val="007F5E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5E43"/>
  </w:style>
  <w:style w:type="paragraph" w:styleId="Sinespaciado">
    <w:name w:val="No Spacing"/>
    <w:link w:val="SinespaciadoCar"/>
    <w:uiPriority w:val="1"/>
    <w:qFormat/>
    <w:rsid w:val="007F5E43"/>
    <w:pPr>
      <w:spacing w:after="0" w:line="240" w:lineRule="auto"/>
      <w:jc w:val="both"/>
    </w:pPr>
    <w:rPr>
      <w:rFonts w:ascii="Century Gothic" w:hAnsi="Century Gothic" w:cs="Times New Roman"/>
    </w:rPr>
  </w:style>
  <w:style w:type="character" w:customStyle="1" w:styleId="SinespaciadoCar">
    <w:name w:val="Sin espaciado Car"/>
    <w:link w:val="Sinespaciado"/>
    <w:uiPriority w:val="1"/>
    <w:locked/>
    <w:rsid w:val="007F5E43"/>
    <w:rPr>
      <w:rFonts w:ascii="Century Gothic" w:eastAsia="Calibri" w:hAnsi="Century Gothic" w:cs="Times New Roman"/>
    </w:rPr>
  </w:style>
  <w:style w:type="paragraph" w:customStyle="1" w:styleId="prrafosestlosgacetas">
    <w:name w:val="prrafosestlosgacetas"/>
    <w:basedOn w:val="Normal"/>
    <w:rsid w:val="00D0593F"/>
    <w:pPr>
      <w:spacing w:before="100" w:beforeAutospacing="1" w:after="100" w:afterAutospacing="1" w:line="240" w:lineRule="auto"/>
    </w:pPr>
    <w:rPr>
      <w:rFonts w:ascii="Times New Roman" w:eastAsia="Times New Roman" w:hAnsi="Times New Roman" w:cs="Times New Roman"/>
      <w:sz w:val="24"/>
      <w:szCs w:val="24"/>
    </w:rPr>
  </w:style>
  <w:style w:type="character" w:styleId="Refdenotaalpie">
    <w:name w:val="footnote reference"/>
    <w:basedOn w:val="Fuentedeprrafopredeter"/>
    <w:uiPriority w:val="99"/>
    <w:semiHidden/>
    <w:unhideWhenUsed/>
    <w:rsid w:val="002C3FFC"/>
  </w:style>
  <w:style w:type="character" w:styleId="Textoennegrita">
    <w:name w:val="Strong"/>
    <w:basedOn w:val="Fuentedeprrafopredeter"/>
    <w:uiPriority w:val="22"/>
    <w:qFormat/>
    <w:rsid w:val="00E04C03"/>
    <w:rPr>
      <w:b/>
      <w:bCs/>
    </w:rPr>
  </w:style>
  <w:style w:type="paragraph" w:styleId="Prrafodelista">
    <w:name w:val="List Paragraph"/>
    <w:basedOn w:val="Normal"/>
    <w:uiPriority w:val="34"/>
    <w:qFormat/>
    <w:rsid w:val="007259A4"/>
    <w:pPr>
      <w:ind w:left="720"/>
      <w:contextualSpacing/>
    </w:pPr>
  </w:style>
  <w:style w:type="character" w:customStyle="1" w:styleId="Ttulo1Car">
    <w:name w:val="Título 1 Car"/>
    <w:basedOn w:val="Fuentedeprrafopredeter"/>
    <w:link w:val="Ttulo1"/>
    <w:uiPriority w:val="9"/>
    <w:rsid w:val="00C41249"/>
    <w:rPr>
      <w:rFonts w:ascii="Times New Roman" w:eastAsia="Times New Roman" w:hAnsi="Times New Roman" w:cs="Times New Roman"/>
      <w:b/>
      <w:bCs/>
      <w:kern w:val="36"/>
      <w:sz w:val="48"/>
      <w:szCs w:val="48"/>
      <w:lang w:eastAsia="es-CO"/>
    </w:rPr>
  </w:style>
  <w:style w:type="character" w:customStyle="1" w:styleId="baj">
    <w:name w:val="b_aj"/>
    <w:basedOn w:val="Fuentedeprrafopredeter"/>
    <w:rsid w:val="00FF4EBE"/>
  </w:style>
  <w:style w:type="character" w:customStyle="1" w:styleId="Ttulo2Car">
    <w:name w:val="Título 2 Car"/>
    <w:basedOn w:val="Fuentedeprrafopredeter"/>
    <w:link w:val="Ttulo2"/>
    <w:uiPriority w:val="9"/>
    <w:semiHidden/>
    <w:rsid w:val="00EA0E57"/>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4B3B9E"/>
    <w:rPr>
      <w:i/>
      <w:i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acnur.org/fileadmin/Documentos/BDL/2012/879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corteconstitucional.gov.co/relatoria/2019/T-192-19.htm"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2Dy9Kz5emUOj6lsQvlBzbcyVrA==">AMUW2mUbpoCHKcOik6A4xm/XJCS1Ry1b7peHQRrGYah+8TEHNTPzUmmSWasbpfRbu1XTvEdHK7LJAAlvWXoq7o/0ZfgelGpjBdbVTZcKwU/8NxKm7EIndxLyI/NdMo5cNUx92dW5Wd1EmLZi2R/AdHaey4xxurLNnw==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2593</Words>
  <Characters>14263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Cuenta Microsoft</cp:lastModifiedBy>
  <cp:revision>3</cp:revision>
  <cp:lastPrinted>2022-07-26T22:14:00Z</cp:lastPrinted>
  <dcterms:created xsi:type="dcterms:W3CDTF">2022-07-27T00:11:00Z</dcterms:created>
  <dcterms:modified xsi:type="dcterms:W3CDTF">2022-07-27T22:57:00Z</dcterms:modified>
</cp:coreProperties>
</file>