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96" w:rsidRDefault="009B187E">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Bogotá D.C, 24 de Julio de 2024</w:t>
      </w:r>
    </w:p>
    <w:p w:rsidR="00367C96" w:rsidRDefault="00367C96">
      <w:pPr>
        <w:pBdr>
          <w:top w:val="nil"/>
          <w:left w:val="nil"/>
          <w:bottom w:val="nil"/>
          <w:right w:val="nil"/>
          <w:between w:val="nil"/>
        </w:pBdr>
        <w:jc w:val="both"/>
        <w:rPr>
          <w:rFonts w:ascii="Arial Narrow" w:eastAsia="Arial Narrow" w:hAnsi="Arial Narrow" w:cs="Arial Narrow"/>
          <w:sz w:val="24"/>
          <w:szCs w:val="24"/>
        </w:rPr>
      </w:pPr>
    </w:p>
    <w:p w:rsidR="00367C96" w:rsidRDefault="00367C96">
      <w:pPr>
        <w:pBdr>
          <w:top w:val="nil"/>
          <w:left w:val="nil"/>
          <w:bottom w:val="nil"/>
          <w:right w:val="nil"/>
          <w:between w:val="nil"/>
        </w:pBdr>
        <w:jc w:val="both"/>
        <w:rPr>
          <w:rFonts w:ascii="Arial Narrow" w:eastAsia="Arial Narrow" w:hAnsi="Arial Narrow" w:cs="Arial Narrow"/>
          <w:sz w:val="24"/>
          <w:szCs w:val="24"/>
        </w:rPr>
      </w:pPr>
    </w:p>
    <w:p w:rsidR="00367C96" w:rsidRDefault="009B187E">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Doctor</w:t>
      </w:r>
    </w:p>
    <w:p w:rsidR="00367C96" w:rsidRDefault="009B187E">
      <w:pPr>
        <w:pBdr>
          <w:top w:val="nil"/>
          <w:left w:val="nil"/>
          <w:bottom w:val="nil"/>
          <w:right w:val="nil"/>
          <w:between w:val="nil"/>
        </w:pBdr>
        <w:jc w:val="both"/>
        <w:rPr>
          <w:rFonts w:ascii="Arial Narrow" w:eastAsia="Arial Narrow" w:hAnsi="Arial Narrow" w:cs="Arial Narrow"/>
          <w:b/>
          <w:sz w:val="24"/>
          <w:szCs w:val="24"/>
        </w:rPr>
      </w:pPr>
      <w:r>
        <w:rPr>
          <w:rFonts w:ascii="Arial Narrow" w:eastAsia="Arial Narrow" w:hAnsi="Arial Narrow" w:cs="Arial Narrow"/>
          <w:b/>
          <w:sz w:val="24"/>
          <w:szCs w:val="24"/>
        </w:rPr>
        <w:t>JAIME LUIS LACOUTIRE PEÑALOZA</w:t>
      </w:r>
    </w:p>
    <w:p w:rsidR="00367C96" w:rsidRDefault="009B187E">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Secretario General</w:t>
      </w:r>
    </w:p>
    <w:p w:rsidR="00367C96" w:rsidRDefault="009B187E">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rsidR="00367C96" w:rsidRDefault="009B187E">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E.S.D</w:t>
      </w:r>
    </w:p>
    <w:p w:rsidR="00367C96" w:rsidRDefault="00367C96">
      <w:pPr>
        <w:pBdr>
          <w:top w:val="nil"/>
          <w:left w:val="nil"/>
          <w:bottom w:val="nil"/>
          <w:right w:val="nil"/>
          <w:between w:val="nil"/>
        </w:pBdr>
        <w:jc w:val="both"/>
        <w:rPr>
          <w:rFonts w:ascii="Arial Narrow" w:eastAsia="Arial Narrow" w:hAnsi="Arial Narrow" w:cs="Arial Narrow"/>
          <w:sz w:val="24"/>
          <w:szCs w:val="24"/>
        </w:rPr>
      </w:pPr>
    </w:p>
    <w:p w:rsidR="00367C96" w:rsidRDefault="00367C96">
      <w:pPr>
        <w:pBdr>
          <w:top w:val="nil"/>
          <w:left w:val="nil"/>
          <w:bottom w:val="nil"/>
          <w:right w:val="nil"/>
          <w:between w:val="nil"/>
        </w:pBdr>
        <w:jc w:val="both"/>
        <w:rPr>
          <w:rFonts w:ascii="Arial Narrow" w:eastAsia="Arial Narrow" w:hAnsi="Arial Narrow" w:cs="Arial Narrow"/>
          <w:sz w:val="24"/>
          <w:szCs w:val="24"/>
        </w:rPr>
      </w:pPr>
    </w:p>
    <w:p w:rsidR="00367C96" w:rsidRDefault="009B187E">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REFERENCIA: </w:t>
      </w:r>
      <w:r>
        <w:rPr>
          <w:rFonts w:ascii="Arial Narrow" w:eastAsia="Arial Narrow" w:hAnsi="Arial Narrow" w:cs="Arial Narrow"/>
          <w:sz w:val="24"/>
          <w:szCs w:val="24"/>
        </w:rPr>
        <w:t>Radicación de proyecto de ley.</w:t>
      </w:r>
    </w:p>
    <w:p w:rsidR="00367C96" w:rsidRDefault="00367C96">
      <w:pPr>
        <w:spacing w:line="276" w:lineRule="auto"/>
        <w:jc w:val="both"/>
        <w:rPr>
          <w:rFonts w:ascii="Arial Narrow" w:eastAsia="Arial Narrow" w:hAnsi="Arial Narrow" w:cs="Arial Narrow"/>
          <w:sz w:val="24"/>
          <w:szCs w:val="24"/>
        </w:rPr>
      </w:pPr>
    </w:p>
    <w:p w:rsidR="00367C96" w:rsidRDefault="00367C96">
      <w:pPr>
        <w:spacing w:line="276" w:lineRule="auto"/>
        <w:jc w:val="both"/>
        <w:rPr>
          <w:rFonts w:ascii="Arial Narrow" w:eastAsia="Arial Narrow" w:hAnsi="Arial Narrow" w:cs="Arial Narrow"/>
          <w:b/>
          <w:sz w:val="24"/>
          <w:szCs w:val="24"/>
        </w:rPr>
      </w:pPr>
    </w:p>
    <w:p w:rsidR="00367C96" w:rsidRDefault="009B187E">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r>
        <w:rPr>
          <w:rFonts w:ascii="Arial Narrow" w:eastAsia="Arial Narrow" w:hAnsi="Arial Narrow" w:cs="Arial Narrow"/>
          <w:sz w:val="24"/>
          <w:szCs w:val="24"/>
        </w:rPr>
        <w:t xml:space="preserve">En nuestra condición de miembros del Congreso de la República nos permitimos poner a consideración de la Honorable Cámara de Representantes el proyecto de ley </w:t>
      </w:r>
      <w:r>
        <w:rPr>
          <w:rFonts w:ascii="Arial Narrow" w:eastAsia="Arial Narrow" w:hAnsi="Arial Narrow" w:cs="Arial Narrow"/>
          <w:b/>
          <w:color w:val="000000"/>
          <w:sz w:val="24"/>
          <w:szCs w:val="24"/>
        </w:rPr>
        <w:t xml:space="preserve">“POR MEDIO DE LA CUAL SE FORTALECEN LAS JACS Y OTROS ORGANISMOS COMUNALES COMO ORGANIZACIONES DE </w:t>
      </w:r>
      <w:r>
        <w:rPr>
          <w:rFonts w:ascii="Arial Narrow" w:eastAsia="Arial Narrow" w:hAnsi="Arial Narrow" w:cs="Arial Narrow"/>
          <w:b/>
          <w:color w:val="000000"/>
          <w:sz w:val="24"/>
          <w:szCs w:val="24"/>
        </w:rPr>
        <w:t>LA ECONOMÍA POPULAR, COMUNITARIA Y SOLIDARIA”</w:t>
      </w:r>
    </w:p>
    <w:p w:rsidR="00367C96" w:rsidRDefault="00367C96">
      <w:pPr>
        <w:pBdr>
          <w:top w:val="nil"/>
          <w:left w:val="nil"/>
          <w:bottom w:val="nil"/>
          <w:right w:val="nil"/>
          <w:between w:val="nil"/>
        </w:pBdr>
        <w:rPr>
          <w:rFonts w:ascii="Arial Narrow" w:eastAsia="Arial Narrow" w:hAnsi="Arial Narrow" w:cs="Arial Narrow"/>
          <w:sz w:val="24"/>
          <w:szCs w:val="24"/>
        </w:rPr>
      </w:pPr>
    </w:p>
    <w:p w:rsidR="00367C96" w:rsidRDefault="009B187E">
      <w:pPr>
        <w:pBdr>
          <w:top w:val="nil"/>
          <w:left w:val="nil"/>
          <w:bottom w:val="nil"/>
          <w:right w:val="nil"/>
          <w:between w:val="nil"/>
        </w:pBdr>
        <w:rPr>
          <w:rFonts w:ascii="Arial Narrow" w:eastAsia="Arial Narrow" w:hAnsi="Arial Narrow" w:cs="Arial Narrow"/>
          <w:sz w:val="24"/>
          <w:szCs w:val="24"/>
        </w:rPr>
      </w:pPr>
      <w:bookmarkStart w:id="0" w:name="_GoBack"/>
      <w:r>
        <w:rPr>
          <w:rFonts w:ascii="Arial Narrow" w:eastAsia="Arial Narrow" w:hAnsi="Arial Narrow" w:cs="Arial Narrow"/>
          <w:sz w:val="24"/>
          <w:szCs w:val="24"/>
        </w:rPr>
        <w:t>Atentamente.</w:t>
      </w:r>
    </w:p>
    <w:p w:rsidR="00367C96" w:rsidRDefault="00367C96">
      <w:pPr>
        <w:pBdr>
          <w:top w:val="nil"/>
          <w:left w:val="nil"/>
          <w:bottom w:val="nil"/>
          <w:right w:val="nil"/>
          <w:between w:val="nil"/>
        </w:pBdr>
        <w:rPr>
          <w:rFonts w:ascii="Arial Narrow" w:eastAsia="Arial Narrow" w:hAnsi="Arial Narrow" w:cs="Arial Narrow"/>
          <w:sz w:val="24"/>
          <w:szCs w:val="24"/>
        </w:rPr>
      </w:pPr>
    </w:p>
    <w:p w:rsidR="00367C96" w:rsidRDefault="00367C96">
      <w:pPr>
        <w:pBdr>
          <w:top w:val="nil"/>
          <w:left w:val="nil"/>
          <w:bottom w:val="nil"/>
          <w:right w:val="nil"/>
          <w:between w:val="nil"/>
        </w:pBdr>
        <w:rPr>
          <w:rFonts w:ascii="Arial Narrow" w:eastAsia="Arial Narrow" w:hAnsi="Arial Narrow" w:cs="Arial Narrow"/>
          <w:sz w:val="24"/>
          <w:szCs w:val="24"/>
        </w:rPr>
      </w:pPr>
    </w:p>
    <w:p w:rsidR="00367C96" w:rsidRDefault="00367C96">
      <w:pPr>
        <w:pBdr>
          <w:top w:val="nil"/>
          <w:left w:val="nil"/>
          <w:bottom w:val="nil"/>
          <w:right w:val="nil"/>
          <w:between w:val="nil"/>
        </w:pBdr>
        <w:rPr>
          <w:rFonts w:ascii="Arial Narrow" w:eastAsia="Arial Narrow" w:hAnsi="Arial Narrow" w:cs="Arial Narrow"/>
          <w:sz w:val="24"/>
          <w:szCs w:val="24"/>
        </w:rPr>
      </w:pPr>
    </w:p>
    <w:p w:rsidR="00367C96" w:rsidRDefault="009B187E" w:rsidP="00B334F2">
      <w:pPr>
        <w:pBdr>
          <w:top w:val="nil"/>
          <w:left w:val="nil"/>
          <w:bottom w:val="nil"/>
          <w:right w:val="nil"/>
          <w:between w:val="nil"/>
        </w:pBdr>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rsidR="00367C96" w:rsidRDefault="009B187E" w:rsidP="00B334F2">
      <w:pPr>
        <w:pBdr>
          <w:top w:val="nil"/>
          <w:left w:val="nil"/>
          <w:bottom w:val="nil"/>
          <w:right w:val="nil"/>
          <w:between w:val="nil"/>
        </w:pBdr>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 Antioquia)</w:t>
      </w:r>
    </w:p>
    <w:p w:rsidR="00B334F2" w:rsidRDefault="00B334F2" w:rsidP="00B334F2">
      <w:pPr>
        <w:pBdr>
          <w:top w:val="nil"/>
          <w:left w:val="nil"/>
          <w:bottom w:val="nil"/>
          <w:right w:val="nil"/>
          <w:between w:val="nil"/>
        </w:pBdr>
        <w:jc w:val="center"/>
        <w:rPr>
          <w:rFonts w:ascii="Arial Narrow" w:eastAsia="Arial Narrow" w:hAnsi="Arial Narrow" w:cs="Arial Narrow"/>
          <w:sz w:val="24"/>
          <w:szCs w:val="24"/>
        </w:rPr>
      </w:pPr>
    </w:p>
    <w:p w:rsidR="00B334F2" w:rsidRDefault="00B334F2" w:rsidP="00B334F2">
      <w:pPr>
        <w:pBdr>
          <w:top w:val="nil"/>
          <w:left w:val="nil"/>
          <w:bottom w:val="nil"/>
          <w:right w:val="nil"/>
          <w:between w:val="nil"/>
        </w:pBdr>
        <w:jc w:val="center"/>
        <w:rPr>
          <w:rFonts w:ascii="Arial Narrow" w:eastAsia="Arial Narrow" w:hAnsi="Arial Narrow" w:cs="Arial Narrow"/>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367C96" w:rsidRDefault="00367C96">
      <w:pPr>
        <w:spacing w:line="276" w:lineRule="auto"/>
        <w:jc w:val="both"/>
        <w:rPr>
          <w:rFonts w:ascii="Arial" w:eastAsia="Arial" w:hAnsi="Arial" w:cs="Arial"/>
          <w:sz w:val="24"/>
          <w:szCs w:val="24"/>
        </w:rPr>
      </w:pPr>
    </w:p>
    <w:p w:rsidR="00367C96" w:rsidRDefault="00367C96">
      <w:pPr>
        <w:widowControl/>
        <w:jc w:val="center"/>
        <w:rPr>
          <w:rFonts w:ascii="Constantia" w:eastAsia="Constantia" w:hAnsi="Constantia" w:cs="Constantia"/>
          <w:b/>
          <w:sz w:val="24"/>
          <w:szCs w:val="24"/>
        </w:rPr>
      </w:pPr>
    </w:p>
    <w:p w:rsidR="00367C96" w:rsidRDefault="00367C96">
      <w:pPr>
        <w:spacing w:line="276" w:lineRule="auto"/>
        <w:jc w:val="both"/>
        <w:rPr>
          <w:rFonts w:ascii="Arial" w:eastAsia="Arial" w:hAnsi="Arial" w:cs="Arial"/>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367C96" w:rsidRDefault="00367C96">
      <w:pPr>
        <w:pBdr>
          <w:top w:val="nil"/>
          <w:left w:val="nil"/>
          <w:bottom w:val="nil"/>
          <w:right w:val="nil"/>
          <w:between w:val="nil"/>
        </w:pBdr>
        <w:spacing w:line="276" w:lineRule="auto"/>
        <w:rPr>
          <w:rFonts w:ascii="Arial" w:eastAsia="Arial" w:hAnsi="Arial" w:cs="Arial"/>
          <w:b/>
          <w:color w:val="000000"/>
          <w:sz w:val="24"/>
          <w:szCs w:val="24"/>
        </w:rPr>
      </w:pPr>
    </w:p>
    <w:p w:rsidR="00367C96" w:rsidRDefault="00367C96">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367C96" w:rsidRDefault="00367C96">
      <w:pPr>
        <w:pBdr>
          <w:top w:val="nil"/>
          <w:left w:val="nil"/>
          <w:bottom w:val="nil"/>
          <w:right w:val="nil"/>
          <w:between w:val="nil"/>
        </w:pBdr>
        <w:spacing w:line="276" w:lineRule="auto"/>
        <w:rPr>
          <w:rFonts w:ascii="Arial" w:eastAsia="Arial" w:hAnsi="Arial" w:cs="Arial"/>
          <w:b/>
          <w:color w:val="000000"/>
          <w:sz w:val="24"/>
          <w:szCs w:val="24"/>
        </w:rPr>
      </w:pPr>
    </w:p>
    <w:p w:rsidR="00367C96" w:rsidRDefault="00367C96">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pPr>
        <w:pBdr>
          <w:top w:val="nil"/>
          <w:left w:val="nil"/>
          <w:bottom w:val="nil"/>
          <w:right w:val="nil"/>
          <w:between w:val="nil"/>
        </w:pBdr>
        <w:spacing w:line="276" w:lineRule="auto"/>
        <w:rPr>
          <w:rFonts w:ascii="Arial" w:eastAsia="Arial" w:hAnsi="Arial" w:cs="Arial"/>
          <w:b/>
          <w:color w:val="000000"/>
          <w:sz w:val="24"/>
          <w:szCs w:val="24"/>
        </w:rPr>
      </w:pPr>
    </w:p>
    <w:p w:rsidR="00367C96" w:rsidRP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bookmarkEnd w:id="0"/>
    <w:p w:rsidR="00367C96" w:rsidRDefault="009B187E">
      <w:pPr>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PROYECTO DE LEY No. ________________de 2024</w:t>
      </w:r>
    </w:p>
    <w:p w:rsidR="00B334F2" w:rsidRDefault="00B334F2">
      <w:pPr>
        <w:jc w:val="center"/>
        <w:rPr>
          <w:rFonts w:ascii="Arial Narrow" w:eastAsia="Arial Narrow" w:hAnsi="Arial Narrow" w:cs="Arial Narrow"/>
          <w:b/>
          <w:sz w:val="24"/>
          <w:szCs w:val="24"/>
        </w:rPr>
      </w:pPr>
    </w:p>
    <w:p w:rsidR="00367C96" w:rsidRDefault="00367C96">
      <w:pPr>
        <w:jc w:val="center"/>
        <w:rPr>
          <w:rFonts w:ascii="Arial Narrow" w:eastAsia="Arial Narrow" w:hAnsi="Arial Narrow" w:cs="Arial Narrow"/>
          <w:b/>
          <w:sz w:val="24"/>
          <w:szCs w:val="24"/>
        </w:rPr>
      </w:pPr>
    </w:p>
    <w:p w:rsidR="00367C96" w:rsidRDefault="009B187E">
      <w:pPr>
        <w:pBdr>
          <w:top w:val="nil"/>
          <w:left w:val="nil"/>
          <w:bottom w:val="nil"/>
          <w:right w:val="nil"/>
          <w:between w:val="nil"/>
        </w:pBdr>
        <w:spacing w:line="276"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POR MEDIO DE LA CUAL SE FORTALECEN LAS JACS Y OTROS ORGANISMOS COMUNALES COMO ORGANIZACIONES DE LA ECONOMÍA POPULAR, COMUNITARIA Y SOLIDARIA</w:t>
      </w:r>
    </w:p>
    <w:p w:rsidR="00B334F2" w:rsidRDefault="00B334F2">
      <w:pPr>
        <w:pBdr>
          <w:top w:val="nil"/>
          <w:left w:val="nil"/>
          <w:bottom w:val="nil"/>
          <w:right w:val="nil"/>
          <w:between w:val="nil"/>
        </w:pBdr>
        <w:spacing w:line="276" w:lineRule="auto"/>
        <w:jc w:val="center"/>
        <w:rPr>
          <w:rFonts w:ascii="Arial Narrow" w:eastAsia="Arial Narrow" w:hAnsi="Arial Narrow" w:cs="Arial Narrow"/>
          <w:b/>
          <w:color w:val="000000"/>
          <w:sz w:val="24"/>
          <w:szCs w:val="24"/>
        </w:rPr>
      </w:pPr>
    </w:p>
    <w:p w:rsidR="00367C96" w:rsidRDefault="00367C96">
      <w:pPr>
        <w:pBdr>
          <w:top w:val="nil"/>
          <w:left w:val="nil"/>
          <w:bottom w:val="nil"/>
          <w:right w:val="nil"/>
          <w:between w:val="nil"/>
        </w:pBdr>
        <w:spacing w:line="276" w:lineRule="auto"/>
        <w:rPr>
          <w:rFonts w:ascii="Arial" w:eastAsia="Arial" w:hAnsi="Arial" w:cs="Arial"/>
          <w:b/>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1. OBJETO.</w:t>
      </w:r>
      <w:r>
        <w:rPr>
          <w:rFonts w:ascii="Arial Narrow" w:eastAsia="Arial Narrow" w:hAnsi="Arial Narrow" w:cs="Arial Narrow"/>
          <w:color w:val="000000"/>
          <w:sz w:val="24"/>
          <w:szCs w:val="24"/>
        </w:rPr>
        <w:t xml:space="preserve"> La presente ley tiene por objeto el fortalecimiento de los organismos comunales como organizaciones de la economía popular, comunitaria y solidaria.</w:t>
      </w:r>
    </w:p>
    <w:p w:rsidR="00B334F2" w:rsidRDefault="00B334F2">
      <w:pPr>
        <w:jc w:val="both"/>
        <w:rPr>
          <w:rFonts w:ascii="Arial Narrow" w:eastAsia="Arial Narrow" w:hAnsi="Arial Narrow" w:cs="Arial Narrow"/>
          <w:color w:val="000000"/>
          <w:sz w:val="24"/>
          <w:szCs w:val="24"/>
        </w:rPr>
      </w:pPr>
    </w:p>
    <w:p w:rsidR="00367C96" w:rsidRDefault="00367C96">
      <w:pPr>
        <w:pBdr>
          <w:top w:val="nil"/>
          <w:left w:val="nil"/>
          <w:bottom w:val="nil"/>
          <w:right w:val="nil"/>
          <w:between w:val="nil"/>
        </w:pBdr>
        <w:jc w:val="both"/>
        <w:rPr>
          <w:rFonts w:ascii="Arial Narrow" w:eastAsia="Arial Narrow" w:hAnsi="Arial Narrow" w:cs="Arial Narrow"/>
          <w:b/>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2. Definiciones. </w:t>
      </w:r>
      <w:r>
        <w:rPr>
          <w:rFonts w:ascii="Arial Narrow" w:eastAsia="Arial Narrow" w:hAnsi="Arial Narrow" w:cs="Arial Narrow"/>
          <w:color w:val="000000"/>
          <w:sz w:val="24"/>
          <w:szCs w:val="24"/>
        </w:rPr>
        <w:t xml:space="preserve">Para la aplicación de la presente ley, se tendrán en cuenta </w:t>
      </w:r>
      <w:r>
        <w:rPr>
          <w:rFonts w:ascii="Arial Narrow" w:eastAsia="Arial Narrow" w:hAnsi="Arial Narrow" w:cs="Arial Narrow"/>
          <w:color w:val="000000"/>
          <w:sz w:val="24"/>
          <w:szCs w:val="24"/>
        </w:rPr>
        <w:t xml:space="preserve">las siguientes definiciones: </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i/>
          <w:color w:val="000000"/>
          <w:sz w:val="24"/>
          <w:szCs w:val="24"/>
        </w:rPr>
        <w:t>Organismo comunal:</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instancia participativa sin ánimo de lucro a través de la cual las comunidades deciden organizarse para liderar e impulsar procesos comunitarios de interés común en barrios, veredas o territorios.</w:t>
      </w:r>
    </w:p>
    <w:p w:rsidR="00367C96" w:rsidRDefault="00367C96">
      <w:pPr>
        <w:pBdr>
          <w:top w:val="nil"/>
          <w:left w:val="nil"/>
          <w:bottom w:val="nil"/>
          <w:right w:val="nil"/>
          <w:between w:val="nil"/>
        </w:pBdr>
        <w:jc w:val="both"/>
        <w:rPr>
          <w:rFonts w:ascii="Arial Narrow" w:eastAsia="Arial Narrow" w:hAnsi="Arial Narrow" w:cs="Arial Narrow"/>
          <w:i/>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i/>
          <w:color w:val="000000"/>
          <w:sz w:val="24"/>
          <w:szCs w:val="24"/>
        </w:rPr>
        <w:t>Junta de</w:t>
      </w:r>
      <w:r>
        <w:rPr>
          <w:rFonts w:ascii="Arial Narrow" w:eastAsia="Arial Narrow" w:hAnsi="Arial Narrow" w:cs="Arial Narrow"/>
          <w:b/>
          <w:i/>
          <w:color w:val="000000"/>
          <w:sz w:val="24"/>
          <w:szCs w:val="24"/>
        </w:rPr>
        <w:t xml:space="preserve"> Acción Comunal:</w:t>
      </w:r>
      <w:r>
        <w:rPr>
          <w:rFonts w:ascii="Arial Narrow" w:eastAsia="Arial Narrow" w:hAnsi="Arial Narrow" w:cs="Arial Narrow"/>
          <w:color w:val="000000"/>
          <w:sz w:val="24"/>
          <w:szCs w:val="24"/>
        </w:rPr>
        <w:t xml:space="preserve"> es una organización social, cívica, popular y comunitaria, de naturaleza solidaria, sin ánimo de lucro, de carácter privado, autónoma, con personería jurídica y patrimonio propio, compuesta por los habitantes de un barrio, vereda o territo</w:t>
      </w:r>
      <w:r>
        <w:rPr>
          <w:rFonts w:ascii="Arial Narrow" w:eastAsia="Arial Narrow" w:hAnsi="Arial Narrow" w:cs="Arial Narrow"/>
          <w:color w:val="000000"/>
          <w:sz w:val="24"/>
          <w:szCs w:val="24"/>
        </w:rPr>
        <w:t>rio mayores de catorce (14) años de edad, que se organizan con el objetivo de crear propuestas y estrategias para solucionar las problemáticas y necesidades de su comunidad.</w:t>
      </w:r>
    </w:p>
    <w:p w:rsidR="00367C96" w:rsidRDefault="00367C96">
      <w:pPr>
        <w:pBdr>
          <w:top w:val="nil"/>
          <w:left w:val="nil"/>
          <w:bottom w:val="nil"/>
          <w:right w:val="nil"/>
          <w:between w:val="nil"/>
        </w:pBdr>
        <w:jc w:val="both"/>
        <w:rPr>
          <w:rFonts w:ascii="Arial Narrow" w:eastAsia="Arial Narrow" w:hAnsi="Arial Narrow" w:cs="Arial Narrow"/>
          <w:b/>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i/>
          <w:color w:val="000000"/>
          <w:sz w:val="24"/>
          <w:szCs w:val="24"/>
        </w:rPr>
        <w:t>Asociación de juntas de acción comunal:</w:t>
      </w:r>
      <w:r>
        <w:rPr>
          <w:rFonts w:ascii="Arial Narrow" w:eastAsia="Arial Narrow" w:hAnsi="Arial Narrow" w:cs="Arial Narrow"/>
          <w:color w:val="000000"/>
          <w:sz w:val="24"/>
          <w:szCs w:val="24"/>
        </w:rPr>
        <w:t xml:space="preserve"> es un organismo de acción comunal de segu</w:t>
      </w:r>
      <w:r>
        <w:rPr>
          <w:rFonts w:ascii="Arial Narrow" w:eastAsia="Arial Narrow" w:hAnsi="Arial Narrow" w:cs="Arial Narrow"/>
          <w:color w:val="000000"/>
          <w:sz w:val="24"/>
          <w:szCs w:val="24"/>
        </w:rPr>
        <w:t xml:space="preserve">ndo grado, que se compone por dos o más juntas de acción comunal, manteniendo las características de esta última. </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i/>
          <w:color w:val="000000"/>
          <w:sz w:val="24"/>
          <w:szCs w:val="24"/>
        </w:rPr>
        <w:t>Federación comunal:</w:t>
      </w:r>
      <w:r>
        <w:rPr>
          <w:rFonts w:ascii="Arial Narrow" w:eastAsia="Arial Narrow" w:hAnsi="Arial Narrow" w:cs="Arial Narrow"/>
          <w:color w:val="000000"/>
          <w:sz w:val="24"/>
          <w:szCs w:val="24"/>
        </w:rPr>
        <w:t xml:space="preserve"> es un organismo de acción comunal de tercer grado, conformado por organismos de segundo grado, es decir, por la agrupación de varias juntas de acción comunal a título de asociación.</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b/>
          <w:sz w:val="24"/>
          <w:szCs w:val="24"/>
        </w:rPr>
      </w:pPr>
      <w:r>
        <w:rPr>
          <w:rFonts w:ascii="Arial Narrow" w:eastAsia="Arial Narrow" w:hAnsi="Arial Narrow" w:cs="Arial Narrow"/>
          <w:b/>
          <w:i/>
          <w:color w:val="000000"/>
          <w:sz w:val="24"/>
          <w:szCs w:val="24"/>
        </w:rPr>
        <w:t>Economía popular</w:t>
      </w:r>
      <w:r>
        <w:rPr>
          <w:rFonts w:ascii="Arial Narrow" w:eastAsia="Arial Narrow" w:hAnsi="Arial Narrow" w:cs="Arial Narrow"/>
          <w:i/>
          <w:color w:val="000000"/>
          <w:sz w:val="24"/>
          <w:szCs w:val="24"/>
        </w:rPr>
        <w:t>:</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es el conjunto de relaciones, recursos, actividades, instituciones y organizaciones populares o comunitarias que operan en torno a la satisfacción de necesidades de sus integrantes, bajo la lógica de la subsistencia o de la reproducción de la vida. Esa rep</w:t>
      </w:r>
      <w:r>
        <w:rPr>
          <w:rFonts w:ascii="Arial Narrow" w:eastAsia="Arial Narrow" w:hAnsi="Arial Narrow" w:cs="Arial Narrow"/>
          <w:sz w:val="24"/>
          <w:szCs w:val="24"/>
        </w:rPr>
        <w:t>roducción se realiza utilizando tanto los medios de producción y vida (tierra, hábitat, etc.) como el Fondo de Trabajo (conjunto de energías, disposiciones y capacidades manuales e intelectuales para trabajar) de las Unidades domésticas (UD) y sus extensio</w:t>
      </w:r>
      <w:r>
        <w:rPr>
          <w:rFonts w:ascii="Arial Narrow" w:eastAsia="Arial Narrow" w:hAnsi="Arial Narrow" w:cs="Arial Narrow"/>
          <w:sz w:val="24"/>
          <w:szCs w:val="24"/>
        </w:rPr>
        <w:t>nes, definidas éstas como las principales organizaciones económicas de la economía popular –fundadas sobre relaciones de parentesco y principios de reciprocidad- que organizan recursos, capacidades y gestionan la resolución de necesidades de sus miembros.</w:t>
      </w:r>
    </w:p>
    <w:p w:rsidR="00367C96" w:rsidRDefault="00367C96">
      <w:pPr>
        <w:pBdr>
          <w:top w:val="nil"/>
          <w:left w:val="nil"/>
          <w:bottom w:val="nil"/>
          <w:right w:val="nil"/>
          <w:between w:val="nil"/>
        </w:pBdr>
        <w:jc w:val="both"/>
        <w:rPr>
          <w:rFonts w:ascii="Arial Narrow" w:eastAsia="Arial Narrow" w:hAnsi="Arial Narrow" w:cs="Arial Narrow"/>
          <w:b/>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i/>
          <w:color w:val="000000"/>
          <w:sz w:val="24"/>
          <w:szCs w:val="24"/>
        </w:rPr>
        <w:t>Organización comunal</w:t>
      </w:r>
      <w:r>
        <w:rPr>
          <w:rFonts w:ascii="Arial Narrow" w:eastAsia="Arial Narrow" w:hAnsi="Arial Narrow" w:cs="Arial Narrow"/>
          <w:i/>
          <w:color w:val="000000"/>
          <w:sz w:val="24"/>
          <w:szCs w:val="24"/>
        </w:rPr>
        <w:t>:</w:t>
      </w:r>
      <w:r>
        <w:rPr>
          <w:rFonts w:ascii="Arial Narrow" w:eastAsia="Arial Narrow" w:hAnsi="Arial Narrow" w:cs="Arial Narrow"/>
          <w:color w:val="000000"/>
          <w:sz w:val="24"/>
          <w:szCs w:val="24"/>
        </w:rPr>
        <w:t xml:space="preserve"> es la instancia a través de la cual las comunidades deciden organizarse para liderar e impulsar procesos comunitarios y de desarrollo territorial y medioambiental en barrios, veredas y territorios, materializando la participación dem</w:t>
      </w:r>
      <w:r>
        <w:rPr>
          <w:rFonts w:ascii="Arial Narrow" w:eastAsia="Arial Narrow" w:hAnsi="Arial Narrow" w:cs="Arial Narrow"/>
          <w:color w:val="000000"/>
          <w:sz w:val="24"/>
          <w:szCs w:val="24"/>
        </w:rPr>
        <w:t>ocrática, la inclusión y atendiendo el quehacer y la cotidianeidad del grupo. Se configura a título de junta de acción comunal, asociación comunal y federación comunal.</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i/>
          <w:color w:val="000000"/>
          <w:sz w:val="24"/>
          <w:szCs w:val="24"/>
        </w:rPr>
        <w:t>Alianza público-popular:</w:t>
      </w:r>
      <w:r>
        <w:rPr>
          <w:rFonts w:ascii="Arial Narrow" w:eastAsia="Arial Narrow" w:hAnsi="Arial Narrow" w:cs="Arial Narrow"/>
          <w:b/>
          <w:color w:val="000000"/>
          <w:sz w:val="24"/>
          <w:szCs w:val="24"/>
        </w:rPr>
        <w:t xml:space="preserve"> </w:t>
      </w:r>
      <w:r>
        <w:rPr>
          <w:rFonts w:ascii="Arial Narrow" w:eastAsia="Arial Narrow" w:hAnsi="Arial Narrow" w:cs="Arial Narrow"/>
          <w:color w:val="000000"/>
          <w:sz w:val="24"/>
          <w:szCs w:val="24"/>
        </w:rPr>
        <w:t>es un acuerdo entre los actores de la economía popular y el E</w:t>
      </w:r>
      <w:r>
        <w:rPr>
          <w:rFonts w:ascii="Arial Narrow" w:eastAsia="Arial Narrow" w:hAnsi="Arial Narrow" w:cs="Arial Narrow"/>
          <w:color w:val="000000"/>
          <w:sz w:val="24"/>
          <w:szCs w:val="24"/>
        </w:rPr>
        <w:t xml:space="preserve">stado, con vinculación concreta a un espacio territorial público o privado, cuyo objetivo principal es la solución de </w:t>
      </w:r>
      <w:r>
        <w:rPr>
          <w:rFonts w:ascii="Arial Narrow" w:eastAsia="Arial Narrow" w:hAnsi="Arial Narrow" w:cs="Arial Narrow"/>
          <w:color w:val="000000"/>
          <w:sz w:val="24"/>
          <w:szCs w:val="24"/>
        </w:rPr>
        <w:lastRenderedPageBreak/>
        <w:t xml:space="preserve">necesidades esenciales de una comunidad. </w:t>
      </w:r>
    </w:p>
    <w:p w:rsidR="00367C96" w:rsidRDefault="00367C96">
      <w:pPr>
        <w:jc w:val="both"/>
        <w:rPr>
          <w:rFonts w:ascii="Arial Narrow" w:eastAsia="Arial Narrow" w:hAnsi="Arial Narrow" w:cs="Arial Narrow"/>
          <w:sz w:val="24"/>
          <w:szCs w:val="24"/>
        </w:rPr>
      </w:pPr>
    </w:p>
    <w:p w:rsidR="00B334F2" w:rsidRDefault="00B334F2">
      <w:pPr>
        <w:jc w:val="both"/>
        <w:rPr>
          <w:rFonts w:ascii="Arial Narrow" w:eastAsia="Arial Narrow" w:hAnsi="Arial Narrow" w:cs="Arial Narrow"/>
          <w:sz w:val="24"/>
          <w:szCs w:val="24"/>
        </w:rPr>
      </w:pPr>
    </w:p>
    <w:p w:rsidR="00367C96" w:rsidRDefault="009B187E">
      <w:pPr>
        <w:jc w:val="both"/>
        <w:rPr>
          <w:rFonts w:ascii="Arial Narrow" w:eastAsia="Arial Narrow" w:hAnsi="Arial Narrow" w:cs="Arial Narrow"/>
          <w:sz w:val="24"/>
          <w:szCs w:val="24"/>
        </w:rPr>
      </w:pPr>
      <w:r>
        <w:rPr>
          <w:rFonts w:ascii="Arial Narrow" w:eastAsia="Arial Narrow" w:hAnsi="Arial Narrow" w:cs="Arial Narrow"/>
          <w:b/>
          <w:color w:val="000000"/>
          <w:sz w:val="24"/>
          <w:szCs w:val="24"/>
        </w:rPr>
        <w:t xml:space="preserve">ARTÍCULO 3. SISTEMA DE INFORMACIÓN DE ORGANISMOS COMUNALES. </w:t>
      </w:r>
      <w:r>
        <w:rPr>
          <w:rFonts w:ascii="Arial Narrow" w:eastAsia="Arial Narrow" w:hAnsi="Arial Narrow" w:cs="Arial Narrow"/>
          <w:sz w:val="24"/>
          <w:szCs w:val="24"/>
        </w:rPr>
        <w:t>El Gobierno Nacional creará un Sist</w:t>
      </w:r>
      <w:r>
        <w:rPr>
          <w:rFonts w:ascii="Arial Narrow" w:eastAsia="Arial Narrow" w:hAnsi="Arial Narrow" w:cs="Arial Narrow"/>
          <w:sz w:val="24"/>
          <w:szCs w:val="24"/>
        </w:rPr>
        <w:t>ema Nacional de Información de organismos comunales (OCs), el cual estará a cargo del Ministerio del Interior o quien haga sus veces. El sistema buscará la consolidación de información socioeconómica y organizacional de los organismos comunales y sus asoci</w:t>
      </w:r>
      <w:r>
        <w:rPr>
          <w:rFonts w:ascii="Arial Narrow" w:eastAsia="Arial Narrow" w:hAnsi="Arial Narrow" w:cs="Arial Narrow"/>
          <w:sz w:val="24"/>
          <w:szCs w:val="24"/>
        </w:rPr>
        <w:t xml:space="preserve">ados, dicho sistema será alimentado por </w:t>
      </w:r>
      <w:r>
        <w:rPr>
          <w:rFonts w:ascii="Arial Narrow" w:eastAsia="Arial Narrow" w:hAnsi="Arial Narrow" w:cs="Arial Narrow"/>
          <w:color w:val="000000"/>
          <w:sz w:val="24"/>
          <w:szCs w:val="24"/>
        </w:rPr>
        <w:t>el Sistema de Información Estadístico para la Economía Popular del DANE.</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Parágrafo primero</w:t>
      </w:r>
      <w:r>
        <w:rPr>
          <w:rFonts w:ascii="Arial Narrow" w:eastAsia="Arial Narrow" w:hAnsi="Arial Narrow" w:cs="Arial Narrow"/>
          <w:color w:val="000000"/>
          <w:sz w:val="24"/>
          <w:szCs w:val="24"/>
        </w:rPr>
        <w:t>: En cumplimiento de lo dispuesto en el artículo 90 de la Ley 2294 de 2023, el Departamento Administrativo Nacional de Estadí</w:t>
      </w:r>
      <w:r>
        <w:rPr>
          <w:rFonts w:ascii="Arial Narrow" w:eastAsia="Arial Narrow" w:hAnsi="Arial Narrow" w:cs="Arial Narrow"/>
          <w:color w:val="000000"/>
          <w:sz w:val="24"/>
          <w:szCs w:val="24"/>
        </w:rPr>
        <w:t>stica – DANE incluirá en el Sistema de Información Estadístico para la Economía Popular una marcación de los organismos comunales como forma de asociación de economía popular y comunitaria, con el propósito de fortalecer el sistema de información de los or</w:t>
      </w:r>
      <w:r>
        <w:rPr>
          <w:rFonts w:ascii="Arial Narrow" w:eastAsia="Arial Narrow" w:hAnsi="Arial Narrow" w:cs="Arial Narrow"/>
          <w:color w:val="000000"/>
          <w:sz w:val="24"/>
          <w:szCs w:val="24"/>
        </w:rPr>
        <w:t>ganismos comunales y sus asociados.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Parágrafo segundo</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E</w:t>
      </w:r>
      <w:r>
        <w:rPr>
          <w:rFonts w:ascii="Arial Narrow" w:eastAsia="Arial Narrow" w:hAnsi="Arial Narrow" w:cs="Arial Narrow"/>
          <w:color w:val="000000"/>
          <w:sz w:val="24"/>
          <w:szCs w:val="24"/>
        </w:rPr>
        <w:t xml:space="preserve">l Sistema de Información Estadístico para la Economía Popular </w:t>
      </w:r>
      <w:r>
        <w:rPr>
          <w:rFonts w:ascii="Arial Narrow" w:eastAsia="Arial Narrow" w:hAnsi="Arial Narrow" w:cs="Arial Narrow"/>
          <w:sz w:val="24"/>
          <w:szCs w:val="24"/>
        </w:rPr>
        <w:t>estará</w:t>
      </w:r>
      <w:r>
        <w:rPr>
          <w:rFonts w:ascii="Arial Narrow" w:eastAsia="Arial Narrow" w:hAnsi="Arial Narrow" w:cs="Arial Narrow"/>
          <w:color w:val="000000"/>
          <w:sz w:val="24"/>
          <w:szCs w:val="24"/>
        </w:rPr>
        <w:t xml:space="preserve"> en concordancia con las disposiciones establecidas en la ley 2052 de 2020, en búsqueda de simplificar los trámites a las organizac</w:t>
      </w:r>
      <w:r>
        <w:rPr>
          <w:rFonts w:ascii="Arial Narrow" w:eastAsia="Arial Narrow" w:hAnsi="Arial Narrow" w:cs="Arial Narrow"/>
          <w:color w:val="000000"/>
          <w:sz w:val="24"/>
          <w:szCs w:val="24"/>
        </w:rPr>
        <w:t>iones de que trata la presente ley.</w:t>
      </w:r>
    </w:p>
    <w:p w:rsidR="00367C96" w:rsidRDefault="00367C96">
      <w:pPr>
        <w:jc w:val="both"/>
        <w:rPr>
          <w:rFonts w:ascii="Arial Narrow" w:eastAsia="Arial Narrow" w:hAnsi="Arial Narrow" w:cs="Arial Narrow"/>
          <w:b/>
          <w:i/>
          <w:color w:val="000000"/>
          <w:sz w:val="24"/>
          <w:szCs w:val="24"/>
          <w:u w:val="single"/>
        </w:rPr>
      </w:pPr>
    </w:p>
    <w:p w:rsidR="00B334F2" w:rsidRDefault="00B334F2">
      <w:pPr>
        <w:jc w:val="both"/>
        <w:rPr>
          <w:rFonts w:ascii="Arial Narrow" w:eastAsia="Arial Narrow" w:hAnsi="Arial Narrow" w:cs="Arial Narrow"/>
          <w:b/>
          <w:i/>
          <w:color w:val="000000"/>
          <w:sz w:val="24"/>
          <w:szCs w:val="24"/>
          <w:u w:val="single"/>
        </w:rPr>
      </w:pPr>
    </w:p>
    <w:p w:rsidR="00367C96" w:rsidRDefault="009B187E">
      <w:pPr>
        <w:jc w:val="both"/>
        <w:rPr>
          <w:rFonts w:ascii="Arial Narrow" w:eastAsia="Arial Narrow" w:hAnsi="Arial Narrow" w:cs="Arial Narrow"/>
          <w:sz w:val="24"/>
          <w:szCs w:val="24"/>
        </w:rPr>
      </w:pPr>
      <w:r>
        <w:rPr>
          <w:rFonts w:ascii="Arial Narrow" w:eastAsia="Arial Narrow" w:hAnsi="Arial Narrow" w:cs="Arial Narrow"/>
          <w:b/>
          <w:color w:val="000000"/>
          <w:sz w:val="24"/>
          <w:szCs w:val="24"/>
        </w:rPr>
        <w:t xml:space="preserve">ARTÍCULO 4. POLÍTICAS Y PROGRAMAS PARA EL FORTALECIMIENTO DE ORGANISMOS COMUNALES. </w:t>
      </w:r>
      <w:r>
        <w:rPr>
          <w:rFonts w:ascii="Arial Narrow" w:eastAsia="Arial Narrow" w:hAnsi="Arial Narrow" w:cs="Arial Narrow"/>
          <w:sz w:val="24"/>
          <w:szCs w:val="24"/>
        </w:rPr>
        <w:t>El Gobierno nacional y los gobiernos territoriales diseñarán e implementarán políticas públicas y programas que permitan el fortalecimiento social, organizacional, técnico y financiero de los organismos comunales de orden nacional, departamental, distrital</w:t>
      </w:r>
      <w:r>
        <w:rPr>
          <w:rFonts w:ascii="Arial Narrow" w:eastAsia="Arial Narrow" w:hAnsi="Arial Narrow" w:cs="Arial Narrow"/>
          <w:sz w:val="24"/>
          <w:szCs w:val="24"/>
        </w:rPr>
        <w:t xml:space="preserve"> y municipal. </w:t>
      </w:r>
    </w:p>
    <w:p w:rsidR="00B334F2" w:rsidRDefault="00B334F2">
      <w:pPr>
        <w:jc w:val="both"/>
        <w:rPr>
          <w:rFonts w:ascii="Arial Narrow" w:eastAsia="Arial Narrow" w:hAnsi="Arial Narrow" w:cs="Arial Narrow"/>
          <w:strike/>
          <w:sz w:val="24"/>
          <w:szCs w:val="24"/>
        </w:rPr>
      </w:pPr>
    </w:p>
    <w:p w:rsidR="00367C96" w:rsidRDefault="00367C96">
      <w:pPr>
        <w:jc w:val="both"/>
        <w:rPr>
          <w:rFonts w:ascii="Arial Narrow" w:eastAsia="Arial Narrow" w:hAnsi="Arial Narrow" w:cs="Arial Narrow"/>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5. FORTALECIMIENTO SOCIAL DE LOS ORGANISMOS COMUNALES. </w:t>
      </w:r>
      <w:r>
        <w:rPr>
          <w:rFonts w:ascii="Arial Narrow" w:eastAsia="Arial Narrow" w:hAnsi="Arial Narrow" w:cs="Arial Narrow"/>
          <w:color w:val="000000"/>
          <w:sz w:val="24"/>
          <w:szCs w:val="24"/>
        </w:rPr>
        <w:t>En procura del fortalecimiento social de los organismos comunales, el Gobierno nacional y los gobiernos territoriales tendrán la obligación de diseñar e implementar programas d</w:t>
      </w:r>
      <w:r>
        <w:rPr>
          <w:rFonts w:ascii="Arial Narrow" w:eastAsia="Arial Narrow" w:hAnsi="Arial Narrow" w:cs="Arial Narrow"/>
          <w:color w:val="000000"/>
          <w:sz w:val="24"/>
          <w:szCs w:val="24"/>
        </w:rPr>
        <w:t>e formación y capacitación dirigidos a organismos comunales y sus asociados en temáticas como organización social, gestión social, cohesión grupal, manejo de conflictos, trabajo en equipo, así como de asistencia y acompañamiento social para el fortalecimie</w:t>
      </w:r>
      <w:r>
        <w:rPr>
          <w:rFonts w:ascii="Arial Narrow" w:eastAsia="Arial Narrow" w:hAnsi="Arial Narrow" w:cs="Arial Narrow"/>
          <w:color w:val="000000"/>
          <w:sz w:val="24"/>
          <w:szCs w:val="24"/>
        </w:rPr>
        <w:t>nto social de los organismos comunales, entre otros.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Parágrafo: El Gobierno Nacional y las entidades territoriales en procura del fortalecimiento de los organismos comunales, serán responsables </w:t>
      </w:r>
      <w:r>
        <w:rPr>
          <w:rFonts w:ascii="Arial Narrow" w:eastAsia="Arial Narrow" w:hAnsi="Arial Narrow" w:cs="Arial Narrow"/>
          <w:sz w:val="24"/>
          <w:szCs w:val="24"/>
        </w:rPr>
        <w:t>de brindar asistencia y asesoría técnica y administrativa a l</w:t>
      </w:r>
      <w:r>
        <w:rPr>
          <w:rFonts w:ascii="Arial Narrow" w:eastAsia="Arial Narrow" w:hAnsi="Arial Narrow" w:cs="Arial Narrow"/>
          <w:sz w:val="24"/>
          <w:szCs w:val="24"/>
        </w:rPr>
        <w:t xml:space="preserve">as JACs y organismos comunales en la formulación, gestión, y ejecución de programas, proyectos, convenios, contratos e inversiones que contribuyan a su fortalecimiento técnico, </w:t>
      </w:r>
      <w:r w:rsidR="00B334F2">
        <w:rPr>
          <w:rFonts w:ascii="Arial Narrow" w:eastAsia="Arial Narrow" w:hAnsi="Arial Narrow" w:cs="Arial Narrow"/>
          <w:sz w:val="24"/>
          <w:szCs w:val="24"/>
        </w:rPr>
        <w:t>financiero y</w:t>
      </w:r>
      <w:r>
        <w:rPr>
          <w:rFonts w:ascii="Arial Narrow" w:eastAsia="Arial Narrow" w:hAnsi="Arial Narrow" w:cs="Arial Narrow"/>
          <w:sz w:val="24"/>
          <w:szCs w:val="24"/>
        </w:rPr>
        <w:t>/o organizacional.</w:t>
      </w:r>
    </w:p>
    <w:p w:rsidR="00B334F2" w:rsidRDefault="00B334F2">
      <w:pPr>
        <w:jc w:val="both"/>
        <w:rPr>
          <w:rFonts w:ascii="Arial Narrow" w:eastAsia="Arial Narrow" w:hAnsi="Arial Narrow" w:cs="Arial Narrow"/>
          <w:sz w:val="24"/>
          <w:szCs w:val="24"/>
        </w:rPr>
      </w:pPr>
    </w:p>
    <w:p w:rsidR="00367C96" w:rsidRDefault="00367C96">
      <w:pPr>
        <w:jc w:val="both"/>
        <w:rPr>
          <w:rFonts w:ascii="Arial Narrow" w:eastAsia="Arial Narrow" w:hAnsi="Arial Narrow" w:cs="Arial Narrow"/>
          <w:b/>
          <w:i/>
          <w:sz w:val="24"/>
          <w:szCs w:val="24"/>
          <w:u w:val="single"/>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6. EDUCACIÓN Y PROMOCIÓN.  </w:t>
      </w:r>
      <w:r>
        <w:rPr>
          <w:rFonts w:ascii="Arial Narrow" w:eastAsia="Arial Narrow" w:hAnsi="Arial Narrow" w:cs="Arial Narrow"/>
          <w:color w:val="000000"/>
          <w:sz w:val="24"/>
          <w:szCs w:val="24"/>
        </w:rPr>
        <w:t>Los organi</w:t>
      </w:r>
      <w:r>
        <w:rPr>
          <w:rFonts w:ascii="Arial Narrow" w:eastAsia="Arial Narrow" w:hAnsi="Arial Narrow" w:cs="Arial Narrow"/>
          <w:color w:val="000000"/>
          <w:sz w:val="24"/>
          <w:szCs w:val="24"/>
        </w:rPr>
        <w:t xml:space="preserve">smos comunales serán población objetivo de capacitaciones y programas pedagógicos que formen y capaciten a sus directivos y asociados en educación social y comunitaria, educación financiera y contable, así como en la formulación, administración, y gestión </w:t>
      </w:r>
      <w:r>
        <w:rPr>
          <w:rFonts w:ascii="Arial Narrow" w:eastAsia="Arial Narrow" w:hAnsi="Arial Narrow" w:cs="Arial Narrow"/>
          <w:color w:val="000000"/>
          <w:sz w:val="24"/>
          <w:szCs w:val="24"/>
        </w:rPr>
        <w:t>de proyectos, gestión organizacional, contratación estatal, entre otras áreas. Para tal efecto el Gobierno nacional a través del Servicio Nacional de Aprendizaje- SENA y la Escuela Superior de Administración Pública - ESAP, creará programas presenciales, t</w:t>
      </w:r>
      <w:r>
        <w:rPr>
          <w:rFonts w:ascii="Arial Narrow" w:eastAsia="Arial Narrow" w:hAnsi="Arial Narrow" w:cs="Arial Narrow"/>
          <w:color w:val="000000"/>
          <w:sz w:val="24"/>
          <w:szCs w:val="24"/>
        </w:rPr>
        <w:t>erritoriales y virtuales orientados a organismos comunales.</w:t>
      </w:r>
    </w:p>
    <w:p w:rsidR="00367C96" w:rsidRDefault="00367C96">
      <w:pPr>
        <w:jc w:val="both"/>
        <w:rPr>
          <w:rFonts w:ascii="Arial Narrow" w:eastAsia="Arial Narrow" w:hAnsi="Arial Narrow" w:cs="Arial Narrow"/>
          <w:color w:val="000000"/>
          <w:sz w:val="24"/>
          <w:szCs w:val="24"/>
        </w:rPr>
      </w:pPr>
    </w:p>
    <w:p w:rsidR="00367C96" w:rsidRDefault="009B187E">
      <w:pPr>
        <w:widowControl/>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 xml:space="preserve">Parágrafo: </w:t>
      </w:r>
      <w:r>
        <w:rPr>
          <w:rFonts w:ascii="Arial Narrow" w:eastAsia="Arial Narrow" w:hAnsi="Arial Narrow" w:cs="Arial Narrow"/>
          <w:color w:val="000000"/>
          <w:sz w:val="24"/>
          <w:szCs w:val="24"/>
        </w:rPr>
        <w:t xml:space="preserve">El Servicio Nacional de aprendizaje y la Escuela Superior de administración </w:t>
      </w:r>
      <w:r>
        <w:rPr>
          <w:rFonts w:ascii="Arial Narrow" w:eastAsia="Arial Narrow" w:hAnsi="Arial Narrow" w:cs="Arial Narrow"/>
          <w:sz w:val="24"/>
          <w:szCs w:val="24"/>
        </w:rPr>
        <w:t>pública</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implementarán</w:t>
      </w:r>
      <w:r>
        <w:rPr>
          <w:rFonts w:ascii="Arial Narrow" w:eastAsia="Arial Narrow" w:hAnsi="Arial Narrow" w:cs="Arial Narrow"/>
          <w:color w:val="000000"/>
          <w:sz w:val="24"/>
          <w:szCs w:val="24"/>
        </w:rPr>
        <w:t xml:space="preserve"> acciones con el fin de publicitar los programas existentes para la educación y promoción, así como los nuevos que se llegaren a crear con el fin.</w:t>
      </w:r>
      <w:r>
        <w:rPr>
          <w:rFonts w:ascii="Arial Narrow" w:eastAsia="Arial Narrow" w:hAnsi="Arial Narrow" w:cs="Arial Narrow"/>
          <w:b/>
          <w:color w:val="000000"/>
          <w:sz w:val="24"/>
          <w:szCs w:val="24"/>
        </w:rPr>
        <w:t xml:space="preserve"> </w:t>
      </w:r>
    </w:p>
    <w:p w:rsidR="00367C96" w:rsidRDefault="00367C96">
      <w:pPr>
        <w:jc w:val="both"/>
        <w:rPr>
          <w:rFonts w:ascii="Arial Narrow" w:eastAsia="Arial Narrow" w:hAnsi="Arial Narrow" w:cs="Arial Narrow"/>
          <w:color w:val="000000"/>
          <w:sz w:val="24"/>
          <w:szCs w:val="24"/>
        </w:rPr>
      </w:pPr>
    </w:p>
    <w:p w:rsidR="00367C96" w:rsidRDefault="00367C96">
      <w:pP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b/>
          <w:sz w:val="24"/>
          <w:szCs w:val="24"/>
        </w:rPr>
        <w:t>ARTÍCULO</w:t>
      </w:r>
      <w:r>
        <w:rPr>
          <w:rFonts w:ascii="Arial Narrow" w:eastAsia="Arial Narrow" w:hAnsi="Arial Narrow" w:cs="Arial Narrow"/>
          <w:b/>
          <w:color w:val="000000"/>
          <w:sz w:val="24"/>
          <w:szCs w:val="24"/>
        </w:rPr>
        <w:t xml:space="preserve"> 7. FORTALECIMIENTO FINANCIERO DE ORGANISMOS COMUNALES.  </w:t>
      </w:r>
      <w:r>
        <w:rPr>
          <w:rFonts w:ascii="Arial Narrow" w:eastAsia="Arial Narrow" w:hAnsi="Arial Narrow" w:cs="Arial Narrow"/>
          <w:sz w:val="24"/>
          <w:szCs w:val="24"/>
        </w:rPr>
        <w:t>El Gobierno nacional y los gobiernos terr</w:t>
      </w:r>
      <w:r>
        <w:rPr>
          <w:rFonts w:ascii="Arial Narrow" w:eastAsia="Arial Narrow" w:hAnsi="Arial Narrow" w:cs="Arial Narrow"/>
          <w:sz w:val="24"/>
          <w:szCs w:val="24"/>
        </w:rPr>
        <w:t>itoriales, a través de Ministerios, Secretarias y entidades como FINAGRO, BANCOLDEX, FINDETER, BANAGRARIO y otras entidades financieras, incluidas las cooperativas de ahorro y créditos, impulsarán líneas especiales de ahorro y crédito para el financiamient</w:t>
      </w:r>
      <w:r>
        <w:rPr>
          <w:rFonts w:ascii="Arial Narrow" w:eastAsia="Arial Narrow" w:hAnsi="Arial Narrow" w:cs="Arial Narrow"/>
          <w:sz w:val="24"/>
          <w:szCs w:val="24"/>
        </w:rPr>
        <w:t>o y fortalecimiento de organismos comunales. Estas líneas estarán destinadas a fortalecer el financiamiento de capital de trabajo, activos productivos, proyectos y de otras necesidades financieras de los organismos comunales.</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líneas especiales de ahor</w:t>
      </w:r>
      <w:r>
        <w:rPr>
          <w:rFonts w:ascii="Arial Narrow" w:eastAsia="Arial Narrow" w:hAnsi="Arial Narrow" w:cs="Arial Narrow"/>
          <w:color w:val="000000"/>
          <w:sz w:val="24"/>
          <w:szCs w:val="24"/>
        </w:rPr>
        <w:t>ro y crédito se diseñarán de manera inclusiva, teniendo en cuenta las necesidades y características propias de los organismos comunales, así como las particularidades de sus actividades socioeconómicas y sus proyectos.</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Se fomentará la creación de instrume</w:t>
      </w:r>
      <w:r>
        <w:rPr>
          <w:rFonts w:ascii="Arial Narrow" w:eastAsia="Arial Narrow" w:hAnsi="Arial Narrow" w:cs="Arial Narrow"/>
          <w:sz w:val="24"/>
          <w:szCs w:val="24"/>
        </w:rPr>
        <w:t>ntos financieros adaptados a la realidad de los organismos comunales, como créditos con tasas de interés preferenciales, plazos flexibles y garantías alternativas. Asimismo, se promoverá la educación financiera y el acceso a servicios de asesoramiento técn</w:t>
      </w:r>
      <w:r>
        <w:rPr>
          <w:rFonts w:ascii="Arial Narrow" w:eastAsia="Arial Narrow" w:hAnsi="Arial Narrow" w:cs="Arial Narrow"/>
          <w:sz w:val="24"/>
          <w:szCs w:val="24"/>
        </w:rPr>
        <w:t>ico y empresarial para los organismos comunales, con el fin de mejorar su capacidad de gestión financiera y promover la sostenibilidad de sus proyectos.</w:t>
      </w:r>
    </w:p>
    <w:p w:rsidR="00367C96" w:rsidRDefault="00367C96">
      <w:pPr>
        <w:pBdr>
          <w:top w:val="nil"/>
          <w:left w:val="nil"/>
          <w:bottom w:val="nil"/>
          <w:right w:val="nil"/>
          <w:between w:val="nil"/>
        </w:pBdr>
        <w:jc w:val="both"/>
        <w:rPr>
          <w:rFonts w:ascii="Arial Narrow" w:eastAsia="Arial Narrow" w:hAnsi="Arial Narrow" w:cs="Arial Narrow"/>
          <w:b/>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Parágrafo: </w:t>
      </w:r>
      <w:r>
        <w:rPr>
          <w:rFonts w:ascii="Arial Narrow" w:eastAsia="Arial Narrow" w:hAnsi="Arial Narrow" w:cs="Arial Narrow"/>
          <w:color w:val="000000"/>
          <w:sz w:val="24"/>
          <w:szCs w:val="24"/>
        </w:rPr>
        <w:t>De manera complementaria, se promoverán alianzas público-populares entre el Estado y los organismos comunales en diferentes sectores, sociedades de economía mixta, compras públicas y asociaciones público-populares con participación organismos comunales, pr</w:t>
      </w:r>
      <w:r>
        <w:rPr>
          <w:rFonts w:ascii="Arial Narrow" w:eastAsia="Arial Narrow" w:hAnsi="Arial Narrow" w:cs="Arial Narrow"/>
          <w:color w:val="000000"/>
          <w:sz w:val="24"/>
          <w:szCs w:val="24"/>
        </w:rPr>
        <w:t>ocurando el fortalecimiento financiero y organizacional de los organismos comunales.</w:t>
      </w:r>
    </w:p>
    <w:p w:rsidR="00367C96" w:rsidRDefault="00367C96">
      <w:pPr>
        <w:jc w:val="both"/>
        <w:rPr>
          <w:rFonts w:ascii="Arial Narrow" w:eastAsia="Arial Narrow" w:hAnsi="Arial Narrow" w:cs="Arial Narrow"/>
          <w:color w:val="000000"/>
          <w:sz w:val="24"/>
          <w:szCs w:val="24"/>
        </w:rPr>
      </w:pPr>
    </w:p>
    <w:p w:rsidR="00B334F2" w:rsidRDefault="00B334F2">
      <w:pP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8. COMPRAS PÚBLICAS A LOS ORGANISMOS COMUNALES.</w:t>
      </w:r>
      <w:r>
        <w:rPr>
          <w:rFonts w:ascii="Arial Narrow" w:eastAsia="Arial Narrow" w:hAnsi="Arial Narrow" w:cs="Arial Narrow"/>
          <w:color w:val="000000"/>
          <w:sz w:val="24"/>
          <w:szCs w:val="24"/>
        </w:rPr>
        <w:t xml:space="preserve"> Con el objetivo de promover el fortalecimiento de la economía popular, comunitaria y social-solidaria y en conson</w:t>
      </w:r>
      <w:r>
        <w:rPr>
          <w:rFonts w:ascii="Arial Narrow" w:eastAsia="Arial Narrow" w:hAnsi="Arial Narrow" w:cs="Arial Narrow"/>
          <w:color w:val="000000"/>
          <w:sz w:val="24"/>
          <w:szCs w:val="24"/>
        </w:rPr>
        <w:t>ancia con las disposiciones establecidas en el artículo 100 y 101 de la ley 2294 de 2023, se implementará un sistema de compras públicas preferenciales a los productos y servicios provenientes de los organismos comunales y otras de las organizaciones de la</w:t>
      </w:r>
      <w:r>
        <w:rPr>
          <w:rFonts w:ascii="Arial Narrow" w:eastAsia="Arial Narrow" w:hAnsi="Arial Narrow" w:cs="Arial Narrow"/>
          <w:color w:val="000000"/>
          <w:sz w:val="24"/>
          <w:szCs w:val="24"/>
        </w:rPr>
        <w:t xml:space="preserve"> economía popular, comunitaria y social-solidaria.</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instituciones y entidades del sector público priorizarán la compra de bienes y contratación de servicios provenientes de la economía popular, social y solidaria, cuando cumplan con estándares de calid</w:t>
      </w:r>
      <w:r>
        <w:rPr>
          <w:rFonts w:ascii="Arial Narrow" w:eastAsia="Arial Narrow" w:hAnsi="Arial Narrow" w:cs="Arial Narrow"/>
          <w:color w:val="000000"/>
          <w:sz w:val="24"/>
          <w:szCs w:val="24"/>
        </w:rPr>
        <w:t>ad, precios competitivos y demás requisitos establecidos en las normas de contratación pública.</w:t>
      </w:r>
    </w:p>
    <w:p w:rsidR="00367C96" w:rsidRDefault="00367C96">
      <w:pPr>
        <w:jc w:val="both"/>
        <w:rPr>
          <w:rFonts w:ascii="Arial Narrow" w:eastAsia="Arial Narrow" w:hAnsi="Arial Narrow" w:cs="Arial Narrow"/>
          <w:color w:val="000000"/>
          <w:sz w:val="24"/>
          <w:szCs w:val="24"/>
        </w:rPr>
      </w:pPr>
    </w:p>
    <w:p w:rsidR="00B334F2" w:rsidRDefault="00B334F2">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9. FORTALECIMIENTO ORGANIZACIONAL DE LOS ORGANISMOS COMUNALES. </w:t>
      </w:r>
      <w:r>
        <w:rPr>
          <w:rFonts w:ascii="Arial Narrow" w:eastAsia="Arial Narrow" w:hAnsi="Arial Narrow" w:cs="Arial Narrow"/>
          <w:color w:val="000000"/>
          <w:sz w:val="24"/>
          <w:szCs w:val="24"/>
        </w:rPr>
        <w:t xml:space="preserve">En procura del fortalecimiento organizacional de los organismos comunales, el Gobierno </w:t>
      </w:r>
      <w:r>
        <w:rPr>
          <w:rFonts w:ascii="Arial Narrow" w:eastAsia="Arial Narrow" w:hAnsi="Arial Narrow" w:cs="Arial Narrow"/>
          <w:color w:val="000000"/>
          <w:sz w:val="24"/>
          <w:szCs w:val="24"/>
        </w:rPr>
        <w:t>nacional y los gobiernos territoriales diseñarán e implementarán programas para tal efecto. Adicionalmente se habilitarán mecanismos, instrumentos y herramientas para el fortalecimiento organizacional de los organismos comunales tales como la creación de s</w:t>
      </w:r>
      <w:r>
        <w:rPr>
          <w:rFonts w:ascii="Arial Narrow" w:eastAsia="Arial Narrow" w:hAnsi="Arial Narrow" w:cs="Arial Narrow"/>
          <w:color w:val="000000"/>
          <w:sz w:val="24"/>
          <w:szCs w:val="24"/>
        </w:rPr>
        <w:t>ociedades de economía mixta, alianzas público-populares, asociaciones público-populares y convenios solidarios con participación activa de organismos comunales.</w:t>
      </w:r>
    </w:p>
    <w:p w:rsidR="00367C96" w:rsidRDefault="00367C96">
      <w:pP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lastRenderedPageBreak/>
        <w:t xml:space="preserve">ARTÍCULO 10. AUTORIZACIÓN PARA LA CREACIÓN DE SOCIEDADES DE ECONOMÍA MIXTA CON ORGANISMOS COMUNALES. </w:t>
      </w:r>
      <w:r>
        <w:rPr>
          <w:rFonts w:ascii="Arial Narrow" w:eastAsia="Arial Narrow" w:hAnsi="Arial Narrow" w:cs="Arial Narrow"/>
          <w:color w:val="000000"/>
          <w:sz w:val="24"/>
          <w:szCs w:val="24"/>
        </w:rPr>
        <w:t>Autorícese a la nación y a las entidades territoriales la creación de sociedades de economía mixta con organismos comunales, cuyo objeto será el fomento de</w:t>
      </w:r>
      <w:r>
        <w:rPr>
          <w:rFonts w:ascii="Arial Narrow" w:eastAsia="Arial Narrow" w:hAnsi="Arial Narrow" w:cs="Arial Narrow"/>
          <w:color w:val="000000"/>
          <w:sz w:val="24"/>
          <w:szCs w:val="24"/>
        </w:rPr>
        <w:t xml:space="preserve"> la agro-industrialización, la construcción de obras de infraestructura en vivienda, el mejoramiento y mantenimiento de vías terciarias así como de infraestructura deportiva y recreativa, la construcción de infraestructura de servicios públicos domiciliari</w:t>
      </w:r>
      <w:r>
        <w:rPr>
          <w:rFonts w:ascii="Arial Narrow" w:eastAsia="Arial Narrow" w:hAnsi="Arial Narrow" w:cs="Arial Narrow"/>
          <w:color w:val="000000"/>
          <w:sz w:val="24"/>
          <w:szCs w:val="24"/>
        </w:rPr>
        <w:t>os, saneamiento básico y de educación, la prestación de servicios públicos, la producción y comercialización de productos agropecuarios, la operación de programas estatales, entre otras actividades para satisfacer necesidades básicas.</w:t>
      </w:r>
    </w:p>
    <w:p w:rsidR="00367C96" w:rsidRDefault="00367C96">
      <w:pPr>
        <w:pBdr>
          <w:top w:val="nil"/>
          <w:left w:val="nil"/>
          <w:bottom w:val="nil"/>
          <w:right w:val="nil"/>
          <w:between w:val="nil"/>
        </w:pBdr>
        <w:jc w:val="both"/>
        <w:rPr>
          <w:rFonts w:ascii="Arial Narrow" w:eastAsia="Arial Narrow" w:hAnsi="Arial Narrow" w:cs="Arial Narrow"/>
          <w:b/>
          <w:color w:val="000000"/>
          <w:sz w:val="24"/>
          <w:szCs w:val="24"/>
          <w:u w:val="single"/>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Parágrafo 1.</w:t>
      </w:r>
      <w:r>
        <w:rPr>
          <w:rFonts w:ascii="Arial Narrow" w:eastAsia="Arial Narrow" w:hAnsi="Arial Narrow" w:cs="Arial Narrow"/>
          <w:color w:val="000000"/>
          <w:sz w:val="24"/>
          <w:szCs w:val="24"/>
        </w:rPr>
        <w:t xml:space="preserve"> La auto</w:t>
      </w:r>
      <w:r>
        <w:rPr>
          <w:rFonts w:ascii="Arial Narrow" w:eastAsia="Arial Narrow" w:hAnsi="Arial Narrow" w:cs="Arial Narrow"/>
          <w:color w:val="000000"/>
          <w:sz w:val="24"/>
          <w:szCs w:val="24"/>
        </w:rPr>
        <w:t xml:space="preserve">rización aquí establecida se refiere a los organismos comunales en los términos del artículo 11 de la Ley 2166 de 2021, esto es, juntas de acción comunal, juntas de vivienda comunal, asociaciones y federaciones, bajo el cumplimiento de los requisitos allí </w:t>
      </w:r>
      <w:r>
        <w:rPr>
          <w:rFonts w:ascii="Arial Narrow" w:eastAsia="Arial Narrow" w:hAnsi="Arial Narrow" w:cs="Arial Narrow"/>
          <w:color w:val="000000"/>
          <w:sz w:val="24"/>
          <w:szCs w:val="24"/>
        </w:rPr>
        <w:t>establecidos.</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Parágrafo 2. </w:t>
      </w:r>
      <w:r>
        <w:rPr>
          <w:rFonts w:ascii="Arial Narrow" w:eastAsia="Arial Narrow" w:hAnsi="Arial Narrow" w:cs="Arial Narrow"/>
          <w:color w:val="000000"/>
          <w:sz w:val="24"/>
          <w:szCs w:val="24"/>
        </w:rPr>
        <w:t>Las entidades territoriales podrán autorizar, a través de una ordenanza departamental o un acuerdo municipal, la conformación de sociedades de economía mixta con los organismos de acción comunal que estén en su jurisdicción.</w:t>
      </w:r>
    </w:p>
    <w:p w:rsidR="00367C96" w:rsidRDefault="00367C96">
      <w:pPr>
        <w:jc w:val="both"/>
        <w:rPr>
          <w:rFonts w:ascii="Arial Narrow" w:eastAsia="Arial Narrow" w:hAnsi="Arial Narrow" w:cs="Arial Narrow"/>
          <w:color w:val="000000"/>
          <w:sz w:val="24"/>
          <w:szCs w:val="24"/>
        </w:rPr>
      </w:pPr>
    </w:p>
    <w:p w:rsidR="00B334F2" w:rsidRDefault="00B334F2">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sz w:val="24"/>
          <w:szCs w:val="24"/>
        </w:rPr>
      </w:pPr>
      <w:r>
        <w:rPr>
          <w:rFonts w:ascii="Arial Narrow" w:eastAsia="Arial Narrow" w:hAnsi="Arial Narrow" w:cs="Arial Narrow"/>
          <w:b/>
          <w:sz w:val="24"/>
          <w:szCs w:val="24"/>
        </w:rPr>
        <w:t>AR</w:t>
      </w:r>
      <w:r>
        <w:rPr>
          <w:rFonts w:ascii="Arial Narrow" w:eastAsia="Arial Narrow" w:hAnsi="Arial Narrow" w:cs="Arial Narrow"/>
          <w:b/>
          <w:sz w:val="24"/>
          <w:szCs w:val="24"/>
        </w:rPr>
        <w:t>TÍCULO 11. ASOCIACIONES PÚBLICO- POPULARES Y CONVENIOS SOLIDARIOS.</w:t>
      </w:r>
      <w:r>
        <w:rPr>
          <w:rFonts w:ascii="Arial Narrow" w:eastAsia="Arial Narrow" w:hAnsi="Arial Narrow" w:cs="Arial Narrow"/>
          <w:sz w:val="24"/>
          <w:szCs w:val="24"/>
        </w:rPr>
        <w:t xml:space="preserve"> Las entidades estatales podrán celebrar directamente contratos o convenios solidarios con organismos comunales. Estos contratos se denominarán Asociaciones Público-Populares  o Convenios So</w:t>
      </w:r>
      <w:r>
        <w:rPr>
          <w:rFonts w:ascii="Arial Narrow" w:eastAsia="Arial Narrow" w:hAnsi="Arial Narrow" w:cs="Arial Narrow"/>
          <w:sz w:val="24"/>
          <w:szCs w:val="24"/>
        </w:rPr>
        <w:t>lidarios, y podrán celebrarse para la ejecución de obras o la adquisición de bienes y servicios relacionados con infraestructura social, vivienda, vías, cultura, infraestructura productiva, proyectos de eficiencia energética, producción y transformación de</w:t>
      </w:r>
      <w:r>
        <w:rPr>
          <w:rFonts w:ascii="Arial Narrow" w:eastAsia="Arial Narrow" w:hAnsi="Arial Narrow" w:cs="Arial Narrow"/>
          <w:sz w:val="24"/>
          <w:szCs w:val="24"/>
        </w:rPr>
        <w:t xml:space="preserve"> alimentos, producción y suministro de bienes y servicios, gestión comunitaria del agua, saneamiento básico, economía del cuidado, fortalecimiento ambiental y comunitario, y adquisición de productos de origen o destinación agropecuarios, agroindustriales e</w:t>
      </w:r>
      <w:r>
        <w:rPr>
          <w:rFonts w:ascii="Arial Narrow" w:eastAsia="Arial Narrow" w:hAnsi="Arial Narrow" w:cs="Arial Narrow"/>
          <w:sz w:val="24"/>
          <w:szCs w:val="24"/>
        </w:rPr>
        <w:t xml:space="preserve"> industriales. El Gobierno nacional, reglamentará el presente artículo durante los seis (6) meses siguientes a la aprobación de la presente ley.</w:t>
      </w:r>
    </w:p>
    <w:p w:rsidR="00367C96" w:rsidRDefault="00367C96">
      <w:pPr>
        <w:jc w:val="both"/>
        <w:rPr>
          <w:rFonts w:ascii="Arial Narrow" w:eastAsia="Arial Narrow" w:hAnsi="Arial Narrow" w:cs="Arial Narrow"/>
          <w:sz w:val="24"/>
          <w:szCs w:val="24"/>
        </w:rPr>
      </w:pPr>
    </w:p>
    <w:p w:rsidR="00367C96" w:rsidRDefault="009B187E">
      <w:pPr>
        <w:jc w:val="both"/>
        <w:rPr>
          <w:rFonts w:ascii="Arial Narrow" w:eastAsia="Arial Narrow" w:hAnsi="Arial Narrow" w:cs="Arial Narrow"/>
          <w:sz w:val="24"/>
          <w:szCs w:val="24"/>
        </w:rPr>
      </w:pPr>
      <w:r>
        <w:rPr>
          <w:rFonts w:ascii="Arial Narrow" w:eastAsia="Arial Narrow" w:hAnsi="Arial Narrow" w:cs="Arial Narrow"/>
          <w:sz w:val="24"/>
          <w:szCs w:val="24"/>
        </w:rPr>
        <w:t>Parágrafo: las entidades públicas no podrán adicionar requisitos diferentes a los establecidos legalmente para</w:t>
      </w:r>
      <w:r>
        <w:rPr>
          <w:rFonts w:ascii="Arial Narrow" w:eastAsia="Arial Narrow" w:hAnsi="Arial Narrow" w:cs="Arial Narrow"/>
          <w:sz w:val="24"/>
          <w:szCs w:val="24"/>
        </w:rPr>
        <w:t xml:space="preserve"> la suscripción de convenios.</w:t>
      </w:r>
    </w:p>
    <w:p w:rsidR="00367C96" w:rsidRDefault="00367C96">
      <w:pPr>
        <w:jc w:val="both"/>
        <w:rPr>
          <w:rFonts w:ascii="Arial Narrow" w:eastAsia="Arial Narrow" w:hAnsi="Arial Narrow" w:cs="Arial Narrow"/>
          <w:b/>
          <w:i/>
          <w:sz w:val="24"/>
          <w:szCs w:val="24"/>
          <w:u w:val="single"/>
        </w:rPr>
      </w:pPr>
    </w:p>
    <w:p w:rsidR="00B334F2" w:rsidRDefault="00B334F2">
      <w:pPr>
        <w:jc w:val="both"/>
        <w:rPr>
          <w:rFonts w:ascii="Arial Narrow" w:eastAsia="Arial Narrow" w:hAnsi="Arial Narrow" w:cs="Arial Narrow"/>
          <w:b/>
          <w:i/>
          <w:sz w:val="24"/>
          <w:szCs w:val="24"/>
          <w:u w:val="single"/>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12. OBJETIVOS ECONÓMICOS Y DE CONTRATACIÓN CON EL ESTADO DE LOS ORGANISMOS COMUNALES. </w:t>
      </w:r>
      <w:r>
        <w:rPr>
          <w:rFonts w:ascii="Arial Narrow" w:eastAsia="Arial Narrow" w:hAnsi="Arial Narrow" w:cs="Arial Narrow"/>
          <w:sz w:val="24"/>
          <w:szCs w:val="24"/>
        </w:rPr>
        <w:t>Modifíquese</w:t>
      </w:r>
      <w:r>
        <w:rPr>
          <w:rFonts w:ascii="Arial Narrow" w:eastAsia="Arial Narrow" w:hAnsi="Arial Narrow" w:cs="Arial Narrow"/>
          <w:color w:val="000000"/>
          <w:sz w:val="24"/>
          <w:szCs w:val="24"/>
        </w:rPr>
        <w:t xml:space="preserve"> los literales f y g del artículo 16 de la Ley 2166 de 2021, los cuales quedarán de la siguiente manera: </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ind w:left="72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“ARTÍCULO 16. Objetivos. Los organismos de acción comunal tienen los siguientes objetivos:</w:t>
      </w:r>
    </w:p>
    <w:p w:rsidR="00367C96" w:rsidRDefault="009B187E">
      <w:pPr>
        <w:pBdr>
          <w:top w:val="nil"/>
          <w:left w:val="nil"/>
          <w:bottom w:val="nil"/>
          <w:right w:val="nil"/>
          <w:between w:val="nil"/>
        </w:pBdr>
        <w:ind w:left="72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w:t>
      </w:r>
    </w:p>
    <w:p w:rsidR="00367C96" w:rsidRDefault="009B187E">
      <w:pPr>
        <w:pBdr>
          <w:top w:val="nil"/>
          <w:left w:val="nil"/>
          <w:bottom w:val="nil"/>
          <w:right w:val="nil"/>
          <w:between w:val="nil"/>
        </w:pBdr>
        <w:ind w:left="72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f) Celebrar contratos, convenios, alianzas y asociaciones público-populares con entidades del Estado, empresas públicas y privadas del orden internacional, nacio</w:t>
      </w:r>
      <w:r>
        <w:rPr>
          <w:rFonts w:ascii="Arial Narrow" w:eastAsia="Arial Narrow" w:hAnsi="Arial Narrow" w:cs="Arial Narrow"/>
          <w:i/>
          <w:color w:val="000000"/>
          <w:sz w:val="24"/>
          <w:szCs w:val="24"/>
        </w:rPr>
        <w:t>nal, departamental, distrital, municipal y local, sin límite de cuantía, con el fin de impulsar planes, programas y proyectos acordes con los planes comunales y comunitarios de desarrollo territorial, que incluyan el mantenimiento y mejoramiento de vías te</w:t>
      </w:r>
      <w:r>
        <w:rPr>
          <w:rFonts w:ascii="Arial Narrow" w:eastAsia="Arial Narrow" w:hAnsi="Arial Narrow" w:cs="Arial Narrow"/>
          <w:i/>
          <w:color w:val="000000"/>
          <w:sz w:val="24"/>
          <w:szCs w:val="24"/>
        </w:rPr>
        <w:t xml:space="preserve">rciarias, la construcción, mejoramiento y operación de redes de acueducto y alcantarillado comunitario, la construcción y mejoramiento de viviendas así como de escenarios recreativos y deportivos, la ejecución del Programa de Alimentación Escolar – PAE en </w:t>
      </w:r>
      <w:r>
        <w:rPr>
          <w:rFonts w:ascii="Arial Narrow" w:eastAsia="Arial Narrow" w:hAnsi="Arial Narrow" w:cs="Arial Narrow"/>
          <w:i/>
          <w:color w:val="000000"/>
          <w:sz w:val="24"/>
          <w:szCs w:val="24"/>
        </w:rPr>
        <w:t>el territorio, programas deportivos, recreativos y culturales, entre otros.</w:t>
      </w:r>
    </w:p>
    <w:p w:rsidR="00367C96" w:rsidRDefault="009B187E">
      <w:pPr>
        <w:ind w:left="72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lastRenderedPageBreak/>
        <w:t>g) Crear y desarrollar procesos económicos de carácter colectivo y solidario, para lo cual podrán celebrar contratos de empréstito con entidades nacionales o internacionales, crear</w:t>
      </w:r>
      <w:r>
        <w:rPr>
          <w:rFonts w:ascii="Arial Narrow" w:eastAsia="Arial Narrow" w:hAnsi="Arial Narrow" w:cs="Arial Narrow"/>
          <w:i/>
          <w:color w:val="000000"/>
          <w:sz w:val="24"/>
          <w:szCs w:val="24"/>
        </w:rPr>
        <w:t xml:space="preserve"> sociedades de economía mixta conjunto con los municipios, departamentos o la nación o asociarse con este tipo de sociedades en cualquier calidad, sea como accionistas con aportes de capital o industria, contrato de sociedad futura, acuerdos de colaboració</w:t>
      </w:r>
      <w:r>
        <w:rPr>
          <w:rFonts w:ascii="Arial Narrow" w:eastAsia="Arial Narrow" w:hAnsi="Arial Narrow" w:cs="Arial Narrow"/>
          <w:i/>
          <w:color w:val="000000"/>
          <w:sz w:val="24"/>
          <w:szCs w:val="24"/>
        </w:rPr>
        <w:t>n empresarial, contratos de transferencia de tecnología, entre otros;</w:t>
      </w:r>
    </w:p>
    <w:p w:rsidR="00367C96" w:rsidRDefault="009B187E">
      <w:pPr>
        <w:pBdr>
          <w:top w:val="nil"/>
          <w:left w:val="nil"/>
          <w:bottom w:val="nil"/>
          <w:right w:val="nil"/>
          <w:between w:val="nil"/>
        </w:pBdr>
        <w:ind w:left="72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w:t>
      </w:r>
    </w:p>
    <w:p w:rsidR="00367C96" w:rsidRDefault="00367C96">
      <w:pPr>
        <w:jc w:val="both"/>
        <w:rPr>
          <w:rFonts w:ascii="Arial Narrow" w:eastAsia="Arial Narrow" w:hAnsi="Arial Narrow" w:cs="Arial Narrow"/>
          <w:color w:val="000000"/>
          <w:sz w:val="24"/>
          <w:szCs w:val="24"/>
        </w:rPr>
      </w:pPr>
    </w:p>
    <w:p w:rsidR="00367C96" w:rsidRDefault="00367C96">
      <w:pP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13. REQUISITOS PONDERABLES. </w:t>
      </w:r>
      <w:r>
        <w:rPr>
          <w:rFonts w:ascii="Arial Narrow" w:eastAsia="Arial Narrow" w:hAnsi="Arial Narrow" w:cs="Arial Narrow"/>
          <w:color w:val="000000"/>
          <w:sz w:val="24"/>
          <w:szCs w:val="24"/>
        </w:rPr>
        <w:t>Cuando un organismo comunal se presente como proponente para celebrar un contrato público con ocasión de lo dispuesto en esta Ley, se le otorgarán puntos adicionales en los requisitos ponderables, siempre y cuando cumplan con la totalidad de los requisitos</w:t>
      </w:r>
      <w:r>
        <w:rPr>
          <w:rFonts w:ascii="Arial Narrow" w:eastAsia="Arial Narrow" w:hAnsi="Arial Narrow" w:cs="Arial Narrow"/>
          <w:color w:val="000000"/>
          <w:sz w:val="24"/>
          <w:szCs w:val="24"/>
        </w:rPr>
        <w:t xml:space="preserve"> de constitución definidos en el artículo 11 de la Ley 2166 de 2021.</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Parágrafo: </w:t>
      </w:r>
      <w:r>
        <w:rPr>
          <w:rFonts w:ascii="Arial Narrow" w:eastAsia="Arial Narrow" w:hAnsi="Arial Narrow" w:cs="Arial Narrow"/>
          <w:color w:val="000000"/>
          <w:sz w:val="24"/>
          <w:szCs w:val="24"/>
        </w:rPr>
        <w:t xml:space="preserve">El Gobierno nacional reglamentará el esquema de puntos adicionales en los requisitos ponderables para juntas de acción comunal, en un plazo no mayor a seis (6) meses desde la </w:t>
      </w:r>
      <w:r>
        <w:rPr>
          <w:rFonts w:ascii="Arial Narrow" w:eastAsia="Arial Narrow" w:hAnsi="Arial Narrow" w:cs="Arial Narrow"/>
          <w:color w:val="000000"/>
          <w:sz w:val="24"/>
          <w:szCs w:val="24"/>
        </w:rPr>
        <w:t>promulgación de esta ley.</w:t>
      </w:r>
    </w:p>
    <w:p w:rsidR="00367C96" w:rsidRDefault="00367C96">
      <w:pPr>
        <w:jc w:val="both"/>
        <w:rPr>
          <w:rFonts w:ascii="Arial Narrow" w:eastAsia="Arial Narrow" w:hAnsi="Arial Narrow" w:cs="Arial Narrow"/>
          <w:color w:val="000000"/>
          <w:sz w:val="24"/>
          <w:szCs w:val="24"/>
        </w:rPr>
      </w:pPr>
    </w:p>
    <w:p w:rsidR="00B334F2" w:rsidRDefault="00B334F2">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14.</w:t>
      </w: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COMPETENCIAS ADICIONALES.</w:t>
      </w:r>
      <w:r>
        <w:rPr>
          <w:rFonts w:ascii="Arial Narrow" w:eastAsia="Arial Narrow" w:hAnsi="Arial Narrow" w:cs="Arial Narrow"/>
          <w:color w:val="000000"/>
          <w:sz w:val="24"/>
          <w:szCs w:val="24"/>
        </w:rPr>
        <w:t xml:space="preserve"> Además de los objetivos definidos en el artículo 16 de la Ley 2166 de 2021, los organismos comunales en municipios de categoría 4, 5 y 6 podrán:</w:t>
      </w:r>
    </w:p>
    <w:p w:rsidR="00367C96" w:rsidRDefault="00367C96">
      <w:pPr>
        <w:jc w:val="both"/>
        <w:rPr>
          <w:rFonts w:ascii="Arial Narrow" w:eastAsia="Arial Narrow" w:hAnsi="Arial Narrow" w:cs="Arial Narrow"/>
          <w:color w:val="000000"/>
          <w:sz w:val="24"/>
          <w:szCs w:val="24"/>
        </w:rPr>
      </w:pPr>
    </w:p>
    <w:p w:rsidR="00367C96" w:rsidRDefault="009B187E">
      <w:pPr>
        <w:widowControl/>
        <w:numPr>
          <w:ilvl w:val="0"/>
          <w:numId w:val="2"/>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Participar con voz y sin voto en los Concejo</w:t>
      </w:r>
      <w:r>
        <w:rPr>
          <w:rFonts w:ascii="Arial Narrow" w:eastAsia="Arial Narrow" w:hAnsi="Arial Narrow" w:cs="Arial Narrow"/>
          <w:color w:val="000000"/>
          <w:sz w:val="24"/>
          <w:szCs w:val="24"/>
        </w:rPr>
        <w:t>s Municipales cuando se debatan proyectos de acuerdo municipal que versen sobre desarrollo territorial, comunitario, agropecuario, economía popular-comunitaria y de servicios públicos domiciliarios.</w:t>
      </w:r>
    </w:p>
    <w:p w:rsidR="00367C96" w:rsidRDefault="009B187E">
      <w:pPr>
        <w:widowControl/>
        <w:numPr>
          <w:ilvl w:val="0"/>
          <w:numId w:val="2"/>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Participar en las mesas departamentales de internacionali</w:t>
      </w:r>
      <w:r>
        <w:rPr>
          <w:rFonts w:ascii="Arial Narrow" w:eastAsia="Arial Narrow" w:hAnsi="Arial Narrow" w:cs="Arial Narrow"/>
          <w:color w:val="000000"/>
          <w:sz w:val="24"/>
          <w:szCs w:val="24"/>
        </w:rPr>
        <w:t>zación y en cualquier foro dentro del Sistema Nacional de Competitividad e Innovación y demás instancias de diálogo que se creen entre el gobierno nacional y los gobiernos territoriales.</w:t>
      </w:r>
    </w:p>
    <w:p w:rsidR="00367C96" w:rsidRDefault="00367C96">
      <w:pPr>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bookmarkStart w:id="1" w:name="_heading=h.gjdgxs" w:colFirst="0" w:colLast="0"/>
      <w:bookmarkEnd w:id="1"/>
      <w:r>
        <w:rPr>
          <w:rFonts w:ascii="Arial Narrow" w:eastAsia="Arial Narrow" w:hAnsi="Arial Narrow" w:cs="Arial Narrow"/>
          <w:b/>
          <w:color w:val="000000"/>
          <w:sz w:val="24"/>
          <w:szCs w:val="24"/>
        </w:rPr>
        <w:t>Parágrafo.</w:t>
      </w:r>
      <w:r>
        <w:rPr>
          <w:rFonts w:ascii="Arial Narrow" w:eastAsia="Arial Narrow" w:hAnsi="Arial Narrow" w:cs="Arial Narrow"/>
          <w:color w:val="000000"/>
          <w:sz w:val="24"/>
          <w:szCs w:val="24"/>
        </w:rPr>
        <w:t xml:space="preserve"> El Gobierno nacional reglamentará, en un plazo no mayor a un (1) año a partir de la entrada en vigencia de la presente ley, la participación de qué trata el literal a de este artículo.</w:t>
      </w:r>
    </w:p>
    <w:p w:rsidR="00367C96" w:rsidRDefault="00367C96">
      <w:pPr>
        <w:jc w:val="both"/>
        <w:rPr>
          <w:rFonts w:ascii="Arial Narrow" w:eastAsia="Arial Narrow" w:hAnsi="Arial Narrow" w:cs="Arial Narrow"/>
          <w:color w:val="000000"/>
          <w:sz w:val="24"/>
          <w:szCs w:val="24"/>
        </w:rPr>
      </w:pPr>
    </w:p>
    <w:p w:rsidR="00B334F2" w:rsidRDefault="00B334F2">
      <w:pPr>
        <w:jc w:val="both"/>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15. BENEFICIOS PARA LOS DIGNATARIOS. </w:t>
      </w:r>
      <w:r>
        <w:rPr>
          <w:rFonts w:ascii="Arial Narrow" w:eastAsia="Arial Narrow" w:hAnsi="Arial Narrow" w:cs="Arial Narrow"/>
          <w:color w:val="000000"/>
          <w:sz w:val="24"/>
          <w:szCs w:val="24"/>
        </w:rPr>
        <w:t xml:space="preserve">Modifíquese el literal </w:t>
      </w:r>
      <w:r>
        <w:rPr>
          <w:rFonts w:ascii="Arial Narrow" w:eastAsia="Arial Narrow" w:hAnsi="Arial Narrow" w:cs="Arial Narrow"/>
          <w:color w:val="000000"/>
          <w:sz w:val="24"/>
          <w:szCs w:val="24"/>
        </w:rPr>
        <w:t>a del artículo 39 de la Ley 2166 de 2021, el cual quedará así:</w:t>
      </w:r>
    </w:p>
    <w:p w:rsidR="00367C96" w:rsidRDefault="00367C96">
      <w:pPr>
        <w:pBdr>
          <w:top w:val="nil"/>
          <w:left w:val="nil"/>
          <w:bottom w:val="nil"/>
          <w:right w:val="nil"/>
          <w:between w:val="nil"/>
        </w:pBdr>
        <w:jc w:val="both"/>
        <w:rPr>
          <w:rFonts w:ascii="Arial Narrow" w:eastAsia="Arial Narrow" w:hAnsi="Arial Narrow" w:cs="Arial Narrow"/>
          <w:i/>
          <w:color w:val="000000"/>
          <w:sz w:val="24"/>
          <w:szCs w:val="24"/>
        </w:rPr>
      </w:pPr>
    </w:p>
    <w:p w:rsidR="00367C96" w:rsidRDefault="009B187E">
      <w:pPr>
        <w:pBdr>
          <w:top w:val="nil"/>
          <w:left w:val="nil"/>
          <w:bottom w:val="nil"/>
          <w:right w:val="nil"/>
          <w:between w:val="nil"/>
        </w:pBdr>
        <w:ind w:left="36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“ARTÍCULO 39. BENEFICIOS PARA LOS DIGNATARIOS. Adicional a los que señalen los estatutos, los dignatarios de los organismos de acción comunal podrán tener los siguientes beneficios:</w:t>
      </w:r>
    </w:p>
    <w:p w:rsidR="00367C96" w:rsidRDefault="00367C96">
      <w:pPr>
        <w:pBdr>
          <w:top w:val="nil"/>
          <w:left w:val="nil"/>
          <w:bottom w:val="nil"/>
          <w:right w:val="nil"/>
          <w:between w:val="nil"/>
        </w:pBdr>
        <w:jc w:val="both"/>
        <w:rPr>
          <w:rFonts w:ascii="Arial Narrow" w:eastAsia="Arial Narrow" w:hAnsi="Arial Narrow" w:cs="Arial Narrow"/>
          <w:i/>
          <w:color w:val="000000"/>
          <w:sz w:val="24"/>
          <w:szCs w:val="24"/>
        </w:rPr>
      </w:pPr>
    </w:p>
    <w:p w:rsidR="00367C96" w:rsidRDefault="009B187E">
      <w:pPr>
        <w:widowControl/>
        <w:numPr>
          <w:ilvl w:val="0"/>
          <w:numId w:val="1"/>
        </w:numPr>
        <w:pBdr>
          <w:top w:val="nil"/>
          <w:left w:val="nil"/>
          <w:bottom w:val="nil"/>
          <w:right w:val="nil"/>
          <w:between w:val="nil"/>
        </w:pBdr>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Quien eje</w:t>
      </w:r>
      <w:r>
        <w:rPr>
          <w:rFonts w:ascii="Arial Narrow" w:eastAsia="Arial Narrow" w:hAnsi="Arial Narrow" w:cs="Arial Narrow"/>
          <w:i/>
          <w:color w:val="000000"/>
          <w:sz w:val="24"/>
          <w:szCs w:val="24"/>
        </w:rPr>
        <w:t xml:space="preserve">rza la representación legal de un organismo de acción comunal percibirá, para gastos de representación, ingresos u honorarios provenientes de los recursos propios generados por el organismo, previa reglamentación en estatutos y autorización de la asamblea </w:t>
      </w:r>
      <w:r>
        <w:rPr>
          <w:rFonts w:ascii="Arial Narrow" w:eastAsia="Arial Narrow" w:hAnsi="Arial Narrow" w:cs="Arial Narrow"/>
          <w:i/>
          <w:color w:val="000000"/>
          <w:sz w:val="24"/>
          <w:szCs w:val="24"/>
        </w:rPr>
        <w:t>respectiva. En el caso de los Presidentes de las juntas de acción comunal rurales y que no perciban ingresos u honorarios de parte del organismo comunal, podrán percibir honorarios provenientes de los ingresos corrientes de libre destinación que el distrit</w:t>
      </w:r>
      <w:r>
        <w:rPr>
          <w:rFonts w:ascii="Arial Narrow" w:eastAsia="Arial Narrow" w:hAnsi="Arial Narrow" w:cs="Arial Narrow"/>
          <w:i/>
          <w:color w:val="000000"/>
          <w:sz w:val="24"/>
          <w:szCs w:val="24"/>
        </w:rPr>
        <w:t>o o municipio tenga establecidos en su respectivo presupuesto, sin que esto implique la existencia de una relación o vínculo laboral;</w:t>
      </w:r>
    </w:p>
    <w:p w:rsidR="00367C96" w:rsidRDefault="00367C96">
      <w:pPr>
        <w:jc w:val="both"/>
        <w:rPr>
          <w:rFonts w:ascii="Arial Narrow" w:eastAsia="Arial Narrow" w:hAnsi="Arial Narrow" w:cs="Arial Narrow"/>
          <w:i/>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16.  VIGENCIA</w:t>
      </w:r>
      <w:r>
        <w:rPr>
          <w:rFonts w:ascii="Arial Narrow" w:eastAsia="Arial Narrow" w:hAnsi="Arial Narrow" w:cs="Arial Narrow"/>
          <w:color w:val="000000"/>
          <w:sz w:val="24"/>
          <w:szCs w:val="24"/>
        </w:rPr>
        <w:t>. La presente ley rige a partir de la fecha de su promulgación y deroga las demás normas que le sea</w:t>
      </w:r>
      <w:r>
        <w:rPr>
          <w:rFonts w:ascii="Arial Narrow" w:eastAsia="Arial Narrow" w:hAnsi="Arial Narrow" w:cs="Arial Narrow"/>
          <w:color w:val="000000"/>
          <w:sz w:val="24"/>
          <w:szCs w:val="24"/>
        </w:rPr>
        <w:t>n contrarias.</w:t>
      </w:r>
    </w:p>
    <w:p w:rsidR="00367C96" w:rsidRDefault="00367C96">
      <w:pPr>
        <w:jc w:val="both"/>
        <w:rPr>
          <w:rFonts w:ascii="Arial Narrow" w:eastAsia="Arial Narrow" w:hAnsi="Arial Narrow" w:cs="Arial Narrow"/>
          <w:color w:val="000000"/>
          <w:sz w:val="24"/>
          <w:szCs w:val="24"/>
        </w:rPr>
      </w:pPr>
    </w:p>
    <w:p w:rsidR="00B334F2" w:rsidRDefault="00B334F2" w:rsidP="00B334F2">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Atentamente.</w:t>
      </w:r>
    </w:p>
    <w:p w:rsidR="00B334F2" w:rsidRDefault="00B334F2" w:rsidP="00B334F2">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rsidR="00B334F2" w:rsidRDefault="00B334F2" w:rsidP="00B334F2">
      <w:pPr>
        <w:pBdr>
          <w:top w:val="nil"/>
          <w:left w:val="nil"/>
          <w:bottom w:val="nil"/>
          <w:right w:val="nil"/>
          <w:between w:val="nil"/>
        </w:pBdr>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 Antioquia)</w:t>
      </w:r>
    </w:p>
    <w:p w:rsidR="00B334F2" w:rsidRDefault="00B334F2" w:rsidP="00B334F2">
      <w:pPr>
        <w:pBdr>
          <w:top w:val="nil"/>
          <w:left w:val="nil"/>
          <w:bottom w:val="nil"/>
          <w:right w:val="nil"/>
          <w:between w:val="nil"/>
        </w:pBdr>
        <w:jc w:val="center"/>
        <w:rPr>
          <w:rFonts w:ascii="Arial Narrow" w:eastAsia="Arial Narrow" w:hAnsi="Arial Narrow" w:cs="Arial Narrow"/>
          <w:sz w:val="24"/>
          <w:szCs w:val="24"/>
        </w:rPr>
      </w:pPr>
    </w:p>
    <w:p w:rsidR="00B334F2" w:rsidRDefault="00B334F2" w:rsidP="00B334F2">
      <w:pPr>
        <w:pBdr>
          <w:top w:val="nil"/>
          <w:left w:val="nil"/>
          <w:bottom w:val="nil"/>
          <w:right w:val="nil"/>
          <w:between w:val="nil"/>
        </w:pBdr>
        <w:jc w:val="center"/>
        <w:rPr>
          <w:rFonts w:ascii="Arial Narrow" w:eastAsia="Arial Narrow" w:hAnsi="Arial Narrow" w:cs="Arial Narrow"/>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spacing w:line="276" w:lineRule="auto"/>
        <w:jc w:val="both"/>
        <w:rPr>
          <w:rFonts w:ascii="Arial" w:eastAsia="Arial" w:hAnsi="Arial" w:cs="Arial"/>
          <w:sz w:val="24"/>
          <w:szCs w:val="24"/>
        </w:rPr>
      </w:pPr>
    </w:p>
    <w:p w:rsidR="00B334F2" w:rsidRDefault="00B334F2" w:rsidP="00B334F2">
      <w:pPr>
        <w:widowControl/>
        <w:jc w:val="center"/>
        <w:rPr>
          <w:rFonts w:ascii="Constantia" w:eastAsia="Constantia" w:hAnsi="Constantia" w:cs="Constantia"/>
          <w:b/>
          <w:sz w:val="24"/>
          <w:szCs w:val="24"/>
        </w:rPr>
      </w:pPr>
    </w:p>
    <w:p w:rsidR="00B334F2" w:rsidRDefault="00B334F2" w:rsidP="00B334F2">
      <w:pPr>
        <w:spacing w:line="276" w:lineRule="auto"/>
        <w:jc w:val="both"/>
        <w:rPr>
          <w:rFonts w:ascii="Arial" w:eastAsia="Arial" w:hAnsi="Arial" w:cs="Arial"/>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P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367C96" w:rsidRDefault="00367C96">
      <w:pPr>
        <w:pBdr>
          <w:top w:val="nil"/>
          <w:left w:val="nil"/>
          <w:bottom w:val="nil"/>
          <w:right w:val="nil"/>
          <w:between w:val="nil"/>
        </w:pBdr>
        <w:rPr>
          <w:rFonts w:ascii="Arial Narrow" w:eastAsia="Arial Narrow" w:hAnsi="Arial Narrow" w:cs="Arial Narrow"/>
          <w:sz w:val="24"/>
          <w:szCs w:val="24"/>
        </w:rPr>
      </w:pPr>
    </w:p>
    <w:p w:rsidR="00367C96" w:rsidRDefault="00367C96">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P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pPr>
        <w:pBdr>
          <w:top w:val="nil"/>
          <w:left w:val="nil"/>
          <w:bottom w:val="nil"/>
          <w:right w:val="nil"/>
          <w:between w:val="nil"/>
        </w:pBdr>
        <w:rPr>
          <w:rFonts w:ascii="Arial Narrow" w:eastAsia="Arial Narrow" w:hAnsi="Arial Narrow" w:cs="Arial Narrow"/>
          <w:sz w:val="24"/>
          <w:szCs w:val="24"/>
        </w:rPr>
      </w:pPr>
    </w:p>
    <w:p w:rsidR="00367C96" w:rsidRDefault="00367C96">
      <w:pPr>
        <w:pBdr>
          <w:top w:val="nil"/>
          <w:left w:val="nil"/>
          <w:bottom w:val="nil"/>
          <w:right w:val="nil"/>
          <w:between w:val="nil"/>
        </w:pBdr>
        <w:rPr>
          <w:rFonts w:ascii="Arial Narrow" w:eastAsia="Arial Narrow" w:hAnsi="Arial Narrow" w:cs="Arial Narrow"/>
          <w:sz w:val="24"/>
          <w:szCs w:val="24"/>
        </w:rPr>
      </w:pPr>
    </w:p>
    <w:p w:rsidR="00B334F2" w:rsidRDefault="00B334F2">
      <w:pPr>
        <w:pBdr>
          <w:top w:val="nil"/>
          <w:left w:val="nil"/>
          <w:bottom w:val="nil"/>
          <w:right w:val="nil"/>
          <w:between w:val="nil"/>
        </w:pBdr>
        <w:rPr>
          <w:rFonts w:ascii="Arial Narrow" w:eastAsia="Arial Narrow" w:hAnsi="Arial Narrow" w:cs="Arial Narrow"/>
          <w:sz w:val="24"/>
          <w:szCs w:val="24"/>
        </w:rPr>
      </w:pPr>
    </w:p>
    <w:p w:rsidR="00367C96" w:rsidRDefault="00367C96">
      <w:pPr>
        <w:pBdr>
          <w:top w:val="nil"/>
          <w:left w:val="nil"/>
          <w:bottom w:val="nil"/>
          <w:right w:val="nil"/>
          <w:between w:val="nil"/>
        </w:pBdr>
        <w:rPr>
          <w:rFonts w:ascii="Arial Narrow" w:eastAsia="Arial Narrow" w:hAnsi="Arial Narrow" w:cs="Arial Narrow"/>
          <w:sz w:val="24"/>
          <w:szCs w:val="24"/>
        </w:rPr>
      </w:pPr>
    </w:p>
    <w:p w:rsidR="00B334F2" w:rsidRDefault="00B334F2">
      <w:pPr>
        <w:pBdr>
          <w:top w:val="nil"/>
          <w:left w:val="nil"/>
          <w:bottom w:val="nil"/>
          <w:right w:val="nil"/>
          <w:between w:val="nil"/>
        </w:pBdr>
        <w:rPr>
          <w:rFonts w:ascii="Arial Narrow" w:eastAsia="Arial Narrow" w:hAnsi="Arial Narrow" w:cs="Arial Narrow"/>
          <w:sz w:val="24"/>
          <w:szCs w:val="24"/>
        </w:rPr>
      </w:pPr>
    </w:p>
    <w:p w:rsidR="00367C96" w:rsidRDefault="00367C96">
      <w:pPr>
        <w:pBdr>
          <w:top w:val="nil"/>
          <w:left w:val="nil"/>
          <w:bottom w:val="nil"/>
          <w:right w:val="nil"/>
          <w:between w:val="nil"/>
        </w:pBdr>
        <w:rPr>
          <w:rFonts w:ascii="Arial Narrow" w:eastAsia="Arial Narrow" w:hAnsi="Arial Narrow" w:cs="Arial Narrow"/>
          <w:sz w:val="24"/>
          <w:szCs w:val="24"/>
        </w:rPr>
      </w:pPr>
    </w:p>
    <w:p w:rsidR="00367C96" w:rsidRDefault="009B187E">
      <w:pPr>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PROYECTO DE LEY No. ________________ de 2024</w:t>
      </w:r>
    </w:p>
    <w:p w:rsidR="00367C96" w:rsidRDefault="00367C96">
      <w:pPr>
        <w:rPr>
          <w:rFonts w:ascii="Arial Narrow" w:eastAsia="Arial Narrow" w:hAnsi="Arial Narrow" w:cs="Arial Narrow"/>
          <w:b/>
          <w:sz w:val="24"/>
          <w:szCs w:val="24"/>
        </w:rPr>
      </w:pPr>
    </w:p>
    <w:p w:rsidR="00367C96" w:rsidRDefault="009B187E">
      <w:pPr>
        <w:jc w:val="center"/>
        <w:rPr>
          <w:rFonts w:ascii="Arial Narrow" w:eastAsia="Arial Narrow" w:hAnsi="Arial Narrow" w:cs="Arial Narrow"/>
          <w:b/>
          <w:sz w:val="24"/>
          <w:szCs w:val="24"/>
        </w:rPr>
      </w:pPr>
      <w:r>
        <w:rPr>
          <w:rFonts w:ascii="Arial Narrow" w:eastAsia="Arial Narrow" w:hAnsi="Arial Narrow" w:cs="Arial Narrow"/>
          <w:b/>
          <w:sz w:val="24"/>
          <w:szCs w:val="24"/>
        </w:rPr>
        <w:t>Exposición de Motivos</w:t>
      </w:r>
    </w:p>
    <w:p w:rsidR="00367C96" w:rsidRDefault="00367C96">
      <w:pPr>
        <w:pBdr>
          <w:top w:val="nil"/>
          <w:left w:val="nil"/>
          <w:bottom w:val="nil"/>
          <w:right w:val="nil"/>
          <w:between w:val="nil"/>
        </w:pBdr>
        <w:spacing w:line="276" w:lineRule="auto"/>
        <w:rPr>
          <w:rFonts w:ascii="Arial" w:eastAsia="Arial" w:hAnsi="Arial" w:cs="Arial"/>
          <w:b/>
          <w:color w:val="000000"/>
          <w:sz w:val="24"/>
          <w:szCs w:val="24"/>
        </w:rPr>
      </w:pPr>
    </w:p>
    <w:p w:rsidR="00367C96" w:rsidRDefault="009B187E">
      <w:pPr>
        <w:pBdr>
          <w:top w:val="nil"/>
          <w:left w:val="nil"/>
          <w:bottom w:val="nil"/>
          <w:right w:val="nil"/>
          <w:between w:val="nil"/>
        </w:pBdr>
        <w:spacing w:line="276"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POR MEDIO DE LA CUAL SE FORTALECEN LAS JACS Y OTROS ORGANISMOS COMUNALES COMO ORGANIZACIONES DE LA ECONOMÍA POPULAR, COMUNITARIA Y SOLIDARIA</w:t>
      </w:r>
    </w:p>
    <w:p w:rsidR="00367C96" w:rsidRDefault="00367C96">
      <w:pPr>
        <w:pBdr>
          <w:top w:val="nil"/>
          <w:left w:val="nil"/>
          <w:bottom w:val="nil"/>
          <w:right w:val="nil"/>
          <w:between w:val="nil"/>
        </w:pBdr>
        <w:spacing w:line="276" w:lineRule="auto"/>
        <w:rPr>
          <w:rFonts w:ascii="Arial Narrow" w:eastAsia="Arial Narrow" w:hAnsi="Arial Narrow" w:cs="Arial Narrow"/>
          <w:b/>
          <w:color w:val="000000"/>
          <w:sz w:val="24"/>
          <w:szCs w:val="24"/>
        </w:rPr>
      </w:pPr>
    </w:p>
    <w:p w:rsidR="00367C96" w:rsidRDefault="009B187E">
      <w:pPr>
        <w:rPr>
          <w:rFonts w:ascii="Arial Narrow" w:eastAsia="Arial Narrow" w:hAnsi="Arial Narrow" w:cs="Arial Narrow"/>
          <w:b/>
          <w:sz w:val="24"/>
          <w:szCs w:val="24"/>
        </w:rPr>
      </w:pPr>
      <w:r>
        <w:rPr>
          <w:rFonts w:ascii="Arial Narrow" w:eastAsia="Arial Narrow" w:hAnsi="Arial Narrow" w:cs="Arial Narrow"/>
          <w:b/>
          <w:sz w:val="24"/>
          <w:szCs w:val="24"/>
        </w:rPr>
        <w:t>Tabla de Contenido:</w:t>
      </w:r>
    </w:p>
    <w:p w:rsidR="00367C96" w:rsidRDefault="009B187E">
      <w:pPr>
        <w:rPr>
          <w:rFonts w:ascii="Arial Narrow" w:eastAsia="Arial Narrow" w:hAnsi="Arial Narrow" w:cs="Arial Narrow"/>
          <w:sz w:val="24"/>
          <w:szCs w:val="24"/>
        </w:rPr>
      </w:pPr>
      <w:r>
        <w:rPr>
          <w:rFonts w:ascii="Arial Narrow" w:eastAsia="Arial Narrow" w:hAnsi="Arial Narrow" w:cs="Arial Narrow"/>
          <w:sz w:val="24"/>
          <w:szCs w:val="24"/>
        </w:rPr>
        <w:t>1. Presentación y síntesis del proyecto</w:t>
      </w:r>
    </w:p>
    <w:p w:rsidR="00367C96" w:rsidRDefault="009B187E">
      <w:pPr>
        <w:rPr>
          <w:rFonts w:ascii="Arial Narrow" w:eastAsia="Arial Narrow" w:hAnsi="Arial Narrow" w:cs="Arial Narrow"/>
          <w:sz w:val="24"/>
          <w:szCs w:val="24"/>
        </w:rPr>
      </w:pPr>
      <w:r>
        <w:rPr>
          <w:rFonts w:ascii="Arial Narrow" w:eastAsia="Arial Narrow" w:hAnsi="Arial Narrow" w:cs="Arial Narrow"/>
          <w:sz w:val="24"/>
          <w:szCs w:val="24"/>
        </w:rPr>
        <w:t>2. Objeto del proyecto de ley</w:t>
      </w:r>
    </w:p>
    <w:p w:rsidR="00367C96" w:rsidRDefault="009B187E">
      <w:pPr>
        <w:rPr>
          <w:rFonts w:ascii="Arial Narrow" w:eastAsia="Arial Narrow" w:hAnsi="Arial Narrow" w:cs="Arial Narrow"/>
          <w:sz w:val="24"/>
          <w:szCs w:val="24"/>
        </w:rPr>
      </w:pPr>
      <w:r>
        <w:rPr>
          <w:rFonts w:ascii="Arial Narrow" w:eastAsia="Arial Narrow" w:hAnsi="Arial Narrow" w:cs="Arial Narrow"/>
          <w:sz w:val="24"/>
          <w:szCs w:val="24"/>
        </w:rPr>
        <w:t>3. Descripción del articulado</w:t>
      </w:r>
    </w:p>
    <w:p w:rsidR="00367C96" w:rsidRDefault="009B187E">
      <w:pPr>
        <w:rPr>
          <w:rFonts w:ascii="Arial Narrow" w:eastAsia="Arial Narrow" w:hAnsi="Arial Narrow" w:cs="Arial Narrow"/>
          <w:sz w:val="24"/>
          <w:szCs w:val="24"/>
        </w:rPr>
      </w:pPr>
      <w:r>
        <w:rPr>
          <w:rFonts w:ascii="Arial Narrow" w:eastAsia="Arial Narrow" w:hAnsi="Arial Narrow" w:cs="Arial Narrow"/>
          <w:sz w:val="24"/>
          <w:szCs w:val="24"/>
        </w:rPr>
        <w:t>4. Marco normativo</w:t>
      </w:r>
    </w:p>
    <w:p w:rsidR="00367C96" w:rsidRDefault="009B187E">
      <w:pPr>
        <w:rPr>
          <w:rFonts w:ascii="Arial Narrow" w:eastAsia="Arial Narrow" w:hAnsi="Arial Narrow" w:cs="Arial Narrow"/>
          <w:sz w:val="24"/>
          <w:szCs w:val="24"/>
        </w:rPr>
      </w:pPr>
      <w:r>
        <w:rPr>
          <w:rFonts w:ascii="Arial Narrow" w:eastAsia="Arial Narrow" w:hAnsi="Arial Narrow" w:cs="Arial Narrow"/>
          <w:sz w:val="24"/>
          <w:szCs w:val="24"/>
        </w:rPr>
        <w:t>5. Justificación del proyecto.</w:t>
      </w:r>
    </w:p>
    <w:p w:rsidR="00367C96" w:rsidRDefault="009B187E">
      <w:pPr>
        <w:widowControl/>
        <w:pBdr>
          <w:top w:val="nil"/>
          <w:left w:val="nil"/>
          <w:bottom w:val="nil"/>
          <w:right w:val="nil"/>
          <w:between w:val="nil"/>
        </w:pBdr>
        <w:ind w:left="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5.1. Situación de los organismos comunales en el país.</w:t>
      </w:r>
    </w:p>
    <w:p w:rsidR="00367C96" w:rsidRDefault="009B187E">
      <w:pPr>
        <w:widowControl/>
        <w:pBdr>
          <w:top w:val="nil"/>
          <w:left w:val="nil"/>
          <w:bottom w:val="nil"/>
          <w:right w:val="nil"/>
          <w:between w:val="nil"/>
        </w:pBdr>
        <w:ind w:left="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5.2. Necesidad de un Acuerdo Social.</w:t>
      </w:r>
    </w:p>
    <w:p w:rsidR="00367C96" w:rsidRDefault="009B187E">
      <w:pPr>
        <w:widowControl/>
        <w:pBdr>
          <w:top w:val="nil"/>
          <w:left w:val="nil"/>
          <w:bottom w:val="nil"/>
          <w:right w:val="nil"/>
          <w:between w:val="nil"/>
        </w:pBdr>
        <w:ind w:left="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5.3. Medidas para el fortalecimiento financiero, organizacional y social de los organismos comunales.</w:t>
      </w:r>
    </w:p>
    <w:p w:rsidR="00367C96" w:rsidRDefault="009B187E">
      <w:pPr>
        <w:widowControl/>
        <w:pBdr>
          <w:top w:val="nil"/>
          <w:left w:val="nil"/>
          <w:bottom w:val="nil"/>
          <w:right w:val="nil"/>
          <w:between w:val="nil"/>
        </w:pBdr>
        <w:ind w:left="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5.4. Los organismos comunales como socios del Estado a través de las empresas de economía mixta y alianzas público-populares.</w:t>
      </w:r>
    </w:p>
    <w:p w:rsidR="00367C96" w:rsidRDefault="009B187E">
      <w:pPr>
        <w:widowControl/>
        <w:pBdr>
          <w:top w:val="nil"/>
          <w:left w:val="nil"/>
          <w:bottom w:val="nil"/>
          <w:right w:val="nil"/>
          <w:between w:val="nil"/>
        </w:pBdr>
        <w:ind w:left="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5.5. Los organismos comunale</w:t>
      </w:r>
      <w:r>
        <w:rPr>
          <w:rFonts w:ascii="Arial Narrow" w:eastAsia="Arial Narrow" w:hAnsi="Arial Narrow" w:cs="Arial Narrow"/>
          <w:color w:val="000000"/>
          <w:sz w:val="24"/>
          <w:szCs w:val="24"/>
        </w:rPr>
        <w:t>s como instrumentos para la satisfacción de necesidades y superación de la pobreza.</w:t>
      </w:r>
    </w:p>
    <w:p w:rsidR="00367C96" w:rsidRDefault="009B187E">
      <w:pPr>
        <w:rPr>
          <w:rFonts w:ascii="Arial Narrow" w:eastAsia="Arial Narrow" w:hAnsi="Arial Narrow" w:cs="Arial Narrow"/>
          <w:sz w:val="24"/>
          <w:szCs w:val="24"/>
        </w:rPr>
      </w:pPr>
      <w:r>
        <w:rPr>
          <w:rFonts w:ascii="Arial Narrow" w:eastAsia="Arial Narrow" w:hAnsi="Arial Narrow" w:cs="Arial Narrow"/>
          <w:sz w:val="24"/>
          <w:szCs w:val="24"/>
        </w:rPr>
        <w:t>6. Impacto fiscal</w:t>
      </w:r>
    </w:p>
    <w:p w:rsidR="00367C96" w:rsidRDefault="009B187E">
      <w:pPr>
        <w:rPr>
          <w:rFonts w:ascii="Arial Narrow" w:eastAsia="Arial Narrow" w:hAnsi="Arial Narrow" w:cs="Arial Narrow"/>
          <w:sz w:val="24"/>
          <w:szCs w:val="24"/>
        </w:rPr>
      </w:pPr>
      <w:r>
        <w:rPr>
          <w:rFonts w:ascii="Arial Narrow" w:eastAsia="Arial Narrow" w:hAnsi="Arial Narrow" w:cs="Arial Narrow"/>
          <w:sz w:val="24"/>
          <w:szCs w:val="24"/>
        </w:rPr>
        <w:t>7. Conflicto de intereses</w:t>
      </w:r>
    </w:p>
    <w:p w:rsidR="00367C96" w:rsidRDefault="009B187E">
      <w:pPr>
        <w:rPr>
          <w:rFonts w:ascii="Arial Narrow" w:eastAsia="Arial Narrow" w:hAnsi="Arial Narrow" w:cs="Arial Narrow"/>
          <w:sz w:val="24"/>
          <w:szCs w:val="24"/>
        </w:rPr>
      </w:pPr>
      <w:r>
        <w:rPr>
          <w:rFonts w:ascii="Arial Narrow" w:eastAsia="Arial Narrow" w:hAnsi="Arial Narrow" w:cs="Arial Narrow"/>
          <w:sz w:val="24"/>
          <w:szCs w:val="24"/>
        </w:rPr>
        <w:t>8. Consideraciones finales.</w:t>
      </w:r>
    </w:p>
    <w:p w:rsidR="00367C96" w:rsidRDefault="00367C96">
      <w:pPr>
        <w:widowControl/>
        <w:pBdr>
          <w:top w:val="nil"/>
          <w:left w:val="nil"/>
          <w:bottom w:val="nil"/>
          <w:right w:val="nil"/>
          <w:between w:val="nil"/>
        </w:pBdr>
        <w:jc w:val="both"/>
        <w:rPr>
          <w:rFonts w:ascii="Arial Narrow" w:eastAsia="Arial Narrow" w:hAnsi="Arial Narrow" w:cs="Arial Narrow"/>
          <w:b/>
          <w:sz w:val="24"/>
          <w:szCs w:val="24"/>
        </w:rPr>
      </w:pPr>
    </w:p>
    <w:p w:rsidR="00367C96" w:rsidRDefault="009B187E">
      <w:pPr>
        <w:widowControl/>
        <w:numPr>
          <w:ilvl w:val="0"/>
          <w:numId w:val="3"/>
        </w:numPr>
        <w:pBdr>
          <w:top w:val="nil"/>
          <w:left w:val="nil"/>
          <w:bottom w:val="nil"/>
          <w:right w:val="nil"/>
          <w:between w:val="nil"/>
        </w:pBdr>
        <w:jc w:val="both"/>
        <w:rPr>
          <w:rFonts w:ascii="Arial Narrow" w:eastAsia="Arial Narrow" w:hAnsi="Arial Narrow" w:cs="Arial Narrow"/>
          <w:b/>
          <w:sz w:val="24"/>
          <w:szCs w:val="24"/>
        </w:rPr>
      </w:pPr>
      <w:r>
        <w:rPr>
          <w:rFonts w:ascii="Arial Narrow" w:eastAsia="Arial Narrow" w:hAnsi="Arial Narrow" w:cs="Arial Narrow"/>
          <w:b/>
          <w:sz w:val="24"/>
          <w:szCs w:val="24"/>
        </w:rPr>
        <w:t>PRESENTACIÓN Y SÍNTESIS DEL PROYECTO</w:t>
      </w:r>
    </w:p>
    <w:p w:rsidR="00367C96" w:rsidRDefault="00367C96">
      <w:pPr>
        <w:widowControl/>
        <w:pBdr>
          <w:top w:val="nil"/>
          <w:left w:val="nil"/>
          <w:bottom w:val="nil"/>
          <w:right w:val="nil"/>
          <w:between w:val="nil"/>
        </w:pBdr>
        <w:ind w:left="720"/>
        <w:jc w:val="both"/>
        <w:rPr>
          <w:rFonts w:ascii="Arial Narrow" w:eastAsia="Arial Narrow" w:hAnsi="Arial Narrow" w:cs="Arial Narrow"/>
          <w:b/>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color w:val="000000"/>
          <w:sz w:val="24"/>
          <w:szCs w:val="24"/>
        </w:rPr>
        <w:t>El presente proyecto de ley tiene como objetivo fortalecer los organismos comunales, específicamente las Juntas de Acción Comunal (JACs) y otros organismos similares, reconociéndolos y promoviendo su papel como actores fundamentales dentro de la economía p</w:t>
      </w:r>
      <w:r>
        <w:rPr>
          <w:rFonts w:ascii="Arial Narrow" w:eastAsia="Arial Narrow" w:hAnsi="Arial Narrow" w:cs="Arial Narrow"/>
          <w:color w:val="000000"/>
          <w:sz w:val="24"/>
          <w:szCs w:val="24"/>
        </w:rPr>
        <w:t>opular, comunitaria y solidaria. La ley busca proporcionar un marco legal que respalde el desarrollo de estas organizaciones, mejorando sus capacidades y fomentando su participación activa en la economía local. Al reconocer la importancia de las JACs y otr</w:t>
      </w:r>
      <w:r>
        <w:rPr>
          <w:rFonts w:ascii="Arial Narrow" w:eastAsia="Arial Narrow" w:hAnsi="Arial Narrow" w:cs="Arial Narrow"/>
          <w:color w:val="000000"/>
          <w:sz w:val="24"/>
          <w:szCs w:val="24"/>
        </w:rPr>
        <w:t>os organismos comunales, se pretende impulsar iniciativas que fortalezcan su estructura organizativa, su gestión y su impacto social y económico. La ley establece medidas para apoyar su desarrollo mediante la capacitación, el acceso a recursos y la promoci</w:t>
      </w:r>
      <w:r>
        <w:rPr>
          <w:rFonts w:ascii="Arial Narrow" w:eastAsia="Arial Narrow" w:hAnsi="Arial Narrow" w:cs="Arial Narrow"/>
          <w:color w:val="000000"/>
          <w:sz w:val="24"/>
          <w:szCs w:val="24"/>
        </w:rPr>
        <w:t>ón de alianzas estratégicas. Con ello, se busca contribuir al bienestar de las comunidades, fomentar la cohesión social y promover un desarrollo económico inclusivo y sostenible. En resumen, esta ley representa un compromiso con el fortalecimiento de las o</w:t>
      </w:r>
      <w:r>
        <w:rPr>
          <w:rFonts w:ascii="Arial Narrow" w:eastAsia="Arial Narrow" w:hAnsi="Arial Narrow" w:cs="Arial Narrow"/>
          <w:color w:val="000000"/>
          <w:sz w:val="24"/>
          <w:szCs w:val="24"/>
        </w:rPr>
        <w:t>rganizaciones comunales como pilares de la economía popular, comunitaria y solidaria, con el fin de mejorar la calidad de vida de sus miembros y de la comunidad en general.</w:t>
      </w: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9B187E">
      <w:pPr>
        <w:widowControl/>
        <w:numPr>
          <w:ilvl w:val="0"/>
          <w:numId w:val="3"/>
        </w:numPr>
        <w:pBdr>
          <w:top w:val="nil"/>
          <w:left w:val="nil"/>
          <w:bottom w:val="nil"/>
          <w:right w:val="nil"/>
          <w:between w:val="nil"/>
        </w:pBdr>
        <w:jc w:val="both"/>
        <w:rPr>
          <w:rFonts w:ascii="Arial Narrow" w:eastAsia="Arial Narrow" w:hAnsi="Arial Narrow" w:cs="Arial Narrow"/>
          <w:b/>
          <w:sz w:val="24"/>
          <w:szCs w:val="24"/>
        </w:rPr>
      </w:pPr>
      <w:r>
        <w:rPr>
          <w:rFonts w:ascii="Arial Narrow" w:eastAsia="Arial Narrow" w:hAnsi="Arial Narrow" w:cs="Arial Narrow"/>
          <w:b/>
          <w:sz w:val="24"/>
          <w:szCs w:val="24"/>
        </w:rPr>
        <w:t>OBJETO DEL PROYECTO DE LEY</w:t>
      </w:r>
    </w:p>
    <w:p w:rsidR="00367C96" w:rsidRDefault="00367C96">
      <w:pPr>
        <w:widowControl/>
        <w:pBdr>
          <w:top w:val="nil"/>
          <w:left w:val="nil"/>
          <w:bottom w:val="nil"/>
          <w:right w:val="nil"/>
          <w:between w:val="nil"/>
        </w:pBdr>
        <w:ind w:left="720"/>
        <w:jc w:val="both"/>
        <w:rPr>
          <w:rFonts w:ascii="Arial Narrow" w:eastAsia="Arial Narrow" w:hAnsi="Arial Narrow" w:cs="Arial Narrow"/>
          <w:b/>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objetivo principal es el fortalecimiento de los org</w:t>
      </w:r>
      <w:r>
        <w:rPr>
          <w:rFonts w:ascii="Arial Narrow" w:eastAsia="Arial Narrow" w:hAnsi="Arial Narrow" w:cs="Arial Narrow"/>
          <w:color w:val="000000"/>
          <w:sz w:val="24"/>
          <w:szCs w:val="24"/>
        </w:rPr>
        <w:t>anismos comunales, específicamente como actores relevantes dentro de la economía popular, comunitaria y solidaria. Este enfoque implica reconocer y potenciar el papel de las Juntas de Acción Comunal (JACs) y otras organizaciones similares, entendiendo su i</w:t>
      </w:r>
      <w:r>
        <w:rPr>
          <w:rFonts w:ascii="Arial Narrow" w:eastAsia="Arial Narrow" w:hAnsi="Arial Narrow" w:cs="Arial Narrow"/>
          <w:color w:val="000000"/>
          <w:sz w:val="24"/>
          <w:szCs w:val="24"/>
        </w:rPr>
        <w:t xml:space="preserve">mportancia en el tejido social y económico de las comunidades. Al definir este propósito, la ley busca crear </w:t>
      </w:r>
      <w:r>
        <w:rPr>
          <w:rFonts w:ascii="Arial Narrow" w:eastAsia="Arial Narrow" w:hAnsi="Arial Narrow" w:cs="Arial Narrow"/>
          <w:color w:val="000000"/>
          <w:sz w:val="24"/>
          <w:szCs w:val="24"/>
        </w:rPr>
        <w:lastRenderedPageBreak/>
        <w:t>un marco legal que apoye el desarrollo integral de estas organizaciones, promoviendo su capacidad para generar bienestar social y económico a nivel</w:t>
      </w:r>
      <w:r>
        <w:rPr>
          <w:rFonts w:ascii="Arial Narrow" w:eastAsia="Arial Narrow" w:hAnsi="Arial Narrow" w:cs="Arial Narrow"/>
          <w:color w:val="000000"/>
          <w:sz w:val="24"/>
          <w:szCs w:val="24"/>
        </w:rPr>
        <w:t xml:space="preserve"> local.</w:t>
      </w: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fortalecimiento de estos organismos comunales se traduce en diversas acciones concretas, como la capacitación de sus miembros, el acceso a recursos financieros y técnicos, y la promoción de alianzas estratégicas con otras entidades públicas y pr</w:t>
      </w:r>
      <w:r>
        <w:rPr>
          <w:rFonts w:ascii="Arial Narrow" w:eastAsia="Arial Narrow" w:hAnsi="Arial Narrow" w:cs="Arial Narrow"/>
          <w:color w:val="000000"/>
          <w:sz w:val="24"/>
          <w:szCs w:val="24"/>
        </w:rPr>
        <w:t>ivadas. La ley subraya la necesidad de mejorar la gestión y la estructura organizativa de las JACs y organismos afines, para que puedan desempeñar eficazmente su rol en la economía solidaria. En resumen, el Artículo 1 establece una visión integral que busc</w:t>
      </w:r>
      <w:r>
        <w:rPr>
          <w:rFonts w:ascii="Arial Narrow" w:eastAsia="Arial Narrow" w:hAnsi="Arial Narrow" w:cs="Arial Narrow"/>
          <w:color w:val="000000"/>
          <w:sz w:val="24"/>
          <w:szCs w:val="24"/>
        </w:rPr>
        <w:t>a no solo apoyar a estas organizaciones, sino también integrarlas de manera efectiva en la economía comunitaria y solidaria, con el fin de promover un desarrollo inclusivo y sostenible.</w:t>
      </w: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9B187E">
      <w:pPr>
        <w:widowControl/>
        <w:numPr>
          <w:ilvl w:val="0"/>
          <w:numId w:val="3"/>
        </w:numPr>
        <w:pBdr>
          <w:top w:val="nil"/>
          <w:left w:val="nil"/>
          <w:bottom w:val="nil"/>
          <w:right w:val="nil"/>
          <w:between w:val="nil"/>
        </w:pBdr>
        <w:jc w:val="both"/>
        <w:rPr>
          <w:rFonts w:ascii="Arial Narrow" w:eastAsia="Arial Narrow" w:hAnsi="Arial Narrow" w:cs="Arial Narrow"/>
          <w:b/>
          <w:sz w:val="24"/>
          <w:szCs w:val="24"/>
        </w:rPr>
      </w:pPr>
      <w:r>
        <w:rPr>
          <w:rFonts w:ascii="Arial Narrow" w:eastAsia="Arial Narrow" w:hAnsi="Arial Narrow" w:cs="Arial Narrow"/>
          <w:b/>
          <w:sz w:val="24"/>
          <w:szCs w:val="24"/>
        </w:rPr>
        <w:t>DESCRIPCIÓN DEL ARTICULADO.</w:t>
      </w:r>
    </w:p>
    <w:p w:rsidR="00367C96" w:rsidRDefault="00367C96">
      <w:pPr>
        <w:widowControl/>
        <w:pBdr>
          <w:top w:val="nil"/>
          <w:left w:val="nil"/>
          <w:bottom w:val="nil"/>
          <w:right w:val="nil"/>
          <w:between w:val="nil"/>
        </w:pBdr>
        <w:ind w:left="720"/>
        <w:jc w:val="both"/>
        <w:rPr>
          <w:rFonts w:ascii="Arial Narrow" w:eastAsia="Arial Narrow" w:hAnsi="Arial Narrow" w:cs="Arial Narrow"/>
          <w:b/>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proyecto de ley tiene como objetivo f</w:t>
      </w:r>
      <w:r>
        <w:rPr>
          <w:rFonts w:ascii="Arial Narrow" w:eastAsia="Arial Narrow" w:hAnsi="Arial Narrow" w:cs="Arial Narrow"/>
          <w:color w:val="000000"/>
          <w:sz w:val="24"/>
          <w:szCs w:val="24"/>
        </w:rPr>
        <w:t>ortalecer los organismos comunales como organizaciones de la economía popular, comunitaria y solidaria. Define conceptos clave como organismo comunal, junta de acción comunal, asociación de juntas, federación comunal, economía popular, organización comunal</w:t>
      </w:r>
      <w:r>
        <w:rPr>
          <w:rFonts w:ascii="Arial Narrow" w:eastAsia="Arial Narrow" w:hAnsi="Arial Narrow" w:cs="Arial Narrow"/>
          <w:color w:val="000000"/>
          <w:sz w:val="24"/>
          <w:szCs w:val="24"/>
        </w:rPr>
        <w:t xml:space="preserve"> y alianza público-popular. El Gobierno Nacional creará un Sistema Nacional de Información de organismos comunales, administrado por el Ministerio del Interior, consolidando información socioeconómica y organizacional. Además, se diseñarán políticas públic</w:t>
      </w:r>
      <w:r>
        <w:rPr>
          <w:rFonts w:ascii="Arial Narrow" w:eastAsia="Arial Narrow" w:hAnsi="Arial Narrow" w:cs="Arial Narrow"/>
          <w:color w:val="000000"/>
          <w:sz w:val="24"/>
          <w:szCs w:val="24"/>
        </w:rPr>
        <w:t>as y programas para el fortalecimiento social, organizacional, técnico y financiero de estos organismos. Se implementarán programas de formación y capacitación en diversas áreas, incluyendo la gestión social y financiera, y se promoverá la educación financ</w:t>
      </w:r>
      <w:r>
        <w:rPr>
          <w:rFonts w:ascii="Arial Narrow" w:eastAsia="Arial Narrow" w:hAnsi="Arial Narrow" w:cs="Arial Narrow"/>
          <w:color w:val="000000"/>
          <w:sz w:val="24"/>
          <w:szCs w:val="24"/>
        </w:rPr>
        <w:t>iera y el acceso a asesoramiento técnico y empresarial.</w:t>
      </w: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proyecto también establece líneas especiales de ahorro y crédito para los organismos comunales, diseñadas de manera inclusiva y adaptadas a sus necesidades. Se fomentarán alianzas público-populares para fortalecer estos organismos financieramente. Se im</w:t>
      </w:r>
      <w:r>
        <w:rPr>
          <w:rFonts w:ascii="Arial Narrow" w:eastAsia="Arial Narrow" w:hAnsi="Arial Narrow" w:cs="Arial Narrow"/>
          <w:color w:val="000000"/>
          <w:sz w:val="24"/>
          <w:szCs w:val="24"/>
        </w:rPr>
        <w:t>plementará un sistema de compras públicas preferenciales para productos y servicios de la economía popular y solidaria. Además, se autoriza la creación de sociedades de economía mixta con organismos comunales para actividades como la agro-industrialización</w:t>
      </w:r>
      <w:r>
        <w:rPr>
          <w:rFonts w:ascii="Arial Narrow" w:eastAsia="Arial Narrow" w:hAnsi="Arial Narrow" w:cs="Arial Narrow"/>
          <w:color w:val="000000"/>
          <w:sz w:val="24"/>
          <w:szCs w:val="24"/>
        </w:rPr>
        <w:t xml:space="preserve"> y la construcción de infraestructura. Las entidades estatales podrán celebrar contratos y convenios solidarios con estos organismos para diversas actividades comunitarias. Se otorgarán puntos adicionales a los organismos comunales en los requisitos ponder</w:t>
      </w:r>
      <w:r>
        <w:rPr>
          <w:rFonts w:ascii="Arial Narrow" w:eastAsia="Arial Narrow" w:hAnsi="Arial Narrow" w:cs="Arial Narrow"/>
          <w:color w:val="000000"/>
          <w:sz w:val="24"/>
          <w:szCs w:val="24"/>
        </w:rPr>
        <w:t>ables para contratos públicos, y se establecerán competencias adicionales para su participación en proyectos de desarrollo territorial y comunitario. Finalmente, se modifican los beneficios para los dignatarios de estos organismos, permitiendo ingresos u h</w:t>
      </w:r>
      <w:r>
        <w:rPr>
          <w:rFonts w:ascii="Arial Narrow" w:eastAsia="Arial Narrow" w:hAnsi="Arial Narrow" w:cs="Arial Narrow"/>
          <w:color w:val="000000"/>
          <w:sz w:val="24"/>
          <w:szCs w:val="24"/>
        </w:rPr>
        <w:t>onorarios bajo ciertas condiciones. La ley entrará en vigencia a partir de su promulgación, derogando las normas que le sean contrarias.</w:t>
      </w: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Todo lo anterior en 16 Artículos así: </w:t>
      </w:r>
    </w:p>
    <w:p w:rsidR="00367C96" w:rsidRDefault="00367C96">
      <w:pPr>
        <w:widowControl/>
        <w:pBdr>
          <w:top w:val="nil"/>
          <w:left w:val="nil"/>
          <w:bottom w:val="nil"/>
          <w:right w:val="nil"/>
          <w:between w:val="nil"/>
        </w:pBdr>
        <w:jc w:val="both"/>
        <w:rPr>
          <w:rFonts w:ascii="Arial Narrow" w:eastAsia="Arial Narrow" w:hAnsi="Arial Narrow" w:cs="Arial Narrow"/>
          <w:b/>
          <w:sz w:val="24"/>
          <w:szCs w:val="24"/>
        </w:rPr>
      </w:pP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1. OBJETO.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2. DEFINICIONES.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ARTÍCULO 3. SISTEMA DE INFORMA</w:t>
      </w:r>
      <w:r>
        <w:rPr>
          <w:rFonts w:ascii="Arial Narrow" w:eastAsia="Arial Narrow" w:hAnsi="Arial Narrow" w:cs="Arial Narrow"/>
          <w:color w:val="000000"/>
          <w:sz w:val="24"/>
          <w:szCs w:val="24"/>
        </w:rPr>
        <w:t xml:space="preserve">CIÓN DE ORGANISMOS COMUNALES.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strike/>
          <w:color w:val="000000"/>
          <w:sz w:val="24"/>
          <w:szCs w:val="24"/>
        </w:rPr>
      </w:pPr>
      <w:r>
        <w:rPr>
          <w:rFonts w:ascii="Arial Narrow" w:eastAsia="Arial Narrow" w:hAnsi="Arial Narrow" w:cs="Arial Narrow"/>
          <w:color w:val="000000"/>
          <w:sz w:val="24"/>
          <w:szCs w:val="24"/>
        </w:rPr>
        <w:t xml:space="preserve">ARTÍCULO 4. POLÍTICAS Y PROGRAMAS PARA EL FORTALECIMIENTO DE ORGANISMOS COMUNALES.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5. FORTALECIMIENTO SOCIAL DE LOS ORGANISMOS COMUNALES.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 xml:space="preserve">ARTÍCULO 6. EDUCACIÓN Y PROMOCIÓN.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ARTÍCULO</w:t>
      </w:r>
      <w:r>
        <w:rPr>
          <w:rFonts w:ascii="Arial Narrow" w:eastAsia="Arial Narrow" w:hAnsi="Arial Narrow" w:cs="Arial Narrow"/>
          <w:color w:val="000000"/>
          <w:sz w:val="24"/>
          <w:szCs w:val="24"/>
        </w:rPr>
        <w:t xml:space="preserve"> 7. FORTALECIMIENTO FINANCIERO DE ORGANISMOS COMUNALES.  </w:t>
      </w:r>
    </w:p>
    <w:p w:rsidR="00367C96" w:rsidRDefault="009B187E">
      <w:pPr>
        <w:widowControl/>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8. COMPRAS PÚBLICAS A LOS ORGANISMOS COMUNALES.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9. FORTALECIMIENTO ORGANIZACIONAL DE LOS ORGANISMOS COMUNALES.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10. AUTORIZACIÓN PARA LA CREACIÓN DE SOCIEDADES DE ECONOMÍA MIXTA CON ORGANISMOS COMUNALES.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11. ASOCIACIONES </w:t>
      </w:r>
      <w:r>
        <w:rPr>
          <w:rFonts w:ascii="Arial Narrow" w:eastAsia="Arial Narrow" w:hAnsi="Arial Narrow" w:cs="Arial Narrow"/>
          <w:sz w:val="24"/>
          <w:szCs w:val="24"/>
        </w:rPr>
        <w:t>PÚBLICAS</w:t>
      </w:r>
      <w:r>
        <w:rPr>
          <w:rFonts w:ascii="Arial Narrow" w:eastAsia="Arial Narrow" w:hAnsi="Arial Narrow" w:cs="Arial Narrow"/>
          <w:color w:val="000000"/>
          <w:sz w:val="24"/>
          <w:szCs w:val="24"/>
        </w:rPr>
        <w:t xml:space="preserve"> POPULARES Y CONVENIOS SOLIDARIOS.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12. OBJETIVOS ECONÓMICOS Y DE CONTRATACIÓN CON EL ESTADO DE LOS ORGANISMOS </w:t>
      </w:r>
      <w:r>
        <w:rPr>
          <w:rFonts w:ascii="Arial Narrow" w:eastAsia="Arial Narrow" w:hAnsi="Arial Narrow" w:cs="Arial Narrow"/>
          <w:color w:val="000000"/>
          <w:sz w:val="24"/>
          <w:szCs w:val="24"/>
        </w:rPr>
        <w:t xml:space="preserve">COMUNALES.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13. REQUISITOS PONDERABLES.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14. COMPETENCIAS ADICIONALES.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i/>
          <w:color w:val="000000"/>
          <w:sz w:val="24"/>
          <w:szCs w:val="24"/>
        </w:rPr>
      </w:pPr>
      <w:r>
        <w:rPr>
          <w:rFonts w:ascii="Arial Narrow" w:eastAsia="Arial Narrow" w:hAnsi="Arial Narrow" w:cs="Arial Narrow"/>
          <w:color w:val="000000"/>
          <w:sz w:val="24"/>
          <w:szCs w:val="24"/>
        </w:rPr>
        <w:t xml:space="preserve">ARTÍCULO 15. BENEFICIOS PARA LOS DIGNATARIOS. </w:t>
      </w:r>
    </w:p>
    <w:p w:rsidR="00367C96" w:rsidRDefault="009B187E">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16.  VIGENCIA. </w:t>
      </w:r>
    </w:p>
    <w:p w:rsidR="00367C96" w:rsidRDefault="00367C96">
      <w:pPr>
        <w:widowControl/>
        <w:pBdr>
          <w:top w:val="nil"/>
          <w:left w:val="nil"/>
          <w:bottom w:val="nil"/>
          <w:right w:val="nil"/>
          <w:between w:val="nil"/>
        </w:pBdr>
        <w:jc w:val="both"/>
        <w:rPr>
          <w:rFonts w:ascii="Arial Narrow" w:eastAsia="Arial Narrow" w:hAnsi="Arial Narrow" w:cs="Arial Narrow"/>
          <w:b/>
          <w:sz w:val="24"/>
          <w:szCs w:val="24"/>
        </w:rPr>
      </w:pPr>
    </w:p>
    <w:p w:rsidR="00367C96" w:rsidRDefault="009B187E">
      <w:pPr>
        <w:widowControl/>
        <w:numPr>
          <w:ilvl w:val="0"/>
          <w:numId w:val="3"/>
        </w:numPr>
        <w:pBdr>
          <w:top w:val="nil"/>
          <w:left w:val="nil"/>
          <w:bottom w:val="nil"/>
          <w:right w:val="nil"/>
          <w:between w:val="nil"/>
        </w:pBdr>
        <w:jc w:val="both"/>
        <w:rPr>
          <w:rFonts w:ascii="Arial Narrow" w:eastAsia="Arial Narrow" w:hAnsi="Arial Narrow" w:cs="Arial Narrow"/>
          <w:b/>
          <w:sz w:val="24"/>
          <w:szCs w:val="24"/>
        </w:rPr>
      </w:pPr>
      <w:r>
        <w:rPr>
          <w:rFonts w:ascii="Arial Narrow" w:eastAsia="Arial Narrow" w:hAnsi="Arial Narrow" w:cs="Arial Narrow"/>
          <w:b/>
          <w:sz w:val="24"/>
          <w:szCs w:val="24"/>
        </w:rPr>
        <w:t>MARCO NORMATIVO</w:t>
      </w:r>
    </w:p>
    <w:p w:rsidR="00367C96" w:rsidRDefault="00367C96">
      <w:pPr>
        <w:widowControl/>
        <w:pBdr>
          <w:top w:val="nil"/>
          <w:left w:val="nil"/>
          <w:bottom w:val="nil"/>
          <w:right w:val="nil"/>
          <w:between w:val="nil"/>
        </w:pBdr>
        <w:ind w:left="720"/>
        <w:jc w:val="both"/>
        <w:rPr>
          <w:rFonts w:ascii="Arial Narrow" w:eastAsia="Arial Narrow" w:hAnsi="Arial Narrow" w:cs="Arial Narrow"/>
          <w:b/>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marco normativo colombiano relacionado con las Juntas de Acción Comunal (JACs) y otros organismos comunales se encuentra fundamentado en varias leyes y sentencias que resaltan la importancia de estas organizaciones en la estructura social y económica de</w:t>
      </w:r>
      <w:r>
        <w:rPr>
          <w:rFonts w:ascii="Arial Narrow" w:eastAsia="Arial Narrow" w:hAnsi="Arial Narrow" w:cs="Arial Narrow"/>
          <w:color w:val="000000"/>
          <w:sz w:val="24"/>
          <w:szCs w:val="24"/>
        </w:rPr>
        <w:t>l país. La Ley 743 de 2002 es una de las normativas más relevantes en este contexto, ya que establece el régimen jurídico para la organización, funcionamiento y control de las JACs y otras organizaciones de acción comunal. Esta ley reconoce el papel crucia</w:t>
      </w:r>
      <w:r>
        <w:rPr>
          <w:rFonts w:ascii="Arial Narrow" w:eastAsia="Arial Narrow" w:hAnsi="Arial Narrow" w:cs="Arial Narrow"/>
          <w:color w:val="000000"/>
          <w:sz w:val="24"/>
          <w:szCs w:val="24"/>
        </w:rPr>
        <w:t>l de estas entidades en el desarrollo comunitario, la participación ciudadana y la gestión de proyectos de interés social.</w:t>
      </w: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Asimismo, la Constitución Política de Colombia de 1991, en su artículo 38, garantiza la libertad de asociación y promueve la partici</w:t>
      </w:r>
      <w:r>
        <w:rPr>
          <w:rFonts w:ascii="Arial Narrow" w:eastAsia="Arial Narrow" w:hAnsi="Arial Narrow" w:cs="Arial Narrow"/>
          <w:color w:val="000000"/>
          <w:sz w:val="24"/>
          <w:szCs w:val="24"/>
        </w:rPr>
        <w:t>pación de los ciudadanos en organizaciones comunitarias. Adicionalmente, el artículo 103 de la Constitución establece que el Estado debe promover la participación de las organizaciones comunales y comunitarias en la toma de decisiones y en la gestión públi</w:t>
      </w:r>
      <w:r>
        <w:rPr>
          <w:rFonts w:ascii="Arial Narrow" w:eastAsia="Arial Narrow" w:hAnsi="Arial Narrow" w:cs="Arial Narrow"/>
          <w:color w:val="000000"/>
          <w:sz w:val="24"/>
          <w:szCs w:val="24"/>
        </w:rPr>
        <w:t>ca.</w:t>
      </w: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el ámbito judicial, la Corte Constitucional ha emitido varias sentencias que refuerzan la relevancia y protección de estas organizaciones. Por ejemplo, la Sentencia T-488 de 1993 destaca la importancia de las JACs como espacios de participación ciudadan</w:t>
      </w:r>
      <w:r>
        <w:rPr>
          <w:rFonts w:ascii="Arial Narrow" w:eastAsia="Arial Narrow" w:hAnsi="Arial Narrow" w:cs="Arial Narrow"/>
          <w:color w:val="000000"/>
          <w:sz w:val="24"/>
          <w:szCs w:val="24"/>
        </w:rPr>
        <w:t>a y de fortalecimiento del tejido social, subrayando la necesidad de garantizar su autonomía y apoyarlas en su labor comunitaria. De igual manera, la Sentencia C-089 de 1994 resalta el deber del Estado de fomentar y fortalecer las organizaciones comunitari</w:t>
      </w:r>
      <w:r>
        <w:rPr>
          <w:rFonts w:ascii="Arial Narrow" w:eastAsia="Arial Narrow" w:hAnsi="Arial Narrow" w:cs="Arial Narrow"/>
          <w:color w:val="000000"/>
          <w:sz w:val="24"/>
          <w:szCs w:val="24"/>
        </w:rPr>
        <w:t>as como parte integral del desarrollo social y económico del país.</w:t>
      </w: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pesar de este marco normativo, existe una necesidad evidente de actualizar y fortalecer estas disposiciones legales para responder a los retos actuales y futuros. El proyecto de ley "Por</w:t>
      </w:r>
      <w:r>
        <w:rPr>
          <w:rFonts w:ascii="Arial Narrow" w:eastAsia="Arial Narrow" w:hAnsi="Arial Narrow" w:cs="Arial Narrow"/>
          <w:color w:val="000000"/>
          <w:sz w:val="24"/>
          <w:szCs w:val="24"/>
        </w:rPr>
        <w:t xml:space="preserve"> medio de la cual se fortalecen las JACs y otros organismos comunales como organizaciones de la economía popular, comunitaria y solidaria" se justifica en este contexto. La modernización de la normativa es esencial para proporcionar un apoyo más efectivo a</w:t>
      </w:r>
      <w:r>
        <w:rPr>
          <w:rFonts w:ascii="Arial Narrow" w:eastAsia="Arial Narrow" w:hAnsi="Arial Narrow" w:cs="Arial Narrow"/>
          <w:color w:val="000000"/>
          <w:sz w:val="24"/>
          <w:szCs w:val="24"/>
        </w:rPr>
        <w:t xml:space="preserve"> estas organizaciones, promover su sostenibilidad y garantizar su </w:t>
      </w:r>
      <w:r>
        <w:rPr>
          <w:rFonts w:ascii="Arial Narrow" w:eastAsia="Arial Narrow" w:hAnsi="Arial Narrow" w:cs="Arial Narrow"/>
          <w:color w:val="000000"/>
          <w:sz w:val="24"/>
          <w:szCs w:val="24"/>
        </w:rPr>
        <w:lastRenderedPageBreak/>
        <w:t>capacidad para contribuir al desarrollo económico y social de las comunidades. Esta iniciativa legislativa busca cerrar las brechas existentes, dotar de mayores recursos y herramientas a las</w:t>
      </w:r>
      <w:r>
        <w:rPr>
          <w:rFonts w:ascii="Arial Narrow" w:eastAsia="Arial Narrow" w:hAnsi="Arial Narrow" w:cs="Arial Narrow"/>
          <w:color w:val="000000"/>
          <w:sz w:val="24"/>
          <w:szCs w:val="24"/>
        </w:rPr>
        <w:t xml:space="preserve"> JACs y otras organizaciones comunales, y fomentar su integración en la economía solidaria, asegurando un desarrollo más inclusivo y equitativo en Colombia.</w:t>
      </w: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367C96">
      <w:pPr>
        <w:widowControl/>
        <w:pBdr>
          <w:top w:val="nil"/>
          <w:left w:val="nil"/>
          <w:bottom w:val="nil"/>
          <w:right w:val="nil"/>
          <w:between w:val="nil"/>
        </w:pBdr>
        <w:jc w:val="both"/>
        <w:rPr>
          <w:rFonts w:ascii="Arial Narrow" w:eastAsia="Arial Narrow" w:hAnsi="Arial Narrow" w:cs="Arial Narrow"/>
          <w:sz w:val="24"/>
          <w:szCs w:val="24"/>
        </w:rPr>
      </w:pPr>
    </w:p>
    <w:p w:rsidR="00367C96" w:rsidRDefault="009B187E">
      <w:pPr>
        <w:widowControl/>
        <w:numPr>
          <w:ilvl w:val="0"/>
          <w:numId w:val="3"/>
        </w:numPr>
        <w:pBdr>
          <w:top w:val="nil"/>
          <w:left w:val="nil"/>
          <w:bottom w:val="nil"/>
          <w:right w:val="nil"/>
          <w:between w:val="nil"/>
        </w:pBdr>
        <w:jc w:val="both"/>
        <w:rPr>
          <w:rFonts w:ascii="Arial Narrow" w:eastAsia="Arial Narrow" w:hAnsi="Arial Narrow" w:cs="Arial Narrow"/>
          <w:b/>
          <w:sz w:val="24"/>
          <w:szCs w:val="24"/>
        </w:rPr>
      </w:pPr>
      <w:r>
        <w:rPr>
          <w:rFonts w:ascii="Arial Narrow" w:eastAsia="Arial Narrow" w:hAnsi="Arial Narrow" w:cs="Arial Narrow"/>
          <w:b/>
          <w:sz w:val="24"/>
          <w:szCs w:val="24"/>
        </w:rPr>
        <w:t>JUSTIFICACIÓN DEL PROYECTO DE LEY</w:t>
      </w:r>
    </w:p>
    <w:p w:rsidR="00367C96" w:rsidRDefault="00367C96">
      <w:pPr>
        <w:pBdr>
          <w:top w:val="nil"/>
          <w:left w:val="nil"/>
          <w:bottom w:val="nil"/>
          <w:right w:val="nil"/>
          <w:between w:val="nil"/>
        </w:pBdr>
        <w:spacing w:line="276" w:lineRule="auto"/>
        <w:rPr>
          <w:rFonts w:ascii="Arial Narrow" w:eastAsia="Arial Narrow" w:hAnsi="Arial Narrow" w:cs="Arial Narrow"/>
          <w:color w:val="000000"/>
          <w:sz w:val="24"/>
          <w:szCs w:val="24"/>
        </w:rPr>
      </w:pPr>
    </w:p>
    <w:p w:rsidR="00367C96" w:rsidRDefault="009B187E">
      <w:pPr>
        <w:widowControl/>
        <w:numPr>
          <w:ilvl w:val="1"/>
          <w:numId w:val="3"/>
        </w:numPr>
        <w:pBdr>
          <w:top w:val="nil"/>
          <w:left w:val="nil"/>
          <w:bottom w:val="nil"/>
          <w:right w:val="nil"/>
          <w:between w:val="nil"/>
        </w:pBdr>
        <w:spacing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Situación de los organismos comunales del país.</w:t>
      </w:r>
    </w:p>
    <w:p w:rsidR="00367C96" w:rsidRDefault="00367C96">
      <w:pPr>
        <w:widowControl/>
        <w:pBdr>
          <w:top w:val="nil"/>
          <w:left w:val="nil"/>
          <w:bottom w:val="nil"/>
          <w:right w:val="nil"/>
          <w:between w:val="nil"/>
        </w:pBdr>
        <w:spacing w:line="276" w:lineRule="auto"/>
        <w:jc w:val="center"/>
        <w:rPr>
          <w:rFonts w:ascii="Arial Narrow" w:eastAsia="Arial Narrow" w:hAnsi="Arial Narrow" w:cs="Arial Narrow"/>
          <w:b/>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Colombia, los organismos comunales son la más numerosa forma de agrupación comunitaria.</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Según la información reportada en la página del Ministerio del Interior</w:t>
      </w:r>
      <w:r>
        <w:rPr>
          <w:rFonts w:ascii="Arial Narrow" w:eastAsia="Arial Narrow" w:hAnsi="Arial Narrow" w:cs="Arial Narrow"/>
          <w:color w:val="000000"/>
          <w:sz w:val="24"/>
          <w:szCs w:val="24"/>
          <w:vertAlign w:val="superscript"/>
        </w:rPr>
        <w:footnoteReference w:id="1"/>
      </w:r>
      <w:r>
        <w:rPr>
          <w:rFonts w:ascii="Arial Narrow" w:eastAsia="Arial Narrow" w:hAnsi="Arial Narrow" w:cs="Arial Narrow"/>
          <w:color w:val="000000"/>
          <w:sz w:val="24"/>
          <w:szCs w:val="24"/>
        </w:rPr>
        <w:t>, para el año 2021 se reportó un número aproximado de 63.153 juntas de acción comunal ubicad</w:t>
      </w:r>
      <w:r>
        <w:rPr>
          <w:rFonts w:ascii="Arial Narrow" w:eastAsia="Arial Narrow" w:hAnsi="Arial Narrow" w:cs="Arial Narrow"/>
          <w:color w:val="000000"/>
          <w:sz w:val="24"/>
          <w:szCs w:val="24"/>
        </w:rPr>
        <w:t>as en el ámbito rural y urbano, y 1.425 asociaciones de juntas de acción comunal; figuran también 34 federaciones y 1 confederación. Así, esta forma de organización comunitaria ha tenido una importante incidencia en la construcción de las obras de infraest</w:t>
      </w:r>
      <w:r>
        <w:rPr>
          <w:rFonts w:ascii="Arial Narrow" w:eastAsia="Arial Narrow" w:hAnsi="Arial Narrow" w:cs="Arial Narrow"/>
          <w:color w:val="000000"/>
          <w:sz w:val="24"/>
          <w:szCs w:val="24"/>
        </w:rPr>
        <w:t>ructura requeridas por las comunidades, tales como puentes, obras de arte, caminos, puestos de, plazas de mercado, acueductos, alcantarillados, redes eléctricas, programas de vivienda por auto construcción, entre otros, hasta llegar a construir cerca del 3</w:t>
      </w:r>
      <w:r>
        <w:rPr>
          <w:rFonts w:ascii="Arial Narrow" w:eastAsia="Arial Narrow" w:hAnsi="Arial Narrow" w:cs="Arial Narrow"/>
          <w:color w:val="000000"/>
          <w:sz w:val="24"/>
          <w:szCs w:val="24"/>
        </w:rPr>
        <w:t>0% de la infraestructura comunal.</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Únicamente en Bogotá se reportan 1.680 juntas de acción comunal, 20 Asojuntas, 25.000 dignatarios y las más de 400.000 personas afiliadas, según lo reportó el Instituto Distrital de la Participación y Acción Comunal –IDPA</w:t>
      </w:r>
      <w:r>
        <w:rPr>
          <w:rFonts w:ascii="Arial Narrow" w:eastAsia="Arial Narrow" w:hAnsi="Arial Narrow" w:cs="Arial Narrow"/>
          <w:color w:val="000000"/>
          <w:sz w:val="24"/>
          <w:szCs w:val="24"/>
        </w:rPr>
        <w:t>C</w:t>
      </w:r>
      <w:r>
        <w:rPr>
          <w:rFonts w:ascii="Arial Narrow" w:eastAsia="Arial Narrow" w:hAnsi="Arial Narrow" w:cs="Arial Narrow"/>
          <w:color w:val="000000"/>
          <w:sz w:val="24"/>
          <w:szCs w:val="24"/>
          <w:vertAlign w:val="superscript"/>
        </w:rPr>
        <w:footnoteReference w:id="2"/>
      </w:r>
      <w:r>
        <w:rPr>
          <w:rFonts w:ascii="Arial Narrow" w:eastAsia="Arial Narrow" w:hAnsi="Arial Narrow" w:cs="Arial Narrow"/>
          <w:color w:val="000000"/>
          <w:sz w:val="24"/>
          <w:szCs w:val="24"/>
        </w:rPr>
        <w:t xml:space="preserve"> luego del encuentro para socializar la Política Pública Distrital de Acción Comunal de las vigencias 2023-2034, la cual se estructuró sobre cuatro ejes: (1) fortalecer de las capacidades organizativas, (2) visibilizar la gestión y buenas prácticas, (3) </w:t>
      </w:r>
      <w:r>
        <w:rPr>
          <w:rFonts w:ascii="Arial Narrow" w:eastAsia="Arial Narrow" w:hAnsi="Arial Narrow" w:cs="Arial Narrow"/>
          <w:color w:val="000000"/>
          <w:sz w:val="24"/>
          <w:szCs w:val="24"/>
        </w:rPr>
        <w:t>fortalecer el ejercicio de Inspección, Vigilancia y Control, y (4) afianzar el sistema tecnológico, aspectos que beneficiarán positivamente a las organizaciones comunales.</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los últimos años el Estado ha hecho importantes esfuerzos, pero insuficientes pa</w:t>
      </w:r>
      <w:r>
        <w:rPr>
          <w:rFonts w:ascii="Arial Narrow" w:eastAsia="Arial Narrow" w:hAnsi="Arial Narrow" w:cs="Arial Narrow"/>
          <w:color w:val="000000"/>
          <w:sz w:val="24"/>
          <w:szCs w:val="24"/>
        </w:rPr>
        <w:t>ra apoyar la gestión de estas organizaciones, unidades fundamentales de la economía popular, comunitaria y solidaria. Es necesario un acuerdo social para promover y fortalecer éste tipo de organizaciones y así lograr la satisfacción de un mínimo constituci</w:t>
      </w:r>
      <w:r>
        <w:rPr>
          <w:rFonts w:ascii="Arial Narrow" w:eastAsia="Arial Narrow" w:hAnsi="Arial Narrow" w:cs="Arial Narrow"/>
          <w:color w:val="000000"/>
          <w:sz w:val="24"/>
          <w:szCs w:val="24"/>
        </w:rPr>
        <w:t>onal y alcanzar una verdadera inclusión y promoción comunitaria en torno a dichas organizaciones e instituciones.</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Como consideración previa, conviene citar la definición con la que el Consejo de Estado se aproximó a las instituciones de acción comunal:</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ind w:left="720"/>
        <w:jc w:val="both"/>
        <w:rPr>
          <w:rFonts w:ascii="Arial Narrow" w:eastAsia="Arial Narrow" w:hAnsi="Arial Narrow" w:cs="Arial Narrow"/>
          <w:color w:val="000000"/>
          <w:sz w:val="24"/>
          <w:szCs w:val="24"/>
        </w:rPr>
      </w:pPr>
      <w:r>
        <w:rPr>
          <w:rFonts w:ascii="Arial Narrow" w:eastAsia="Arial Narrow" w:hAnsi="Arial Narrow" w:cs="Arial Narrow"/>
          <w:i/>
          <w:color w:val="000000"/>
          <w:sz w:val="24"/>
          <w:szCs w:val="24"/>
        </w:rPr>
        <w:t>“Las Juntas de Acción Comunal, tal como se definen al tenor del artículo 1º del decreto 1930 de 1.979, son personas jurídicas particulares, bajo la forma de “corporación cívica sin ánimo de lucro, compuesta por los vecinos de un lugar”, quienes en su calid</w:t>
      </w:r>
      <w:r>
        <w:rPr>
          <w:rFonts w:ascii="Arial Narrow" w:eastAsia="Arial Narrow" w:hAnsi="Arial Narrow" w:cs="Arial Narrow"/>
          <w:i/>
          <w:color w:val="000000"/>
          <w:sz w:val="24"/>
          <w:szCs w:val="24"/>
        </w:rPr>
        <w:t xml:space="preserve">ad de socios vienen a constituir uno de sus órganos, cual es el de la asamblea de socios. Su carácter de corporación privada se da no </w:t>
      </w:r>
      <w:r>
        <w:rPr>
          <w:rFonts w:ascii="Arial Narrow" w:eastAsia="Arial Narrow" w:hAnsi="Arial Narrow" w:cs="Arial Narrow"/>
          <w:i/>
          <w:color w:val="000000"/>
          <w:sz w:val="24"/>
          <w:szCs w:val="24"/>
        </w:rPr>
        <w:lastRenderedPageBreak/>
        <w:t>obstante encontrarse sujetas a la regulación, control y vigilancia del Estado, como lo están muchos entes de carácter priv</w:t>
      </w:r>
      <w:r>
        <w:rPr>
          <w:rFonts w:ascii="Arial Narrow" w:eastAsia="Arial Narrow" w:hAnsi="Arial Narrow" w:cs="Arial Narrow"/>
          <w:i/>
          <w:color w:val="000000"/>
          <w:sz w:val="24"/>
          <w:szCs w:val="24"/>
        </w:rPr>
        <w:t>ado, precisamente por sus fines enteramente cívicos</w:t>
      </w:r>
      <w:r>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vertAlign w:val="superscript"/>
        </w:rPr>
        <w:footnoteReference w:id="3"/>
      </w:r>
      <w:r>
        <w:rPr>
          <w:rFonts w:ascii="Arial Narrow" w:eastAsia="Arial Narrow" w:hAnsi="Arial Narrow" w:cs="Arial Narrow"/>
          <w:color w:val="000000"/>
          <w:sz w:val="24"/>
          <w:szCs w:val="24"/>
        </w:rPr>
        <w:t>.</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Desde el punto de vista gubernamental, la primera apuesta del Ejecutivo fue proferir la política pública para el fortalecimiento de los organismos de acción comunal en Colombia, contenida en el Documento CONPES 3955 de 2018, que actualizó las pautas establ</w:t>
      </w:r>
      <w:r>
        <w:rPr>
          <w:rFonts w:ascii="Arial Narrow" w:eastAsia="Arial Narrow" w:hAnsi="Arial Narrow" w:cs="Arial Narrow"/>
          <w:color w:val="000000"/>
          <w:sz w:val="24"/>
          <w:szCs w:val="24"/>
        </w:rPr>
        <w:t>ecidas en el CONPES 3661 de 2010. Debe aclararse que el CONPES 3955</w:t>
      </w:r>
      <w:r>
        <w:rPr>
          <w:rFonts w:ascii="Arial Narrow" w:eastAsia="Arial Narrow" w:hAnsi="Arial Narrow" w:cs="Arial Narrow"/>
          <w:color w:val="000000"/>
          <w:sz w:val="24"/>
          <w:szCs w:val="24"/>
          <w:vertAlign w:val="superscript"/>
        </w:rPr>
        <w:footnoteReference w:id="4"/>
      </w:r>
      <w:r>
        <w:rPr>
          <w:rFonts w:ascii="Arial Narrow" w:eastAsia="Arial Narrow" w:hAnsi="Arial Narrow" w:cs="Arial Narrow"/>
          <w:color w:val="000000"/>
          <w:sz w:val="24"/>
          <w:szCs w:val="24"/>
        </w:rPr>
        <w:t>, requirió un diagnóstico que supuso la realización de 15 talleres departamentales, así como la socialización y ajuste del diagnóstico en 31 departamentos, para lo cual se celebraron 101 m</w:t>
      </w:r>
      <w:r>
        <w:rPr>
          <w:rFonts w:ascii="Arial Narrow" w:eastAsia="Arial Narrow" w:hAnsi="Arial Narrow" w:cs="Arial Narrow"/>
          <w:color w:val="000000"/>
          <w:sz w:val="24"/>
          <w:szCs w:val="24"/>
        </w:rPr>
        <w:t>esas con 750 líderes. Posteriormente, se construyó el documento con el concurso del Ministerio del Interior y el Departamento Nacional de Planeación, y se aprobó por parte del Consejo de Ministros.</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Como segundo ejemplo de promoción se debe citar una de la</w:t>
      </w:r>
      <w:r>
        <w:rPr>
          <w:rFonts w:ascii="Arial Narrow" w:eastAsia="Arial Narrow" w:hAnsi="Arial Narrow" w:cs="Arial Narrow"/>
          <w:color w:val="000000"/>
          <w:sz w:val="24"/>
          <w:szCs w:val="24"/>
        </w:rPr>
        <w:t>s formas de implementación del CONPES 3955 de 2018, que contiene la Estrategia para el Fortalecimiento de la Acción Comunal en Colombia, para lo cual en la vigencia 2022-II el Ministerio del Interior, Banco de Proyectos para la Acción Comunal y Participaci</w:t>
      </w:r>
      <w:r>
        <w:rPr>
          <w:rFonts w:ascii="Arial Narrow" w:eastAsia="Arial Narrow" w:hAnsi="Arial Narrow" w:cs="Arial Narrow"/>
          <w:color w:val="000000"/>
          <w:sz w:val="24"/>
          <w:szCs w:val="24"/>
        </w:rPr>
        <w:t xml:space="preserve">ón Ciudadana, se dio apertura a la convocatoria del programa de Dotaciones Comunales a fin de </w:t>
      </w:r>
      <w:r>
        <w:rPr>
          <w:rFonts w:ascii="Arial Narrow" w:eastAsia="Arial Narrow" w:hAnsi="Arial Narrow" w:cs="Arial Narrow"/>
          <w:i/>
          <w:color w:val="000000"/>
          <w:sz w:val="24"/>
          <w:szCs w:val="24"/>
        </w:rPr>
        <w:t>“Apoyar económicamente iniciativas productivas y sociales para el desarrollo Comunitario, lideradas por las organizaciones comunales del País</w:t>
      </w:r>
      <w:r>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vertAlign w:val="superscript"/>
        </w:rPr>
        <w:footnoteReference w:id="5"/>
      </w:r>
      <w:r>
        <w:rPr>
          <w:rFonts w:ascii="Arial Narrow" w:eastAsia="Arial Narrow" w:hAnsi="Arial Narrow" w:cs="Arial Narrow"/>
          <w:color w:val="000000"/>
          <w:sz w:val="24"/>
          <w:szCs w:val="24"/>
        </w:rPr>
        <w:t xml:space="preserve">. </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 esta una de </w:t>
      </w:r>
      <w:r>
        <w:rPr>
          <w:rFonts w:ascii="Arial Narrow" w:eastAsia="Arial Narrow" w:hAnsi="Arial Narrow" w:cs="Arial Narrow"/>
          <w:color w:val="000000"/>
          <w:sz w:val="24"/>
          <w:szCs w:val="24"/>
        </w:rPr>
        <w:t>las estrategias para alcanzar el fortalecimiento de los Organismos de Acción Comunal desde la identificación de las necesidades organizativas de sus planes de acción, y tiene como propósito dotar a las organizaciones de acción comunal con elementos físicos</w:t>
      </w:r>
      <w:r>
        <w:rPr>
          <w:rFonts w:ascii="Arial Narrow" w:eastAsia="Arial Narrow" w:hAnsi="Arial Narrow" w:cs="Arial Narrow"/>
          <w:color w:val="000000"/>
          <w:sz w:val="24"/>
          <w:szCs w:val="24"/>
        </w:rPr>
        <w:t xml:space="preserve"> que les permitan desarrollar programas y gestiones para el desarrollo social y comunitario, así como la ejecución de las actividades propias de la Acción Comunal de acuerdo con el marco jurídico y su objeto, el cual consiste en promover un desarrollo inte</w:t>
      </w:r>
      <w:r>
        <w:rPr>
          <w:rFonts w:ascii="Arial Narrow" w:eastAsia="Arial Narrow" w:hAnsi="Arial Narrow" w:cs="Arial Narrow"/>
          <w:color w:val="000000"/>
          <w:sz w:val="24"/>
          <w:szCs w:val="24"/>
        </w:rPr>
        <w:t>gral sustentable y sostenible construido a partir del ejercicio de la democracia participativa en la gestión del desarrollo de la comunidad.</w:t>
      </w:r>
    </w:p>
    <w:p w:rsidR="00367C96" w:rsidRDefault="00367C96">
      <w:pPr>
        <w:widowControl/>
        <w:pBdr>
          <w:top w:val="nil"/>
          <w:left w:val="nil"/>
          <w:bottom w:val="nil"/>
          <w:right w:val="nil"/>
          <w:between w:val="nil"/>
        </w:pBd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 importante mencionar que los organismos comunales pueden acudir al Banco de Proyectos para las Comunidades, lid</w:t>
      </w:r>
      <w:r>
        <w:rPr>
          <w:rFonts w:ascii="Arial Narrow" w:eastAsia="Arial Narrow" w:hAnsi="Arial Narrow" w:cs="Arial Narrow"/>
          <w:color w:val="000000"/>
          <w:sz w:val="24"/>
          <w:szCs w:val="24"/>
        </w:rPr>
        <w:t>erado por el Ministerio del Interior, con el que se busca promover mejores condiciones de vida e inclusión de todas las poblaciones rurales y urbanas del país sujeto de atención de esta cartera ministerial. A través de este ciclo, el Ministerio materializa</w:t>
      </w:r>
      <w:r>
        <w:rPr>
          <w:rFonts w:ascii="Arial Narrow" w:eastAsia="Arial Narrow" w:hAnsi="Arial Narrow" w:cs="Arial Narrow"/>
          <w:color w:val="000000"/>
          <w:sz w:val="24"/>
          <w:szCs w:val="24"/>
        </w:rPr>
        <w:t xml:space="preserve"> el diálogo social con inversión, promoverá la reactivación económica, el fortalecimiento de la infraestructura social, del tejido social y la defensa de los derechos humanos, para lo cual se asignan recursos destinados a las organizaciones de personas suj</w:t>
      </w:r>
      <w:r>
        <w:rPr>
          <w:rFonts w:ascii="Arial Narrow" w:eastAsia="Arial Narrow" w:hAnsi="Arial Narrow" w:cs="Arial Narrow"/>
          <w:color w:val="000000"/>
          <w:sz w:val="24"/>
          <w:szCs w:val="24"/>
        </w:rPr>
        <w:t>eto de especial protección constitucional y con acciones en el territorio.</w:t>
      </w:r>
    </w:p>
    <w:p w:rsidR="00367C96" w:rsidRDefault="00367C96">
      <w:pPr>
        <w:widowControl/>
        <w:pBdr>
          <w:top w:val="nil"/>
          <w:left w:val="nil"/>
          <w:bottom w:val="nil"/>
          <w:right w:val="nil"/>
          <w:between w:val="nil"/>
        </w:pBdr>
        <w:spacing w:line="276" w:lineRule="auto"/>
        <w:rPr>
          <w:rFonts w:ascii="Arial Narrow" w:eastAsia="Arial Narrow" w:hAnsi="Arial Narrow" w:cs="Arial Narrow"/>
          <w:b/>
          <w:color w:val="000000"/>
          <w:sz w:val="24"/>
          <w:szCs w:val="24"/>
        </w:rPr>
      </w:pPr>
    </w:p>
    <w:p w:rsidR="00367C96" w:rsidRDefault="009B187E">
      <w:pPr>
        <w:widowControl/>
        <w:numPr>
          <w:ilvl w:val="1"/>
          <w:numId w:val="3"/>
        </w:numPr>
        <w:pBdr>
          <w:top w:val="nil"/>
          <w:left w:val="nil"/>
          <w:bottom w:val="nil"/>
          <w:right w:val="nil"/>
          <w:between w:val="nil"/>
        </w:pBdr>
        <w:spacing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Necesidad de un Acuerdo Social</w:t>
      </w:r>
    </w:p>
    <w:p w:rsidR="00367C96" w:rsidRDefault="00367C96">
      <w:pPr>
        <w:pBdr>
          <w:top w:val="nil"/>
          <w:left w:val="nil"/>
          <w:bottom w:val="nil"/>
          <w:right w:val="nil"/>
          <w:between w:val="nil"/>
        </w:pBdr>
        <w:rPr>
          <w:rFonts w:ascii="Arial Narrow" w:eastAsia="Arial Narrow" w:hAnsi="Arial Narrow" w:cs="Arial Narrow"/>
          <w:b/>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Atendiendo las consideraciones expuestas en el numeral anterior, sumado a la dispersión normativa y a la ausencia de un ordenamiento regulador que tenga vocación de permanencia, se evidencia la necesidad de un acuerdo social para dotar a los organismos com</w:t>
      </w:r>
      <w:r>
        <w:rPr>
          <w:rFonts w:ascii="Arial Narrow" w:eastAsia="Arial Narrow" w:hAnsi="Arial Narrow" w:cs="Arial Narrow"/>
          <w:color w:val="000000"/>
          <w:sz w:val="24"/>
          <w:szCs w:val="24"/>
        </w:rPr>
        <w:t xml:space="preserve">unales de unos parámetros normativos que permitan y conduzcan a su fortalecimiento y desarrollo. </w:t>
      </w:r>
    </w:p>
    <w:p w:rsidR="00367C96" w:rsidRDefault="00367C96">
      <w:pPr>
        <w:pBdr>
          <w:top w:val="nil"/>
          <w:left w:val="nil"/>
          <w:bottom w:val="nil"/>
          <w:right w:val="nil"/>
          <w:between w:val="nil"/>
        </w:pBdr>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esa línea, el Gobierno nacional presentó y el Congreso de la República aprobó el Plan Nacional de Desarrollo (PND), denominado </w:t>
      </w:r>
      <w:r>
        <w:rPr>
          <w:rFonts w:ascii="Arial Narrow" w:eastAsia="Arial Narrow" w:hAnsi="Arial Narrow" w:cs="Arial Narrow"/>
          <w:b/>
          <w:i/>
          <w:color w:val="000000"/>
          <w:sz w:val="24"/>
          <w:szCs w:val="24"/>
        </w:rPr>
        <w:t xml:space="preserve">Colombia, potencia mundial </w:t>
      </w:r>
      <w:r>
        <w:rPr>
          <w:rFonts w:ascii="Arial Narrow" w:eastAsia="Arial Narrow" w:hAnsi="Arial Narrow" w:cs="Arial Narrow"/>
          <w:b/>
          <w:i/>
          <w:color w:val="000000"/>
          <w:sz w:val="24"/>
          <w:szCs w:val="24"/>
        </w:rPr>
        <w:t>de la vida 2022-2026</w:t>
      </w:r>
      <w:r>
        <w:rPr>
          <w:rFonts w:ascii="Arial Narrow" w:eastAsia="Arial Narrow" w:hAnsi="Arial Narrow" w:cs="Arial Narrow"/>
          <w:color w:val="000000"/>
          <w:sz w:val="24"/>
          <w:szCs w:val="24"/>
        </w:rPr>
        <w:t xml:space="preserve">, hoy Ley 2294 de 2023 y que plantea algunas pautas en la materia. </w:t>
      </w:r>
    </w:p>
    <w:p w:rsidR="00367C96" w:rsidRDefault="00367C96">
      <w:pPr>
        <w:pBdr>
          <w:top w:val="nil"/>
          <w:left w:val="nil"/>
          <w:bottom w:val="nil"/>
          <w:right w:val="nil"/>
          <w:between w:val="nil"/>
        </w:pBdr>
        <w:rPr>
          <w:rFonts w:ascii="Arial Narrow" w:eastAsia="Arial Narrow" w:hAnsi="Arial Narrow" w:cs="Arial Narrow"/>
          <w:color w:val="000000"/>
          <w:sz w:val="24"/>
          <w:szCs w:val="24"/>
        </w:rPr>
      </w:pPr>
    </w:p>
    <w:p w:rsidR="00367C96" w:rsidRDefault="009B187E">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Así, fija su atención en el </w:t>
      </w:r>
      <w:r>
        <w:rPr>
          <w:rFonts w:ascii="Arial Narrow" w:eastAsia="Arial Narrow" w:hAnsi="Arial Narrow" w:cs="Arial Narrow"/>
          <w:color w:val="000000"/>
          <w:sz w:val="24"/>
          <w:szCs w:val="24"/>
          <w:u w:val="single"/>
        </w:rPr>
        <w:t xml:space="preserve">reconocimiento e impulso a la Economía Popular y comunitaria, </w:t>
      </w:r>
      <w:r>
        <w:rPr>
          <w:rFonts w:ascii="Arial Narrow" w:eastAsia="Arial Narrow" w:hAnsi="Arial Narrow" w:cs="Arial Narrow"/>
          <w:color w:val="000000"/>
          <w:sz w:val="24"/>
          <w:szCs w:val="24"/>
        </w:rPr>
        <w:t>de manera que para evitar que los trabajadores de la Economía Popular y Comun</w:t>
      </w:r>
      <w:r>
        <w:rPr>
          <w:rFonts w:ascii="Arial Narrow" w:eastAsia="Arial Narrow" w:hAnsi="Arial Narrow" w:cs="Arial Narrow"/>
          <w:color w:val="000000"/>
          <w:sz w:val="24"/>
          <w:szCs w:val="24"/>
        </w:rPr>
        <w:t>itaria (en adelante EPC) sigan excluidos del contrato social y de los derechos asociados a sus labores, se proponen estrategias para el reconocimiento e impulso del trabajo y los oficios de la EPC que producen valor social y económico en el país. El fortal</w:t>
      </w:r>
      <w:r>
        <w:rPr>
          <w:rFonts w:ascii="Arial Narrow" w:eastAsia="Arial Narrow" w:hAnsi="Arial Narrow" w:cs="Arial Narrow"/>
          <w:color w:val="000000"/>
          <w:sz w:val="24"/>
          <w:szCs w:val="24"/>
        </w:rPr>
        <w:t>ecimiento de la EPC deberá garantizar su sostenibilidad y generar un crecimiento económico democrático, que contribuya a mejorar el bienestar general de la población</w:t>
      </w:r>
      <w:r>
        <w:rPr>
          <w:rFonts w:ascii="Arial Narrow" w:eastAsia="Arial Narrow" w:hAnsi="Arial Narrow" w:cs="Arial Narrow"/>
          <w:color w:val="000000"/>
          <w:sz w:val="24"/>
          <w:szCs w:val="24"/>
          <w:vertAlign w:val="superscript"/>
        </w:rPr>
        <w:footnoteReference w:id="6"/>
      </w:r>
      <w:r>
        <w:rPr>
          <w:rFonts w:ascii="Arial Narrow" w:eastAsia="Arial Narrow" w:hAnsi="Arial Narrow" w:cs="Arial Narrow"/>
          <w:color w:val="000000"/>
          <w:sz w:val="24"/>
          <w:szCs w:val="24"/>
        </w:rPr>
        <w:t>.</w:t>
      </w:r>
    </w:p>
    <w:p w:rsidR="00367C96" w:rsidRDefault="00367C96">
      <w:pPr>
        <w:widowControl/>
        <w:pBdr>
          <w:top w:val="nil"/>
          <w:left w:val="nil"/>
          <w:bottom w:val="nil"/>
          <w:right w:val="nil"/>
          <w:between w:val="nil"/>
        </w:pBdr>
        <w:jc w:val="both"/>
        <w:rPr>
          <w:rFonts w:ascii="Arial Narrow" w:eastAsia="Arial Narrow" w:hAnsi="Arial Narrow" w:cs="Arial Narrow"/>
          <w:b/>
          <w:color w:val="000000"/>
          <w:sz w:val="24"/>
          <w:szCs w:val="24"/>
          <w:u w:val="single"/>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esa misma línea se plantean </w:t>
      </w:r>
      <w:r>
        <w:rPr>
          <w:rFonts w:ascii="Arial Narrow" w:eastAsia="Arial Narrow" w:hAnsi="Arial Narrow" w:cs="Arial Narrow"/>
          <w:color w:val="000000"/>
          <w:sz w:val="24"/>
          <w:szCs w:val="24"/>
          <w:u w:val="single"/>
        </w:rPr>
        <w:t>apoyos para la sostenibilidad de las actividades de la EPC,</w:t>
      </w:r>
      <w:r>
        <w:rPr>
          <w:rFonts w:ascii="Arial Narrow" w:eastAsia="Arial Narrow" w:hAnsi="Arial Narrow" w:cs="Arial Narrow"/>
          <w:color w:val="000000"/>
          <w:sz w:val="24"/>
          <w:szCs w:val="24"/>
        </w:rPr>
        <w:t xml:space="preserve"> con mecanismos que permitan la participación en compras públicas de formas organizativas de la EPC, con la promoción de la formación y asistencia técnica para fortalecer su capacidad organizativa,</w:t>
      </w:r>
      <w:r>
        <w:rPr>
          <w:rFonts w:ascii="Arial Narrow" w:eastAsia="Arial Narrow" w:hAnsi="Arial Narrow" w:cs="Arial Narrow"/>
          <w:color w:val="000000"/>
          <w:sz w:val="24"/>
          <w:szCs w:val="24"/>
        </w:rPr>
        <w:t xml:space="preserve"> técnica y productiva y la creación de instrumento de financiación con requisitos y garantías flexibles.</w:t>
      </w:r>
      <w:r>
        <w:rPr>
          <w:rFonts w:ascii="Arial Narrow" w:eastAsia="Arial Narrow" w:hAnsi="Arial Narrow" w:cs="Arial Narrow"/>
          <w:color w:val="000000"/>
          <w:sz w:val="24"/>
          <w:szCs w:val="24"/>
          <w:vertAlign w:val="superscript"/>
        </w:rPr>
        <w:footnoteReference w:id="7"/>
      </w:r>
      <w:r>
        <w:rPr>
          <w:rFonts w:ascii="Arial Narrow" w:eastAsia="Arial Narrow" w:hAnsi="Arial Narrow" w:cs="Arial Narrow"/>
          <w:color w:val="000000"/>
          <w:sz w:val="24"/>
          <w:szCs w:val="24"/>
        </w:rPr>
        <w:t xml:space="preserve"> No obstante, dichos lineamientos y apoyos son temporales e insuficientes para el fortalecimiento y desarrollo de los organismos comunales.</w:t>
      </w:r>
    </w:p>
    <w:p w:rsidR="00367C96" w:rsidRDefault="00367C96">
      <w:pPr>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otra pa</w:t>
      </w:r>
      <w:r>
        <w:rPr>
          <w:rFonts w:ascii="Arial Narrow" w:eastAsia="Arial Narrow" w:hAnsi="Arial Narrow" w:cs="Arial Narrow"/>
          <w:color w:val="000000"/>
          <w:sz w:val="24"/>
          <w:szCs w:val="24"/>
        </w:rPr>
        <w:t xml:space="preserve">rte, el PND también contempla el </w:t>
      </w:r>
      <w:r>
        <w:rPr>
          <w:rFonts w:ascii="Arial Narrow" w:eastAsia="Arial Narrow" w:hAnsi="Arial Narrow" w:cs="Arial Narrow"/>
          <w:color w:val="000000"/>
          <w:sz w:val="24"/>
          <w:szCs w:val="24"/>
          <w:u w:val="single"/>
        </w:rPr>
        <w:t>derecho humano a la alimentación</w:t>
      </w:r>
      <w:r>
        <w:rPr>
          <w:rFonts w:ascii="Arial Narrow" w:eastAsia="Arial Narrow" w:hAnsi="Arial Narrow" w:cs="Arial Narrow"/>
          <w:color w:val="000000"/>
          <w:sz w:val="24"/>
          <w:szCs w:val="24"/>
        </w:rPr>
        <w:t xml:space="preserve"> y a los bienes públicos, y para que el país sea potencia de la vida es importante garantizarlos, pues implica que todas las personas tengan una alimentación adecuada y el acceso a valores de</w:t>
      </w:r>
      <w:r>
        <w:rPr>
          <w:rFonts w:ascii="Arial Narrow" w:eastAsia="Arial Narrow" w:hAnsi="Arial Narrow" w:cs="Arial Narrow"/>
          <w:color w:val="000000"/>
          <w:sz w:val="24"/>
          <w:szCs w:val="24"/>
        </w:rPr>
        <w:t xml:space="preserve"> uso, que les permita tener una vida activa y sana, que contribuya a la ampliación de sus capacidades. Los organismos comunales podrían tener un papel importante en la producción, comercialización y trasformación de alimentos, así como en la provisión de b</w:t>
      </w:r>
      <w:r>
        <w:rPr>
          <w:rFonts w:ascii="Arial Narrow" w:eastAsia="Arial Narrow" w:hAnsi="Arial Narrow" w:cs="Arial Narrow"/>
          <w:color w:val="000000"/>
          <w:sz w:val="24"/>
          <w:szCs w:val="24"/>
        </w:rPr>
        <w:t>ienes públicos para garantizar dichos derechos tanto en los ámbitos rurales como urbanos. Para ello es necesario transitar hacia una transformación de los sistemas agroalimentarios y la oferta de bienes y servicios públicos, con participación activa de los</w:t>
      </w:r>
      <w:r>
        <w:rPr>
          <w:rFonts w:ascii="Arial Narrow" w:eastAsia="Arial Narrow" w:hAnsi="Arial Narrow" w:cs="Arial Narrow"/>
          <w:color w:val="000000"/>
          <w:sz w:val="24"/>
          <w:szCs w:val="24"/>
        </w:rPr>
        <w:t xml:space="preserve"> organismos comunales, que además de aumentar la disponibilidad de alimentos, permitan la diversificación productiva, la construcción de obras públicas y la inclusión de las comunidades.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el PND 2023-2026 se reconoce la importancia de la economía popula</w:t>
      </w:r>
      <w:r>
        <w:rPr>
          <w:rFonts w:ascii="Arial Narrow" w:eastAsia="Arial Narrow" w:hAnsi="Arial Narrow" w:cs="Arial Narrow"/>
          <w:color w:val="000000"/>
          <w:sz w:val="24"/>
          <w:szCs w:val="24"/>
        </w:rPr>
        <w:t>r y comunitaria, y la necesidad de una transformación rural que genere riqueza bajo un esquema o acuerdo social en el que los sectores populares pueden tener como socio al Estado y el estado ser parte de un movimiento popular y social transformador. Esa in</w:t>
      </w:r>
      <w:r>
        <w:rPr>
          <w:rFonts w:ascii="Arial Narrow" w:eastAsia="Arial Narrow" w:hAnsi="Arial Narrow" w:cs="Arial Narrow"/>
          <w:color w:val="000000"/>
          <w:sz w:val="24"/>
          <w:szCs w:val="24"/>
        </w:rPr>
        <w:t>iciativa gubernamental se valora con muy buenos ojos, sin perjuicio de requerir regulaciones y lineamientos normativos de carácter permanente orientados al fortalecimiento financiero, organizacional y social de los organismos comunales, que permitan y pote</w:t>
      </w:r>
      <w:r>
        <w:rPr>
          <w:rFonts w:ascii="Arial Narrow" w:eastAsia="Arial Narrow" w:hAnsi="Arial Narrow" w:cs="Arial Narrow"/>
          <w:color w:val="000000"/>
          <w:sz w:val="24"/>
          <w:szCs w:val="24"/>
        </w:rPr>
        <w:t>ncien su fortalecimiento y desarrollo.</w:t>
      </w:r>
    </w:p>
    <w:p w:rsidR="00367C96" w:rsidRDefault="00367C96">
      <w:pPr>
        <w:spacing w:line="276" w:lineRule="auto"/>
        <w:rPr>
          <w:rFonts w:ascii="Arial Narrow" w:eastAsia="Arial Narrow" w:hAnsi="Arial Narrow" w:cs="Arial Narrow"/>
          <w:b/>
          <w:color w:val="000000"/>
          <w:sz w:val="24"/>
          <w:szCs w:val="24"/>
        </w:rPr>
      </w:pPr>
    </w:p>
    <w:p w:rsidR="00367C96" w:rsidRDefault="009B187E">
      <w:pPr>
        <w:numPr>
          <w:ilvl w:val="1"/>
          <w:numId w:val="3"/>
        </w:numPr>
        <w:pBdr>
          <w:top w:val="nil"/>
          <w:left w:val="nil"/>
          <w:bottom w:val="nil"/>
          <w:right w:val="nil"/>
          <w:between w:val="nil"/>
        </w:pBdr>
        <w:spacing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Medidas para el fortalecimiento financiero, organizacional y social de los organismos comunales.</w:t>
      </w:r>
    </w:p>
    <w:p w:rsidR="00367C96" w:rsidRDefault="00367C96">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Gobierno nacional tiene como objetivo y estrategia promover la economía popular y comunitaria EPC, a través del for</w:t>
      </w:r>
      <w:r>
        <w:rPr>
          <w:rFonts w:ascii="Arial Narrow" w:eastAsia="Arial Narrow" w:hAnsi="Arial Narrow" w:cs="Arial Narrow"/>
          <w:color w:val="000000"/>
          <w:sz w:val="24"/>
          <w:szCs w:val="24"/>
        </w:rPr>
        <w:t xml:space="preserve">talecimiento de organizaciones populares y comunitarias como las JACs y otros organismos </w:t>
      </w:r>
      <w:r>
        <w:rPr>
          <w:rFonts w:ascii="Arial Narrow" w:eastAsia="Arial Narrow" w:hAnsi="Arial Narrow" w:cs="Arial Narrow"/>
          <w:color w:val="000000"/>
          <w:sz w:val="24"/>
          <w:szCs w:val="24"/>
        </w:rPr>
        <w:lastRenderedPageBreak/>
        <w:t>comunales. En ese sentido, esta iniciativa legislativa resulta fundamental para cumplir con los objetivos del Gobierno nacional, pues permitirá fortalecer los organism</w:t>
      </w:r>
      <w:r>
        <w:rPr>
          <w:rFonts w:ascii="Arial Narrow" w:eastAsia="Arial Narrow" w:hAnsi="Arial Narrow" w:cs="Arial Narrow"/>
          <w:color w:val="000000"/>
          <w:sz w:val="24"/>
          <w:szCs w:val="24"/>
        </w:rPr>
        <w:t xml:space="preserve">os de acción comunal para que cuenten con herramientas que les permita gestionar recursos y proyectos para sus comunidades, además de fortalecerse y desarrollarse como organizaciones populares, comunitarias y solidarias.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 con ese fin que en éste proyecto de ley se proponen medidas concretas para el fortalecimiento organizacional, financiero y social de los organismos comunales.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esta línea, y como primera medida, se advirtió la necesidad de crear un </w:t>
      </w:r>
      <w:r>
        <w:rPr>
          <w:rFonts w:ascii="Arial Narrow" w:eastAsia="Arial Narrow" w:hAnsi="Arial Narrow" w:cs="Arial Narrow"/>
          <w:color w:val="000000"/>
          <w:sz w:val="24"/>
          <w:szCs w:val="24"/>
          <w:u w:val="single"/>
        </w:rPr>
        <w:t>Sistema de Inform</w:t>
      </w:r>
      <w:r>
        <w:rPr>
          <w:rFonts w:ascii="Arial Narrow" w:eastAsia="Arial Narrow" w:hAnsi="Arial Narrow" w:cs="Arial Narrow"/>
          <w:color w:val="000000"/>
          <w:sz w:val="24"/>
          <w:szCs w:val="24"/>
          <w:u w:val="single"/>
        </w:rPr>
        <w:t>ación de Organismos Comunales</w:t>
      </w:r>
      <w:r>
        <w:rPr>
          <w:rFonts w:ascii="Arial Narrow" w:eastAsia="Arial Narrow" w:hAnsi="Arial Narrow" w:cs="Arial Narrow"/>
          <w:color w:val="000000"/>
          <w:sz w:val="24"/>
          <w:szCs w:val="24"/>
        </w:rPr>
        <w:t xml:space="preserve">, el cual consolidará la información socioeconómica y organizacional y estará bajo la custodia del Ministerio del Interior, y que operará de manera articulada con la información que recauda y sistematiza el DANE.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Una segunda </w:t>
      </w:r>
      <w:r>
        <w:rPr>
          <w:rFonts w:ascii="Arial Narrow" w:eastAsia="Arial Narrow" w:hAnsi="Arial Narrow" w:cs="Arial Narrow"/>
          <w:color w:val="000000"/>
          <w:sz w:val="24"/>
          <w:szCs w:val="24"/>
        </w:rPr>
        <w:t>medida está dirigida al deber del Estado, y en concreto del Gobierno, de diseñar e implementar políticas públicas que también contribuyan a impulsar el actuar de esas organizaciones comunitarias. Nótese que este artículo comporta una autorización y deber l</w:t>
      </w:r>
      <w:r>
        <w:rPr>
          <w:rFonts w:ascii="Arial Narrow" w:eastAsia="Arial Narrow" w:hAnsi="Arial Narrow" w:cs="Arial Narrow"/>
          <w:color w:val="000000"/>
          <w:sz w:val="24"/>
          <w:szCs w:val="24"/>
        </w:rPr>
        <w:t>egal, y aún cuando el texto del proyecto propone medidas específicas de fortalecimiento, esto no obsta para que el Ejecutivo proponga y diseñe nuevas políticas, planes, programas y proyectos que robustezcan lo aquí planteado.</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este punto se reitera el m</w:t>
      </w:r>
      <w:r>
        <w:rPr>
          <w:rFonts w:ascii="Arial Narrow" w:eastAsia="Arial Narrow" w:hAnsi="Arial Narrow" w:cs="Arial Narrow"/>
          <w:color w:val="000000"/>
          <w:sz w:val="24"/>
          <w:szCs w:val="24"/>
        </w:rPr>
        <w:t>andato constitucional del artículo 113 superior, según el cual “[l]</w:t>
      </w:r>
      <w:r>
        <w:rPr>
          <w:rFonts w:ascii="Arial Narrow" w:eastAsia="Arial Narrow" w:hAnsi="Arial Narrow" w:cs="Arial Narrow"/>
          <w:i/>
          <w:color w:val="000000"/>
          <w:sz w:val="24"/>
          <w:szCs w:val="24"/>
        </w:rPr>
        <w:t>os diferentes órganos del Estado tienen funciones separadas pero colaboran armónicamente para la realización de sus fines</w:t>
      </w:r>
      <w:r>
        <w:rPr>
          <w:rFonts w:ascii="Arial Narrow" w:eastAsia="Arial Narrow" w:hAnsi="Arial Narrow" w:cs="Arial Narrow"/>
          <w:color w:val="000000"/>
          <w:sz w:val="24"/>
          <w:szCs w:val="24"/>
        </w:rPr>
        <w:t>”, de manera que el cumplimiento del artículo propuesto será un fund</w:t>
      </w:r>
      <w:r>
        <w:rPr>
          <w:rFonts w:ascii="Arial Narrow" w:eastAsia="Arial Narrow" w:hAnsi="Arial Narrow" w:cs="Arial Narrow"/>
          <w:color w:val="000000"/>
          <w:sz w:val="24"/>
          <w:szCs w:val="24"/>
        </w:rPr>
        <w:t>amento suficiente para convocar el engranaje de las distintas entidades que pudieren tener competencia para hacerlo realidad.</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tercera medida está dirigida al fortalecimiento </w:t>
      </w:r>
      <w:r>
        <w:rPr>
          <w:rFonts w:ascii="Arial Narrow" w:eastAsia="Arial Narrow" w:hAnsi="Arial Narrow" w:cs="Arial Narrow"/>
          <w:color w:val="000000"/>
          <w:sz w:val="24"/>
          <w:szCs w:val="24"/>
          <w:u w:val="single"/>
        </w:rPr>
        <w:t>social</w:t>
      </w:r>
      <w:r>
        <w:rPr>
          <w:rFonts w:ascii="Arial Narrow" w:eastAsia="Arial Narrow" w:hAnsi="Arial Narrow" w:cs="Arial Narrow"/>
          <w:color w:val="000000"/>
          <w:sz w:val="24"/>
          <w:szCs w:val="24"/>
        </w:rPr>
        <w:t xml:space="preserve"> de los organismos comunales, para lo cual se demanda, tanto del Gobiern</w:t>
      </w:r>
      <w:r>
        <w:rPr>
          <w:rFonts w:ascii="Arial Narrow" w:eastAsia="Arial Narrow" w:hAnsi="Arial Narrow" w:cs="Arial Narrow"/>
          <w:color w:val="000000"/>
          <w:sz w:val="24"/>
          <w:szCs w:val="24"/>
        </w:rPr>
        <w:t xml:space="preserve">o nacional como de los territoriales, la creación y puesta en marcha de capacitaciones relacionadas con la misma constitución y organización, así como gestión social, cohesión grupal, manejo de conflictos y demás temas que tienen una incidencia directa en </w:t>
      </w:r>
      <w:r>
        <w:rPr>
          <w:rFonts w:ascii="Arial Narrow" w:eastAsia="Arial Narrow" w:hAnsi="Arial Narrow" w:cs="Arial Narrow"/>
          <w:color w:val="000000"/>
          <w:sz w:val="24"/>
          <w:szCs w:val="24"/>
        </w:rPr>
        <w:t>el funcionamiento de la organización.</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 se puede perder de vista que muchas asociaciones fracasan por no tener una formación e información clara con relación a los objetivos y misión de ese acuerdo de voluntades, pues si bien las personas se unen de mane</w:t>
      </w:r>
      <w:r>
        <w:rPr>
          <w:rFonts w:ascii="Arial Narrow" w:eastAsia="Arial Narrow" w:hAnsi="Arial Narrow" w:cs="Arial Narrow"/>
          <w:color w:val="000000"/>
          <w:sz w:val="24"/>
          <w:szCs w:val="24"/>
        </w:rPr>
        <w:t>ra autónoma, hay decisiones que se someten a la democracia y principios solidarios que los gobiernan. Así, el Estado debe apostar para que los asociados encuentren en las formas solidarias el logro de un orden económico social y justo, y que no se limita a</w:t>
      </w:r>
      <w:r>
        <w:rPr>
          <w:rFonts w:ascii="Arial Narrow" w:eastAsia="Arial Narrow" w:hAnsi="Arial Narrow" w:cs="Arial Narrow"/>
          <w:color w:val="000000"/>
          <w:sz w:val="24"/>
          <w:szCs w:val="24"/>
        </w:rPr>
        <w:t xml:space="preserve"> la facultad de crearlas, sino a que permanezcan.</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Como cuarta medida, el proyecto consagra la </w:t>
      </w:r>
      <w:r>
        <w:rPr>
          <w:rFonts w:ascii="Arial Narrow" w:eastAsia="Arial Narrow" w:hAnsi="Arial Narrow" w:cs="Arial Narrow"/>
          <w:color w:val="000000"/>
          <w:sz w:val="24"/>
          <w:szCs w:val="24"/>
          <w:u w:val="single"/>
        </w:rPr>
        <w:t>educación y promoción</w:t>
      </w:r>
      <w:r>
        <w:rPr>
          <w:rFonts w:ascii="Arial Narrow" w:eastAsia="Arial Narrow" w:hAnsi="Arial Narrow" w:cs="Arial Narrow"/>
          <w:color w:val="000000"/>
          <w:sz w:val="24"/>
          <w:szCs w:val="24"/>
        </w:rPr>
        <w:t>, medida que se complementa con la anterior, pero está dirigida puntualmente a aquellos aspectos propios de la administración, planeación de proyectos y aspectos básicos de la contratación, todo lo cual apunta a fortalecer las competencias y permitir que e</w:t>
      </w:r>
      <w:r>
        <w:rPr>
          <w:rFonts w:ascii="Arial Narrow" w:eastAsia="Arial Narrow" w:hAnsi="Arial Narrow" w:cs="Arial Narrow"/>
          <w:color w:val="000000"/>
          <w:sz w:val="24"/>
          <w:szCs w:val="24"/>
        </w:rPr>
        <w:t xml:space="preserve">stos organismos participen en igualdad de condiciones en los escenarios comerciales y mercantiles.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esta manera, la participación en procesos formativos ofertados por parte de entidades como el SENA y la ESAP, tendrá un impacto positivo tanto en el org</w:t>
      </w:r>
      <w:r>
        <w:rPr>
          <w:rFonts w:ascii="Arial Narrow" w:eastAsia="Arial Narrow" w:hAnsi="Arial Narrow" w:cs="Arial Narrow"/>
          <w:color w:val="000000"/>
          <w:sz w:val="24"/>
          <w:szCs w:val="24"/>
        </w:rPr>
        <w:t>anismo, como de cara a la sociedad, ámbito en el cual se visibilizará la operación de los mismos y lo que ellos representan, es decir, el sentir de las comunidades que lo integran y que no tiene otro propósito que contribuir a la satisfacción de sus necesi</w:t>
      </w:r>
      <w:r>
        <w:rPr>
          <w:rFonts w:ascii="Arial Narrow" w:eastAsia="Arial Narrow" w:hAnsi="Arial Narrow" w:cs="Arial Narrow"/>
          <w:color w:val="000000"/>
          <w:sz w:val="24"/>
          <w:szCs w:val="24"/>
        </w:rPr>
        <w:t>dades y solución de las problemáticas que los afectan.</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quinta medida se dirige al fortalecimiento </w:t>
      </w:r>
      <w:r>
        <w:rPr>
          <w:rFonts w:ascii="Arial Narrow" w:eastAsia="Arial Narrow" w:hAnsi="Arial Narrow" w:cs="Arial Narrow"/>
          <w:color w:val="000000"/>
          <w:sz w:val="24"/>
          <w:szCs w:val="24"/>
          <w:u w:val="single"/>
        </w:rPr>
        <w:t>financiero</w:t>
      </w:r>
      <w:r>
        <w:rPr>
          <w:rFonts w:ascii="Arial Narrow" w:eastAsia="Arial Narrow" w:hAnsi="Arial Narrow" w:cs="Arial Narrow"/>
          <w:color w:val="000000"/>
          <w:sz w:val="24"/>
          <w:szCs w:val="24"/>
        </w:rPr>
        <w:t>, pues para participar en el desarrollo de las dinámicas del Estado Social de Derecho, se exige un apalancamiento y capital financiero que mucha</w:t>
      </w:r>
      <w:r>
        <w:rPr>
          <w:rFonts w:ascii="Arial Narrow" w:eastAsia="Arial Narrow" w:hAnsi="Arial Narrow" w:cs="Arial Narrow"/>
          <w:color w:val="000000"/>
          <w:sz w:val="24"/>
          <w:szCs w:val="24"/>
        </w:rPr>
        <w:t>s veces está vedado para estas organizaciones comunales, en su mayoría creadas en zonas rurales y dispersas.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Así, con el fin de evitar que las políticas públicas no sean sino letra muerta, este proyecto propone que se creen líneas especiales de ahorro y c</w:t>
      </w:r>
      <w:r>
        <w:rPr>
          <w:rFonts w:ascii="Arial Narrow" w:eastAsia="Arial Narrow" w:hAnsi="Arial Narrow" w:cs="Arial Narrow"/>
          <w:color w:val="000000"/>
          <w:sz w:val="24"/>
          <w:szCs w:val="24"/>
        </w:rPr>
        <w:t>rédito para el financiamiento y fortalecimiento de los organismos comunales. Es con ello que se garantizaría una igualdad de condiciones en la eventual participación en una convocatoria u oferta contractual, pues solo si el Estado ordena que se flexibilice</w:t>
      </w:r>
      <w:r>
        <w:rPr>
          <w:rFonts w:ascii="Arial Narrow" w:eastAsia="Arial Narrow" w:hAnsi="Arial Narrow" w:cs="Arial Narrow"/>
          <w:color w:val="000000"/>
          <w:sz w:val="24"/>
          <w:szCs w:val="24"/>
        </w:rPr>
        <w:t>n los requisitos para que dichos organismos puedan financiar el capital de trabajo, activos y demás necesidades de índole económic</w:t>
      </w:r>
      <w:r>
        <w:rPr>
          <w:rFonts w:ascii="Arial Narrow" w:eastAsia="Arial Narrow" w:hAnsi="Arial Narrow" w:cs="Arial Narrow"/>
          <w:sz w:val="24"/>
          <w:szCs w:val="24"/>
        </w:rPr>
        <w:t>a</w:t>
      </w:r>
      <w:r>
        <w:rPr>
          <w:rFonts w:ascii="Arial Narrow" w:eastAsia="Arial Narrow" w:hAnsi="Arial Narrow" w:cs="Arial Narrow"/>
          <w:color w:val="000000"/>
          <w:sz w:val="24"/>
          <w:szCs w:val="24"/>
        </w:rPr>
        <w:t>, podrán robustecerse como agrupación y consolidar su gestión.</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 reitera que las </w:t>
      </w:r>
      <w:r>
        <w:rPr>
          <w:rFonts w:ascii="Arial Narrow" w:eastAsia="Arial Narrow" w:hAnsi="Arial Narrow" w:cs="Arial Narrow"/>
          <w:color w:val="000000"/>
          <w:sz w:val="24"/>
          <w:szCs w:val="24"/>
          <w:u w:val="single"/>
        </w:rPr>
        <w:t>medidas que fortalezcan los organismos com</w:t>
      </w:r>
      <w:r>
        <w:rPr>
          <w:rFonts w:ascii="Arial Narrow" w:eastAsia="Arial Narrow" w:hAnsi="Arial Narrow" w:cs="Arial Narrow"/>
          <w:color w:val="000000"/>
          <w:sz w:val="24"/>
          <w:szCs w:val="24"/>
          <w:u w:val="single"/>
        </w:rPr>
        <w:t>unales en los ámbitos organizacional, financiero y social,</w:t>
      </w:r>
      <w:r>
        <w:rPr>
          <w:rFonts w:ascii="Arial Narrow" w:eastAsia="Arial Narrow" w:hAnsi="Arial Narrow" w:cs="Arial Narrow"/>
          <w:color w:val="000000"/>
          <w:sz w:val="24"/>
          <w:szCs w:val="24"/>
        </w:rPr>
        <w:t xml:space="preserve"> trazan un contenido mínimo de los aspectos que se han de regular en cada uno de esos componentes, sin perjuicio, claro está, de que se consideren nuevas medidas que materialicen el espíritu del leg</w:t>
      </w:r>
      <w:r>
        <w:rPr>
          <w:rFonts w:ascii="Arial Narrow" w:eastAsia="Arial Narrow" w:hAnsi="Arial Narrow" w:cs="Arial Narrow"/>
          <w:color w:val="000000"/>
          <w:sz w:val="24"/>
          <w:szCs w:val="24"/>
        </w:rPr>
        <w:t>islador y los postulados constitucionales. Esto, además, contribuirá a garantizar la participación de estas agrupaciones en la implementación del Plan Nacional de Desarrollo en los territorios respectivos, ampliando así el alcance de la gestión del Estado.</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sexta medida, denominada </w:t>
      </w:r>
      <w:r>
        <w:rPr>
          <w:rFonts w:ascii="Arial Narrow" w:eastAsia="Arial Narrow" w:hAnsi="Arial Narrow" w:cs="Arial Narrow"/>
          <w:color w:val="000000"/>
          <w:sz w:val="24"/>
          <w:szCs w:val="24"/>
          <w:u w:val="single"/>
        </w:rPr>
        <w:t>compras públicas a organismos comunales</w:t>
      </w:r>
      <w:r>
        <w:rPr>
          <w:rFonts w:ascii="Arial Narrow" w:eastAsia="Arial Narrow" w:hAnsi="Arial Narrow" w:cs="Arial Narrow"/>
          <w:color w:val="000000"/>
          <w:sz w:val="24"/>
          <w:szCs w:val="24"/>
        </w:rPr>
        <w:t>, abre el espacio para que las organizaciones comunitarias se proyecten y logren hacer parte de tan importantes mecanismos de abastecimiento y comercialización de bienes, con lo que se fo</w:t>
      </w:r>
      <w:r>
        <w:rPr>
          <w:rFonts w:ascii="Arial Narrow" w:eastAsia="Arial Narrow" w:hAnsi="Arial Narrow" w:cs="Arial Narrow"/>
          <w:color w:val="000000"/>
          <w:sz w:val="24"/>
          <w:szCs w:val="24"/>
        </w:rPr>
        <w:t xml:space="preserve">menta tanto la organización autónoma de los organismos, así como se otorga la posibilidad de participar en las cadenas productivas y comerciales de la nación. De manera paralela se fomentaría la producción agrícola y permitiría que los campesinos conozcan </w:t>
      </w:r>
      <w:r>
        <w:rPr>
          <w:rFonts w:ascii="Arial Narrow" w:eastAsia="Arial Narrow" w:hAnsi="Arial Narrow" w:cs="Arial Narrow"/>
          <w:color w:val="000000"/>
          <w:sz w:val="24"/>
          <w:szCs w:val="24"/>
        </w:rPr>
        <w:t>más de cerca los procesos de comercialización de sus productos.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Con ello se atienden dos frentes importantísimos: (i) se robustecen las cadenas productivas de la comunidad, y (ii) se garantiza el abastecimiento a la comunidad, todo lo cual contribuye a la</w:t>
      </w:r>
      <w:r>
        <w:rPr>
          <w:rFonts w:ascii="Arial Narrow" w:eastAsia="Arial Narrow" w:hAnsi="Arial Narrow" w:cs="Arial Narrow"/>
          <w:color w:val="000000"/>
          <w:sz w:val="24"/>
          <w:szCs w:val="24"/>
        </w:rPr>
        <w:t xml:space="preserve"> materialización de los fines del Estado en aquellos territorios rurales y de difícil acceso, con apoyo en los usos y costumbres ya establecidos. Aunado a ello, las redes se tornan en un mecanismo importantísimo de cara a garantizar la seguridad alimentari</w:t>
      </w:r>
      <w:r>
        <w:rPr>
          <w:rFonts w:ascii="Arial Narrow" w:eastAsia="Arial Narrow" w:hAnsi="Arial Narrow" w:cs="Arial Narrow"/>
          <w:color w:val="000000"/>
          <w:sz w:val="24"/>
          <w:szCs w:val="24"/>
        </w:rPr>
        <w:t>a en una nación.</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séptima medida tiene que ver con el fortalecimiento organizacional, en este sentido el Gobierno regule lo pertinente. Con esto se busca prevenir, nuevamente, que muchos dispositivos normativos devengan en ineficaces por la evidente des</w:t>
      </w:r>
      <w:r>
        <w:rPr>
          <w:rFonts w:ascii="Arial Narrow" w:eastAsia="Arial Narrow" w:hAnsi="Arial Narrow" w:cs="Arial Narrow"/>
          <w:color w:val="000000"/>
          <w:sz w:val="24"/>
          <w:szCs w:val="24"/>
        </w:rPr>
        <w:t>ventaja de estas agrupaciones sin ánimo de lucro frente a otras formas y agrupaciones que tienen un evidente ánimo de lucro y extensa experiencia.</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hecho, una de las líneas propuestas es la creación de sociedades de economía mixta con organismos comunales, las alianzas público-populares, así como asociaciones y convenios, de lo cual se hará referencia en el siguiente acápite.</w:t>
      </w:r>
    </w:p>
    <w:p w:rsidR="00367C96" w:rsidRDefault="00367C96">
      <w:pPr>
        <w:jc w:val="both"/>
        <w:rPr>
          <w:rFonts w:ascii="Arial Narrow" w:eastAsia="Arial Narrow" w:hAnsi="Arial Narrow" w:cs="Arial Narrow"/>
          <w:color w:val="000000"/>
          <w:sz w:val="24"/>
          <w:szCs w:val="24"/>
        </w:rPr>
      </w:pPr>
    </w:p>
    <w:p w:rsidR="00367C96" w:rsidRPr="00B334F2" w:rsidRDefault="009B187E" w:rsidP="00B334F2">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relación con los b</w:t>
      </w:r>
      <w:r>
        <w:rPr>
          <w:rFonts w:ascii="Arial Narrow" w:eastAsia="Arial Narrow" w:hAnsi="Arial Narrow" w:cs="Arial Narrow"/>
          <w:color w:val="000000"/>
          <w:sz w:val="24"/>
          <w:szCs w:val="24"/>
        </w:rPr>
        <w:t xml:space="preserve">eneficios para los dignatarios, el objetivo es promover y fortalecer el liderazgo en los organismos comunitarios. Es evidente que esta labor es exigente y muchas veces se descuida debido a las responsabilidades laborales regulares y la necesidad de contar </w:t>
      </w:r>
      <w:r>
        <w:rPr>
          <w:rFonts w:ascii="Arial Narrow" w:eastAsia="Arial Narrow" w:hAnsi="Arial Narrow" w:cs="Arial Narrow"/>
          <w:color w:val="000000"/>
          <w:sz w:val="24"/>
          <w:szCs w:val="24"/>
        </w:rPr>
        <w:t>con un ingreso económico para cubrir algunos gastos relacionados con la representación legal, así como para los desplazamientos y otras actividades asociadas a las reuniones.</w:t>
      </w:r>
    </w:p>
    <w:p w:rsidR="00367C96" w:rsidRDefault="00367C96">
      <w:pPr>
        <w:pBdr>
          <w:top w:val="nil"/>
          <w:left w:val="nil"/>
          <w:bottom w:val="nil"/>
          <w:right w:val="nil"/>
          <w:between w:val="nil"/>
        </w:pBdr>
        <w:spacing w:line="276" w:lineRule="auto"/>
        <w:rPr>
          <w:rFonts w:ascii="Arial Narrow" w:eastAsia="Arial Narrow" w:hAnsi="Arial Narrow" w:cs="Arial Narrow"/>
          <w:sz w:val="24"/>
          <w:szCs w:val="24"/>
        </w:rPr>
      </w:pPr>
    </w:p>
    <w:p w:rsidR="00367C96" w:rsidRDefault="009B187E">
      <w:pPr>
        <w:widowControl/>
        <w:numPr>
          <w:ilvl w:val="1"/>
          <w:numId w:val="3"/>
        </w:numPr>
        <w:pBdr>
          <w:top w:val="nil"/>
          <w:left w:val="nil"/>
          <w:bottom w:val="nil"/>
          <w:right w:val="nil"/>
          <w:between w:val="nil"/>
        </w:pBdr>
        <w:spacing w:line="276"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Los organismos comunales como socios del Estado a través de las empresas de ec</w:t>
      </w:r>
      <w:r>
        <w:rPr>
          <w:rFonts w:ascii="Arial Narrow" w:eastAsia="Arial Narrow" w:hAnsi="Arial Narrow" w:cs="Arial Narrow"/>
          <w:b/>
          <w:color w:val="000000"/>
          <w:sz w:val="24"/>
          <w:szCs w:val="24"/>
        </w:rPr>
        <w:t>onomía mixta y alianzas público-populares</w:t>
      </w:r>
    </w:p>
    <w:p w:rsidR="00367C96" w:rsidRDefault="00367C96">
      <w:pPr>
        <w:pBdr>
          <w:top w:val="nil"/>
          <w:left w:val="nil"/>
          <w:bottom w:val="nil"/>
          <w:right w:val="nil"/>
          <w:between w:val="nil"/>
        </w:pBdr>
        <w:spacing w:line="276" w:lineRule="auto"/>
        <w:rPr>
          <w:rFonts w:ascii="Arial Narrow" w:eastAsia="Arial Narrow" w:hAnsi="Arial Narrow" w:cs="Arial Narrow"/>
          <w:b/>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Constitución Política se refiere expresamente a las sociedades de economía mixta en los artículos 150.7, 300, 313 y transitorio 20, sin definir la naturaleza jurídica ni el régimen aplicable a dichas entidades,</w:t>
      </w:r>
      <w:r>
        <w:rPr>
          <w:rFonts w:ascii="Arial Narrow" w:eastAsia="Arial Narrow" w:hAnsi="Arial Narrow" w:cs="Arial Narrow"/>
          <w:color w:val="000000"/>
          <w:sz w:val="24"/>
          <w:szCs w:val="24"/>
        </w:rPr>
        <w:t xml:space="preserve"> para lo cual se acude a criterios normativos: </w:t>
      </w:r>
    </w:p>
    <w:p w:rsidR="00367C96" w:rsidRDefault="00367C96">
      <w:pPr>
        <w:jc w:val="both"/>
        <w:rPr>
          <w:rFonts w:ascii="Arial Narrow" w:eastAsia="Arial Narrow" w:hAnsi="Arial Narrow" w:cs="Arial Narrow"/>
          <w:color w:val="000000"/>
          <w:sz w:val="24"/>
          <w:szCs w:val="24"/>
        </w:rPr>
      </w:pPr>
    </w:p>
    <w:p w:rsidR="00367C96" w:rsidRDefault="009B187E">
      <w:pPr>
        <w:widowControl/>
        <w:spacing w:after="16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Definición: </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w:t>
      </w:r>
      <w:r>
        <w:rPr>
          <w:rFonts w:ascii="Arial Narrow" w:eastAsia="Arial Narrow" w:hAnsi="Arial Narrow" w:cs="Arial Narrow"/>
          <w:b/>
          <w:color w:val="000000"/>
          <w:sz w:val="24"/>
          <w:szCs w:val="24"/>
        </w:rPr>
        <w:t>Ley 489 de 1998</w:t>
      </w:r>
      <w:r>
        <w:rPr>
          <w:rFonts w:ascii="Arial Narrow" w:eastAsia="Arial Narrow" w:hAnsi="Arial Narrow" w:cs="Arial Narrow"/>
          <w:color w:val="000000"/>
          <w:sz w:val="24"/>
          <w:szCs w:val="24"/>
        </w:rPr>
        <w:t xml:space="preserve"> consagra, entre otros aspectos, la estructura general de la administración pública nacional y dentro de esta figura la rama ejecutiva del poder público, que incluye en el sect</w:t>
      </w:r>
      <w:r>
        <w:rPr>
          <w:rFonts w:ascii="Arial Narrow" w:eastAsia="Arial Narrow" w:hAnsi="Arial Narrow" w:cs="Arial Narrow"/>
          <w:color w:val="000000"/>
          <w:sz w:val="24"/>
          <w:szCs w:val="24"/>
        </w:rPr>
        <w:t>or descentralizado a las sociedades de economía mixta (artículos 38 y 68). El artículo 97 las define en los siguientes términos</w:t>
      </w:r>
      <w:r>
        <w:rPr>
          <w:rFonts w:ascii="Arial Narrow" w:eastAsia="Arial Narrow" w:hAnsi="Arial Narrow" w:cs="Arial Narrow"/>
          <w:color w:val="000000"/>
          <w:sz w:val="24"/>
          <w:szCs w:val="24"/>
          <w:vertAlign w:val="superscript"/>
        </w:rPr>
        <w:footnoteReference w:id="8"/>
      </w:r>
      <w:r>
        <w:rPr>
          <w:rFonts w:ascii="Arial Narrow" w:eastAsia="Arial Narrow" w:hAnsi="Arial Narrow" w:cs="Arial Narrow"/>
          <w:color w:val="000000"/>
          <w:sz w:val="24"/>
          <w:szCs w:val="24"/>
        </w:rPr>
        <w:t xml:space="preserve">: </w:t>
      </w:r>
    </w:p>
    <w:p w:rsidR="00367C96" w:rsidRDefault="00367C96">
      <w:pPr>
        <w:jc w:val="both"/>
        <w:rPr>
          <w:rFonts w:ascii="Arial Narrow" w:eastAsia="Arial Narrow" w:hAnsi="Arial Narrow" w:cs="Arial Narrow"/>
          <w:color w:val="000000"/>
          <w:sz w:val="24"/>
          <w:szCs w:val="24"/>
        </w:rPr>
      </w:pPr>
    </w:p>
    <w:p w:rsidR="00367C96" w:rsidRDefault="009B187E">
      <w:pPr>
        <w:ind w:left="72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“Artículo 97. Sociedades de economía mixta. Las sociedades de economía mixta son organismos autorizados por la ley, constituidos bajo la forma de sociedades comerciales con aportes estatales y de capital privado, que desarrollan actividades de naturaleza i</w:t>
      </w:r>
      <w:r>
        <w:rPr>
          <w:rFonts w:ascii="Arial Narrow" w:eastAsia="Arial Narrow" w:hAnsi="Arial Narrow" w:cs="Arial Narrow"/>
          <w:i/>
          <w:color w:val="000000"/>
          <w:sz w:val="24"/>
          <w:szCs w:val="24"/>
        </w:rPr>
        <w:t>ndustrial o comercial conforme a las reglas de Derecho Privado, salvo las excepciones que consagra la ley. “Las inversiones temporales de carácter financiero no afectan su naturaleza jurídica ni su régimen. “Parágrafo. Los regímenes de las actividades y de</w:t>
      </w:r>
      <w:r>
        <w:rPr>
          <w:rFonts w:ascii="Arial Narrow" w:eastAsia="Arial Narrow" w:hAnsi="Arial Narrow" w:cs="Arial Narrow"/>
          <w:i/>
          <w:color w:val="000000"/>
          <w:sz w:val="24"/>
          <w:szCs w:val="24"/>
        </w:rPr>
        <w:t xml:space="preserve"> los servidores de las sociedades de economía mixta en las cuales el aporte de la Nación, de entidades territoriales y de entidades descentralizadas, sea igual o superior al noventa (90%) del capital social es el de las empresas industriales y comerciales </w:t>
      </w:r>
      <w:r>
        <w:rPr>
          <w:rFonts w:ascii="Arial Narrow" w:eastAsia="Arial Narrow" w:hAnsi="Arial Narrow" w:cs="Arial Narrow"/>
          <w:i/>
          <w:color w:val="000000"/>
          <w:sz w:val="24"/>
          <w:szCs w:val="24"/>
        </w:rPr>
        <w:t>del Estado”</w:t>
      </w:r>
      <w:r>
        <w:rPr>
          <w:rFonts w:ascii="Arial Narrow" w:eastAsia="Arial Narrow" w:hAnsi="Arial Narrow" w:cs="Arial Narrow"/>
          <w:i/>
          <w:color w:val="000000"/>
          <w:sz w:val="24"/>
          <w:szCs w:val="24"/>
          <w:vertAlign w:val="superscript"/>
        </w:rPr>
        <w:t xml:space="preserve"> </w:t>
      </w:r>
      <w:r>
        <w:rPr>
          <w:rFonts w:ascii="Arial Narrow" w:eastAsia="Arial Narrow" w:hAnsi="Arial Narrow" w:cs="Arial Narrow"/>
          <w:color w:val="000000"/>
          <w:sz w:val="24"/>
          <w:szCs w:val="24"/>
          <w:vertAlign w:val="superscript"/>
        </w:rPr>
        <w:footnoteReference w:id="9"/>
      </w:r>
      <w:r>
        <w:rPr>
          <w:rFonts w:ascii="Arial Narrow" w:eastAsia="Arial Narrow" w:hAnsi="Arial Narrow" w:cs="Arial Narrow"/>
          <w:i/>
          <w:color w:val="000000"/>
          <w:sz w:val="24"/>
          <w:szCs w:val="24"/>
        </w:rPr>
        <w:t xml:space="preserve">. </w:t>
      </w:r>
    </w:p>
    <w:p w:rsidR="00367C96" w:rsidRDefault="00367C96">
      <w:pPr>
        <w:ind w:left="720"/>
        <w:jc w:val="both"/>
        <w:rPr>
          <w:rFonts w:ascii="Arial Narrow" w:eastAsia="Arial Narrow" w:hAnsi="Arial Narrow" w:cs="Arial Narrow"/>
          <w:i/>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inciso segundo de esta norma condicionaba la categorización de una entidad como “</w:t>
      </w:r>
      <w:r>
        <w:rPr>
          <w:rFonts w:ascii="Arial Narrow" w:eastAsia="Arial Narrow" w:hAnsi="Arial Narrow" w:cs="Arial Narrow"/>
          <w:i/>
          <w:color w:val="000000"/>
          <w:sz w:val="24"/>
          <w:szCs w:val="24"/>
        </w:rPr>
        <w:t>sociedad de economía mixta</w:t>
      </w:r>
      <w:r>
        <w:rPr>
          <w:rFonts w:ascii="Arial Narrow" w:eastAsia="Arial Narrow" w:hAnsi="Arial Narrow" w:cs="Arial Narrow"/>
          <w:color w:val="000000"/>
          <w:sz w:val="24"/>
          <w:szCs w:val="24"/>
        </w:rPr>
        <w:t>” al hecho de que la participación estatal en la misma fuera igual o superior al 50% de su capital suscrito y pagado, aparte que fue declarado inexequible por la Corte Constitucional en la Sentencia C- 953 de 1999.</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ahí que, a partir de la publicación d</w:t>
      </w:r>
      <w:r>
        <w:rPr>
          <w:rFonts w:ascii="Arial Narrow" w:eastAsia="Arial Narrow" w:hAnsi="Arial Narrow" w:cs="Arial Narrow"/>
          <w:color w:val="000000"/>
          <w:sz w:val="24"/>
          <w:szCs w:val="24"/>
        </w:rPr>
        <w:t>e esta sentencia, se pueda entender que las sociedades de economía mixta son aquellas que crea o autoriza el legislador (en el orden nacional), las asambleas departamentales o los concejos municipales y distritales (en sus respectivos niveles) y cuyo capit</w:t>
      </w:r>
      <w:r>
        <w:rPr>
          <w:rFonts w:ascii="Arial Narrow" w:eastAsia="Arial Narrow" w:hAnsi="Arial Narrow" w:cs="Arial Narrow"/>
          <w:color w:val="000000"/>
          <w:sz w:val="24"/>
          <w:szCs w:val="24"/>
        </w:rPr>
        <w:t>al se compone de aportes (distintos de inversiones temporales de carácter financiero) efectuados tanto por particulares como por entidades públicas de cualquier tipo, independientemente del porcentaje o grado de participación que el Estado tenga en dicho c</w:t>
      </w:r>
      <w:r>
        <w:rPr>
          <w:rFonts w:ascii="Arial Narrow" w:eastAsia="Arial Narrow" w:hAnsi="Arial Narrow" w:cs="Arial Narrow"/>
          <w:color w:val="000000"/>
          <w:sz w:val="24"/>
          <w:szCs w:val="24"/>
        </w:rPr>
        <w:t>apital</w:t>
      </w:r>
      <w:r>
        <w:rPr>
          <w:rFonts w:ascii="Arial Narrow" w:eastAsia="Arial Narrow" w:hAnsi="Arial Narrow" w:cs="Arial Narrow"/>
          <w:color w:val="000000"/>
          <w:sz w:val="24"/>
          <w:szCs w:val="24"/>
          <w:vertAlign w:val="superscript"/>
        </w:rPr>
        <w:footnoteReference w:id="10"/>
      </w:r>
      <w:r>
        <w:rPr>
          <w:rFonts w:ascii="Arial Narrow" w:eastAsia="Arial Narrow" w:hAnsi="Arial Narrow" w:cs="Arial Narrow"/>
          <w:color w:val="000000"/>
          <w:sz w:val="24"/>
          <w:szCs w:val="24"/>
        </w:rPr>
        <w:t>.</w:t>
      </w:r>
    </w:p>
    <w:p w:rsidR="00367C96" w:rsidRDefault="00367C96">
      <w:pPr>
        <w:jc w:val="both"/>
        <w:rPr>
          <w:rFonts w:ascii="Arial Narrow" w:eastAsia="Arial Narrow" w:hAnsi="Arial Narrow" w:cs="Arial Narrow"/>
          <w:color w:val="000000"/>
          <w:sz w:val="24"/>
          <w:szCs w:val="24"/>
        </w:rPr>
      </w:pPr>
    </w:p>
    <w:p w:rsidR="00367C96" w:rsidRDefault="009B187E">
      <w:pPr>
        <w:widowControl/>
        <w:spacing w:after="16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Creación: </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cuanto a la creación, varios artículos de la Ley 489 reiteran que se requiere autorización de la ley, de las ordenanzas o de los acuerdos municipales o distritales, según el caso (artículos 49, 50, 69, 97 y 98), y el parágrafo del a</w:t>
      </w:r>
      <w:r>
        <w:rPr>
          <w:rFonts w:ascii="Arial Narrow" w:eastAsia="Arial Narrow" w:hAnsi="Arial Narrow" w:cs="Arial Narrow"/>
          <w:color w:val="000000"/>
          <w:sz w:val="24"/>
          <w:szCs w:val="24"/>
        </w:rPr>
        <w:t>rtículo 49 precisa que las entidades descentralizadas indirectas y las filiales de las empresas industriales y comerciales del Estado y de las sociedades de economía mixta, “</w:t>
      </w:r>
      <w:r>
        <w:rPr>
          <w:rFonts w:ascii="Arial Narrow" w:eastAsia="Arial Narrow" w:hAnsi="Arial Narrow" w:cs="Arial Narrow"/>
          <w:i/>
          <w:color w:val="000000"/>
          <w:sz w:val="24"/>
          <w:szCs w:val="24"/>
        </w:rPr>
        <w:t>se constituirán con arreglo a las disposiciones de la presente ley, y en todo caso</w:t>
      </w:r>
      <w:r>
        <w:rPr>
          <w:rFonts w:ascii="Arial Narrow" w:eastAsia="Arial Narrow" w:hAnsi="Arial Narrow" w:cs="Arial Narrow"/>
          <w:i/>
          <w:color w:val="000000"/>
          <w:sz w:val="24"/>
          <w:szCs w:val="24"/>
        </w:rPr>
        <w:t xml:space="preserve"> previa autorización del Gobierno Nacional si se tratare </w:t>
      </w:r>
      <w:r>
        <w:rPr>
          <w:rFonts w:ascii="Arial Narrow" w:eastAsia="Arial Narrow" w:hAnsi="Arial Narrow" w:cs="Arial Narrow"/>
          <w:i/>
          <w:color w:val="000000"/>
          <w:sz w:val="24"/>
          <w:szCs w:val="24"/>
        </w:rPr>
        <w:lastRenderedPageBreak/>
        <w:t>de entidades de ese orden</w:t>
      </w: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vertAlign w:val="superscript"/>
        </w:rPr>
        <w:footnoteReference w:id="11"/>
      </w:r>
      <w:r>
        <w:rPr>
          <w:rFonts w:ascii="Arial Narrow" w:eastAsia="Arial Narrow" w:hAnsi="Arial Narrow" w:cs="Arial Narrow"/>
          <w:color w:val="000000"/>
          <w:sz w:val="24"/>
          <w:szCs w:val="24"/>
        </w:rPr>
        <w:t xml:space="preserve">. </w:t>
      </w:r>
    </w:p>
    <w:p w:rsidR="00367C96" w:rsidRDefault="00367C96">
      <w:pPr>
        <w:jc w:val="both"/>
        <w:rPr>
          <w:rFonts w:ascii="Arial Narrow" w:eastAsia="Arial Narrow" w:hAnsi="Arial Narrow" w:cs="Arial Narrow"/>
          <w:color w:val="000000"/>
          <w:sz w:val="24"/>
          <w:szCs w:val="24"/>
        </w:rPr>
      </w:pPr>
    </w:p>
    <w:p w:rsidR="00367C96" w:rsidRDefault="009B187E">
      <w:pPr>
        <w:widowControl/>
        <w:spacing w:after="16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Administración: </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Respecto de su ubicación en la administración pública, además de lo dispuesto en las normas constitucionales antes citadas, los artículos 38 y 68 d</w:t>
      </w:r>
      <w:r>
        <w:rPr>
          <w:rFonts w:ascii="Arial Narrow" w:eastAsia="Arial Narrow" w:hAnsi="Arial Narrow" w:cs="Arial Narrow"/>
          <w:color w:val="000000"/>
          <w:sz w:val="24"/>
          <w:szCs w:val="24"/>
        </w:rPr>
        <w:t>e la Ley 489 de 1998 disponen que las sociedades de economía mixta forman parte de la rama ejecutiva del poder público, más exactamente en el sector descentralizado por servicios. Por su parte, el artículo 98 establece que el acto de constitución de esta c</w:t>
      </w:r>
      <w:r>
        <w:rPr>
          <w:rFonts w:ascii="Arial Narrow" w:eastAsia="Arial Narrow" w:hAnsi="Arial Narrow" w:cs="Arial Narrow"/>
          <w:color w:val="000000"/>
          <w:sz w:val="24"/>
          <w:szCs w:val="24"/>
        </w:rPr>
        <w:t>lase de entidades debe indicar, entre otros puntos, el carácter nacional, departamental, distrital o municipal de la sociedad, así como su vinculación a un determinado organismo, para efectos del control administrativo por parte del sector central. En el m</w:t>
      </w:r>
      <w:r>
        <w:rPr>
          <w:rFonts w:ascii="Arial Narrow" w:eastAsia="Arial Narrow" w:hAnsi="Arial Narrow" w:cs="Arial Narrow"/>
          <w:color w:val="000000"/>
          <w:sz w:val="24"/>
          <w:szCs w:val="24"/>
        </w:rPr>
        <w:t>ismo sentido el artículo 50 de la citada ley especifica que dichas sociedades estarán vinculadas a ministerios y departamentos administrativos</w:t>
      </w:r>
      <w:r>
        <w:rPr>
          <w:rFonts w:ascii="Arial Narrow" w:eastAsia="Arial Narrow" w:hAnsi="Arial Narrow" w:cs="Arial Narrow"/>
          <w:color w:val="000000"/>
          <w:sz w:val="24"/>
          <w:szCs w:val="24"/>
          <w:vertAlign w:val="superscript"/>
        </w:rPr>
        <w:footnoteReference w:id="12"/>
      </w:r>
      <w:r>
        <w:rPr>
          <w:rFonts w:ascii="Arial Narrow" w:eastAsia="Arial Narrow" w:hAnsi="Arial Narrow" w:cs="Arial Narrow"/>
          <w:color w:val="000000"/>
          <w:sz w:val="24"/>
          <w:szCs w:val="24"/>
        </w:rPr>
        <w:t xml:space="preserve">. </w:t>
      </w:r>
    </w:p>
    <w:p w:rsidR="00367C96" w:rsidRDefault="00367C96">
      <w:pPr>
        <w:jc w:val="both"/>
        <w:rPr>
          <w:rFonts w:ascii="Arial Narrow" w:eastAsia="Arial Narrow" w:hAnsi="Arial Narrow" w:cs="Arial Narrow"/>
          <w:color w:val="000000"/>
          <w:sz w:val="24"/>
          <w:szCs w:val="24"/>
        </w:rPr>
      </w:pPr>
    </w:p>
    <w:p w:rsidR="00367C96" w:rsidRDefault="009B187E">
      <w:pPr>
        <w:widowControl/>
        <w:spacing w:after="16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Régimen legal: </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relación con el régimen legal aplicable a la organización y funcionamiento de estas socied</w:t>
      </w:r>
      <w:r>
        <w:rPr>
          <w:rFonts w:ascii="Arial Narrow" w:eastAsia="Arial Narrow" w:hAnsi="Arial Narrow" w:cs="Arial Narrow"/>
          <w:color w:val="000000"/>
          <w:sz w:val="24"/>
          <w:szCs w:val="24"/>
        </w:rPr>
        <w:t>ades, el artículo 97 de la Ley 489 las somete al derecho privado como regla general, y el inciso final del artículo 85 preceptúa que a las empresas industriales y comerciales del Estado y a las sociedades de economía mixta les serán aplicables, en lo perti</w:t>
      </w:r>
      <w:r>
        <w:rPr>
          <w:rFonts w:ascii="Arial Narrow" w:eastAsia="Arial Narrow" w:hAnsi="Arial Narrow" w:cs="Arial Narrow"/>
          <w:color w:val="000000"/>
          <w:sz w:val="24"/>
          <w:szCs w:val="24"/>
        </w:rPr>
        <w:t xml:space="preserve">nente, los artículos 19, numerales 2º, 4º, 5º, 6º, 12º, 13º y 17º; 27, numerales 2º, 3º, 4º, 5º y 7º, y 183 de la Ley 142 de 1994, es decir, si estas son empresas de servicios públicos domiciliarios.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esa línea, el parágrafo primero del artículo 38 de </w:t>
      </w:r>
      <w:r>
        <w:rPr>
          <w:rFonts w:ascii="Arial Narrow" w:eastAsia="Arial Narrow" w:hAnsi="Arial Narrow" w:cs="Arial Narrow"/>
          <w:color w:val="000000"/>
          <w:sz w:val="24"/>
          <w:szCs w:val="24"/>
        </w:rPr>
        <w:t>la Ley 489 estatuye que las sociedades de economía mixta en las que el Estado posea una participación igual o superior al 90% del capital se sujetarán al régimen previsto para las empresas industriales y comerciales del Estado. En similar sentido el parágr</w:t>
      </w:r>
      <w:r>
        <w:rPr>
          <w:rFonts w:ascii="Arial Narrow" w:eastAsia="Arial Narrow" w:hAnsi="Arial Narrow" w:cs="Arial Narrow"/>
          <w:color w:val="000000"/>
          <w:sz w:val="24"/>
          <w:szCs w:val="24"/>
        </w:rPr>
        <w:t xml:space="preserve">afo del artículo 97 se refiere al régimen “de las actividades y de los servidores” de estas entidades. </w:t>
      </w:r>
    </w:p>
    <w:p w:rsidR="00367C96" w:rsidRDefault="00367C96">
      <w:pPr>
        <w:jc w:val="both"/>
        <w:rPr>
          <w:rFonts w:ascii="Arial Narrow" w:eastAsia="Arial Narrow" w:hAnsi="Arial Narrow" w:cs="Arial Narrow"/>
          <w:color w:val="000000"/>
          <w:sz w:val="24"/>
          <w:szCs w:val="24"/>
        </w:rPr>
      </w:pPr>
    </w:p>
    <w:p w:rsidR="00367C96" w:rsidRDefault="009B187E">
      <w:pPr>
        <w:widowControl/>
        <w:spacing w:after="160"/>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Régimen contractual: </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lo que concierne a la contratación es necesario recordar que el artículo 2º de la Ley 80 de 1993 incluyó en la definición de “</w:t>
      </w:r>
      <w:r>
        <w:rPr>
          <w:rFonts w:ascii="Arial Narrow" w:eastAsia="Arial Narrow" w:hAnsi="Arial Narrow" w:cs="Arial Narrow"/>
          <w:color w:val="000000"/>
          <w:sz w:val="24"/>
          <w:szCs w:val="24"/>
        </w:rPr>
        <w:t>entidades estatales”, que están sometidas a las normas de dicho estatuto, a las sociedades de economía mixta “</w:t>
      </w:r>
      <w:r>
        <w:rPr>
          <w:rFonts w:ascii="Arial Narrow" w:eastAsia="Arial Narrow" w:hAnsi="Arial Narrow" w:cs="Arial Narrow"/>
          <w:i/>
          <w:color w:val="000000"/>
          <w:sz w:val="24"/>
          <w:szCs w:val="24"/>
        </w:rPr>
        <w:t>en las que el Estado tenga participación superior al cincuenta por ciento (50%)</w:t>
      </w:r>
      <w:r>
        <w:rPr>
          <w:rFonts w:ascii="Arial Narrow" w:eastAsia="Arial Narrow" w:hAnsi="Arial Narrow" w:cs="Arial Narrow"/>
          <w:color w:val="000000"/>
          <w:sz w:val="24"/>
          <w:szCs w:val="24"/>
        </w:rPr>
        <w:t>”, disposición que fue declarada exequible por la Corte Constitucio</w:t>
      </w:r>
      <w:r>
        <w:rPr>
          <w:rFonts w:ascii="Arial Narrow" w:eastAsia="Arial Narrow" w:hAnsi="Arial Narrow" w:cs="Arial Narrow"/>
          <w:color w:val="000000"/>
          <w:sz w:val="24"/>
          <w:szCs w:val="24"/>
        </w:rPr>
        <w:t>nal en la Sentencia C-629 de 2003.</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Sin embargo, el artículo 14 de la Ley 1150 de 2007, modificado por el 93 de la Ley 1474 de 2011, dispuso que “…</w:t>
      </w:r>
      <w:r>
        <w:rPr>
          <w:rFonts w:ascii="Arial Narrow" w:eastAsia="Arial Narrow" w:hAnsi="Arial Narrow" w:cs="Arial Narrow"/>
          <w:i/>
          <w:color w:val="000000"/>
          <w:sz w:val="24"/>
          <w:szCs w:val="24"/>
        </w:rPr>
        <w:t>las Sociedades de Economía Mixta en las que el Estado tenga participación superior al cincuenta por ciento (50%), sus filiales y las Sociedades entre Entidades Públicas con participación mayoritaria del Estado superior al cincuenta por ciento (50%), estará</w:t>
      </w:r>
      <w:r>
        <w:rPr>
          <w:rFonts w:ascii="Arial Narrow" w:eastAsia="Arial Narrow" w:hAnsi="Arial Narrow" w:cs="Arial Narrow"/>
          <w:i/>
          <w:color w:val="000000"/>
          <w:sz w:val="24"/>
          <w:szCs w:val="24"/>
        </w:rPr>
        <w:t xml:space="preserve">n sometidas al Estatuto General de Contratación de la Administración Pública, con excepción de aquellas que desarrollen actividades comerciales en competencia con el sector privado y/o  público, nacional o internacional o en mercados regulados, caso en el </w:t>
      </w:r>
      <w:r>
        <w:rPr>
          <w:rFonts w:ascii="Arial Narrow" w:eastAsia="Arial Narrow" w:hAnsi="Arial Narrow" w:cs="Arial Narrow"/>
          <w:i/>
          <w:color w:val="000000"/>
          <w:sz w:val="24"/>
          <w:szCs w:val="24"/>
        </w:rPr>
        <w:t>cual se regirán por las disposiciones legales y reglamentarias aplicables a sus actividades económicas y comerciales, sin perjuicio de lo previsto en el artículo 13 de la presente ley</w:t>
      </w:r>
      <w:r>
        <w:rPr>
          <w:rFonts w:ascii="Arial Narrow" w:eastAsia="Arial Narrow" w:hAnsi="Arial Narrow" w:cs="Arial Narrow"/>
          <w:color w:val="000000"/>
          <w:sz w:val="24"/>
          <w:szCs w:val="24"/>
        </w:rPr>
        <w:t>”. El citado artículo 13 preceptúa que las entidades del Estado que cuent</w:t>
      </w:r>
      <w:r>
        <w:rPr>
          <w:rFonts w:ascii="Arial Narrow" w:eastAsia="Arial Narrow" w:hAnsi="Arial Narrow" w:cs="Arial Narrow"/>
          <w:color w:val="000000"/>
          <w:sz w:val="24"/>
          <w:szCs w:val="24"/>
        </w:rPr>
        <w:t>en con un régimen contractual distinto al Estatuto General de Contratación de la Administración Pública, deberán aplicar, en todo caso, los principios de la función administrativa y de la gestión fiscal consagrados en los artículos 209 y 267 de la Constitu</w:t>
      </w:r>
      <w:r>
        <w:rPr>
          <w:rFonts w:ascii="Arial Narrow" w:eastAsia="Arial Narrow" w:hAnsi="Arial Narrow" w:cs="Arial Narrow"/>
          <w:color w:val="000000"/>
          <w:sz w:val="24"/>
          <w:szCs w:val="24"/>
        </w:rPr>
        <w:t xml:space="preserve">ción, según el caso, </w:t>
      </w:r>
      <w:r>
        <w:rPr>
          <w:rFonts w:ascii="Arial Narrow" w:eastAsia="Arial Narrow" w:hAnsi="Arial Narrow" w:cs="Arial Narrow"/>
          <w:color w:val="000000"/>
          <w:sz w:val="24"/>
          <w:szCs w:val="24"/>
        </w:rPr>
        <w:lastRenderedPageBreak/>
        <w:t xml:space="preserve">y estarán sometidas al régimen de inhabilidades e incompatibilidades previsto legalmente para la contratación estatal.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Características de las sociedades de economía mixta: </w:t>
      </w:r>
    </w:p>
    <w:p w:rsidR="00367C96" w:rsidRDefault="00367C96">
      <w:pPr>
        <w:jc w:val="both"/>
        <w:rPr>
          <w:rFonts w:ascii="Arial Narrow" w:eastAsia="Arial Narrow" w:hAnsi="Arial Narrow" w:cs="Arial Narrow"/>
          <w:b/>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 Su creación debe ser ordenada o autorizada por la ley, </w:t>
      </w:r>
      <w:r>
        <w:rPr>
          <w:rFonts w:ascii="Arial Narrow" w:eastAsia="Arial Narrow" w:hAnsi="Arial Narrow" w:cs="Arial Narrow"/>
          <w:color w:val="000000"/>
          <w:sz w:val="24"/>
          <w:szCs w:val="24"/>
        </w:rPr>
        <w:t>cuando se trate de sociedades del orden nacional, o por las ordenanzas departamentales o los acuerdos municipales o distritales, en los casos de sociedades de estos niveles de la administración.</w:t>
      </w:r>
      <w:r>
        <w:rPr>
          <w:rFonts w:ascii="Arial Narrow" w:eastAsia="Arial Narrow" w:hAnsi="Arial Narrow" w:cs="Arial Narrow"/>
          <w:color w:val="000000"/>
          <w:sz w:val="24"/>
          <w:szCs w:val="24"/>
        </w:rPr>
        <w:br/>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(ii) Tienen por objeto la realización de actividades industr</w:t>
      </w:r>
      <w:r>
        <w:rPr>
          <w:rFonts w:ascii="Arial Narrow" w:eastAsia="Arial Narrow" w:hAnsi="Arial Narrow" w:cs="Arial Narrow"/>
          <w:color w:val="000000"/>
          <w:sz w:val="24"/>
          <w:szCs w:val="24"/>
        </w:rPr>
        <w:t xml:space="preserve">iales o comerciales. Por tal razón se trata de sociedades comerciales que deben constituirse mediante la celebración de un contrato de sociedad y el cumplimiento de los trámites y requisitos previstos en el Código de Comercio, según el tipo de sociedad de </w:t>
      </w:r>
      <w:r>
        <w:rPr>
          <w:rFonts w:ascii="Arial Narrow" w:eastAsia="Arial Narrow" w:hAnsi="Arial Narrow" w:cs="Arial Narrow"/>
          <w:color w:val="000000"/>
          <w:sz w:val="24"/>
          <w:szCs w:val="24"/>
        </w:rPr>
        <w:t xml:space="preserve">que se trate.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(iii) Su capital está conformado por aportes de particulares y de la Nación o de otras entidades públicas de cualquier clase, siempre que no se trate de meras inversiones financieras de carácter transitorio (o de tesorería).   </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br/>
        <w:t>(iv) Son en</w:t>
      </w:r>
      <w:r>
        <w:rPr>
          <w:rFonts w:ascii="Arial Narrow" w:eastAsia="Arial Narrow" w:hAnsi="Arial Narrow" w:cs="Arial Narrow"/>
          <w:color w:val="000000"/>
          <w:sz w:val="24"/>
          <w:szCs w:val="24"/>
        </w:rPr>
        <w:t xml:space="preserve">tidades descentralizadas por servicios, vinculadas a la Rama Ejecutiva del poder público en los órdenes nacional, departamental, distrital o municipal, motivo por el cual forman parte de la administración pública. </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br/>
        <w:t>(v) Están dotadas de personería jurídica</w:t>
      </w:r>
      <w:r>
        <w:rPr>
          <w:rFonts w:ascii="Arial Narrow" w:eastAsia="Arial Narrow" w:hAnsi="Arial Narrow" w:cs="Arial Narrow"/>
          <w:color w:val="000000"/>
          <w:sz w:val="24"/>
          <w:szCs w:val="24"/>
        </w:rPr>
        <w:t xml:space="preserve">, patrimonio propio y autonomía administrativa y financiera, por lo cual sus activos y rentas no forman parte del presupuesto general de la Nación. Sin perjuicio de lo anterior, sus excedentes o utilidades constituyen “recursos de capital” para la Nación, </w:t>
      </w:r>
      <w:r>
        <w:rPr>
          <w:rFonts w:ascii="Arial Narrow" w:eastAsia="Arial Narrow" w:hAnsi="Arial Narrow" w:cs="Arial Narrow"/>
          <w:color w:val="000000"/>
          <w:sz w:val="24"/>
          <w:szCs w:val="24"/>
        </w:rPr>
        <w:t xml:space="preserve">en la proporción que corresponda a esta dentro del capital de dichas compañías. </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br/>
        <w:t xml:space="preserve">(vi) Deben estar vinculadas a un ministerio o departamento administrativo (en el orden nacional). </w:t>
      </w:r>
      <w:r>
        <w:rPr>
          <w:rFonts w:ascii="Arial Narrow" w:eastAsia="Arial Narrow" w:hAnsi="Arial Narrow" w:cs="Arial Narrow"/>
          <w:color w:val="000000"/>
          <w:sz w:val="24"/>
          <w:szCs w:val="24"/>
        </w:rPr>
        <w:br/>
      </w:r>
      <w:r>
        <w:rPr>
          <w:rFonts w:ascii="Arial Narrow" w:eastAsia="Arial Narrow" w:hAnsi="Arial Narrow" w:cs="Arial Narrow"/>
          <w:color w:val="000000"/>
          <w:sz w:val="24"/>
          <w:szCs w:val="24"/>
        </w:rPr>
        <w:br/>
      </w:r>
      <w:r>
        <w:rPr>
          <w:rFonts w:ascii="Arial Narrow" w:eastAsia="Arial Narrow" w:hAnsi="Arial Narrow" w:cs="Arial Narrow"/>
          <w:color w:val="000000"/>
          <w:sz w:val="24"/>
          <w:szCs w:val="24"/>
        </w:rPr>
        <w:t>(vii) En su organización, funcionamiento y actividad están sometidas al derecho privado, con excepción de aquellos aspectos a los cuales se apliquen principios y reglas de derecho público, por disponerlo así expresamente la Constitución o la ley. Adicional</w:t>
      </w:r>
      <w:r>
        <w:rPr>
          <w:rFonts w:ascii="Arial Narrow" w:eastAsia="Arial Narrow" w:hAnsi="Arial Narrow" w:cs="Arial Narrow"/>
          <w:color w:val="000000"/>
          <w:sz w:val="24"/>
          <w:szCs w:val="24"/>
        </w:rPr>
        <w:t xml:space="preserve">mente, aquellas sociedades que tengan una participación estatal igual o superior al 90% están sometidas al mismo régimen de las empresas industriales y comerciales del Estado.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Bajo lo anterior, es claro y admisible que los organismos comunales celebren s</w:t>
      </w:r>
      <w:r>
        <w:rPr>
          <w:rFonts w:ascii="Arial Narrow" w:eastAsia="Arial Narrow" w:hAnsi="Arial Narrow" w:cs="Arial Narrow"/>
          <w:color w:val="000000"/>
          <w:sz w:val="24"/>
          <w:szCs w:val="24"/>
        </w:rPr>
        <w:t>ociedades de economía mixta con la nación, municipios y departamentos si los respectivos acuerdos u ordenanzas lo autorizan.</w:t>
      </w:r>
    </w:p>
    <w:p w:rsidR="00367C96" w:rsidRDefault="00367C96">
      <w:pPr>
        <w:jc w:val="both"/>
        <w:rPr>
          <w:rFonts w:ascii="Arial Narrow" w:eastAsia="Arial Narrow" w:hAnsi="Arial Narrow" w:cs="Arial Narrow"/>
          <w:color w:val="000000"/>
          <w:sz w:val="24"/>
          <w:szCs w:val="24"/>
        </w:rPr>
      </w:pPr>
    </w:p>
    <w:p w:rsidR="00367C96" w:rsidRDefault="009B187E">
      <w:pPr>
        <w:numPr>
          <w:ilvl w:val="1"/>
          <w:numId w:val="3"/>
        </w:numPr>
        <w:pBdr>
          <w:top w:val="nil"/>
          <w:left w:val="nil"/>
          <w:bottom w:val="nil"/>
          <w:right w:val="nil"/>
          <w:between w:val="nil"/>
        </w:pBdr>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Los organismos comunales como instrumentos para la satisfacción de necesidades y superación de la probreza.</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esto se suma el hec</w:t>
      </w:r>
      <w:r>
        <w:rPr>
          <w:rFonts w:ascii="Arial Narrow" w:eastAsia="Arial Narrow" w:hAnsi="Arial Narrow" w:cs="Arial Narrow"/>
          <w:color w:val="000000"/>
          <w:sz w:val="24"/>
          <w:szCs w:val="24"/>
        </w:rPr>
        <w:t>ho de que, si los organismos comunales que agrupan campesinos o sectores populares urbanos pueden ser socios del Estado y contar con capital estatal, departamental o municipal, ello contribuirá a la satisfacción de necesidades y a la superación de la pobre</w:t>
      </w:r>
      <w:r>
        <w:rPr>
          <w:rFonts w:ascii="Arial Narrow" w:eastAsia="Arial Narrow" w:hAnsi="Arial Narrow" w:cs="Arial Narrow"/>
          <w:color w:val="000000"/>
          <w:sz w:val="24"/>
          <w:szCs w:val="24"/>
        </w:rPr>
        <w:t>za rural y urbana en el país.</w:t>
      </w:r>
    </w:p>
    <w:p w:rsidR="00367C96" w:rsidRDefault="00367C96">
      <w:pPr>
        <w:rPr>
          <w:rFonts w:ascii="Arial Narrow" w:eastAsia="Arial Narrow" w:hAnsi="Arial Narrow" w:cs="Arial Narrow"/>
          <w:b/>
          <w:color w:val="000000"/>
          <w:sz w:val="24"/>
          <w:szCs w:val="24"/>
        </w:rPr>
      </w:pPr>
    </w:p>
    <w:p w:rsidR="00367C96" w:rsidRDefault="009B187E">
      <w:pPr>
        <w:widowControl/>
        <w:pBdr>
          <w:top w:val="nil"/>
          <w:left w:val="nil"/>
          <w:bottom w:val="nil"/>
          <w:right w:val="nil"/>
          <w:between w:val="nil"/>
        </w:pBdr>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lastRenderedPageBreak/>
        <w:t>En este punto vale traer a colación una breve referencia de las complejas condiciones existentes en la ruralidad colombiana, a fin de comprender el impacto positivo del proyecto en las condiciones de vulnerabilidad existentes</w:t>
      </w:r>
      <w:r>
        <w:rPr>
          <w:rFonts w:ascii="Arial Narrow" w:eastAsia="Arial Narrow" w:hAnsi="Arial Narrow" w:cs="Arial Narrow"/>
          <w:color w:val="000000"/>
          <w:sz w:val="24"/>
          <w:szCs w:val="24"/>
        </w:rPr>
        <w:t>.</w:t>
      </w:r>
    </w:p>
    <w:p w:rsidR="00367C96" w:rsidRDefault="00367C96">
      <w:pPr>
        <w:pBdr>
          <w:top w:val="nil"/>
          <w:left w:val="nil"/>
          <w:bottom w:val="nil"/>
          <w:right w:val="nil"/>
          <w:between w:val="nil"/>
        </w:pBdr>
        <w:rPr>
          <w:rFonts w:ascii="Arial Narrow" w:eastAsia="Arial Narrow" w:hAnsi="Arial Narrow" w:cs="Arial Narrow"/>
          <w:b/>
          <w:color w:val="000000"/>
          <w:sz w:val="24"/>
          <w:szCs w:val="24"/>
        </w:rPr>
      </w:pPr>
    </w:p>
    <w:p w:rsidR="00367C96" w:rsidRDefault="009B187E">
      <w:pPr>
        <w:widowControl/>
        <w:pBdr>
          <w:top w:val="nil"/>
          <w:left w:val="nil"/>
          <w:bottom w:val="nil"/>
          <w:right w:val="nil"/>
          <w:between w:val="nil"/>
        </w:pBdr>
        <w:spacing w:after="16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La pobreza monetaria:</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Según las cifras más recientes del DANE, entre 2018 y 2022 ha habido un fuerte incremento de la pobreza monetaria en Colombia. A diciembre de 2021 se registró que 19.621.000 personas (39,3 % de la población) vivían con menos de 11.801 pesos al día, y 6.111</w:t>
      </w:r>
      <w:r>
        <w:rPr>
          <w:rFonts w:ascii="Arial Narrow" w:eastAsia="Arial Narrow" w:hAnsi="Arial Narrow" w:cs="Arial Narrow"/>
          <w:color w:val="000000"/>
          <w:sz w:val="24"/>
          <w:szCs w:val="24"/>
        </w:rPr>
        <w:t>.000 personas (12,2 %) con menos de 5.730 pesos.</w:t>
      </w:r>
      <w:r>
        <w:rPr>
          <w:rFonts w:ascii="Arial Narrow" w:eastAsia="Arial Narrow" w:hAnsi="Arial Narrow" w:cs="Arial Narrow"/>
          <w:color w:val="000000"/>
          <w:sz w:val="24"/>
          <w:szCs w:val="24"/>
          <w:vertAlign w:val="superscript"/>
        </w:rPr>
        <w:footnoteReference w:id="13"/>
      </w:r>
    </w:p>
    <w:p w:rsidR="00367C96" w:rsidRDefault="009B187E">
      <w:pPr>
        <w:jc w:val="center"/>
        <w:rPr>
          <w:rFonts w:ascii="Arial Narrow" w:eastAsia="Arial Narrow" w:hAnsi="Arial Narrow" w:cs="Arial Narrow"/>
          <w:color w:val="000000"/>
          <w:sz w:val="24"/>
          <w:szCs w:val="24"/>
        </w:rPr>
      </w:pPr>
      <w:r>
        <w:rPr>
          <w:rFonts w:ascii="Arial Narrow" w:eastAsia="Arial Narrow" w:hAnsi="Arial Narrow" w:cs="Arial Narrow"/>
          <w:noProof/>
          <w:color w:val="000000"/>
          <w:sz w:val="24"/>
          <w:szCs w:val="24"/>
          <w:lang w:val="es-CO"/>
        </w:rPr>
        <w:drawing>
          <wp:inline distT="114300" distB="114300" distL="114300" distR="114300">
            <wp:extent cx="4572000" cy="3162300"/>
            <wp:effectExtent l="0" t="0" r="0" b="0"/>
            <wp:docPr id="16" name="image7.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Gráfico, Gráfico de líneas&#10;&#10;Descripción generada automáticamente"/>
                    <pic:cNvPicPr preferRelativeResize="0"/>
                  </pic:nvPicPr>
                  <pic:blipFill>
                    <a:blip r:embed="rId8"/>
                    <a:srcRect/>
                    <a:stretch>
                      <a:fillRect/>
                    </a:stretch>
                  </pic:blipFill>
                  <pic:spPr>
                    <a:xfrm>
                      <a:off x="0" y="0"/>
                      <a:ext cx="4572000" cy="3162300"/>
                    </a:xfrm>
                    <a:prstGeom prst="rect">
                      <a:avLst/>
                    </a:prstGeom>
                    <a:ln/>
                  </pic:spPr>
                </pic:pic>
              </a:graphicData>
            </a:graphic>
          </wp:inline>
        </w:drawing>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Al observar estos datos se evidencia que el 31% de las personas se encontraba en vulnerabilidad monetaria, es decir, que viven con un ingreso diario muy cercano a la línea de pobreza, entre $11.801 y $23.</w:t>
      </w:r>
      <w:r>
        <w:rPr>
          <w:rFonts w:ascii="Arial Narrow" w:eastAsia="Arial Narrow" w:hAnsi="Arial Narrow" w:cs="Arial Narrow"/>
          <w:color w:val="000000"/>
          <w:sz w:val="24"/>
          <w:szCs w:val="24"/>
        </w:rPr>
        <w:t>017 al día.</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Específicamente, se ha establecido que existe una profunda desigualdad en las regiones, en cuyas cabeceras municipales el porcentaje de personas en situación de pobreza es del 37,8 %, mientras en los centros poblados y rurales dispersos es del</w:t>
      </w:r>
      <w:r>
        <w:rPr>
          <w:rFonts w:ascii="Arial Narrow" w:eastAsia="Arial Narrow" w:hAnsi="Arial Narrow" w:cs="Arial Narrow"/>
          <w:color w:val="000000"/>
          <w:sz w:val="24"/>
          <w:szCs w:val="24"/>
        </w:rPr>
        <w:t xml:space="preserve"> 44,6 %. En pobreza extrema estos valores son el 10,3% y 18,8%, respectivamente.</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Según el Plan Nacional de Desarrollo 2018-2022, la meta fue reducir la pobreza monetaria en 2,9 millones de personas y en 1,5 millones de personas en pobreza extrema</w:t>
      </w:r>
      <w:r>
        <w:rPr>
          <w:rFonts w:ascii="Arial Narrow" w:eastAsia="Arial Narrow" w:hAnsi="Arial Narrow" w:cs="Arial Narrow"/>
          <w:color w:val="000000"/>
          <w:sz w:val="24"/>
          <w:szCs w:val="24"/>
          <w:vertAlign w:val="superscript"/>
        </w:rPr>
        <w:footnoteReference w:id="14"/>
      </w:r>
      <w:r>
        <w:rPr>
          <w:rFonts w:ascii="Arial Narrow" w:eastAsia="Arial Narrow" w:hAnsi="Arial Narrow" w:cs="Arial Narrow"/>
          <w:color w:val="000000"/>
          <w:sz w:val="24"/>
          <w:szCs w:val="24"/>
        </w:rPr>
        <w:t>. Infortunadamente, en ese periodo, y con la irrupción de la pandemia por COVID-19 en 2020, 2.813.000 entraron personas en pobreza monetaria y 2.151.000 personas en pobreza extrema</w:t>
      </w:r>
      <w:r>
        <w:rPr>
          <w:rFonts w:ascii="Arial Narrow" w:eastAsia="Arial Narrow" w:hAnsi="Arial Narrow" w:cs="Arial Narrow"/>
          <w:color w:val="000000"/>
          <w:sz w:val="24"/>
          <w:szCs w:val="24"/>
          <w:vertAlign w:val="superscript"/>
        </w:rPr>
        <w:footnoteReference w:id="15"/>
      </w:r>
      <w:r>
        <w:rPr>
          <w:rFonts w:ascii="Arial Narrow" w:eastAsia="Arial Narrow" w:hAnsi="Arial Narrow" w:cs="Arial Narrow"/>
          <w:color w:val="000000"/>
          <w:sz w:val="24"/>
          <w:szCs w:val="24"/>
        </w:rPr>
        <w:t xml:space="preserve">.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 anterior significa que, con respecto a las metas gubernamentales, en</w:t>
      </w:r>
      <w:r>
        <w:rPr>
          <w:rFonts w:ascii="Arial Narrow" w:eastAsia="Arial Narrow" w:hAnsi="Arial Narrow" w:cs="Arial Narrow"/>
          <w:color w:val="000000"/>
          <w:sz w:val="24"/>
          <w:szCs w:val="24"/>
        </w:rPr>
        <w:t xml:space="preserve">tre 2018 y 2021 se habría agravado un desfase de 5,7 millones de personas en términos de pobreza monetaria y de 3,6 millones en pobreza </w:t>
      </w:r>
      <w:r>
        <w:rPr>
          <w:rFonts w:ascii="Arial Narrow" w:eastAsia="Arial Narrow" w:hAnsi="Arial Narrow" w:cs="Arial Narrow"/>
          <w:color w:val="000000"/>
          <w:sz w:val="24"/>
          <w:szCs w:val="24"/>
        </w:rPr>
        <w:lastRenderedPageBreak/>
        <w:t>extrema.</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Estos resultados guardan relación con lo reportado por la Encuesta de Calidad de Vida del DANE para 2021: el 3</w:t>
      </w:r>
      <w:r>
        <w:rPr>
          <w:rFonts w:ascii="Arial Narrow" w:eastAsia="Arial Narrow" w:hAnsi="Arial Narrow" w:cs="Arial Narrow"/>
          <w:color w:val="000000"/>
          <w:sz w:val="24"/>
          <w:szCs w:val="24"/>
        </w:rPr>
        <w:t xml:space="preserve">9,7 % en las cabeceras y hasta el 70,3 % en el campo. Con respecto a 2018, ello significó un aumento de la percepción de la pobreza para 2.575.000 hogares en todo el país: 1.823.0000 hogares en los municipios y 752.000 en la zona rural.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2021, en el to</w:t>
      </w:r>
      <w:r>
        <w:rPr>
          <w:rFonts w:ascii="Arial Narrow" w:eastAsia="Arial Narrow" w:hAnsi="Arial Narrow" w:cs="Arial Narrow"/>
          <w:color w:val="000000"/>
          <w:sz w:val="24"/>
          <w:szCs w:val="24"/>
        </w:rPr>
        <w:t xml:space="preserve">tal nacional el coeficiente de Gini fue 0.523. En 2020 este coeficiente fue de 0,544. A su vez, en 2021 el Gini en cabeceras municipales fue 0,510, y en 2020 fue 0,537. En los centros poblados y en las zonas rurales dispersas el Gini fue 0,455 para 2021 y </w:t>
      </w:r>
      <w:r>
        <w:rPr>
          <w:rFonts w:ascii="Arial Narrow" w:eastAsia="Arial Narrow" w:hAnsi="Arial Narrow" w:cs="Arial Narrow"/>
          <w:color w:val="000000"/>
          <w:sz w:val="24"/>
          <w:szCs w:val="24"/>
        </w:rPr>
        <w:t>de 0,456 para 2020</w:t>
      </w:r>
      <w:r>
        <w:rPr>
          <w:rFonts w:ascii="Arial Narrow" w:eastAsia="Arial Narrow" w:hAnsi="Arial Narrow" w:cs="Arial Narrow"/>
          <w:color w:val="000000"/>
          <w:sz w:val="24"/>
          <w:szCs w:val="24"/>
          <w:vertAlign w:val="superscript"/>
        </w:rPr>
        <w:footnoteReference w:id="16"/>
      </w:r>
      <w:r>
        <w:rPr>
          <w:rFonts w:ascii="Arial Narrow" w:eastAsia="Arial Narrow" w:hAnsi="Arial Narrow" w:cs="Arial Narrow"/>
          <w:color w:val="000000"/>
          <w:sz w:val="24"/>
          <w:szCs w:val="24"/>
        </w:rPr>
        <w:t>.</w:t>
      </w:r>
    </w:p>
    <w:p w:rsidR="00367C96" w:rsidRDefault="00367C96">
      <w:pPr>
        <w:jc w:val="both"/>
        <w:rPr>
          <w:rFonts w:ascii="Arial Narrow" w:eastAsia="Arial Narrow" w:hAnsi="Arial Narrow" w:cs="Arial Narrow"/>
          <w:color w:val="000000"/>
          <w:sz w:val="24"/>
          <w:szCs w:val="24"/>
        </w:rPr>
      </w:pPr>
    </w:p>
    <w:p w:rsidR="00367C96" w:rsidRDefault="009B187E">
      <w:pPr>
        <w:jc w:val="center"/>
        <w:rPr>
          <w:rFonts w:ascii="Arial Narrow" w:eastAsia="Arial Narrow" w:hAnsi="Arial Narrow" w:cs="Arial Narrow"/>
          <w:color w:val="000000"/>
          <w:sz w:val="24"/>
          <w:szCs w:val="24"/>
        </w:rPr>
      </w:pPr>
      <w:r>
        <w:rPr>
          <w:rFonts w:ascii="Arial Narrow" w:eastAsia="Arial Narrow" w:hAnsi="Arial Narrow" w:cs="Arial Narrow"/>
          <w:noProof/>
          <w:color w:val="000000"/>
          <w:sz w:val="24"/>
          <w:szCs w:val="24"/>
          <w:lang w:val="es-CO"/>
        </w:rPr>
        <w:drawing>
          <wp:inline distT="114300" distB="114300" distL="114300" distR="114300">
            <wp:extent cx="5181911" cy="2448072"/>
            <wp:effectExtent l="0" t="0" r="0" b="0"/>
            <wp:docPr id="17" name="image2.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líneas&#10;&#10;Descripción generada automáticamente"/>
                    <pic:cNvPicPr preferRelativeResize="0"/>
                  </pic:nvPicPr>
                  <pic:blipFill>
                    <a:blip r:embed="rId9"/>
                    <a:srcRect/>
                    <a:stretch>
                      <a:fillRect/>
                    </a:stretch>
                  </pic:blipFill>
                  <pic:spPr>
                    <a:xfrm>
                      <a:off x="0" y="0"/>
                      <a:ext cx="5181911" cy="2448072"/>
                    </a:xfrm>
                    <a:prstGeom prst="rect">
                      <a:avLst/>
                    </a:prstGeom>
                    <a:ln/>
                  </pic:spPr>
                </pic:pic>
              </a:graphicData>
            </a:graphic>
          </wp:inline>
        </w:drawing>
      </w:r>
    </w:p>
    <w:p w:rsidR="00367C96" w:rsidRDefault="00367C96">
      <w:pPr>
        <w:ind w:left="720"/>
        <w:jc w:val="both"/>
        <w:rPr>
          <w:rFonts w:ascii="Arial Narrow" w:eastAsia="Arial Narrow" w:hAnsi="Arial Narrow" w:cs="Arial Narrow"/>
          <w:color w:val="000000"/>
          <w:sz w:val="24"/>
          <w:szCs w:val="24"/>
        </w:rPr>
      </w:pPr>
    </w:p>
    <w:p w:rsidR="00367C96" w:rsidRDefault="009B187E">
      <w:pPr>
        <w:widowControl/>
        <w:pBdr>
          <w:top w:val="nil"/>
          <w:left w:val="nil"/>
          <w:bottom w:val="nil"/>
          <w:right w:val="nil"/>
          <w:between w:val="nil"/>
        </w:pBdr>
        <w:spacing w:after="16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Pobreza Multidimensional:</w:t>
      </w: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 nivel nacional, el 16,0% de la población en el país en 2021 se encontraba en situación de pobreza multidimensional</w:t>
      </w:r>
      <w:r>
        <w:rPr>
          <w:rFonts w:ascii="Arial Narrow" w:eastAsia="Arial Narrow" w:hAnsi="Arial Narrow" w:cs="Arial Narrow"/>
          <w:color w:val="000000"/>
          <w:sz w:val="24"/>
          <w:szCs w:val="24"/>
          <w:vertAlign w:val="superscript"/>
        </w:rPr>
        <w:footnoteReference w:id="17"/>
      </w:r>
      <w:r>
        <w:rPr>
          <w:rFonts w:ascii="Arial Narrow" w:eastAsia="Arial Narrow" w:hAnsi="Arial Narrow" w:cs="Arial Narrow"/>
          <w:color w:val="000000"/>
          <w:sz w:val="24"/>
          <w:szCs w:val="24"/>
        </w:rPr>
        <w:t>, lo que refleja una disminución de 2,1 puntos porcentuales con respecto a 2020 (18,1%).</w:t>
      </w:r>
      <w:r>
        <w:rPr>
          <w:rFonts w:ascii="Arial Narrow" w:eastAsia="Arial Narrow" w:hAnsi="Arial Narrow" w:cs="Arial Narrow"/>
          <w:color w:val="000000"/>
          <w:sz w:val="24"/>
          <w:szCs w:val="24"/>
        </w:rPr>
        <w:t xml:space="preserve"> En los principales dominios, la disminución de la incidencia de la pobreza multidimensional en las cabeceras del país fue de 1,0 punto porcentual, pasando de 12,5% en 2020 a 11,5% en 2021, y en los centros poblados y las zonas rurales dispersas la disminu</w:t>
      </w:r>
      <w:r>
        <w:rPr>
          <w:rFonts w:ascii="Arial Narrow" w:eastAsia="Arial Narrow" w:hAnsi="Arial Narrow" w:cs="Arial Narrow"/>
          <w:color w:val="000000"/>
          <w:sz w:val="24"/>
          <w:szCs w:val="24"/>
        </w:rPr>
        <w:t>ción fue de 6,0 puntos porcentuales (31,1% en 2021 frente a 37,1% en 2020). Las variaciones fueron estadísticamente significativas para los tres dominios.</w:t>
      </w:r>
      <w:r>
        <w:rPr>
          <w:rFonts w:ascii="Arial Narrow" w:eastAsia="Arial Narrow" w:hAnsi="Arial Narrow" w:cs="Arial Narrow"/>
          <w:color w:val="000000"/>
          <w:sz w:val="24"/>
          <w:szCs w:val="24"/>
          <w:vertAlign w:val="superscript"/>
        </w:rPr>
        <w:footnoteReference w:id="18"/>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región Antioquia registró una variación de -0,6 puntos porcentuales en la incidencia de la pobre</w:t>
      </w:r>
      <w:r>
        <w:rPr>
          <w:rFonts w:ascii="Arial Narrow" w:eastAsia="Arial Narrow" w:hAnsi="Arial Narrow" w:cs="Arial Narrow"/>
          <w:color w:val="000000"/>
          <w:sz w:val="24"/>
          <w:szCs w:val="24"/>
        </w:rPr>
        <w:t xml:space="preserve">za multidimensional, pasando de 14,9% en 2020 a 14,3% en 2021. Por otra parte, la región Pacífica (sin incluir Valle del Cauca) presentó una disminución de -8,2 puntos porcentuales, es decir, que en 2021 fue de 22,7% frente a un 30,9% en 2020, lo cual, se </w:t>
      </w:r>
      <w:r>
        <w:rPr>
          <w:rFonts w:ascii="Arial Narrow" w:eastAsia="Arial Narrow" w:hAnsi="Arial Narrow" w:cs="Arial Narrow"/>
          <w:color w:val="000000"/>
          <w:sz w:val="24"/>
          <w:szCs w:val="24"/>
        </w:rPr>
        <w:t>insiste es una variación estadísticamente significativa</w:t>
      </w:r>
      <w:r>
        <w:rPr>
          <w:rFonts w:ascii="Arial Narrow" w:eastAsia="Arial Narrow" w:hAnsi="Arial Narrow" w:cs="Arial Narrow"/>
          <w:color w:val="000000"/>
          <w:sz w:val="24"/>
          <w:szCs w:val="24"/>
          <w:vertAlign w:val="superscript"/>
        </w:rPr>
        <w:footnoteReference w:id="19"/>
      </w:r>
      <w:r>
        <w:rPr>
          <w:rFonts w:ascii="Arial Narrow" w:eastAsia="Arial Narrow" w:hAnsi="Arial Narrow" w:cs="Arial Narrow"/>
          <w:color w:val="000000"/>
          <w:sz w:val="24"/>
          <w:szCs w:val="24"/>
        </w:rPr>
        <w:t>.</w:t>
      </w:r>
    </w:p>
    <w:p w:rsidR="00367C96" w:rsidRDefault="00367C96">
      <w:pPr>
        <w:jc w:val="both"/>
        <w:rPr>
          <w:rFonts w:ascii="Arial Narrow" w:eastAsia="Arial Narrow" w:hAnsi="Arial Narrow" w:cs="Arial Narrow"/>
          <w:color w:val="000000"/>
          <w:sz w:val="24"/>
          <w:szCs w:val="24"/>
        </w:rPr>
      </w:pPr>
    </w:p>
    <w:p w:rsidR="00367C96" w:rsidRDefault="00367C96">
      <w:pPr>
        <w:jc w:val="center"/>
        <w:rPr>
          <w:rFonts w:ascii="Arial Narrow" w:eastAsia="Arial Narrow" w:hAnsi="Arial Narrow" w:cs="Arial Narrow"/>
          <w:color w:val="000000"/>
          <w:sz w:val="24"/>
          <w:szCs w:val="24"/>
        </w:rPr>
      </w:pP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indicadores que registraron aumentos en las privaciones de los hogares en Colombia en 2021 con respecto al año anterior fueron: Sin acceso a fuente de agua mejorada, con una variación 1,2 puntos porcentuales (p.p.), pasando de 9,7% en 2020 a 10,9% en 2</w:t>
      </w:r>
      <w:r>
        <w:rPr>
          <w:rFonts w:ascii="Arial Narrow" w:eastAsia="Arial Narrow" w:hAnsi="Arial Narrow" w:cs="Arial Narrow"/>
          <w:color w:val="000000"/>
          <w:sz w:val="24"/>
          <w:szCs w:val="24"/>
        </w:rPr>
        <w:t>021; barreras a servicios para cuidado de la primera infancia, con una variación de 0,4 p.p., pasando de 7,6% en 2020 a 8,0% en 2021, e inadecuada eliminación de excretas, con un aumento de 0,2 p.p., con cifras de 10,2% en 2020 frente a 10,4% en 2021</w:t>
      </w:r>
      <w:r>
        <w:rPr>
          <w:rFonts w:ascii="Arial Narrow" w:eastAsia="Arial Narrow" w:hAnsi="Arial Narrow" w:cs="Arial Narrow"/>
          <w:color w:val="000000"/>
          <w:sz w:val="24"/>
          <w:szCs w:val="24"/>
          <w:vertAlign w:val="superscript"/>
        </w:rPr>
        <w:footnoteReference w:id="20"/>
      </w:r>
      <w:r>
        <w:rPr>
          <w:rFonts w:ascii="Arial Narrow" w:eastAsia="Arial Narrow" w:hAnsi="Arial Narrow" w:cs="Arial Narrow"/>
          <w:color w:val="000000"/>
          <w:sz w:val="24"/>
          <w:szCs w:val="24"/>
        </w:rPr>
        <w:t>.</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w:t>
      </w:r>
      <w:r>
        <w:rPr>
          <w:rFonts w:ascii="Arial Narrow" w:eastAsia="Arial Narrow" w:hAnsi="Arial Narrow" w:cs="Arial Narrow"/>
          <w:color w:val="000000"/>
          <w:sz w:val="24"/>
          <w:szCs w:val="24"/>
        </w:rPr>
        <w:t>r otra parte, la mayor disminución se presentó en el indicador Inasistencia escolar, con una variación de -10,9 p.p., pasando de 16,4% en 2020 a 5,5% en 2021, y se presentaron también disminuciones en el indicador Bajo Logro Educativo, con una reducción de</w:t>
      </w:r>
      <w:r>
        <w:rPr>
          <w:rFonts w:ascii="Arial Narrow" w:eastAsia="Arial Narrow" w:hAnsi="Arial Narrow" w:cs="Arial Narrow"/>
          <w:color w:val="000000"/>
          <w:sz w:val="24"/>
          <w:szCs w:val="24"/>
        </w:rPr>
        <w:t xml:space="preserve"> -1,4 p.p., pasando de 42,2% en 2020 a 40,8% en 2021, y en el indicador Sin aseguramiento en salud, con una disminución de -0,7 p.p., pasando de 10,8% en 2020 a 10,1% en 2021</w:t>
      </w:r>
      <w:r>
        <w:rPr>
          <w:rFonts w:ascii="Arial Narrow" w:eastAsia="Arial Narrow" w:hAnsi="Arial Narrow" w:cs="Arial Narrow"/>
          <w:color w:val="000000"/>
          <w:sz w:val="24"/>
          <w:szCs w:val="24"/>
          <w:vertAlign w:val="superscript"/>
        </w:rPr>
        <w:footnoteReference w:id="21"/>
      </w:r>
      <w:r>
        <w:rPr>
          <w:rFonts w:ascii="Arial Narrow" w:eastAsia="Arial Narrow" w:hAnsi="Arial Narrow" w:cs="Arial Narrow"/>
          <w:color w:val="000000"/>
          <w:sz w:val="24"/>
          <w:szCs w:val="24"/>
        </w:rPr>
        <w:t xml:space="preserve">.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las cabeceras del país, los indicadores que presentaron las mayores reducc</w:t>
      </w:r>
      <w:r>
        <w:rPr>
          <w:rFonts w:ascii="Arial Narrow" w:eastAsia="Arial Narrow" w:hAnsi="Arial Narrow" w:cs="Arial Narrow"/>
          <w:color w:val="000000"/>
          <w:sz w:val="24"/>
          <w:szCs w:val="24"/>
        </w:rPr>
        <w:t xml:space="preserve">iones entre 2020 y 2021 fueron Inasistencia escolar y Rezago escolar con -7,4 puntos porcentuales (p.p.) y -1.4 p.p., respectivamente, pasando el primero de 12,4% a 5,0% y el segundo de 24,9% a 23,5%. </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Por otra parte, el porcentaje de hogares privados en </w:t>
      </w:r>
      <w:r>
        <w:rPr>
          <w:rFonts w:ascii="Arial Narrow" w:eastAsia="Arial Narrow" w:hAnsi="Arial Narrow" w:cs="Arial Narrow"/>
          <w:color w:val="000000"/>
          <w:sz w:val="24"/>
          <w:szCs w:val="24"/>
        </w:rPr>
        <w:t>los indicadores Barreras a servicios para cuidado de la primera infancia y Barreras de acceso a servicios de salud aumentaron 0,2 p.p. en los dos casos, pasando de 7,6% en 2020 a 7,8% en 2021 y de 2,1% en 2020 a 2,3% en 2021, respectivamente. En los centro</w:t>
      </w:r>
      <w:r>
        <w:rPr>
          <w:rFonts w:ascii="Arial Narrow" w:eastAsia="Arial Narrow" w:hAnsi="Arial Narrow" w:cs="Arial Narrow"/>
          <w:color w:val="000000"/>
          <w:sz w:val="24"/>
          <w:szCs w:val="24"/>
        </w:rPr>
        <w:t>s poblados y rural disperso, el porcentaje de hogares privados en Inasistencia escolar presentó una disminución de -22,9 p.p., pasando de 30,1% en 2020 a 7,2% en 2021, mientras el indicador Sin acceso a fuente de agua mejorada aumentó en 6,8 puntos porcent</w:t>
      </w:r>
      <w:r>
        <w:rPr>
          <w:rFonts w:ascii="Arial Narrow" w:eastAsia="Arial Narrow" w:hAnsi="Arial Narrow" w:cs="Arial Narrow"/>
          <w:color w:val="000000"/>
          <w:sz w:val="24"/>
          <w:szCs w:val="24"/>
        </w:rPr>
        <w:t>uales, pasando de 34,3% en 2020 a 41,1% en 2021.</w:t>
      </w:r>
    </w:p>
    <w:p w:rsidR="00367C96" w:rsidRDefault="00367C96">
      <w:pPr>
        <w:jc w:val="both"/>
        <w:rPr>
          <w:rFonts w:ascii="Arial Narrow" w:eastAsia="Arial Narrow" w:hAnsi="Arial Narrow" w:cs="Arial Narrow"/>
          <w:color w:val="000000"/>
          <w:sz w:val="24"/>
          <w:szCs w:val="24"/>
        </w:rPr>
      </w:pPr>
    </w:p>
    <w:p w:rsidR="00367C96" w:rsidRDefault="009B187E">
      <w:pPr>
        <w:jc w:val="center"/>
        <w:rPr>
          <w:rFonts w:ascii="Arial Narrow" w:eastAsia="Arial Narrow" w:hAnsi="Arial Narrow" w:cs="Arial Narrow"/>
          <w:color w:val="000000"/>
          <w:sz w:val="24"/>
          <w:szCs w:val="24"/>
        </w:rPr>
      </w:pPr>
      <w:r>
        <w:rPr>
          <w:rFonts w:ascii="Arial Narrow" w:eastAsia="Arial Narrow" w:hAnsi="Arial Narrow" w:cs="Arial Narrow"/>
          <w:noProof/>
          <w:color w:val="000000"/>
          <w:sz w:val="24"/>
          <w:szCs w:val="24"/>
          <w:lang w:val="es-CO"/>
        </w:rPr>
        <w:drawing>
          <wp:inline distT="114300" distB="114300" distL="114300" distR="114300">
            <wp:extent cx="5475710" cy="2438963"/>
            <wp:effectExtent l="0" t="0" r="0" b="0"/>
            <wp:docPr id="18" name="image6.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Tabla&#10;&#10;Descripción generada automáticamente"/>
                    <pic:cNvPicPr preferRelativeResize="0"/>
                  </pic:nvPicPr>
                  <pic:blipFill>
                    <a:blip r:embed="rId10"/>
                    <a:srcRect/>
                    <a:stretch>
                      <a:fillRect/>
                    </a:stretch>
                  </pic:blipFill>
                  <pic:spPr>
                    <a:xfrm>
                      <a:off x="0" y="0"/>
                      <a:ext cx="5475710" cy="2438963"/>
                    </a:xfrm>
                    <a:prstGeom prst="rect">
                      <a:avLst/>
                    </a:prstGeom>
                    <a:ln/>
                  </pic:spPr>
                </pic:pic>
              </a:graphicData>
            </a:graphic>
          </wp:inline>
        </w:drawing>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Resulta más que evidente que la pobreza tanto como monetaria y multidimensional alcanza sus mayores efectos en las poblaciones rurales del Estado Colombiano. Lo cual permite afirmar que no solo que el es</w:t>
      </w:r>
      <w:r>
        <w:rPr>
          <w:rFonts w:ascii="Arial Narrow" w:eastAsia="Arial Narrow" w:hAnsi="Arial Narrow" w:cs="Arial Narrow"/>
          <w:color w:val="000000"/>
          <w:sz w:val="24"/>
          <w:szCs w:val="24"/>
        </w:rPr>
        <w:t xml:space="preserve">tado ha llegado tarde respecto a los derechos del campesinado, sino que tiene la obligación de formar un nuevo contrato social con estas poblaciones. No solo con el fin de bajar los indicies de pobreza, sino que la </w:t>
      </w:r>
      <w:r>
        <w:rPr>
          <w:rFonts w:ascii="Arial Narrow" w:eastAsia="Arial Narrow" w:hAnsi="Arial Narrow" w:cs="Arial Narrow"/>
          <w:color w:val="000000"/>
          <w:sz w:val="24"/>
          <w:szCs w:val="24"/>
        </w:rPr>
        <w:lastRenderedPageBreak/>
        <w:t>propuesta debe ser más ambiciosa y debe s</w:t>
      </w:r>
      <w:r>
        <w:rPr>
          <w:rFonts w:ascii="Arial Narrow" w:eastAsia="Arial Narrow" w:hAnsi="Arial Narrow" w:cs="Arial Narrow"/>
          <w:color w:val="000000"/>
          <w:sz w:val="24"/>
          <w:szCs w:val="24"/>
        </w:rPr>
        <w:t>er generar desarrollo y riqueza en las zonas rurales del país.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Retomando, esta breve descripción busca poner de manifiesto la necesidad de crear alternativas económicas y de sustento con alcance a toda población, pues no de otra manera se podría promover </w:t>
      </w:r>
      <w:r>
        <w:rPr>
          <w:rFonts w:ascii="Arial Narrow" w:eastAsia="Arial Narrow" w:hAnsi="Arial Narrow" w:cs="Arial Narrow"/>
          <w:color w:val="000000"/>
          <w:sz w:val="24"/>
          <w:szCs w:val="24"/>
        </w:rPr>
        <w:t>la participación democrática sin que la vulnerabilidad socioeconómica se torne en un obstáculo para ello.</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esta manera, el proyecto sujeto a consideración autoriza tanto la creación de sociedades de economía mixta con organismos comunales, así como de a</w:t>
      </w:r>
      <w:r>
        <w:rPr>
          <w:rFonts w:ascii="Arial Narrow" w:eastAsia="Arial Narrow" w:hAnsi="Arial Narrow" w:cs="Arial Narrow"/>
          <w:color w:val="000000"/>
          <w:sz w:val="24"/>
          <w:szCs w:val="24"/>
        </w:rPr>
        <w:t>lianzas entre entidades públicas y organismos populares a título de alianza público-popular y de asociación público-popular y convenio solidario, estas dos últimas figuras dirigidas a la celebración de contratos y convenios.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Dado que esta habilitación tie</w:t>
      </w:r>
      <w:r>
        <w:rPr>
          <w:rFonts w:ascii="Arial Narrow" w:eastAsia="Arial Narrow" w:hAnsi="Arial Narrow" w:cs="Arial Narrow"/>
          <w:color w:val="000000"/>
          <w:sz w:val="24"/>
          <w:szCs w:val="24"/>
        </w:rPr>
        <w:t>ne una clara incidencia en la órbita contractual de la nación, el proyecto también propone modificar la Ley 2166 de 2021, que desarrolla el artículo 38 constitucional en lo que tiene que ver con los organismos de acción comunal, específicamente los literal</w:t>
      </w:r>
      <w:r>
        <w:rPr>
          <w:rFonts w:ascii="Arial Narrow" w:eastAsia="Arial Narrow" w:hAnsi="Arial Narrow" w:cs="Arial Narrow"/>
          <w:color w:val="000000"/>
          <w:sz w:val="24"/>
          <w:szCs w:val="24"/>
        </w:rPr>
        <w:t>es f y g del artículo 16, en los que se fija el objeto contractual de los eventuales contratos, convenios, alianzas y procesos económicos de carácter colectivo y solidario.</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esa misma línea, se propone un trato diferencial en materia de la puntuación de</w:t>
      </w:r>
      <w:r>
        <w:rPr>
          <w:rFonts w:ascii="Arial Narrow" w:eastAsia="Arial Narrow" w:hAnsi="Arial Narrow" w:cs="Arial Narrow"/>
          <w:color w:val="000000"/>
          <w:sz w:val="24"/>
          <w:szCs w:val="24"/>
        </w:rPr>
        <w:t xml:space="preserve"> requisitos ponderables cuando el organismo se presente como proponente para celebrar un contrato, así como se les otorgan competencias adicionales cuando operen en municipios de 4, 5 y 6 categoría, a fin de ampliar su campo de acción</w:t>
      </w:r>
    </w:p>
    <w:p w:rsidR="00367C96" w:rsidRDefault="00367C96">
      <w:pPr>
        <w:jc w:val="both"/>
        <w:rPr>
          <w:rFonts w:ascii="Arial Narrow" w:eastAsia="Arial Narrow" w:hAnsi="Arial Narrow" w:cs="Arial Narrow"/>
          <w:color w:val="000000"/>
          <w:sz w:val="24"/>
          <w:szCs w:val="24"/>
        </w:rPr>
      </w:pPr>
    </w:p>
    <w:p w:rsidR="00367C96" w:rsidRDefault="009B187E">
      <w:pPr>
        <w:widowControl/>
        <w:numPr>
          <w:ilvl w:val="0"/>
          <w:numId w:val="3"/>
        </w:numPr>
        <w:pBdr>
          <w:top w:val="nil"/>
          <w:left w:val="nil"/>
          <w:bottom w:val="nil"/>
          <w:right w:val="nil"/>
          <w:between w:val="nil"/>
        </w:pBdr>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IMPACTO FISCAL</w:t>
      </w:r>
    </w:p>
    <w:p w:rsidR="00367C96" w:rsidRDefault="00367C96">
      <w:pPr>
        <w:jc w:val="both"/>
        <w:rPr>
          <w:rFonts w:ascii="Arial Narrow" w:eastAsia="Arial Narrow" w:hAnsi="Arial Narrow" w:cs="Arial Narrow"/>
          <w:b/>
          <w:sz w:val="24"/>
          <w:szCs w:val="24"/>
        </w:rPr>
      </w:pPr>
    </w:p>
    <w:p w:rsidR="00367C96" w:rsidRDefault="009B187E">
      <w:pP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Dentro del análisis necesario del proyecto de ley, con el presente proyecto se denota que no se hace una afectación al marco fiscal de la Nación, en el entendido que en ningún momento busca hacer cambios en temas presupuestales. </w:t>
      </w:r>
    </w:p>
    <w:p w:rsidR="00367C96" w:rsidRDefault="00367C96">
      <w:pPr>
        <w:rPr>
          <w:rFonts w:ascii="Times New Roman" w:eastAsia="Times New Roman" w:hAnsi="Times New Roman" w:cs="Times New Roman"/>
          <w:sz w:val="24"/>
          <w:szCs w:val="24"/>
        </w:rPr>
      </w:pPr>
    </w:p>
    <w:p w:rsidR="00367C96" w:rsidRDefault="009B187E">
      <w:pPr>
        <w:rPr>
          <w:rFonts w:ascii="Times New Roman" w:eastAsia="Times New Roman" w:hAnsi="Times New Roman" w:cs="Times New Roman"/>
          <w:sz w:val="24"/>
          <w:szCs w:val="24"/>
        </w:rPr>
      </w:pPr>
      <w:r>
        <w:rPr>
          <w:rFonts w:ascii="Arial Narrow" w:eastAsia="Arial Narrow" w:hAnsi="Arial Narrow" w:cs="Arial Narrow"/>
          <w:color w:val="000000"/>
          <w:sz w:val="24"/>
          <w:szCs w:val="24"/>
        </w:rPr>
        <w:t xml:space="preserve">Razón por la cual dentro </w:t>
      </w:r>
      <w:r>
        <w:rPr>
          <w:rFonts w:ascii="Arial Narrow" w:eastAsia="Arial Narrow" w:hAnsi="Arial Narrow" w:cs="Arial Narrow"/>
          <w:color w:val="000000"/>
          <w:sz w:val="24"/>
          <w:szCs w:val="24"/>
        </w:rPr>
        <w:t>del presente exposición de motivos se presenta como ítem, para aclarar que el presente proyecto de ley no tiene implicaciones Fiscales. </w:t>
      </w:r>
    </w:p>
    <w:p w:rsidR="00367C96" w:rsidRDefault="00367C96">
      <w:pPr>
        <w:jc w:val="both"/>
        <w:rPr>
          <w:rFonts w:ascii="Arial Narrow" w:eastAsia="Arial Narrow" w:hAnsi="Arial Narrow" w:cs="Arial Narrow"/>
          <w:b/>
          <w:sz w:val="24"/>
          <w:szCs w:val="24"/>
        </w:rPr>
      </w:pPr>
    </w:p>
    <w:p w:rsidR="00367C96" w:rsidRDefault="009B187E">
      <w:pPr>
        <w:widowControl/>
        <w:numPr>
          <w:ilvl w:val="0"/>
          <w:numId w:val="3"/>
        </w:numPr>
        <w:pBdr>
          <w:top w:val="nil"/>
          <w:left w:val="nil"/>
          <w:bottom w:val="nil"/>
          <w:right w:val="nil"/>
          <w:between w:val="nil"/>
        </w:pBdr>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CONFLICTO DE INTERES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artículo 3 de la Ley 2003 de 2019 establece la necesidad de incluir en la exposición de motiv</w:t>
      </w:r>
      <w:r>
        <w:rPr>
          <w:rFonts w:ascii="Arial Narrow" w:eastAsia="Arial Narrow" w:hAnsi="Arial Narrow" w:cs="Arial Narrow"/>
          <w:color w:val="000000"/>
          <w:sz w:val="24"/>
          <w:szCs w:val="24"/>
        </w:rPr>
        <w:t>os de los proyectos de ley un acápite en el que se describa las circunstancias o eventos que podrían generar un conflicto de interés para los congresistas en la discusión y votación del proyecto.</w:t>
      </w:r>
    </w:p>
    <w:p w:rsidR="00367C96" w:rsidRDefault="00367C96">
      <w:pPr>
        <w:jc w:val="both"/>
        <w:rPr>
          <w:rFonts w:ascii="Times New Roman" w:eastAsia="Times New Roman" w:hAnsi="Times New Roman" w:cs="Times New Roman"/>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este sentido, se considera que las disposiciones que con</w:t>
      </w:r>
      <w:r>
        <w:rPr>
          <w:rFonts w:ascii="Arial Narrow" w:eastAsia="Arial Narrow" w:hAnsi="Arial Narrow" w:cs="Arial Narrow"/>
          <w:color w:val="000000"/>
          <w:sz w:val="24"/>
          <w:szCs w:val="24"/>
        </w:rPr>
        <w:t>tiene el proyecto de ley podrían generar un conflicto de interés a los Honorables Representantes con relación directa con Juntas de Acción Comunal, compañero o compañera permanente, o parientes dentro del segundo grado de consanguinidad, segundo de afinida</w:t>
      </w:r>
      <w:r>
        <w:rPr>
          <w:rFonts w:ascii="Arial Narrow" w:eastAsia="Arial Narrow" w:hAnsi="Arial Narrow" w:cs="Arial Narrow"/>
          <w:color w:val="000000"/>
          <w:sz w:val="24"/>
          <w:szCs w:val="24"/>
        </w:rPr>
        <w:t xml:space="preserve">d o primero civil hagan parte de este sector. </w:t>
      </w:r>
    </w:p>
    <w:p w:rsidR="00367C96" w:rsidRDefault="00367C96">
      <w:pPr>
        <w:jc w:val="both"/>
        <w:rPr>
          <w:rFonts w:ascii="Arial Narrow" w:eastAsia="Arial Narrow" w:hAnsi="Arial Narrow" w:cs="Arial Narrow"/>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reconoce que los conflictos de interés son personales y es facultad de cada congresista evaluarlos.</w:t>
      </w:r>
    </w:p>
    <w:p w:rsidR="00367C96" w:rsidRDefault="00367C96">
      <w:pPr>
        <w:jc w:val="both"/>
        <w:rPr>
          <w:rFonts w:ascii="Arial Narrow" w:eastAsia="Arial Narrow" w:hAnsi="Arial Narrow" w:cs="Arial Narrow"/>
          <w:sz w:val="24"/>
          <w:szCs w:val="24"/>
        </w:rPr>
      </w:pPr>
    </w:p>
    <w:p w:rsidR="00B334F2" w:rsidRDefault="00B334F2">
      <w:pPr>
        <w:jc w:val="both"/>
        <w:rPr>
          <w:rFonts w:ascii="Arial Narrow" w:eastAsia="Arial Narrow" w:hAnsi="Arial Narrow" w:cs="Arial Narrow"/>
          <w:sz w:val="24"/>
          <w:szCs w:val="24"/>
        </w:rPr>
      </w:pPr>
    </w:p>
    <w:p w:rsidR="00B334F2" w:rsidRDefault="00B334F2">
      <w:pPr>
        <w:jc w:val="both"/>
        <w:rPr>
          <w:rFonts w:ascii="Arial Narrow" w:eastAsia="Arial Narrow" w:hAnsi="Arial Narrow" w:cs="Arial Narrow"/>
          <w:sz w:val="24"/>
          <w:szCs w:val="24"/>
        </w:rPr>
      </w:pPr>
    </w:p>
    <w:p w:rsidR="00367C96" w:rsidRDefault="009B187E">
      <w:pPr>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8. CONSIDERACIONES FINALES.</w:t>
      </w:r>
    </w:p>
    <w:p w:rsidR="00367C96" w:rsidRDefault="00367C96">
      <w:pPr>
        <w:jc w:val="both"/>
        <w:rPr>
          <w:rFonts w:ascii="Arial Narrow" w:eastAsia="Arial Narrow" w:hAnsi="Arial Narrow" w:cs="Arial Narrow"/>
          <w:color w:val="000000"/>
          <w:sz w:val="24"/>
          <w:szCs w:val="24"/>
        </w:rPr>
      </w:pPr>
    </w:p>
    <w:p w:rsidR="00367C96" w:rsidRDefault="009B187E">
      <w:pPr>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El proyecto de ley para el fortalecimiento de las Juntas de Acción Comunal </w:t>
      </w:r>
      <w:r>
        <w:rPr>
          <w:rFonts w:ascii="Arial Narrow" w:eastAsia="Arial Narrow" w:hAnsi="Arial Narrow" w:cs="Arial Narrow"/>
          <w:sz w:val="24"/>
          <w:szCs w:val="24"/>
        </w:rPr>
        <w:t>(JACs) y otros organismos comunales es de vital importancia para el desarrollo social y económico de las comunidades locales en Colombia. Al reconocer y potenciar el papel de estas organizaciones como pilares de la economía popular, comunitaria y solidaria</w:t>
      </w:r>
      <w:r>
        <w:rPr>
          <w:rFonts w:ascii="Arial Narrow" w:eastAsia="Arial Narrow" w:hAnsi="Arial Narrow" w:cs="Arial Narrow"/>
          <w:sz w:val="24"/>
          <w:szCs w:val="24"/>
        </w:rPr>
        <w:t>, la ley no solo promueve la cohesión social y la participación democrática, sino que también impulsa el desarrollo económico inclusivo. La creación de un sistema nacional de información, la implementación de políticas públicas y programas de capacitación,</w:t>
      </w:r>
      <w:r>
        <w:rPr>
          <w:rFonts w:ascii="Arial Narrow" w:eastAsia="Arial Narrow" w:hAnsi="Arial Narrow" w:cs="Arial Narrow"/>
          <w:sz w:val="24"/>
          <w:szCs w:val="24"/>
        </w:rPr>
        <w:t xml:space="preserve"> y el acceso a líneas de crédito y alianzas estratégicas, aseguran que estas organizaciones tengan los recursos y herramientas necesarios para gestionar eficazmente sus proyectos. En resumen, este proyecto de ley representa un compromiso sólido con el fort</w:t>
      </w:r>
      <w:r>
        <w:rPr>
          <w:rFonts w:ascii="Arial Narrow" w:eastAsia="Arial Narrow" w:hAnsi="Arial Narrow" w:cs="Arial Narrow"/>
          <w:sz w:val="24"/>
          <w:szCs w:val="24"/>
        </w:rPr>
        <w:t>alecimiento de las estructuras comunitarias, promoviendo un desarrollo sostenible y equitativo que beneficia a toda la sociedad.</w:t>
      </w:r>
    </w:p>
    <w:p w:rsidR="00367C96" w:rsidRDefault="00367C96">
      <w:pPr>
        <w:jc w:val="both"/>
        <w:rPr>
          <w:rFonts w:ascii="Arial" w:eastAsia="Arial" w:hAnsi="Arial" w:cs="Arial"/>
          <w:sz w:val="24"/>
          <w:szCs w:val="24"/>
        </w:rPr>
      </w:pPr>
    </w:p>
    <w:p w:rsidR="00B334F2" w:rsidRDefault="00B334F2" w:rsidP="00B334F2">
      <w:pPr>
        <w:pBdr>
          <w:top w:val="nil"/>
          <w:left w:val="nil"/>
          <w:bottom w:val="nil"/>
          <w:right w:val="nil"/>
          <w:between w:val="nil"/>
        </w:pBdr>
        <w:rPr>
          <w:rFonts w:ascii="Arial Narrow" w:eastAsia="Arial Narrow" w:hAnsi="Arial Narrow" w:cs="Arial Narrow"/>
          <w:sz w:val="24"/>
          <w:szCs w:val="24"/>
        </w:rPr>
      </w:pPr>
      <w:bookmarkStart w:id="2" w:name="_heading=h.30j0zll" w:colFirst="0" w:colLast="0"/>
      <w:bookmarkEnd w:id="2"/>
      <w:r>
        <w:rPr>
          <w:rFonts w:ascii="Arial Narrow" w:eastAsia="Arial Narrow" w:hAnsi="Arial Narrow" w:cs="Arial Narrow"/>
          <w:sz w:val="24"/>
          <w:szCs w:val="24"/>
        </w:rPr>
        <w:t>Atentamente.</w:t>
      </w:r>
    </w:p>
    <w:p w:rsidR="00B334F2" w:rsidRDefault="00B334F2" w:rsidP="00B334F2">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jc w:val="center"/>
        <w:rPr>
          <w:rFonts w:ascii="Arial Narrow" w:eastAsia="Arial Narrow" w:hAnsi="Arial Narrow" w:cs="Arial Narrow"/>
          <w:b/>
          <w:sz w:val="24"/>
          <w:szCs w:val="24"/>
        </w:rPr>
      </w:pPr>
      <w:r>
        <w:rPr>
          <w:rFonts w:ascii="Arial Narrow" w:eastAsia="Arial Narrow" w:hAnsi="Arial Narrow" w:cs="Arial Narrow"/>
          <w:b/>
          <w:sz w:val="24"/>
          <w:szCs w:val="24"/>
        </w:rPr>
        <w:t>H.R. JUAN CARLOS VARGAS SOLER</w:t>
      </w:r>
    </w:p>
    <w:p w:rsidR="00B334F2" w:rsidRDefault="00B334F2" w:rsidP="00B334F2">
      <w:pPr>
        <w:pBdr>
          <w:top w:val="nil"/>
          <w:left w:val="nil"/>
          <w:bottom w:val="nil"/>
          <w:right w:val="nil"/>
          <w:between w:val="nil"/>
        </w:pBdr>
        <w:jc w:val="center"/>
        <w:rPr>
          <w:rFonts w:ascii="Arial Narrow" w:eastAsia="Arial Narrow" w:hAnsi="Arial Narrow" w:cs="Arial Narrow"/>
          <w:sz w:val="24"/>
          <w:szCs w:val="24"/>
        </w:rPr>
      </w:pPr>
      <w:r>
        <w:rPr>
          <w:rFonts w:ascii="Arial Narrow" w:eastAsia="Arial Narrow" w:hAnsi="Arial Narrow" w:cs="Arial Narrow"/>
          <w:sz w:val="24"/>
          <w:szCs w:val="24"/>
        </w:rPr>
        <w:t>CITREP No. 13 (Bolívar – Antioquia)</w:t>
      </w:r>
    </w:p>
    <w:p w:rsidR="00B334F2" w:rsidRDefault="00B334F2" w:rsidP="00B334F2">
      <w:pPr>
        <w:pBdr>
          <w:top w:val="nil"/>
          <w:left w:val="nil"/>
          <w:bottom w:val="nil"/>
          <w:right w:val="nil"/>
          <w:between w:val="nil"/>
        </w:pBdr>
        <w:jc w:val="center"/>
        <w:rPr>
          <w:rFonts w:ascii="Arial Narrow" w:eastAsia="Arial Narrow" w:hAnsi="Arial Narrow" w:cs="Arial Narrow"/>
          <w:sz w:val="24"/>
          <w:szCs w:val="24"/>
        </w:rPr>
      </w:pPr>
    </w:p>
    <w:p w:rsidR="00B334F2" w:rsidRDefault="00B334F2" w:rsidP="00B334F2">
      <w:pPr>
        <w:pBdr>
          <w:top w:val="nil"/>
          <w:left w:val="nil"/>
          <w:bottom w:val="nil"/>
          <w:right w:val="nil"/>
          <w:between w:val="nil"/>
        </w:pBdr>
        <w:jc w:val="center"/>
        <w:rPr>
          <w:rFonts w:ascii="Arial Narrow" w:eastAsia="Arial Narrow" w:hAnsi="Arial Narrow" w:cs="Arial Narrow"/>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spacing w:line="276" w:lineRule="auto"/>
        <w:jc w:val="both"/>
        <w:rPr>
          <w:rFonts w:ascii="Arial" w:eastAsia="Arial" w:hAnsi="Arial" w:cs="Arial"/>
          <w:sz w:val="24"/>
          <w:szCs w:val="24"/>
        </w:rPr>
      </w:pPr>
    </w:p>
    <w:p w:rsidR="00B334F2" w:rsidRDefault="00B334F2" w:rsidP="00B334F2">
      <w:pPr>
        <w:widowControl/>
        <w:jc w:val="center"/>
        <w:rPr>
          <w:rFonts w:ascii="Constantia" w:eastAsia="Constantia" w:hAnsi="Constantia" w:cs="Constantia"/>
          <w:b/>
          <w:sz w:val="24"/>
          <w:szCs w:val="24"/>
        </w:rPr>
      </w:pPr>
    </w:p>
    <w:p w:rsidR="00B334F2" w:rsidRDefault="00B334F2" w:rsidP="00B334F2">
      <w:pPr>
        <w:spacing w:line="276" w:lineRule="auto"/>
        <w:jc w:val="both"/>
        <w:rPr>
          <w:rFonts w:ascii="Arial" w:eastAsia="Arial" w:hAnsi="Arial" w:cs="Arial"/>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P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rPr>
          <w:rFonts w:ascii="Arial Narrow" w:eastAsia="Arial Narrow" w:hAnsi="Arial Narrow" w:cs="Arial Narrow"/>
          <w:sz w:val="24"/>
          <w:szCs w:val="24"/>
        </w:rPr>
      </w:pP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B334F2" w:rsidRDefault="00B334F2" w:rsidP="00B334F2">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w:t>
      </w:r>
      <w:r>
        <w:rPr>
          <w:rFonts w:ascii="Arial Narrow" w:eastAsia="Arial Narrow" w:hAnsi="Arial Narrow" w:cs="Arial Narrow"/>
          <w:sz w:val="24"/>
          <w:szCs w:val="24"/>
        </w:rPr>
        <w:tab/>
      </w:r>
      <w:r>
        <w:rPr>
          <w:rFonts w:ascii="Arial Narrow" w:eastAsia="Arial Narrow" w:hAnsi="Arial Narrow" w:cs="Arial Narrow"/>
          <w:sz w:val="24"/>
          <w:szCs w:val="24"/>
        </w:rPr>
        <w:tab/>
        <w:t>______________________________________</w:t>
      </w:r>
    </w:p>
    <w:p w:rsidR="00B334F2" w:rsidRDefault="00B334F2" w:rsidP="00B334F2">
      <w:pPr>
        <w:pBdr>
          <w:top w:val="nil"/>
          <w:left w:val="nil"/>
          <w:bottom w:val="nil"/>
          <w:right w:val="nil"/>
          <w:between w:val="nil"/>
        </w:pBdr>
        <w:spacing w:line="276" w:lineRule="auto"/>
        <w:rPr>
          <w:rFonts w:ascii="Arial" w:eastAsia="Arial" w:hAnsi="Arial" w:cs="Arial"/>
          <w:b/>
          <w:color w:val="000000"/>
          <w:sz w:val="24"/>
          <w:szCs w:val="24"/>
        </w:rPr>
      </w:pPr>
    </w:p>
    <w:p w:rsidR="00367C96" w:rsidRDefault="00367C96" w:rsidP="00B334F2">
      <w:pPr>
        <w:pBdr>
          <w:top w:val="nil"/>
          <w:left w:val="nil"/>
          <w:bottom w:val="nil"/>
          <w:right w:val="nil"/>
          <w:between w:val="nil"/>
        </w:pBdr>
        <w:jc w:val="both"/>
        <w:rPr>
          <w:rFonts w:ascii="Arial Narrow" w:eastAsia="Arial Narrow" w:hAnsi="Arial Narrow" w:cs="Arial Narrow"/>
          <w:sz w:val="24"/>
          <w:szCs w:val="24"/>
        </w:rPr>
      </w:pPr>
    </w:p>
    <w:sectPr w:rsidR="00367C96">
      <w:headerReference w:type="default" r:id="rId11"/>
      <w:footerReference w:type="default" r:id="rId12"/>
      <w:pgSz w:w="12240" w:h="15840"/>
      <w:pgMar w:top="1843" w:right="1134" w:bottom="1276"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87E" w:rsidRDefault="009B187E">
      <w:r>
        <w:separator/>
      </w:r>
    </w:p>
  </w:endnote>
  <w:endnote w:type="continuationSeparator" w:id="0">
    <w:p w:rsidR="009B187E" w:rsidRDefault="009B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96" w:rsidRDefault="009B187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B334F2">
      <w:rPr>
        <w:color w:val="000000"/>
      </w:rPr>
      <w:fldChar w:fldCharType="separate"/>
    </w:r>
    <w:r w:rsidR="00B334F2">
      <w:rPr>
        <w:noProof/>
        <w:color w:val="000000"/>
      </w:rPr>
      <w:t>2</w:t>
    </w:r>
    <w:r>
      <w:rPr>
        <w:color w:val="000000"/>
      </w:rPr>
      <w:fldChar w:fldCharType="end"/>
    </w:r>
  </w:p>
  <w:p w:rsidR="00367C96" w:rsidRDefault="00367C96">
    <w:pPr>
      <w:pBdr>
        <w:top w:val="nil"/>
        <w:left w:val="nil"/>
        <w:bottom w:val="nil"/>
        <w:right w:val="nil"/>
        <w:between w:val="nil"/>
      </w:pBdr>
      <w:tabs>
        <w:tab w:val="center" w:pos="4419"/>
        <w:tab w:val="right" w:pos="8838"/>
      </w:tabs>
      <w:ind w:firstLine="708"/>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87E" w:rsidRDefault="009B187E">
      <w:r>
        <w:separator/>
      </w:r>
    </w:p>
  </w:footnote>
  <w:footnote w:type="continuationSeparator" w:id="0">
    <w:p w:rsidR="009B187E" w:rsidRDefault="009B187E">
      <w:r>
        <w:continuationSeparator/>
      </w:r>
    </w:p>
  </w:footnote>
  <w:footnote w:id="1">
    <w:p w:rsidR="00367C96" w:rsidRDefault="009B187E">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Información recuperada en http://comunal.mininterior.gov.co/documentos/NORMATIVIDAD/Presentaciones/PRESENTACION%20CONGRESO%20IVC.pdf</w:t>
      </w:r>
    </w:p>
  </w:footnote>
  <w:footnote w:id="2">
    <w:p w:rsidR="00367C96" w:rsidRDefault="009B187E">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Información recuperada en https://www.participacionbogota.gov.co/los-comunales-recibieron-la-politica-publica-de-accion-</w:t>
      </w:r>
      <w:r>
        <w:rPr>
          <w:rFonts w:ascii="Arial" w:eastAsia="Arial" w:hAnsi="Arial" w:cs="Arial"/>
          <w:color w:val="000000"/>
          <w:sz w:val="16"/>
          <w:szCs w:val="16"/>
        </w:rPr>
        <w:t>comunal-2023-2034.</w:t>
      </w:r>
    </w:p>
  </w:footnote>
  <w:footnote w:id="3">
    <w:p w:rsidR="00367C96" w:rsidRDefault="009B187E">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de Estado, Sala de lo Contencioso Administrativo, Sección Primera, 22 de junio de 2000, Radicación: 5463, Actor: Luis Emilio Sosa Hernández; C.P. Juan Alberto Polo</w:t>
      </w:r>
    </w:p>
  </w:footnote>
  <w:footnote w:id="4">
    <w:p w:rsidR="00367C96" w:rsidRDefault="009B187E">
      <w:pPr>
        <w:pBdr>
          <w:top w:val="nil"/>
          <w:left w:val="nil"/>
          <w:bottom w:val="nil"/>
          <w:right w:val="nil"/>
          <w:between w:val="nil"/>
        </w:pBdr>
        <w:rPr>
          <w:rFonts w:ascii="Arial" w:eastAsia="Arial" w:hAnsi="Arial" w:cs="Arial"/>
          <w:color w:val="000000"/>
          <w:sz w:val="16"/>
          <w:szCs w:val="16"/>
          <w:u w:val="single"/>
        </w:rPr>
      </w:pPr>
      <w:r>
        <w:rPr>
          <w:vertAlign w:val="superscript"/>
        </w:rPr>
        <w:footnoteRef/>
      </w:r>
      <w:r>
        <w:rPr>
          <w:rFonts w:ascii="Arial" w:eastAsia="Arial" w:hAnsi="Arial" w:cs="Arial"/>
          <w:color w:val="000000"/>
          <w:sz w:val="16"/>
          <w:szCs w:val="16"/>
        </w:rPr>
        <w:t xml:space="preserve"> Información recuperada en </w:t>
      </w:r>
      <w:hyperlink r:id="rId1">
        <w:r>
          <w:rPr>
            <w:rFonts w:ascii="Arial" w:eastAsia="Arial" w:hAnsi="Arial" w:cs="Arial"/>
            <w:color w:val="0000FF"/>
            <w:sz w:val="16"/>
            <w:szCs w:val="16"/>
            <w:u w:val="single"/>
          </w:rPr>
          <w:t>http://comunal.mininterior.gov.co/documentos/NORMATIVIDAD/Presentaciones/</w:t>
        </w:r>
      </w:hyperlink>
    </w:p>
    <w:p w:rsidR="00367C96" w:rsidRDefault="009B187E">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u w:val="single"/>
        </w:rPr>
        <w:t>Presentaci%C3%B3n%20CONPES%203955%202018%20%20Actualizada.pdf</w:t>
      </w:r>
    </w:p>
  </w:footnote>
  <w:footnote w:id="5">
    <w:p w:rsidR="00367C96" w:rsidRDefault="009B187E">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Información recuperada en </w:t>
      </w:r>
      <w:hyperlink r:id="rId2">
        <w:r>
          <w:rPr>
            <w:rFonts w:ascii="Arial" w:eastAsia="Arial" w:hAnsi="Arial" w:cs="Arial"/>
            <w:color w:val="0000FF"/>
            <w:sz w:val="16"/>
            <w:szCs w:val="16"/>
            <w:u w:val="single"/>
          </w:rPr>
          <w:t>http://comunal.mininterior.gov.co/documentos/Bot%C3%B3n%20Dotaciones%20Comunales/2.%20Dotaciones%20Comunales.pdf</w:t>
        </w:r>
      </w:hyperlink>
      <w:r>
        <w:rPr>
          <w:rFonts w:ascii="Arial" w:eastAsia="Arial" w:hAnsi="Arial" w:cs="Arial"/>
          <w:color w:val="000000"/>
          <w:sz w:val="16"/>
          <w:szCs w:val="16"/>
        </w:rPr>
        <w:t xml:space="preserve"> </w:t>
      </w:r>
    </w:p>
  </w:footnote>
  <w:footnote w:id="6">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Bases del </w:t>
      </w:r>
      <w:r>
        <w:rPr>
          <w:rFonts w:ascii="Arial" w:eastAsia="Arial" w:hAnsi="Arial" w:cs="Arial"/>
          <w:color w:val="000000"/>
          <w:sz w:val="16"/>
          <w:szCs w:val="16"/>
        </w:rPr>
        <w:t>Plan Nacional de Desarrollo 2022-2026, pag 50</w:t>
      </w:r>
    </w:p>
  </w:footnote>
  <w:footnote w:id="7">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Ibidem, pag 51</w:t>
      </w:r>
    </w:p>
  </w:footnote>
  <w:footnote w:id="8">
    <w:p w:rsidR="00367C96" w:rsidRDefault="009B187E">
      <w:pPr>
        <w:widowControl/>
        <w:pBdr>
          <w:top w:val="nil"/>
          <w:left w:val="nil"/>
          <w:bottom w:val="nil"/>
          <w:right w:val="nil"/>
          <w:between w:val="nil"/>
        </w:pBdr>
        <w:rPr>
          <w:rFonts w:ascii="Arial" w:eastAsia="Arial" w:hAnsi="Arial" w:cs="Arial"/>
          <w:color w:val="000000"/>
          <w:sz w:val="16"/>
          <w:szCs w:val="16"/>
          <w:vertAlign w:val="subscript"/>
        </w:rPr>
      </w:pPr>
      <w:r>
        <w:rPr>
          <w:vertAlign w:val="superscript"/>
        </w:rPr>
        <w:footnoteRef/>
      </w:r>
      <w:r>
        <w:rPr>
          <w:rFonts w:ascii="Arial" w:eastAsia="Arial" w:hAnsi="Arial" w:cs="Arial"/>
          <w:color w:val="000000"/>
          <w:sz w:val="16"/>
          <w:szCs w:val="16"/>
          <w:vertAlign w:val="subscript"/>
        </w:rPr>
        <w:t xml:space="preserve"> </w:t>
      </w:r>
      <w:r>
        <w:rPr>
          <w:rFonts w:ascii="Arial" w:eastAsia="Arial" w:hAnsi="Arial" w:cs="Arial"/>
          <w:color w:val="000000"/>
          <w:sz w:val="16"/>
          <w:szCs w:val="16"/>
        </w:rPr>
        <w:t>Concepto Sala de Consulta C.E. 2206 de 2014 Consejo de Estado - Sala de Consulta y Servicio Civil</w:t>
      </w:r>
    </w:p>
  </w:footnote>
  <w:footnote w:id="9">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vertAlign w:val="superscript"/>
        </w:rPr>
        <w:t>2.</w:t>
      </w:r>
      <w:r>
        <w:rPr>
          <w:rFonts w:ascii="Arial" w:eastAsia="Arial" w:hAnsi="Arial" w:cs="Arial"/>
          <w:color w:val="000000"/>
          <w:sz w:val="16"/>
          <w:szCs w:val="16"/>
          <w:vertAlign w:val="subscript"/>
        </w:rPr>
        <w:t xml:space="preserve"> </w:t>
      </w:r>
      <w:r>
        <w:rPr>
          <w:rFonts w:ascii="Arial" w:eastAsia="Arial" w:hAnsi="Arial" w:cs="Arial"/>
          <w:color w:val="000000"/>
          <w:sz w:val="16"/>
          <w:szCs w:val="16"/>
        </w:rPr>
        <w:t>Concepto 393901 de 2019 Departamento Administrativo de la Función Pública</w:t>
      </w:r>
    </w:p>
  </w:footnote>
  <w:footnote w:id="10">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Concepto Sala</w:t>
      </w:r>
      <w:r>
        <w:rPr>
          <w:rFonts w:ascii="Arial" w:eastAsia="Arial" w:hAnsi="Arial" w:cs="Arial"/>
          <w:color w:val="000000"/>
          <w:sz w:val="16"/>
          <w:szCs w:val="16"/>
        </w:rPr>
        <w:t xml:space="preserve"> de Consulta C.E. 2206 de 2014 Consejo de Estado - Sala de Consulta y Servicio Civil</w:t>
      </w:r>
    </w:p>
  </w:footnote>
  <w:footnote w:id="11">
    <w:p w:rsidR="00367C96" w:rsidRDefault="009B187E">
      <w:pPr>
        <w:widowControl/>
        <w:pBdr>
          <w:top w:val="nil"/>
          <w:left w:val="nil"/>
          <w:bottom w:val="nil"/>
          <w:right w:val="nil"/>
          <w:between w:val="nil"/>
        </w:pBdr>
        <w:rPr>
          <w:rFonts w:ascii="Arial" w:eastAsia="Arial" w:hAnsi="Arial" w:cs="Arial"/>
          <w:b/>
          <w:color w:val="000000"/>
          <w:sz w:val="16"/>
          <w:szCs w:val="16"/>
        </w:rPr>
      </w:pPr>
      <w:r>
        <w:rPr>
          <w:vertAlign w:val="superscript"/>
        </w:rPr>
        <w:footnoteRef/>
      </w:r>
      <w:r>
        <w:rPr>
          <w:rFonts w:ascii="Arial" w:eastAsia="Arial" w:hAnsi="Arial" w:cs="Arial"/>
          <w:color w:val="000000"/>
          <w:sz w:val="16"/>
          <w:szCs w:val="16"/>
        </w:rPr>
        <w:t xml:space="preserve"> Concepto 393901 de 2019 Departamento Administrativo de la Función Pública</w:t>
      </w:r>
    </w:p>
  </w:footnote>
  <w:footnote w:id="12">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https://accounter.co/normatividad/conceptos/sociedad-de-economia-mixta.html</w:t>
      </w:r>
    </w:p>
  </w:footnote>
  <w:footnote w:id="13">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https://www.dane.gov.co/files/investigaciones/condiciones_vida/pobreza/2021/Comunicado-pobreza-monetaria_2021.pdf</w:t>
      </w:r>
    </w:p>
    <w:p w:rsidR="00367C96" w:rsidRDefault="00367C96">
      <w:pPr>
        <w:widowControl/>
        <w:pBdr>
          <w:top w:val="nil"/>
          <w:left w:val="nil"/>
          <w:bottom w:val="nil"/>
          <w:right w:val="nil"/>
          <w:between w:val="nil"/>
        </w:pBdr>
        <w:rPr>
          <w:rFonts w:ascii="Arial" w:eastAsia="Arial" w:hAnsi="Arial" w:cs="Arial"/>
          <w:color w:val="000000"/>
          <w:sz w:val="16"/>
          <w:szCs w:val="16"/>
        </w:rPr>
      </w:pPr>
    </w:p>
  </w:footnote>
  <w:footnote w:id="14">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https://unperiodico.unal.edu.co/pages/detail/poblacion-pobre-en-colombia-pierde-10-de-su-ingreso-por-la-inflacion/</w:t>
      </w:r>
    </w:p>
  </w:footnote>
  <w:footnote w:id="15">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Ibidem</w:t>
      </w:r>
    </w:p>
  </w:footnote>
  <w:footnote w:id="16">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Ibidem</w:t>
      </w:r>
    </w:p>
  </w:footnote>
  <w:footnote w:id="17">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ht</w:t>
      </w:r>
      <w:r>
        <w:rPr>
          <w:rFonts w:ascii="Arial" w:eastAsia="Arial" w:hAnsi="Arial" w:cs="Arial"/>
          <w:color w:val="000000"/>
          <w:sz w:val="16"/>
          <w:szCs w:val="16"/>
        </w:rPr>
        <w:t>tps://www.dane.gov.co/files/investigaciones/condiciones_vida/pobreza/2021/Comunicado-pobreza-monetaria_2021.pdf</w:t>
      </w:r>
    </w:p>
    <w:p w:rsidR="00367C96" w:rsidRDefault="00367C96">
      <w:pPr>
        <w:widowControl/>
        <w:pBdr>
          <w:top w:val="nil"/>
          <w:left w:val="nil"/>
          <w:bottom w:val="nil"/>
          <w:right w:val="nil"/>
          <w:between w:val="nil"/>
        </w:pBdr>
        <w:rPr>
          <w:rFonts w:ascii="Arial" w:eastAsia="Arial" w:hAnsi="Arial" w:cs="Arial"/>
          <w:color w:val="000000"/>
          <w:sz w:val="16"/>
          <w:szCs w:val="16"/>
        </w:rPr>
      </w:pPr>
    </w:p>
  </w:footnote>
  <w:footnote w:id="18">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Fuente:</w:t>
      </w:r>
      <w:hyperlink r:id="rId3">
        <w:r>
          <w:rPr>
            <w:rFonts w:ascii="Arial" w:eastAsia="Arial" w:hAnsi="Arial" w:cs="Arial"/>
            <w:color w:val="000000"/>
            <w:sz w:val="16"/>
            <w:szCs w:val="16"/>
          </w:rPr>
          <w:t>https</w:t>
        </w:r>
        <w:r>
          <w:rPr>
            <w:rFonts w:ascii="Arial" w:eastAsia="Arial" w:hAnsi="Arial" w:cs="Arial"/>
            <w:color w:val="000000"/>
            <w:sz w:val="16"/>
            <w:szCs w:val="16"/>
          </w:rPr>
          <w:t>://www.dane.gov.co/files/investigaciones/condiciones_vida/pobreza/2021/cp_pobreza_multidimensional_21.pdf</w:t>
        </w:r>
      </w:hyperlink>
    </w:p>
  </w:footnote>
  <w:footnote w:id="19">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https://www.dane.gov.co/files/investigaciones/condiciones_vida/pobreza/2021/Comunicado-pobreza-monetaria_2021.pdf</w:t>
      </w:r>
    </w:p>
  </w:footnote>
  <w:footnote w:id="20">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https://www.portafolio.co/economi</w:t>
      </w:r>
      <w:r>
        <w:rPr>
          <w:rFonts w:ascii="Arial" w:eastAsia="Arial" w:hAnsi="Arial" w:cs="Arial"/>
          <w:color w:val="000000"/>
          <w:sz w:val="16"/>
          <w:szCs w:val="16"/>
        </w:rPr>
        <w:t>a/radiografia-de-la-pobreza-en-colombia-en-2021-564687</w:t>
      </w:r>
    </w:p>
  </w:footnote>
  <w:footnote w:id="21">
    <w:p w:rsidR="00367C96" w:rsidRDefault="009B187E">
      <w:pPr>
        <w:widowControl/>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4">
        <w:r>
          <w:rPr>
            <w:rFonts w:ascii="Arial" w:eastAsia="Arial" w:hAnsi="Arial" w:cs="Arial"/>
            <w:color w:val="000000"/>
            <w:sz w:val="16"/>
            <w:szCs w:val="16"/>
            <w:u w:val="single"/>
            <w:shd w:val="clear" w:color="auto" w:fill="F3F4F5"/>
          </w:rPr>
          <w:t>https://buenaventuraenlinea.com/radiografia-de-la-pobreza-en-colombia-en-2021-economia</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96" w:rsidRDefault="009B187E">
    <w:pPr>
      <w:tabs>
        <w:tab w:val="center" w:pos="4419"/>
        <w:tab w:val="right" w:pos="8838"/>
      </w:tabs>
      <w:jc w:val="center"/>
      <w:rPr>
        <w:color w:val="000000"/>
      </w:rPr>
    </w:pPr>
    <w:r>
      <w:rPr>
        <w:noProof/>
        <w:lang w:val="es-CO"/>
      </w:rPr>
      <w:drawing>
        <wp:anchor distT="0" distB="0" distL="0" distR="0" simplePos="0" relativeHeight="251658240" behindDoc="1" locked="0" layoutInCell="1" hidden="0" allowOverlap="1">
          <wp:simplePos x="0" y="0"/>
          <wp:positionH relativeFrom="column">
            <wp:posOffset>-1072508</wp:posOffset>
          </wp:positionH>
          <wp:positionV relativeFrom="paragraph">
            <wp:posOffset>-382898</wp:posOffset>
          </wp:positionV>
          <wp:extent cx="7726680" cy="9996805"/>
          <wp:effectExtent l="0" t="0" r="0" b="0"/>
          <wp:wrapNone/>
          <wp:docPr id="14" name="image5.png" descr="C:\Users\Dainer Marin.DESKTOP-4MBGTMM\Desktop\Membrete Oficios (21.59 × 27.94 cm).png"/>
          <wp:cNvGraphicFramePr/>
          <a:graphic xmlns:a="http://schemas.openxmlformats.org/drawingml/2006/main">
            <a:graphicData uri="http://schemas.openxmlformats.org/drawingml/2006/picture">
              <pic:pic xmlns:pic="http://schemas.openxmlformats.org/drawingml/2006/picture">
                <pic:nvPicPr>
                  <pic:cNvPr id="0" name="image5.png" descr="C:\Users\Dainer Marin.DESKTOP-4MBGTMM\Desktop\Membrete Oficios (21.59 × 27.94 cm).png"/>
                  <pic:cNvPicPr preferRelativeResize="0"/>
                </pic:nvPicPr>
                <pic:blipFill>
                  <a:blip r:embed="rId1"/>
                  <a:srcRect/>
                  <a:stretch>
                    <a:fillRect/>
                  </a:stretch>
                </pic:blipFill>
                <pic:spPr>
                  <a:xfrm>
                    <a:off x="0" y="0"/>
                    <a:ext cx="7726680" cy="9996805"/>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column">
            <wp:posOffset>-100322</wp:posOffset>
          </wp:positionH>
          <wp:positionV relativeFrom="paragraph">
            <wp:posOffset>-410836</wp:posOffset>
          </wp:positionV>
          <wp:extent cx="2306320" cy="1104900"/>
          <wp:effectExtent l="0" t="0" r="0" b="0"/>
          <wp:wrapSquare wrapText="bothSides" distT="0" distB="0" distL="114300" distR="114300"/>
          <wp:docPr id="15" name="image3.png" descr="C:\Users\Dainer Marin.DESKTOP-4MBGTMM\Desktop\Diseño sin título.png"/>
          <wp:cNvGraphicFramePr/>
          <a:graphic xmlns:a="http://schemas.openxmlformats.org/drawingml/2006/main">
            <a:graphicData uri="http://schemas.openxmlformats.org/drawingml/2006/picture">
              <pic:pic xmlns:pic="http://schemas.openxmlformats.org/drawingml/2006/picture">
                <pic:nvPicPr>
                  <pic:cNvPr id="0" name="image3.png" descr="C:\Users\Dainer Marin.DESKTOP-4MBGTMM\Desktop\Diseño sin título.png"/>
                  <pic:cNvPicPr preferRelativeResize="0"/>
                </pic:nvPicPr>
                <pic:blipFill>
                  <a:blip r:embed="rId2"/>
                  <a:srcRect/>
                  <a:stretch>
                    <a:fillRect/>
                  </a:stretch>
                </pic:blipFill>
                <pic:spPr>
                  <a:xfrm>
                    <a:off x="0" y="0"/>
                    <a:ext cx="2306320" cy="1104900"/>
                  </a:xfrm>
                  <a:prstGeom prst="rect">
                    <a:avLst/>
                  </a:prstGeom>
                  <a:ln/>
                </pic:spPr>
              </pic:pic>
            </a:graphicData>
          </a:graphic>
        </wp:anchor>
      </w:drawing>
    </w:r>
    <w:r>
      <w:rPr>
        <w:noProof/>
        <w:lang w:val="es-CO"/>
      </w:rPr>
      <w:drawing>
        <wp:anchor distT="0" distB="0" distL="114300" distR="114300" simplePos="0" relativeHeight="251660288" behindDoc="0" locked="0" layoutInCell="1" hidden="0" allowOverlap="1">
          <wp:simplePos x="0" y="0"/>
          <wp:positionH relativeFrom="column">
            <wp:posOffset>3412490</wp:posOffset>
          </wp:positionH>
          <wp:positionV relativeFrom="paragraph">
            <wp:posOffset>-215257</wp:posOffset>
          </wp:positionV>
          <wp:extent cx="2155825" cy="635635"/>
          <wp:effectExtent l="0" t="0" r="0" b="0"/>
          <wp:wrapSquare wrapText="bothSides" distT="0" distB="0" distL="114300" distR="114300"/>
          <wp:docPr id="19" name="image4.png" descr="C:\Users\Dainer Marin.DESKTOP-4MBGTMM\Desktop\Logo H.R. Juan Carlos Vargas\Logo Cámara.png"/>
          <wp:cNvGraphicFramePr/>
          <a:graphic xmlns:a="http://schemas.openxmlformats.org/drawingml/2006/main">
            <a:graphicData uri="http://schemas.openxmlformats.org/drawingml/2006/picture">
              <pic:pic xmlns:pic="http://schemas.openxmlformats.org/drawingml/2006/picture">
                <pic:nvPicPr>
                  <pic:cNvPr id="0" name="image4.png" descr="C:\Users\Dainer Marin.DESKTOP-4MBGTMM\Desktop\Logo H.R. Juan Carlos Vargas\Logo Cámara.png"/>
                  <pic:cNvPicPr preferRelativeResize="0"/>
                </pic:nvPicPr>
                <pic:blipFill>
                  <a:blip r:embed="rId3"/>
                  <a:srcRect/>
                  <a:stretch>
                    <a:fillRect/>
                  </a:stretch>
                </pic:blipFill>
                <pic:spPr>
                  <a:xfrm>
                    <a:off x="0" y="0"/>
                    <a:ext cx="2155825" cy="6356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6707"/>
    <w:multiLevelType w:val="multilevel"/>
    <w:tmpl w:val="8AA0A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BA1854"/>
    <w:multiLevelType w:val="multilevel"/>
    <w:tmpl w:val="0CD00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5002F6"/>
    <w:multiLevelType w:val="multilevel"/>
    <w:tmpl w:val="8C4E07D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C711EE6"/>
    <w:multiLevelType w:val="multilevel"/>
    <w:tmpl w:val="18DC04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96"/>
    <w:rsid w:val="00367C96"/>
    <w:rsid w:val="009B187E"/>
    <w:rsid w:val="00B334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A6D4"/>
  <w15:docId w15:val="{61C5724D-D687-40DE-AE67-CF3DF59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0C9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F201A"/>
    <w:pPr>
      <w:ind w:left="720"/>
      <w:contextualSpacing/>
    </w:pPr>
  </w:style>
  <w:style w:type="table" w:styleId="Tablaconcuadrcula">
    <w:name w:val="Table Grid"/>
    <w:basedOn w:val="Tablanormal"/>
    <w:uiPriority w:val="39"/>
    <w:rsid w:val="00860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521F3"/>
    <w:pPr>
      <w:tabs>
        <w:tab w:val="center" w:pos="4419"/>
        <w:tab w:val="right" w:pos="8838"/>
      </w:tabs>
    </w:pPr>
  </w:style>
  <w:style w:type="character" w:customStyle="1" w:styleId="EncabezadoCar">
    <w:name w:val="Encabezado Car"/>
    <w:basedOn w:val="Fuentedeprrafopredeter"/>
    <w:link w:val="Encabezado"/>
    <w:uiPriority w:val="99"/>
    <w:rsid w:val="005521F3"/>
  </w:style>
  <w:style w:type="paragraph" w:styleId="Piedepgina">
    <w:name w:val="footer"/>
    <w:basedOn w:val="Normal"/>
    <w:link w:val="PiedepginaCar"/>
    <w:uiPriority w:val="99"/>
    <w:unhideWhenUsed/>
    <w:rsid w:val="005521F3"/>
    <w:pPr>
      <w:tabs>
        <w:tab w:val="center" w:pos="4419"/>
        <w:tab w:val="right" w:pos="8838"/>
      </w:tabs>
    </w:pPr>
  </w:style>
  <w:style w:type="character" w:customStyle="1" w:styleId="PiedepginaCar">
    <w:name w:val="Pie de página Car"/>
    <w:basedOn w:val="Fuentedeprrafopredeter"/>
    <w:link w:val="Piedepgina"/>
    <w:uiPriority w:val="99"/>
    <w:rsid w:val="005521F3"/>
  </w:style>
  <w:style w:type="paragraph" w:styleId="NormalWeb">
    <w:name w:val="Normal (Web)"/>
    <w:basedOn w:val="Normal"/>
    <w:uiPriority w:val="99"/>
    <w:unhideWhenUsed/>
    <w:rsid w:val="00E74FC1"/>
    <w:pPr>
      <w:widowControl/>
      <w:spacing w:before="100" w:beforeAutospacing="1" w:after="100" w:afterAutospacing="1"/>
    </w:pPr>
    <w:rPr>
      <w:rFonts w:ascii="Times New Roman" w:eastAsia="Times New Roman" w:hAnsi="Times New Roman" w:cs="Times New Roman"/>
      <w:sz w:val="24"/>
      <w:szCs w:val="24"/>
      <w:lang w:val="es-CO"/>
    </w:rPr>
  </w:style>
  <w:style w:type="paragraph" w:styleId="Textodeglobo">
    <w:name w:val="Balloon Text"/>
    <w:basedOn w:val="Normal"/>
    <w:link w:val="TextodegloboCar"/>
    <w:uiPriority w:val="99"/>
    <w:semiHidden/>
    <w:unhideWhenUsed/>
    <w:rsid w:val="00B334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3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ane.gov.co/files/investigaciones/condiciones_vida/pobreza/2021/cp_pobreza_multidimensional_21.pdf" TargetMode="External"/><Relationship Id="rId2" Type="http://schemas.openxmlformats.org/officeDocument/2006/relationships/hyperlink" Target="http://comunal.mininterior.gov.co/documentos/Bot%C3%B3n%20Dotaciones%20Comunales/2.%20Dotaciones%20Comunales.pdf" TargetMode="External"/><Relationship Id="rId1" Type="http://schemas.openxmlformats.org/officeDocument/2006/relationships/hyperlink" Target="http://comunal.mininterior.gov.co/documentos/NORMATIVIDAD/Presentaciones/" TargetMode="External"/><Relationship Id="rId4" Type="http://schemas.openxmlformats.org/officeDocument/2006/relationships/hyperlink" Target="https://buenaventuraenlinea.com/radiografia-de-la-pobreza-en-colombia-en-2021-economi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CmAuI1osrS5JOMHmmdy8Y7nyg==">CgMxLjAyCGguZ2pkZ3hzMgloLjMwajB6bGw4AHIhMV9ZNkkxV1lqLTRlRG1UU0hwd2dRYkhsLS1jRElCZVVU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9480</Words>
  <Characters>52143</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Daniel Ricardo Reyes Plata</cp:lastModifiedBy>
  <cp:revision>2</cp:revision>
  <cp:lastPrinted>2024-07-23T13:58:00Z</cp:lastPrinted>
  <dcterms:created xsi:type="dcterms:W3CDTF">2024-07-23T14:05:00Z</dcterms:created>
  <dcterms:modified xsi:type="dcterms:W3CDTF">2024-07-23T14:05:00Z</dcterms:modified>
</cp:coreProperties>
</file>