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CE966" w14:textId="77777777" w:rsidR="00D510B8" w:rsidRPr="00287741" w:rsidRDefault="00D510B8" w:rsidP="00D510B8"/>
    <w:p w14:paraId="2692E5DE" w14:textId="194B21DA" w:rsidR="00D510B8" w:rsidRPr="00B537EE" w:rsidRDefault="00D510B8" w:rsidP="00D510B8">
      <w:pPr>
        <w:pStyle w:val="Cuerpo"/>
        <w:jc w:val="center"/>
        <w:rPr>
          <w:rFonts w:eastAsia="Arial Bold"/>
          <w:b/>
        </w:rPr>
      </w:pPr>
      <w:r w:rsidRPr="00B537EE">
        <w:rPr>
          <w:b/>
          <w:lang w:val="pt-PT"/>
        </w:rPr>
        <w:t>PROYECTO DE LEY No</w:t>
      </w:r>
      <w:r w:rsidR="00216B4A">
        <w:rPr>
          <w:b/>
          <w:lang w:val="pt-PT"/>
        </w:rPr>
        <w:t xml:space="preserve">   </w:t>
      </w:r>
      <w:r w:rsidRPr="00B537EE">
        <w:rPr>
          <w:b/>
          <w:lang w:val="pt-PT"/>
        </w:rPr>
        <w:t xml:space="preserve"> DE 201</w:t>
      </w:r>
      <w:r w:rsidR="00392FA6" w:rsidRPr="00B537EE">
        <w:rPr>
          <w:b/>
          <w:lang w:val="pt-PT"/>
        </w:rPr>
        <w:t>7</w:t>
      </w:r>
      <w:r w:rsidRPr="00B537EE">
        <w:rPr>
          <w:b/>
          <w:lang w:val="pt-PT"/>
        </w:rPr>
        <w:t xml:space="preserve"> </w:t>
      </w:r>
    </w:p>
    <w:p w14:paraId="6C893A21" w14:textId="77777777" w:rsidR="00D510B8" w:rsidRPr="00B537EE" w:rsidRDefault="00D510B8" w:rsidP="00D510B8">
      <w:pPr>
        <w:pStyle w:val="Cuerpo"/>
        <w:rPr>
          <w:rFonts w:eastAsia="Arial Bold"/>
        </w:rPr>
      </w:pPr>
    </w:p>
    <w:p w14:paraId="678804F0" w14:textId="1716B817" w:rsidR="00D510B8" w:rsidRPr="00B537EE" w:rsidRDefault="00D510B8" w:rsidP="00D510B8">
      <w:pPr>
        <w:pStyle w:val="Cuerpo"/>
        <w:jc w:val="center"/>
        <w:rPr>
          <w:rFonts w:eastAsia="Arial Bold"/>
        </w:rPr>
      </w:pPr>
      <w:r w:rsidRPr="00B537EE">
        <w:rPr>
          <w:b/>
          <w:bCs/>
          <w:i/>
          <w:iCs/>
          <w:lang w:val="es-ES"/>
        </w:rPr>
        <w:t xml:space="preserve">“Por medio de la cual se crean medidas para </w:t>
      </w:r>
      <w:r w:rsidR="00392FA6" w:rsidRPr="00B537EE">
        <w:rPr>
          <w:b/>
          <w:bCs/>
          <w:i/>
          <w:iCs/>
          <w:lang w:val="es-ES"/>
        </w:rPr>
        <w:t xml:space="preserve">mejorar la calidad del servicio </w:t>
      </w:r>
      <w:r w:rsidRPr="00B537EE">
        <w:rPr>
          <w:b/>
          <w:bCs/>
          <w:i/>
          <w:iCs/>
          <w:lang w:val="es-ES"/>
        </w:rPr>
        <w:t>de atención en salud”</w:t>
      </w:r>
    </w:p>
    <w:p w14:paraId="68325C41" w14:textId="77777777" w:rsidR="00D510B8" w:rsidRPr="00B537EE" w:rsidRDefault="00D510B8" w:rsidP="00D510B8">
      <w:pPr>
        <w:pStyle w:val="Cuerpo"/>
        <w:jc w:val="center"/>
        <w:rPr>
          <w:rFonts w:eastAsia="Arial Bold"/>
        </w:rPr>
      </w:pPr>
    </w:p>
    <w:p w14:paraId="6F0A071F" w14:textId="77777777" w:rsidR="00D510B8" w:rsidRPr="00B537EE" w:rsidRDefault="00D510B8" w:rsidP="00D510B8">
      <w:pPr>
        <w:pStyle w:val="Cuerpo"/>
        <w:jc w:val="center"/>
        <w:rPr>
          <w:rFonts w:eastAsia="Arial Bold"/>
        </w:rPr>
      </w:pPr>
      <w:r w:rsidRPr="00B537EE">
        <w:rPr>
          <w:lang w:val="pt-PT"/>
        </w:rPr>
        <w:t>EL CONGRESO DE COLOMBIA</w:t>
      </w:r>
    </w:p>
    <w:p w14:paraId="6EC02479" w14:textId="77777777" w:rsidR="00D510B8" w:rsidRPr="00B537EE" w:rsidRDefault="00D510B8" w:rsidP="00D510B8">
      <w:pPr>
        <w:pStyle w:val="Cuerpo"/>
        <w:jc w:val="center"/>
        <w:rPr>
          <w:rFonts w:eastAsia="Arial Bold"/>
        </w:rPr>
      </w:pPr>
    </w:p>
    <w:p w14:paraId="5C442BAB" w14:textId="77777777" w:rsidR="00D510B8" w:rsidRPr="00B537EE" w:rsidRDefault="00D510B8" w:rsidP="00D510B8">
      <w:pPr>
        <w:pStyle w:val="Cuerpo"/>
        <w:jc w:val="center"/>
        <w:rPr>
          <w:lang w:val="es-ES"/>
        </w:rPr>
      </w:pPr>
      <w:r w:rsidRPr="00B537EE">
        <w:t>DECRETA</w:t>
      </w:r>
    </w:p>
    <w:p w14:paraId="3E4C26BF" w14:textId="77777777" w:rsidR="00D510B8" w:rsidRPr="00B537EE" w:rsidRDefault="00D510B8" w:rsidP="00D510B8"/>
    <w:p w14:paraId="0A774F3F" w14:textId="79863A0B" w:rsidR="00D510B8" w:rsidRPr="00CB43DD" w:rsidRDefault="00D510B8" w:rsidP="00D510B8">
      <w:pPr>
        <w:jc w:val="both"/>
        <w:rPr>
          <w:rFonts w:eastAsia="Times New Roman"/>
          <w:color w:val="000000"/>
          <w:lang w:val="es-CO"/>
        </w:rPr>
      </w:pPr>
      <w:r w:rsidRPr="00B537EE">
        <w:rPr>
          <w:rFonts w:eastAsia="Times New Roman"/>
          <w:b/>
          <w:color w:val="000000"/>
          <w:lang w:val="es-CO"/>
        </w:rPr>
        <w:t>Artículo 1º. Objeto</w:t>
      </w:r>
      <w:r w:rsidRPr="00B537EE">
        <w:rPr>
          <w:rFonts w:eastAsia="Times New Roman"/>
          <w:color w:val="000000"/>
          <w:lang w:val="es-CO"/>
        </w:rPr>
        <w:t>. Establecer un conjunto de sanciones administrativas para las prácticas violatorias del derecho fundamental a la salud</w:t>
      </w:r>
      <w:r w:rsidR="00FD6159" w:rsidRPr="00B537EE">
        <w:rPr>
          <w:rFonts w:eastAsia="Times New Roman"/>
          <w:color w:val="000000"/>
          <w:lang w:val="es-CO"/>
        </w:rPr>
        <w:t xml:space="preserve"> </w:t>
      </w:r>
      <w:r w:rsidRPr="00B537EE">
        <w:rPr>
          <w:rFonts w:eastAsia="Times New Roman"/>
          <w:color w:val="000000"/>
          <w:lang w:val="es-CO"/>
        </w:rPr>
        <w:t>que condicione los resultados económicos</w:t>
      </w:r>
      <w:r w:rsidR="00FD6159" w:rsidRPr="00B537EE">
        <w:rPr>
          <w:rFonts w:eastAsia="Times New Roman"/>
          <w:color w:val="000000"/>
          <w:lang w:val="es-CO"/>
        </w:rPr>
        <w:t xml:space="preserve"> y financieros</w:t>
      </w:r>
      <w:r w:rsidRPr="00B537EE">
        <w:rPr>
          <w:rFonts w:eastAsia="Times New Roman"/>
          <w:color w:val="000000"/>
          <w:lang w:val="es-CO"/>
        </w:rPr>
        <w:t xml:space="preserve"> de las Empresas Administradoras de Planes de Beneficios (EAPB)</w:t>
      </w:r>
      <w:r w:rsidR="00C102C7" w:rsidRPr="00B537EE">
        <w:rPr>
          <w:rFonts w:eastAsia="Times New Roman"/>
          <w:color w:val="000000"/>
          <w:lang w:val="es-CO"/>
        </w:rPr>
        <w:t xml:space="preserve"> </w:t>
      </w:r>
      <w:r w:rsidR="00C102C7" w:rsidRPr="00B537EE">
        <w:rPr>
          <w:rFonts w:eastAsia="Times New Roman"/>
          <w:color w:val="000000"/>
          <w:bdr w:val="nil"/>
          <w:lang w:val="es-CO" w:eastAsia="es-CO"/>
        </w:rPr>
        <w:t>e Instituciones Prestadoras de</w:t>
      </w:r>
      <w:r w:rsidR="004D1555" w:rsidRPr="00B537EE">
        <w:rPr>
          <w:rFonts w:eastAsia="Times New Roman"/>
          <w:color w:val="000000"/>
          <w:bdr w:val="nil"/>
          <w:lang w:val="es-CO" w:eastAsia="es-CO"/>
        </w:rPr>
        <w:t xml:space="preserve"> </w:t>
      </w:r>
      <w:r w:rsidR="00C102C7" w:rsidRPr="00B537EE">
        <w:rPr>
          <w:rFonts w:eastAsia="Times New Roman"/>
          <w:color w:val="000000"/>
          <w:bdr w:val="nil"/>
          <w:lang w:val="es-CO" w:eastAsia="es-CO"/>
        </w:rPr>
        <w:t>Salud (IPS)</w:t>
      </w:r>
      <w:r w:rsidRPr="00B537EE">
        <w:rPr>
          <w:rFonts w:eastAsia="Times New Roman"/>
          <w:color w:val="000000"/>
          <w:lang w:val="es-CO"/>
        </w:rPr>
        <w:t xml:space="preserve"> a la calidad </w:t>
      </w:r>
      <w:r w:rsidR="00832CAD" w:rsidRPr="00B537EE">
        <w:rPr>
          <w:rFonts w:eastAsia="Times New Roman"/>
          <w:color w:val="000000"/>
          <w:lang w:val="es-CO"/>
        </w:rPr>
        <w:t xml:space="preserve">de los servicios prestados por éstas. </w:t>
      </w:r>
      <w:r w:rsidR="00B537EE" w:rsidRPr="00B537EE">
        <w:rPr>
          <w:rFonts w:eastAsia="Times New Roman"/>
          <w:color w:val="000000"/>
          <w:u w:color="000000"/>
          <w:lang w:val="es-CO"/>
        </w:rPr>
        <w:t>Igual</w:t>
      </w:r>
      <w:r w:rsidR="00D73BDC">
        <w:rPr>
          <w:rFonts w:eastAsia="Times New Roman"/>
          <w:color w:val="000000"/>
          <w:u w:color="000000"/>
          <w:lang w:val="es-CO"/>
        </w:rPr>
        <w:t>mente, crear un Sistema de Pago</w:t>
      </w:r>
      <w:r w:rsidR="00B537EE" w:rsidRPr="00B537EE">
        <w:rPr>
          <w:rFonts w:eastAsia="Times New Roman"/>
          <w:color w:val="000000"/>
          <w:u w:color="000000"/>
          <w:lang w:val="es-CO"/>
        </w:rPr>
        <w:t xml:space="preserve"> por Desempeño destinado a mejorar la </w:t>
      </w:r>
      <w:r w:rsidR="00485FEA">
        <w:rPr>
          <w:rFonts w:eastAsia="Times New Roman"/>
          <w:color w:val="000000"/>
          <w:u w:color="000000"/>
          <w:lang w:val="es-CO"/>
        </w:rPr>
        <w:t xml:space="preserve">calidad del servicio de atención en salud. </w:t>
      </w:r>
    </w:p>
    <w:p w14:paraId="1E27DFE8" w14:textId="77777777" w:rsidR="00D510B8" w:rsidRPr="00B537EE" w:rsidRDefault="00D510B8" w:rsidP="00D510B8">
      <w:pPr>
        <w:jc w:val="both"/>
        <w:rPr>
          <w:rFonts w:eastAsia="Times New Roman"/>
          <w:color w:val="000000"/>
          <w:u w:color="000000"/>
          <w:lang w:val="es-CO"/>
        </w:rPr>
      </w:pPr>
    </w:p>
    <w:p w14:paraId="7AC58DB6" w14:textId="57738B19" w:rsidR="00D510B8" w:rsidRPr="00892C07" w:rsidRDefault="00D510B8" w:rsidP="00D510B8">
      <w:pPr>
        <w:jc w:val="both"/>
        <w:rPr>
          <w:rFonts w:eastAsia="Times New Roman"/>
          <w:color w:val="000000"/>
          <w:lang w:val="es-CO"/>
        </w:rPr>
      </w:pPr>
      <w:r w:rsidRPr="00B537EE">
        <w:rPr>
          <w:rFonts w:eastAsia="Times New Roman"/>
          <w:b/>
          <w:color w:val="000000"/>
          <w:lang w:val="es-CO"/>
        </w:rPr>
        <w:t>Artículo 2º.</w:t>
      </w:r>
      <w:r w:rsidRPr="00B537EE">
        <w:rPr>
          <w:rFonts w:eastAsia="Times New Roman"/>
          <w:color w:val="000000"/>
          <w:lang w:val="es-CO"/>
        </w:rPr>
        <w:t xml:space="preserve"> </w:t>
      </w:r>
      <w:r w:rsidRPr="00B537EE">
        <w:rPr>
          <w:rFonts w:eastAsia="Times New Roman"/>
          <w:b/>
          <w:color w:val="000000"/>
          <w:lang w:val="es-CO"/>
        </w:rPr>
        <w:t>Conductas sancionables</w:t>
      </w:r>
      <w:r w:rsidRPr="00B537EE">
        <w:rPr>
          <w:rFonts w:eastAsia="Times New Roman"/>
          <w:color w:val="000000"/>
          <w:lang w:val="es-CO"/>
        </w:rPr>
        <w:t xml:space="preserve">. </w:t>
      </w:r>
      <w:r w:rsidR="00892C07">
        <w:rPr>
          <w:rFonts w:eastAsia="Times New Roman"/>
          <w:color w:val="000000"/>
          <w:lang w:val="es-CO"/>
        </w:rPr>
        <w:t xml:space="preserve">Los </w:t>
      </w:r>
      <w:r w:rsidR="00D73BDC">
        <w:rPr>
          <w:rFonts w:eastAsia="Times New Roman"/>
          <w:color w:val="000000"/>
          <w:lang w:val="es-CO"/>
        </w:rPr>
        <w:t xml:space="preserve">organismos de inspección, vigilancia y </w:t>
      </w:r>
      <w:r w:rsidR="00892C07">
        <w:rPr>
          <w:rFonts w:eastAsia="Times New Roman"/>
          <w:color w:val="000000"/>
          <w:lang w:val="es-CO"/>
        </w:rPr>
        <w:t xml:space="preserve">control del Sistema </w:t>
      </w:r>
      <w:r w:rsidR="00D73BDC">
        <w:rPr>
          <w:rFonts w:eastAsia="Times New Roman"/>
          <w:color w:val="000000"/>
          <w:lang w:val="es-CO"/>
        </w:rPr>
        <w:t>General de Seguridad Social en</w:t>
      </w:r>
      <w:r w:rsidR="00892C07">
        <w:rPr>
          <w:rFonts w:eastAsia="Times New Roman"/>
          <w:color w:val="000000"/>
          <w:lang w:val="es-CO"/>
        </w:rPr>
        <w:t xml:space="preserve"> Salud </w:t>
      </w:r>
      <w:r w:rsidRPr="00B537EE">
        <w:rPr>
          <w:rFonts w:eastAsia="Times New Roman"/>
          <w:color w:val="000000"/>
          <w:bdr w:val="nil"/>
          <w:lang w:val="es-CO" w:eastAsia="es-CO"/>
        </w:rPr>
        <w:t>impondrá</w:t>
      </w:r>
      <w:r w:rsidR="00892C07">
        <w:rPr>
          <w:rFonts w:eastAsia="Times New Roman"/>
          <w:color w:val="000000"/>
          <w:bdr w:val="nil"/>
          <w:lang w:val="es-CO" w:eastAsia="es-CO"/>
        </w:rPr>
        <w:t>n</w:t>
      </w:r>
      <w:r w:rsidRPr="00B537EE">
        <w:rPr>
          <w:rFonts w:eastAsia="Times New Roman"/>
          <w:color w:val="000000"/>
          <w:bdr w:val="nil"/>
          <w:lang w:val="es-CO" w:eastAsia="es-CO"/>
        </w:rPr>
        <w:t xml:space="preserve"> las sanciones de las que trata la presente ley ante el desempeño deficiente de las </w:t>
      </w:r>
      <w:r w:rsidR="00D73BDC">
        <w:rPr>
          <w:rFonts w:eastAsia="Times New Roman"/>
          <w:color w:val="000000"/>
          <w:bdr w:val="nil"/>
          <w:lang w:val="es-CO" w:eastAsia="es-CO"/>
        </w:rPr>
        <w:t xml:space="preserve">EAPB </w:t>
      </w:r>
      <w:r w:rsidR="00D46A96" w:rsidRPr="00B537EE">
        <w:rPr>
          <w:rFonts w:eastAsia="Times New Roman"/>
          <w:color w:val="000000"/>
          <w:bdr w:val="nil"/>
          <w:lang w:val="es-CO" w:eastAsia="es-CO"/>
        </w:rPr>
        <w:t xml:space="preserve">e IPS </w:t>
      </w:r>
      <w:r w:rsidRPr="00B537EE">
        <w:rPr>
          <w:rFonts w:eastAsia="Times New Roman"/>
          <w:color w:val="000000"/>
          <w:bdr w:val="nil"/>
          <w:lang w:val="es-CO" w:eastAsia="es-CO"/>
        </w:rPr>
        <w:t>en aspectos de: (i)</w:t>
      </w:r>
      <w:r w:rsidR="00D0648C" w:rsidRPr="00B537EE">
        <w:rPr>
          <w:rFonts w:eastAsia="Times New Roman"/>
          <w:color w:val="000000"/>
          <w:bdr w:val="nil"/>
          <w:lang w:val="es-CO" w:eastAsia="es-CO"/>
        </w:rPr>
        <w:t xml:space="preserve"> oportunidad y</w:t>
      </w:r>
      <w:r w:rsidRPr="00B537EE">
        <w:rPr>
          <w:rFonts w:eastAsia="Times New Roman"/>
          <w:color w:val="000000"/>
          <w:bdr w:val="nil"/>
          <w:lang w:val="es-CO" w:eastAsia="es-CO"/>
        </w:rPr>
        <w:t xml:space="preserve"> acceso a servicios de sal</w:t>
      </w:r>
      <w:r w:rsidR="00B94004" w:rsidRPr="00B537EE">
        <w:rPr>
          <w:rFonts w:eastAsia="Times New Roman"/>
          <w:color w:val="000000"/>
          <w:bdr w:val="nil"/>
          <w:lang w:val="es-CO" w:eastAsia="es-CO"/>
        </w:rPr>
        <w:t>ud; (ii)</w:t>
      </w:r>
      <w:r w:rsidRPr="00B537EE">
        <w:rPr>
          <w:rFonts w:eastAsia="Times New Roman"/>
          <w:color w:val="000000"/>
          <w:bdr w:val="nil"/>
          <w:lang w:val="es-CO" w:eastAsia="es-CO"/>
        </w:rPr>
        <w:t xml:space="preserve"> satisfacción </w:t>
      </w:r>
      <w:r w:rsidR="0023329B">
        <w:rPr>
          <w:rFonts w:eastAsia="Times New Roman"/>
          <w:color w:val="000000"/>
          <w:bdr w:val="nil"/>
          <w:lang w:val="es-CO" w:eastAsia="es-CO"/>
        </w:rPr>
        <w:t xml:space="preserve">y lealtad </w:t>
      </w:r>
      <w:r w:rsidRPr="00B537EE">
        <w:rPr>
          <w:rFonts w:eastAsia="Times New Roman"/>
          <w:color w:val="000000"/>
          <w:bdr w:val="nil"/>
          <w:lang w:val="es-CO" w:eastAsia="es-CO"/>
        </w:rPr>
        <w:t>del usuario; (i</w:t>
      </w:r>
      <w:r w:rsidR="00B94004" w:rsidRPr="00B537EE">
        <w:rPr>
          <w:rFonts w:eastAsia="Times New Roman"/>
          <w:color w:val="000000"/>
          <w:bdr w:val="nil"/>
          <w:lang w:val="es-CO" w:eastAsia="es-CO"/>
        </w:rPr>
        <w:t>i</w:t>
      </w:r>
      <w:r w:rsidRPr="00B537EE">
        <w:rPr>
          <w:rFonts w:eastAsia="Times New Roman"/>
          <w:color w:val="000000"/>
          <w:bdr w:val="nil"/>
          <w:lang w:val="es-CO" w:eastAsia="es-CO"/>
        </w:rPr>
        <w:t xml:space="preserve">i) </w:t>
      </w:r>
      <w:r w:rsidR="007E3E24" w:rsidRPr="00B537EE">
        <w:rPr>
          <w:rFonts w:eastAsia="Times New Roman"/>
          <w:color w:val="000000"/>
          <w:bdr w:val="nil"/>
          <w:lang w:val="es-CO" w:eastAsia="es-CO"/>
        </w:rPr>
        <w:t>facilidad en</w:t>
      </w:r>
      <w:r w:rsidR="00B94004" w:rsidRPr="00B537EE">
        <w:rPr>
          <w:rFonts w:eastAsia="Times New Roman"/>
          <w:color w:val="000000"/>
          <w:bdr w:val="nil"/>
          <w:lang w:val="es-CO" w:eastAsia="es-CO"/>
        </w:rPr>
        <w:t xml:space="preserve"> la afiliación.</w:t>
      </w:r>
    </w:p>
    <w:p w14:paraId="07DA756F" w14:textId="77777777" w:rsidR="00D510B8" w:rsidRPr="00B537EE" w:rsidRDefault="00D510B8" w:rsidP="00D510B8">
      <w:pPr>
        <w:rPr>
          <w:rFonts w:eastAsia="Times New Roman"/>
          <w:color w:val="000000"/>
          <w:u w:color="000000"/>
          <w:bdr w:val="nil"/>
          <w:lang w:val="es-CO" w:eastAsia="es-CO"/>
        </w:rPr>
      </w:pPr>
    </w:p>
    <w:p w14:paraId="0C445490" w14:textId="1E91DDC9" w:rsidR="00322185" w:rsidRPr="00B537EE" w:rsidRDefault="00D510B8" w:rsidP="00322185">
      <w:pPr>
        <w:pStyle w:val="Cuerpo"/>
        <w:jc w:val="both"/>
        <w:rPr>
          <w:b/>
          <w:color w:val="auto"/>
          <w:lang w:val="es-ES"/>
        </w:rPr>
      </w:pPr>
      <w:r w:rsidRPr="00B537EE">
        <w:rPr>
          <w:b/>
          <w:bdr w:val="nil"/>
          <w:lang w:eastAsia="es-CO"/>
        </w:rPr>
        <w:t xml:space="preserve">Artículo 3°. </w:t>
      </w:r>
      <w:r w:rsidR="009C190E" w:rsidRPr="00B537EE">
        <w:rPr>
          <w:b/>
          <w:bdr w:val="nil"/>
          <w:lang w:eastAsia="es-CO"/>
        </w:rPr>
        <w:t xml:space="preserve">Definiciones. </w:t>
      </w:r>
      <w:r w:rsidR="009C190E" w:rsidRPr="00B537EE">
        <w:rPr>
          <w:bdr w:val="nil"/>
          <w:lang w:eastAsia="es-CO"/>
        </w:rPr>
        <w:t xml:space="preserve">Para efectos de lo establecido en la presente ley, </w:t>
      </w:r>
      <w:r w:rsidR="00322185" w:rsidRPr="00B537EE">
        <w:rPr>
          <w:color w:val="auto"/>
          <w:lang w:val="es-ES"/>
        </w:rPr>
        <w:t>se tendrán las siguientes definiciones:</w:t>
      </w:r>
      <w:r w:rsidR="00322185" w:rsidRPr="00B537EE">
        <w:rPr>
          <w:b/>
          <w:color w:val="auto"/>
          <w:lang w:val="es-ES"/>
        </w:rPr>
        <w:t xml:space="preserve"> </w:t>
      </w:r>
    </w:p>
    <w:p w14:paraId="2613F1DE" w14:textId="79DC11D8" w:rsidR="00746950" w:rsidRPr="00B537EE" w:rsidRDefault="00832CAD" w:rsidP="00746950">
      <w:pPr>
        <w:pStyle w:val="NormalWeb"/>
        <w:numPr>
          <w:ilvl w:val="0"/>
          <w:numId w:val="3"/>
        </w:numPr>
        <w:shd w:val="clear" w:color="auto" w:fill="FFFFFF"/>
        <w:spacing w:after="120" w:afterAutospacing="0"/>
        <w:ind w:left="714" w:hanging="357"/>
        <w:jc w:val="both"/>
        <w:rPr>
          <w:rFonts w:eastAsia="Times New Roman"/>
          <w:color w:val="000000"/>
          <w:u w:color="000000"/>
          <w:bdr w:val="nil"/>
          <w:lang w:val="es-CO" w:eastAsia="es-CO"/>
        </w:rPr>
      </w:pPr>
      <w:r w:rsidRPr="00B537EE">
        <w:rPr>
          <w:rFonts w:eastAsia="Times New Roman"/>
          <w:b/>
          <w:color w:val="000000"/>
          <w:u w:color="000000"/>
          <w:bdr w:val="nil"/>
          <w:lang w:val="es-CO" w:eastAsia="es-CO"/>
        </w:rPr>
        <w:t>Atención</w:t>
      </w:r>
      <w:r w:rsidR="005368E1" w:rsidRPr="00B537EE">
        <w:rPr>
          <w:rFonts w:eastAsia="Times New Roman"/>
          <w:b/>
          <w:color w:val="000000"/>
          <w:u w:color="000000"/>
          <w:bdr w:val="nil"/>
          <w:lang w:val="es-CO" w:eastAsia="es-CO"/>
        </w:rPr>
        <w:t xml:space="preserve"> de s</w:t>
      </w:r>
      <w:r w:rsidR="00746950" w:rsidRPr="00B537EE">
        <w:rPr>
          <w:rFonts w:eastAsia="Times New Roman"/>
          <w:b/>
          <w:color w:val="000000"/>
          <w:u w:color="000000"/>
          <w:bdr w:val="nil"/>
          <w:lang w:val="es-CO" w:eastAsia="es-CO"/>
        </w:rPr>
        <w:t>alud</w:t>
      </w:r>
      <w:r w:rsidR="00746950" w:rsidRPr="00B537EE">
        <w:rPr>
          <w:rFonts w:eastAsia="Times New Roman"/>
          <w:color w:val="000000"/>
          <w:u w:color="000000"/>
          <w:bdr w:val="nil"/>
          <w:lang w:val="es-CO" w:eastAsia="es-CO"/>
        </w:rPr>
        <w:t xml:space="preserve">. </w:t>
      </w:r>
      <w:r w:rsidR="00833005">
        <w:rPr>
          <w:rFonts w:eastAsia="Times New Roman"/>
          <w:color w:val="000000"/>
          <w:u w:color="000000"/>
          <w:bdr w:val="nil"/>
          <w:lang w:val="es-CO" w:eastAsia="es-CO"/>
        </w:rPr>
        <w:t>Conjunto</w:t>
      </w:r>
      <w:r w:rsidR="00746950" w:rsidRPr="00B537EE">
        <w:rPr>
          <w:rFonts w:eastAsia="Times New Roman"/>
          <w:color w:val="000000"/>
          <w:u w:color="000000"/>
          <w:bdr w:val="nil"/>
          <w:lang w:val="es-CO" w:eastAsia="es-CO"/>
        </w:rPr>
        <w:t xml:space="preserve"> de servicios que se prestan al usuario en el marco de los pr</w:t>
      </w:r>
      <w:r w:rsidR="00833005">
        <w:rPr>
          <w:rFonts w:eastAsia="Times New Roman"/>
          <w:color w:val="000000"/>
          <w:u w:color="000000"/>
          <w:bdr w:val="nil"/>
          <w:lang w:val="es-CO" w:eastAsia="es-CO"/>
        </w:rPr>
        <w:t>ocesos propios del aseguramient</w:t>
      </w:r>
      <w:r w:rsidR="00416447">
        <w:rPr>
          <w:rFonts w:eastAsia="Times New Roman"/>
          <w:color w:val="000000"/>
          <w:u w:color="000000"/>
          <w:bdr w:val="nil"/>
          <w:lang w:val="es-CO" w:eastAsia="es-CO"/>
        </w:rPr>
        <w:t>o</w:t>
      </w:r>
      <w:r w:rsidR="00746950" w:rsidRPr="00B537EE">
        <w:rPr>
          <w:rFonts w:eastAsia="Times New Roman"/>
          <w:color w:val="000000"/>
          <w:u w:color="000000"/>
          <w:bdr w:val="nil"/>
          <w:lang w:val="es-CO" w:eastAsia="es-CO"/>
        </w:rPr>
        <w:t xml:space="preserve">, </w:t>
      </w:r>
      <w:r w:rsidRPr="00B537EE">
        <w:rPr>
          <w:rFonts w:eastAsia="Times New Roman"/>
          <w:color w:val="000000"/>
          <w:u w:color="000000"/>
          <w:bdr w:val="nil"/>
          <w:lang w:val="es-CO" w:eastAsia="es-CO"/>
        </w:rPr>
        <w:t>así</w:t>
      </w:r>
      <w:r w:rsidR="00746950" w:rsidRPr="00B537EE">
        <w:rPr>
          <w:rFonts w:eastAsia="Times New Roman"/>
          <w:color w:val="000000"/>
          <w:u w:color="000000"/>
          <w:bdr w:val="nil"/>
          <w:lang w:val="es-CO" w:eastAsia="es-CO"/>
        </w:rPr>
        <w:t xml:space="preserve"> como de las actividades, procedimientos e intervenciones asistenciales en las fases de </w:t>
      </w:r>
      <w:r w:rsidR="00416447" w:rsidRPr="00B537EE">
        <w:rPr>
          <w:rFonts w:eastAsia="Times New Roman"/>
          <w:color w:val="000000"/>
          <w:u w:color="000000"/>
          <w:bdr w:val="nil"/>
          <w:lang w:val="es-CO" w:eastAsia="es-CO"/>
        </w:rPr>
        <w:t>promoción</w:t>
      </w:r>
      <w:r w:rsidR="00416447">
        <w:rPr>
          <w:rFonts w:eastAsia="Times New Roman"/>
          <w:color w:val="000000"/>
          <w:u w:color="000000"/>
          <w:bdr w:val="nil"/>
          <w:lang w:val="es-CO" w:eastAsia="es-CO"/>
        </w:rPr>
        <w:t xml:space="preserve"> y</w:t>
      </w:r>
      <w:r w:rsidR="00746950" w:rsidRPr="00B537EE">
        <w:rPr>
          <w:rFonts w:eastAsia="Times New Roman"/>
          <w:color w:val="000000"/>
          <w:u w:color="000000"/>
          <w:bdr w:val="nil"/>
          <w:lang w:val="es-CO" w:eastAsia="es-CO"/>
        </w:rPr>
        <w:t xml:space="preserve"> </w:t>
      </w:r>
      <w:r w:rsidRPr="00B537EE">
        <w:rPr>
          <w:rFonts w:eastAsia="Times New Roman"/>
          <w:color w:val="000000"/>
          <w:u w:color="000000"/>
          <w:bdr w:val="nil"/>
          <w:lang w:val="es-CO" w:eastAsia="es-CO"/>
        </w:rPr>
        <w:t>prevención</w:t>
      </w:r>
      <w:r w:rsidR="00746950" w:rsidRPr="00B537EE">
        <w:rPr>
          <w:rFonts w:eastAsia="Times New Roman"/>
          <w:color w:val="000000"/>
          <w:u w:color="000000"/>
          <w:bdr w:val="nil"/>
          <w:lang w:val="es-CO" w:eastAsia="es-CO"/>
        </w:rPr>
        <w:t xml:space="preserve">, </w:t>
      </w:r>
      <w:r w:rsidRPr="00B537EE">
        <w:rPr>
          <w:rFonts w:eastAsia="Times New Roman"/>
          <w:color w:val="000000"/>
          <w:u w:color="000000"/>
          <w:bdr w:val="nil"/>
          <w:lang w:val="es-CO" w:eastAsia="es-CO"/>
        </w:rPr>
        <w:t>diagnóstico</w:t>
      </w:r>
      <w:r w:rsidR="00746950" w:rsidRPr="00B537EE">
        <w:rPr>
          <w:rFonts w:eastAsia="Times New Roman"/>
          <w:color w:val="000000"/>
          <w:u w:color="000000"/>
          <w:bdr w:val="nil"/>
          <w:lang w:val="es-CO" w:eastAsia="es-CO"/>
        </w:rPr>
        <w:t xml:space="preserve">, tratamiento y </w:t>
      </w:r>
      <w:r w:rsidRPr="00B537EE">
        <w:rPr>
          <w:rFonts w:eastAsia="Times New Roman"/>
          <w:color w:val="000000"/>
          <w:u w:color="000000"/>
          <w:bdr w:val="nil"/>
          <w:lang w:val="es-CO" w:eastAsia="es-CO"/>
        </w:rPr>
        <w:t>rehabilitación</w:t>
      </w:r>
      <w:r w:rsidR="00746950" w:rsidRPr="00B537EE">
        <w:rPr>
          <w:rFonts w:eastAsia="Times New Roman"/>
          <w:color w:val="000000"/>
          <w:u w:color="000000"/>
          <w:bdr w:val="nil"/>
          <w:lang w:val="es-CO" w:eastAsia="es-CO"/>
        </w:rPr>
        <w:t xml:space="preserve"> que se prestan a toda la </w:t>
      </w:r>
      <w:r w:rsidRPr="00B537EE">
        <w:rPr>
          <w:rFonts w:eastAsia="Times New Roman"/>
          <w:color w:val="000000"/>
          <w:u w:color="000000"/>
          <w:bdr w:val="nil"/>
          <w:lang w:val="es-CO" w:eastAsia="es-CO"/>
        </w:rPr>
        <w:t>población</w:t>
      </w:r>
      <w:r w:rsidR="00746950" w:rsidRPr="00B537EE">
        <w:rPr>
          <w:rFonts w:eastAsia="Times New Roman"/>
          <w:color w:val="000000"/>
          <w:u w:color="000000"/>
          <w:bdr w:val="nil"/>
          <w:lang w:val="es-CO" w:eastAsia="es-CO"/>
        </w:rPr>
        <w:t>.</w:t>
      </w:r>
    </w:p>
    <w:p w14:paraId="70932412" w14:textId="3F22AB7B" w:rsidR="00746950" w:rsidRPr="00B537EE" w:rsidRDefault="00746950" w:rsidP="00746950">
      <w:pPr>
        <w:pStyle w:val="NormalWeb"/>
        <w:numPr>
          <w:ilvl w:val="0"/>
          <w:numId w:val="3"/>
        </w:numPr>
        <w:shd w:val="clear" w:color="auto" w:fill="FFFFFF"/>
        <w:spacing w:after="120" w:afterAutospacing="0"/>
        <w:ind w:left="714" w:hanging="357"/>
        <w:jc w:val="both"/>
        <w:rPr>
          <w:rFonts w:eastAsia="Times New Roman"/>
          <w:color w:val="000000"/>
          <w:u w:color="000000"/>
          <w:bdr w:val="nil"/>
          <w:lang w:val="es-CO" w:eastAsia="es-CO"/>
        </w:rPr>
      </w:pPr>
      <w:r w:rsidRPr="00B537EE">
        <w:rPr>
          <w:rFonts w:eastAsia="Times New Roman"/>
          <w:b/>
          <w:color w:val="000000"/>
          <w:u w:color="000000"/>
          <w:bdr w:val="nil"/>
          <w:lang w:val="es-CO" w:eastAsia="es-CO"/>
        </w:rPr>
        <w:t xml:space="preserve">Calidad de la </w:t>
      </w:r>
      <w:r w:rsidR="00832CAD" w:rsidRPr="00B537EE">
        <w:rPr>
          <w:rFonts w:eastAsia="Times New Roman"/>
          <w:b/>
          <w:color w:val="000000"/>
          <w:u w:color="000000"/>
          <w:bdr w:val="nil"/>
          <w:lang w:val="es-CO" w:eastAsia="es-CO"/>
        </w:rPr>
        <w:t>atención</w:t>
      </w:r>
      <w:r w:rsidRPr="00B537EE">
        <w:rPr>
          <w:rFonts w:eastAsia="Times New Roman"/>
          <w:b/>
          <w:color w:val="000000"/>
          <w:u w:color="000000"/>
          <w:bdr w:val="nil"/>
          <w:lang w:val="es-CO" w:eastAsia="es-CO"/>
        </w:rPr>
        <w:t xml:space="preserve"> de salud</w:t>
      </w:r>
      <w:r w:rsidR="003B0756">
        <w:rPr>
          <w:rFonts w:eastAsia="Times New Roman"/>
          <w:color w:val="000000"/>
          <w:u w:color="000000"/>
          <w:bdr w:val="nil"/>
          <w:lang w:val="es-CO" w:eastAsia="es-CO"/>
        </w:rPr>
        <w:t>. P</w:t>
      </w:r>
      <w:r w:rsidR="00832CAD" w:rsidRPr="00B537EE">
        <w:rPr>
          <w:rFonts w:eastAsia="Times New Roman"/>
          <w:color w:val="000000"/>
          <w:u w:color="000000"/>
          <w:bdr w:val="nil"/>
          <w:lang w:val="es-CO" w:eastAsia="es-CO"/>
        </w:rPr>
        <w:t>rovisión</w:t>
      </w:r>
      <w:r w:rsidRPr="00B537EE">
        <w:rPr>
          <w:rFonts w:eastAsia="Times New Roman"/>
          <w:color w:val="000000"/>
          <w:u w:color="000000"/>
          <w:bdr w:val="nil"/>
          <w:lang w:val="es-CO" w:eastAsia="es-CO"/>
        </w:rPr>
        <w:t xml:space="preserve"> de servicios de salud a los usuarios individuales y colectivos de manera accesible y equitativa, a </w:t>
      </w:r>
      <w:r w:rsidR="00832CAD" w:rsidRPr="00B537EE">
        <w:rPr>
          <w:rFonts w:eastAsia="Times New Roman"/>
          <w:color w:val="000000"/>
          <w:u w:color="000000"/>
          <w:bdr w:val="nil"/>
          <w:lang w:val="es-CO" w:eastAsia="es-CO"/>
        </w:rPr>
        <w:t>través</w:t>
      </w:r>
      <w:r w:rsidRPr="00B537EE">
        <w:rPr>
          <w:rFonts w:eastAsia="Times New Roman"/>
          <w:color w:val="000000"/>
          <w:u w:color="000000"/>
          <w:bdr w:val="nil"/>
          <w:lang w:val="es-CO" w:eastAsia="es-CO"/>
        </w:rPr>
        <w:t xml:space="preserve"> de un nivel profesional </w:t>
      </w:r>
      <w:r w:rsidR="00832CAD" w:rsidRPr="00B537EE">
        <w:rPr>
          <w:rFonts w:eastAsia="Times New Roman"/>
          <w:color w:val="000000"/>
          <w:u w:color="000000"/>
          <w:bdr w:val="nil"/>
          <w:lang w:val="es-CO" w:eastAsia="es-CO"/>
        </w:rPr>
        <w:t>óptimo</w:t>
      </w:r>
      <w:r w:rsidRPr="00B537EE">
        <w:rPr>
          <w:rFonts w:eastAsia="Times New Roman"/>
          <w:color w:val="000000"/>
          <w:u w:color="000000"/>
          <w:bdr w:val="nil"/>
          <w:lang w:val="es-CO" w:eastAsia="es-CO"/>
        </w:rPr>
        <w:t xml:space="preserve">, teniendo en cuenta el balance entre beneficios, riesgos y costos, con el </w:t>
      </w:r>
      <w:r w:rsidR="00832CAD" w:rsidRPr="00B537EE">
        <w:rPr>
          <w:rFonts w:eastAsia="Times New Roman"/>
          <w:color w:val="000000"/>
          <w:u w:color="000000"/>
          <w:bdr w:val="nil"/>
          <w:lang w:val="es-CO" w:eastAsia="es-CO"/>
        </w:rPr>
        <w:t>propósito</w:t>
      </w:r>
      <w:r w:rsidRPr="00B537EE">
        <w:rPr>
          <w:rFonts w:eastAsia="Times New Roman"/>
          <w:color w:val="000000"/>
          <w:u w:color="000000"/>
          <w:bdr w:val="nil"/>
          <w:lang w:val="es-CO" w:eastAsia="es-CO"/>
        </w:rPr>
        <w:t xml:space="preserve"> de lograr la </w:t>
      </w:r>
      <w:r w:rsidR="00832CAD" w:rsidRPr="00B537EE">
        <w:rPr>
          <w:rFonts w:eastAsia="Times New Roman"/>
          <w:color w:val="000000"/>
          <w:u w:color="000000"/>
          <w:bdr w:val="nil"/>
          <w:lang w:val="es-CO" w:eastAsia="es-CO"/>
        </w:rPr>
        <w:t>adhesión</w:t>
      </w:r>
      <w:r w:rsidRPr="00B537EE">
        <w:rPr>
          <w:rFonts w:eastAsia="Times New Roman"/>
          <w:color w:val="000000"/>
          <w:u w:color="000000"/>
          <w:bdr w:val="nil"/>
          <w:lang w:val="es-CO" w:eastAsia="es-CO"/>
        </w:rPr>
        <w:t xml:space="preserve"> y </w:t>
      </w:r>
      <w:r w:rsidR="00832CAD" w:rsidRPr="00B537EE">
        <w:rPr>
          <w:rFonts w:eastAsia="Times New Roman"/>
          <w:color w:val="000000"/>
          <w:u w:color="000000"/>
          <w:bdr w:val="nil"/>
          <w:lang w:val="es-CO" w:eastAsia="es-CO"/>
        </w:rPr>
        <w:t>satisfacción</w:t>
      </w:r>
      <w:r w:rsidRPr="00B537EE">
        <w:rPr>
          <w:rFonts w:eastAsia="Times New Roman"/>
          <w:color w:val="000000"/>
          <w:u w:color="000000"/>
          <w:bdr w:val="nil"/>
          <w:lang w:val="es-CO" w:eastAsia="es-CO"/>
        </w:rPr>
        <w:t xml:space="preserve"> de dichos usuarios. </w:t>
      </w:r>
    </w:p>
    <w:p w14:paraId="598693F6" w14:textId="58DBD572" w:rsidR="00885F05" w:rsidRPr="00B537EE" w:rsidRDefault="001B7B54" w:rsidP="00885F05">
      <w:pPr>
        <w:pStyle w:val="Prrafodelista"/>
        <w:numPr>
          <w:ilvl w:val="0"/>
          <w:numId w:val="3"/>
        </w:numPr>
        <w:spacing w:after="120"/>
        <w:ind w:left="714" w:hanging="357"/>
        <w:contextualSpacing w:val="0"/>
        <w:jc w:val="both"/>
        <w:rPr>
          <w:rFonts w:ascii="Times New Roman" w:eastAsia="Times New Roman" w:hAnsi="Times New Roman" w:cs="Times New Roman"/>
          <w:color w:val="000000"/>
          <w:u w:color="000000"/>
          <w:bdr w:val="nil"/>
          <w:lang w:val="es-CO" w:eastAsia="es-CO"/>
        </w:rPr>
      </w:pPr>
      <w:r w:rsidRPr="00B537EE">
        <w:rPr>
          <w:rFonts w:ascii="Times New Roman" w:eastAsia="Times New Roman" w:hAnsi="Times New Roman" w:cs="Times New Roman"/>
          <w:b/>
          <w:color w:val="000000"/>
          <w:u w:color="000000"/>
          <w:bdr w:val="nil"/>
          <w:lang w:val="es-CO" w:eastAsia="es-CO"/>
        </w:rPr>
        <w:t>Oportunidad</w:t>
      </w:r>
      <w:r w:rsidR="005368E1" w:rsidRPr="00B537EE">
        <w:rPr>
          <w:rFonts w:ascii="Times New Roman" w:eastAsia="Times New Roman" w:hAnsi="Times New Roman" w:cs="Times New Roman"/>
          <w:b/>
          <w:color w:val="000000"/>
          <w:u w:color="000000"/>
          <w:bdr w:val="nil"/>
          <w:lang w:val="es-CO" w:eastAsia="es-CO"/>
        </w:rPr>
        <w:t xml:space="preserve"> en prestación </w:t>
      </w:r>
      <w:r w:rsidR="00CC7517" w:rsidRPr="00B537EE">
        <w:rPr>
          <w:rFonts w:ascii="Times New Roman" w:eastAsia="Times New Roman" w:hAnsi="Times New Roman" w:cs="Times New Roman"/>
          <w:b/>
          <w:color w:val="000000"/>
          <w:u w:color="000000"/>
          <w:bdr w:val="nil"/>
          <w:lang w:val="es-CO" w:eastAsia="es-CO"/>
        </w:rPr>
        <w:t xml:space="preserve">de </w:t>
      </w:r>
      <w:r w:rsidR="005368E1" w:rsidRPr="00B537EE">
        <w:rPr>
          <w:rFonts w:ascii="Times New Roman" w:eastAsia="Times New Roman" w:hAnsi="Times New Roman" w:cs="Times New Roman"/>
          <w:b/>
          <w:color w:val="000000"/>
          <w:u w:color="000000"/>
          <w:bdr w:val="nil"/>
          <w:lang w:val="es-CO" w:eastAsia="es-CO"/>
        </w:rPr>
        <w:t xml:space="preserve">servicios </w:t>
      </w:r>
      <w:r w:rsidR="00CC7517" w:rsidRPr="00B537EE">
        <w:rPr>
          <w:rFonts w:ascii="Times New Roman" w:eastAsia="Times New Roman" w:hAnsi="Times New Roman" w:cs="Times New Roman"/>
          <w:b/>
          <w:color w:val="000000"/>
          <w:u w:color="000000"/>
          <w:bdr w:val="nil"/>
          <w:lang w:val="es-CO" w:eastAsia="es-CO"/>
        </w:rPr>
        <w:t xml:space="preserve">de </w:t>
      </w:r>
      <w:r w:rsidR="005368E1" w:rsidRPr="00B537EE">
        <w:rPr>
          <w:rFonts w:ascii="Times New Roman" w:eastAsia="Times New Roman" w:hAnsi="Times New Roman" w:cs="Times New Roman"/>
          <w:b/>
          <w:color w:val="000000"/>
          <w:u w:color="000000"/>
          <w:bdr w:val="nil"/>
          <w:lang w:val="es-CO" w:eastAsia="es-CO"/>
        </w:rPr>
        <w:t>salud</w:t>
      </w:r>
      <w:r w:rsidR="007A37BE">
        <w:rPr>
          <w:rFonts w:ascii="Arial" w:hAnsi="Arial" w:cs="Arial"/>
          <w:b/>
          <w:bCs/>
          <w:lang w:eastAsia="en-US"/>
        </w:rPr>
        <w:t>. </w:t>
      </w:r>
      <w:r w:rsidR="007A37BE" w:rsidRPr="00DB16AA">
        <w:rPr>
          <w:rFonts w:ascii="Times New Roman" w:eastAsia="Times New Roman" w:hAnsi="Times New Roman" w:cs="Times New Roman"/>
          <w:color w:val="000000"/>
          <w:u w:color="000000"/>
          <w:bdr w:val="nil"/>
          <w:lang w:val="es-CO" w:eastAsia="es-CO"/>
        </w:rPr>
        <w:t>Es la posibilidad que tiene el usuario de obtener los servicios que requiere, sin que se presenten retrasos que pongan en riesgo su vida o su salud. Esta característica se relaciona con la organización de la oferta de servicios en relación con la demanda y con el nivel de coordinación institucional para gestionar el acceso a los servicios</w:t>
      </w:r>
      <w:r w:rsidR="007A37BE">
        <w:rPr>
          <w:rFonts w:ascii="Arial" w:hAnsi="Arial" w:cs="Arial"/>
          <w:lang w:eastAsia="en-US"/>
        </w:rPr>
        <w:t>.</w:t>
      </w:r>
    </w:p>
    <w:p w14:paraId="25C663A4" w14:textId="3C258677" w:rsidR="009828BC" w:rsidRPr="00416447" w:rsidRDefault="00DB16AA" w:rsidP="00AD5EB3">
      <w:pPr>
        <w:pStyle w:val="Prrafodelista"/>
        <w:numPr>
          <w:ilvl w:val="0"/>
          <w:numId w:val="3"/>
        </w:numPr>
        <w:spacing w:after="120"/>
        <w:contextualSpacing w:val="0"/>
        <w:jc w:val="both"/>
        <w:rPr>
          <w:rFonts w:ascii="Times New Roman" w:eastAsia="Times New Roman" w:hAnsi="Times New Roman" w:cs="Times New Roman"/>
          <w:b/>
          <w:color w:val="000000"/>
          <w:u w:color="000000"/>
          <w:bdr w:val="nil"/>
          <w:lang w:val="es-CO" w:eastAsia="es-CO"/>
        </w:rPr>
      </w:pPr>
      <w:r w:rsidRPr="00416447">
        <w:rPr>
          <w:rFonts w:ascii="Times New Roman" w:eastAsia="Times New Roman" w:hAnsi="Times New Roman" w:cs="Times New Roman"/>
          <w:b/>
          <w:color w:val="000000"/>
          <w:u w:color="000000"/>
          <w:bdr w:val="nil"/>
          <w:lang w:val="es-CO" w:eastAsia="es-CO"/>
        </w:rPr>
        <w:t>Plan de Beneficios</w:t>
      </w:r>
      <w:r w:rsidRPr="00416447">
        <w:rPr>
          <w:rFonts w:ascii="Times New Roman" w:eastAsia="Times New Roman" w:hAnsi="Times New Roman" w:cs="Times New Roman"/>
          <w:color w:val="000000"/>
          <w:u w:color="000000"/>
          <w:bdr w:val="nil"/>
          <w:lang w:val="es-CO" w:eastAsia="es-CO"/>
        </w:rPr>
        <w:t>.</w:t>
      </w:r>
      <w:r w:rsidR="00CA565D" w:rsidRPr="00416447">
        <w:rPr>
          <w:rFonts w:ascii="Times New Roman" w:eastAsia="Times New Roman" w:hAnsi="Times New Roman" w:cs="Times New Roman"/>
          <w:color w:val="000000"/>
          <w:u w:color="000000"/>
          <w:bdr w:val="nil"/>
          <w:lang w:val="es-CO" w:eastAsia="es-CO"/>
        </w:rPr>
        <w:t xml:space="preserve"> </w:t>
      </w:r>
      <w:r w:rsidRPr="00416447">
        <w:rPr>
          <w:rFonts w:ascii="Times New Roman" w:hAnsi="Times New Roman" w:cs="Times New Roman"/>
          <w:lang w:eastAsia="en-US"/>
        </w:rPr>
        <w:t>Es el conjunto de tecnologías en salud a que tienen derecho los afiliados al Sistema General de Seguridad Social en Salud definido conforme a la normativa vigente, el cual será modificado y tendrá el alcance que se determine en la reglamentación que expida el Ministerio de Salud y Protección Social en desarrollo de lo establecido en el artículo 15 de la Ley 1751 de 2015</w:t>
      </w:r>
      <w:r w:rsidRPr="00416447">
        <w:rPr>
          <w:rFonts w:ascii="Arial" w:hAnsi="Arial" w:cs="Arial"/>
          <w:lang w:eastAsia="en-US"/>
        </w:rPr>
        <w:t>.</w:t>
      </w:r>
      <w:r w:rsidR="00416447" w:rsidRPr="00416447">
        <w:rPr>
          <w:rFonts w:ascii="Arial" w:hAnsi="Arial" w:cs="Arial"/>
          <w:lang w:eastAsia="en-US"/>
        </w:rPr>
        <w:t xml:space="preserve"> </w:t>
      </w:r>
    </w:p>
    <w:p w14:paraId="46E945C5" w14:textId="419D5AC4" w:rsidR="00D510B8" w:rsidRPr="00FD260C" w:rsidRDefault="009C190E" w:rsidP="00D510B8">
      <w:pPr>
        <w:jc w:val="both"/>
        <w:rPr>
          <w:rFonts w:eastAsia="Times New Roman"/>
          <w:color w:val="000000"/>
          <w:bdr w:val="nil"/>
          <w:lang w:val="es-CO" w:eastAsia="es-CO"/>
        </w:rPr>
      </w:pPr>
      <w:r w:rsidRPr="00FD260C">
        <w:rPr>
          <w:rFonts w:eastAsia="Times New Roman"/>
          <w:b/>
          <w:color w:val="000000"/>
          <w:bdr w:val="nil"/>
          <w:lang w:val="es-CO" w:eastAsia="es-CO"/>
        </w:rPr>
        <w:lastRenderedPageBreak/>
        <w:t xml:space="preserve">Artículo 4°. </w:t>
      </w:r>
      <w:r w:rsidR="00D510B8" w:rsidRPr="00FD260C">
        <w:rPr>
          <w:rFonts w:eastAsia="Times New Roman"/>
          <w:b/>
          <w:color w:val="000000"/>
          <w:bdr w:val="nil"/>
          <w:lang w:val="es-CO" w:eastAsia="es-CO"/>
        </w:rPr>
        <w:t xml:space="preserve">Indicadores. </w:t>
      </w:r>
      <w:r w:rsidR="00D510B8" w:rsidRPr="00FD260C">
        <w:rPr>
          <w:rFonts w:eastAsia="Times New Roman"/>
          <w:color w:val="000000"/>
          <w:bdr w:val="nil"/>
          <w:lang w:val="es-CO" w:eastAsia="es-CO"/>
        </w:rPr>
        <w:t>Para efectos de lo señalado en la presente ley, se establecerá el desempeño deficiente de una Empresa Administradora de Planes de Beneficios (EAPB)</w:t>
      </w:r>
      <w:r w:rsidR="00C102C7" w:rsidRPr="00FD260C">
        <w:rPr>
          <w:rFonts w:eastAsia="Times New Roman"/>
          <w:color w:val="000000"/>
          <w:bdr w:val="nil"/>
          <w:lang w:val="es-CO" w:eastAsia="es-CO"/>
        </w:rPr>
        <w:t xml:space="preserve"> </w:t>
      </w:r>
      <w:r w:rsidR="000F0FA2" w:rsidRPr="00FD260C">
        <w:rPr>
          <w:rFonts w:eastAsia="Times New Roman"/>
          <w:color w:val="000000"/>
          <w:bdr w:val="nil"/>
          <w:lang w:val="es-CO" w:eastAsia="es-CO"/>
        </w:rPr>
        <w:t>y/o</w:t>
      </w:r>
      <w:r w:rsidR="00C102C7" w:rsidRPr="00FD260C">
        <w:rPr>
          <w:rFonts w:eastAsia="Times New Roman"/>
          <w:color w:val="000000"/>
          <w:bdr w:val="nil"/>
          <w:lang w:val="es-CO" w:eastAsia="es-CO"/>
        </w:rPr>
        <w:t xml:space="preserve"> </w:t>
      </w:r>
      <w:r w:rsidR="001C351D" w:rsidRPr="00FD260C">
        <w:rPr>
          <w:rFonts w:eastAsia="Times New Roman"/>
          <w:color w:val="000000"/>
          <w:bdr w:val="nil"/>
          <w:lang w:val="es-CO" w:eastAsia="es-CO"/>
        </w:rPr>
        <w:t>de una Institución Prestadora</w:t>
      </w:r>
      <w:r w:rsidR="00C102C7" w:rsidRPr="00FD260C">
        <w:rPr>
          <w:rFonts w:eastAsia="Times New Roman"/>
          <w:color w:val="000000"/>
          <w:bdr w:val="nil"/>
          <w:lang w:val="es-CO" w:eastAsia="es-CO"/>
        </w:rPr>
        <w:t xml:space="preserve"> de Salud (IPS)</w:t>
      </w:r>
      <w:r w:rsidR="00D510B8" w:rsidRPr="00FD260C">
        <w:rPr>
          <w:rFonts w:eastAsia="Times New Roman"/>
          <w:color w:val="000000"/>
          <w:bdr w:val="nil"/>
          <w:lang w:val="es-CO" w:eastAsia="es-CO"/>
        </w:rPr>
        <w:t xml:space="preserve">, de conformidad </w:t>
      </w:r>
      <w:r w:rsidR="008D6526" w:rsidRPr="00FD260C">
        <w:rPr>
          <w:rFonts w:eastAsia="Times New Roman"/>
          <w:color w:val="000000"/>
          <w:bdr w:val="nil"/>
          <w:lang w:val="es-CO" w:eastAsia="es-CO"/>
        </w:rPr>
        <w:t xml:space="preserve">con </w:t>
      </w:r>
      <w:r w:rsidR="004030E9" w:rsidRPr="00FD260C">
        <w:rPr>
          <w:rFonts w:eastAsia="Times New Roman"/>
          <w:color w:val="000000"/>
          <w:bdr w:val="nil"/>
          <w:lang w:val="es-CO" w:eastAsia="es-CO"/>
        </w:rPr>
        <w:t>un umbral de desempeño</w:t>
      </w:r>
      <w:r w:rsidR="008D6526" w:rsidRPr="00FD260C">
        <w:rPr>
          <w:rFonts w:eastAsia="Times New Roman"/>
          <w:color w:val="000000"/>
          <w:bdr w:val="nil"/>
          <w:lang w:val="es-CO" w:eastAsia="es-CO"/>
        </w:rPr>
        <w:t xml:space="preserve"> mínimo </w:t>
      </w:r>
      <w:r w:rsidR="004030E9" w:rsidRPr="00FD260C">
        <w:rPr>
          <w:rFonts w:eastAsia="Times New Roman"/>
          <w:color w:val="000000"/>
          <w:bdr w:val="nil"/>
          <w:lang w:val="es-CO" w:eastAsia="es-CO"/>
        </w:rPr>
        <w:t>de</w:t>
      </w:r>
      <w:r w:rsidR="00D510B8" w:rsidRPr="00FD260C">
        <w:rPr>
          <w:rFonts w:eastAsia="Times New Roman"/>
          <w:color w:val="000000"/>
          <w:bdr w:val="nil"/>
          <w:lang w:val="es-CO" w:eastAsia="es-CO"/>
        </w:rPr>
        <w:t xml:space="preserve"> los siguientes indicadores: </w:t>
      </w:r>
    </w:p>
    <w:p w14:paraId="7E26836F" w14:textId="77777777" w:rsidR="00D510B8" w:rsidRPr="00B537EE" w:rsidRDefault="00D510B8" w:rsidP="00D510B8">
      <w:pPr>
        <w:jc w:val="both"/>
        <w:rPr>
          <w:rFonts w:eastAsia="Times New Roman"/>
          <w:color w:val="000000"/>
          <w:u w:color="000000"/>
          <w:lang w:val="es-CO"/>
        </w:rPr>
      </w:pPr>
    </w:p>
    <w:p w14:paraId="0B5581CC" w14:textId="0D106C44" w:rsidR="00F83533" w:rsidRPr="00B537EE" w:rsidRDefault="00FB4CC2" w:rsidP="00FB4CC2">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t>Tiempo promedio de espera para la asignación de cita de medicina general</w:t>
      </w:r>
      <w:r w:rsidR="00F83533" w:rsidRPr="00B537EE">
        <w:rPr>
          <w:rFonts w:eastAsia="Times New Roman" w:cs="Times New Roman"/>
          <w:lang w:val="es-CO"/>
        </w:rPr>
        <w:t xml:space="preserve">; </w:t>
      </w:r>
      <w:r w:rsidR="00727B8E" w:rsidRPr="00B537EE">
        <w:rPr>
          <w:rFonts w:eastAsia="Times New Roman" w:cs="Times New Roman"/>
          <w:lang w:val="es-CO"/>
        </w:rPr>
        <w:t xml:space="preserve">se debe </w:t>
      </w:r>
      <w:r w:rsidR="00F83533" w:rsidRPr="00B537EE">
        <w:rPr>
          <w:rFonts w:eastAsia="Times New Roman" w:cs="Times New Roman"/>
          <w:lang w:val="es-CO"/>
        </w:rPr>
        <w:t>g</w:t>
      </w:r>
      <w:r w:rsidRPr="00B537EE">
        <w:rPr>
          <w:rFonts w:eastAsia="Times New Roman" w:cs="Times New Roman"/>
          <w:lang w:val="es-CO"/>
        </w:rPr>
        <w:t>arantizar que este indicador sea inferior a 3 días</w:t>
      </w:r>
      <w:r w:rsidR="00F83533" w:rsidRPr="00B537EE">
        <w:rPr>
          <w:rFonts w:eastAsia="Times New Roman" w:cs="Times New Roman"/>
          <w:lang w:val="es-CO"/>
        </w:rPr>
        <w:t>.</w:t>
      </w:r>
      <w:r w:rsidR="00750F7A" w:rsidRPr="00B537EE">
        <w:rPr>
          <w:rFonts w:eastAsia="Times New Roman" w:cs="Times New Roman"/>
          <w:lang w:val="es-CO"/>
        </w:rPr>
        <w:t xml:space="preserve"> </w:t>
      </w:r>
    </w:p>
    <w:p w14:paraId="31C594CE" w14:textId="62189C01" w:rsidR="00211274" w:rsidRPr="00B537EE" w:rsidRDefault="00211274" w:rsidP="00211274">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t>Tiempo promedio de espera para la asigna</w:t>
      </w:r>
      <w:r w:rsidR="00A01D0E" w:rsidRPr="00B537EE">
        <w:rPr>
          <w:rFonts w:eastAsia="Times New Roman" w:cs="Times New Roman"/>
          <w:lang w:val="es-CO"/>
        </w:rPr>
        <w:t>ción de cita de medicina interna</w:t>
      </w:r>
      <w:r w:rsidRPr="00B537EE">
        <w:rPr>
          <w:rFonts w:eastAsia="Times New Roman" w:cs="Times New Roman"/>
          <w:lang w:val="es-CO"/>
        </w:rPr>
        <w:t xml:space="preserve">; </w:t>
      </w:r>
      <w:r w:rsidR="00DA7C3F" w:rsidRPr="00B537EE">
        <w:rPr>
          <w:rFonts w:eastAsia="Times New Roman" w:cs="Times New Roman"/>
          <w:lang w:val="es-CO"/>
        </w:rPr>
        <w:t>se debe</w:t>
      </w:r>
      <w:r w:rsidRPr="00B537EE">
        <w:rPr>
          <w:rFonts w:eastAsia="Times New Roman" w:cs="Times New Roman"/>
          <w:lang w:val="es-CO"/>
        </w:rPr>
        <w:t xml:space="preserve"> garantizar que este indicador </w:t>
      </w:r>
      <w:r w:rsidR="00306D30">
        <w:rPr>
          <w:rFonts w:eastAsia="Times New Roman" w:cs="Times New Roman"/>
          <w:lang w:val="es-CO"/>
        </w:rPr>
        <w:t>sea inferior a 2</w:t>
      </w:r>
      <w:r w:rsidR="00A01D0E" w:rsidRPr="00B537EE">
        <w:rPr>
          <w:rFonts w:eastAsia="Times New Roman" w:cs="Times New Roman"/>
          <w:lang w:val="es-CO"/>
        </w:rPr>
        <w:t>0</w:t>
      </w:r>
      <w:r w:rsidRPr="00B537EE">
        <w:rPr>
          <w:rFonts w:eastAsia="Times New Roman" w:cs="Times New Roman"/>
          <w:lang w:val="es-CO"/>
        </w:rPr>
        <w:t xml:space="preserve"> días.</w:t>
      </w:r>
    </w:p>
    <w:p w14:paraId="11D4F954" w14:textId="57B05456" w:rsidR="003E0FCF" w:rsidRPr="00B537EE" w:rsidRDefault="003E0FCF" w:rsidP="003E0FCF">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t xml:space="preserve">Tiempo promedio de espera para la asignación de cita de </w:t>
      </w:r>
      <w:r w:rsidR="00832CAD" w:rsidRPr="00B537EE">
        <w:rPr>
          <w:rFonts w:eastAsia="Times New Roman" w:cs="Times New Roman"/>
          <w:lang w:val="es-CO"/>
        </w:rPr>
        <w:t>pediatría</w:t>
      </w:r>
      <w:r w:rsidRPr="00B537EE">
        <w:rPr>
          <w:rFonts w:eastAsia="Times New Roman" w:cs="Times New Roman"/>
          <w:lang w:val="es-CO"/>
        </w:rPr>
        <w:t xml:space="preserve">; </w:t>
      </w:r>
      <w:r w:rsidR="00DA7C3F" w:rsidRPr="00B537EE">
        <w:rPr>
          <w:rFonts w:eastAsia="Times New Roman" w:cs="Times New Roman"/>
          <w:lang w:val="es-CO"/>
        </w:rPr>
        <w:t xml:space="preserve">se debe </w:t>
      </w:r>
      <w:r w:rsidRPr="00B537EE">
        <w:rPr>
          <w:rFonts w:eastAsia="Times New Roman" w:cs="Times New Roman"/>
          <w:lang w:val="es-CO"/>
        </w:rPr>
        <w:t>garantizar que</w:t>
      </w:r>
      <w:r w:rsidR="00C63775">
        <w:rPr>
          <w:rFonts w:eastAsia="Times New Roman" w:cs="Times New Roman"/>
          <w:lang w:val="es-CO"/>
        </w:rPr>
        <w:t xml:space="preserve"> este indicador sea inferior a 7</w:t>
      </w:r>
      <w:r w:rsidRPr="00B537EE">
        <w:rPr>
          <w:rFonts w:eastAsia="Times New Roman" w:cs="Times New Roman"/>
          <w:lang w:val="es-CO"/>
        </w:rPr>
        <w:t xml:space="preserve"> días.</w:t>
      </w:r>
    </w:p>
    <w:p w14:paraId="6DBC6FCE" w14:textId="0240969B" w:rsidR="003E0FCF" w:rsidRPr="00B537EE" w:rsidRDefault="003E0FCF" w:rsidP="003E0FCF">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t xml:space="preserve">Tiempo promedio de espera para la asignación de cita de </w:t>
      </w:r>
      <w:r w:rsidR="00832CAD" w:rsidRPr="00B537EE">
        <w:rPr>
          <w:rFonts w:eastAsia="Times New Roman" w:cs="Times New Roman"/>
          <w:lang w:val="es-CO"/>
        </w:rPr>
        <w:t>cirugía</w:t>
      </w:r>
      <w:r w:rsidRPr="00B537EE">
        <w:rPr>
          <w:rFonts w:eastAsia="Times New Roman" w:cs="Times New Roman"/>
          <w:lang w:val="es-CO"/>
        </w:rPr>
        <w:t xml:space="preserve"> general</w:t>
      </w:r>
      <w:r w:rsidR="0087383D" w:rsidRPr="00B537EE">
        <w:rPr>
          <w:rFonts w:eastAsia="Times New Roman" w:cs="Times New Roman"/>
          <w:lang w:val="es-CO"/>
        </w:rPr>
        <w:t xml:space="preserve">; </w:t>
      </w:r>
      <w:r w:rsidR="00DA7C3F" w:rsidRPr="00B537EE">
        <w:rPr>
          <w:rFonts w:eastAsia="Times New Roman" w:cs="Times New Roman"/>
          <w:lang w:val="es-CO"/>
        </w:rPr>
        <w:t>se debe</w:t>
      </w:r>
      <w:r w:rsidRPr="00B537EE">
        <w:rPr>
          <w:rFonts w:eastAsia="Times New Roman" w:cs="Times New Roman"/>
          <w:lang w:val="es-CO"/>
        </w:rPr>
        <w:t xml:space="preserve"> garantizar que </w:t>
      </w:r>
      <w:r w:rsidR="00F90796">
        <w:rPr>
          <w:rFonts w:eastAsia="Times New Roman" w:cs="Times New Roman"/>
          <w:lang w:val="es-CO"/>
        </w:rPr>
        <w:t>este indicador sea inferior a 15</w:t>
      </w:r>
      <w:r w:rsidRPr="00B537EE">
        <w:rPr>
          <w:rFonts w:eastAsia="Times New Roman" w:cs="Times New Roman"/>
          <w:lang w:val="es-CO"/>
        </w:rPr>
        <w:t xml:space="preserve"> días.</w:t>
      </w:r>
    </w:p>
    <w:p w14:paraId="04254DEC" w14:textId="59A51FCC" w:rsidR="003E0FCF" w:rsidRPr="00B537EE" w:rsidRDefault="003E0FCF" w:rsidP="003E0FCF">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t>Tiempo promedio de espera para la asignación</w:t>
      </w:r>
      <w:r w:rsidR="00B65DAF">
        <w:rPr>
          <w:rFonts w:eastAsia="Times New Roman" w:cs="Times New Roman"/>
          <w:lang w:val="es-CO"/>
        </w:rPr>
        <w:t xml:space="preserve"> por primera vez</w:t>
      </w:r>
      <w:r w:rsidRPr="00B537EE">
        <w:rPr>
          <w:rFonts w:eastAsia="Times New Roman" w:cs="Times New Roman"/>
          <w:lang w:val="es-CO"/>
        </w:rPr>
        <w:t xml:space="preserve"> de cita de </w:t>
      </w:r>
      <w:r w:rsidR="00832CAD" w:rsidRPr="00B537EE">
        <w:rPr>
          <w:rFonts w:eastAsia="Times New Roman" w:cs="Times New Roman"/>
          <w:lang w:val="es-CO"/>
        </w:rPr>
        <w:t>ginecología</w:t>
      </w:r>
      <w:r w:rsidRPr="00B537EE">
        <w:rPr>
          <w:rFonts w:eastAsia="Times New Roman" w:cs="Times New Roman"/>
          <w:lang w:val="es-CO"/>
        </w:rPr>
        <w:t xml:space="preserve">; </w:t>
      </w:r>
      <w:r w:rsidR="0087383D" w:rsidRPr="00B537EE">
        <w:rPr>
          <w:rFonts w:eastAsia="Times New Roman" w:cs="Times New Roman"/>
          <w:lang w:val="es-CO"/>
        </w:rPr>
        <w:t>se debe</w:t>
      </w:r>
      <w:r w:rsidRPr="00B537EE">
        <w:rPr>
          <w:rFonts w:eastAsia="Times New Roman" w:cs="Times New Roman"/>
          <w:lang w:val="es-CO"/>
        </w:rPr>
        <w:t xml:space="preserve"> garantizar que este indicador sea inferior a 15 días.</w:t>
      </w:r>
    </w:p>
    <w:p w14:paraId="3D48B7A1" w14:textId="0707CB2B" w:rsidR="00837A13" w:rsidRPr="00B537EE" w:rsidRDefault="003E0FCF" w:rsidP="00837A13">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t xml:space="preserve">Tiempo promedio de espera para la asignación de cita de obstetricia; </w:t>
      </w:r>
      <w:r w:rsidR="0087383D" w:rsidRPr="00B537EE">
        <w:rPr>
          <w:rFonts w:eastAsia="Times New Roman" w:cs="Times New Roman"/>
          <w:lang w:val="es-CO"/>
        </w:rPr>
        <w:t xml:space="preserve">se debe </w:t>
      </w:r>
      <w:r w:rsidRPr="00B537EE">
        <w:rPr>
          <w:rFonts w:eastAsia="Times New Roman" w:cs="Times New Roman"/>
          <w:lang w:val="es-CO"/>
        </w:rPr>
        <w:t>garantizar que este indicador sea inferior a 7 días.</w:t>
      </w:r>
    </w:p>
    <w:p w14:paraId="60A08F41" w14:textId="02529256" w:rsidR="00041135" w:rsidRPr="00B537EE" w:rsidRDefault="00041135" w:rsidP="00041135">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t xml:space="preserve">Tiempo promedio de espera para la asignación de cita </w:t>
      </w:r>
      <w:r w:rsidR="00832CAD" w:rsidRPr="00B537EE">
        <w:rPr>
          <w:rFonts w:eastAsia="Times New Roman" w:cs="Times New Roman"/>
          <w:lang w:val="es-CO"/>
        </w:rPr>
        <w:t>odontología</w:t>
      </w:r>
      <w:r w:rsidRPr="00B537EE">
        <w:rPr>
          <w:rFonts w:eastAsia="Times New Roman" w:cs="Times New Roman"/>
          <w:lang w:val="es-CO"/>
        </w:rPr>
        <w:t xml:space="preserve">; </w:t>
      </w:r>
      <w:r w:rsidR="0087383D" w:rsidRPr="00B537EE">
        <w:rPr>
          <w:rFonts w:eastAsia="Times New Roman" w:cs="Times New Roman"/>
          <w:lang w:val="es-CO"/>
        </w:rPr>
        <w:t xml:space="preserve">se debe </w:t>
      </w:r>
      <w:r w:rsidRPr="00B537EE">
        <w:rPr>
          <w:rFonts w:eastAsia="Times New Roman" w:cs="Times New Roman"/>
          <w:lang w:val="es-CO"/>
        </w:rPr>
        <w:t>garantizar que este indicador sea inferior a 3 días.</w:t>
      </w:r>
    </w:p>
    <w:p w14:paraId="35AC30B2" w14:textId="6EE06095" w:rsidR="00A97F23" w:rsidRPr="00A97F23" w:rsidRDefault="00A97F23" w:rsidP="00837A13">
      <w:pPr>
        <w:pStyle w:val="Sinespaciado1"/>
        <w:numPr>
          <w:ilvl w:val="0"/>
          <w:numId w:val="10"/>
        </w:numPr>
        <w:spacing w:after="120"/>
        <w:jc w:val="both"/>
        <w:rPr>
          <w:rFonts w:eastAsia="Times New Roman" w:cs="Times New Roman"/>
          <w:lang w:val="es-CO"/>
        </w:rPr>
      </w:pPr>
      <w:r>
        <w:rPr>
          <w:rFonts w:eastAsia="Times New Roman" w:cs="Times New Roman"/>
          <w:lang w:val="es-CO"/>
        </w:rPr>
        <w:t xml:space="preserve">Tiempo promedio de espera </w:t>
      </w:r>
      <w:r w:rsidR="002554AA">
        <w:rPr>
          <w:rFonts w:eastAsia="Times New Roman" w:cs="Times New Roman"/>
          <w:lang w:val="es-CO"/>
        </w:rPr>
        <w:t>para la toma de resonancia magné</w:t>
      </w:r>
      <w:r>
        <w:rPr>
          <w:rFonts w:eastAsia="Times New Roman" w:cs="Times New Roman"/>
          <w:lang w:val="es-CO"/>
        </w:rPr>
        <w:t xml:space="preserve">tica nuclear; se debe garantizar que sea inferior a 10 días. </w:t>
      </w:r>
    </w:p>
    <w:p w14:paraId="3E49A5C2" w14:textId="63CB1FB6" w:rsidR="00837A13" w:rsidRPr="00B537EE" w:rsidRDefault="00837A13" w:rsidP="00837A13">
      <w:pPr>
        <w:pStyle w:val="Sinespaciado1"/>
        <w:numPr>
          <w:ilvl w:val="0"/>
          <w:numId w:val="10"/>
        </w:numPr>
        <w:spacing w:after="120"/>
        <w:jc w:val="both"/>
        <w:rPr>
          <w:rFonts w:eastAsia="Times New Roman" w:cs="Times New Roman"/>
          <w:lang w:val="es-CO"/>
        </w:rPr>
      </w:pPr>
      <w:r w:rsidRPr="00B537EE">
        <w:rPr>
          <w:rFonts w:eastAsia="Times New Roman" w:cs="Times New Roman"/>
          <w:lang w:val="es-ES_tradnl" w:eastAsia="es-ES_tradnl"/>
        </w:rPr>
        <w:t>Tiempo transcurrido</w:t>
      </w:r>
      <w:r w:rsidR="001A3197" w:rsidRPr="00B537EE">
        <w:rPr>
          <w:rFonts w:eastAsia="Times New Roman" w:cs="Times New Roman"/>
          <w:lang w:val="es-ES_tradnl" w:eastAsia="es-ES_tradnl"/>
        </w:rPr>
        <w:t xml:space="preserve"> en la atención en consulta</w:t>
      </w:r>
      <w:r w:rsidR="00306D30">
        <w:rPr>
          <w:rFonts w:eastAsia="Times New Roman" w:cs="Times New Roman"/>
          <w:lang w:val="es-ES_tradnl" w:eastAsia="es-ES_tradnl"/>
        </w:rPr>
        <w:t xml:space="preserve"> de urgencias - </w:t>
      </w:r>
      <w:proofErr w:type="spellStart"/>
      <w:r w:rsidR="00306D30">
        <w:rPr>
          <w:rFonts w:eastAsia="Times New Roman" w:cs="Times New Roman"/>
          <w:lang w:val="es-ES_tradnl" w:eastAsia="es-ES_tradnl"/>
        </w:rPr>
        <w:t>Triage</w:t>
      </w:r>
      <w:proofErr w:type="spellEnd"/>
      <w:r w:rsidR="00306D30">
        <w:rPr>
          <w:rFonts w:eastAsia="Times New Roman" w:cs="Times New Roman"/>
          <w:lang w:val="es-ES_tradnl" w:eastAsia="es-ES_tradnl"/>
        </w:rPr>
        <w:t xml:space="preserve"> II</w:t>
      </w:r>
      <w:r w:rsidRPr="00B537EE">
        <w:rPr>
          <w:rFonts w:eastAsia="Times New Roman" w:cs="Times New Roman"/>
          <w:lang w:val="es-ES_tradnl" w:eastAsia="es-ES_tradnl"/>
        </w:rPr>
        <w:t xml:space="preserve">; </w:t>
      </w:r>
      <w:r w:rsidR="0087383D" w:rsidRPr="00B537EE">
        <w:rPr>
          <w:rFonts w:eastAsia="Times New Roman" w:cs="Times New Roman"/>
          <w:lang w:val="es-CO"/>
        </w:rPr>
        <w:t xml:space="preserve">se debe </w:t>
      </w:r>
      <w:r w:rsidRPr="00B537EE">
        <w:rPr>
          <w:rFonts w:eastAsia="Times New Roman" w:cs="Times New Roman"/>
          <w:lang w:val="es-ES_tradnl" w:eastAsia="es-ES_tradnl"/>
        </w:rPr>
        <w:t xml:space="preserve">garantizar que </w:t>
      </w:r>
      <w:r w:rsidR="001A3197" w:rsidRPr="00B537EE">
        <w:rPr>
          <w:rFonts w:eastAsia="Times New Roman" w:cs="Times New Roman"/>
          <w:lang w:val="es-ES_tradnl" w:eastAsia="es-ES_tradnl"/>
        </w:rPr>
        <w:t>sea inferior a 30 minutos.</w:t>
      </w:r>
    </w:p>
    <w:p w14:paraId="456840CE" w14:textId="3587C6BE" w:rsidR="001A3197" w:rsidRPr="00B537EE" w:rsidRDefault="008C5D9F" w:rsidP="00837A13">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t xml:space="preserve">Proporción de </w:t>
      </w:r>
      <w:r w:rsidR="00832CAD" w:rsidRPr="00B537EE">
        <w:rPr>
          <w:rFonts w:eastAsia="Times New Roman" w:cs="Times New Roman"/>
          <w:lang w:val="es-CO"/>
        </w:rPr>
        <w:t>satisfacción</w:t>
      </w:r>
      <w:r w:rsidRPr="00B537EE">
        <w:rPr>
          <w:rFonts w:eastAsia="Times New Roman" w:cs="Times New Roman"/>
          <w:lang w:val="es-CO"/>
        </w:rPr>
        <w:t xml:space="preserve"> global de los usuarios en las E</w:t>
      </w:r>
      <w:r w:rsidR="006444CB" w:rsidRPr="00B537EE">
        <w:rPr>
          <w:rFonts w:eastAsia="Times New Roman" w:cs="Times New Roman"/>
          <w:lang w:val="es-CO"/>
        </w:rPr>
        <w:t>APB</w:t>
      </w:r>
      <w:r w:rsidRPr="00B537EE">
        <w:rPr>
          <w:rFonts w:eastAsia="Times New Roman" w:cs="Times New Roman"/>
          <w:lang w:val="es-CO"/>
        </w:rPr>
        <w:t xml:space="preserve">; </w:t>
      </w:r>
      <w:r w:rsidR="0087383D" w:rsidRPr="00B537EE">
        <w:rPr>
          <w:rFonts w:eastAsia="Times New Roman" w:cs="Times New Roman"/>
          <w:lang w:val="es-CO"/>
        </w:rPr>
        <w:t xml:space="preserve">se debe </w:t>
      </w:r>
      <w:r w:rsidRPr="00B537EE">
        <w:rPr>
          <w:rFonts w:eastAsia="Times New Roman" w:cs="Times New Roman"/>
          <w:lang w:val="es-CO"/>
        </w:rPr>
        <w:t>garantizar q</w:t>
      </w:r>
      <w:r w:rsidR="003F603B" w:rsidRPr="00B537EE">
        <w:rPr>
          <w:rFonts w:eastAsia="Times New Roman" w:cs="Times New Roman"/>
          <w:lang w:val="es-CO"/>
        </w:rPr>
        <w:t>ue este indicador sea mayor al 8</w:t>
      </w:r>
      <w:r w:rsidR="000724FE">
        <w:rPr>
          <w:rFonts w:eastAsia="Times New Roman" w:cs="Times New Roman"/>
          <w:lang w:val="es-CO"/>
        </w:rPr>
        <w:t>0</w:t>
      </w:r>
      <w:r w:rsidRPr="00B537EE">
        <w:rPr>
          <w:rFonts w:eastAsia="Times New Roman" w:cs="Times New Roman"/>
          <w:lang w:val="es-CO"/>
        </w:rPr>
        <w:t>%.</w:t>
      </w:r>
    </w:p>
    <w:p w14:paraId="7AB44CEC" w14:textId="1905BCE4" w:rsidR="00837A13" w:rsidRPr="00B537EE" w:rsidRDefault="00832CAD" w:rsidP="00232E0B">
      <w:pPr>
        <w:pStyle w:val="Sinespaciado1"/>
        <w:numPr>
          <w:ilvl w:val="0"/>
          <w:numId w:val="10"/>
        </w:numPr>
        <w:spacing w:after="120"/>
        <w:jc w:val="both"/>
        <w:rPr>
          <w:rFonts w:eastAsia="Times New Roman" w:cs="Times New Roman"/>
          <w:color w:val="000000" w:themeColor="text1"/>
          <w:lang w:val="es-CO"/>
        </w:rPr>
      </w:pPr>
      <w:r w:rsidRPr="00B537EE">
        <w:rPr>
          <w:rFonts w:eastAsia="Times New Roman" w:cs="Times New Roman"/>
          <w:lang w:val="es-CO"/>
        </w:rPr>
        <w:t>Proporción</w:t>
      </w:r>
      <w:r w:rsidR="008C5D9F" w:rsidRPr="00B537EE">
        <w:rPr>
          <w:rFonts w:eastAsia="Times New Roman" w:cs="Times New Roman"/>
          <w:lang w:val="es-CO"/>
        </w:rPr>
        <w:t xml:space="preserve"> de usuarios que </w:t>
      </w:r>
      <w:r w:rsidRPr="00B537EE">
        <w:rPr>
          <w:rFonts w:eastAsia="Times New Roman" w:cs="Times New Roman"/>
          <w:lang w:val="es-CO"/>
        </w:rPr>
        <w:t>recomendaría</w:t>
      </w:r>
      <w:r w:rsidR="006444CB" w:rsidRPr="00B537EE">
        <w:rPr>
          <w:rFonts w:eastAsia="Times New Roman" w:cs="Times New Roman"/>
          <w:lang w:val="es-CO"/>
        </w:rPr>
        <w:t xml:space="preserve"> su EAPB</w:t>
      </w:r>
      <w:r w:rsidR="008C5D9F" w:rsidRPr="00B537EE">
        <w:rPr>
          <w:rFonts w:eastAsia="Times New Roman" w:cs="Times New Roman"/>
          <w:lang w:val="es-CO"/>
        </w:rPr>
        <w:t xml:space="preserve"> a familiares y amigos</w:t>
      </w:r>
      <w:r w:rsidR="00232E0B" w:rsidRPr="00B537EE">
        <w:rPr>
          <w:rFonts w:eastAsia="Times New Roman" w:cs="Times New Roman"/>
          <w:lang w:val="es-CO"/>
        </w:rPr>
        <w:t xml:space="preserve">; </w:t>
      </w:r>
      <w:r w:rsidR="0087383D" w:rsidRPr="00B537EE">
        <w:rPr>
          <w:rFonts w:eastAsia="Times New Roman" w:cs="Times New Roman"/>
          <w:lang w:val="es-CO"/>
        </w:rPr>
        <w:t>se debe</w:t>
      </w:r>
      <w:r w:rsidR="00232E0B" w:rsidRPr="00B537EE">
        <w:rPr>
          <w:rFonts w:eastAsia="Times New Roman" w:cs="Times New Roman"/>
          <w:lang w:val="es-CO"/>
        </w:rPr>
        <w:t xml:space="preserve"> </w:t>
      </w:r>
      <w:r w:rsidR="00232E0B" w:rsidRPr="00B537EE">
        <w:rPr>
          <w:rFonts w:eastAsia="Times New Roman" w:cs="Times New Roman"/>
          <w:color w:val="000000" w:themeColor="text1"/>
          <w:lang w:val="es-CO"/>
        </w:rPr>
        <w:t>garantizar qu</w:t>
      </w:r>
      <w:r w:rsidR="000724FE">
        <w:rPr>
          <w:rFonts w:eastAsia="Times New Roman" w:cs="Times New Roman"/>
          <w:color w:val="000000" w:themeColor="text1"/>
          <w:lang w:val="es-CO"/>
        </w:rPr>
        <w:t>e este indicador sea mayor al 8</w:t>
      </w:r>
      <w:r w:rsidR="00ED7A92" w:rsidRPr="00B537EE">
        <w:rPr>
          <w:rFonts w:eastAsia="Times New Roman" w:cs="Times New Roman"/>
          <w:color w:val="000000" w:themeColor="text1"/>
          <w:lang w:val="es-CO"/>
        </w:rPr>
        <w:t>0</w:t>
      </w:r>
      <w:r w:rsidR="00232E0B" w:rsidRPr="00B537EE">
        <w:rPr>
          <w:rFonts w:eastAsia="Times New Roman" w:cs="Times New Roman"/>
          <w:color w:val="000000" w:themeColor="text1"/>
          <w:lang w:val="es-CO"/>
        </w:rPr>
        <w:t>%.</w:t>
      </w:r>
    </w:p>
    <w:p w14:paraId="695E2464" w14:textId="1AE6637E" w:rsidR="00232E0B" w:rsidRPr="00B537EE" w:rsidRDefault="00832CAD" w:rsidP="00232E0B">
      <w:pPr>
        <w:pStyle w:val="Sinespaciado1"/>
        <w:numPr>
          <w:ilvl w:val="0"/>
          <w:numId w:val="10"/>
        </w:numPr>
        <w:spacing w:after="120"/>
        <w:jc w:val="both"/>
        <w:rPr>
          <w:rFonts w:eastAsia="Times New Roman" w:cs="Times New Roman"/>
          <w:color w:val="000000" w:themeColor="text1"/>
          <w:lang w:val="es-CO"/>
        </w:rPr>
      </w:pPr>
      <w:r w:rsidRPr="00B537EE">
        <w:rPr>
          <w:rFonts w:eastAsia="Times New Roman" w:cs="Times New Roman"/>
          <w:color w:val="000000" w:themeColor="text1"/>
          <w:lang w:val="es-CO"/>
        </w:rPr>
        <w:t>Proporción</w:t>
      </w:r>
      <w:r w:rsidR="00232E0B" w:rsidRPr="00B537EE">
        <w:rPr>
          <w:rFonts w:eastAsia="Times New Roman" w:cs="Times New Roman"/>
          <w:color w:val="000000" w:themeColor="text1"/>
          <w:lang w:val="es-CO"/>
        </w:rPr>
        <w:t xml:space="preserve"> de usuarios</w:t>
      </w:r>
      <w:r w:rsidR="006444CB" w:rsidRPr="00B537EE">
        <w:rPr>
          <w:rFonts w:eastAsia="Times New Roman" w:cs="Times New Roman"/>
          <w:color w:val="000000" w:themeColor="text1"/>
          <w:lang w:val="es-CO"/>
        </w:rPr>
        <w:t xml:space="preserve"> que ha pensado cambiarse de EAPB</w:t>
      </w:r>
      <w:r w:rsidR="00232E0B" w:rsidRPr="00B537EE">
        <w:rPr>
          <w:rFonts w:eastAsia="Times New Roman" w:cs="Times New Roman"/>
          <w:color w:val="000000" w:themeColor="text1"/>
          <w:lang w:val="es-CO"/>
        </w:rPr>
        <w:t xml:space="preserve">; </w:t>
      </w:r>
      <w:r w:rsidR="0087383D" w:rsidRPr="00B537EE">
        <w:rPr>
          <w:rFonts w:eastAsia="Times New Roman" w:cs="Times New Roman"/>
          <w:color w:val="000000" w:themeColor="text1"/>
          <w:lang w:val="es-CO"/>
        </w:rPr>
        <w:t xml:space="preserve">se debe </w:t>
      </w:r>
      <w:r w:rsidR="00232E0B" w:rsidRPr="00B537EE">
        <w:rPr>
          <w:rFonts w:eastAsia="Times New Roman" w:cs="Times New Roman"/>
          <w:color w:val="000000" w:themeColor="text1"/>
          <w:lang w:val="es-CO"/>
        </w:rPr>
        <w:t>garantizar qu</w:t>
      </w:r>
      <w:r w:rsidR="00ED7A92" w:rsidRPr="00B537EE">
        <w:rPr>
          <w:rFonts w:eastAsia="Times New Roman" w:cs="Times New Roman"/>
          <w:color w:val="000000" w:themeColor="text1"/>
          <w:lang w:val="es-CO"/>
        </w:rPr>
        <w:t>e este indicador sea menor al 5</w:t>
      </w:r>
      <w:r w:rsidR="00232E0B" w:rsidRPr="00B537EE">
        <w:rPr>
          <w:rFonts w:eastAsia="Times New Roman" w:cs="Times New Roman"/>
          <w:color w:val="000000" w:themeColor="text1"/>
          <w:lang w:val="es-CO"/>
        </w:rPr>
        <w:t>%.</w:t>
      </w:r>
    </w:p>
    <w:p w14:paraId="5DD49878" w14:textId="37C24F45" w:rsidR="009508C3" w:rsidRPr="00B537EE" w:rsidRDefault="00832CAD" w:rsidP="006444CB">
      <w:pPr>
        <w:pStyle w:val="Sinespaciado1"/>
        <w:numPr>
          <w:ilvl w:val="0"/>
          <w:numId w:val="10"/>
        </w:numPr>
        <w:spacing w:after="120"/>
        <w:jc w:val="both"/>
        <w:rPr>
          <w:rFonts w:eastAsia="Times New Roman" w:cs="Times New Roman"/>
          <w:color w:val="000000" w:themeColor="text1"/>
          <w:lang w:val="es-CO"/>
        </w:rPr>
      </w:pPr>
      <w:r w:rsidRPr="00B537EE">
        <w:rPr>
          <w:rFonts w:eastAsia="Times New Roman"/>
          <w:color w:val="000000" w:themeColor="text1"/>
          <w:lang w:val="es-CO"/>
        </w:rPr>
        <w:t>Proporción</w:t>
      </w:r>
      <w:r w:rsidR="006444CB" w:rsidRPr="00B537EE">
        <w:rPr>
          <w:rFonts w:eastAsia="Times New Roman"/>
          <w:color w:val="000000" w:themeColor="text1"/>
          <w:lang w:val="es-CO"/>
        </w:rPr>
        <w:t xml:space="preserve"> de quejas resueltas por la</w:t>
      </w:r>
      <w:r w:rsidR="009508C3" w:rsidRPr="00B537EE">
        <w:rPr>
          <w:rFonts w:eastAsia="Times New Roman"/>
          <w:color w:val="000000" w:themeColor="text1"/>
          <w:lang w:val="es-CO"/>
        </w:rPr>
        <w:t xml:space="preserve"> Superintendencia de Salud </w:t>
      </w:r>
      <w:r w:rsidR="006444CB" w:rsidRPr="00B537EE">
        <w:rPr>
          <w:rFonts w:eastAsia="Times New Roman"/>
          <w:color w:val="000000" w:themeColor="text1"/>
          <w:lang w:val="es-CO"/>
        </w:rPr>
        <w:t xml:space="preserve">en las cuales se adoptan correctivos por las EAPB </w:t>
      </w:r>
      <w:r w:rsidR="009508C3" w:rsidRPr="00B537EE">
        <w:rPr>
          <w:rFonts w:eastAsia="Times New Roman"/>
          <w:color w:val="000000" w:themeColor="text1"/>
          <w:lang w:val="es-CO"/>
        </w:rPr>
        <w:t xml:space="preserve">antes de 15 días; </w:t>
      </w:r>
      <w:r w:rsidR="0087383D" w:rsidRPr="00B537EE">
        <w:rPr>
          <w:rFonts w:eastAsia="Times New Roman" w:cs="Times New Roman"/>
          <w:lang w:val="es-CO"/>
        </w:rPr>
        <w:t xml:space="preserve">se debe </w:t>
      </w:r>
      <w:r w:rsidR="009508C3" w:rsidRPr="00B537EE">
        <w:rPr>
          <w:rFonts w:eastAsia="Times New Roman" w:cs="Times New Roman"/>
          <w:color w:val="000000" w:themeColor="text1"/>
          <w:lang w:val="es-CO"/>
        </w:rPr>
        <w:t>garantizar que este indicador sea mayor al 80%.</w:t>
      </w:r>
      <w:r w:rsidR="006444CB" w:rsidRPr="00B537EE">
        <w:rPr>
          <w:rFonts w:eastAsia="Times New Roman" w:cs="Times New Roman"/>
          <w:color w:val="000000" w:themeColor="text1"/>
          <w:lang w:val="es-CO"/>
        </w:rPr>
        <w:t xml:space="preserve"> </w:t>
      </w:r>
    </w:p>
    <w:p w14:paraId="0BBE40DF" w14:textId="242D05FA" w:rsidR="0049427B" w:rsidRPr="00B537EE" w:rsidRDefault="0049427B" w:rsidP="00534E68">
      <w:pPr>
        <w:pStyle w:val="Sinespaciado1"/>
        <w:numPr>
          <w:ilvl w:val="0"/>
          <w:numId w:val="10"/>
        </w:numPr>
        <w:spacing w:after="120"/>
        <w:jc w:val="both"/>
        <w:rPr>
          <w:rFonts w:eastAsia="Times New Roman" w:cs="Times New Roman"/>
          <w:color w:val="000000" w:themeColor="text1"/>
          <w:lang w:val="es-CO"/>
        </w:rPr>
      </w:pPr>
      <w:r w:rsidRPr="00B537EE">
        <w:rPr>
          <w:rFonts w:eastAsia="Times New Roman" w:cs="Times New Roman"/>
          <w:color w:val="000000" w:themeColor="text1"/>
          <w:lang w:val="es-CO"/>
        </w:rPr>
        <w:t xml:space="preserve">Número de quejas </w:t>
      </w:r>
      <w:r w:rsidR="00534E68" w:rsidRPr="00B537EE">
        <w:rPr>
          <w:rFonts w:eastAsia="Times New Roman" w:cs="Times New Roman"/>
          <w:color w:val="000000" w:themeColor="text1"/>
          <w:lang w:val="es-CO"/>
        </w:rPr>
        <w:t xml:space="preserve">presentadas </w:t>
      </w:r>
      <w:r w:rsidRPr="00B537EE">
        <w:rPr>
          <w:rFonts w:eastAsia="Times New Roman" w:cs="Times New Roman"/>
          <w:color w:val="000000" w:themeColor="text1"/>
          <w:lang w:val="es-CO"/>
        </w:rPr>
        <w:t xml:space="preserve">ante la Superintendencia de Salud falladas contra la EAPB </w:t>
      </w:r>
      <w:r w:rsidR="006444CB" w:rsidRPr="00B537EE">
        <w:rPr>
          <w:rFonts w:eastAsia="Times New Roman" w:cs="Times New Roman"/>
          <w:color w:val="000000" w:themeColor="text1"/>
          <w:lang w:val="es-CO"/>
        </w:rPr>
        <w:t>por la</w:t>
      </w:r>
      <w:r w:rsidR="00AB59C8" w:rsidRPr="00B537EE">
        <w:rPr>
          <w:rFonts w:eastAsia="Times New Roman" w:cs="Times New Roman"/>
          <w:color w:val="000000" w:themeColor="text1"/>
          <w:lang w:val="es-CO"/>
        </w:rPr>
        <w:t xml:space="preserve"> </w:t>
      </w:r>
      <w:r w:rsidRPr="00B537EE">
        <w:rPr>
          <w:rFonts w:eastAsia="Times New Roman" w:cs="Times New Roman"/>
          <w:color w:val="000000" w:themeColor="text1"/>
          <w:lang w:val="es-CO"/>
        </w:rPr>
        <w:t xml:space="preserve">no prestación de servicios incluidos dentro del Plan de Beneficios; </w:t>
      </w:r>
      <w:r w:rsidR="001964C2" w:rsidRPr="00B537EE">
        <w:rPr>
          <w:rFonts w:eastAsia="Times New Roman" w:cs="Times New Roman"/>
          <w:lang w:val="es-CO"/>
        </w:rPr>
        <w:t xml:space="preserve">se debe </w:t>
      </w:r>
      <w:r w:rsidRPr="00B537EE">
        <w:rPr>
          <w:rFonts w:eastAsia="Times New Roman" w:cs="Times New Roman"/>
          <w:color w:val="000000" w:themeColor="text1"/>
          <w:lang w:val="es-CO"/>
        </w:rPr>
        <w:t>garantizar que este indicador no sea superior a</w:t>
      </w:r>
      <w:r w:rsidR="001964C2" w:rsidRPr="00B537EE">
        <w:rPr>
          <w:rFonts w:eastAsia="Times New Roman" w:cs="Times New Roman"/>
          <w:color w:val="000000" w:themeColor="text1"/>
          <w:lang w:val="es-CO"/>
        </w:rPr>
        <w:t xml:space="preserve"> quince</w:t>
      </w:r>
      <w:r w:rsidRPr="00B537EE">
        <w:rPr>
          <w:rFonts w:eastAsia="Times New Roman" w:cs="Times New Roman"/>
          <w:color w:val="000000" w:themeColor="text1"/>
          <w:lang w:val="es-CO"/>
        </w:rPr>
        <w:t xml:space="preserve"> </w:t>
      </w:r>
      <w:r w:rsidR="006B61E8" w:rsidRPr="00B537EE">
        <w:rPr>
          <w:rFonts w:eastAsia="Times New Roman" w:cs="Times New Roman"/>
          <w:color w:val="000000" w:themeColor="text1"/>
          <w:lang w:val="es-CO"/>
        </w:rPr>
        <w:t>(</w:t>
      </w:r>
      <w:r w:rsidR="001964C2" w:rsidRPr="00B537EE">
        <w:rPr>
          <w:rFonts w:eastAsia="Times New Roman" w:cs="Times New Roman"/>
          <w:color w:val="000000" w:themeColor="text1"/>
          <w:lang w:val="es-CO"/>
        </w:rPr>
        <w:t>1</w:t>
      </w:r>
      <w:r w:rsidR="006B61E8" w:rsidRPr="00B537EE">
        <w:rPr>
          <w:rFonts w:eastAsia="Times New Roman" w:cs="Times New Roman"/>
          <w:color w:val="000000" w:themeColor="text1"/>
          <w:lang w:val="es-CO"/>
        </w:rPr>
        <w:t>5</w:t>
      </w:r>
      <w:r w:rsidRPr="00B537EE">
        <w:rPr>
          <w:rFonts w:eastAsia="Times New Roman" w:cs="Times New Roman"/>
          <w:color w:val="000000" w:themeColor="text1"/>
          <w:lang w:val="es-CO"/>
        </w:rPr>
        <w:t xml:space="preserve">) por cada 10.000 afiliados en cada año. </w:t>
      </w:r>
    </w:p>
    <w:p w14:paraId="1CCB6D2D" w14:textId="30D2B7C3" w:rsidR="0049427B" w:rsidRPr="00B537EE" w:rsidRDefault="0049427B" w:rsidP="0049427B">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t>Número de tutelas falladas en contra de la EAPB por no prestación de servicios incluido</w:t>
      </w:r>
      <w:r w:rsidR="00B140BF" w:rsidRPr="00B537EE">
        <w:rPr>
          <w:rFonts w:eastAsia="Times New Roman" w:cs="Times New Roman"/>
          <w:lang w:val="es-CO"/>
        </w:rPr>
        <w:t>s</w:t>
      </w:r>
      <w:r w:rsidRPr="00B537EE">
        <w:rPr>
          <w:rFonts w:eastAsia="Times New Roman" w:cs="Times New Roman"/>
          <w:lang w:val="es-CO"/>
        </w:rPr>
        <w:t xml:space="preserve"> dentro del Plan de Beneficios en Salud</w:t>
      </w:r>
      <w:r w:rsidR="00100B60" w:rsidRPr="00B537EE">
        <w:rPr>
          <w:rFonts w:eastAsia="Times New Roman" w:cs="Times New Roman"/>
          <w:lang w:val="es-CO"/>
        </w:rPr>
        <w:t xml:space="preserve">, </w:t>
      </w:r>
      <w:r w:rsidR="00100B60" w:rsidRPr="00B537EE">
        <w:rPr>
          <w:rFonts w:eastAsia="Times New Roman" w:cs="Times New Roman"/>
          <w:color w:val="000000" w:themeColor="text1"/>
          <w:lang w:val="es-CO"/>
        </w:rPr>
        <w:t>exceptuándose los casos establecidos en el artículo 15 de la Ley 1751 de 2015</w:t>
      </w:r>
      <w:r w:rsidRPr="00B537EE">
        <w:rPr>
          <w:rFonts w:eastAsia="Times New Roman" w:cs="Times New Roman"/>
          <w:lang w:val="es-CO"/>
        </w:rPr>
        <w:t xml:space="preserve">; </w:t>
      </w:r>
      <w:r w:rsidR="00F63538" w:rsidRPr="00B537EE">
        <w:rPr>
          <w:rFonts w:eastAsia="Times New Roman" w:cs="Times New Roman"/>
          <w:lang w:val="es-CO"/>
        </w:rPr>
        <w:t xml:space="preserve">se debe </w:t>
      </w:r>
      <w:r w:rsidRPr="00B537EE">
        <w:rPr>
          <w:rFonts w:eastAsia="Times New Roman" w:cs="Times New Roman"/>
          <w:lang w:val="es-CO"/>
        </w:rPr>
        <w:t>garantizar que e</w:t>
      </w:r>
      <w:r w:rsidR="00F63538" w:rsidRPr="00B537EE">
        <w:rPr>
          <w:rFonts w:eastAsia="Times New Roman" w:cs="Times New Roman"/>
          <w:lang w:val="es-CO"/>
        </w:rPr>
        <w:t>ste indicador no sea superior a quince</w:t>
      </w:r>
      <w:r w:rsidRPr="00B537EE">
        <w:rPr>
          <w:rFonts w:eastAsia="Times New Roman" w:cs="Times New Roman"/>
          <w:lang w:val="es-CO"/>
        </w:rPr>
        <w:t xml:space="preserve"> (1</w:t>
      </w:r>
      <w:r w:rsidR="00F63538" w:rsidRPr="00B537EE">
        <w:rPr>
          <w:rFonts w:eastAsia="Times New Roman" w:cs="Times New Roman"/>
          <w:lang w:val="es-CO"/>
        </w:rPr>
        <w:t>5</w:t>
      </w:r>
      <w:r w:rsidRPr="00B537EE">
        <w:rPr>
          <w:rFonts w:eastAsia="Times New Roman" w:cs="Times New Roman"/>
          <w:lang w:val="es-CO"/>
        </w:rPr>
        <w:t>) por cada 10.000 afiliados en cada año.</w:t>
      </w:r>
    </w:p>
    <w:p w14:paraId="432819BC" w14:textId="309DC5B4" w:rsidR="0049427B" w:rsidRPr="00B537EE" w:rsidRDefault="0049427B" w:rsidP="0049427B">
      <w:pPr>
        <w:pStyle w:val="Sinespaciado1"/>
        <w:numPr>
          <w:ilvl w:val="0"/>
          <w:numId w:val="10"/>
        </w:numPr>
        <w:spacing w:after="120"/>
        <w:jc w:val="both"/>
        <w:rPr>
          <w:rFonts w:eastAsia="Times New Roman" w:cs="Times New Roman"/>
          <w:lang w:val="es-CO"/>
        </w:rPr>
      </w:pPr>
      <w:r w:rsidRPr="00B537EE">
        <w:rPr>
          <w:rFonts w:eastAsia="Times New Roman" w:cs="Times New Roman"/>
          <w:lang w:val="es-CO"/>
        </w:rPr>
        <w:lastRenderedPageBreak/>
        <w:t xml:space="preserve">Número de quejas </w:t>
      </w:r>
      <w:r w:rsidR="00B140BF" w:rsidRPr="00B537EE">
        <w:rPr>
          <w:rFonts w:eastAsia="Times New Roman" w:cs="Times New Roman"/>
          <w:color w:val="000000" w:themeColor="text1"/>
          <w:lang w:val="es-CO"/>
        </w:rPr>
        <w:t xml:space="preserve">presentadas </w:t>
      </w:r>
      <w:r w:rsidRPr="00B537EE">
        <w:rPr>
          <w:rFonts w:eastAsia="Times New Roman" w:cs="Times New Roman"/>
          <w:color w:val="000000" w:themeColor="text1"/>
          <w:lang w:val="es-CO"/>
        </w:rPr>
        <w:t xml:space="preserve">ante la Superintendencia falladas en contra de la EAPB por falta de atención oportuna y negación de prestación de servicios médicos de los sujetos de especial protección constitucional como son maternas, menores de un año y los pacientes de la tercera edad; </w:t>
      </w:r>
      <w:r w:rsidR="00EB6615" w:rsidRPr="00B537EE">
        <w:rPr>
          <w:rFonts w:eastAsia="Times New Roman" w:cs="Times New Roman"/>
          <w:lang w:val="es-CO"/>
        </w:rPr>
        <w:t xml:space="preserve">se debe </w:t>
      </w:r>
      <w:r w:rsidRPr="00B537EE">
        <w:rPr>
          <w:rFonts w:eastAsia="Times New Roman" w:cs="Times New Roman"/>
          <w:color w:val="000000" w:themeColor="text1"/>
          <w:lang w:val="es-CO"/>
        </w:rPr>
        <w:t xml:space="preserve">garantizar </w:t>
      </w:r>
      <w:r w:rsidRPr="00B537EE">
        <w:rPr>
          <w:rFonts w:eastAsia="Times New Roman" w:cs="Times New Roman"/>
          <w:lang w:val="es-CO"/>
        </w:rPr>
        <w:t xml:space="preserve">que este </w:t>
      </w:r>
      <w:r w:rsidR="00EB6615" w:rsidRPr="00B537EE">
        <w:rPr>
          <w:rFonts w:eastAsia="Times New Roman" w:cs="Times New Roman"/>
          <w:lang w:val="es-CO"/>
        </w:rPr>
        <w:t>indicador no sea superior a diez</w:t>
      </w:r>
      <w:r w:rsidRPr="00B537EE">
        <w:rPr>
          <w:rFonts w:eastAsia="Times New Roman" w:cs="Times New Roman"/>
          <w:lang w:val="es-CO"/>
        </w:rPr>
        <w:t xml:space="preserve"> (</w:t>
      </w:r>
      <w:r w:rsidR="00EB6615" w:rsidRPr="00B537EE">
        <w:rPr>
          <w:rFonts w:eastAsia="Times New Roman" w:cs="Times New Roman"/>
          <w:lang w:val="es-CO"/>
        </w:rPr>
        <w:t>1</w:t>
      </w:r>
      <w:r w:rsidRPr="00B537EE">
        <w:rPr>
          <w:rFonts w:eastAsia="Times New Roman" w:cs="Times New Roman"/>
          <w:lang w:val="es-CO"/>
        </w:rPr>
        <w:t>0) por cada 10.000 afiliados en cada año.</w:t>
      </w:r>
    </w:p>
    <w:p w14:paraId="73450C08" w14:textId="30CE0D3A" w:rsidR="00C77BD5" w:rsidRPr="00B537EE" w:rsidRDefault="00C77BD5" w:rsidP="007B005E">
      <w:pPr>
        <w:pStyle w:val="Sinespaciado1"/>
        <w:numPr>
          <w:ilvl w:val="0"/>
          <w:numId w:val="10"/>
        </w:numPr>
        <w:spacing w:after="120"/>
        <w:jc w:val="both"/>
        <w:rPr>
          <w:rFonts w:eastAsia="Times New Roman" w:cs="Times New Roman"/>
          <w:color w:val="000000" w:themeColor="text1"/>
          <w:lang w:val="es-CO"/>
        </w:rPr>
      </w:pPr>
      <w:r w:rsidRPr="00B537EE">
        <w:rPr>
          <w:rFonts w:eastAsia="Times New Roman" w:cs="Times New Roman"/>
          <w:lang w:val="es-CO"/>
        </w:rPr>
        <w:t>Número de tutelas falladas en contra de la EAPB por falta de atención oportuna y negación de prestación de servicios médicos de los sujetos de especial protección constitucional como son maternas, menores de un año y los pacientes de la tercera edad</w:t>
      </w:r>
      <w:r w:rsidR="007B005E" w:rsidRPr="00B537EE">
        <w:rPr>
          <w:rFonts w:eastAsia="Times New Roman" w:cs="Times New Roman"/>
          <w:lang w:val="es-CO"/>
        </w:rPr>
        <w:t xml:space="preserve">, </w:t>
      </w:r>
      <w:r w:rsidR="007B005E" w:rsidRPr="00B537EE">
        <w:rPr>
          <w:rFonts w:eastAsia="Times New Roman" w:cs="Times New Roman"/>
          <w:color w:val="000000" w:themeColor="text1"/>
          <w:lang w:val="es-CO"/>
        </w:rPr>
        <w:t>exceptuándose los casos establecidos en el artículo 15 de la Ley 1751 de 2015</w:t>
      </w:r>
      <w:r w:rsidRPr="00B537EE">
        <w:rPr>
          <w:rFonts w:eastAsia="Times New Roman" w:cs="Times New Roman"/>
          <w:lang w:val="es-CO"/>
        </w:rPr>
        <w:t xml:space="preserve">; </w:t>
      </w:r>
      <w:r w:rsidR="007B005E" w:rsidRPr="00B537EE">
        <w:rPr>
          <w:rFonts w:eastAsia="Times New Roman" w:cs="Times New Roman"/>
          <w:lang w:val="es-CO"/>
        </w:rPr>
        <w:t>se debe</w:t>
      </w:r>
      <w:r w:rsidRPr="00B537EE">
        <w:rPr>
          <w:rFonts w:eastAsia="Times New Roman" w:cs="Times New Roman"/>
          <w:lang w:val="es-CO"/>
        </w:rPr>
        <w:t xml:space="preserve"> garantizar que este </w:t>
      </w:r>
      <w:r w:rsidR="000724FE">
        <w:rPr>
          <w:rFonts w:eastAsia="Times New Roman" w:cs="Times New Roman"/>
          <w:lang w:val="es-CO"/>
        </w:rPr>
        <w:t>indicador no sea superior a diez</w:t>
      </w:r>
      <w:r w:rsidRPr="00B537EE">
        <w:rPr>
          <w:rFonts w:eastAsia="Times New Roman" w:cs="Times New Roman"/>
          <w:lang w:val="es-CO"/>
        </w:rPr>
        <w:t xml:space="preserve"> (</w:t>
      </w:r>
      <w:r w:rsidR="000724FE">
        <w:rPr>
          <w:rFonts w:eastAsia="Times New Roman" w:cs="Times New Roman"/>
          <w:lang w:val="es-CO"/>
        </w:rPr>
        <w:t>1</w:t>
      </w:r>
      <w:r w:rsidRPr="00B537EE">
        <w:rPr>
          <w:rFonts w:eastAsia="Times New Roman" w:cs="Times New Roman"/>
          <w:lang w:val="es-CO"/>
        </w:rPr>
        <w:t xml:space="preserve">0) por cada 10.000 </w:t>
      </w:r>
      <w:r w:rsidRPr="00B537EE">
        <w:rPr>
          <w:rFonts w:eastAsia="Times New Roman" w:cs="Times New Roman"/>
          <w:color w:val="000000" w:themeColor="text1"/>
          <w:lang w:val="es-CO"/>
        </w:rPr>
        <w:t>afiliados en cada año.</w:t>
      </w:r>
    </w:p>
    <w:p w14:paraId="36D7B16C" w14:textId="6C97BE27" w:rsidR="0049427B" w:rsidRPr="00B537EE" w:rsidRDefault="0049427B" w:rsidP="0049427B">
      <w:pPr>
        <w:pStyle w:val="Sinespaciado1"/>
        <w:numPr>
          <w:ilvl w:val="0"/>
          <w:numId w:val="10"/>
        </w:numPr>
        <w:spacing w:after="120"/>
        <w:jc w:val="both"/>
        <w:rPr>
          <w:rFonts w:eastAsia="Times New Roman" w:cs="Times New Roman"/>
          <w:color w:val="000000" w:themeColor="text1"/>
          <w:lang w:val="es-CO"/>
        </w:rPr>
      </w:pPr>
      <w:r w:rsidRPr="00B537EE">
        <w:rPr>
          <w:rFonts w:eastAsia="Times New Roman" w:cs="Times New Roman"/>
          <w:color w:val="000000" w:themeColor="text1"/>
          <w:lang w:val="es-CO"/>
        </w:rPr>
        <w:t xml:space="preserve">Número de </w:t>
      </w:r>
      <w:r w:rsidR="00C77BD5" w:rsidRPr="00B537EE">
        <w:rPr>
          <w:rFonts w:eastAsia="Times New Roman" w:cs="Times New Roman"/>
          <w:color w:val="000000" w:themeColor="text1"/>
          <w:lang w:val="es-CO"/>
        </w:rPr>
        <w:t xml:space="preserve">quejas </w:t>
      </w:r>
      <w:r w:rsidR="00B140BF" w:rsidRPr="00B537EE">
        <w:rPr>
          <w:rFonts w:eastAsia="Times New Roman" w:cs="Times New Roman"/>
          <w:color w:val="000000" w:themeColor="text1"/>
          <w:lang w:val="es-CO"/>
        </w:rPr>
        <w:t xml:space="preserve">presentadas </w:t>
      </w:r>
      <w:r w:rsidR="00C77BD5" w:rsidRPr="00B537EE">
        <w:rPr>
          <w:rFonts w:eastAsia="Times New Roman" w:cs="Times New Roman"/>
          <w:color w:val="000000" w:themeColor="text1"/>
          <w:lang w:val="es-CO"/>
        </w:rPr>
        <w:t>ante la Superintendencia de Salud</w:t>
      </w:r>
      <w:r w:rsidRPr="00B537EE">
        <w:rPr>
          <w:rFonts w:eastAsia="Times New Roman" w:cs="Times New Roman"/>
          <w:color w:val="000000" w:themeColor="text1"/>
          <w:lang w:val="es-CO"/>
        </w:rPr>
        <w:t xml:space="preserve"> </w:t>
      </w:r>
      <w:r w:rsidR="00B140BF" w:rsidRPr="00B537EE">
        <w:rPr>
          <w:rFonts w:eastAsia="Times New Roman" w:cs="Times New Roman"/>
          <w:color w:val="000000" w:themeColor="text1"/>
          <w:lang w:val="es-CO"/>
        </w:rPr>
        <w:t>falladas en</w:t>
      </w:r>
      <w:r w:rsidR="00C77BD5" w:rsidRPr="00B537EE">
        <w:rPr>
          <w:rFonts w:eastAsia="Times New Roman" w:cs="Times New Roman"/>
          <w:color w:val="000000" w:themeColor="text1"/>
          <w:lang w:val="es-CO"/>
        </w:rPr>
        <w:t xml:space="preserve"> contra de la EAPB </w:t>
      </w:r>
      <w:r w:rsidRPr="00B537EE">
        <w:rPr>
          <w:rFonts w:eastAsia="Times New Roman" w:cs="Times New Roman"/>
          <w:color w:val="000000" w:themeColor="text1"/>
          <w:lang w:val="es-CO"/>
        </w:rPr>
        <w:t xml:space="preserve">por negarse a afiliar personas a pesar de que éstas cumplan el tiempo y requisitos para trasladarse de EAPB; </w:t>
      </w:r>
      <w:r w:rsidR="003509E4" w:rsidRPr="00B537EE">
        <w:rPr>
          <w:rFonts w:eastAsia="Times New Roman" w:cs="Times New Roman"/>
          <w:color w:val="000000" w:themeColor="text1"/>
          <w:lang w:val="es-CO"/>
        </w:rPr>
        <w:t>se debe</w:t>
      </w:r>
      <w:r w:rsidRPr="00B537EE">
        <w:rPr>
          <w:rFonts w:eastAsia="Times New Roman" w:cs="Times New Roman"/>
          <w:color w:val="000000" w:themeColor="text1"/>
          <w:lang w:val="es-CO"/>
        </w:rPr>
        <w:t xml:space="preserve"> garantizar que este in</w:t>
      </w:r>
      <w:r w:rsidR="00F479DB">
        <w:rPr>
          <w:rFonts w:eastAsia="Times New Roman" w:cs="Times New Roman"/>
          <w:color w:val="000000" w:themeColor="text1"/>
          <w:lang w:val="es-CO"/>
        </w:rPr>
        <w:t>dicador no sea superior a cinco (5</w:t>
      </w:r>
      <w:r w:rsidRPr="00B537EE">
        <w:rPr>
          <w:rFonts w:eastAsia="Times New Roman" w:cs="Times New Roman"/>
          <w:color w:val="000000" w:themeColor="text1"/>
          <w:lang w:val="es-CO"/>
        </w:rPr>
        <w:t xml:space="preserve">) por cada 10.000 mil </w:t>
      </w:r>
      <w:r w:rsidR="008431F7" w:rsidRPr="00B537EE">
        <w:rPr>
          <w:rFonts w:eastAsia="Times New Roman" w:cs="Times New Roman"/>
          <w:color w:val="000000" w:themeColor="text1"/>
          <w:lang w:val="es-CO"/>
        </w:rPr>
        <w:t>afiliados</w:t>
      </w:r>
      <w:r w:rsidRPr="00B537EE">
        <w:rPr>
          <w:rFonts w:eastAsia="Times New Roman" w:cs="Times New Roman"/>
          <w:color w:val="000000" w:themeColor="text1"/>
          <w:lang w:val="es-CO"/>
        </w:rPr>
        <w:t xml:space="preserve"> en cada año.</w:t>
      </w:r>
    </w:p>
    <w:p w14:paraId="546581E1" w14:textId="07E38C9B" w:rsidR="006D4CC8" w:rsidRPr="00B537EE" w:rsidRDefault="000163A7" w:rsidP="00D510B8">
      <w:pPr>
        <w:pStyle w:val="Sinespaciado1"/>
        <w:numPr>
          <w:ilvl w:val="0"/>
          <w:numId w:val="10"/>
        </w:numPr>
        <w:spacing w:after="120"/>
        <w:jc w:val="both"/>
        <w:rPr>
          <w:rFonts w:eastAsia="Times New Roman" w:cs="Times New Roman"/>
          <w:lang w:val="es-CO"/>
        </w:rPr>
      </w:pPr>
      <w:r w:rsidRPr="00B537EE">
        <w:rPr>
          <w:rFonts w:eastAsia="Times New Roman" w:cs="Times New Roman"/>
          <w:color w:val="000000" w:themeColor="text1"/>
          <w:lang w:val="es-CO"/>
        </w:rPr>
        <w:t>Número de tutelas</w:t>
      </w:r>
      <w:r w:rsidR="006D4CC8" w:rsidRPr="00B537EE">
        <w:rPr>
          <w:rFonts w:eastAsia="Times New Roman" w:cs="Times New Roman"/>
          <w:color w:val="000000" w:themeColor="text1"/>
          <w:lang w:val="es-CO"/>
        </w:rPr>
        <w:t xml:space="preserve"> falladas</w:t>
      </w:r>
      <w:r w:rsidR="00C77BD5" w:rsidRPr="00B537EE">
        <w:rPr>
          <w:rFonts w:eastAsia="Times New Roman" w:cs="Times New Roman"/>
          <w:color w:val="000000" w:themeColor="text1"/>
          <w:lang w:val="es-CO"/>
        </w:rPr>
        <w:t xml:space="preserve"> en contra de la EAPB</w:t>
      </w:r>
      <w:r w:rsidR="006D4CC8" w:rsidRPr="00B537EE">
        <w:rPr>
          <w:rFonts w:eastAsia="Times New Roman" w:cs="Times New Roman"/>
          <w:color w:val="000000" w:themeColor="text1"/>
          <w:lang w:val="es-CO"/>
        </w:rPr>
        <w:t xml:space="preserve"> por negarse a afiliar </w:t>
      </w:r>
      <w:r w:rsidR="006D4CC8" w:rsidRPr="00B537EE">
        <w:rPr>
          <w:rFonts w:eastAsia="Times New Roman" w:cs="Times New Roman"/>
          <w:lang w:val="es-CO"/>
        </w:rPr>
        <w:t xml:space="preserve">personas a pesar de que éstas cumplan el tiempo y requisitos para trasladarse de EAPB; </w:t>
      </w:r>
      <w:r w:rsidR="003543FF" w:rsidRPr="00B537EE">
        <w:rPr>
          <w:rFonts w:eastAsia="Times New Roman" w:cs="Times New Roman"/>
          <w:lang w:val="es-CO"/>
        </w:rPr>
        <w:t>se debe</w:t>
      </w:r>
      <w:r w:rsidR="006D4CC8" w:rsidRPr="00B537EE">
        <w:rPr>
          <w:rFonts w:eastAsia="Times New Roman" w:cs="Times New Roman"/>
          <w:lang w:val="es-CO"/>
        </w:rPr>
        <w:t xml:space="preserve"> garantizar que este indicador no sea superior a </w:t>
      </w:r>
      <w:r w:rsidR="00F479DB">
        <w:rPr>
          <w:rFonts w:eastAsia="Times New Roman" w:cs="Times New Roman"/>
          <w:lang w:val="es-CO"/>
        </w:rPr>
        <w:t>cinco (5</w:t>
      </w:r>
      <w:r w:rsidR="004F3933" w:rsidRPr="00B537EE">
        <w:rPr>
          <w:rFonts w:eastAsia="Times New Roman" w:cs="Times New Roman"/>
          <w:lang w:val="es-CO"/>
        </w:rPr>
        <w:t>) por cada 10.000</w:t>
      </w:r>
      <w:r w:rsidR="00D37A5E" w:rsidRPr="00B537EE">
        <w:rPr>
          <w:rFonts w:eastAsia="Times New Roman" w:cs="Times New Roman"/>
          <w:lang w:val="es-CO"/>
        </w:rPr>
        <w:t xml:space="preserve"> afiliados</w:t>
      </w:r>
      <w:r w:rsidR="006D4CC8" w:rsidRPr="00B537EE">
        <w:rPr>
          <w:rFonts w:eastAsia="Times New Roman" w:cs="Times New Roman"/>
          <w:lang w:val="es-CO"/>
        </w:rPr>
        <w:t xml:space="preserve"> en cada año.</w:t>
      </w:r>
    </w:p>
    <w:p w14:paraId="79FDB67E" w14:textId="04CD2F58" w:rsidR="00B140BF" w:rsidRPr="00B537EE" w:rsidRDefault="00D510B8" w:rsidP="00D510B8">
      <w:pPr>
        <w:pStyle w:val="Sinespaciado1"/>
        <w:spacing w:after="120"/>
        <w:jc w:val="both"/>
        <w:rPr>
          <w:rFonts w:eastAsia="Times New Roman" w:cs="Times New Roman"/>
          <w:color w:val="000000" w:themeColor="text1"/>
          <w:bdr w:val="nil"/>
          <w:lang w:val="es-CO" w:eastAsia="es-CO"/>
        </w:rPr>
      </w:pPr>
      <w:r w:rsidRPr="00B537EE">
        <w:rPr>
          <w:rFonts w:eastAsia="Times New Roman" w:cs="Times New Roman"/>
          <w:b/>
          <w:color w:val="000000" w:themeColor="text1"/>
          <w:lang w:val="es-CO"/>
        </w:rPr>
        <w:t>Parágrafo 1</w:t>
      </w:r>
      <w:r w:rsidRPr="00B537EE">
        <w:rPr>
          <w:rFonts w:cs="Times New Roman"/>
          <w:b/>
          <w:color w:val="000000" w:themeColor="text1"/>
          <w:lang w:val="es-CO"/>
        </w:rPr>
        <w:t>°</w:t>
      </w:r>
      <w:r w:rsidRPr="00B537EE">
        <w:rPr>
          <w:rFonts w:eastAsia="Times New Roman" w:cs="Times New Roman"/>
          <w:b/>
          <w:color w:val="000000" w:themeColor="text1"/>
          <w:lang w:val="es-CO"/>
        </w:rPr>
        <w:t xml:space="preserve">. </w:t>
      </w:r>
      <w:r w:rsidR="005300E5">
        <w:rPr>
          <w:rFonts w:eastAsia="Times New Roman" w:cs="Times New Roman"/>
          <w:color w:val="000000" w:themeColor="text1"/>
          <w:lang w:val="es-CO"/>
        </w:rPr>
        <w:t xml:space="preserve">Los </w:t>
      </w:r>
      <w:r w:rsidR="005300E5" w:rsidRPr="002F370F">
        <w:rPr>
          <w:rFonts w:eastAsia="Times New Roman" w:cs="Times New Roman"/>
          <w:color w:val="000000" w:themeColor="text1"/>
          <w:lang w:val="es-CO"/>
        </w:rPr>
        <w:t>indicadores previamente señalados será</w:t>
      </w:r>
      <w:r w:rsidR="005300E5">
        <w:rPr>
          <w:rFonts w:eastAsia="Times New Roman" w:cs="Times New Roman"/>
          <w:color w:val="000000" w:themeColor="text1"/>
          <w:lang w:val="es-CO"/>
        </w:rPr>
        <w:t>n</w:t>
      </w:r>
      <w:r w:rsidR="002F370F" w:rsidRPr="002F370F">
        <w:rPr>
          <w:rFonts w:eastAsia="Times New Roman" w:cs="Times New Roman"/>
          <w:color w:val="000000" w:themeColor="text1"/>
          <w:lang w:val="es-CO"/>
        </w:rPr>
        <w:t xml:space="preserve"> </w:t>
      </w:r>
      <w:r w:rsidR="005300E5">
        <w:rPr>
          <w:rFonts w:eastAsia="Times New Roman" w:cs="Times New Roman"/>
          <w:color w:val="000000" w:themeColor="text1"/>
          <w:lang w:val="es-CO"/>
        </w:rPr>
        <w:t>evaluados</w:t>
      </w:r>
      <w:r w:rsidR="002F370F" w:rsidRPr="002F370F">
        <w:rPr>
          <w:rFonts w:eastAsia="Times New Roman" w:cs="Times New Roman"/>
          <w:color w:val="000000" w:themeColor="text1"/>
          <w:lang w:val="es-CO"/>
        </w:rPr>
        <w:t xml:space="preserve"> a</w:t>
      </w:r>
      <w:r w:rsidR="002F370F">
        <w:rPr>
          <w:rFonts w:eastAsia="Times New Roman" w:cs="Times New Roman"/>
          <w:color w:val="000000" w:themeColor="text1"/>
          <w:lang w:val="es-CO"/>
        </w:rPr>
        <w:t xml:space="preserve"> nivel</w:t>
      </w:r>
      <w:r w:rsidR="002F370F" w:rsidRPr="002F370F">
        <w:rPr>
          <w:rFonts w:eastAsia="Times New Roman" w:cs="Times New Roman"/>
          <w:color w:val="000000" w:themeColor="text1"/>
          <w:lang w:val="es-CO"/>
        </w:rPr>
        <w:t xml:space="preserve">: </w:t>
      </w:r>
      <w:r w:rsidR="002F370F">
        <w:rPr>
          <w:rFonts w:eastAsia="Times New Roman" w:cs="Times New Roman"/>
          <w:color w:val="000000" w:themeColor="text1"/>
          <w:lang w:val="es-CO"/>
        </w:rPr>
        <w:t>(a) nacional; (b) departamental y;</w:t>
      </w:r>
      <w:r w:rsidR="002F370F" w:rsidRPr="002F370F">
        <w:rPr>
          <w:rFonts w:eastAsia="Times New Roman" w:cs="Times New Roman"/>
          <w:color w:val="000000" w:themeColor="text1"/>
          <w:lang w:val="es-CO"/>
        </w:rPr>
        <w:t xml:space="preserve"> (c) municipal,</w:t>
      </w:r>
      <w:r w:rsidR="002F370F">
        <w:rPr>
          <w:rFonts w:eastAsia="Times New Roman" w:cs="Times New Roman"/>
          <w:color w:val="000000" w:themeColor="text1"/>
          <w:lang w:val="es-CO"/>
        </w:rPr>
        <w:t xml:space="preserve"> </w:t>
      </w:r>
      <w:r w:rsidR="005300E5">
        <w:rPr>
          <w:rFonts w:eastAsia="Times New Roman" w:cs="Times New Roman"/>
          <w:color w:val="000000" w:themeColor="text1"/>
          <w:lang w:val="es-CO"/>
        </w:rPr>
        <w:t>específicamente</w:t>
      </w:r>
      <w:r w:rsidR="002F370F">
        <w:rPr>
          <w:rFonts w:eastAsia="Times New Roman" w:cs="Times New Roman"/>
          <w:color w:val="000000" w:themeColor="text1"/>
          <w:lang w:val="es-CO"/>
        </w:rPr>
        <w:t xml:space="preserve"> en los de categoría especial y de categoría 1, 2 y 3, de acuerdo con los establecido en la Ley 1551 de 2012. </w:t>
      </w:r>
      <w:r w:rsidR="002F370F" w:rsidRPr="002F370F">
        <w:rPr>
          <w:rFonts w:eastAsia="Times New Roman" w:cs="Times New Roman"/>
          <w:color w:val="000000" w:themeColor="text1"/>
          <w:lang w:val="es-CO"/>
        </w:rPr>
        <w:t xml:space="preserve"> </w:t>
      </w:r>
      <w:r w:rsidR="002F370F">
        <w:rPr>
          <w:rFonts w:eastAsia="Times New Roman" w:cs="Times New Roman"/>
          <w:color w:val="000000" w:themeColor="text1"/>
          <w:lang w:val="es-CO"/>
        </w:rPr>
        <w:t xml:space="preserve">En los eventos de los municipios </w:t>
      </w:r>
      <w:r w:rsidR="00B140BF" w:rsidRPr="00B537EE">
        <w:rPr>
          <w:rFonts w:eastAsia="Times New Roman" w:cs="Times New Roman"/>
          <w:color w:val="000000" w:themeColor="text1"/>
          <w:bdr w:val="nil"/>
          <w:lang w:val="es-CO" w:eastAsia="es-CO"/>
        </w:rPr>
        <w:t>de categoría 4, 5 y 6, el Gobierno Nacional reglamentará lo relativo a</w:t>
      </w:r>
      <w:r w:rsidR="004D316E" w:rsidRPr="00B537EE">
        <w:rPr>
          <w:rFonts w:eastAsia="Times New Roman" w:cs="Times New Roman"/>
          <w:color w:val="000000" w:themeColor="text1"/>
          <w:bdr w:val="nil"/>
          <w:lang w:val="es-CO" w:eastAsia="es-CO"/>
        </w:rPr>
        <w:t>l cumplimiento de</w:t>
      </w:r>
      <w:r w:rsidR="00B140BF" w:rsidRPr="00B537EE">
        <w:rPr>
          <w:rFonts w:eastAsia="Times New Roman" w:cs="Times New Roman"/>
          <w:color w:val="000000" w:themeColor="text1"/>
          <w:bdr w:val="nil"/>
          <w:lang w:val="es-CO" w:eastAsia="es-CO"/>
        </w:rPr>
        <w:t xml:space="preserve"> los indicadores, rigiéndose por los criterios de </w:t>
      </w:r>
      <w:r w:rsidR="00B140BF" w:rsidRPr="00B537EE">
        <w:rPr>
          <w:rFonts w:eastAsia="Times New Roman"/>
          <w:color w:val="000000" w:themeColor="text1"/>
          <w:bdr w:val="nil"/>
          <w:lang w:val="es-CO" w:eastAsia="es-CO"/>
        </w:rPr>
        <w:t>(i)</w:t>
      </w:r>
      <w:r w:rsidR="001B781B">
        <w:rPr>
          <w:rFonts w:eastAsia="Times New Roman"/>
          <w:color w:val="000000" w:themeColor="text1"/>
          <w:bdr w:val="nil"/>
          <w:lang w:val="es-CO" w:eastAsia="es-CO"/>
        </w:rPr>
        <w:t xml:space="preserve"> oportunidad y</w:t>
      </w:r>
      <w:r w:rsidR="00B140BF" w:rsidRPr="00B537EE">
        <w:rPr>
          <w:rFonts w:eastAsia="Times New Roman"/>
          <w:color w:val="000000" w:themeColor="text1"/>
          <w:bdr w:val="nil"/>
          <w:lang w:val="es-CO" w:eastAsia="es-CO"/>
        </w:rPr>
        <w:t xml:space="preserve"> acceso a servicios de salud; (ii) satisfacción </w:t>
      </w:r>
      <w:r w:rsidR="00282F9C">
        <w:rPr>
          <w:rFonts w:eastAsia="Times New Roman"/>
          <w:color w:val="000000" w:themeColor="text1"/>
          <w:bdr w:val="nil"/>
          <w:lang w:val="es-CO" w:eastAsia="es-CO"/>
        </w:rPr>
        <w:t xml:space="preserve">y lealtad </w:t>
      </w:r>
      <w:r w:rsidR="00B140BF" w:rsidRPr="00B537EE">
        <w:rPr>
          <w:rFonts w:eastAsia="Times New Roman"/>
          <w:color w:val="000000" w:themeColor="text1"/>
          <w:bdr w:val="nil"/>
          <w:lang w:val="es-CO" w:eastAsia="es-CO"/>
        </w:rPr>
        <w:t xml:space="preserve">del usuario; (iii) </w:t>
      </w:r>
      <w:r w:rsidR="001B781B">
        <w:rPr>
          <w:rFonts w:eastAsia="Times New Roman"/>
          <w:color w:val="000000" w:themeColor="text1"/>
          <w:bdr w:val="nil"/>
          <w:lang w:val="es-CO" w:eastAsia="es-CO"/>
        </w:rPr>
        <w:t>facilidad en</w:t>
      </w:r>
      <w:r w:rsidR="00B140BF" w:rsidRPr="00B537EE">
        <w:rPr>
          <w:rFonts w:eastAsia="Times New Roman"/>
          <w:color w:val="000000" w:themeColor="text1"/>
          <w:bdr w:val="nil"/>
          <w:lang w:val="es-CO" w:eastAsia="es-CO"/>
        </w:rPr>
        <w:t xml:space="preserve"> la afiliación.</w:t>
      </w:r>
    </w:p>
    <w:p w14:paraId="7621B7FF" w14:textId="2C16B720" w:rsidR="009B3F32" w:rsidRPr="00CA6B8A" w:rsidRDefault="003B0598" w:rsidP="00D510B8">
      <w:pPr>
        <w:pStyle w:val="Sinespaciado1"/>
        <w:spacing w:after="120"/>
        <w:jc w:val="both"/>
        <w:rPr>
          <w:rFonts w:cs="Times New Roman"/>
          <w:color w:val="000000" w:themeColor="text1"/>
          <w:lang w:val="es-CO"/>
        </w:rPr>
      </w:pPr>
      <w:r w:rsidRPr="00CA6B8A">
        <w:rPr>
          <w:rFonts w:eastAsia="Times New Roman" w:cs="Times New Roman"/>
          <w:b/>
          <w:color w:val="000000" w:themeColor="text1"/>
          <w:lang w:val="es-CO"/>
        </w:rPr>
        <w:t xml:space="preserve">Parágrafo </w:t>
      </w:r>
      <w:r w:rsidR="00A3180E" w:rsidRPr="00CA6B8A">
        <w:rPr>
          <w:rFonts w:eastAsia="Times New Roman" w:cs="Times New Roman"/>
          <w:b/>
          <w:color w:val="000000" w:themeColor="text1"/>
          <w:lang w:val="es-CO"/>
        </w:rPr>
        <w:t>2</w:t>
      </w:r>
      <w:r w:rsidR="00D510B8" w:rsidRPr="00CA6B8A">
        <w:rPr>
          <w:rFonts w:cs="Times New Roman"/>
          <w:b/>
          <w:color w:val="000000" w:themeColor="text1"/>
          <w:lang w:val="es-CO"/>
        </w:rPr>
        <w:t xml:space="preserve">°. </w:t>
      </w:r>
      <w:r w:rsidR="00D510B8" w:rsidRPr="00CA6B8A">
        <w:rPr>
          <w:rFonts w:cs="Times New Roman"/>
          <w:color w:val="000000" w:themeColor="text1"/>
          <w:lang w:val="es-CO"/>
        </w:rPr>
        <w:t>El Ministerio de Salud</w:t>
      </w:r>
      <w:r w:rsidR="00D510B8" w:rsidRPr="00CA6B8A">
        <w:rPr>
          <w:rFonts w:cs="Times New Roman"/>
          <w:b/>
          <w:color w:val="000000" w:themeColor="text1"/>
          <w:lang w:val="es-CO"/>
        </w:rPr>
        <w:t xml:space="preserve"> </w:t>
      </w:r>
      <w:r w:rsidR="001C7135" w:rsidRPr="00CA6B8A">
        <w:rPr>
          <w:rFonts w:cs="Times New Roman"/>
          <w:color w:val="000000" w:themeColor="text1"/>
          <w:lang w:val="es-CO"/>
        </w:rPr>
        <w:t>y Protección Social</w:t>
      </w:r>
      <w:r w:rsidR="001C7135" w:rsidRPr="00CA6B8A">
        <w:rPr>
          <w:rFonts w:cs="Times New Roman"/>
          <w:b/>
          <w:color w:val="000000" w:themeColor="text1"/>
          <w:lang w:val="es-CO"/>
        </w:rPr>
        <w:t xml:space="preserve"> </w:t>
      </w:r>
      <w:r w:rsidR="00D510B8" w:rsidRPr="00CA6B8A">
        <w:rPr>
          <w:rFonts w:cs="Times New Roman"/>
          <w:color w:val="000000" w:themeColor="text1"/>
          <w:lang w:val="es-CO"/>
        </w:rPr>
        <w:t>realizará una actualización cada cuatro (4) años de los indicadores</w:t>
      </w:r>
      <w:r w:rsidR="008D6526" w:rsidRPr="00CA6B8A">
        <w:rPr>
          <w:rFonts w:cs="Times New Roman"/>
          <w:color w:val="000000" w:themeColor="text1"/>
          <w:lang w:val="es-CO"/>
        </w:rPr>
        <w:t xml:space="preserve"> de calidad</w:t>
      </w:r>
      <w:r w:rsidR="00D510B8" w:rsidRPr="00CA6B8A">
        <w:rPr>
          <w:rFonts w:cs="Times New Roman"/>
          <w:color w:val="000000" w:themeColor="text1"/>
          <w:lang w:val="es-CO"/>
        </w:rPr>
        <w:t xml:space="preserve"> est</w:t>
      </w:r>
      <w:r w:rsidR="008D6526" w:rsidRPr="00CA6B8A">
        <w:rPr>
          <w:rFonts w:cs="Times New Roman"/>
          <w:color w:val="000000" w:themeColor="text1"/>
          <w:lang w:val="es-CO"/>
        </w:rPr>
        <w:t xml:space="preserve">ablecidos en la presente ley y de </w:t>
      </w:r>
      <w:r w:rsidR="00D510B8" w:rsidRPr="00CA6B8A">
        <w:rPr>
          <w:rFonts w:cs="Times New Roman"/>
          <w:color w:val="000000" w:themeColor="text1"/>
          <w:lang w:val="es-CO"/>
        </w:rPr>
        <w:t>l</w:t>
      </w:r>
      <w:r w:rsidR="008D6526" w:rsidRPr="00CA6B8A">
        <w:rPr>
          <w:rFonts w:cs="Times New Roman"/>
          <w:color w:val="000000" w:themeColor="text1"/>
          <w:lang w:val="es-CO"/>
        </w:rPr>
        <w:t>os</w:t>
      </w:r>
      <w:r w:rsidR="00D510B8" w:rsidRPr="00CA6B8A">
        <w:rPr>
          <w:rFonts w:cs="Times New Roman"/>
          <w:color w:val="000000" w:themeColor="text1"/>
          <w:lang w:val="es-CO"/>
        </w:rPr>
        <w:t xml:space="preserve"> </w:t>
      </w:r>
      <w:r w:rsidR="00BD7E9D" w:rsidRPr="00CA6B8A">
        <w:rPr>
          <w:rFonts w:cs="Times New Roman"/>
          <w:color w:val="000000" w:themeColor="text1"/>
          <w:lang w:val="es-CO"/>
        </w:rPr>
        <w:t>umbrales</w:t>
      </w:r>
      <w:r w:rsidR="00D510B8" w:rsidRPr="00CA6B8A">
        <w:rPr>
          <w:rFonts w:cs="Times New Roman"/>
          <w:color w:val="000000" w:themeColor="text1"/>
          <w:lang w:val="es-CO"/>
        </w:rPr>
        <w:t xml:space="preserve"> a partir de</w:t>
      </w:r>
      <w:r w:rsidR="008D6526" w:rsidRPr="00CA6B8A">
        <w:rPr>
          <w:rFonts w:cs="Times New Roman"/>
          <w:color w:val="000000" w:themeColor="text1"/>
          <w:lang w:val="es-CO"/>
        </w:rPr>
        <w:t xml:space="preserve"> </w:t>
      </w:r>
      <w:r w:rsidR="00D510B8" w:rsidRPr="00CA6B8A">
        <w:rPr>
          <w:rFonts w:cs="Times New Roman"/>
          <w:color w:val="000000" w:themeColor="text1"/>
          <w:lang w:val="es-CO"/>
        </w:rPr>
        <w:t>l</w:t>
      </w:r>
      <w:r w:rsidR="008D6526" w:rsidRPr="00CA6B8A">
        <w:rPr>
          <w:rFonts w:cs="Times New Roman"/>
          <w:color w:val="000000" w:themeColor="text1"/>
          <w:lang w:val="es-CO"/>
        </w:rPr>
        <w:t>os</w:t>
      </w:r>
      <w:r w:rsidR="00D510B8" w:rsidRPr="00CA6B8A">
        <w:rPr>
          <w:rFonts w:cs="Times New Roman"/>
          <w:color w:val="000000" w:themeColor="text1"/>
          <w:lang w:val="es-CO"/>
        </w:rPr>
        <w:t xml:space="preserve"> cual</w:t>
      </w:r>
      <w:r w:rsidR="008D6526" w:rsidRPr="00CA6B8A">
        <w:rPr>
          <w:rFonts w:cs="Times New Roman"/>
          <w:color w:val="000000" w:themeColor="text1"/>
          <w:lang w:val="es-CO"/>
        </w:rPr>
        <w:t>es</w:t>
      </w:r>
      <w:r w:rsidR="00D510B8" w:rsidRPr="00CA6B8A">
        <w:rPr>
          <w:rFonts w:cs="Times New Roman"/>
          <w:color w:val="000000" w:themeColor="text1"/>
          <w:lang w:val="es-CO"/>
        </w:rPr>
        <w:t xml:space="preserve"> las EAPB</w:t>
      </w:r>
      <w:r w:rsidR="00B140BF" w:rsidRPr="00CA6B8A">
        <w:rPr>
          <w:rFonts w:cs="Times New Roman"/>
          <w:color w:val="000000" w:themeColor="text1"/>
          <w:lang w:val="es-CO"/>
        </w:rPr>
        <w:t xml:space="preserve"> e IPS</w:t>
      </w:r>
      <w:r w:rsidR="00D510B8" w:rsidRPr="00CA6B8A">
        <w:rPr>
          <w:rFonts w:cs="Times New Roman"/>
          <w:color w:val="000000" w:themeColor="text1"/>
          <w:lang w:val="es-CO"/>
        </w:rPr>
        <w:t xml:space="preserve"> presentan desempeños deficientes</w:t>
      </w:r>
      <w:r w:rsidR="00CA6B8A" w:rsidRPr="00CA6B8A">
        <w:rPr>
          <w:rFonts w:cs="Times New Roman"/>
          <w:color w:val="000000" w:themeColor="text1"/>
          <w:lang w:val="es-CO"/>
        </w:rPr>
        <w:t xml:space="preserve">. </w:t>
      </w:r>
      <w:r w:rsidR="00CA6B8A" w:rsidRPr="00CA6B8A">
        <w:rPr>
          <w:color w:val="000000" w:themeColor="text1"/>
          <w:lang w:val="es-CO"/>
        </w:rPr>
        <w:t>En todo caso, la actualización de estos indicadores deberá implicar una mejora progresiva del servicio de salud.</w:t>
      </w:r>
    </w:p>
    <w:p w14:paraId="73E60585" w14:textId="0D61129F" w:rsidR="001C02C5" w:rsidRPr="00B0742F" w:rsidRDefault="001C02C5" w:rsidP="00D510B8">
      <w:pPr>
        <w:pStyle w:val="Sinespaciado1"/>
        <w:spacing w:after="120"/>
        <w:jc w:val="both"/>
        <w:rPr>
          <w:rFonts w:cs="Times New Roman"/>
          <w:b/>
          <w:color w:val="000000" w:themeColor="text1"/>
          <w:lang w:val="es-CO"/>
        </w:rPr>
      </w:pPr>
      <w:r w:rsidRPr="00B0742F">
        <w:rPr>
          <w:rFonts w:cs="Times New Roman"/>
          <w:b/>
          <w:color w:val="000000" w:themeColor="text1"/>
          <w:lang w:val="es-CO"/>
        </w:rPr>
        <w:t xml:space="preserve">Parágrafo 3º. </w:t>
      </w:r>
      <w:r w:rsidR="00965BEF" w:rsidRPr="00B0742F">
        <w:rPr>
          <w:rFonts w:cs="Times New Roman"/>
          <w:color w:val="000000" w:themeColor="text1"/>
          <w:lang w:val="es-CO"/>
        </w:rPr>
        <w:t xml:space="preserve">Se tendrá como fuente de información y evaluación de cada uno de los indicadores lo establecido en el Sistema de Información para la Calidad (SIC). En caso de que alguno de los indicadores contemplados en la presente ley no esté en el SIC, el Gobierno Nacional reglamentará lo </w:t>
      </w:r>
      <w:r w:rsidR="009A4272" w:rsidRPr="00B0742F">
        <w:rPr>
          <w:rFonts w:eastAsia="Times New Roman" w:cs="Times New Roman"/>
          <w:color w:val="000000" w:themeColor="text1"/>
          <w:bdr w:val="nil"/>
          <w:lang w:val="es-CO" w:eastAsia="es-CO"/>
        </w:rPr>
        <w:t xml:space="preserve">relativo al reporte de </w:t>
      </w:r>
      <w:r w:rsidR="00416447" w:rsidRPr="00B0742F">
        <w:rPr>
          <w:rFonts w:eastAsia="Times New Roman" w:cs="Times New Roman"/>
          <w:color w:val="000000" w:themeColor="text1"/>
          <w:bdr w:val="nil"/>
          <w:lang w:val="es-CO" w:eastAsia="es-CO"/>
        </w:rPr>
        <w:t xml:space="preserve">dichos indicadores. </w:t>
      </w:r>
    </w:p>
    <w:p w14:paraId="3E563F18" w14:textId="5BE9A485" w:rsidR="00B0742F" w:rsidRPr="00B0742F" w:rsidRDefault="00322185" w:rsidP="00B0742F">
      <w:pPr>
        <w:pStyle w:val="Cuerpo"/>
        <w:jc w:val="both"/>
        <w:rPr>
          <w:color w:val="000000" w:themeColor="text1"/>
        </w:rPr>
      </w:pPr>
      <w:r w:rsidRPr="00B0742F">
        <w:rPr>
          <w:b/>
          <w:color w:val="000000" w:themeColor="text1"/>
        </w:rPr>
        <w:t>Artículo 5</w:t>
      </w:r>
      <w:r w:rsidR="00D510B8" w:rsidRPr="00B0742F">
        <w:rPr>
          <w:b/>
          <w:color w:val="000000" w:themeColor="text1"/>
        </w:rPr>
        <w:t>°.</w:t>
      </w:r>
      <w:r w:rsidR="00D510B8" w:rsidRPr="00B0742F">
        <w:rPr>
          <w:color w:val="000000" w:themeColor="text1"/>
        </w:rPr>
        <w:t xml:space="preserve"> </w:t>
      </w:r>
      <w:r w:rsidR="00D510B8" w:rsidRPr="00B0742F">
        <w:rPr>
          <w:b/>
          <w:color w:val="000000" w:themeColor="text1"/>
        </w:rPr>
        <w:t xml:space="preserve">Sanciones. </w:t>
      </w:r>
      <w:r w:rsidR="00B0742F" w:rsidRPr="00B0742F">
        <w:rPr>
          <w:color w:val="000000" w:themeColor="text1"/>
        </w:rPr>
        <w:t xml:space="preserve">El desempeño deficiente por parte de </w:t>
      </w:r>
      <w:r w:rsidR="00B0742F" w:rsidRPr="00B0742F">
        <w:rPr>
          <w:color w:val="000000" w:themeColor="text1"/>
          <w:bdr w:val="nil"/>
          <w:lang w:eastAsia="es-CO"/>
        </w:rPr>
        <w:t>una Empresa Administradora de Planes de Beneficios (EAPB) y/o de una Institución Prestadora de Salud (IPS) e</w:t>
      </w:r>
      <w:r w:rsidR="00B0742F" w:rsidRPr="00B0742F">
        <w:rPr>
          <w:color w:val="000000" w:themeColor="text1"/>
        </w:rPr>
        <w:t>n cualquiera de los indicadores</w:t>
      </w:r>
      <w:r w:rsidR="00B0742F">
        <w:rPr>
          <w:color w:val="000000" w:themeColor="text1"/>
        </w:rPr>
        <w:t xml:space="preserve"> previstos en el artículo 4º de la presente</w:t>
      </w:r>
      <w:r w:rsidR="00B0742F" w:rsidRPr="00B0742F">
        <w:rPr>
          <w:color w:val="000000" w:themeColor="text1"/>
        </w:rPr>
        <w:t xml:space="preserve"> ley, dará lugar a la aplicación de sanciones de conformidad con los artículos 131 a 134 de la Ley 1438 de 2011, los artículos 5, 6 y 7 de la Ley 1751 de 2015 y las garantías del debido proceso.</w:t>
      </w:r>
    </w:p>
    <w:p w14:paraId="1C6191AF" w14:textId="291C50D8" w:rsidR="00D510B8" w:rsidRPr="00B537EE" w:rsidRDefault="00D510B8" w:rsidP="001C7135">
      <w:pPr>
        <w:pStyle w:val="Cuerpo"/>
        <w:jc w:val="both"/>
      </w:pPr>
    </w:p>
    <w:p w14:paraId="698C25AE" w14:textId="77777777" w:rsidR="00D510B8" w:rsidRPr="00B537EE" w:rsidRDefault="00D510B8" w:rsidP="00D510B8">
      <w:pPr>
        <w:pStyle w:val="Cuerpo"/>
        <w:jc w:val="both"/>
      </w:pPr>
      <w:r w:rsidRPr="00B537EE">
        <w:rPr>
          <w:b/>
        </w:rPr>
        <w:t>Parágrafo 1°.</w:t>
      </w:r>
      <w:r w:rsidRPr="00B537EE">
        <w:t xml:space="preserve"> En caso de negación de servicios de salud a sujetos de especial protección constitucional, se aplicará a las E</w:t>
      </w:r>
      <w:r w:rsidRPr="00B537EE">
        <w:rPr>
          <w:bdr w:val="nil"/>
          <w:lang w:eastAsia="es-CO"/>
        </w:rPr>
        <w:t xml:space="preserve">mpresas Administradoras de Planes de Beneficios (EAPB) </w:t>
      </w:r>
      <w:r w:rsidRPr="00B537EE">
        <w:t>la sanción máxima establecida por la Ley 1438 de 2011.</w:t>
      </w:r>
    </w:p>
    <w:p w14:paraId="68D9E6FC" w14:textId="77777777" w:rsidR="00581933" w:rsidRPr="00B537EE" w:rsidRDefault="00581933" w:rsidP="00D510B8">
      <w:pPr>
        <w:pStyle w:val="Cuerpo"/>
        <w:jc w:val="both"/>
      </w:pPr>
    </w:p>
    <w:p w14:paraId="320B1A1D" w14:textId="089ED352" w:rsidR="00A3180E" w:rsidRPr="00B537EE" w:rsidRDefault="00581933" w:rsidP="00F66159">
      <w:pPr>
        <w:pStyle w:val="Cuerpo"/>
        <w:jc w:val="both"/>
      </w:pPr>
      <w:r w:rsidRPr="00B537EE">
        <w:rPr>
          <w:b/>
        </w:rPr>
        <w:lastRenderedPageBreak/>
        <w:t xml:space="preserve">Parágrafo 2°. </w:t>
      </w:r>
      <w:r w:rsidR="00F66159" w:rsidRPr="00B537EE">
        <w:t xml:space="preserve">Previo a la imposición de las sanciones, </w:t>
      </w:r>
      <w:r w:rsidR="00432B15" w:rsidRPr="00B537EE">
        <w:t>l</w:t>
      </w:r>
      <w:r w:rsidR="00A3180E" w:rsidRPr="00B537EE">
        <w:t>a Superintendencia Nacional de Salud en cumplimiento de sus funciones constitucionales y legales, podrá realizar una visita de Inspección, Vigilancia y Control a las E</w:t>
      </w:r>
      <w:r w:rsidR="00A3180E" w:rsidRPr="00B537EE">
        <w:rPr>
          <w:bdr w:val="nil"/>
          <w:lang w:eastAsia="es-CO"/>
        </w:rPr>
        <w:t xml:space="preserve">mpresas Administradoras de Planes de Beneficios (EAPB) </w:t>
      </w:r>
      <w:r w:rsidR="00A3180E" w:rsidRPr="00B537EE">
        <w:t>para</w:t>
      </w:r>
      <w:r w:rsidR="00966351" w:rsidRPr="00B537EE">
        <w:t xml:space="preserve"> </w:t>
      </w:r>
      <w:r w:rsidR="00973B81" w:rsidRPr="00B537EE">
        <w:t>establecer y evaluar un</w:t>
      </w:r>
      <w:r w:rsidR="00A3180E" w:rsidRPr="00B537EE">
        <w:t xml:space="preserve"> plan de mejoramiento </w:t>
      </w:r>
      <w:r w:rsidR="00973B81" w:rsidRPr="00B537EE">
        <w:t>en la calidad del servicio de salud.</w:t>
      </w:r>
    </w:p>
    <w:p w14:paraId="2EFBC1B5" w14:textId="77777777" w:rsidR="00634136" w:rsidRPr="00B537EE" w:rsidRDefault="00634136" w:rsidP="00F66159">
      <w:pPr>
        <w:pStyle w:val="Cuerpo"/>
        <w:jc w:val="both"/>
        <w:rPr>
          <w:color w:val="000000" w:themeColor="text1"/>
        </w:rPr>
      </w:pPr>
    </w:p>
    <w:p w14:paraId="45AF72FB" w14:textId="1F742599" w:rsidR="00B069A4" w:rsidRDefault="00634136" w:rsidP="00B069A4">
      <w:pPr>
        <w:pStyle w:val="Sinespaciado1"/>
        <w:tabs>
          <w:tab w:val="left" w:pos="6805"/>
        </w:tabs>
        <w:spacing w:after="120"/>
        <w:jc w:val="both"/>
        <w:rPr>
          <w:rFonts w:cs="Times New Roman"/>
          <w:color w:val="000000" w:themeColor="text1"/>
          <w:lang w:val="es-ES"/>
        </w:rPr>
      </w:pPr>
      <w:r w:rsidRPr="00B537EE">
        <w:rPr>
          <w:rFonts w:cs="Times New Roman"/>
          <w:b/>
          <w:color w:val="000000" w:themeColor="text1"/>
          <w:lang w:val="es-ES"/>
        </w:rPr>
        <w:t>Parágrafo 3º.</w:t>
      </w:r>
      <w:r w:rsidRPr="00B537EE">
        <w:rPr>
          <w:rFonts w:cs="Times New Roman"/>
          <w:color w:val="000000" w:themeColor="text1"/>
          <w:lang w:val="es-ES"/>
        </w:rPr>
        <w:t xml:space="preserve"> </w:t>
      </w:r>
      <w:r w:rsidR="00B069A4">
        <w:rPr>
          <w:rFonts w:eastAsia="Times New Roman"/>
          <w:lang w:val="es-CO"/>
        </w:rPr>
        <w:t xml:space="preserve">Los organismos de inspección, vigilancia y control del Sistema General de Seguridad Social en Salud determinarán en el caso concreto si </w:t>
      </w:r>
      <w:r w:rsidR="00AF1A2E">
        <w:rPr>
          <w:rFonts w:eastAsia="Times New Roman"/>
          <w:lang w:val="es-CO"/>
        </w:rPr>
        <w:t>la responsabilidad por el incumplimiento</w:t>
      </w:r>
      <w:r w:rsidR="00B069A4">
        <w:rPr>
          <w:rFonts w:eastAsia="Times New Roman"/>
          <w:lang w:val="es-CO"/>
        </w:rPr>
        <w:t xml:space="preserve"> de los indicadores previstos en el artículo 4° de la presente ley es </w:t>
      </w:r>
      <w:r w:rsidR="00B069A4">
        <w:rPr>
          <w:rFonts w:cs="Times New Roman"/>
          <w:color w:val="000000" w:themeColor="text1"/>
          <w:lang w:val="es-ES"/>
        </w:rPr>
        <w:t xml:space="preserve">individual o compartida entre EAPB y/o IPS. </w:t>
      </w:r>
    </w:p>
    <w:p w14:paraId="31A97FA9" w14:textId="040CB514" w:rsidR="00D510B8" w:rsidRPr="00B537EE" w:rsidRDefault="00322185" w:rsidP="00D510B8">
      <w:pPr>
        <w:pStyle w:val="Cuerpo"/>
        <w:jc w:val="both"/>
      </w:pPr>
      <w:r w:rsidRPr="00B537EE">
        <w:rPr>
          <w:b/>
        </w:rPr>
        <w:t>Artículo 6</w:t>
      </w:r>
      <w:r w:rsidR="00D510B8" w:rsidRPr="00B537EE">
        <w:rPr>
          <w:b/>
        </w:rPr>
        <w:t>°.</w:t>
      </w:r>
      <w:r w:rsidR="00D510B8" w:rsidRPr="00B537EE">
        <w:t xml:space="preserve"> </w:t>
      </w:r>
      <w:r w:rsidR="00D510B8" w:rsidRPr="00B537EE">
        <w:rPr>
          <w:b/>
        </w:rPr>
        <w:t>Fondo de Recursos de la Calidad en Salud (</w:t>
      </w:r>
      <w:proofErr w:type="spellStart"/>
      <w:r w:rsidR="00D510B8" w:rsidRPr="00B537EE">
        <w:rPr>
          <w:b/>
        </w:rPr>
        <w:t>FoCAS</w:t>
      </w:r>
      <w:proofErr w:type="spellEnd"/>
      <w:r w:rsidR="00D510B8" w:rsidRPr="00B537EE">
        <w:rPr>
          <w:b/>
        </w:rPr>
        <w:t>)</w:t>
      </w:r>
      <w:r w:rsidR="00D510B8" w:rsidRPr="00B537EE">
        <w:t>.</w:t>
      </w:r>
      <w:r w:rsidR="008D6526" w:rsidRPr="00B537EE">
        <w:t xml:space="preserve"> Los recursos económicos que resulten de las sanciones establecidas en la presente ley, serán destinados al Fondo de Recursos de la Calidad en Salud (</w:t>
      </w:r>
      <w:proofErr w:type="spellStart"/>
      <w:r w:rsidR="008D6526" w:rsidRPr="00B537EE">
        <w:t>FoCAS</w:t>
      </w:r>
      <w:proofErr w:type="spellEnd"/>
      <w:r w:rsidR="001C7135" w:rsidRPr="00B537EE">
        <w:t>)</w:t>
      </w:r>
      <w:r w:rsidR="008D6526" w:rsidRPr="00B537EE">
        <w:t>, una cuenta adscrita al Ministerio de Salud y Protección Social manejada por encargo fiduciario, sin personería jurídic</w:t>
      </w:r>
      <w:r w:rsidR="00EC5C8A" w:rsidRPr="00B537EE">
        <w:t>a ni planta de personal propia.</w:t>
      </w:r>
    </w:p>
    <w:p w14:paraId="4E935301" w14:textId="77777777" w:rsidR="00D510B8" w:rsidRPr="00B537EE" w:rsidRDefault="00D510B8" w:rsidP="00D510B8">
      <w:pPr>
        <w:pStyle w:val="Cuerpo"/>
        <w:jc w:val="both"/>
      </w:pPr>
    </w:p>
    <w:p w14:paraId="175C9E71" w14:textId="78F1A496" w:rsidR="00485FEA" w:rsidRPr="00B537EE" w:rsidRDefault="00322185" w:rsidP="00485FEA">
      <w:pPr>
        <w:jc w:val="both"/>
        <w:rPr>
          <w:rFonts w:eastAsia="Times New Roman"/>
          <w:color w:val="000000"/>
          <w:u w:color="000000"/>
          <w:lang w:val="es-CO"/>
        </w:rPr>
      </w:pPr>
      <w:r w:rsidRPr="00B537EE">
        <w:rPr>
          <w:b/>
          <w:color w:val="000000" w:themeColor="text1"/>
        </w:rPr>
        <w:t>Artículo 7</w:t>
      </w:r>
      <w:r w:rsidR="00D510B8" w:rsidRPr="00B537EE">
        <w:rPr>
          <w:b/>
          <w:color w:val="000000" w:themeColor="text1"/>
        </w:rPr>
        <w:t>°.</w:t>
      </w:r>
      <w:r w:rsidR="00D510B8" w:rsidRPr="00B537EE">
        <w:rPr>
          <w:color w:val="000000" w:themeColor="text1"/>
        </w:rPr>
        <w:t xml:space="preserve"> </w:t>
      </w:r>
      <w:r w:rsidR="00D510B8" w:rsidRPr="00B537EE">
        <w:rPr>
          <w:b/>
          <w:color w:val="000000" w:themeColor="text1"/>
        </w:rPr>
        <w:t xml:space="preserve">Destinación recursos </w:t>
      </w:r>
      <w:proofErr w:type="spellStart"/>
      <w:r w:rsidR="00D510B8" w:rsidRPr="00B537EE">
        <w:rPr>
          <w:b/>
          <w:color w:val="000000" w:themeColor="text1"/>
        </w:rPr>
        <w:t>FoCAS</w:t>
      </w:r>
      <w:proofErr w:type="spellEnd"/>
      <w:r w:rsidR="00D510B8" w:rsidRPr="00B537EE">
        <w:rPr>
          <w:color w:val="000000" w:themeColor="text1"/>
        </w:rPr>
        <w:t xml:space="preserve">. </w:t>
      </w:r>
      <w:r w:rsidR="00AF5D88" w:rsidRPr="00B537EE">
        <w:rPr>
          <w:color w:val="000000" w:themeColor="text1"/>
        </w:rPr>
        <w:t xml:space="preserve">Los recursos del </w:t>
      </w:r>
      <w:proofErr w:type="spellStart"/>
      <w:r w:rsidR="00AF5D88" w:rsidRPr="00B537EE">
        <w:rPr>
          <w:color w:val="000000" w:themeColor="text1"/>
        </w:rPr>
        <w:t>FoCAS</w:t>
      </w:r>
      <w:proofErr w:type="spellEnd"/>
      <w:r w:rsidR="00AF5D88" w:rsidRPr="00B537EE">
        <w:rPr>
          <w:color w:val="000000" w:themeColor="text1"/>
        </w:rPr>
        <w:t xml:space="preserve"> serán destinados a recompensar a las EAPB que presenten un desempeño favorable en</w:t>
      </w:r>
      <w:r w:rsidR="00474637">
        <w:rPr>
          <w:color w:val="000000" w:themeColor="text1"/>
        </w:rPr>
        <w:t xml:space="preserve"> todos</w:t>
      </w:r>
      <w:r w:rsidR="00AF5D88" w:rsidRPr="00B537EE">
        <w:rPr>
          <w:color w:val="000000" w:themeColor="text1"/>
        </w:rPr>
        <w:t xml:space="preserve"> los indicador</w:t>
      </w:r>
      <w:r w:rsidR="00145AB9">
        <w:rPr>
          <w:color w:val="000000" w:themeColor="text1"/>
        </w:rPr>
        <w:t>es establecidos en el artículo 4</w:t>
      </w:r>
      <w:r w:rsidR="00AF5D88" w:rsidRPr="00B537EE">
        <w:rPr>
          <w:color w:val="000000" w:themeColor="text1"/>
        </w:rPr>
        <w:t xml:space="preserve">° de la presente ley. </w:t>
      </w:r>
      <w:r w:rsidR="00A6496D" w:rsidRPr="00B537EE">
        <w:rPr>
          <w:color w:val="000000" w:themeColor="text1"/>
        </w:rPr>
        <w:t xml:space="preserve">Estos recursos </w:t>
      </w:r>
      <w:r w:rsidR="00A42A82" w:rsidRPr="00B537EE">
        <w:rPr>
          <w:color w:val="000000" w:themeColor="text1"/>
        </w:rPr>
        <w:t xml:space="preserve">tendrán como finalidad </w:t>
      </w:r>
      <w:r w:rsidR="00A740DE" w:rsidRPr="00B537EE">
        <w:rPr>
          <w:color w:val="000000" w:themeColor="text1"/>
        </w:rPr>
        <w:t xml:space="preserve">exclusiva </w:t>
      </w:r>
      <w:r w:rsidR="009D207D" w:rsidRPr="00B537EE">
        <w:rPr>
          <w:color w:val="000000" w:themeColor="text1"/>
        </w:rPr>
        <w:t>el mejoramiento</w:t>
      </w:r>
      <w:r w:rsidR="00485FEA">
        <w:rPr>
          <w:color w:val="000000" w:themeColor="text1"/>
        </w:rPr>
        <w:t xml:space="preserve"> de</w:t>
      </w:r>
      <w:r w:rsidR="009D207D" w:rsidRPr="00B537EE">
        <w:rPr>
          <w:color w:val="000000" w:themeColor="text1"/>
        </w:rPr>
        <w:t xml:space="preserve"> </w:t>
      </w:r>
      <w:r w:rsidR="00485FEA" w:rsidRPr="00B537EE">
        <w:rPr>
          <w:rFonts w:eastAsia="Times New Roman"/>
          <w:color w:val="000000"/>
          <w:u w:color="000000"/>
          <w:lang w:val="es-CO"/>
        </w:rPr>
        <w:t xml:space="preserve">la </w:t>
      </w:r>
      <w:r w:rsidR="00485FEA">
        <w:rPr>
          <w:rFonts w:eastAsia="Times New Roman"/>
          <w:color w:val="000000"/>
          <w:u w:color="000000"/>
          <w:lang w:val="es-CO"/>
        </w:rPr>
        <w:t>calidad del servicio de atención en salud</w:t>
      </w:r>
      <w:r w:rsidR="003D1FC7">
        <w:rPr>
          <w:rFonts w:eastAsia="Times New Roman"/>
          <w:color w:val="000000"/>
          <w:u w:color="000000"/>
          <w:lang w:val="es-CO"/>
        </w:rPr>
        <w:t xml:space="preserve"> y lo relativo a los procesos de acreditación</w:t>
      </w:r>
      <w:r w:rsidR="00485FEA">
        <w:rPr>
          <w:rFonts w:eastAsia="Times New Roman"/>
          <w:color w:val="000000"/>
          <w:u w:color="000000"/>
          <w:lang w:val="es-CO"/>
        </w:rPr>
        <w:t xml:space="preserve">. </w:t>
      </w:r>
    </w:p>
    <w:p w14:paraId="641FE8C4" w14:textId="037AC177" w:rsidR="00B537EE" w:rsidRPr="00B537EE" w:rsidRDefault="00B537EE" w:rsidP="00D510B8">
      <w:pPr>
        <w:pStyle w:val="Cuerpo"/>
        <w:jc w:val="both"/>
        <w:rPr>
          <w:rFonts w:eastAsia="Arial"/>
        </w:rPr>
      </w:pPr>
    </w:p>
    <w:p w14:paraId="0C571E68" w14:textId="5B35A634" w:rsidR="00F26FAB" w:rsidRPr="00B537EE" w:rsidRDefault="00F26FAB" w:rsidP="00047E96">
      <w:pPr>
        <w:pStyle w:val="Cuerpo"/>
        <w:jc w:val="both"/>
        <w:rPr>
          <w:color w:val="000000" w:themeColor="text1"/>
        </w:rPr>
      </w:pPr>
      <w:r w:rsidRPr="00B537EE">
        <w:rPr>
          <w:b/>
          <w:color w:val="000000" w:themeColor="text1"/>
        </w:rPr>
        <w:t>Artículo 8°.</w:t>
      </w:r>
      <w:r w:rsidRPr="00B537EE">
        <w:rPr>
          <w:color w:val="000000" w:themeColor="text1"/>
        </w:rPr>
        <w:t xml:space="preserve"> </w:t>
      </w:r>
      <w:r w:rsidR="009524DF">
        <w:rPr>
          <w:b/>
          <w:color w:val="000000" w:themeColor="text1"/>
        </w:rPr>
        <w:t>Sistema de Pago</w:t>
      </w:r>
      <w:r w:rsidRPr="00B537EE">
        <w:rPr>
          <w:b/>
          <w:color w:val="000000" w:themeColor="text1"/>
        </w:rPr>
        <w:t xml:space="preserve"> por Desempeño.</w:t>
      </w:r>
      <w:r w:rsidRPr="00B537EE">
        <w:rPr>
          <w:color w:val="000000" w:themeColor="text1"/>
        </w:rPr>
        <w:t xml:space="preserve"> </w:t>
      </w:r>
      <w:r w:rsidR="009524DF">
        <w:rPr>
          <w:color w:val="000000" w:themeColor="text1"/>
        </w:rPr>
        <w:t>Los r</w:t>
      </w:r>
      <w:r w:rsidR="008411D4">
        <w:rPr>
          <w:color w:val="000000" w:themeColor="text1"/>
        </w:rPr>
        <w:t xml:space="preserve">ecursos del </w:t>
      </w:r>
      <w:proofErr w:type="spellStart"/>
      <w:r w:rsidR="008411D4">
        <w:rPr>
          <w:color w:val="000000" w:themeColor="text1"/>
        </w:rPr>
        <w:t>FoCAS</w:t>
      </w:r>
      <w:proofErr w:type="spellEnd"/>
      <w:r w:rsidR="008411D4">
        <w:rPr>
          <w:color w:val="000000" w:themeColor="text1"/>
        </w:rPr>
        <w:t xml:space="preserve"> se distribuirá</w:t>
      </w:r>
      <w:r w:rsidR="009524DF">
        <w:rPr>
          <w:color w:val="000000" w:themeColor="text1"/>
        </w:rPr>
        <w:t>n de acuerdo con un Sistema de Pago</w:t>
      </w:r>
      <w:r w:rsidRPr="00B537EE">
        <w:rPr>
          <w:color w:val="000000" w:themeColor="text1"/>
        </w:rPr>
        <w:t xml:space="preserve"> por Desempeño</w:t>
      </w:r>
      <w:r w:rsidR="00AD4324">
        <w:rPr>
          <w:color w:val="000000" w:themeColor="text1"/>
        </w:rPr>
        <w:t>,</w:t>
      </w:r>
      <w:r w:rsidR="00647F1C">
        <w:rPr>
          <w:color w:val="000000" w:themeColor="text1"/>
        </w:rPr>
        <w:t xml:space="preserve"> el cual evaluará</w:t>
      </w:r>
      <w:r w:rsidR="00C82AC7">
        <w:rPr>
          <w:color w:val="000000" w:themeColor="text1"/>
        </w:rPr>
        <w:t xml:space="preserve"> el desempeño global de las EAPB</w:t>
      </w:r>
      <w:r w:rsidR="00D84909" w:rsidRPr="00B537EE">
        <w:rPr>
          <w:color w:val="000000" w:themeColor="text1"/>
        </w:rPr>
        <w:t xml:space="preserve">. </w:t>
      </w:r>
      <w:r w:rsidRPr="00B537EE">
        <w:rPr>
          <w:color w:val="000000" w:themeColor="text1"/>
        </w:rPr>
        <w:t>Este sist</w:t>
      </w:r>
      <w:r w:rsidR="008411D4">
        <w:rPr>
          <w:color w:val="000000" w:themeColor="text1"/>
        </w:rPr>
        <w:t>ema</w:t>
      </w:r>
      <w:r w:rsidR="00047E96" w:rsidRPr="00B537EE">
        <w:rPr>
          <w:color w:val="000000" w:themeColor="text1"/>
        </w:rPr>
        <w:t xml:space="preserve"> deberá ser reglamentado por el Ministerio de Salud </w:t>
      </w:r>
      <w:r w:rsidR="00647F1C">
        <w:rPr>
          <w:color w:val="000000" w:themeColor="text1"/>
        </w:rPr>
        <w:t xml:space="preserve">y de la Protección Social </w:t>
      </w:r>
      <w:r w:rsidR="00047E96" w:rsidRPr="00B537EE">
        <w:rPr>
          <w:color w:val="000000" w:themeColor="text1"/>
        </w:rPr>
        <w:t>en el plazo máximo de</w:t>
      </w:r>
      <w:r w:rsidR="00A87A70">
        <w:rPr>
          <w:color w:val="000000" w:themeColor="text1"/>
        </w:rPr>
        <w:t xml:space="preserve"> un</w:t>
      </w:r>
      <w:r w:rsidR="00047E96" w:rsidRPr="00B537EE">
        <w:rPr>
          <w:color w:val="000000" w:themeColor="text1"/>
        </w:rPr>
        <w:t xml:space="preserve"> año a partir de la p</w:t>
      </w:r>
      <w:r w:rsidR="00474637">
        <w:rPr>
          <w:color w:val="000000" w:themeColor="text1"/>
        </w:rPr>
        <w:t xml:space="preserve">romulgación de la presente ley. </w:t>
      </w:r>
    </w:p>
    <w:p w14:paraId="4DFAC623" w14:textId="77777777" w:rsidR="00283199" w:rsidRPr="00B537EE" w:rsidRDefault="00283199" w:rsidP="00D510B8">
      <w:pPr>
        <w:pStyle w:val="Cuerpo"/>
        <w:jc w:val="both"/>
        <w:rPr>
          <w:rFonts w:eastAsia="Arial"/>
          <w:b/>
        </w:rPr>
      </w:pPr>
    </w:p>
    <w:p w14:paraId="0638F818" w14:textId="1A088FDC" w:rsidR="00D510B8" w:rsidRPr="00287741" w:rsidRDefault="00D510B8" w:rsidP="00D510B8">
      <w:pPr>
        <w:pStyle w:val="Cuerpo"/>
        <w:jc w:val="both"/>
      </w:pPr>
      <w:r w:rsidRPr="00B537EE">
        <w:rPr>
          <w:rFonts w:eastAsia="Arial"/>
          <w:b/>
        </w:rPr>
        <w:t xml:space="preserve">Artículo </w:t>
      </w:r>
      <w:r w:rsidR="00914A30" w:rsidRPr="00B537EE">
        <w:rPr>
          <w:b/>
        </w:rPr>
        <w:t>9</w:t>
      </w:r>
      <w:r w:rsidRPr="00B537EE">
        <w:rPr>
          <w:b/>
        </w:rPr>
        <w:t>°.</w:t>
      </w:r>
      <w:r w:rsidRPr="00B537EE">
        <w:t xml:space="preserve"> </w:t>
      </w:r>
      <w:r w:rsidRPr="00B537EE">
        <w:rPr>
          <w:rFonts w:eastAsia="Arial"/>
          <w:b/>
        </w:rPr>
        <w:t xml:space="preserve"> </w:t>
      </w:r>
      <w:r w:rsidRPr="00B537EE">
        <w:rPr>
          <w:b/>
        </w:rPr>
        <w:t>Vigencia</w:t>
      </w:r>
      <w:r w:rsidRPr="00B537EE">
        <w:t>. La presente ley rige a partir del momento de su promulgación y derogas las disposiciones que le sean contrarias.</w:t>
      </w:r>
    </w:p>
    <w:p w14:paraId="529263D2" w14:textId="77777777" w:rsidR="00D510B8" w:rsidRPr="00287741" w:rsidRDefault="00D510B8" w:rsidP="00D510B8">
      <w:pPr>
        <w:pStyle w:val="Cuerpo"/>
        <w:jc w:val="both"/>
      </w:pPr>
    </w:p>
    <w:p w14:paraId="550C447B" w14:textId="77777777" w:rsidR="00D510B8" w:rsidRDefault="00D510B8" w:rsidP="00D510B8">
      <w:pPr>
        <w:pStyle w:val="Cuerpo"/>
        <w:jc w:val="both"/>
      </w:pPr>
    </w:p>
    <w:p w14:paraId="5D02C478" w14:textId="77777777" w:rsidR="0047196C" w:rsidRPr="00287741" w:rsidRDefault="0047196C" w:rsidP="00D510B8">
      <w:pPr>
        <w:pStyle w:val="Cuerpo"/>
        <w:jc w:val="both"/>
      </w:pPr>
    </w:p>
    <w:p w14:paraId="52AC10AD" w14:textId="77777777" w:rsidR="00D510B8" w:rsidRPr="00287741" w:rsidRDefault="00D510B8" w:rsidP="00D510B8">
      <w:pPr>
        <w:pStyle w:val="Cuerpo"/>
        <w:jc w:val="both"/>
      </w:pPr>
      <w:r w:rsidRPr="00287741">
        <w:t>Cordialmente,</w:t>
      </w:r>
    </w:p>
    <w:p w14:paraId="2E08AF90" w14:textId="77777777" w:rsidR="00D510B8" w:rsidRDefault="00D510B8">
      <w:pPr>
        <w:rPr>
          <w:lang w:val="es-CO"/>
        </w:rPr>
      </w:pPr>
    </w:p>
    <w:p w14:paraId="46388908" w14:textId="77777777" w:rsidR="00774263" w:rsidRDefault="00774263">
      <w:pPr>
        <w:rPr>
          <w:lang w:val="es-CO"/>
        </w:rPr>
      </w:pPr>
    </w:p>
    <w:p w14:paraId="45CF3727" w14:textId="77777777" w:rsidR="0047196C" w:rsidRPr="00287741" w:rsidRDefault="0047196C">
      <w:pPr>
        <w:rPr>
          <w:lang w:val="es-CO"/>
        </w:rPr>
      </w:pPr>
    </w:p>
    <w:p w14:paraId="1E4404AD" w14:textId="77777777" w:rsidR="00D510B8" w:rsidRPr="00287741" w:rsidRDefault="00D510B8" w:rsidP="00D510B8">
      <w:pPr>
        <w:jc w:val="both"/>
        <w:rPr>
          <w:lang w:val="es-CO"/>
        </w:rPr>
      </w:pPr>
      <w:r w:rsidRPr="00287741">
        <w:rPr>
          <w:lang w:val="es-CO"/>
        </w:rPr>
        <w:t>_______________________</w:t>
      </w:r>
      <w:r w:rsidRPr="00287741">
        <w:rPr>
          <w:lang w:val="es-CO"/>
        </w:rPr>
        <w:tab/>
      </w:r>
    </w:p>
    <w:p w14:paraId="327420C3" w14:textId="77777777" w:rsidR="00D510B8" w:rsidRPr="00287741" w:rsidRDefault="00D510B8" w:rsidP="00D510B8">
      <w:pPr>
        <w:jc w:val="both"/>
        <w:rPr>
          <w:lang w:val="es-CO"/>
        </w:rPr>
      </w:pPr>
      <w:r w:rsidRPr="00287741">
        <w:rPr>
          <w:b/>
          <w:lang w:val="es-CO"/>
        </w:rPr>
        <w:t>RODRIGO LARA RESTREPO</w:t>
      </w:r>
      <w:r w:rsidRPr="00287741">
        <w:rPr>
          <w:lang w:val="es-CO"/>
        </w:rPr>
        <w:tab/>
        <w:t xml:space="preserve">      </w:t>
      </w:r>
    </w:p>
    <w:p w14:paraId="2C19B05C" w14:textId="77777777" w:rsidR="00D510B8" w:rsidRPr="00287741" w:rsidRDefault="00D510B8" w:rsidP="00D510B8">
      <w:pPr>
        <w:rPr>
          <w:lang w:val="es-CO"/>
        </w:rPr>
      </w:pPr>
      <w:r w:rsidRPr="00287741">
        <w:rPr>
          <w:lang w:val="es-CO"/>
        </w:rPr>
        <w:t xml:space="preserve">H. Representante a la Cámara </w:t>
      </w:r>
    </w:p>
    <w:p w14:paraId="708F72E4" w14:textId="77777777" w:rsidR="00D510B8" w:rsidRDefault="00D510B8" w:rsidP="00D510B8">
      <w:pPr>
        <w:rPr>
          <w:rFonts w:eastAsia="Arial"/>
          <w:b/>
          <w:lang w:val="es-CO"/>
        </w:rPr>
      </w:pPr>
    </w:p>
    <w:p w14:paraId="75FDE834" w14:textId="77777777" w:rsidR="00E55C09" w:rsidRDefault="00E55C09" w:rsidP="00D510B8">
      <w:pPr>
        <w:rPr>
          <w:rFonts w:eastAsia="Arial"/>
          <w:b/>
          <w:lang w:val="es-CO"/>
        </w:rPr>
      </w:pPr>
    </w:p>
    <w:p w14:paraId="0490E89D" w14:textId="77777777" w:rsidR="00774263" w:rsidRDefault="00774263" w:rsidP="00D510B8">
      <w:pPr>
        <w:rPr>
          <w:rFonts w:eastAsia="Arial"/>
          <w:b/>
          <w:lang w:val="es-CO"/>
        </w:rPr>
      </w:pPr>
    </w:p>
    <w:p w14:paraId="27C359C8" w14:textId="77777777" w:rsidR="00E55C09" w:rsidRPr="00287741" w:rsidRDefault="00E55C09" w:rsidP="00E55C09">
      <w:pPr>
        <w:rPr>
          <w:lang w:val="es-CO"/>
        </w:rPr>
      </w:pPr>
    </w:p>
    <w:p w14:paraId="0C58257A" w14:textId="77777777" w:rsidR="00E55C09" w:rsidRPr="00287741" w:rsidRDefault="00E55C09" w:rsidP="00E55C09">
      <w:pPr>
        <w:jc w:val="both"/>
        <w:rPr>
          <w:lang w:val="es-CO"/>
        </w:rPr>
      </w:pPr>
      <w:r w:rsidRPr="00287741">
        <w:rPr>
          <w:lang w:val="es-CO"/>
        </w:rPr>
        <w:t>_______________________</w:t>
      </w:r>
      <w:r w:rsidRPr="00287741">
        <w:rPr>
          <w:lang w:val="es-CO"/>
        </w:rPr>
        <w:tab/>
      </w:r>
    </w:p>
    <w:p w14:paraId="2CA2684D" w14:textId="1099EF7F" w:rsidR="00E55C09" w:rsidRPr="00287741" w:rsidRDefault="00E55C09" w:rsidP="00E55C09">
      <w:pPr>
        <w:jc w:val="both"/>
        <w:rPr>
          <w:lang w:val="es-CO"/>
        </w:rPr>
      </w:pPr>
      <w:r>
        <w:rPr>
          <w:b/>
          <w:lang w:val="es-CO"/>
        </w:rPr>
        <w:t>DAVID BARGUIL ASSIS</w:t>
      </w:r>
      <w:r w:rsidRPr="00287741">
        <w:rPr>
          <w:lang w:val="es-CO"/>
        </w:rPr>
        <w:tab/>
        <w:t xml:space="preserve">      </w:t>
      </w:r>
    </w:p>
    <w:p w14:paraId="6D88278A" w14:textId="77777777" w:rsidR="00E55C09" w:rsidRPr="00287741" w:rsidRDefault="00E55C09" w:rsidP="00E55C09">
      <w:pPr>
        <w:rPr>
          <w:lang w:val="es-CO"/>
        </w:rPr>
      </w:pPr>
      <w:r w:rsidRPr="00287741">
        <w:rPr>
          <w:lang w:val="es-CO"/>
        </w:rPr>
        <w:t xml:space="preserve">H. Representante a la Cámara </w:t>
      </w:r>
    </w:p>
    <w:p w14:paraId="12312F1E" w14:textId="77777777" w:rsidR="00E55C09" w:rsidRDefault="00E55C09" w:rsidP="00406270">
      <w:pPr>
        <w:tabs>
          <w:tab w:val="left" w:pos="5095"/>
        </w:tabs>
        <w:rPr>
          <w:lang w:val="es-CO"/>
        </w:rPr>
      </w:pPr>
    </w:p>
    <w:p w14:paraId="6877BF1C" w14:textId="77777777" w:rsidR="0047196C" w:rsidRDefault="0047196C" w:rsidP="00406270">
      <w:pPr>
        <w:tabs>
          <w:tab w:val="left" w:pos="5095"/>
        </w:tabs>
        <w:rPr>
          <w:lang w:val="es-CO"/>
        </w:rPr>
      </w:pPr>
    </w:p>
    <w:p w14:paraId="7884A001" w14:textId="76870776" w:rsidR="00675D42" w:rsidRDefault="00D510B8" w:rsidP="00CC7777">
      <w:pPr>
        <w:pStyle w:val="Cuerpo"/>
        <w:spacing w:before="240"/>
        <w:jc w:val="center"/>
        <w:rPr>
          <w:b/>
        </w:rPr>
      </w:pPr>
      <w:r w:rsidRPr="00287741">
        <w:rPr>
          <w:b/>
        </w:rPr>
        <w:t>EXPOSICIÓN DE MOTIVOS</w:t>
      </w:r>
    </w:p>
    <w:p w14:paraId="2BF5A533" w14:textId="77777777" w:rsidR="000C0D87" w:rsidRPr="00287741" w:rsidRDefault="000C0D87" w:rsidP="00CC7777">
      <w:pPr>
        <w:pStyle w:val="Cuerpo"/>
        <w:spacing w:before="240"/>
        <w:jc w:val="center"/>
        <w:rPr>
          <w:b/>
        </w:rPr>
      </w:pPr>
    </w:p>
    <w:p w14:paraId="02B45147" w14:textId="77777777" w:rsidR="00D510B8" w:rsidRPr="00287741" w:rsidRDefault="00D510B8" w:rsidP="00D510B8">
      <w:pPr>
        <w:spacing w:before="240"/>
        <w:jc w:val="both"/>
        <w:rPr>
          <w:lang w:val="es-CO"/>
        </w:rPr>
      </w:pPr>
      <w:r w:rsidRPr="00287741">
        <w:rPr>
          <w:lang w:val="es-CO"/>
        </w:rPr>
        <w:t>La Constitución Política consagra el derecho a la salud en el artículo 49, estableciendo que “</w:t>
      </w:r>
      <w:r w:rsidRPr="00287741">
        <w:rPr>
          <w:i/>
          <w:lang w:val="es-CO"/>
        </w:rPr>
        <w:t>la atención de la salud y el saneamiento ambiental son servicios públicos a cargo del Estado. Se garantiza a todas las personas el acceso a los servicios de promoción, protección y recuperación de la salud</w:t>
      </w:r>
      <w:r w:rsidRPr="00287741">
        <w:rPr>
          <w:lang w:val="es-CO"/>
        </w:rPr>
        <w:t>”. El servicio público de salud, así definido, compele al Estado a establecer políticas públicas encaminadas a la realización del derecho, por lo cual, el Estado tiene la obligación de organizar, dirigir, reglamentar y establecer las políticas públicas tendientes a que las personas privadas y las entidades estatales de los diferentes órdenes, presten el servicio para que el derecho sea progresivamente realizable.</w:t>
      </w:r>
    </w:p>
    <w:p w14:paraId="5A9ECF82" w14:textId="17CB5C2C" w:rsidR="00D510B8" w:rsidRPr="00287741" w:rsidRDefault="00D510B8" w:rsidP="00D510B8">
      <w:pPr>
        <w:spacing w:before="240"/>
        <w:jc w:val="both"/>
        <w:rPr>
          <w:lang w:val="es-CO"/>
        </w:rPr>
      </w:pPr>
      <w:r w:rsidRPr="00287741">
        <w:rPr>
          <w:lang w:val="es-CO"/>
        </w:rPr>
        <w:t xml:space="preserve">De conformidad con la Carta Política, la prestación del servicio de salud debe realizarse de acuerdo a los principios de eficiencia, universalidad y solidaridad. El principio de universalidad, establece que el derecho a la salud es accesible a todas las personas sin ningún tipo de diferenciación, mientras el principio de eficiencia estipula que la prestación del servicio de salud debe hacerse de acuerdo a un manejo adecuado de recursos. </w:t>
      </w:r>
      <w:r w:rsidR="000E476D">
        <w:rPr>
          <w:lang w:val="es-CO"/>
        </w:rPr>
        <w:t xml:space="preserve">En tanto, la solidaridad corresponde </w:t>
      </w:r>
      <w:r w:rsidR="002D1F43">
        <w:rPr>
          <w:lang w:val="es-CO"/>
        </w:rPr>
        <w:t xml:space="preserve">al mutuo apoyo para su prestación entre los diferentes actores, tanto en grupos sociales, </w:t>
      </w:r>
      <w:r w:rsidR="00216B4A">
        <w:rPr>
          <w:lang w:val="es-CO"/>
        </w:rPr>
        <w:t>económicos</w:t>
      </w:r>
      <w:r w:rsidR="002D1F43">
        <w:rPr>
          <w:lang w:val="es-CO"/>
        </w:rPr>
        <w:t xml:space="preserve"> y culturales.</w:t>
      </w:r>
    </w:p>
    <w:p w14:paraId="198B8958" w14:textId="44C58FE1" w:rsidR="00D510B8" w:rsidRPr="00287741" w:rsidRDefault="00D510B8" w:rsidP="00D510B8">
      <w:pPr>
        <w:spacing w:before="240"/>
        <w:jc w:val="both"/>
        <w:rPr>
          <w:lang w:val="es-CO"/>
        </w:rPr>
      </w:pPr>
      <w:r w:rsidRPr="00287741">
        <w:rPr>
          <w:lang w:val="es-CO"/>
        </w:rPr>
        <w:t>En el mismo sentido, los artículos 2</w:t>
      </w:r>
      <w:r w:rsidR="00C82AEB">
        <w:rPr>
          <w:lang w:val="es-CO"/>
        </w:rPr>
        <w:t>°</w:t>
      </w:r>
      <w:r w:rsidRPr="00287741">
        <w:rPr>
          <w:lang w:val="es-CO"/>
        </w:rPr>
        <w:t xml:space="preserve">, 153 y 156 de la Ley 100 de 1993, consagran como principios rectores y características del sistema, entre otros: la prestación del servicio de calidad, de forma continua, integral y garantizando la libertad de escogencia. </w:t>
      </w:r>
    </w:p>
    <w:p w14:paraId="1920BAA8" w14:textId="77777777" w:rsidR="00D510B8" w:rsidRPr="00287741" w:rsidRDefault="00D510B8" w:rsidP="00D510B8">
      <w:pPr>
        <w:spacing w:before="240"/>
        <w:jc w:val="both"/>
        <w:rPr>
          <w:lang w:val="es-CO"/>
        </w:rPr>
      </w:pPr>
      <w:r w:rsidRPr="00287741">
        <w:rPr>
          <w:lang w:val="es-CO"/>
        </w:rPr>
        <w:t>Igualmente, la Corte Constitucional, por medio de la sentencia T-760 de 2008</w:t>
      </w:r>
      <w:r w:rsidRPr="00287741">
        <w:rPr>
          <w:rStyle w:val="Refdenotaalpie"/>
          <w:lang w:val="es-CO"/>
        </w:rPr>
        <w:footnoteReference w:id="1"/>
      </w:r>
      <w:r w:rsidRPr="00287741">
        <w:rPr>
          <w:lang w:val="es-CO"/>
        </w:rPr>
        <w:t xml:space="preserve">, recogió el precedente jurisprudencial hasta la fecha y estableció el derecho a la salud como un derecho fundamental de carácter autónomo e irrenunciable. </w:t>
      </w:r>
    </w:p>
    <w:p w14:paraId="17A56FAA" w14:textId="77777777" w:rsidR="00D510B8" w:rsidRPr="00287741" w:rsidRDefault="00D510B8" w:rsidP="00D510B8">
      <w:pPr>
        <w:spacing w:before="240"/>
        <w:jc w:val="both"/>
        <w:rPr>
          <w:lang w:val="es-CO"/>
        </w:rPr>
      </w:pPr>
      <w:r w:rsidRPr="00287741">
        <w:rPr>
          <w:lang w:val="es-CO"/>
        </w:rPr>
        <w:t>Posteriormente, el Congreso de la República promulgó la Ley Estatutaria 1751 de 2015 “</w:t>
      </w:r>
      <w:r w:rsidRPr="00287741">
        <w:rPr>
          <w:i/>
          <w:lang w:val="es-CO"/>
        </w:rPr>
        <w:t>por medio de la cual se regula el derecho fundamental a la salud y se dictan otras disposición</w:t>
      </w:r>
      <w:r w:rsidRPr="00287741">
        <w:rPr>
          <w:rStyle w:val="Refdenotaalpie"/>
          <w:i/>
          <w:lang w:val="es-CO"/>
        </w:rPr>
        <w:footnoteReference w:id="2"/>
      </w:r>
      <w:r w:rsidRPr="00287741">
        <w:rPr>
          <w:lang w:val="es-CO"/>
        </w:rPr>
        <w:t>”, donde determinó que el derecho a la salud: (i) es irrenunciable y autónomo a nivel individual y colectivo; (ii) comprende “</w:t>
      </w:r>
      <w:r w:rsidRPr="00287741">
        <w:rPr>
          <w:i/>
          <w:lang w:val="es-CO"/>
        </w:rPr>
        <w:t>el acceso a los servicios de salud de manera oportuna, eficaz y con calidad</w:t>
      </w:r>
      <w:r w:rsidRPr="00287741">
        <w:rPr>
          <w:lang w:val="es-CO"/>
        </w:rPr>
        <w:t>” (art. 2); (iii) contiene cuatro elementos fundamentales, como lo son disponibilidad, aceptabilidad, accesibilidad, calidad e idoneidad profesional (art.6); (iv) lo conciben catorce principios (art.6)</w:t>
      </w:r>
      <w:r w:rsidRPr="00287741">
        <w:rPr>
          <w:rStyle w:val="Refdenotaalpie"/>
          <w:lang w:val="es-CO"/>
        </w:rPr>
        <w:footnoteReference w:id="3"/>
      </w:r>
      <w:r w:rsidRPr="00287741">
        <w:rPr>
          <w:lang w:val="es-CO"/>
        </w:rPr>
        <w:t xml:space="preserve">. </w:t>
      </w:r>
    </w:p>
    <w:p w14:paraId="40B97BD0" w14:textId="77777777" w:rsidR="00D510B8" w:rsidRPr="00287741" w:rsidRDefault="00D510B8" w:rsidP="00D510B8">
      <w:pPr>
        <w:spacing w:before="240"/>
        <w:jc w:val="both"/>
        <w:rPr>
          <w:lang w:val="es-CO"/>
        </w:rPr>
      </w:pPr>
      <w:r w:rsidRPr="00287741">
        <w:rPr>
          <w:lang w:val="es-CO"/>
        </w:rPr>
        <w:lastRenderedPageBreak/>
        <w:t xml:space="preserve">Tomando en consideración este marco normativo de derechos y deberes, el modelo de salud colombiano, se organiza bajo un sistema de </w:t>
      </w:r>
      <w:r w:rsidRPr="00287741">
        <w:rPr>
          <w:i/>
          <w:lang w:val="es-CO"/>
        </w:rPr>
        <w:t>competencia por atención médica</w:t>
      </w:r>
      <w:r w:rsidRPr="00287741">
        <w:rPr>
          <w:rStyle w:val="Refdenotaalpie"/>
          <w:lang w:val="es-CO"/>
        </w:rPr>
        <w:footnoteReference w:id="4"/>
      </w:r>
      <w:r w:rsidRPr="00287741">
        <w:rPr>
          <w:lang w:val="es-CO"/>
        </w:rPr>
        <w:t>. En este, se realizan subsidios a la demanda, o sea, el gasto en salud se hace por usuario en vez del giro directo a hospitales o clínicas. Este sistema incluye unos actores como las E</w:t>
      </w:r>
      <w:r w:rsidRPr="00287741">
        <w:rPr>
          <w:rFonts w:eastAsia="Times New Roman"/>
          <w:color w:val="000000"/>
          <w:u w:color="000000"/>
          <w:bdr w:val="nil"/>
          <w:lang w:val="es-CO" w:eastAsia="es-CO"/>
        </w:rPr>
        <w:t>mpresas Administradoras de Planes de Beneficios (EAPB)</w:t>
      </w:r>
      <w:r w:rsidRPr="00287741">
        <w:rPr>
          <w:lang w:val="es-CO"/>
        </w:rPr>
        <w:t>, que sirven de intermediarios entre los ciudadanos y los prestadores de servicios médicos como clínicas u hospitales (IPS). Las EAPB reciben Unidades de Pago por Capitación (UPC</w:t>
      </w:r>
      <w:r w:rsidRPr="00287741">
        <w:rPr>
          <w:rStyle w:val="Refdenotaalpie"/>
          <w:lang w:val="es-CO"/>
        </w:rPr>
        <w:footnoteReference w:id="5"/>
      </w:r>
      <w:r w:rsidRPr="00287741">
        <w:rPr>
          <w:lang w:val="es-CO"/>
        </w:rPr>
        <w:t xml:space="preserve">), correspondiente al gasto en salud por usuarios. </w:t>
      </w:r>
    </w:p>
    <w:p w14:paraId="26CFB71A" w14:textId="3F1B2971" w:rsidR="00D510B8" w:rsidRPr="00287741" w:rsidRDefault="00D510B8" w:rsidP="00D510B8">
      <w:pPr>
        <w:spacing w:before="240"/>
        <w:jc w:val="both"/>
        <w:rPr>
          <w:lang w:val="es-CO"/>
        </w:rPr>
      </w:pPr>
      <w:r w:rsidRPr="00287741">
        <w:rPr>
          <w:lang w:val="es-CO"/>
        </w:rPr>
        <w:t xml:space="preserve">Las EAPB tienen una doble función, por un </w:t>
      </w:r>
      <w:r w:rsidR="00216B4A" w:rsidRPr="00287741">
        <w:rPr>
          <w:lang w:val="es-CO"/>
        </w:rPr>
        <w:t>lado,</w:t>
      </w:r>
      <w:r w:rsidRPr="00287741">
        <w:rPr>
          <w:lang w:val="es-CO"/>
        </w:rPr>
        <w:t xml:space="preserve"> deben ser administradoras del gasto en salud al negociar tarifas con los prestadores del servicio de salud; y por otro, deben competir por calidad entre los usuarios. Este sistema se realizó con la finalidad de alinear incentivos entre el Gobierno Nacional y las EAPB, de tal forma que estas últimas contienen los </w:t>
      </w:r>
      <w:r w:rsidR="00216B4A" w:rsidRPr="00287741">
        <w:rPr>
          <w:lang w:val="es-CO"/>
        </w:rPr>
        <w:t>gastos,</w:t>
      </w:r>
      <w:r w:rsidRPr="00287741">
        <w:rPr>
          <w:lang w:val="es-CO"/>
        </w:rPr>
        <w:t xml:space="preserve"> pero, a su vez, no disminuyen la calidad. </w:t>
      </w:r>
    </w:p>
    <w:p w14:paraId="09B02070" w14:textId="77777777" w:rsidR="00D510B8" w:rsidRPr="00287741" w:rsidRDefault="00D510B8" w:rsidP="00D510B8">
      <w:pPr>
        <w:spacing w:before="240"/>
        <w:jc w:val="both"/>
        <w:rPr>
          <w:lang w:val="es-CO"/>
        </w:rPr>
      </w:pPr>
      <w:r w:rsidRPr="00287741">
        <w:rPr>
          <w:lang w:val="es-CO"/>
        </w:rPr>
        <w:t>Ahora bien en la práctica, las EAPB han administrado de forma prudente los gastos</w:t>
      </w:r>
      <w:r w:rsidRPr="00287741">
        <w:rPr>
          <w:rStyle w:val="Refdenotaalpie"/>
          <w:lang w:val="es-CO"/>
        </w:rPr>
        <w:footnoteReference w:id="6"/>
      </w:r>
      <w:r w:rsidRPr="00287741">
        <w:rPr>
          <w:lang w:val="es-CO"/>
        </w:rPr>
        <w:t>. Sin embargo, en lo que respecta a la competencia por calidad, la cual se basa principalmente en la escogencia por parte de los usuarios de la mejor EAPB de acuerdo con la información disponible</w:t>
      </w:r>
      <w:r w:rsidRPr="00287741">
        <w:rPr>
          <w:rStyle w:val="Refdenotaalpie"/>
          <w:lang w:val="es-CO"/>
        </w:rPr>
        <w:footnoteReference w:id="7"/>
      </w:r>
      <w:r w:rsidRPr="00287741">
        <w:rPr>
          <w:lang w:val="es-CO"/>
        </w:rPr>
        <w:t xml:space="preserve">, el resultado no ha sido el esperado.  </w:t>
      </w:r>
    </w:p>
    <w:p w14:paraId="44D920CF" w14:textId="77777777" w:rsidR="00D510B8" w:rsidRPr="00287741" w:rsidRDefault="00D510B8" w:rsidP="00D510B8">
      <w:pPr>
        <w:spacing w:before="240"/>
        <w:jc w:val="both"/>
        <w:rPr>
          <w:lang w:val="es-CO"/>
        </w:rPr>
      </w:pPr>
      <w:r w:rsidRPr="00287741">
        <w:rPr>
          <w:lang w:val="es-CO"/>
        </w:rPr>
        <w:t xml:space="preserve">Así, la competencia en calidad por parte de las EAPB es muy baja, pues el mecanismo establecido para ello no ha funcionado correctamente. Por ejemplo, para un ciudadano es difícil evaluar el desempeño de las EAPB, sobre todo dada la multiplicidad de servicios que ofrece. Igualmente, los costos asociados para el traslado de EAPB son altos y, además, existen ciertas rigideces en el sistema como la necesidad de cumplir cierto tiempo para poder hacer el respectivo cambio de EAPB. </w:t>
      </w:r>
    </w:p>
    <w:p w14:paraId="58CC80E9" w14:textId="77777777" w:rsidR="00D510B8" w:rsidRPr="00287741" w:rsidRDefault="00D510B8" w:rsidP="00D510B8">
      <w:pPr>
        <w:spacing w:before="240"/>
        <w:jc w:val="both"/>
        <w:rPr>
          <w:lang w:val="es-CO"/>
        </w:rPr>
      </w:pPr>
      <w:r w:rsidRPr="00287741">
        <w:rPr>
          <w:lang w:val="es-CO"/>
        </w:rPr>
        <w:t xml:space="preserve">En este caso, la maximización de las ganancias de las EAPB viene dada únicamente por la diferencia entre UPC y gastos, sin que con ello se vea afectado el número de pacientes. Así, </w:t>
      </w:r>
      <w:r w:rsidRPr="00287741">
        <w:rPr>
          <w:lang w:val="es-CO"/>
        </w:rPr>
        <w:lastRenderedPageBreak/>
        <w:t>las EAPB cumplen su labor de controlar sus gastos, pero no propiamente por procesos de eficiencia económica, sino en detrimento de la calidad ofrecida a los usuarios</w:t>
      </w:r>
      <w:r w:rsidRPr="00287741">
        <w:rPr>
          <w:rStyle w:val="Refdenotaalpie"/>
          <w:lang w:val="es-CO"/>
        </w:rPr>
        <w:footnoteReference w:id="8"/>
      </w:r>
      <w:r w:rsidRPr="00287741">
        <w:rPr>
          <w:lang w:val="es-CO"/>
        </w:rPr>
        <w:t>.</w:t>
      </w:r>
    </w:p>
    <w:p w14:paraId="387A5113" w14:textId="77777777" w:rsidR="00D510B8" w:rsidRPr="00287741" w:rsidRDefault="00D510B8" w:rsidP="00D510B8">
      <w:pPr>
        <w:spacing w:before="240"/>
        <w:jc w:val="both"/>
        <w:rPr>
          <w:lang w:val="es-CO"/>
        </w:rPr>
      </w:pPr>
      <w:r w:rsidRPr="00287741">
        <w:rPr>
          <w:lang w:val="es-CO"/>
        </w:rPr>
        <w:t xml:space="preserve">Esto ha llevado a la constante necesidad de interponer mecanismos legales como la tutela por la negación de servicios de salud en urgencias o para enfermedades de alto costo. De acuerdo con lo señalado por la Defensoría del Pueblo en el </w:t>
      </w:r>
      <w:r w:rsidRPr="00287741">
        <w:rPr>
          <w:b/>
          <w:bCs/>
          <w:i/>
          <w:iCs/>
          <w:lang w:val="es-CO"/>
        </w:rPr>
        <w:t xml:space="preserve">Informe </w:t>
      </w:r>
      <w:proofErr w:type="spellStart"/>
      <w:r w:rsidRPr="00287741">
        <w:rPr>
          <w:b/>
          <w:bCs/>
          <w:i/>
          <w:iCs/>
          <w:lang w:val="es-CO"/>
        </w:rPr>
        <w:t>Defensorial</w:t>
      </w:r>
      <w:proofErr w:type="spellEnd"/>
      <w:r w:rsidRPr="00287741">
        <w:rPr>
          <w:b/>
          <w:bCs/>
          <w:i/>
          <w:iCs/>
          <w:lang w:val="es-CO"/>
        </w:rPr>
        <w:t xml:space="preserve"> sobre la Tutela y el Derecho a la Salud </w:t>
      </w:r>
      <w:r w:rsidRPr="00287741">
        <w:rPr>
          <w:lang w:val="es-CO"/>
        </w:rPr>
        <w:t xml:space="preserve">de octubre de 2014, las EPS y demás entidades del SGSSS siguen desconociendo los mandatos constitucionales y legales de progresividad en la protección del derecho a la salud y la prestación eficiente, sostenible, oportuna, continua y equitativa del servicio de salud. </w:t>
      </w:r>
    </w:p>
    <w:p w14:paraId="478504FE" w14:textId="6C8AB8D2" w:rsidR="00D510B8" w:rsidRPr="00287741" w:rsidRDefault="00D510B8" w:rsidP="00D510B8">
      <w:pPr>
        <w:spacing w:before="240"/>
        <w:jc w:val="both"/>
        <w:rPr>
          <w:lang w:val="es-CO"/>
        </w:rPr>
      </w:pPr>
      <w:r w:rsidRPr="00287741">
        <w:rPr>
          <w:lang w:val="es-CO"/>
        </w:rPr>
        <w:t>Tal como encontró la Defensoría del Pueblo “</w:t>
      </w:r>
      <w:r w:rsidRPr="00287741">
        <w:rPr>
          <w:i/>
          <w:lang w:val="es-CO"/>
        </w:rPr>
        <w:t>más de la tercera parte de las tutelas en el país han sido para reclamar derechos de salud. De estos, más de la mitad (56.4%) han solicitado contenidos del POS. Antioquia origina más de la tercera parte de las tutelas en salud; le siguen Bogotá, Valle y Santander. En el caso de Antioquia, se invocan en promedio 47 tutelas por cada 10 mil habitantes cada año. El 77% de las tutelas se instaura contra las entidades de aseguramiento del SGSSS que administran el régimen contributivo y subsidiado. (…)</w:t>
      </w:r>
      <w:r w:rsidR="00216B4A">
        <w:rPr>
          <w:i/>
          <w:lang w:val="es-CO"/>
        </w:rPr>
        <w:t xml:space="preserve"> </w:t>
      </w:r>
      <w:r w:rsidRPr="00287741">
        <w:rPr>
          <w:i/>
          <w:lang w:val="es-CO"/>
        </w:rPr>
        <w:t>El 20,1% de las tutelas solicita exámenes paraclínicos, seguido de medicamentos (18,4%) y cirugías (17,6%). La solicitud de medicamentos pasó a ser la más reiterada en el año 2005. Las solicitudes en las tutelas de exámenes contenidos en el POS (73,7%) (…) El 92,7% de los tratamientos tutelados se encuentra en el POS y corresponde a tratamientos integrales de patologías de alto costo (cáncer, angioplastias, reemplazos de cadera y diálisis). (…) La negación de citas médicas especializadas está asociada a patologías que en el futuro pueden ocasionar gastos, no solo en el tratamiento sino en otros insumos relacionados</w:t>
      </w:r>
      <w:r w:rsidRPr="00287741">
        <w:rPr>
          <w:lang w:val="es-CO"/>
        </w:rPr>
        <w:t>.”</w:t>
      </w:r>
    </w:p>
    <w:p w14:paraId="551D5BDD" w14:textId="77777777" w:rsidR="00D510B8" w:rsidRPr="00287741" w:rsidRDefault="00D510B8" w:rsidP="00D510B8">
      <w:pPr>
        <w:spacing w:before="240"/>
        <w:jc w:val="both"/>
        <w:rPr>
          <w:lang w:val="es-CO"/>
        </w:rPr>
      </w:pPr>
      <w:r w:rsidRPr="00287741">
        <w:rPr>
          <w:lang w:val="es-CO"/>
        </w:rPr>
        <w:t>Por lo tanto, se observa que existen EAPB con niveles altos de insatisfacción de los usuarios pero, que a su vez, tienen una alta proporción de usuarios</w:t>
      </w:r>
      <w:r w:rsidRPr="00287741">
        <w:rPr>
          <w:rStyle w:val="Refdenotaalpie"/>
          <w:lang w:val="es-CO"/>
        </w:rPr>
        <w:footnoteReference w:id="9"/>
      </w:r>
      <w:r w:rsidRPr="00287741">
        <w:rPr>
          <w:lang w:val="es-CO"/>
        </w:rPr>
        <w:t xml:space="preserve">. </w:t>
      </w:r>
    </w:p>
    <w:p w14:paraId="625A1416" w14:textId="77777777" w:rsidR="00D510B8" w:rsidRPr="00287741" w:rsidRDefault="00D510B8" w:rsidP="00D510B8">
      <w:pPr>
        <w:spacing w:before="240"/>
        <w:jc w:val="both"/>
        <w:rPr>
          <w:lang w:val="es-CO"/>
        </w:rPr>
      </w:pPr>
      <w:r w:rsidRPr="00287741">
        <w:rPr>
          <w:lang w:val="es-CO"/>
        </w:rPr>
        <w:t>En suma, sin competencia por calidad, el sistema de salud no puede presentar un adecuado funcionamiento, pues las EAPB reducen sus costos en detrimento de la calidad ofrecida.</w:t>
      </w:r>
    </w:p>
    <w:p w14:paraId="34C171ED" w14:textId="77777777" w:rsidR="00D510B8" w:rsidRPr="00287741" w:rsidRDefault="00D510B8" w:rsidP="00D510B8">
      <w:pPr>
        <w:spacing w:before="240"/>
        <w:jc w:val="both"/>
        <w:rPr>
          <w:lang w:val="es-CO"/>
        </w:rPr>
      </w:pPr>
      <w:r w:rsidRPr="00287741">
        <w:rPr>
          <w:lang w:val="es-CO"/>
        </w:rPr>
        <w:t xml:space="preserve">De esta forma, es preciso crear instrumentos para garantizar que las EAPB, que presten un mal servicio, vean afectadas tanto su participación en el mercado como su desempeño económico. Es por ello que es necesaria la creación de herramientas para mejorar la calidad de la prestación del servicio en aspectos como acceso a servicios de salud; información y facilitación a la afiliación, desafiliación y movimiento dentro del sistema de salud; y, </w:t>
      </w:r>
      <w:r w:rsidRPr="00287741">
        <w:rPr>
          <w:rFonts w:eastAsia="Times New Roman"/>
          <w:color w:val="000000"/>
          <w:u w:color="000000"/>
          <w:bdr w:val="nil"/>
          <w:lang w:val="es-CO" w:eastAsia="es-CO"/>
        </w:rPr>
        <w:t>satisfacción del usuario</w:t>
      </w:r>
      <w:r w:rsidRPr="00287741">
        <w:rPr>
          <w:lang w:val="es-CO"/>
        </w:rPr>
        <w:t xml:space="preserve">. </w:t>
      </w:r>
    </w:p>
    <w:p w14:paraId="7C3C5415" w14:textId="77777777" w:rsidR="00D510B8" w:rsidRPr="00287741" w:rsidRDefault="00D510B8" w:rsidP="00D510B8">
      <w:pPr>
        <w:spacing w:before="240"/>
        <w:jc w:val="both"/>
        <w:rPr>
          <w:lang w:val="es-CO"/>
        </w:rPr>
      </w:pPr>
      <w:r w:rsidRPr="00287741">
        <w:rPr>
          <w:lang w:val="es-CO"/>
        </w:rPr>
        <w:t xml:space="preserve">Este Proyecto de Ley provee un conjunto de sanciones, en aras de mejorar la calidad del sistema de salud colombiano. En particular, apuntan a corregir el problema de la falta de competencia por calidad entre las EAPB. De tal forma, que las ganancias y actividades de las EAPB se vuelvan sensibles a la calidad del servicio prestado. </w:t>
      </w:r>
    </w:p>
    <w:p w14:paraId="3172924E" w14:textId="77777777" w:rsidR="00D510B8" w:rsidRPr="00287741" w:rsidRDefault="00D510B8" w:rsidP="00D510B8">
      <w:pPr>
        <w:spacing w:before="240"/>
        <w:jc w:val="both"/>
        <w:rPr>
          <w:lang w:val="es-CO"/>
        </w:rPr>
      </w:pPr>
      <w:r w:rsidRPr="00287741">
        <w:rPr>
          <w:b/>
          <w:u w:val="single"/>
          <w:lang w:val="es-CO"/>
        </w:rPr>
        <w:lastRenderedPageBreak/>
        <w:t>Sistema de Sanciones</w:t>
      </w:r>
    </w:p>
    <w:p w14:paraId="13638ABD" w14:textId="3DA72CFB" w:rsidR="00D510B8" w:rsidRPr="00287741" w:rsidRDefault="00D510B8" w:rsidP="00D510B8">
      <w:pPr>
        <w:pStyle w:val="Prrafodelista1"/>
        <w:spacing w:before="240"/>
        <w:ind w:left="0"/>
        <w:jc w:val="both"/>
        <w:rPr>
          <w:rFonts w:ascii="Times New Roman" w:hAnsi="Times New Roman" w:cs="Times New Roman"/>
          <w:lang w:val="es-CO"/>
        </w:rPr>
      </w:pPr>
      <w:r w:rsidRPr="00287741">
        <w:rPr>
          <w:rFonts w:ascii="Times New Roman" w:hAnsi="Times New Roman" w:cs="Times New Roman"/>
          <w:lang w:val="es-CO"/>
        </w:rPr>
        <w:t>En primer lugar, el presente Proyecto de Ley establece un conjunto de sanciones administrativas a las EAPB que presenten un desempeño desfavorable en indicadores de acceso a la atención de salud; facilidad y acceso de información para los usuarios</w:t>
      </w:r>
      <w:r w:rsidR="002C5E07">
        <w:rPr>
          <w:rFonts w:ascii="Times New Roman" w:hAnsi="Times New Roman" w:cs="Times New Roman"/>
          <w:lang w:val="es-CO"/>
        </w:rPr>
        <w:t>;</w:t>
      </w:r>
      <w:r w:rsidRPr="00287741">
        <w:rPr>
          <w:rFonts w:ascii="Times New Roman" w:hAnsi="Times New Roman" w:cs="Times New Roman"/>
          <w:lang w:val="es-CO"/>
        </w:rPr>
        <w:t xml:space="preserve"> y </w:t>
      </w:r>
      <w:r w:rsidRPr="00287741">
        <w:rPr>
          <w:rFonts w:ascii="Times New Roman" w:eastAsia="Times New Roman" w:hAnsi="Times New Roman" w:cs="Times New Roman"/>
          <w:color w:val="000000"/>
          <w:u w:color="000000"/>
          <w:bdr w:val="nil"/>
          <w:lang w:val="es-CO" w:eastAsia="es-CO"/>
        </w:rPr>
        <w:t>satisfacción del usuario</w:t>
      </w:r>
      <w:r w:rsidRPr="00287741">
        <w:rPr>
          <w:rFonts w:ascii="Times New Roman" w:hAnsi="Times New Roman" w:cs="Times New Roman"/>
          <w:lang w:val="es-CO"/>
        </w:rPr>
        <w:t>. Se han seleccionado los principales indicadores que deben ceñirse por un nivel óptimo para que no existan prácticas violatorias del derecho a la salud.</w:t>
      </w:r>
    </w:p>
    <w:p w14:paraId="1FDA85DD" w14:textId="77777777" w:rsidR="00432C1B" w:rsidRPr="00287741" w:rsidRDefault="00432C1B" w:rsidP="00432C1B">
      <w:pPr>
        <w:pStyle w:val="Prrafodelista1"/>
        <w:spacing w:before="240"/>
        <w:ind w:left="0"/>
        <w:jc w:val="both"/>
        <w:rPr>
          <w:rFonts w:ascii="Times New Roman" w:hAnsi="Times New Roman" w:cs="Times New Roman"/>
          <w:lang w:val="es-CO"/>
        </w:rPr>
      </w:pPr>
      <w:r w:rsidRPr="000B4712">
        <w:rPr>
          <w:rFonts w:ascii="Times New Roman" w:hAnsi="Times New Roman" w:cs="Times New Roman"/>
          <w:lang w:val="es-CO"/>
        </w:rPr>
        <w:t>El presente Proyecto de Ley pretende que las EAPB mantengan un nivel de calidad constante, dentro de lo posible, de prestación de servicios en los aspectos señalados de manera que cualquier oscilación en la prestación del servicio o largos períodos de atención deficiente que afecten fuertemente a los usuarios, serán sancionados.</w:t>
      </w:r>
    </w:p>
    <w:p w14:paraId="3B53FEFC" w14:textId="29976BB8" w:rsidR="00D510B8" w:rsidRPr="00287741" w:rsidRDefault="00D510B8" w:rsidP="00D510B8">
      <w:pPr>
        <w:pStyle w:val="Prrafodelista1"/>
        <w:spacing w:before="240"/>
        <w:ind w:left="0"/>
        <w:jc w:val="both"/>
        <w:rPr>
          <w:rFonts w:ascii="Times New Roman" w:hAnsi="Times New Roman" w:cs="Times New Roman"/>
          <w:lang w:val="es-CO"/>
        </w:rPr>
      </w:pPr>
      <w:r w:rsidRPr="00287741">
        <w:rPr>
          <w:rFonts w:ascii="Times New Roman" w:hAnsi="Times New Roman" w:cs="Times New Roman"/>
          <w:lang w:val="es-CO"/>
        </w:rPr>
        <w:t xml:space="preserve">Igualmente, se establecen las condiciones propias de la prestación del servicio, pues se toma en consideración el promedio nacional, que en cierta medida refleja las restricciones o posibilidades de prestación de los servicios de salud en determinado período de tiempo. El hecho de que una EAPB, en un respectivo indicador, desatienda los promedios indicados, es una señal clara de la incorrecta prestación del servicio </w:t>
      </w:r>
      <w:r w:rsidR="00216B4A" w:rsidRPr="00287741">
        <w:rPr>
          <w:rFonts w:ascii="Times New Roman" w:hAnsi="Times New Roman" w:cs="Times New Roman"/>
          <w:lang w:val="es-CO"/>
        </w:rPr>
        <w:t>y necesidad</w:t>
      </w:r>
      <w:r w:rsidRPr="00287741">
        <w:rPr>
          <w:rFonts w:ascii="Times New Roman" w:hAnsi="Times New Roman" w:cs="Times New Roman"/>
          <w:lang w:val="es-CO"/>
        </w:rPr>
        <w:t xml:space="preserve"> de tomar una medida para corregir dicha actuación. </w:t>
      </w:r>
    </w:p>
    <w:p w14:paraId="163741D1" w14:textId="443084C0" w:rsidR="00D510B8" w:rsidRPr="00287741" w:rsidRDefault="00D510B8" w:rsidP="00D510B8">
      <w:pPr>
        <w:pStyle w:val="Prrafodelista1"/>
        <w:spacing w:before="240"/>
        <w:ind w:left="0"/>
        <w:jc w:val="both"/>
        <w:rPr>
          <w:rFonts w:ascii="Times New Roman" w:hAnsi="Times New Roman" w:cs="Times New Roman"/>
          <w:lang w:val="es-CO"/>
        </w:rPr>
      </w:pPr>
      <w:r w:rsidRPr="00287741">
        <w:rPr>
          <w:rFonts w:ascii="Times New Roman" w:hAnsi="Times New Roman" w:cs="Times New Roman"/>
          <w:lang w:val="es-CO"/>
        </w:rPr>
        <w:t xml:space="preserve">En suma, las sanciones tienen como finalidad la corrección de actuaciones perjudiciales para el goce efectivo del derecho a la salud por parte de los usuarios del sistema de salud. En ello ya se avanzó con la Ley 1438 de 2011, donde se consagraron unas conductas violatorias del Sistema General de Seguridad Social en Salud (SGSSS) y del derecho a la salud (art. 130) a cargo de la Superintendencia Nacional de Salud. </w:t>
      </w:r>
    </w:p>
    <w:p w14:paraId="60E4AA58" w14:textId="397C000A" w:rsidR="00D510B8" w:rsidRPr="00287741" w:rsidRDefault="00675D42" w:rsidP="00D510B8">
      <w:pPr>
        <w:pStyle w:val="Cuerpo"/>
        <w:spacing w:before="240"/>
        <w:jc w:val="both"/>
        <w:rPr>
          <w:rFonts w:eastAsia="SimSun"/>
          <w:b/>
          <w:color w:val="auto"/>
          <w:u w:val="single"/>
        </w:rPr>
      </w:pPr>
      <w:r w:rsidRPr="00287741">
        <w:rPr>
          <w:rFonts w:eastAsia="SimSun"/>
          <w:b/>
          <w:color w:val="auto"/>
          <w:u w:val="single"/>
        </w:rPr>
        <w:t xml:space="preserve">Indicadores </w:t>
      </w:r>
      <w:r w:rsidR="004B1553" w:rsidRPr="00287741">
        <w:rPr>
          <w:rFonts w:eastAsia="SimSun"/>
          <w:b/>
          <w:color w:val="auto"/>
          <w:u w:val="single"/>
        </w:rPr>
        <w:t xml:space="preserve">de Calidad </w:t>
      </w:r>
    </w:p>
    <w:p w14:paraId="2A6E4DD7" w14:textId="2648CD05" w:rsidR="00596381" w:rsidRPr="00287741" w:rsidRDefault="00101251" w:rsidP="007F1B24">
      <w:pPr>
        <w:pStyle w:val="Prrafodelista1"/>
        <w:spacing w:before="240"/>
        <w:ind w:left="0"/>
        <w:jc w:val="both"/>
        <w:rPr>
          <w:rFonts w:ascii="Times New Roman" w:hAnsi="Times New Roman" w:cs="Times New Roman"/>
          <w:lang w:val="es-CO"/>
        </w:rPr>
      </w:pPr>
      <w:r w:rsidRPr="00287741">
        <w:rPr>
          <w:rFonts w:ascii="Times New Roman" w:hAnsi="Times New Roman" w:cs="Times New Roman"/>
          <w:lang w:val="es-CO"/>
        </w:rPr>
        <w:t xml:space="preserve">El seguimiento a los indicadores de salud en Colombia ha presentado un avance importante y ya cuenta con un marco normativo. En primer lugar, el Decreto 1011 de 2006 estableció el Sistema Obligatorio de </w:t>
      </w:r>
      <w:r w:rsidR="00832CAD" w:rsidRPr="00287741">
        <w:rPr>
          <w:rFonts w:ascii="Times New Roman" w:hAnsi="Times New Roman" w:cs="Times New Roman"/>
          <w:lang w:val="es-CO"/>
        </w:rPr>
        <w:t>Garantía</w:t>
      </w:r>
      <w:r w:rsidRPr="00287741">
        <w:rPr>
          <w:rFonts w:ascii="Times New Roman" w:hAnsi="Times New Roman" w:cs="Times New Roman"/>
          <w:lang w:val="es-CO"/>
        </w:rPr>
        <w:t xml:space="preserve"> de Calidad (SOGC). </w:t>
      </w:r>
      <w:r w:rsidR="00641C25" w:rsidRPr="00287741">
        <w:rPr>
          <w:rFonts w:ascii="Times New Roman" w:hAnsi="Times New Roman" w:cs="Times New Roman"/>
          <w:lang w:val="es-CO"/>
        </w:rPr>
        <w:t xml:space="preserve">En este se definen un conjunto </w:t>
      </w:r>
      <w:r w:rsidR="008E4E23" w:rsidRPr="00287741">
        <w:rPr>
          <w:rFonts w:ascii="Times New Roman" w:hAnsi="Times New Roman" w:cs="Times New Roman"/>
          <w:lang w:val="es-CO"/>
        </w:rPr>
        <w:t>de procedimientos y disposiciones para garantizar la c</w:t>
      </w:r>
      <w:r w:rsidR="001E5732" w:rsidRPr="00287741">
        <w:rPr>
          <w:rFonts w:ascii="Times New Roman" w:hAnsi="Times New Roman" w:cs="Times New Roman"/>
          <w:lang w:val="es-CO"/>
        </w:rPr>
        <w:t xml:space="preserve">alidad de la </w:t>
      </w:r>
      <w:r w:rsidR="00832CAD" w:rsidRPr="00287741">
        <w:rPr>
          <w:rFonts w:ascii="Times New Roman" w:hAnsi="Times New Roman" w:cs="Times New Roman"/>
          <w:lang w:val="es-CO"/>
        </w:rPr>
        <w:t>atención</w:t>
      </w:r>
      <w:r w:rsidR="001E5732" w:rsidRPr="00287741">
        <w:rPr>
          <w:rFonts w:ascii="Times New Roman" w:hAnsi="Times New Roman" w:cs="Times New Roman"/>
          <w:lang w:val="es-CO"/>
        </w:rPr>
        <w:t xml:space="preserve"> de salud. </w:t>
      </w:r>
      <w:r w:rsidR="00596381" w:rsidRPr="00287741">
        <w:rPr>
          <w:rFonts w:ascii="Times New Roman" w:hAnsi="Times New Roman" w:cs="Times New Roman"/>
          <w:lang w:val="es-CO"/>
        </w:rPr>
        <w:t>Pone</w:t>
      </w:r>
      <w:r w:rsidR="001E5732" w:rsidRPr="00287741">
        <w:rPr>
          <w:rFonts w:ascii="Times New Roman" w:hAnsi="Times New Roman" w:cs="Times New Roman"/>
          <w:lang w:val="es-CO"/>
        </w:rPr>
        <w:t xml:space="preserve"> de presente la necesidad de realizar </w:t>
      </w:r>
      <w:r w:rsidR="00832CAD" w:rsidRPr="00287741">
        <w:rPr>
          <w:rFonts w:ascii="Times New Roman" w:hAnsi="Times New Roman" w:cs="Times New Roman"/>
          <w:lang w:val="es-CO"/>
        </w:rPr>
        <w:t>auditoría</w:t>
      </w:r>
      <w:r w:rsidR="00832CAD">
        <w:rPr>
          <w:rFonts w:ascii="Times New Roman" w:hAnsi="Times New Roman" w:cs="Times New Roman"/>
          <w:lang w:val="es-CO"/>
        </w:rPr>
        <w:t>s</w:t>
      </w:r>
      <w:r w:rsidR="004469B1">
        <w:rPr>
          <w:rFonts w:ascii="Times New Roman" w:hAnsi="Times New Roman" w:cs="Times New Roman"/>
          <w:lang w:val="es-CO"/>
        </w:rPr>
        <w:t xml:space="preserve"> </w:t>
      </w:r>
      <w:r w:rsidR="00832CAD">
        <w:rPr>
          <w:rFonts w:ascii="Times New Roman" w:hAnsi="Times New Roman" w:cs="Times New Roman"/>
          <w:lang w:val="es-CO"/>
        </w:rPr>
        <w:t>periódicas</w:t>
      </w:r>
      <w:r w:rsidR="001E5732" w:rsidRPr="00287741">
        <w:rPr>
          <w:rFonts w:ascii="Times New Roman" w:hAnsi="Times New Roman" w:cs="Times New Roman"/>
          <w:lang w:val="es-CO"/>
        </w:rPr>
        <w:t xml:space="preserve"> para el mejoramiento de la calidad de la salud y</w:t>
      </w:r>
      <w:r w:rsidR="004469B1">
        <w:rPr>
          <w:rFonts w:ascii="Times New Roman" w:hAnsi="Times New Roman" w:cs="Times New Roman"/>
          <w:lang w:val="es-CO"/>
        </w:rPr>
        <w:t>, además,</w:t>
      </w:r>
      <w:r w:rsidR="001E5732" w:rsidRPr="00287741">
        <w:rPr>
          <w:rFonts w:ascii="Times New Roman" w:hAnsi="Times New Roman" w:cs="Times New Roman"/>
          <w:lang w:val="es-CO"/>
        </w:rPr>
        <w:t xml:space="preserve"> le impone a las EAPB </w:t>
      </w:r>
      <w:r w:rsidR="00596381" w:rsidRPr="00287741">
        <w:rPr>
          <w:rFonts w:ascii="Times New Roman" w:hAnsi="Times New Roman" w:cs="Times New Roman"/>
          <w:lang w:val="es-CO"/>
        </w:rPr>
        <w:t xml:space="preserve">la tarea de adoptar criterios e indicadores para realizar un continuo monitoreo a la calidad. </w:t>
      </w:r>
    </w:p>
    <w:p w14:paraId="65BB3327" w14:textId="0ECF6651" w:rsidR="00101251" w:rsidRPr="00287741" w:rsidRDefault="00101251" w:rsidP="00CF66CA">
      <w:pPr>
        <w:pStyle w:val="Prrafodelista1"/>
        <w:spacing w:before="240"/>
        <w:ind w:left="0"/>
        <w:jc w:val="both"/>
        <w:rPr>
          <w:rFonts w:ascii="Times New Roman" w:hAnsi="Times New Roman" w:cs="Times New Roman"/>
          <w:lang w:val="es-CO"/>
        </w:rPr>
      </w:pPr>
      <w:r w:rsidRPr="00287741">
        <w:rPr>
          <w:rFonts w:ascii="Times New Roman" w:hAnsi="Times New Roman" w:cs="Times New Roman"/>
          <w:lang w:val="es-CO"/>
        </w:rPr>
        <w:t>Igualmente,</w:t>
      </w:r>
      <w:r w:rsidR="00596381" w:rsidRPr="00287741">
        <w:rPr>
          <w:rFonts w:ascii="Times New Roman" w:hAnsi="Times New Roman" w:cs="Times New Roman"/>
          <w:lang w:val="es-CO"/>
        </w:rPr>
        <w:t xml:space="preserve"> en el decreto se estableció el Sistema de Informació</w:t>
      </w:r>
      <w:r w:rsidR="00A60AD4">
        <w:rPr>
          <w:rFonts w:ascii="Times New Roman" w:hAnsi="Times New Roman" w:cs="Times New Roman"/>
          <w:lang w:val="es-CO"/>
        </w:rPr>
        <w:t>n para la Calidad. Este</w:t>
      </w:r>
      <w:r w:rsidR="00596381" w:rsidRPr="00287741">
        <w:rPr>
          <w:rFonts w:ascii="Times New Roman" w:hAnsi="Times New Roman" w:cs="Times New Roman"/>
          <w:lang w:val="es-CO"/>
        </w:rPr>
        <w:t xml:space="preserve"> fue reglamentado </w:t>
      </w:r>
      <w:r w:rsidR="009C60D7" w:rsidRPr="00287741">
        <w:rPr>
          <w:rFonts w:ascii="Times New Roman" w:hAnsi="Times New Roman" w:cs="Times New Roman"/>
          <w:lang w:val="es-CO"/>
        </w:rPr>
        <w:t xml:space="preserve">inicialmente </w:t>
      </w:r>
      <w:r w:rsidR="00436F94" w:rsidRPr="00287741">
        <w:rPr>
          <w:rFonts w:ascii="Times New Roman" w:hAnsi="Times New Roman" w:cs="Times New Roman"/>
          <w:lang w:val="es-CO"/>
        </w:rPr>
        <w:t>por la Resolución 144</w:t>
      </w:r>
      <w:r w:rsidR="009C60D7" w:rsidRPr="00287741">
        <w:rPr>
          <w:rFonts w:ascii="Times New Roman" w:hAnsi="Times New Roman" w:cs="Times New Roman"/>
          <w:lang w:val="es-CO"/>
        </w:rPr>
        <w:t>6</w:t>
      </w:r>
      <w:r w:rsidR="00436F94" w:rsidRPr="00287741">
        <w:rPr>
          <w:rFonts w:ascii="Times New Roman" w:hAnsi="Times New Roman" w:cs="Times New Roman"/>
          <w:lang w:val="es-CO"/>
        </w:rPr>
        <w:t xml:space="preserve"> de</w:t>
      </w:r>
      <w:r w:rsidR="009C60D7" w:rsidRPr="00287741">
        <w:rPr>
          <w:rFonts w:ascii="Times New Roman" w:hAnsi="Times New Roman" w:cs="Times New Roman"/>
          <w:lang w:val="es-CO"/>
        </w:rPr>
        <w:t xml:space="preserve"> 2006, la cual fue derogada por </w:t>
      </w:r>
      <w:r w:rsidR="00596381" w:rsidRPr="00287741">
        <w:rPr>
          <w:rFonts w:ascii="Times New Roman" w:hAnsi="Times New Roman" w:cs="Times New Roman"/>
          <w:lang w:val="es-CO"/>
        </w:rPr>
        <w:t xml:space="preserve">la Resolución </w:t>
      </w:r>
      <w:r w:rsidR="009C60D7" w:rsidRPr="00287741">
        <w:rPr>
          <w:rFonts w:ascii="Times New Roman" w:hAnsi="Times New Roman" w:cs="Times New Roman"/>
          <w:lang w:val="es-CO"/>
        </w:rPr>
        <w:t xml:space="preserve">256 de 2016. En las respectivas resoluciones se </w:t>
      </w:r>
      <w:r w:rsidR="00596381" w:rsidRPr="00287741">
        <w:rPr>
          <w:rFonts w:ascii="Times New Roman" w:hAnsi="Times New Roman" w:cs="Times New Roman"/>
          <w:lang w:val="es-CO"/>
        </w:rPr>
        <w:t>detall</w:t>
      </w:r>
      <w:r w:rsidR="006F4B60">
        <w:rPr>
          <w:rFonts w:ascii="Times New Roman" w:hAnsi="Times New Roman" w:cs="Times New Roman"/>
          <w:lang w:val="es-CO"/>
        </w:rPr>
        <w:t>an y agrupan un conjunto de indi</w:t>
      </w:r>
      <w:r w:rsidR="00596381" w:rsidRPr="00287741">
        <w:rPr>
          <w:rFonts w:ascii="Times New Roman" w:hAnsi="Times New Roman" w:cs="Times New Roman"/>
          <w:lang w:val="es-CO"/>
        </w:rPr>
        <w:t xml:space="preserve">cadores para evaluar la calidad en el servicio de salud. </w:t>
      </w:r>
      <w:r w:rsidR="001459BC">
        <w:rPr>
          <w:rFonts w:ascii="Times New Roman" w:hAnsi="Times New Roman" w:cs="Times New Roman"/>
          <w:lang w:val="es-CO"/>
        </w:rPr>
        <w:t>Estos</w:t>
      </w:r>
      <w:r w:rsidR="004469B1">
        <w:rPr>
          <w:rFonts w:ascii="Times New Roman" w:hAnsi="Times New Roman" w:cs="Times New Roman"/>
          <w:lang w:val="es-CO"/>
        </w:rPr>
        <w:t xml:space="preserve"> se conc</w:t>
      </w:r>
      <w:r w:rsidR="009C60D7" w:rsidRPr="00287741">
        <w:rPr>
          <w:rFonts w:ascii="Times New Roman" w:hAnsi="Times New Roman" w:cs="Times New Roman"/>
          <w:lang w:val="es-CO"/>
        </w:rPr>
        <w:t>e</w:t>
      </w:r>
      <w:r w:rsidR="004469B1">
        <w:rPr>
          <w:rFonts w:ascii="Times New Roman" w:hAnsi="Times New Roman" w:cs="Times New Roman"/>
          <w:lang w:val="es-CO"/>
        </w:rPr>
        <w:t>n</w:t>
      </w:r>
      <w:r w:rsidR="009C60D7" w:rsidRPr="00287741">
        <w:rPr>
          <w:rFonts w:ascii="Times New Roman" w:hAnsi="Times New Roman" w:cs="Times New Roman"/>
          <w:lang w:val="es-CO"/>
        </w:rPr>
        <w:t xml:space="preserve">tran </w:t>
      </w:r>
      <w:r w:rsidR="000C64FC" w:rsidRPr="00287741">
        <w:rPr>
          <w:rFonts w:ascii="Times New Roman" w:hAnsi="Times New Roman" w:cs="Times New Roman"/>
          <w:lang w:val="es-CO"/>
        </w:rPr>
        <w:t xml:space="preserve">en aspectos </w:t>
      </w:r>
      <w:r w:rsidR="00CF66CA" w:rsidRPr="00287741">
        <w:rPr>
          <w:rFonts w:ascii="Times New Roman" w:hAnsi="Times New Roman" w:cs="Times New Roman"/>
          <w:lang w:val="es-CO"/>
        </w:rPr>
        <w:t>relevantes, como i) oportunidad/accesibilidad, ii) calidad técnica, iii) gerencia del riesgo y iv) satisfacción/lealtad.</w:t>
      </w:r>
    </w:p>
    <w:p w14:paraId="6A853B4D" w14:textId="5F206831" w:rsidR="00D41D49" w:rsidRDefault="00596381" w:rsidP="00596381">
      <w:pPr>
        <w:pStyle w:val="Prrafodelista1"/>
        <w:spacing w:before="240"/>
        <w:ind w:left="0"/>
        <w:jc w:val="both"/>
        <w:rPr>
          <w:rFonts w:ascii="Times New Roman" w:hAnsi="Times New Roman" w:cs="Times New Roman"/>
          <w:lang w:val="es-CO"/>
        </w:rPr>
      </w:pPr>
      <w:r w:rsidRPr="00287741">
        <w:rPr>
          <w:rFonts w:ascii="Times New Roman" w:hAnsi="Times New Roman" w:cs="Times New Roman"/>
          <w:lang w:val="es-CO"/>
        </w:rPr>
        <w:t>Por otra parte, el Ministerio de Salud ha venido realizando</w:t>
      </w:r>
      <w:r w:rsidR="007F1B24" w:rsidRPr="00287741">
        <w:rPr>
          <w:rFonts w:ascii="Times New Roman" w:hAnsi="Times New Roman" w:cs="Times New Roman"/>
          <w:lang w:val="es-CO"/>
        </w:rPr>
        <w:t xml:space="preserve"> un ranking de EPS,</w:t>
      </w:r>
      <w:r w:rsidR="00D41D49">
        <w:rPr>
          <w:rFonts w:ascii="Times New Roman" w:hAnsi="Times New Roman" w:cs="Times New Roman"/>
          <w:lang w:val="es-CO"/>
        </w:rPr>
        <w:t xml:space="preserve"> tanto en lo que resp</w:t>
      </w:r>
      <w:r w:rsidR="001865BA">
        <w:rPr>
          <w:rFonts w:ascii="Times New Roman" w:hAnsi="Times New Roman" w:cs="Times New Roman"/>
          <w:lang w:val="es-CO"/>
        </w:rPr>
        <w:t xml:space="preserve">ecta al desempeño global como detalles de la satisfacción de los usuarios. </w:t>
      </w:r>
    </w:p>
    <w:p w14:paraId="37A0DD85" w14:textId="3038634A" w:rsidR="001B2D65" w:rsidRPr="00287741" w:rsidRDefault="009450F9" w:rsidP="009450F9">
      <w:pPr>
        <w:pStyle w:val="Prrafodelista1"/>
        <w:spacing w:before="240"/>
        <w:ind w:left="0"/>
        <w:jc w:val="both"/>
        <w:rPr>
          <w:rFonts w:ascii="Times New Roman" w:hAnsi="Times New Roman" w:cs="Times New Roman"/>
          <w:lang w:val="es-CO"/>
        </w:rPr>
      </w:pPr>
      <w:r>
        <w:rPr>
          <w:rFonts w:ascii="Times New Roman" w:hAnsi="Times New Roman" w:cs="Times New Roman"/>
          <w:lang w:val="es-CO"/>
        </w:rPr>
        <w:lastRenderedPageBreak/>
        <w:t xml:space="preserve">Además, el Ministerio de Salud ha venido realizado un seguimiento de las </w:t>
      </w:r>
      <w:r w:rsidR="007F1B24" w:rsidRPr="00287741">
        <w:rPr>
          <w:rFonts w:ascii="Times New Roman" w:hAnsi="Times New Roman" w:cs="Times New Roman"/>
          <w:lang w:val="es-CO"/>
        </w:rPr>
        <w:t xml:space="preserve">principales </w:t>
      </w:r>
      <w:r w:rsidR="00832CAD" w:rsidRPr="00287741">
        <w:rPr>
          <w:rFonts w:ascii="Times New Roman" w:hAnsi="Times New Roman" w:cs="Times New Roman"/>
          <w:lang w:val="es-CO"/>
        </w:rPr>
        <w:t>prácticas</w:t>
      </w:r>
      <w:r w:rsidR="007F1B24" w:rsidRPr="00287741">
        <w:rPr>
          <w:rFonts w:ascii="Times New Roman" w:hAnsi="Times New Roman" w:cs="Times New Roman"/>
          <w:lang w:val="es-CO"/>
        </w:rPr>
        <w:t xml:space="preserve"> violatorias del derecho a la salud, en cumplimiento de lo ordenado por la Corte Constitucional, en la Sentencia T-760 de 2008 y el Auto 260 del 16 de noviembre de 2012.</w:t>
      </w:r>
    </w:p>
    <w:p w14:paraId="270D5695" w14:textId="78C5BF5D" w:rsidR="004B1553" w:rsidRPr="00287741" w:rsidRDefault="00596381" w:rsidP="006B3865">
      <w:pPr>
        <w:pStyle w:val="Prrafodelista1"/>
        <w:spacing w:before="240"/>
        <w:ind w:left="0"/>
        <w:jc w:val="both"/>
        <w:rPr>
          <w:rFonts w:ascii="Times New Roman" w:hAnsi="Times New Roman" w:cs="Times New Roman"/>
          <w:lang w:val="es-CO"/>
        </w:rPr>
      </w:pPr>
      <w:r w:rsidRPr="00287741">
        <w:rPr>
          <w:rFonts w:ascii="Times New Roman" w:hAnsi="Times New Roman" w:cs="Times New Roman"/>
          <w:lang w:val="es-CO"/>
        </w:rPr>
        <w:t xml:space="preserve">De esta forma, </w:t>
      </w:r>
      <w:r w:rsidR="00CF66CA" w:rsidRPr="00287741">
        <w:rPr>
          <w:rFonts w:ascii="Times New Roman" w:hAnsi="Times New Roman" w:cs="Times New Roman"/>
          <w:lang w:val="es-CO"/>
        </w:rPr>
        <w:t>partiendo de los desarrollos</w:t>
      </w:r>
      <w:r w:rsidR="00EA75A8" w:rsidRPr="00287741">
        <w:rPr>
          <w:rFonts w:ascii="Times New Roman" w:hAnsi="Times New Roman" w:cs="Times New Roman"/>
          <w:lang w:val="es-CO"/>
        </w:rPr>
        <w:t xml:space="preserve"> normativo</w:t>
      </w:r>
      <w:r w:rsidR="00CF66CA" w:rsidRPr="00287741">
        <w:rPr>
          <w:rFonts w:ascii="Times New Roman" w:hAnsi="Times New Roman" w:cs="Times New Roman"/>
          <w:lang w:val="es-CO"/>
        </w:rPr>
        <w:t xml:space="preserve"> del Sistema de Información para la Calidad y e</w:t>
      </w:r>
      <w:r w:rsidR="00832CAD">
        <w:rPr>
          <w:rFonts w:ascii="Times New Roman" w:hAnsi="Times New Roman" w:cs="Times New Roman"/>
          <w:lang w:val="es-CO"/>
        </w:rPr>
        <w:t>l listado de las principales prá</w:t>
      </w:r>
      <w:r w:rsidR="00CF66CA" w:rsidRPr="00287741">
        <w:rPr>
          <w:rFonts w:ascii="Times New Roman" w:hAnsi="Times New Roman" w:cs="Times New Roman"/>
          <w:lang w:val="es-CO"/>
        </w:rPr>
        <w:t xml:space="preserve">cticas </w:t>
      </w:r>
      <w:r w:rsidR="00832CAD" w:rsidRPr="00287741">
        <w:rPr>
          <w:rFonts w:ascii="Times New Roman" w:hAnsi="Times New Roman" w:cs="Times New Roman"/>
          <w:lang w:val="es-CO"/>
        </w:rPr>
        <w:t>violatorias</w:t>
      </w:r>
      <w:r w:rsidR="00CF66CA" w:rsidRPr="00287741">
        <w:rPr>
          <w:rFonts w:ascii="Times New Roman" w:hAnsi="Times New Roman" w:cs="Times New Roman"/>
          <w:lang w:val="es-CO"/>
        </w:rPr>
        <w:t xml:space="preserve"> del sistema de salud, se establecen los principales indicadores de calidad de salud del presente proyecto de ley. </w:t>
      </w:r>
      <w:r w:rsidR="00D84A6D" w:rsidRPr="00287741">
        <w:rPr>
          <w:rFonts w:ascii="Times New Roman" w:hAnsi="Times New Roman" w:cs="Times New Roman"/>
          <w:lang w:val="es-CO"/>
        </w:rPr>
        <w:t xml:space="preserve">A </w:t>
      </w:r>
      <w:r w:rsidR="00216B4A" w:rsidRPr="00287741">
        <w:rPr>
          <w:rFonts w:ascii="Times New Roman" w:hAnsi="Times New Roman" w:cs="Times New Roman"/>
          <w:lang w:val="es-CO"/>
        </w:rPr>
        <w:t>continuación,</w:t>
      </w:r>
      <w:r w:rsidR="00D84A6D" w:rsidRPr="00287741">
        <w:rPr>
          <w:rFonts w:ascii="Times New Roman" w:hAnsi="Times New Roman" w:cs="Times New Roman"/>
          <w:lang w:val="es-CO"/>
        </w:rPr>
        <w:t xml:space="preserve"> se da un </w:t>
      </w:r>
      <w:r w:rsidR="00203491" w:rsidRPr="00287741">
        <w:rPr>
          <w:rFonts w:ascii="Times New Roman" w:hAnsi="Times New Roman" w:cs="Times New Roman"/>
          <w:lang w:val="es-CO"/>
        </w:rPr>
        <w:t xml:space="preserve">listado de las principales fuentes normativas o de otro tipo para definir el conjunto de indicadores </w:t>
      </w:r>
      <w:r w:rsidR="00D41D49">
        <w:rPr>
          <w:rFonts w:ascii="Times New Roman" w:hAnsi="Times New Roman" w:cs="Times New Roman"/>
          <w:lang w:val="es-CO"/>
        </w:rPr>
        <w:t>a considerar para evaluar la calidad en la salud:</w:t>
      </w:r>
    </w:p>
    <w:p w14:paraId="110EE200" w14:textId="280086C2" w:rsidR="006B3865" w:rsidRPr="00B6251E" w:rsidRDefault="00D11B3B" w:rsidP="004F6A5F">
      <w:pPr>
        <w:pStyle w:val="Prrafodelista1"/>
        <w:numPr>
          <w:ilvl w:val="1"/>
          <w:numId w:val="2"/>
        </w:numPr>
        <w:spacing w:before="240"/>
        <w:jc w:val="both"/>
        <w:rPr>
          <w:rFonts w:ascii="Times New Roman" w:hAnsi="Times New Roman" w:cs="Times New Roman"/>
          <w:lang w:val="es-CO"/>
        </w:rPr>
      </w:pPr>
      <w:r w:rsidRPr="00B6251E">
        <w:rPr>
          <w:rFonts w:ascii="Times New Roman" w:hAnsi="Times New Roman" w:cs="Times New Roman"/>
          <w:lang w:val="es-CO"/>
        </w:rPr>
        <w:t xml:space="preserve">Resolución 256 de 2016 – Sistema de Información de Calidad (SIC): </w:t>
      </w:r>
    </w:p>
    <w:p w14:paraId="0F9237BE" w14:textId="0577E1B6" w:rsidR="00E351BD" w:rsidRPr="00B6251E" w:rsidRDefault="006C25B1" w:rsidP="00B6251E">
      <w:pPr>
        <w:pStyle w:val="Prrafodelista1"/>
        <w:numPr>
          <w:ilvl w:val="2"/>
          <w:numId w:val="2"/>
        </w:numPr>
        <w:spacing w:before="240"/>
        <w:jc w:val="both"/>
        <w:rPr>
          <w:rFonts w:ascii="Times New Roman" w:hAnsi="Times New Roman" w:cs="Times New Roman"/>
          <w:lang w:val="es-CO"/>
        </w:rPr>
      </w:pPr>
      <w:r>
        <w:rPr>
          <w:rFonts w:ascii="Times New Roman" w:hAnsi="Times New Roman" w:cs="Times New Roman"/>
          <w:lang w:val="es-CO"/>
        </w:rPr>
        <w:t xml:space="preserve">Resolución Previa:  </w:t>
      </w:r>
      <w:r w:rsidR="004F6A5F" w:rsidRPr="00B6251E">
        <w:rPr>
          <w:rFonts w:ascii="Times New Roman" w:hAnsi="Times New Roman" w:cs="Times New Roman"/>
          <w:lang w:val="es-CO"/>
        </w:rPr>
        <w:t xml:space="preserve">Resolución 1446 de 2006 – Sistema de Información </w:t>
      </w:r>
      <w:r>
        <w:rPr>
          <w:rFonts w:ascii="Times New Roman" w:hAnsi="Times New Roman" w:cs="Times New Roman"/>
          <w:lang w:val="es-CO"/>
        </w:rPr>
        <w:t>de Calidad</w:t>
      </w:r>
    </w:p>
    <w:p w14:paraId="2969CC3A" w14:textId="16BF1E9B" w:rsidR="00FA38C3" w:rsidRPr="00B6251E" w:rsidRDefault="00FA38C3" w:rsidP="00FA38C3">
      <w:pPr>
        <w:pStyle w:val="Prrafodelista1"/>
        <w:numPr>
          <w:ilvl w:val="1"/>
          <w:numId w:val="2"/>
        </w:numPr>
        <w:spacing w:before="240"/>
        <w:jc w:val="both"/>
        <w:rPr>
          <w:rFonts w:ascii="Times New Roman" w:hAnsi="Times New Roman" w:cs="Times New Roman"/>
          <w:lang w:val="es-CO"/>
        </w:rPr>
      </w:pPr>
      <w:r w:rsidRPr="00B6251E">
        <w:rPr>
          <w:rFonts w:ascii="Times New Roman" w:hAnsi="Times New Roman" w:cs="Times New Roman"/>
          <w:lang w:val="es-CO"/>
        </w:rPr>
        <w:t>Sistema d</w:t>
      </w:r>
      <w:r w:rsidR="00567D7D" w:rsidRPr="00B6251E">
        <w:rPr>
          <w:rFonts w:ascii="Times New Roman" w:hAnsi="Times New Roman" w:cs="Times New Roman"/>
          <w:lang w:val="es-CO"/>
        </w:rPr>
        <w:t>e Indicadores de Alerta Temprana</w:t>
      </w:r>
      <w:r w:rsidRPr="00B6251E">
        <w:rPr>
          <w:rFonts w:ascii="Times New Roman" w:hAnsi="Times New Roman" w:cs="Times New Roman"/>
          <w:lang w:val="es-CO"/>
        </w:rPr>
        <w:t xml:space="preserve"> – Circular </w:t>
      </w:r>
      <w:r w:rsidR="003A40B3" w:rsidRPr="00B6251E">
        <w:rPr>
          <w:rFonts w:ascii="Times New Roman" w:hAnsi="Times New Roman" w:cs="Times New Roman"/>
          <w:lang w:val="es-CO"/>
        </w:rPr>
        <w:t>56 de 2009</w:t>
      </w:r>
    </w:p>
    <w:p w14:paraId="4C7F3C8C" w14:textId="58D4ED07" w:rsidR="00FA38C3" w:rsidRPr="00B6251E" w:rsidRDefault="00B6251E" w:rsidP="00B6251E">
      <w:pPr>
        <w:pStyle w:val="Prrafodelista1"/>
        <w:numPr>
          <w:ilvl w:val="1"/>
          <w:numId w:val="2"/>
        </w:numPr>
        <w:spacing w:before="240"/>
        <w:jc w:val="both"/>
        <w:rPr>
          <w:rFonts w:ascii="Times New Roman" w:hAnsi="Times New Roman" w:cs="Times New Roman"/>
          <w:lang w:val="es-CO"/>
        </w:rPr>
      </w:pPr>
      <w:r w:rsidRPr="00B6251E">
        <w:rPr>
          <w:rFonts w:ascii="Times New Roman" w:hAnsi="Times New Roman" w:cs="Times New Roman"/>
          <w:lang w:val="es-CO"/>
        </w:rPr>
        <w:t>Sistema de Evaluación y Calificació</w:t>
      </w:r>
      <w:r w:rsidR="00BF3169">
        <w:rPr>
          <w:rFonts w:ascii="Times New Roman" w:hAnsi="Times New Roman" w:cs="Times New Roman"/>
          <w:lang w:val="es-CO"/>
        </w:rPr>
        <w:t>n de Actores del SGSSS</w:t>
      </w:r>
      <w:r>
        <w:rPr>
          <w:rFonts w:ascii="Times New Roman" w:hAnsi="Times New Roman" w:cs="Times New Roman"/>
          <w:lang w:val="es-CO"/>
        </w:rPr>
        <w:t xml:space="preserve"> y </w:t>
      </w:r>
      <w:r w:rsidR="00FA38C3" w:rsidRPr="00B6251E">
        <w:rPr>
          <w:rFonts w:ascii="Times New Roman" w:hAnsi="Times New Roman" w:cs="Times New Roman"/>
          <w:lang w:val="es-CO"/>
        </w:rPr>
        <w:t xml:space="preserve">Ranking de </w:t>
      </w:r>
      <w:r w:rsidR="00832CAD" w:rsidRPr="00B6251E">
        <w:rPr>
          <w:rFonts w:ascii="Times New Roman" w:hAnsi="Times New Roman" w:cs="Times New Roman"/>
          <w:lang w:val="es-CO"/>
        </w:rPr>
        <w:t>Satisfacción</w:t>
      </w:r>
      <w:r w:rsidR="00FA38C3" w:rsidRPr="00B6251E">
        <w:rPr>
          <w:rFonts w:ascii="Times New Roman" w:hAnsi="Times New Roman" w:cs="Times New Roman"/>
          <w:lang w:val="es-CO"/>
        </w:rPr>
        <w:t xml:space="preserve"> </w:t>
      </w:r>
      <w:r w:rsidR="001865BA">
        <w:rPr>
          <w:rFonts w:ascii="Times New Roman" w:hAnsi="Times New Roman" w:cs="Times New Roman"/>
          <w:lang w:val="es-CO"/>
        </w:rPr>
        <w:t>d</w:t>
      </w:r>
      <w:r w:rsidRPr="00B6251E">
        <w:rPr>
          <w:rFonts w:ascii="Times New Roman" w:hAnsi="Times New Roman" w:cs="Times New Roman"/>
          <w:lang w:val="es-CO"/>
        </w:rPr>
        <w:t>e las EPS</w:t>
      </w:r>
    </w:p>
    <w:p w14:paraId="64821C21" w14:textId="3E9DA215" w:rsidR="002712CD" w:rsidRDefault="00FA38C3" w:rsidP="00FA38C3">
      <w:pPr>
        <w:pStyle w:val="Prrafodelista1"/>
        <w:numPr>
          <w:ilvl w:val="1"/>
          <w:numId w:val="2"/>
        </w:numPr>
        <w:spacing w:before="240"/>
        <w:jc w:val="both"/>
        <w:rPr>
          <w:rFonts w:ascii="Times New Roman" w:hAnsi="Times New Roman" w:cs="Times New Roman"/>
          <w:lang w:val="es-CO"/>
        </w:rPr>
      </w:pPr>
      <w:r w:rsidRPr="00B6251E">
        <w:rPr>
          <w:rFonts w:ascii="Times New Roman" w:hAnsi="Times New Roman" w:cs="Times New Roman"/>
          <w:lang w:val="es-CO"/>
        </w:rPr>
        <w:t>Orden 20 de la sentencia T760 DE 2008 y el Auto 2060 de 2012</w:t>
      </w:r>
      <w:r w:rsidR="00DC3FCD" w:rsidRPr="00B6251E">
        <w:rPr>
          <w:rFonts w:ascii="Times New Roman" w:hAnsi="Times New Roman" w:cs="Times New Roman"/>
          <w:lang w:val="es-CO"/>
        </w:rPr>
        <w:t xml:space="preserve"> </w:t>
      </w:r>
      <w:r w:rsidR="00562A6A">
        <w:rPr>
          <w:rFonts w:ascii="Times New Roman" w:hAnsi="Times New Roman" w:cs="Times New Roman"/>
          <w:lang w:val="es-CO"/>
        </w:rPr>
        <w:t>de la Corte Constitucional.</w:t>
      </w:r>
    </w:p>
    <w:p w14:paraId="03193DFA" w14:textId="77777777" w:rsidR="00B6251E" w:rsidRPr="00B6251E" w:rsidRDefault="00B6251E" w:rsidP="00B6251E">
      <w:pPr>
        <w:pStyle w:val="Prrafodelista1"/>
        <w:spacing w:before="240"/>
        <w:ind w:left="792"/>
        <w:jc w:val="both"/>
        <w:rPr>
          <w:rFonts w:ascii="Times New Roman" w:hAnsi="Times New Roman" w:cs="Times New Roman"/>
          <w:lang w:val="es-CO"/>
        </w:rPr>
      </w:pPr>
    </w:p>
    <w:p w14:paraId="1448C244" w14:textId="3A0722DA" w:rsidR="00CE1E6A" w:rsidRPr="00287741" w:rsidRDefault="00CE1E6A" w:rsidP="00CE1E6A">
      <w:pPr>
        <w:pStyle w:val="Prrafodelista1"/>
        <w:spacing w:after="120"/>
        <w:ind w:left="0"/>
        <w:jc w:val="both"/>
        <w:rPr>
          <w:rFonts w:ascii="Times New Roman" w:hAnsi="Times New Roman" w:cs="Times New Roman"/>
          <w:b/>
          <w:u w:val="single"/>
          <w:lang w:val="es-CO"/>
        </w:rPr>
      </w:pPr>
      <w:r w:rsidRPr="00287741">
        <w:rPr>
          <w:rFonts w:ascii="Times New Roman" w:hAnsi="Times New Roman" w:cs="Times New Roman"/>
          <w:b/>
          <w:u w:val="single"/>
          <w:lang w:val="es-CO"/>
        </w:rPr>
        <w:t>Set de Indicadores</w:t>
      </w:r>
    </w:p>
    <w:p w14:paraId="182ADE55" w14:textId="77777777" w:rsidR="00B6251E" w:rsidRDefault="00B6251E" w:rsidP="00C04EF5">
      <w:pPr>
        <w:jc w:val="both"/>
        <w:rPr>
          <w:rFonts w:eastAsia="Times New Roman"/>
          <w:b/>
          <w:bCs/>
          <w:i/>
          <w:iCs/>
          <w:color w:val="000000"/>
          <w:szCs w:val="21"/>
          <w:u w:val="single"/>
        </w:rPr>
      </w:pPr>
    </w:p>
    <w:p w14:paraId="593928A5" w14:textId="600250D7" w:rsidR="004A7D25" w:rsidRPr="00287741" w:rsidRDefault="004A7D25" w:rsidP="00C04EF5">
      <w:pPr>
        <w:jc w:val="both"/>
        <w:rPr>
          <w:rFonts w:eastAsia="Times New Roman"/>
          <w:bCs/>
          <w:iCs/>
          <w:color w:val="000000"/>
          <w:szCs w:val="21"/>
        </w:rPr>
      </w:pPr>
      <w:r w:rsidRPr="00287741">
        <w:rPr>
          <w:rFonts w:eastAsia="Times New Roman"/>
          <w:bCs/>
          <w:iCs/>
          <w:color w:val="000000"/>
          <w:szCs w:val="21"/>
        </w:rPr>
        <w:t xml:space="preserve">En la siguiente tabla se establecen los indicadores de calidad, su definición, el umbral mínimo de desempeño y la fuente normativa. </w:t>
      </w:r>
    </w:p>
    <w:p w14:paraId="3DAEC7A4" w14:textId="77777777" w:rsidR="004A7D25" w:rsidRPr="00287741" w:rsidRDefault="004A7D25" w:rsidP="00C04EF5">
      <w:pPr>
        <w:jc w:val="both"/>
        <w:rPr>
          <w:rFonts w:eastAsia="Times New Roman"/>
          <w:b/>
          <w:bCs/>
          <w:i/>
          <w:iCs/>
          <w:color w:val="000000"/>
          <w:sz w:val="21"/>
          <w:szCs w:val="21"/>
          <w:u w:val="single"/>
        </w:rPr>
      </w:pPr>
    </w:p>
    <w:tbl>
      <w:tblPr>
        <w:tblW w:w="5000"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9"/>
        <w:gridCol w:w="1958"/>
        <w:gridCol w:w="2186"/>
        <w:gridCol w:w="1518"/>
        <w:gridCol w:w="1239"/>
        <w:gridCol w:w="968"/>
      </w:tblGrid>
      <w:tr w:rsidR="005C6B5B" w:rsidRPr="00832CAD" w14:paraId="07ACB530" w14:textId="77777777" w:rsidTr="005C6B5B">
        <w:trPr>
          <w:trHeight w:val="228"/>
        </w:trPr>
        <w:tc>
          <w:tcPr>
            <w:tcW w:w="543" w:type="pct"/>
            <w:shd w:val="clear" w:color="000000" w:fill="E7E6E6"/>
            <w:vAlign w:val="center"/>
            <w:hideMark/>
          </w:tcPr>
          <w:p w14:paraId="2D4570C3" w14:textId="77777777" w:rsidR="00832CAD" w:rsidRPr="00832CAD" w:rsidRDefault="00832CAD" w:rsidP="00832CAD">
            <w:pPr>
              <w:jc w:val="center"/>
              <w:rPr>
                <w:rFonts w:ascii="Times Roman" w:eastAsia="Times New Roman" w:hAnsi="Times Roman"/>
                <w:b/>
                <w:bCs/>
                <w:color w:val="000000"/>
                <w:sz w:val="20"/>
                <w:szCs w:val="20"/>
                <w:lang w:val="es-CO" w:eastAsia="es-CO"/>
              </w:rPr>
            </w:pPr>
            <w:r w:rsidRPr="00832CAD">
              <w:rPr>
                <w:rFonts w:ascii="Times Roman" w:eastAsia="Times New Roman" w:hAnsi="Times Roman"/>
                <w:b/>
                <w:bCs/>
                <w:color w:val="000000"/>
                <w:sz w:val="20"/>
                <w:szCs w:val="20"/>
                <w:lang w:val="es-CO" w:eastAsia="es-CO"/>
              </w:rPr>
              <w:t>Grupo</w:t>
            </w:r>
          </w:p>
        </w:tc>
        <w:tc>
          <w:tcPr>
            <w:tcW w:w="1109" w:type="pct"/>
            <w:shd w:val="clear" w:color="000000" w:fill="E7E6E6"/>
            <w:vAlign w:val="center"/>
            <w:hideMark/>
          </w:tcPr>
          <w:p w14:paraId="5C03C29A" w14:textId="77777777" w:rsidR="00832CAD" w:rsidRPr="00832CAD" w:rsidRDefault="00832CAD" w:rsidP="00832CAD">
            <w:pPr>
              <w:jc w:val="center"/>
              <w:rPr>
                <w:rFonts w:ascii="Times Roman" w:eastAsia="Times New Roman" w:hAnsi="Times Roman"/>
                <w:b/>
                <w:bCs/>
                <w:color w:val="000000"/>
                <w:sz w:val="20"/>
                <w:szCs w:val="20"/>
                <w:lang w:val="es-CO" w:eastAsia="es-CO"/>
              </w:rPr>
            </w:pPr>
            <w:r w:rsidRPr="00832CAD">
              <w:rPr>
                <w:rFonts w:ascii="Times Roman" w:eastAsia="Times New Roman" w:hAnsi="Times Roman"/>
                <w:b/>
                <w:bCs/>
                <w:color w:val="000000"/>
                <w:sz w:val="20"/>
                <w:szCs w:val="20"/>
                <w:lang w:val="es-CO" w:eastAsia="es-CO"/>
              </w:rPr>
              <w:t>Indicador</w:t>
            </w:r>
          </w:p>
        </w:tc>
        <w:tc>
          <w:tcPr>
            <w:tcW w:w="1238" w:type="pct"/>
            <w:shd w:val="clear" w:color="000000" w:fill="E7E6E6"/>
            <w:vAlign w:val="center"/>
            <w:hideMark/>
          </w:tcPr>
          <w:p w14:paraId="174D7F04" w14:textId="77777777" w:rsidR="00832CAD" w:rsidRPr="00832CAD" w:rsidRDefault="00832CAD" w:rsidP="00832CAD">
            <w:pPr>
              <w:rPr>
                <w:rFonts w:ascii="Times Roman" w:eastAsia="Times New Roman" w:hAnsi="Times Roman"/>
                <w:b/>
                <w:bCs/>
                <w:color w:val="000000"/>
                <w:sz w:val="20"/>
                <w:szCs w:val="20"/>
                <w:lang w:val="es-CO" w:eastAsia="es-CO"/>
              </w:rPr>
            </w:pPr>
            <w:r w:rsidRPr="00832CAD">
              <w:rPr>
                <w:rFonts w:ascii="Times Roman" w:eastAsia="Times New Roman" w:hAnsi="Times Roman"/>
                <w:b/>
                <w:bCs/>
                <w:color w:val="000000"/>
                <w:sz w:val="20"/>
                <w:szCs w:val="20"/>
                <w:lang w:val="es-CO" w:eastAsia="es-CO"/>
              </w:rPr>
              <w:t>Definición</w:t>
            </w:r>
          </w:p>
        </w:tc>
        <w:tc>
          <w:tcPr>
            <w:tcW w:w="860" w:type="pct"/>
            <w:shd w:val="clear" w:color="000000" w:fill="E7E6E6"/>
            <w:vAlign w:val="center"/>
            <w:hideMark/>
          </w:tcPr>
          <w:p w14:paraId="130E739A" w14:textId="77777777" w:rsidR="00832CAD" w:rsidRPr="00832CAD" w:rsidRDefault="00832CAD" w:rsidP="00832CAD">
            <w:pPr>
              <w:jc w:val="center"/>
              <w:rPr>
                <w:rFonts w:ascii="Times Roman" w:eastAsia="Times New Roman" w:hAnsi="Times Roman"/>
                <w:b/>
                <w:bCs/>
                <w:color w:val="000000"/>
                <w:sz w:val="20"/>
                <w:szCs w:val="20"/>
                <w:lang w:val="es-CO" w:eastAsia="es-CO"/>
              </w:rPr>
            </w:pPr>
            <w:r w:rsidRPr="00832CAD">
              <w:rPr>
                <w:rFonts w:ascii="Times Roman" w:eastAsia="Times New Roman" w:hAnsi="Times Roman"/>
                <w:b/>
                <w:bCs/>
                <w:color w:val="000000"/>
                <w:sz w:val="20"/>
                <w:szCs w:val="20"/>
                <w:lang w:val="es-CO" w:eastAsia="es-CO"/>
              </w:rPr>
              <w:t>Fuente</w:t>
            </w:r>
          </w:p>
        </w:tc>
        <w:tc>
          <w:tcPr>
            <w:tcW w:w="702" w:type="pct"/>
            <w:shd w:val="clear" w:color="000000" w:fill="E7E6E6"/>
            <w:vAlign w:val="center"/>
            <w:hideMark/>
          </w:tcPr>
          <w:p w14:paraId="2C75A8CC" w14:textId="77777777" w:rsidR="00832CAD" w:rsidRPr="00832CAD" w:rsidRDefault="00832CAD" w:rsidP="00832CAD">
            <w:pPr>
              <w:jc w:val="center"/>
              <w:rPr>
                <w:rFonts w:ascii="Times Roman" w:eastAsia="Times New Roman" w:hAnsi="Times Roman"/>
                <w:b/>
                <w:bCs/>
                <w:color w:val="000000"/>
                <w:sz w:val="20"/>
                <w:szCs w:val="20"/>
                <w:lang w:val="es-CO" w:eastAsia="es-CO"/>
              </w:rPr>
            </w:pPr>
            <w:r w:rsidRPr="00832CAD">
              <w:rPr>
                <w:rFonts w:ascii="Times Roman" w:eastAsia="Times New Roman" w:hAnsi="Times Roman"/>
                <w:b/>
                <w:bCs/>
                <w:color w:val="000000"/>
                <w:sz w:val="20"/>
                <w:szCs w:val="20"/>
                <w:lang w:val="es-CO" w:eastAsia="es-CO"/>
              </w:rPr>
              <w:t xml:space="preserve">Sistema de Información </w:t>
            </w:r>
          </w:p>
        </w:tc>
        <w:tc>
          <w:tcPr>
            <w:tcW w:w="548" w:type="pct"/>
            <w:shd w:val="clear" w:color="000000" w:fill="E7E6E6"/>
            <w:vAlign w:val="center"/>
            <w:hideMark/>
          </w:tcPr>
          <w:p w14:paraId="38D96962" w14:textId="77777777" w:rsidR="00832CAD" w:rsidRPr="00832CAD" w:rsidRDefault="00832CAD" w:rsidP="00832CAD">
            <w:pPr>
              <w:rPr>
                <w:rFonts w:ascii="Times Roman" w:eastAsia="Times New Roman" w:hAnsi="Times Roman"/>
                <w:b/>
                <w:bCs/>
                <w:color w:val="000000"/>
                <w:sz w:val="20"/>
                <w:szCs w:val="20"/>
                <w:lang w:val="es-CO" w:eastAsia="es-CO"/>
              </w:rPr>
            </w:pPr>
            <w:r w:rsidRPr="00832CAD">
              <w:rPr>
                <w:rFonts w:ascii="Times Roman" w:eastAsia="Times New Roman" w:hAnsi="Times Roman"/>
                <w:b/>
                <w:bCs/>
                <w:color w:val="000000"/>
                <w:sz w:val="20"/>
                <w:szCs w:val="20"/>
                <w:lang w:val="es-CO" w:eastAsia="es-CO"/>
              </w:rPr>
              <w:t xml:space="preserve">Umbral de Desempeño </w:t>
            </w:r>
          </w:p>
        </w:tc>
      </w:tr>
      <w:tr w:rsidR="005C6B5B" w:rsidRPr="00832CAD" w14:paraId="008AC73D" w14:textId="77777777" w:rsidTr="005C6B5B">
        <w:trPr>
          <w:trHeight w:val="1568"/>
        </w:trPr>
        <w:tc>
          <w:tcPr>
            <w:tcW w:w="543" w:type="pct"/>
            <w:vMerge w:val="restart"/>
            <w:shd w:val="clear" w:color="000000" w:fill="FFFFFF"/>
            <w:vAlign w:val="center"/>
            <w:hideMark/>
          </w:tcPr>
          <w:p w14:paraId="07AFAB16" w14:textId="77777777" w:rsidR="00832CAD" w:rsidRPr="00D72EAC" w:rsidRDefault="00832CAD" w:rsidP="00832CAD">
            <w:pPr>
              <w:rPr>
                <w:rFonts w:ascii="Times Roman" w:eastAsia="Times New Roman" w:hAnsi="Times Roman"/>
                <w:b/>
                <w:color w:val="000000"/>
                <w:sz w:val="20"/>
                <w:szCs w:val="20"/>
                <w:u w:val="single"/>
                <w:lang w:val="es-CO" w:eastAsia="es-CO"/>
              </w:rPr>
            </w:pPr>
            <w:r w:rsidRPr="00D72EAC">
              <w:rPr>
                <w:rFonts w:ascii="Times Roman" w:eastAsia="Times New Roman" w:hAnsi="Times Roman"/>
                <w:b/>
                <w:color w:val="000000"/>
                <w:sz w:val="20"/>
                <w:szCs w:val="20"/>
                <w:u w:val="single"/>
                <w:lang w:val="es-CO" w:eastAsia="es-CO"/>
              </w:rPr>
              <w:t>Experiencia de la atención</w:t>
            </w:r>
          </w:p>
        </w:tc>
        <w:tc>
          <w:tcPr>
            <w:tcW w:w="1109" w:type="pct"/>
            <w:shd w:val="clear" w:color="000000" w:fill="FFFFFF"/>
            <w:vAlign w:val="center"/>
            <w:hideMark/>
          </w:tcPr>
          <w:p w14:paraId="79432AC1"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Tiempo promedio de espera para la asignación de cita de medicina general</w:t>
            </w:r>
          </w:p>
        </w:tc>
        <w:tc>
          <w:tcPr>
            <w:tcW w:w="1238" w:type="pct"/>
            <w:shd w:val="clear" w:color="000000" w:fill="FFFFFF"/>
            <w:vAlign w:val="center"/>
            <w:hideMark/>
          </w:tcPr>
          <w:p w14:paraId="20CC1E0F"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Sumatoria total de los días calendario transcurridos entre</w:t>
            </w:r>
            <w:r w:rsidRPr="00832CAD">
              <w:rPr>
                <w:rFonts w:ascii="Times Roman" w:eastAsia="Times New Roman" w:hAnsi="Times Roman"/>
                <w:color w:val="000000"/>
                <w:sz w:val="20"/>
                <w:szCs w:val="20"/>
                <w:lang w:val="es-CO" w:eastAsia="es-CO"/>
              </w:rPr>
              <w:br/>
              <w:t>la fecha en la cual el paciente solicita cita para ser</w:t>
            </w:r>
            <w:r w:rsidRPr="00832CAD">
              <w:rPr>
                <w:rFonts w:ascii="Times Roman" w:eastAsia="Times New Roman" w:hAnsi="Times Roman"/>
                <w:color w:val="000000"/>
                <w:sz w:val="20"/>
                <w:szCs w:val="20"/>
                <w:lang w:val="es-CO" w:eastAsia="es-CO"/>
              </w:rPr>
              <w:br/>
              <w:t>atendido y la fecha de la asignación del servicio</w:t>
            </w:r>
            <w:r w:rsidRPr="00832CAD">
              <w:rPr>
                <w:rFonts w:ascii="Times Roman" w:eastAsia="Times New Roman" w:hAnsi="Times Roman"/>
                <w:color w:val="000000"/>
                <w:sz w:val="20"/>
                <w:szCs w:val="20"/>
                <w:lang w:val="es-CO" w:eastAsia="es-CO"/>
              </w:rPr>
              <w:br/>
              <w:t>la cual es asignada la cita</w:t>
            </w:r>
          </w:p>
        </w:tc>
        <w:tc>
          <w:tcPr>
            <w:tcW w:w="860" w:type="pct"/>
            <w:shd w:val="clear" w:color="000000" w:fill="FFFFFF"/>
            <w:vAlign w:val="center"/>
            <w:hideMark/>
          </w:tcPr>
          <w:p w14:paraId="51A9E74F" w14:textId="6233EA5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r w:rsidR="001F7FEA">
              <w:rPr>
                <w:rFonts w:ascii="Times Roman" w:eastAsia="Times New Roman" w:hAnsi="Times Roman"/>
                <w:color w:val="000000"/>
                <w:sz w:val="20"/>
                <w:szCs w:val="20"/>
                <w:lang w:val="es-CO" w:eastAsia="es-CO"/>
              </w:rPr>
              <w:t xml:space="preserve"> y </w:t>
            </w:r>
            <w:r w:rsidR="001F7FEA" w:rsidRPr="00832CAD">
              <w:rPr>
                <w:rFonts w:ascii="Times Roman" w:eastAsia="Times New Roman" w:hAnsi="Times Roman"/>
                <w:color w:val="000000"/>
                <w:sz w:val="20"/>
                <w:szCs w:val="20"/>
                <w:lang w:val="es-CO" w:eastAsia="es-CO"/>
              </w:rPr>
              <w:t>Orden 20 - Sentencia T670 de 2008 y Auto 260 de 201</w:t>
            </w:r>
            <w:r w:rsidR="00400067">
              <w:rPr>
                <w:rFonts w:ascii="Times Roman" w:eastAsia="Times New Roman" w:hAnsi="Times Roman"/>
                <w:color w:val="000000"/>
                <w:sz w:val="20"/>
                <w:szCs w:val="20"/>
                <w:lang w:val="es-CO" w:eastAsia="es-CO"/>
              </w:rPr>
              <w:t>2</w:t>
            </w:r>
          </w:p>
        </w:tc>
        <w:tc>
          <w:tcPr>
            <w:tcW w:w="702" w:type="pct"/>
            <w:shd w:val="clear" w:color="000000" w:fill="FFFFFF"/>
            <w:vAlign w:val="center"/>
            <w:hideMark/>
          </w:tcPr>
          <w:p w14:paraId="7E1BB4EF" w14:textId="75A53AD3"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Reporte de la EAPB al M</w:t>
            </w:r>
            <w:r w:rsidR="00DA33F5">
              <w:rPr>
                <w:rFonts w:ascii="Times Roman" w:eastAsia="Times New Roman" w:hAnsi="Times Roman"/>
                <w:color w:val="000000"/>
                <w:sz w:val="20"/>
                <w:szCs w:val="20"/>
                <w:lang w:val="es-CO" w:eastAsia="es-CO"/>
              </w:rPr>
              <w:t xml:space="preserve">inisterio de </w:t>
            </w:r>
            <w:r w:rsidR="00216B4A">
              <w:rPr>
                <w:rFonts w:ascii="Times Roman" w:eastAsia="Times New Roman" w:hAnsi="Times Roman"/>
                <w:color w:val="000000"/>
                <w:sz w:val="20"/>
                <w:szCs w:val="20"/>
                <w:lang w:val="es-CO" w:eastAsia="es-CO"/>
              </w:rPr>
              <w:t>Salud</w:t>
            </w:r>
            <w:r w:rsidR="00DA33F5">
              <w:rPr>
                <w:rFonts w:ascii="Times Roman" w:eastAsia="Times New Roman" w:hAnsi="Times Roman"/>
                <w:color w:val="000000"/>
                <w:sz w:val="20"/>
                <w:szCs w:val="20"/>
                <w:lang w:val="es-CO" w:eastAsia="es-CO"/>
              </w:rPr>
              <w:t xml:space="preserve"> y Protección Social (MSPS)</w:t>
            </w:r>
          </w:p>
        </w:tc>
        <w:tc>
          <w:tcPr>
            <w:tcW w:w="548" w:type="pct"/>
            <w:shd w:val="clear" w:color="000000" w:fill="FFFFFF"/>
            <w:vAlign w:val="center"/>
            <w:hideMark/>
          </w:tcPr>
          <w:p w14:paraId="07F942F8" w14:textId="43AB9D5B" w:rsidR="00832CAD" w:rsidRPr="00832CAD" w:rsidRDefault="00F46B5E"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3</w:t>
            </w:r>
            <w:r w:rsidRPr="00832CAD">
              <w:rPr>
                <w:rFonts w:ascii="Times Roman" w:eastAsia="Times New Roman" w:hAnsi="Times Roman"/>
                <w:color w:val="000000"/>
                <w:sz w:val="20"/>
                <w:szCs w:val="20"/>
                <w:lang w:val="es-CO" w:eastAsia="es-CO"/>
              </w:rPr>
              <w:t xml:space="preserve"> días</w:t>
            </w:r>
          </w:p>
        </w:tc>
      </w:tr>
      <w:tr w:rsidR="005C6B5B" w:rsidRPr="00832CAD" w14:paraId="73A16099" w14:textId="77777777" w:rsidTr="005C6B5B">
        <w:trPr>
          <w:trHeight w:val="1568"/>
        </w:trPr>
        <w:tc>
          <w:tcPr>
            <w:tcW w:w="543" w:type="pct"/>
            <w:vMerge/>
            <w:vAlign w:val="center"/>
            <w:hideMark/>
          </w:tcPr>
          <w:p w14:paraId="670A29E7"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vAlign w:val="center"/>
            <w:hideMark/>
          </w:tcPr>
          <w:p w14:paraId="0BF66C59"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Tiempo promedio de espera para la asignación de cita de medicina interna</w:t>
            </w:r>
          </w:p>
        </w:tc>
        <w:tc>
          <w:tcPr>
            <w:tcW w:w="1238" w:type="pct"/>
            <w:shd w:val="clear" w:color="000000" w:fill="FFFFFF"/>
            <w:vAlign w:val="center"/>
            <w:hideMark/>
          </w:tcPr>
          <w:p w14:paraId="07A740B7"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Sumatoria total de los días calendario transcurridos entre</w:t>
            </w:r>
            <w:r w:rsidRPr="00832CAD">
              <w:rPr>
                <w:rFonts w:ascii="Times Roman" w:eastAsia="Times New Roman" w:hAnsi="Times Roman"/>
                <w:color w:val="000000"/>
                <w:sz w:val="20"/>
                <w:szCs w:val="20"/>
                <w:lang w:val="es-CO" w:eastAsia="es-CO"/>
              </w:rPr>
              <w:br/>
              <w:t>la fecha en la cual el paciente solicita cita para ser</w:t>
            </w:r>
            <w:r w:rsidRPr="00832CAD">
              <w:rPr>
                <w:rFonts w:ascii="Times Roman" w:eastAsia="Times New Roman" w:hAnsi="Times Roman"/>
                <w:color w:val="000000"/>
                <w:sz w:val="20"/>
                <w:szCs w:val="20"/>
                <w:lang w:val="es-CO" w:eastAsia="es-CO"/>
              </w:rPr>
              <w:br/>
              <w:t>atendido y la fecha de la asignación del servicio</w:t>
            </w:r>
            <w:r w:rsidRPr="00832CAD">
              <w:rPr>
                <w:rFonts w:ascii="Times Roman" w:eastAsia="Times New Roman" w:hAnsi="Times Roman"/>
                <w:color w:val="000000"/>
                <w:sz w:val="20"/>
                <w:szCs w:val="20"/>
                <w:lang w:val="es-CO" w:eastAsia="es-CO"/>
              </w:rPr>
              <w:br/>
              <w:t>la cual es asignada la cita</w:t>
            </w:r>
          </w:p>
        </w:tc>
        <w:tc>
          <w:tcPr>
            <w:tcW w:w="860" w:type="pct"/>
            <w:shd w:val="clear" w:color="000000" w:fill="FFFFFF"/>
            <w:vAlign w:val="center"/>
            <w:hideMark/>
          </w:tcPr>
          <w:p w14:paraId="366A70AB" w14:textId="16C62C65"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r w:rsidR="00400067">
              <w:rPr>
                <w:rFonts w:ascii="Times Roman" w:eastAsia="Times New Roman" w:hAnsi="Times Roman"/>
                <w:color w:val="000000"/>
                <w:sz w:val="20"/>
                <w:szCs w:val="20"/>
                <w:lang w:val="es-CO" w:eastAsia="es-CO"/>
              </w:rPr>
              <w:t xml:space="preserve"> y </w:t>
            </w:r>
            <w:r w:rsidR="00400067" w:rsidRPr="00832CAD">
              <w:rPr>
                <w:rFonts w:ascii="Times Roman" w:eastAsia="Times New Roman" w:hAnsi="Times Roman"/>
                <w:color w:val="000000"/>
                <w:sz w:val="20"/>
                <w:szCs w:val="20"/>
                <w:lang w:val="es-CO" w:eastAsia="es-CO"/>
              </w:rPr>
              <w:t>Orden 20 - Sentencia T670 de 2008 y Auto 260 de 201</w:t>
            </w:r>
            <w:r w:rsidR="00400067">
              <w:rPr>
                <w:rFonts w:ascii="Times Roman" w:eastAsia="Times New Roman" w:hAnsi="Times Roman"/>
                <w:color w:val="000000"/>
                <w:sz w:val="20"/>
                <w:szCs w:val="20"/>
                <w:lang w:val="es-CO" w:eastAsia="es-CO"/>
              </w:rPr>
              <w:t>2</w:t>
            </w:r>
          </w:p>
        </w:tc>
        <w:tc>
          <w:tcPr>
            <w:tcW w:w="702" w:type="pct"/>
            <w:shd w:val="clear" w:color="000000" w:fill="FFFFFF"/>
            <w:vAlign w:val="center"/>
            <w:hideMark/>
          </w:tcPr>
          <w:p w14:paraId="2C710ED6"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Reporte de la EAPB al MSPS</w:t>
            </w:r>
          </w:p>
        </w:tc>
        <w:tc>
          <w:tcPr>
            <w:tcW w:w="548" w:type="pct"/>
            <w:shd w:val="clear" w:color="000000" w:fill="FFFFFF"/>
            <w:vAlign w:val="center"/>
            <w:hideMark/>
          </w:tcPr>
          <w:p w14:paraId="085302DC" w14:textId="31B23183" w:rsidR="00832CAD" w:rsidRPr="00832CAD" w:rsidRDefault="00710875"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20</w:t>
            </w:r>
            <w:r w:rsidRPr="00832CAD">
              <w:rPr>
                <w:rFonts w:ascii="Times Roman" w:eastAsia="Times New Roman" w:hAnsi="Times Roman"/>
                <w:color w:val="000000"/>
                <w:sz w:val="20"/>
                <w:szCs w:val="20"/>
                <w:lang w:val="es-CO" w:eastAsia="es-CO"/>
              </w:rPr>
              <w:t xml:space="preserve"> días</w:t>
            </w:r>
          </w:p>
        </w:tc>
      </w:tr>
      <w:tr w:rsidR="005C6B5B" w:rsidRPr="00832CAD" w14:paraId="7A594381" w14:textId="77777777" w:rsidTr="005C6B5B">
        <w:trPr>
          <w:trHeight w:val="1568"/>
        </w:trPr>
        <w:tc>
          <w:tcPr>
            <w:tcW w:w="543" w:type="pct"/>
            <w:vMerge/>
            <w:vAlign w:val="center"/>
            <w:hideMark/>
          </w:tcPr>
          <w:p w14:paraId="1103D402"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vAlign w:val="center"/>
            <w:hideMark/>
          </w:tcPr>
          <w:p w14:paraId="5AE8FF1B"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Tiempo promedio de espera para la asignación de cita de pediatría</w:t>
            </w:r>
          </w:p>
        </w:tc>
        <w:tc>
          <w:tcPr>
            <w:tcW w:w="1238" w:type="pct"/>
            <w:shd w:val="clear" w:color="000000" w:fill="FFFFFF"/>
            <w:vAlign w:val="center"/>
            <w:hideMark/>
          </w:tcPr>
          <w:p w14:paraId="378F995C"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Sumatoria total de los días calendario transcurridos entre</w:t>
            </w:r>
            <w:r w:rsidRPr="00832CAD">
              <w:rPr>
                <w:rFonts w:ascii="Times Roman" w:eastAsia="Times New Roman" w:hAnsi="Times Roman"/>
                <w:color w:val="000000"/>
                <w:sz w:val="20"/>
                <w:szCs w:val="20"/>
                <w:lang w:val="es-CO" w:eastAsia="es-CO"/>
              </w:rPr>
              <w:br/>
              <w:t>la fecha en la cual el paciente solicita cita para ser</w:t>
            </w:r>
            <w:r w:rsidRPr="00832CAD">
              <w:rPr>
                <w:rFonts w:ascii="Times Roman" w:eastAsia="Times New Roman" w:hAnsi="Times Roman"/>
                <w:color w:val="000000"/>
                <w:sz w:val="20"/>
                <w:szCs w:val="20"/>
                <w:lang w:val="es-CO" w:eastAsia="es-CO"/>
              </w:rPr>
              <w:br/>
              <w:t>atendido y la fecha de la asignación del servicio</w:t>
            </w:r>
            <w:r w:rsidRPr="00832CAD">
              <w:rPr>
                <w:rFonts w:ascii="Times Roman" w:eastAsia="Times New Roman" w:hAnsi="Times Roman"/>
                <w:color w:val="000000"/>
                <w:sz w:val="20"/>
                <w:szCs w:val="20"/>
                <w:lang w:val="es-CO" w:eastAsia="es-CO"/>
              </w:rPr>
              <w:br/>
              <w:t>la cual es asignada la cita</w:t>
            </w:r>
          </w:p>
        </w:tc>
        <w:tc>
          <w:tcPr>
            <w:tcW w:w="860" w:type="pct"/>
            <w:shd w:val="clear" w:color="000000" w:fill="FFFFFF"/>
            <w:vAlign w:val="center"/>
            <w:hideMark/>
          </w:tcPr>
          <w:p w14:paraId="1AFB1D24" w14:textId="4A68BD6D"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r w:rsidR="00400067">
              <w:rPr>
                <w:rFonts w:ascii="Times Roman" w:eastAsia="Times New Roman" w:hAnsi="Times Roman"/>
                <w:color w:val="000000"/>
                <w:sz w:val="20"/>
                <w:szCs w:val="20"/>
                <w:lang w:val="es-CO" w:eastAsia="es-CO"/>
              </w:rPr>
              <w:t xml:space="preserve"> y </w:t>
            </w:r>
            <w:r w:rsidR="00400067" w:rsidRPr="00832CAD">
              <w:rPr>
                <w:rFonts w:ascii="Times Roman" w:eastAsia="Times New Roman" w:hAnsi="Times Roman"/>
                <w:color w:val="000000"/>
                <w:sz w:val="20"/>
                <w:szCs w:val="20"/>
                <w:lang w:val="es-CO" w:eastAsia="es-CO"/>
              </w:rPr>
              <w:t>Orden 20 - Sentencia T670 de 2008 y Auto 260 de 201</w:t>
            </w:r>
            <w:r w:rsidR="00171EB3">
              <w:rPr>
                <w:rFonts w:ascii="Times Roman" w:eastAsia="Times New Roman" w:hAnsi="Times Roman"/>
                <w:color w:val="000000"/>
                <w:sz w:val="20"/>
                <w:szCs w:val="20"/>
                <w:lang w:val="es-CO" w:eastAsia="es-CO"/>
              </w:rPr>
              <w:t>2</w:t>
            </w:r>
          </w:p>
        </w:tc>
        <w:tc>
          <w:tcPr>
            <w:tcW w:w="702" w:type="pct"/>
            <w:shd w:val="clear" w:color="000000" w:fill="FFFFFF"/>
            <w:vAlign w:val="center"/>
            <w:hideMark/>
          </w:tcPr>
          <w:p w14:paraId="2E99A2D4"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Reporte de la EAPB al MSPS</w:t>
            </w:r>
          </w:p>
        </w:tc>
        <w:tc>
          <w:tcPr>
            <w:tcW w:w="548" w:type="pct"/>
            <w:shd w:val="clear" w:color="000000" w:fill="FFFFFF"/>
            <w:vAlign w:val="center"/>
            <w:hideMark/>
          </w:tcPr>
          <w:p w14:paraId="5708740F" w14:textId="15B28C9B" w:rsidR="00832CAD" w:rsidRPr="00832CAD" w:rsidRDefault="006658DC"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7</w:t>
            </w:r>
            <w:r w:rsidRPr="00832CAD">
              <w:rPr>
                <w:rFonts w:ascii="Times Roman" w:eastAsia="Times New Roman" w:hAnsi="Times Roman"/>
                <w:color w:val="000000"/>
                <w:sz w:val="20"/>
                <w:szCs w:val="20"/>
                <w:lang w:val="es-CO" w:eastAsia="es-CO"/>
              </w:rPr>
              <w:t xml:space="preserve"> días</w:t>
            </w:r>
          </w:p>
        </w:tc>
      </w:tr>
      <w:tr w:rsidR="005C6B5B" w:rsidRPr="00832CAD" w14:paraId="78EDC7E3" w14:textId="77777777" w:rsidTr="005C6B5B">
        <w:trPr>
          <w:trHeight w:val="1568"/>
        </w:trPr>
        <w:tc>
          <w:tcPr>
            <w:tcW w:w="543" w:type="pct"/>
            <w:vMerge/>
            <w:vAlign w:val="center"/>
            <w:hideMark/>
          </w:tcPr>
          <w:p w14:paraId="4D7FA6D2"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vAlign w:val="center"/>
            <w:hideMark/>
          </w:tcPr>
          <w:p w14:paraId="352FA2FA"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Tiempo promedio de espera para la asignación de cita ginecología</w:t>
            </w:r>
          </w:p>
        </w:tc>
        <w:tc>
          <w:tcPr>
            <w:tcW w:w="1238" w:type="pct"/>
            <w:shd w:val="clear" w:color="000000" w:fill="FFFFFF"/>
            <w:vAlign w:val="center"/>
            <w:hideMark/>
          </w:tcPr>
          <w:p w14:paraId="7F8C1EBE"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Sumatoria total de los días calendario transcurridos entre</w:t>
            </w:r>
            <w:r w:rsidRPr="00832CAD">
              <w:rPr>
                <w:rFonts w:ascii="Times Roman" w:eastAsia="Times New Roman" w:hAnsi="Times Roman"/>
                <w:color w:val="000000"/>
                <w:sz w:val="20"/>
                <w:szCs w:val="20"/>
                <w:lang w:val="es-CO" w:eastAsia="es-CO"/>
              </w:rPr>
              <w:br/>
              <w:t>la fecha en la cual el paciente solicita cita para ser</w:t>
            </w:r>
            <w:r w:rsidRPr="00832CAD">
              <w:rPr>
                <w:rFonts w:ascii="Times Roman" w:eastAsia="Times New Roman" w:hAnsi="Times Roman"/>
                <w:color w:val="000000"/>
                <w:sz w:val="20"/>
                <w:szCs w:val="20"/>
                <w:lang w:val="es-CO" w:eastAsia="es-CO"/>
              </w:rPr>
              <w:br/>
              <w:t>atendido y la fecha de la asignación del servicio</w:t>
            </w:r>
            <w:r w:rsidRPr="00832CAD">
              <w:rPr>
                <w:rFonts w:ascii="Times Roman" w:eastAsia="Times New Roman" w:hAnsi="Times Roman"/>
                <w:color w:val="000000"/>
                <w:sz w:val="20"/>
                <w:szCs w:val="20"/>
                <w:lang w:val="es-CO" w:eastAsia="es-CO"/>
              </w:rPr>
              <w:br/>
              <w:t>la cual es asignada la cita</w:t>
            </w:r>
          </w:p>
        </w:tc>
        <w:tc>
          <w:tcPr>
            <w:tcW w:w="860" w:type="pct"/>
            <w:shd w:val="clear" w:color="000000" w:fill="FFFFFF"/>
            <w:vAlign w:val="center"/>
            <w:hideMark/>
          </w:tcPr>
          <w:p w14:paraId="3D845BA1" w14:textId="60521E3A"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r w:rsidR="00400067">
              <w:rPr>
                <w:rFonts w:ascii="Times Roman" w:eastAsia="Times New Roman" w:hAnsi="Times Roman"/>
                <w:color w:val="000000"/>
                <w:sz w:val="20"/>
                <w:szCs w:val="20"/>
                <w:lang w:val="es-CO" w:eastAsia="es-CO"/>
              </w:rPr>
              <w:t xml:space="preserve"> y </w:t>
            </w:r>
            <w:r w:rsidR="00400067" w:rsidRPr="00832CAD">
              <w:rPr>
                <w:rFonts w:ascii="Times Roman" w:eastAsia="Times New Roman" w:hAnsi="Times Roman"/>
                <w:color w:val="000000"/>
                <w:sz w:val="20"/>
                <w:szCs w:val="20"/>
                <w:lang w:val="es-CO" w:eastAsia="es-CO"/>
              </w:rPr>
              <w:t>Orden 20 - Sentencia T670 de 2008 y Auto 260 de 201</w:t>
            </w:r>
            <w:r w:rsidR="00171EB3">
              <w:rPr>
                <w:rFonts w:ascii="Times Roman" w:eastAsia="Times New Roman" w:hAnsi="Times Roman"/>
                <w:color w:val="000000"/>
                <w:sz w:val="20"/>
                <w:szCs w:val="20"/>
                <w:lang w:val="es-CO" w:eastAsia="es-CO"/>
              </w:rPr>
              <w:t>2</w:t>
            </w:r>
          </w:p>
        </w:tc>
        <w:tc>
          <w:tcPr>
            <w:tcW w:w="702" w:type="pct"/>
            <w:shd w:val="clear" w:color="000000" w:fill="FFFFFF"/>
            <w:vAlign w:val="center"/>
            <w:hideMark/>
          </w:tcPr>
          <w:p w14:paraId="19BC0C07"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Reporte de la EAPB al MSPS</w:t>
            </w:r>
          </w:p>
        </w:tc>
        <w:tc>
          <w:tcPr>
            <w:tcW w:w="548" w:type="pct"/>
            <w:shd w:val="clear" w:color="000000" w:fill="FFFFFF"/>
            <w:vAlign w:val="center"/>
            <w:hideMark/>
          </w:tcPr>
          <w:p w14:paraId="5E262888" w14:textId="34F4D6BA" w:rsidR="00832CAD" w:rsidRPr="00832CAD" w:rsidRDefault="00B04809"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15</w:t>
            </w:r>
            <w:r w:rsidRPr="00832CAD">
              <w:rPr>
                <w:rFonts w:ascii="Times Roman" w:eastAsia="Times New Roman" w:hAnsi="Times Roman"/>
                <w:color w:val="000000"/>
                <w:sz w:val="20"/>
                <w:szCs w:val="20"/>
                <w:lang w:val="es-CO" w:eastAsia="es-CO"/>
              </w:rPr>
              <w:t xml:space="preserve"> días</w:t>
            </w:r>
          </w:p>
        </w:tc>
      </w:tr>
      <w:tr w:rsidR="005C6B5B" w:rsidRPr="00832CAD" w14:paraId="0F962437" w14:textId="77777777" w:rsidTr="005C6B5B">
        <w:trPr>
          <w:trHeight w:val="1568"/>
        </w:trPr>
        <w:tc>
          <w:tcPr>
            <w:tcW w:w="543" w:type="pct"/>
            <w:vMerge/>
            <w:vAlign w:val="center"/>
            <w:hideMark/>
          </w:tcPr>
          <w:p w14:paraId="551A518A"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vAlign w:val="center"/>
            <w:hideMark/>
          </w:tcPr>
          <w:p w14:paraId="6DB7018F"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Tiempo promedio de espera para la asignación de cita obstetricia</w:t>
            </w:r>
          </w:p>
        </w:tc>
        <w:tc>
          <w:tcPr>
            <w:tcW w:w="1238" w:type="pct"/>
            <w:shd w:val="clear" w:color="000000" w:fill="FFFFFF"/>
            <w:vAlign w:val="center"/>
            <w:hideMark/>
          </w:tcPr>
          <w:p w14:paraId="20C3B068"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Sumatoria total de los días calendario transcurridos entre</w:t>
            </w:r>
            <w:r w:rsidRPr="00832CAD">
              <w:rPr>
                <w:rFonts w:ascii="Times Roman" w:eastAsia="Times New Roman" w:hAnsi="Times Roman"/>
                <w:color w:val="000000"/>
                <w:sz w:val="20"/>
                <w:szCs w:val="20"/>
                <w:lang w:val="es-CO" w:eastAsia="es-CO"/>
              </w:rPr>
              <w:br/>
              <w:t>la fecha en la cual el paciente solicita cita para ser</w:t>
            </w:r>
            <w:r w:rsidRPr="00832CAD">
              <w:rPr>
                <w:rFonts w:ascii="Times Roman" w:eastAsia="Times New Roman" w:hAnsi="Times Roman"/>
                <w:color w:val="000000"/>
                <w:sz w:val="20"/>
                <w:szCs w:val="20"/>
                <w:lang w:val="es-CO" w:eastAsia="es-CO"/>
              </w:rPr>
              <w:br/>
              <w:t>atendido y la fecha de la asignación del servicio</w:t>
            </w:r>
            <w:r w:rsidRPr="00832CAD">
              <w:rPr>
                <w:rFonts w:ascii="Times Roman" w:eastAsia="Times New Roman" w:hAnsi="Times Roman"/>
                <w:color w:val="000000"/>
                <w:sz w:val="20"/>
                <w:szCs w:val="20"/>
                <w:lang w:val="es-CO" w:eastAsia="es-CO"/>
              </w:rPr>
              <w:br/>
              <w:t>la cual es asignada la cita</w:t>
            </w:r>
          </w:p>
        </w:tc>
        <w:tc>
          <w:tcPr>
            <w:tcW w:w="860" w:type="pct"/>
            <w:shd w:val="clear" w:color="000000" w:fill="FFFFFF"/>
            <w:vAlign w:val="center"/>
            <w:hideMark/>
          </w:tcPr>
          <w:p w14:paraId="0E53372A" w14:textId="5C007294"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r w:rsidR="00171EB3">
              <w:rPr>
                <w:rFonts w:ascii="Times Roman" w:eastAsia="Times New Roman" w:hAnsi="Times Roman"/>
                <w:color w:val="000000"/>
                <w:sz w:val="20"/>
                <w:szCs w:val="20"/>
                <w:lang w:val="es-CO" w:eastAsia="es-CO"/>
              </w:rPr>
              <w:t xml:space="preserve"> y </w:t>
            </w:r>
            <w:r w:rsidR="00171EB3" w:rsidRPr="00832CAD">
              <w:rPr>
                <w:rFonts w:ascii="Times Roman" w:eastAsia="Times New Roman" w:hAnsi="Times Roman"/>
                <w:color w:val="000000"/>
                <w:sz w:val="20"/>
                <w:szCs w:val="20"/>
                <w:lang w:val="es-CO" w:eastAsia="es-CO"/>
              </w:rPr>
              <w:t>Orden 20 - Sentencia T670 de 2008 y Auto 260 de 201</w:t>
            </w:r>
            <w:r w:rsidR="00171EB3">
              <w:rPr>
                <w:rFonts w:ascii="Times Roman" w:eastAsia="Times New Roman" w:hAnsi="Times Roman"/>
                <w:color w:val="000000"/>
                <w:sz w:val="20"/>
                <w:szCs w:val="20"/>
                <w:lang w:val="es-CO" w:eastAsia="es-CO"/>
              </w:rPr>
              <w:t>2</w:t>
            </w:r>
          </w:p>
        </w:tc>
        <w:tc>
          <w:tcPr>
            <w:tcW w:w="702" w:type="pct"/>
            <w:shd w:val="clear" w:color="000000" w:fill="FFFFFF"/>
            <w:vAlign w:val="center"/>
            <w:hideMark/>
          </w:tcPr>
          <w:p w14:paraId="2977EE45"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Reporte de la EAPB al MSPS</w:t>
            </w:r>
          </w:p>
        </w:tc>
        <w:tc>
          <w:tcPr>
            <w:tcW w:w="548" w:type="pct"/>
            <w:shd w:val="clear" w:color="000000" w:fill="FFFFFF"/>
            <w:vAlign w:val="center"/>
            <w:hideMark/>
          </w:tcPr>
          <w:p w14:paraId="78FCA6C1" w14:textId="3C3281B2" w:rsidR="00832CAD" w:rsidRPr="00832CAD" w:rsidRDefault="00CC7BD1"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7</w:t>
            </w:r>
            <w:r w:rsidRPr="00832CAD">
              <w:rPr>
                <w:rFonts w:ascii="Times Roman" w:eastAsia="Times New Roman" w:hAnsi="Times Roman"/>
                <w:color w:val="000000"/>
                <w:sz w:val="20"/>
                <w:szCs w:val="20"/>
                <w:lang w:val="es-CO" w:eastAsia="es-CO"/>
              </w:rPr>
              <w:t xml:space="preserve"> días</w:t>
            </w:r>
          </w:p>
        </w:tc>
      </w:tr>
      <w:tr w:rsidR="005C6B5B" w:rsidRPr="00832CAD" w14:paraId="38F0393D" w14:textId="77777777" w:rsidTr="005C6B5B">
        <w:trPr>
          <w:trHeight w:val="1568"/>
        </w:trPr>
        <w:tc>
          <w:tcPr>
            <w:tcW w:w="543" w:type="pct"/>
            <w:vMerge/>
            <w:vAlign w:val="center"/>
            <w:hideMark/>
          </w:tcPr>
          <w:p w14:paraId="0DF80D41"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vAlign w:val="center"/>
            <w:hideMark/>
          </w:tcPr>
          <w:p w14:paraId="00211DBB"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Tiempo promedio de espera para la asignación de cita de cirugía general</w:t>
            </w:r>
          </w:p>
        </w:tc>
        <w:tc>
          <w:tcPr>
            <w:tcW w:w="1238" w:type="pct"/>
            <w:shd w:val="clear" w:color="000000" w:fill="FFFFFF"/>
            <w:vAlign w:val="center"/>
            <w:hideMark/>
          </w:tcPr>
          <w:p w14:paraId="117E3B5F"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Sumatoria total de los días calendario transcurridos entre</w:t>
            </w:r>
            <w:r w:rsidRPr="00832CAD">
              <w:rPr>
                <w:rFonts w:ascii="Times Roman" w:eastAsia="Times New Roman" w:hAnsi="Times Roman"/>
                <w:color w:val="000000"/>
                <w:sz w:val="20"/>
                <w:szCs w:val="20"/>
                <w:lang w:val="es-CO" w:eastAsia="es-CO"/>
              </w:rPr>
              <w:br/>
              <w:t>la fecha en la cual el paciente solicita cita para ser</w:t>
            </w:r>
            <w:r w:rsidRPr="00832CAD">
              <w:rPr>
                <w:rFonts w:ascii="Times Roman" w:eastAsia="Times New Roman" w:hAnsi="Times Roman"/>
                <w:color w:val="000000"/>
                <w:sz w:val="20"/>
                <w:szCs w:val="20"/>
                <w:lang w:val="es-CO" w:eastAsia="es-CO"/>
              </w:rPr>
              <w:br/>
              <w:t>atendido y la fecha de la asignación del servicio</w:t>
            </w:r>
            <w:r w:rsidRPr="00832CAD">
              <w:rPr>
                <w:rFonts w:ascii="Times Roman" w:eastAsia="Times New Roman" w:hAnsi="Times Roman"/>
                <w:color w:val="000000"/>
                <w:sz w:val="20"/>
                <w:szCs w:val="20"/>
                <w:lang w:val="es-CO" w:eastAsia="es-CO"/>
              </w:rPr>
              <w:br/>
              <w:t>la cual es asignada la cita</w:t>
            </w:r>
          </w:p>
        </w:tc>
        <w:tc>
          <w:tcPr>
            <w:tcW w:w="860" w:type="pct"/>
            <w:shd w:val="clear" w:color="000000" w:fill="FFFFFF"/>
            <w:vAlign w:val="center"/>
            <w:hideMark/>
          </w:tcPr>
          <w:p w14:paraId="32B853FA" w14:textId="4BE07126"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r w:rsidR="00171EB3">
              <w:rPr>
                <w:rFonts w:ascii="Times Roman" w:eastAsia="Times New Roman" w:hAnsi="Times Roman"/>
                <w:color w:val="000000"/>
                <w:sz w:val="20"/>
                <w:szCs w:val="20"/>
                <w:lang w:val="es-CO" w:eastAsia="es-CO"/>
              </w:rPr>
              <w:t xml:space="preserve"> y </w:t>
            </w:r>
            <w:r w:rsidR="00171EB3" w:rsidRPr="00832CAD">
              <w:rPr>
                <w:rFonts w:ascii="Times Roman" w:eastAsia="Times New Roman" w:hAnsi="Times Roman"/>
                <w:color w:val="000000"/>
                <w:sz w:val="20"/>
                <w:szCs w:val="20"/>
                <w:lang w:val="es-CO" w:eastAsia="es-CO"/>
              </w:rPr>
              <w:t>Orden 20 - Sentencia T670 de 2008 y Auto 260 de 201</w:t>
            </w:r>
            <w:r w:rsidR="00171EB3">
              <w:rPr>
                <w:rFonts w:ascii="Times Roman" w:eastAsia="Times New Roman" w:hAnsi="Times Roman"/>
                <w:color w:val="000000"/>
                <w:sz w:val="20"/>
                <w:szCs w:val="20"/>
                <w:lang w:val="es-CO" w:eastAsia="es-CO"/>
              </w:rPr>
              <w:t>2</w:t>
            </w:r>
          </w:p>
        </w:tc>
        <w:tc>
          <w:tcPr>
            <w:tcW w:w="702" w:type="pct"/>
            <w:shd w:val="clear" w:color="000000" w:fill="FFFFFF"/>
            <w:vAlign w:val="center"/>
            <w:hideMark/>
          </w:tcPr>
          <w:p w14:paraId="647A62F5"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Reporte de la EAPB al MSPS</w:t>
            </w:r>
          </w:p>
        </w:tc>
        <w:tc>
          <w:tcPr>
            <w:tcW w:w="548" w:type="pct"/>
            <w:shd w:val="clear" w:color="000000" w:fill="FFFFFF"/>
            <w:vAlign w:val="center"/>
            <w:hideMark/>
          </w:tcPr>
          <w:p w14:paraId="46334BD0" w14:textId="1B12C7E7" w:rsidR="00832CAD" w:rsidRPr="00832CAD" w:rsidRDefault="0069510A" w:rsidP="0069510A">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15</w:t>
            </w:r>
            <w:r w:rsidR="00832CAD" w:rsidRPr="00832CAD">
              <w:rPr>
                <w:rFonts w:ascii="Times Roman" w:eastAsia="Times New Roman" w:hAnsi="Times Roman"/>
                <w:color w:val="000000"/>
                <w:sz w:val="20"/>
                <w:szCs w:val="20"/>
                <w:lang w:val="es-CO" w:eastAsia="es-CO"/>
              </w:rPr>
              <w:t xml:space="preserve"> días </w:t>
            </w:r>
          </w:p>
        </w:tc>
      </w:tr>
      <w:tr w:rsidR="005C6B5B" w:rsidRPr="00832CAD" w14:paraId="09AEC119" w14:textId="77777777" w:rsidTr="005C6B5B">
        <w:trPr>
          <w:trHeight w:val="1568"/>
        </w:trPr>
        <w:tc>
          <w:tcPr>
            <w:tcW w:w="543" w:type="pct"/>
            <w:vMerge/>
            <w:vAlign w:val="center"/>
            <w:hideMark/>
          </w:tcPr>
          <w:p w14:paraId="72D0A85B"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vAlign w:val="center"/>
            <w:hideMark/>
          </w:tcPr>
          <w:p w14:paraId="49D7AB09"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Tiempo promedio de esperar para la asignación de cita de odontología general</w:t>
            </w:r>
          </w:p>
        </w:tc>
        <w:tc>
          <w:tcPr>
            <w:tcW w:w="1238" w:type="pct"/>
            <w:shd w:val="clear" w:color="000000" w:fill="FFFFFF"/>
            <w:vAlign w:val="center"/>
            <w:hideMark/>
          </w:tcPr>
          <w:p w14:paraId="71C95B66"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Sumatoria total de los días calendario transcurridos entre</w:t>
            </w:r>
            <w:r w:rsidRPr="00832CAD">
              <w:rPr>
                <w:rFonts w:ascii="Times Roman" w:eastAsia="Times New Roman" w:hAnsi="Times Roman"/>
                <w:color w:val="000000"/>
                <w:sz w:val="20"/>
                <w:szCs w:val="20"/>
                <w:lang w:val="es-CO" w:eastAsia="es-CO"/>
              </w:rPr>
              <w:br/>
              <w:t>la fecha en la cual el paciente solicita cita para ser</w:t>
            </w:r>
            <w:r w:rsidRPr="00832CAD">
              <w:rPr>
                <w:rFonts w:ascii="Times Roman" w:eastAsia="Times New Roman" w:hAnsi="Times Roman"/>
                <w:color w:val="000000"/>
                <w:sz w:val="20"/>
                <w:szCs w:val="20"/>
                <w:lang w:val="es-CO" w:eastAsia="es-CO"/>
              </w:rPr>
              <w:br/>
              <w:t>atendido y la fecha de la asignación del servicio</w:t>
            </w:r>
            <w:r w:rsidRPr="00832CAD">
              <w:rPr>
                <w:rFonts w:ascii="Times Roman" w:eastAsia="Times New Roman" w:hAnsi="Times Roman"/>
                <w:color w:val="000000"/>
                <w:sz w:val="20"/>
                <w:szCs w:val="20"/>
                <w:lang w:val="es-CO" w:eastAsia="es-CO"/>
              </w:rPr>
              <w:br/>
              <w:t>la cual es asignada la cita</w:t>
            </w:r>
          </w:p>
        </w:tc>
        <w:tc>
          <w:tcPr>
            <w:tcW w:w="860" w:type="pct"/>
            <w:shd w:val="clear" w:color="000000" w:fill="FFFFFF"/>
            <w:vAlign w:val="center"/>
            <w:hideMark/>
          </w:tcPr>
          <w:p w14:paraId="54C43DCE" w14:textId="469A0A14"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r w:rsidR="00171EB3">
              <w:rPr>
                <w:rFonts w:ascii="Times Roman" w:eastAsia="Times New Roman" w:hAnsi="Times Roman"/>
                <w:color w:val="000000"/>
                <w:sz w:val="20"/>
                <w:szCs w:val="20"/>
                <w:lang w:val="es-CO" w:eastAsia="es-CO"/>
              </w:rPr>
              <w:t xml:space="preserve"> y </w:t>
            </w:r>
            <w:r w:rsidR="00171EB3" w:rsidRPr="00832CAD">
              <w:rPr>
                <w:rFonts w:ascii="Times Roman" w:eastAsia="Times New Roman" w:hAnsi="Times Roman"/>
                <w:color w:val="000000"/>
                <w:sz w:val="20"/>
                <w:szCs w:val="20"/>
                <w:lang w:val="es-CO" w:eastAsia="es-CO"/>
              </w:rPr>
              <w:t>Orden 20 - Sentencia T670 de 2008 y Auto 260 de 201</w:t>
            </w:r>
            <w:r w:rsidR="00171EB3">
              <w:rPr>
                <w:rFonts w:ascii="Times Roman" w:eastAsia="Times New Roman" w:hAnsi="Times Roman"/>
                <w:color w:val="000000"/>
                <w:sz w:val="20"/>
                <w:szCs w:val="20"/>
                <w:lang w:val="es-CO" w:eastAsia="es-CO"/>
              </w:rPr>
              <w:t>2</w:t>
            </w:r>
          </w:p>
        </w:tc>
        <w:tc>
          <w:tcPr>
            <w:tcW w:w="702" w:type="pct"/>
            <w:shd w:val="clear" w:color="000000" w:fill="FFFFFF"/>
            <w:vAlign w:val="center"/>
            <w:hideMark/>
          </w:tcPr>
          <w:p w14:paraId="0783FB74"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Reporte de la EAPB al MSPS</w:t>
            </w:r>
          </w:p>
        </w:tc>
        <w:tc>
          <w:tcPr>
            <w:tcW w:w="548" w:type="pct"/>
            <w:shd w:val="clear" w:color="000000" w:fill="FFFFFF"/>
            <w:vAlign w:val="center"/>
            <w:hideMark/>
          </w:tcPr>
          <w:p w14:paraId="6D524F07" w14:textId="6241E0ED" w:rsidR="00832CAD" w:rsidRPr="00832CAD" w:rsidRDefault="00F46B5E"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Estándar 3 </w:t>
            </w:r>
            <w:r w:rsidRPr="00832CAD">
              <w:rPr>
                <w:rFonts w:ascii="Times Roman" w:eastAsia="Times New Roman" w:hAnsi="Times Roman"/>
                <w:color w:val="000000"/>
                <w:sz w:val="20"/>
                <w:szCs w:val="20"/>
                <w:lang w:val="es-CO" w:eastAsia="es-CO"/>
              </w:rPr>
              <w:t>días</w:t>
            </w:r>
          </w:p>
        </w:tc>
      </w:tr>
      <w:tr w:rsidR="005C6B5B" w:rsidRPr="00832CAD" w14:paraId="4E6D120C" w14:textId="77777777" w:rsidTr="005C6B5B">
        <w:trPr>
          <w:trHeight w:val="1568"/>
        </w:trPr>
        <w:tc>
          <w:tcPr>
            <w:tcW w:w="543" w:type="pct"/>
            <w:vMerge/>
            <w:vAlign w:val="center"/>
            <w:hideMark/>
          </w:tcPr>
          <w:p w14:paraId="103291CF"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vAlign w:val="center"/>
            <w:hideMark/>
          </w:tcPr>
          <w:p w14:paraId="7F106EBD" w14:textId="65750A85" w:rsidR="00832CAD" w:rsidRPr="00832CAD" w:rsidRDefault="00832CAD" w:rsidP="00F84585">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xml:space="preserve">Tiempo promedio de </w:t>
            </w:r>
            <w:r w:rsidR="00F84585">
              <w:rPr>
                <w:rFonts w:ascii="Times Roman" w:eastAsia="Times New Roman" w:hAnsi="Times Roman"/>
                <w:color w:val="000000"/>
                <w:sz w:val="20"/>
                <w:szCs w:val="20"/>
                <w:lang w:val="es-CO" w:eastAsia="es-CO"/>
              </w:rPr>
              <w:t xml:space="preserve">resonancia </w:t>
            </w:r>
            <w:r w:rsidR="00216B4A">
              <w:rPr>
                <w:rFonts w:ascii="Times Roman" w:eastAsia="Times New Roman" w:hAnsi="Times Roman"/>
                <w:color w:val="000000"/>
                <w:sz w:val="20"/>
                <w:szCs w:val="20"/>
                <w:lang w:val="es-CO" w:eastAsia="es-CO"/>
              </w:rPr>
              <w:t>magnética</w:t>
            </w:r>
            <w:r w:rsidR="00F84585">
              <w:rPr>
                <w:rFonts w:ascii="Times Roman" w:eastAsia="Times New Roman" w:hAnsi="Times Roman"/>
                <w:color w:val="000000"/>
                <w:sz w:val="20"/>
                <w:szCs w:val="20"/>
                <w:lang w:val="es-CO" w:eastAsia="es-CO"/>
              </w:rPr>
              <w:t xml:space="preserve"> nuclear</w:t>
            </w:r>
          </w:p>
        </w:tc>
        <w:tc>
          <w:tcPr>
            <w:tcW w:w="1238" w:type="pct"/>
            <w:shd w:val="clear" w:color="000000" w:fill="FFFFFF"/>
            <w:vAlign w:val="center"/>
            <w:hideMark/>
          </w:tcPr>
          <w:p w14:paraId="34753FDF" w14:textId="7A516B39" w:rsidR="00832CAD" w:rsidRPr="00832CAD" w:rsidRDefault="00832CAD" w:rsidP="004E1FA3">
            <w:pPr>
              <w:rPr>
                <w:rFonts w:ascii="Times Roman" w:eastAsia="Times New Roman" w:hAnsi="Times Roman"/>
                <w:color w:val="000000"/>
                <w:sz w:val="20"/>
                <w:szCs w:val="20"/>
                <w:lang w:val="es-CO" w:eastAsia="es-CO"/>
              </w:rPr>
            </w:pPr>
          </w:p>
        </w:tc>
        <w:tc>
          <w:tcPr>
            <w:tcW w:w="860" w:type="pct"/>
            <w:shd w:val="clear" w:color="000000" w:fill="FFFFFF"/>
            <w:vAlign w:val="center"/>
            <w:hideMark/>
          </w:tcPr>
          <w:p w14:paraId="1120278E" w14:textId="658C1AF7" w:rsidR="00832CAD" w:rsidRPr="00832CAD" w:rsidRDefault="00216B4A"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Resolución</w:t>
            </w:r>
            <w:r w:rsidR="004E1FA3">
              <w:rPr>
                <w:rFonts w:ascii="Times Roman" w:eastAsia="Times New Roman" w:hAnsi="Times Roman"/>
                <w:color w:val="000000"/>
                <w:sz w:val="20"/>
                <w:szCs w:val="20"/>
                <w:lang w:val="es-CO" w:eastAsia="es-CO"/>
              </w:rPr>
              <w:t xml:space="preserve"> 256 de 2016</w:t>
            </w:r>
          </w:p>
        </w:tc>
        <w:tc>
          <w:tcPr>
            <w:tcW w:w="702" w:type="pct"/>
            <w:shd w:val="clear" w:color="000000" w:fill="FFFFFF"/>
            <w:vAlign w:val="center"/>
            <w:hideMark/>
          </w:tcPr>
          <w:p w14:paraId="199A2863"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Reporte de la EAPB al MSPS</w:t>
            </w:r>
          </w:p>
        </w:tc>
        <w:tc>
          <w:tcPr>
            <w:tcW w:w="548" w:type="pct"/>
            <w:shd w:val="clear" w:color="000000" w:fill="FFFFFF"/>
            <w:vAlign w:val="center"/>
            <w:hideMark/>
          </w:tcPr>
          <w:p w14:paraId="4A0C217A" w14:textId="24184032" w:rsidR="00832CAD" w:rsidRPr="00832CAD" w:rsidRDefault="00F241B3" w:rsidP="00F241B3">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10 días</w:t>
            </w:r>
          </w:p>
        </w:tc>
      </w:tr>
      <w:tr w:rsidR="005C6B5B" w:rsidRPr="00832CAD" w14:paraId="1CED26BE" w14:textId="77777777" w:rsidTr="005C6B5B">
        <w:trPr>
          <w:trHeight w:val="1190"/>
        </w:trPr>
        <w:tc>
          <w:tcPr>
            <w:tcW w:w="543" w:type="pct"/>
            <w:vMerge/>
            <w:vAlign w:val="center"/>
            <w:hideMark/>
          </w:tcPr>
          <w:p w14:paraId="09BE13E4"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noWrap/>
            <w:vAlign w:val="center"/>
            <w:hideMark/>
          </w:tcPr>
          <w:p w14:paraId="5C0DB677" w14:textId="5C3D0AAA" w:rsidR="00832CAD" w:rsidRPr="00832CAD" w:rsidRDefault="00832CAD" w:rsidP="00832CAD">
            <w:pPr>
              <w:jc w:val="both"/>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xml:space="preserve">Tiempo transcurrido en la atención en consultad de urgencias - </w:t>
            </w:r>
            <w:proofErr w:type="spellStart"/>
            <w:r w:rsidRPr="00832CAD">
              <w:rPr>
                <w:rFonts w:ascii="Times Roman" w:eastAsia="Times New Roman" w:hAnsi="Times Roman"/>
                <w:color w:val="000000"/>
                <w:sz w:val="20"/>
                <w:szCs w:val="20"/>
                <w:lang w:val="es-CO" w:eastAsia="es-CO"/>
              </w:rPr>
              <w:t>Triage</w:t>
            </w:r>
            <w:proofErr w:type="spellEnd"/>
            <w:r w:rsidRPr="00832CAD">
              <w:rPr>
                <w:rFonts w:ascii="Times Roman" w:eastAsia="Times New Roman" w:hAnsi="Times Roman"/>
                <w:color w:val="000000"/>
                <w:sz w:val="20"/>
                <w:szCs w:val="20"/>
                <w:lang w:val="es-CO" w:eastAsia="es-CO"/>
              </w:rPr>
              <w:t xml:space="preserve"> II</w:t>
            </w:r>
          </w:p>
        </w:tc>
        <w:tc>
          <w:tcPr>
            <w:tcW w:w="1238" w:type="pct"/>
            <w:shd w:val="clear" w:color="000000" w:fill="FFFFFF"/>
            <w:vAlign w:val="center"/>
            <w:hideMark/>
          </w:tcPr>
          <w:p w14:paraId="151DEC9E"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Cociente entre la sumatoria del número de minutos transcurridos entre la solicitud de atención y el momento en el cual es atendido el paciente, dividido por el número total de usuarios atendidos en consulta de urgencias</w:t>
            </w:r>
          </w:p>
        </w:tc>
        <w:tc>
          <w:tcPr>
            <w:tcW w:w="860" w:type="pct"/>
            <w:shd w:val="clear" w:color="000000" w:fill="FFFFFF"/>
            <w:vAlign w:val="center"/>
            <w:hideMark/>
          </w:tcPr>
          <w:p w14:paraId="380B26C4" w14:textId="30FC6070"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1446 de 206 - SIC (Derogada)</w:t>
            </w:r>
            <w:r w:rsidR="00171EB3">
              <w:rPr>
                <w:rFonts w:ascii="Times Roman" w:eastAsia="Times New Roman" w:hAnsi="Times Roman"/>
                <w:color w:val="000000"/>
                <w:sz w:val="20"/>
                <w:szCs w:val="20"/>
                <w:lang w:val="es-CO" w:eastAsia="es-CO"/>
              </w:rPr>
              <w:t xml:space="preserve"> y </w:t>
            </w:r>
            <w:r w:rsidR="00171EB3" w:rsidRPr="00832CAD">
              <w:rPr>
                <w:rFonts w:ascii="Times Roman" w:eastAsia="Times New Roman" w:hAnsi="Times Roman"/>
                <w:color w:val="000000"/>
                <w:sz w:val="20"/>
                <w:szCs w:val="20"/>
                <w:lang w:val="es-CO" w:eastAsia="es-CO"/>
              </w:rPr>
              <w:t>Orden 20 - Sentencia T670 de 2008 y Auto 260 de 201</w:t>
            </w:r>
            <w:r w:rsidR="00171EB3">
              <w:rPr>
                <w:rFonts w:ascii="Times Roman" w:eastAsia="Times New Roman" w:hAnsi="Times Roman"/>
                <w:color w:val="000000"/>
                <w:sz w:val="20"/>
                <w:szCs w:val="20"/>
                <w:lang w:val="es-CO" w:eastAsia="es-CO"/>
              </w:rPr>
              <w:t>2</w:t>
            </w:r>
          </w:p>
        </w:tc>
        <w:tc>
          <w:tcPr>
            <w:tcW w:w="702" w:type="pct"/>
            <w:shd w:val="clear" w:color="000000" w:fill="FFFFFF"/>
            <w:vAlign w:val="center"/>
            <w:hideMark/>
          </w:tcPr>
          <w:p w14:paraId="1EDAFDFA"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Reporte de la EAPB al MSPS</w:t>
            </w:r>
          </w:p>
        </w:tc>
        <w:tc>
          <w:tcPr>
            <w:tcW w:w="548" w:type="pct"/>
            <w:shd w:val="clear" w:color="000000" w:fill="FFFFFF"/>
            <w:vAlign w:val="center"/>
            <w:hideMark/>
          </w:tcPr>
          <w:p w14:paraId="524E3251" w14:textId="48C54BC5" w:rsidR="00832CAD" w:rsidRPr="00832CAD" w:rsidRDefault="000B69E8" w:rsidP="000B69E8">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30 minutos</w:t>
            </w:r>
          </w:p>
        </w:tc>
      </w:tr>
      <w:tr w:rsidR="005C6B5B" w:rsidRPr="00832CAD" w14:paraId="6114A785" w14:textId="77777777" w:rsidTr="005C6B5B">
        <w:trPr>
          <w:trHeight w:val="1263"/>
        </w:trPr>
        <w:tc>
          <w:tcPr>
            <w:tcW w:w="543" w:type="pct"/>
            <w:vMerge/>
            <w:vAlign w:val="center"/>
            <w:hideMark/>
          </w:tcPr>
          <w:p w14:paraId="50F40E48"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vAlign w:val="center"/>
            <w:hideMark/>
          </w:tcPr>
          <w:p w14:paraId="3DD4B008"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Proporción de satisfacción global de los usuarios en las EPS</w:t>
            </w:r>
          </w:p>
        </w:tc>
        <w:tc>
          <w:tcPr>
            <w:tcW w:w="1238" w:type="pct"/>
            <w:shd w:val="clear" w:color="000000" w:fill="FFFFFF"/>
            <w:vAlign w:val="center"/>
            <w:hideMark/>
          </w:tcPr>
          <w:p w14:paraId="2371EE83"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Se calcula como el cociente entre el número de usuarios que respondieron “muy buena” o “buena” a la pregunta: ¿cómo calificaría su experiencia global respecto a los servicios de salud que ha recibido a través de su EPS?”, y el número de usuarios que respondieron la pregunta</w:t>
            </w:r>
          </w:p>
        </w:tc>
        <w:tc>
          <w:tcPr>
            <w:tcW w:w="860" w:type="pct"/>
            <w:shd w:val="clear" w:color="000000" w:fill="FFFFFF"/>
            <w:vAlign w:val="center"/>
            <w:hideMark/>
          </w:tcPr>
          <w:p w14:paraId="64D7D5A1"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p>
        </w:tc>
        <w:tc>
          <w:tcPr>
            <w:tcW w:w="702" w:type="pct"/>
            <w:shd w:val="clear" w:color="000000" w:fill="FFFFFF"/>
            <w:vAlign w:val="center"/>
            <w:hideMark/>
          </w:tcPr>
          <w:p w14:paraId="472B6A9D"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Encuesta de Evaluación de los Servicios de las EPS, Ministerio de Salud y Protección Social</w:t>
            </w:r>
          </w:p>
        </w:tc>
        <w:tc>
          <w:tcPr>
            <w:tcW w:w="548" w:type="pct"/>
            <w:shd w:val="clear" w:color="000000" w:fill="FFFFFF"/>
            <w:vAlign w:val="center"/>
            <w:hideMark/>
          </w:tcPr>
          <w:p w14:paraId="67A5DCCE" w14:textId="5634CB11" w:rsidR="00832CAD" w:rsidRPr="00832CAD" w:rsidRDefault="007D3EED" w:rsidP="00ED7A92">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del 80</w:t>
            </w:r>
            <w:r w:rsidR="00832CAD" w:rsidRPr="00832CAD">
              <w:rPr>
                <w:rFonts w:ascii="Times Roman" w:eastAsia="Times New Roman" w:hAnsi="Times Roman"/>
                <w:color w:val="000000"/>
                <w:sz w:val="20"/>
                <w:szCs w:val="20"/>
                <w:lang w:val="es-CO" w:eastAsia="es-CO"/>
              </w:rPr>
              <w:t>%</w:t>
            </w:r>
          </w:p>
        </w:tc>
      </w:tr>
      <w:tr w:rsidR="005C6B5B" w:rsidRPr="00832CAD" w14:paraId="65E7950B" w14:textId="77777777" w:rsidTr="005C6B5B">
        <w:trPr>
          <w:trHeight w:val="1337"/>
        </w:trPr>
        <w:tc>
          <w:tcPr>
            <w:tcW w:w="543" w:type="pct"/>
            <w:vMerge/>
            <w:vAlign w:val="center"/>
            <w:hideMark/>
          </w:tcPr>
          <w:p w14:paraId="706B8D9A" w14:textId="77777777" w:rsidR="00832CAD" w:rsidRPr="00832CAD" w:rsidRDefault="00832CAD" w:rsidP="00832CAD">
            <w:pPr>
              <w:rPr>
                <w:rFonts w:ascii="Times Roman" w:eastAsia="Times New Roman" w:hAnsi="Times Roman"/>
                <w:color w:val="000000"/>
                <w:sz w:val="20"/>
                <w:szCs w:val="20"/>
                <w:lang w:val="es-CO" w:eastAsia="es-CO"/>
              </w:rPr>
            </w:pPr>
          </w:p>
        </w:tc>
        <w:tc>
          <w:tcPr>
            <w:tcW w:w="1109" w:type="pct"/>
            <w:shd w:val="clear" w:color="000000" w:fill="FFFFFF"/>
            <w:vAlign w:val="center"/>
            <w:hideMark/>
          </w:tcPr>
          <w:p w14:paraId="6924498D"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Proporción de usuarios que recomendaría su EPS a familiares y amigos</w:t>
            </w:r>
          </w:p>
        </w:tc>
        <w:tc>
          <w:tcPr>
            <w:tcW w:w="1238" w:type="pct"/>
            <w:shd w:val="clear" w:color="000000" w:fill="FFFFFF"/>
            <w:vAlign w:val="center"/>
            <w:hideMark/>
          </w:tcPr>
          <w:p w14:paraId="302682C3"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Se calcula como el cociente entre el número de usuarios que respondieron “definitivamente sí” o “probablemente sí” a la pregunta:” ¿recomendaría a sus familiares y amigos afiliarse a su EPS?”, y el número de usuarios que respondieron la pregunta</w:t>
            </w:r>
          </w:p>
        </w:tc>
        <w:tc>
          <w:tcPr>
            <w:tcW w:w="860" w:type="pct"/>
            <w:shd w:val="clear" w:color="000000" w:fill="FFFFFF"/>
            <w:vAlign w:val="center"/>
            <w:hideMark/>
          </w:tcPr>
          <w:p w14:paraId="507332D4"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p>
        </w:tc>
        <w:tc>
          <w:tcPr>
            <w:tcW w:w="702" w:type="pct"/>
            <w:shd w:val="clear" w:color="000000" w:fill="FFFFFF"/>
            <w:vAlign w:val="center"/>
            <w:hideMark/>
          </w:tcPr>
          <w:p w14:paraId="6E71CD7F"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Encuesta de Evaluación de los Servicios de las EPS, Ministerio de Salud y Protección Social</w:t>
            </w:r>
          </w:p>
        </w:tc>
        <w:tc>
          <w:tcPr>
            <w:tcW w:w="548" w:type="pct"/>
            <w:shd w:val="clear" w:color="000000" w:fill="FFFFFF"/>
            <w:vAlign w:val="center"/>
            <w:hideMark/>
          </w:tcPr>
          <w:p w14:paraId="1EE58337" w14:textId="21D95C51"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w:t>
            </w:r>
            <w:r w:rsidR="007D3EED">
              <w:rPr>
                <w:rFonts w:ascii="Times Roman" w:eastAsia="Times New Roman" w:hAnsi="Times Roman"/>
                <w:color w:val="000000"/>
                <w:sz w:val="20"/>
                <w:szCs w:val="20"/>
                <w:lang w:val="es-CO" w:eastAsia="es-CO"/>
              </w:rPr>
              <w:t>Estándar del 8</w:t>
            </w:r>
            <w:r w:rsidR="00ED7A92">
              <w:rPr>
                <w:rFonts w:ascii="Times Roman" w:eastAsia="Times New Roman" w:hAnsi="Times Roman"/>
                <w:color w:val="000000"/>
                <w:sz w:val="20"/>
                <w:szCs w:val="20"/>
                <w:lang w:val="es-CO" w:eastAsia="es-CO"/>
              </w:rPr>
              <w:t>0</w:t>
            </w:r>
            <w:r w:rsidR="00ED7A92" w:rsidRPr="00832CAD">
              <w:rPr>
                <w:rFonts w:ascii="Times Roman" w:eastAsia="Times New Roman" w:hAnsi="Times Roman"/>
                <w:color w:val="000000"/>
                <w:sz w:val="20"/>
                <w:szCs w:val="20"/>
                <w:lang w:val="es-CO" w:eastAsia="es-CO"/>
              </w:rPr>
              <w:t>%</w:t>
            </w:r>
          </w:p>
        </w:tc>
      </w:tr>
      <w:tr w:rsidR="005C6B5B" w:rsidRPr="00832CAD" w14:paraId="5C101C04" w14:textId="77777777" w:rsidTr="005C6B5B">
        <w:trPr>
          <w:trHeight w:val="1219"/>
        </w:trPr>
        <w:tc>
          <w:tcPr>
            <w:tcW w:w="543" w:type="pct"/>
            <w:shd w:val="clear" w:color="000000" w:fill="FFFFFF"/>
            <w:vAlign w:val="center"/>
            <w:hideMark/>
          </w:tcPr>
          <w:p w14:paraId="004DAC74"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w:t>
            </w:r>
          </w:p>
        </w:tc>
        <w:tc>
          <w:tcPr>
            <w:tcW w:w="1109" w:type="pct"/>
            <w:shd w:val="clear" w:color="000000" w:fill="FFFFFF"/>
            <w:vAlign w:val="center"/>
            <w:hideMark/>
          </w:tcPr>
          <w:p w14:paraId="3EDD8F5E"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Proporción de usuarios que ha pensado cambiarse de EPS</w:t>
            </w:r>
          </w:p>
        </w:tc>
        <w:tc>
          <w:tcPr>
            <w:tcW w:w="1238" w:type="pct"/>
            <w:shd w:val="clear" w:color="000000" w:fill="FFFFFF"/>
            <w:vAlign w:val="center"/>
            <w:hideMark/>
          </w:tcPr>
          <w:p w14:paraId="54D1EFF3"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Se calcula como el cociente entre el número de usuarios que respondieron “sí” a la pregunta: “¿Ha pensado cambiarse a otra EPS?”,</w:t>
            </w:r>
          </w:p>
        </w:tc>
        <w:tc>
          <w:tcPr>
            <w:tcW w:w="860" w:type="pct"/>
            <w:shd w:val="clear" w:color="000000" w:fill="FFFFFF"/>
            <w:vAlign w:val="center"/>
            <w:hideMark/>
          </w:tcPr>
          <w:p w14:paraId="14EF2D99"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256 de 2016 – Sistema de Información de Calidad</w:t>
            </w:r>
          </w:p>
        </w:tc>
        <w:tc>
          <w:tcPr>
            <w:tcW w:w="702" w:type="pct"/>
            <w:shd w:val="clear" w:color="000000" w:fill="FFFFFF"/>
            <w:vAlign w:val="center"/>
            <w:hideMark/>
          </w:tcPr>
          <w:p w14:paraId="36B504C6" w14:textId="77777777" w:rsidR="00832CAD" w:rsidRPr="00832CAD" w:rsidRDefault="00832CAD"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Encuesta de Evaluación de los Servicios de las EPS, Ministerio de Salud y Protección Social</w:t>
            </w:r>
          </w:p>
        </w:tc>
        <w:tc>
          <w:tcPr>
            <w:tcW w:w="548" w:type="pct"/>
            <w:shd w:val="clear" w:color="000000" w:fill="FFFFFF"/>
            <w:vAlign w:val="center"/>
            <w:hideMark/>
          </w:tcPr>
          <w:p w14:paraId="5984F0A0" w14:textId="393D62A0" w:rsidR="00832CAD" w:rsidRPr="00832CAD" w:rsidRDefault="00ED7A92"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del 5</w:t>
            </w:r>
            <w:r w:rsidRPr="00832CAD">
              <w:rPr>
                <w:rFonts w:ascii="Times Roman" w:eastAsia="Times New Roman" w:hAnsi="Times Roman"/>
                <w:color w:val="000000"/>
                <w:sz w:val="20"/>
                <w:szCs w:val="20"/>
                <w:lang w:val="es-CO" w:eastAsia="es-CO"/>
              </w:rPr>
              <w:t>%</w:t>
            </w:r>
          </w:p>
        </w:tc>
      </w:tr>
    </w:tbl>
    <w:p w14:paraId="3B91486B" w14:textId="77777777" w:rsidR="00432C1B" w:rsidRDefault="00432C1B"/>
    <w:tbl>
      <w:tblPr>
        <w:tblW w:w="4992"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0"/>
        <w:gridCol w:w="1973"/>
        <w:gridCol w:w="2225"/>
        <w:gridCol w:w="1465"/>
        <w:gridCol w:w="1246"/>
        <w:gridCol w:w="945"/>
      </w:tblGrid>
      <w:tr w:rsidR="005C6B5B" w:rsidRPr="00832CAD" w14:paraId="122F8CED" w14:textId="77777777" w:rsidTr="001C203A">
        <w:trPr>
          <w:trHeight w:val="435"/>
        </w:trPr>
        <w:tc>
          <w:tcPr>
            <w:tcW w:w="544" w:type="pct"/>
            <w:vMerge w:val="restart"/>
            <w:shd w:val="clear" w:color="000000" w:fill="FFFFFF"/>
            <w:noWrap/>
            <w:vAlign w:val="center"/>
            <w:hideMark/>
          </w:tcPr>
          <w:p w14:paraId="710FA2E3" w14:textId="1F3BFDEC" w:rsidR="006920BC" w:rsidRPr="006920BC" w:rsidRDefault="006920BC" w:rsidP="00832CAD">
            <w:pPr>
              <w:jc w:val="center"/>
              <w:rPr>
                <w:rFonts w:ascii="Times Roman" w:eastAsia="Times New Roman" w:hAnsi="Times Roman"/>
                <w:b/>
                <w:color w:val="000000"/>
                <w:sz w:val="20"/>
                <w:szCs w:val="20"/>
                <w:u w:val="single"/>
                <w:lang w:val="es-CO" w:eastAsia="es-CO"/>
              </w:rPr>
            </w:pPr>
            <w:r w:rsidRPr="006920BC">
              <w:rPr>
                <w:rFonts w:ascii="Times Roman" w:eastAsia="Times New Roman" w:hAnsi="Times Roman"/>
                <w:b/>
                <w:color w:val="000000"/>
                <w:sz w:val="20"/>
                <w:szCs w:val="20"/>
                <w:u w:val="single"/>
                <w:lang w:val="es-CO" w:eastAsia="es-CO"/>
              </w:rPr>
              <w:t>Acceso</w:t>
            </w:r>
            <w:r>
              <w:rPr>
                <w:rFonts w:ascii="Times Roman" w:eastAsia="Times New Roman" w:hAnsi="Times Roman"/>
                <w:b/>
                <w:color w:val="000000"/>
                <w:sz w:val="20"/>
                <w:szCs w:val="20"/>
                <w:u w:val="single"/>
                <w:lang w:val="es-CO" w:eastAsia="es-CO"/>
              </w:rPr>
              <w:t xml:space="preserve"> a los servicios de salud</w:t>
            </w:r>
            <w:r w:rsidRPr="006920BC">
              <w:rPr>
                <w:rFonts w:ascii="Times Roman" w:eastAsia="Times New Roman" w:hAnsi="Times Roman"/>
                <w:b/>
                <w:color w:val="000000"/>
                <w:sz w:val="20"/>
                <w:szCs w:val="20"/>
                <w:u w:val="single"/>
                <w:lang w:val="es-CO" w:eastAsia="es-CO"/>
              </w:rPr>
              <w:t xml:space="preserve"> </w:t>
            </w:r>
          </w:p>
        </w:tc>
        <w:tc>
          <w:tcPr>
            <w:tcW w:w="1119" w:type="pct"/>
            <w:shd w:val="clear" w:color="000000" w:fill="FFFFFF"/>
            <w:vAlign w:val="center"/>
            <w:hideMark/>
          </w:tcPr>
          <w:p w14:paraId="7FE8CBB5" w14:textId="77777777" w:rsidR="006920BC" w:rsidRPr="00832CAD" w:rsidRDefault="006920BC"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xml:space="preserve">Proporción de quejas en </w:t>
            </w:r>
            <w:proofErr w:type="spellStart"/>
            <w:r w:rsidRPr="00832CAD">
              <w:rPr>
                <w:rFonts w:ascii="Times Roman" w:eastAsia="Times New Roman" w:hAnsi="Times Roman"/>
                <w:color w:val="000000"/>
                <w:sz w:val="20"/>
                <w:szCs w:val="20"/>
                <w:lang w:val="es-CO" w:eastAsia="es-CO"/>
              </w:rPr>
              <w:t>SuperSalud</w:t>
            </w:r>
            <w:proofErr w:type="spellEnd"/>
            <w:r w:rsidRPr="00832CAD">
              <w:rPr>
                <w:rFonts w:ascii="Times Roman" w:eastAsia="Times New Roman" w:hAnsi="Times Roman"/>
                <w:color w:val="000000"/>
                <w:sz w:val="20"/>
                <w:szCs w:val="20"/>
                <w:lang w:val="es-CO" w:eastAsia="es-CO"/>
              </w:rPr>
              <w:t xml:space="preserve"> resueltas antes de 15 días</w:t>
            </w:r>
          </w:p>
        </w:tc>
        <w:tc>
          <w:tcPr>
            <w:tcW w:w="1262" w:type="pct"/>
            <w:shd w:val="clear" w:color="000000" w:fill="FFFFFF"/>
            <w:vAlign w:val="center"/>
            <w:hideMark/>
          </w:tcPr>
          <w:p w14:paraId="20DBD8AA" w14:textId="0151081B" w:rsidR="006920BC" w:rsidRPr="00832CAD" w:rsidRDefault="004E05F0"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Proporción</w:t>
            </w:r>
            <w:r w:rsidR="006920BC" w:rsidRPr="00832CAD">
              <w:rPr>
                <w:rFonts w:ascii="Times Roman" w:eastAsia="Times New Roman" w:hAnsi="Times Roman"/>
                <w:color w:val="000000"/>
                <w:sz w:val="20"/>
                <w:szCs w:val="20"/>
                <w:lang w:val="es-CO" w:eastAsia="es-CO"/>
              </w:rPr>
              <w:t xml:space="preserve"> de quejas en las cuales se adoptan los correctivos requeridos antes de 15 </w:t>
            </w:r>
            <w:r w:rsidR="00216B4A" w:rsidRPr="00832CAD">
              <w:rPr>
                <w:rFonts w:ascii="Times Roman" w:eastAsia="Times New Roman" w:hAnsi="Times Roman"/>
                <w:color w:val="000000"/>
                <w:sz w:val="20"/>
                <w:szCs w:val="20"/>
                <w:lang w:val="es-CO" w:eastAsia="es-CO"/>
              </w:rPr>
              <w:t>días</w:t>
            </w:r>
            <w:r w:rsidR="006920BC" w:rsidRPr="00832CAD">
              <w:rPr>
                <w:rFonts w:ascii="Times Roman" w:eastAsia="Times New Roman" w:hAnsi="Times Roman"/>
                <w:color w:val="000000"/>
                <w:sz w:val="20"/>
                <w:szCs w:val="20"/>
                <w:lang w:val="es-CO" w:eastAsia="es-CO"/>
              </w:rPr>
              <w:t>.</w:t>
            </w:r>
          </w:p>
        </w:tc>
        <w:tc>
          <w:tcPr>
            <w:tcW w:w="831" w:type="pct"/>
            <w:shd w:val="clear" w:color="000000" w:fill="FFFFFF"/>
            <w:vAlign w:val="center"/>
            <w:hideMark/>
          </w:tcPr>
          <w:p w14:paraId="2D13B99E" w14:textId="77777777" w:rsidR="006920BC" w:rsidRPr="00832CAD" w:rsidRDefault="006920BC"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Resolución 1446 de 206 - SIC (Derogada)</w:t>
            </w:r>
          </w:p>
        </w:tc>
        <w:tc>
          <w:tcPr>
            <w:tcW w:w="707" w:type="pct"/>
            <w:shd w:val="clear" w:color="000000" w:fill="FFFFFF"/>
            <w:vAlign w:val="center"/>
            <w:hideMark/>
          </w:tcPr>
          <w:p w14:paraId="68C49D4A" w14:textId="77777777" w:rsidR="006920BC" w:rsidRPr="00832CAD" w:rsidRDefault="006920BC" w:rsidP="00832CAD">
            <w:pPr>
              <w:rPr>
                <w:rFonts w:ascii="Times Roman" w:eastAsia="Times New Roman" w:hAnsi="Times Roman"/>
                <w:color w:val="000000"/>
                <w:sz w:val="20"/>
                <w:szCs w:val="20"/>
                <w:lang w:val="es-CO" w:eastAsia="es-CO"/>
              </w:rPr>
            </w:pPr>
            <w:proofErr w:type="spellStart"/>
            <w:r w:rsidRPr="00832CAD">
              <w:rPr>
                <w:rFonts w:ascii="Times Roman" w:eastAsia="Times New Roman" w:hAnsi="Times Roman"/>
                <w:color w:val="000000"/>
                <w:sz w:val="20"/>
                <w:szCs w:val="20"/>
                <w:lang w:val="es-CO" w:eastAsia="es-CO"/>
              </w:rPr>
              <w:t>SuperSalud</w:t>
            </w:r>
            <w:proofErr w:type="spellEnd"/>
          </w:p>
        </w:tc>
        <w:tc>
          <w:tcPr>
            <w:tcW w:w="536" w:type="pct"/>
            <w:shd w:val="clear" w:color="000000" w:fill="FFFFFF"/>
            <w:vAlign w:val="center"/>
            <w:hideMark/>
          </w:tcPr>
          <w:p w14:paraId="59D3173E" w14:textId="631F67F3" w:rsidR="006920BC" w:rsidRPr="00832CAD" w:rsidRDefault="006920BC" w:rsidP="00A35D2B">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E</w:t>
            </w:r>
            <w:r w:rsidR="00A35D2B">
              <w:rPr>
                <w:rFonts w:ascii="Times Roman" w:eastAsia="Times New Roman" w:hAnsi="Times Roman"/>
                <w:color w:val="000000"/>
                <w:sz w:val="20"/>
                <w:szCs w:val="20"/>
                <w:lang w:val="es-CO" w:eastAsia="es-CO"/>
              </w:rPr>
              <w:t>stándar del 80%</w:t>
            </w:r>
          </w:p>
        </w:tc>
      </w:tr>
      <w:tr w:rsidR="005C6B5B" w:rsidRPr="00832CAD" w14:paraId="174B5036" w14:textId="77777777" w:rsidTr="001C203A">
        <w:trPr>
          <w:trHeight w:val="653"/>
        </w:trPr>
        <w:tc>
          <w:tcPr>
            <w:tcW w:w="544" w:type="pct"/>
            <w:vMerge/>
            <w:shd w:val="clear" w:color="000000" w:fill="FFFFFF"/>
            <w:vAlign w:val="center"/>
            <w:hideMark/>
          </w:tcPr>
          <w:p w14:paraId="453E2D0D" w14:textId="77777777" w:rsidR="006920BC" w:rsidRPr="00832CAD" w:rsidRDefault="006920BC" w:rsidP="00832CAD">
            <w:pPr>
              <w:rPr>
                <w:rFonts w:ascii="Times Roman" w:eastAsia="Times New Roman" w:hAnsi="Times Roman"/>
                <w:color w:val="000000"/>
                <w:sz w:val="20"/>
                <w:szCs w:val="20"/>
                <w:lang w:val="es-CO" w:eastAsia="es-CO"/>
              </w:rPr>
            </w:pPr>
          </w:p>
        </w:tc>
        <w:tc>
          <w:tcPr>
            <w:tcW w:w="1119" w:type="pct"/>
            <w:shd w:val="clear" w:color="000000" w:fill="FFFFFF"/>
            <w:noWrap/>
            <w:vAlign w:val="center"/>
            <w:hideMark/>
          </w:tcPr>
          <w:p w14:paraId="7D53141A" w14:textId="7129DA9B" w:rsidR="006920BC" w:rsidRPr="00832CAD" w:rsidRDefault="006920BC" w:rsidP="00842DCF">
            <w:pPr>
              <w:jc w:val="both"/>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xml:space="preserve">Número de </w:t>
            </w:r>
            <w:r w:rsidR="00842DCF">
              <w:rPr>
                <w:rFonts w:ascii="Times Roman" w:eastAsia="Times New Roman" w:hAnsi="Times Roman"/>
                <w:color w:val="000000"/>
                <w:sz w:val="20"/>
                <w:szCs w:val="20"/>
                <w:lang w:val="es-CO" w:eastAsia="es-CO"/>
              </w:rPr>
              <w:t xml:space="preserve">quejas ante </w:t>
            </w:r>
            <w:proofErr w:type="spellStart"/>
            <w:r w:rsidR="00842DCF">
              <w:rPr>
                <w:rFonts w:ascii="Times Roman" w:eastAsia="Times New Roman" w:hAnsi="Times Roman"/>
                <w:color w:val="000000"/>
                <w:sz w:val="20"/>
                <w:szCs w:val="20"/>
                <w:lang w:val="es-CO" w:eastAsia="es-CO"/>
              </w:rPr>
              <w:t>SuperSalud</w:t>
            </w:r>
            <w:proofErr w:type="spellEnd"/>
            <w:r w:rsidR="00842DCF">
              <w:rPr>
                <w:rFonts w:ascii="Times Roman" w:eastAsia="Times New Roman" w:hAnsi="Times Roman"/>
                <w:color w:val="000000"/>
                <w:sz w:val="20"/>
                <w:szCs w:val="20"/>
                <w:lang w:val="es-CO" w:eastAsia="es-CO"/>
              </w:rPr>
              <w:t xml:space="preserve"> </w:t>
            </w:r>
            <w:r w:rsidRPr="00832CAD">
              <w:rPr>
                <w:rFonts w:ascii="Times Roman" w:eastAsia="Times New Roman" w:hAnsi="Times Roman"/>
                <w:color w:val="000000"/>
                <w:sz w:val="20"/>
                <w:szCs w:val="20"/>
                <w:lang w:val="es-CO" w:eastAsia="es-CO"/>
              </w:rPr>
              <w:t xml:space="preserve">falladas en contra de la EAPB por la no prestación de servicios del Plan de Beneficios en Salud; las EAPB deben </w:t>
            </w:r>
            <w:r w:rsidRPr="00832CAD">
              <w:rPr>
                <w:rFonts w:ascii="Times Roman" w:eastAsia="Times New Roman" w:hAnsi="Times Roman"/>
                <w:color w:val="000000"/>
                <w:sz w:val="20"/>
                <w:szCs w:val="20"/>
                <w:lang w:val="es-CO" w:eastAsia="es-CO"/>
              </w:rPr>
              <w:lastRenderedPageBreak/>
              <w:t>garantizar que este in</w:t>
            </w:r>
            <w:r w:rsidR="0047785F">
              <w:rPr>
                <w:rFonts w:ascii="Times Roman" w:eastAsia="Times New Roman" w:hAnsi="Times Roman"/>
                <w:color w:val="000000"/>
                <w:sz w:val="20"/>
                <w:szCs w:val="20"/>
                <w:lang w:val="es-CO" w:eastAsia="es-CO"/>
              </w:rPr>
              <w:t>dicador no sea superior a quince</w:t>
            </w:r>
            <w:r w:rsidR="00842DCF">
              <w:rPr>
                <w:rFonts w:ascii="Times Roman" w:eastAsia="Times New Roman" w:hAnsi="Times Roman"/>
                <w:color w:val="000000"/>
                <w:sz w:val="20"/>
                <w:szCs w:val="20"/>
                <w:lang w:val="es-CO" w:eastAsia="es-CO"/>
              </w:rPr>
              <w:t xml:space="preserve"> (</w:t>
            </w:r>
            <w:r w:rsidR="0047785F">
              <w:rPr>
                <w:rFonts w:ascii="Times Roman" w:eastAsia="Times New Roman" w:hAnsi="Times Roman"/>
                <w:color w:val="000000"/>
                <w:sz w:val="20"/>
                <w:szCs w:val="20"/>
                <w:lang w:val="es-CO" w:eastAsia="es-CO"/>
              </w:rPr>
              <w:t>1</w:t>
            </w:r>
            <w:r w:rsidR="00842DCF">
              <w:rPr>
                <w:rFonts w:ascii="Times Roman" w:eastAsia="Times New Roman" w:hAnsi="Times Roman"/>
                <w:color w:val="000000"/>
                <w:sz w:val="20"/>
                <w:szCs w:val="20"/>
                <w:lang w:val="es-CO" w:eastAsia="es-CO"/>
              </w:rPr>
              <w:t>5</w:t>
            </w:r>
            <w:r w:rsidRPr="00832CAD">
              <w:rPr>
                <w:rFonts w:ascii="Times Roman" w:eastAsia="Times New Roman" w:hAnsi="Times Roman"/>
                <w:color w:val="000000"/>
                <w:sz w:val="20"/>
                <w:szCs w:val="20"/>
                <w:lang w:val="es-CO" w:eastAsia="es-CO"/>
              </w:rPr>
              <w:t>) por cada 10.000 afiliados en cada año.</w:t>
            </w:r>
          </w:p>
        </w:tc>
        <w:tc>
          <w:tcPr>
            <w:tcW w:w="1262" w:type="pct"/>
            <w:shd w:val="clear" w:color="000000" w:fill="FFFFFF"/>
            <w:vAlign w:val="center"/>
            <w:hideMark/>
          </w:tcPr>
          <w:p w14:paraId="19123BC1" w14:textId="349F27A6" w:rsidR="00E82E4E" w:rsidRDefault="00952D0B"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lastRenderedPageBreak/>
              <w:t>Núm</w:t>
            </w:r>
            <w:r w:rsidR="00842DCF">
              <w:rPr>
                <w:rFonts w:ascii="Times Roman" w:eastAsia="Times New Roman" w:hAnsi="Times Roman"/>
                <w:color w:val="000000"/>
                <w:sz w:val="20"/>
                <w:szCs w:val="20"/>
                <w:lang w:val="es-CO" w:eastAsia="es-CO"/>
              </w:rPr>
              <w:t>ero de quejas</w:t>
            </w:r>
            <w:r>
              <w:rPr>
                <w:rFonts w:ascii="Times Roman" w:eastAsia="Times New Roman" w:hAnsi="Times Roman"/>
                <w:color w:val="000000"/>
                <w:sz w:val="20"/>
                <w:szCs w:val="20"/>
                <w:lang w:val="es-CO" w:eastAsia="es-CO"/>
              </w:rPr>
              <w:t xml:space="preserve"> falladas en contra de la EAPB</w:t>
            </w:r>
            <w:r w:rsidR="006920BC" w:rsidRPr="00832CAD">
              <w:rPr>
                <w:rFonts w:ascii="Times Roman" w:eastAsia="Times New Roman" w:hAnsi="Times Roman"/>
                <w:color w:val="000000"/>
                <w:sz w:val="20"/>
                <w:szCs w:val="20"/>
                <w:lang w:val="es-CO" w:eastAsia="es-CO"/>
              </w:rPr>
              <w:t xml:space="preserve"> por no prestación de servicios</w:t>
            </w:r>
            <w:r w:rsidR="00E82E4E">
              <w:rPr>
                <w:rFonts w:ascii="Times Roman" w:eastAsia="Times New Roman" w:hAnsi="Times Roman"/>
                <w:color w:val="000000"/>
                <w:sz w:val="20"/>
                <w:szCs w:val="20"/>
                <w:lang w:val="es-CO" w:eastAsia="es-CO"/>
              </w:rPr>
              <w:t xml:space="preserve">. </w:t>
            </w:r>
          </w:p>
          <w:p w14:paraId="4B7721CE" w14:textId="77777777" w:rsidR="006920BC" w:rsidRDefault="00E82E4E"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Formula: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m:t>
              </m:r>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×10.000</m:t>
              </m:r>
            </m:oMath>
            <w:r>
              <w:rPr>
                <w:rFonts w:ascii="Times Roman" w:eastAsia="Times New Roman" w:hAnsi="Times Roman"/>
                <w:color w:val="000000"/>
                <w:sz w:val="20"/>
                <w:szCs w:val="20"/>
                <w:lang w:val="es-CO" w:eastAsia="es-CO"/>
              </w:rPr>
              <w:t xml:space="preserve">; </w:t>
            </w:r>
          </w:p>
          <w:p w14:paraId="7737151D" w14:textId="6C28A5C9" w:rsidR="00E82E4E" w:rsidRPr="00832CAD" w:rsidRDefault="00E82E4E"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lastRenderedPageBreak/>
              <w:t xml:space="preserve">Siendo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el nú</w:t>
            </w:r>
            <w:r w:rsidR="00842DCF">
              <w:rPr>
                <w:rFonts w:ascii="Times Roman" w:eastAsia="Times New Roman" w:hAnsi="Times Roman"/>
                <w:color w:val="000000"/>
                <w:sz w:val="20"/>
                <w:szCs w:val="20"/>
                <w:lang w:val="es-CO" w:eastAsia="es-CO"/>
              </w:rPr>
              <w:t>mero de quejas</w:t>
            </w:r>
            <w:r w:rsidR="004E0697">
              <w:rPr>
                <w:rFonts w:ascii="Times Roman" w:eastAsia="Times New Roman" w:hAnsi="Times Roman"/>
                <w:color w:val="000000"/>
                <w:sz w:val="20"/>
                <w:szCs w:val="20"/>
                <w:lang w:val="es-CO" w:eastAsia="es-CO"/>
              </w:rPr>
              <w:t xml:space="preserve"> falladas en contra de la EAPB</w:t>
            </w:r>
            <w:r>
              <w:rPr>
                <w:rFonts w:ascii="Times Roman" w:eastAsia="Times New Roman" w:hAnsi="Times Roman"/>
                <w:color w:val="000000"/>
                <w:sz w:val="20"/>
                <w:szCs w:val="20"/>
                <w:lang w:val="es-CO" w:eastAsia="es-CO"/>
              </w:rPr>
              <w:t xml:space="preserve"> y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oMath>
            <w:r w:rsidR="004E0697">
              <w:rPr>
                <w:rFonts w:ascii="Times Roman" w:eastAsia="Times New Roman" w:hAnsi="Times Roman"/>
                <w:color w:val="000000"/>
                <w:sz w:val="20"/>
                <w:szCs w:val="20"/>
                <w:lang w:val="es-CO" w:eastAsia="es-CO"/>
              </w:rPr>
              <w:t xml:space="preserve"> nú</w:t>
            </w:r>
            <w:r w:rsidR="00506427">
              <w:rPr>
                <w:rFonts w:ascii="Times Roman" w:eastAsia="Times New Roman" w:hAnsi="Times Roman"/>
                <w:color w:val="000000"/>
                <w:sz w:val="20"/>
                <w:szCs w:val="20"/>
                <w:lang w:val="es-CO" w:eastAsia="es-CO"/>
              </w:rPr>
              <w:t>mero total de usuarios</w:t>
            </w:r>
            <w:r w:rsidR="005F08BE">
              <w:rPr>
                <w:rFonts w:ascii="Times Roman" w:eastAsia="Times New Roman" w:hAnsi="Times Roman"/>
                <w:color w:val="000000"/>
                <w:sz w:val="20"/>
                <w:szCs w:val="20"/>
                <w:lang w:val="es-CO" w:eastAsia="es-CO"/>
              </w:rPr>
              <w:t>. Lectura del indicador:  Má</w:t>
            </w:r>
            <w:r w:rsidR="00842DCF">
              <w:rPr>
                <w:rFonts w:ascii="Times Roman" w:eastAsia="Times New Roman" w:hAnsi="Times Roman"/>
                <w:color w:val="000000"/>
                <w:sz w:val="20"/>
                <w:szCs w:val="20"/>
                <w:lang w:val="es-CO" w:eastAsia="es-CO"/>
              </w:rPr>
              <w:t>ximo 5</w:t>
            </w:r>
            <w:r w:rsidR="005F08BE">
              <w:rPr>
                <w:rFonts w:ascii="Times Roman" w:eastAsia="Times New Roman" w:hAnsi="Times Roman"/>
                <w:color w:val="000000"/>
                <w:sz w:val="20"/>
                <w:szCs w:val="20"/>
                <w:lang w:val="es-CO" w:eastAsia="es-CO"/>
              </w:rPr>
              <w:t xml:space="preserve"> </w:t>
            </w:r>
            <w:r w:rsidR="00842DCF">
              <w:rPr>
                <w:rFonts w:ascii="Times Roman" w:eastAsia="Times New Roman" w:hAnsi="Times Roman"/>
                <w:color w:val="000000"/>
                <w:sz w:val="20"/>
                <w:szCs w:val="20"/>
                <w:lang w:val="es-CO" w:eastAsia="es-CO"/>
              </w:rPr>
              <w:t>queja</w:t>
            </w:r>
            <w:r w:rsidR="0022052A">
              <w:rPr>
                <w:rFonts w:ascii="Times Roman" w:eastAsia="Times New Roman" w:hAnsi="Times Roman"/>
                <w:color w:val="000000"/>
                <w:sz w:val="20"/>
                <w:szCs w:val="20"/>
                <w:lang w:val="es-CO" w:eastAsia="es-CO"/>
              </w:rPr>
              <w:t>s</w:t>
            </w:r>
            <w:r w:rsidR="004172B9">
              <w:rPr>
                <w:rFonts w:ascii="Times Roman" w:eastAsia="Times New Roman" w:hAnsi="Times Roman"/>
                <w:color w:val="000000"/>
                <w:sz w:val="20"/>
                <w:szCs w:val="20"/>
                <w:lang w:val="es-CO" w:eastAsia="es-CO"/>
              </w:rPr>
              <w:t xml:space="preserve"> falladas</w:t>
            </w:r>
            <w:r w:rsidR="00506427">
              <w:rPr>
                <w:rFonts w:ascii="Times Roman" w:eastAsia="Times New Roman" w:hAnsi="Times Roman"/>
                <w:color w:val="000000"/>
                <w:sz w:val="20"/>
                <w:szCs w:val="20"/>
                <w:lang w:val="es-CO" w:eastAsia="es-CO"/>
              </w:rPr>
              <w:t xml:space="preserve"> </w:t>
            </w:r>
            <w:r w:rsidR="005F08BE">
              <w:rPr>
                <w:rFonts w:ascii="Times Roman" w:eastAsia="Times New Roman" w:hAnsi="Times Roman"/>
                <w:color w:val="000000"/>
                <w:sz w:val="20"/>
                <w:szCs w:val="20"/>
                <w:lang w:val="es-CO" w:eastAsia="es-CO"/>
              </w:rPr>
              <w:t>por cada 10 mil</w:t>
            </w:r>
            <w:r w:rsidR="00995BC7">
              <w:rPr>
                <w:rFonts w:ascii="Times Roman" w:eastAsia="Times New Roman" w:hAnsi="Times Roman"/>
                <w:color w:val="000000"/>
                <w:sz w:val="20"/>
                <w:szCs w:val="20"/>
                <w:lang w:val="es-CO" w:eastAsia="es-CO"/>
              </w:rPr>
              <w:t xml:space="preserve"> usuarios</w:t>
            </w:r>
            <w:r w:rsidR="005F08BE">
              <w:rPr>
                <w:rFonts w:ascii="Times Roman" w:eastAsia="Times New Roman" w:hAnsi="Times Roman"/>
                <w:color w:val="000000"/>
                <w:sz w:val="20"/>
                <w:szCs w:val="20"/>
                <w:lang w:val="es-CO" w:eastAsia="es-CO"/>
              </w:rPr>
              <w:t xml:space="preserve">. </w:t>
            </w:r>
            <w:r>
              <w:rPr>
                <w:rFonts w:ascii="Times Roman" w:eastAsia="Times New Roman" w:hAnsi="Times Roman"/>
                <w:color w:val="000000"/>
                <w:sz w:val="20"/>
                <w:szCs w:val="20"/>
                <w:lang w:val="es-CO" w:eastAsia="es-CO"/>
              </w:rPr>
              <w:t xml:space="preserve"> </w:t>
            </w:r>
          </w:p>
        </w:tc>
        <w:tc>
          <w:tcPr>
            <w:tcW w:w="831" w:type="pct"/>
            <w:shd w:val="clear" w:color="000000" w:fill="FFFFFF"/>
            <w:vAlign w:val="center"/>
            <w:hideMark/>
          </w:tcPr>
          <w:p w14:paraId="1731FA7D" w14:textId="77777777" w:rsidR="006920BC" w:rsidRPr="00832CAD" w:rsidRDefault="006920BC"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lastRenderedPageBreak/>
              <w:t>Orden 20 - Sentencia T670 de 2008 y Auto 260 de 2012 y Resolución 1446 de 206 - SIC (Derogada)</w:t>
            </w:r>
          </w:p>
        </w:tc>
        <w:tc>
          <w:tcPr>
            <w:tcW w:w="707" w:type="pct"/>
            <w:shd w:val="clear" w:color="000000" w:fill="FFFFFF"/>
            <w:vAlign w:val="center"/>
            <w:hideMark/>
          </w:tcPr>
          <w:p w14:paraId="7363581C" w14:textId="77777777" w:rsidR="006920BC" w:rsidRPr="00832CAD" w:rsidRDefault="006920BC" w:rsidP="00832CAD">
            <w:pPr>
              <w:rPr>
                <w:rFonts w:ascii="Times Roman" w:eastAsia="Times New Roman" w:hAnsi="Times Roman"/>
                <w:color w:val="000000"/>
                <w:sz w:val="20"/>
                <w:szCs w:val="20"/>
                <w:lang w:val="es-CO" w:eastAsia="es-CO"/>
              </w:rPr>
            </w:pPr>
            <w:proofErr w:type="spellStart"/>
            <w:r w:rsidRPr="00832CAD">
              <w:rPr>
                <w:rFonts w:ascii="Times Roman" w:eastAsia="Times New Roman" w:hAnsi="Times Roman"/>
                <w:color w:val="000000"/>
                <w:sz w:val="20"/>
                <w:szCs w:val="20"/>
                <w:lang w:val="es-CO" w:eastAsia="es-CO"/>
              </w:rPr>
              <w:t>SuperSalud</w:t>
            </w:r>
            <w:proofErr w:type="spellEnd"/>
          </w:p>
        </w:tc>
        <w:tc>
          <w:tcPr>
            <w:tcW w:w="536" w:type="pct"/>
            <w:shd w:val="clear" w:color="000000" w:fill="FFFFFF"/>
            <w:vAlign w:val="center"/>
            <w:hideMark/>
          </w:tcPr>
          <w:p w14:paraId="45382E0C" w14:textId="6DB4525C" w:rsidR="006920BC" w:rsidRPr="00832CAD" w:rsidRDefault="00842DCF" w:rsidP="00135B12">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Estándar </w:t>
            </w:r>
            <w:r w:rsidR="0047785F">
              <w:rPr>
                <w:rFonts w:ascii="Times Roman" w:eastAsia="Times New Roman" w:hAnsi="Times Roman"/>
                <w:color w:val="000000"/>
                <w:sz w:val="20"/>
                <w:szCs w:val="20"/>
                <w:lang w:val="es-CO" w:eastAsia="es-CO"/>
              </w:rPr>
              <w:t>1</w:t>
            </w:r>
            <w:r>
              <w:rPr>
                <w:rFonts w:ascii="Times Roman" w:eastAsia="Times New Roman" w:hAnsi="Times Roman"/>
                <w:color w:val="000000"/>
                <w:sz w:val="20"/>
                <w:szCs w:val="20"/>
                <w:lang w:val="es-CO" w:eastAsia="es-CO"/>
              </w:rPr>
              <w:t>5</w:t>
            </w:r>
            <w:r w:rsidR="006920BC" w:rsidRPr="00832CAD">
              <w:rPr>
                <w:rFonts w:ascii="Times Roman" w:eastAsia="Times New Roman" w:hAnsi="Times Roman"/>
                <w:color w:val="000000"/>
                <w:sz w:val="20"/>
                <w:szCs w:val="20"/>
                <w:lang w:val="es-CO" w:eastAsia="es-CO"/>
              </w:rPr>
              <w:t xml:space="preserve"> </w:t>
            </w:r>
            <w:r w:rsidR="00135B12">
              <w:rPr>
                <w:rFonts w:ascii="Times Roman" w:eastAsia="Times New Roman" w:hAnsi="Times Roman"/>
                <w:color w:val="000000"/>
                <w:sz w:val="20"/>
                <w:szCs w:val="20"/>
                <w:lang w:val="es-CO" w:eastAsia="es-CO"/>
              </w:rPr>
              <w:t>por cada 10 mil afiliados</w:t>
            </w:r>
          </w:p>
        </w:tc>
      </w:tr>
      <w:tr w:rsidR="005C6B5B" w:rsidRPr="00832CAD" w14:paraId="4D8CD0C8" w14:textId="77777777" w:rsidTr="001C203A">
        <w:trPr>
          <w:trHeight w:val="1394"/>
        </w:trPr>
        <w:tc>
          <w:tcPr>
            <w:tcW w:w="544" w:type="pct"/>
            <w:vMerge/>
            <w:shd w:val="clear" w:color="000000" w:fill="FFFFFF"/>
            <w:vAlign w:val="center"/>
            <w:hideMark/>
          </w:tcPr>
          <w:p w14:paraId="3F50F6E4" w14:textId="3458CB08" w:rsidR="006920BC" w:rsidRPr="00832CAD" w:rsidRDefault="006920BC" w:rsidP="00832CAD">
            <w:pPr>
              <w:rPr>
                <w:rFonts w:ascii="Times Roman" w:eastAsia="Times New Roman" w:hAnsi="Times Roman"/>
                <w:color w:val="000000"/>
                <w:sz w:val="20"/>
                <w:szCs w:val="20"/>
                <w:lang w:val="es-CO" w:eastAsia="es-CO"/>
              </w:rPr>
            </w:pPr>
          </w:p>
        </w:tc>
        <w:tc>
          <w:tcPr>
            <w:tcW w:w="1119" w:type="pct"/>
            <w:shd w:val="clear" w:color="000000" w:fill="FFFFFF"/>
            <w:noWrap/>
            <w:vAlign w:val="center"/>
            <w:hideMark/>
          </w:tcPr>
          <w:p w14:paraId="201C696A" w14:textId="169E4FB5" w:rsidR="006920BC" w:rsidRPr="00832CAD" w:rsidRDefault="008A0D1C" w:rsidP="006725AF">
            <w:pPr>
              <w:jc w:val="both"/>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Número de </w:t>
            </w:r>
            <w:r w:rsidR="006725AF">
              <w:rPr>
                <w:rFonts w:ascii="Times Roman" w:eastAsia="Times New Roman" w:hAnsi="Times Roman"/>
                <w:color w:val="000000"/>
                <w:sz w:val="20"/>
                <w:szCs w:val="20"/>
                <w:lang w:val="es-CO" w:eastAsia="es-CO"/>
              </w:rPr>
              <w:t>tutelas</w:t>
            </w:r>
            <w:r w:rsidR="006920BC" w:rsidRPr="00832CAD">
              <w:rPr>
                <w:rFonts w:ascii="Times Roman" w:eastAsia="Times New Roman" w:hAnsi="Times Roman"/>
                <w:color w:val="000000"/>
                <w:sz w:val="20"/>
                <w:szCs w:val="20"/>
                <w:lang w:val="es-CO" w:eastAsia="es-CO"/>
              </w:rPr>
              <w:t xml:space="preserve"> falladas en contra de la EAPB por no prestación de servicios del Plan de Beneficios en Salud; las EAPB deben garantizar que este</w:t>
            </w:r>
            <w:r w:rsidR="0047785F">
              <w:rPr>
                <w:rFonts w:ascii="Times Roman" w:eastAsia="Times New Roman" w:hAnsi="Times Roman"/>
                <w:color w:val="000000"/>
                <w:sz w:val="20"/>
                <w:szCs w:val="20"/>
                <w:lang w:val="es-CO" w:eastAsia="es-CO"/>
              </w:rPr>
              <w:t xml:space="preserve"> indicador no sea superior a quince</w:t>
            </w:r>
            <w:r w:rsidR="006920BC" w:rsidRPr="00832CAD">
              <w:rPr>
                <w:rFonts w:ascii="Times Roman" w:eastAsia="Times New Roman" w:hAnsi="Times Roman"/>
                <w:color w:val="000000"/>
                <w:sz w:val="20"/>
                <w:szCs w:val="20"/>
                <w:lang w:val="es-CO" w:eastAsia="es-CO"/>
              </w:rPr>
              <w:t xml:space="preserve"> (1</w:t>
            </w:r>
            <w:r w:rsidR="0047785F">
              <w:rPr>
                <w:rFonts w:ascii="Times Roman" w:eastAsia="Times New Roman" w:hAnsi="Times Roman"/>
                <w:color w:val="000000"/>
                <w:sz w:val="20"/>
                <w:szCs w:val="20"/>
                <w:lang w:val="es-CO" w:eastAsia="es-CO"/>
              </w:rPr>
              <w:t>5</w:t>
            </w:r>
            <w:r w:rsidR="006920BC" w:rsidRPr="00832CAD">
              <w:rPr>
                <w:rFonts w:ascii="Times Roman" w:eastAsia="Times New Roman" w:hAnsi="Times Roman"/>
                <w:color w:val="000000"/>
                <w:sz w:val="20"/>
                <w:szCs w:val="20"/>
                <w:lang w:val="es-CO" w:eastAsia="es-CO"/>
              </w:rPr>
              <w:t>) por cada 10.000 afiliados en cada año.</w:t>
            </w:r>
          </w:p>
        </w:tc>
        <w:tc>
          <w:tcPr>
            <w:tcW w:w="1262" w:type="pct"/>
            <w:shd w:val="clear" w:color="000000" w:fill="FFFFFF"/>
            <w:vAlign w:val="center"/>
            <w:hideMark/>
          </w:tcPr>
          <w:p w14:paraId="555AF300" w14:textId="36154B2A" w:rsidR="00EF7A2C" w:rsidRDefault="006920BC" w:rsidP="00EF7A2C">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N</w:t>
            </w:r>
            <w:r w:rsidR="006725AF">
              <w:rPr>
                <w:rFonts w:ascii="Times Roman" w:eastAsia="Times New Roman" w:hAnsi="Times Roman"/>
                <w:color w:val="000000"/>
                <w:sz w:val="20"/>
                <w:szCs w:val="20"/>
                <w:lang w:val="es-CO" w:eastAsia="es-CO"/>
              </w:rPr>
              <w:t xml:space="preserve">úmero de tutelas </w:t>
            </w:r>
            <w:r w:rsidRPr="00832CAD">
              <w:rPr>
                <w:rFonts w:ascii="Times Roman" w:eastAsia="Times New Roman" w:hAnsi="Times Roman"/>
                <w:color w:val="000000"/>
                <w:sz w:val="20"/>
                <w:szCs w:val="20"/>
                <w:lang w:val="es-CO" w:eastAsia="es-CO"/>
              </w:rPr>
              <w:t xml:space="preserve">falladas </w:t>
            </w:r>
            <w:r w:rsidR="00EF0734">
              <w:rPr>
                <w:rFonts w:ascii="Times Roman" w:eastAsia="Times New Roman" w:hAnsi="Times Roman"/>
                <w:color w:val="000000"/>
                <w:sz w:val="20"/>
                <w:szCs w:val="20"/>
                <w:lang w:val="es-CO" w:eastAsia="es-CO"/>
              </w:rPr>
              <w:t>en contra de la EAPB.</w:t>
            </w:r>
            <w:r w:rsidR="00EF7A2C">
              <w:rPr>
                <w:rFonts w:ascii="Times Roman" w:eastAsia="Times New Roman" w:hAnsi="Times Roman"/>
                <w:color w:val="000000"/>
                <w:sz w:val="20"/>
                <w:szCs w:val="20"/>
                <w:lang w:val="es-CO" w:eastAsia="es-CO"/>
              </w:rPr>
              <w:t xml:space="preserve"> Formula: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m:t>
              </m:r>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×10.000</m:t>
              </m:r>
            </m:oMath>
            <w:r w:rsidR="00EF7A2C">
              <w:rPr>
                <w:rFonts w:ascii="Times Roman" w:eastAsia="Times New Roman" w:hAnsi="Times Roman"/>
                <w:color w:val="000000"/>
                <w:sz w:val="20"/>
                <w:szCs w:val="20"/>
                <w:lang w:val="es-CO" w:eastAsia="es-CO"/>
              </w:rPr>
              <w:t xml:space="preserve">; </w:t>
            </w:r>
          </w:p>
          <w:p w14:paraId="7D04C026" w14:textId="67078D1B" w:rsidR="006920BC" w:rsidRPr="00832CAD" w:rsidRDefault="00EF7A2C" w:rsidP="00EF7A2C">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Siendo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el nú</w:t>
            </w:r>
            <w:r w:rsidR="006725AF">
              <w:rPr>
                <w:rFonts w:ascii="Times Roman" w:eastAsia="Times New Roman" w:hAnsi="Times Roman"/>
                <w:color w:val="000000"/>
                <w:sz w:val="20"/>
                <w:szCs w:val="20"/>
                <w:lang w:val="es-CO" w:eastAsia="es-CO"/>
              </w:rPr>
              <w:t>mero de tutelas</w:t>
            </w:r>
            <w:r>
              <w:rPr>
                <w:rFonts w:ascii="Times Roman" w:eastAsia="Times New Roman" w:hAnsi="Times Roman"/>
                <w:color w:val="000000"/>
                <w:sz w:val="20"/>
                <w:szCs w:val="20"/>
                <w:lang w:val="es-CO" w:eastAsia="es-CO"/>
              </w:rPr>
              <w:t xml:space="preserve"> falladas en contra de la EAPB y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número total de </w:t>
            </w:r>
            <w:r w:rsidR="008A3AF9">
              <w:rPr>
                <w:rFonts w:ascii="Times Roman" w:eastAsia="Times New Roman" w:hAnsi="Times Roman"/>
                <w:color w:val="000000"/>
                <w:sz w:val="20"/>
                <w:szCs w:val="20"/>
                <w:lang w:val="es-CO" w:eastAsia="es-CO"/>
              </w:rPr>
              <w:t>usuarios</w:t>
            </w:r>
            <w:r>
              <w:rPr>
                <w:rFonts w:ascii="Times Roman" w:eastAsia="Times New Roman" w:hAnsi="Times Roman"/>
                <w:color w:val="000000"/>
                <w:sz w:val="20"/>
                <w:szCs w:val="20"/>
                <w:lang w:val="es-CO" w:eastAsia="es-CO"/>
              </w:rPr>
              <w:t>.</w:t>
            </w:r>
          </w:p>
        </w:tc>
        <w:tc>
          <w:tcPr>
            <w:tcW w:w="831" w:type="pct"/>
            <w:shd w:val="clear" w:color="000000" w:fill="FFFFFF"/>
            <w:vAlign w:val="center"/>
            <w:hideMark/>
          </w:tcPr>
          <w:p w14:paraId="3A4C7E4C" w14:textId="7A9B298B" w:rsidR="006920BC" w:rsidRPr="00832CAD" w:rsidRDefault="006920BC"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Orden 20 - Sentencia T670 de 2008 y Auto 260 de 201</w:t>
            </w:r>
            <w:r w:rsidR="001F7FEA">
              <w:rPr>
                <w:rFonts w:ascii="Times Roman" w:eastAsia="Times New Roman" w:hAnsi="Times Roman"/>
                <w:color w:val="000000"/>
                <w:sz w:val="20"/>
                <w:szCs w:val="20"/>
                <w:lang w:val="es-CO" w:eastAsia="es-CO"/>
              </w:rPr>
              <w:t>2</w:t>
            </w:r>
          </w:p>
        </w:tc>
        <w:tc>
          <w:tcPr>
            <w:tcW w:w="707" w:type="pct"/>
            <w:shd w:val="clear" w:color="000000" w:fill="FFFFFF"/>
            <w:vAlign w:val="center"/>
            <w:hideMark/>
          </w:tcPr>
          <w:p w14:paraId="2395F344" w14:textId="77777777" w:rsidR="006920BC" w:rsidRPr="00832CAD" w:rsidRDefault="006920BC" w:rsidP="00832CAD">
            <w:pPr>
              <w:rPr>
                <w:rFonts w:ascii="Times Roman" w:eastAsia="Times New Roman" w:hAnsi="Times Roman"/>
                <w:color w:val="000000"/>
                <w:sz w:val="20"/>
                <w:szCs w:val="20"/>
                <w:lang w:val="es-CO" w:eastAsia="es-CO"/>
              </w:rPr>
            </w:pPr>
            <w:proofErr w:type="spellStart"/>
            <w:r w:rsidRPr="00832CAD">
              <w:rPr>
                <w:rFonts w:ascii="Times Roman" w:eastAsia="Times New Roman" w:hAnsi="Times Roman"/>
                <w:color w:val="000000"/>
                <w:sz w:val="20"/>
                <w:szCs w:val="20"/>
                <w:lang w:val="es-CO" w:eastAsia="es-CO"/>
              </w:rPr>
              <w:t>SuperSalud</w:t>
            </w:r>
            <w:proofErr w:type="spellEnd"/>
          </w:p>
        </w:tc>
        <w:tc>
          <w:tcPr>
            <w:tcW w:w="536" w:type="pct"/>
            <w:shd w:val="clear" w:color="000000" w:fill="FFFFFF"/>
            <w:vAlign w:val="center"/>
            <w:hideMark/>
          </w:tcPr>
          <w:p w14:paraId="4AA24062" w14:textId="5264A0C1" w:rsidR="006920BC" w:rsidRPr="00832CAD" w:rsidRDefault="006920BC"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w:t>
            </w:r>
            <w:r w:rsidR="0034076D">
              <w:rPr>
                <w:rFonts w:ascii="Times Roman" w:eastAsia="Times New Roman" w:hAnsi="Times Roman"/>
                <w:color w:val="000000"/>
                <w:sz w:val="20"/>
                <w:szCs w:val="20"/>
                <w:lang w:val="es-CO" w:eastAsia="es-CO"/>
              </w:rPr>
              <w:t>Estándar 1</w:t>
            </w:r>
            <w:r w:rsidR="0047785F">
              <w:rPr>
                <w:rFonts w:ascii="Times Roman" w:eastAsia="Times New Roman" w:hAnsi="Times Roman"/>
                <w:color w:val="000000"/>
                <w:sz w:val="20"/>
                <w:szCs w:val="20"/>
                <w:lang w:val="es-CO" w:eastAsia="es-CO"/>
              </w:rPr>
              <w:t>5</w:t>
            </w:r>
            <w:r w:rsidR="0034076D">
              <w:rPr>
                <w:rFonts w:ascii="Times Roman" w:eastAsia="Times New Roman" w:hAnsi="Times Roman"/>
                <w:color w:val="000000"/>
                <w:sz w:val="20"/>
                <w:szCs w:val="20"/>
                <w:lang w:val="es-CO" w:eastAsia="es-CO"/>
              </w:rPr>
              <w:t xml:space="preserve"> por cada10 mil afiliados</w:t>
            </w:r>
          </w:p>
        </w:tc>
      </w:tr>
      <w:tr w:rsidR="005C6B5B" w:rsidRPr="00832CAD" w14:paraId="246D2F08" w14:textId="77777777" w:rsidTr="001C203A">
        <w:trPr>
          <w:trHeight w:val="1468"/>
        </w:trPr>
        <w:tc>
          <w:tcPr>
            <w:tcW w:w="544" w:type="pct"/>
            <w:vMerge/>
            <w:shd w:val="clear" w:color="000000" w:fill="FFFFFF"/>
            <w:vAlign w:val="center"/>
            <w:hideMark/>
          </w:tcPr>
          <w:p w14:paraId="2E32790D" w14:textId="77777777" w:rsidR="006920BC" w:rsidRPr="00832CAD" w:rsidRDefault="006920BC" w:rsidP="00832CAD">
            <w:pPr>
              <w:rPr>
                <w:rFonts w:ascii="Times Roman" w:eastAsia="Times New Roman" w:hAnsi="Times Roman"/>
                <w:color w:val="000000"/>
                <w:sz w:val="20"/>
                <w:szCs w:val="20"/>
                <w:lang w:val="es-CO" w:eastAsia="es-CO"/>
              </w:rPr>
            </w:pPr>
          </w:p>
        </w:tc>
        <w:tc>
          <w:tcPr>
            <w:tcW w:w="1119" w:type="pct"/>
            <w:shd w:val="clear" w:color="000000" w:fill="FFFFFF"/>
            <w:noWrap/>
            <w:vAlign w:val="center"/>
            <w:hideMark/>
          </w:tcPr>
          <w:p w14:paraId="615AACE1" w14:textId="2A4A3172" w:rsidR="006920BC" w:rsidRPr="00832CAD" w:rsidRDefault="006920BC" w:rsidP="00E26510">
            <w:pPr>
              <w:jc w:val="both"/>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xml:space="preserve">Número de </w:t>
            </w:r>
            <w:r w:rsidR="00E26510">
              <w:rPr>
                <w:rFonts w:ascii="Times Roman" w:eastAsia="Times New Roman" w:hAnsi="Times Roman"/>
                <w:color w:val="000000"/>
                <w:sz w:val="20"/>
                <w:szCs w:val="20"/>
                <w:lang w:val="es-CO" w:eastAsia="es-CO"/>
              </w:rPr>
              <w:t xml:space="preserve">quejas ante </w:t>
            </w:r>
            <w:proofErr w:type="spellStart"/>
            <w:r w:rsidR="00E26510">
              <w:rPr>
                <w:rFonts w:ascii="Times Roman" w:eastAsia="Times New Roman" w:hAnsi="Times Roman"/>
                <w:color w:val="000000"/>
                <w:sz w:val="20"/>
                <w:szCs w:val="20"/>
                <w:lang w:val="es-CO" w:eastAsia="es-CO"/>
              </w:rPr>
              <w:t>SuperSalud</w:t>
            </w:r>
            <w:proofErr w:type="spellEnd"/>
            <w:r w:rsidR="00E26510">
              <w:rPr>
                <w:rFonts w:ascii="Times Roman" w:eastAsia="Times New Roman" w:hAnsi="Times Roman"/>
                <w:color w:val="000000"/>
                <w:sz w:val="20"/>
                <w:szCs w:val="20"/>
                <w:lang w:val="es-CO" w:eastAsia="es-CO"/>
              </w:rPr>
              <w:t xml:space="preserve"> </w:t>
            </w:r>
            <w:r w:rsidRPr="00832CAD">
              <w:rPr>
                <w:rFonts w:ascii="Times Roman" w:eastAsia="Times New Roman" w:hAnsi="Times Roman"/>
                <w:color w:val="000000"/>
                <w:sz w:val="20"/>
                <w:szCs w:val="20"/>
                <w:lang w:val="es-CO" w:eastAsia="es-CO"/>
              </w:rPr>
              <w:t xml:space="preserve">en contra de la EAPB por falta de atención oportuna y negación de prestación de servicios médicos de los sujetos de especial protección constitucional como son maternas, menores de un año y los pacientes de la tercera edad; las EAPB deben garantizar que este </w:t>
            </w:r>
            <w:r w:rsidR="000C5B0A">
              <w:rPr>
                <w:rFonts w:ascii="Times Roman" w:eastAsia="Times New Roman" w:hAnsi="Times Roman"/>
                <w:color w:val="000000"/>
                <w:sz w:val="20"/>
                <w:szCs w:val="20"/>
                <w:lang w:val="es-CO" w:eastAsia="es-CO"/>
              </w:rPr>
              <w:t>indicador no sea superior a diez</w:t>
            </w:r>
            <w:r w:rsidRPr="00832CAD">
              <w:rPr>
                <w:rFonts w:ascii="Times Roman" w:eastAsia="Times New Roman" w:hAnsi="Times Roman"/>
                <w:color w:val="000000"/>
                <w:sz w:val="20"/>
                <w:szCs w:val="20"/>
                <w:lang w:val="es-CO" w:eastAsia="es-CO"/>
              </w:rPr>
              <w:t xml:space="preserve"> (</w:t>
            </w:r>
            <w:r w:rsidR="000C5B0A">
              <w:rPr>
                <w:rFonts w:ascii="Times Roman" w:eastAsia="Times New Roman" w:hAnsi="Times Roman"/>
                <w:color w:val="000000"/>
                <w:sz w:val="20"/>
                <w:szCs w:val="20"/>
                <w:lang w:val="es-CO" w:eastAsia="es-CO"/>
              </w:rPr>
              <w:t>1</w:t>
            </w:r>
            <w:r w:rsidRPr="00832CAD">
              <w:rPr>
                <w:rFonts w:ascii="Times Roman" w:eastAsia="Times New Roman" w:hAnsi="Times Roman"/>
                <w:color w:val="000000"/>
                <w:sz w:val="20"/>
                <w:szCs w:val="20"/>
                <w:lang w:val="es-CO" w:eastAsia="es-CO"/>
              </w:rPr>
              <w:t>0) por cada 10.000 afiliados en cada año.</w:t>
            </w:r>
          </w:p>
        </w:tc>
        <w:tc>
          <w:tcPr>
            <w:tcW w:w="1262" w:type="pct"/>
            <w:shd w:val="clear" w:color="000000" w:fill="FFFFFF"/>
            <w:vAlign w:val="center"/>
            <w:hideMark/>
          </w:tcPr>
          <w:p w14:paraId="42B1F6A1" w14:textId="40B761B8" w:rsidR="00EF7A2C" w:rsidRDefault="006920BC" w:rsidP="00EF7A2C">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N</w:t>
            </w:r>
            <w:r w:rsidR="00AE7129">
              <w:rPr>
                <w:rFonts w:ascii="Times Roman" w:eastAsia="Times New Roman" w:hAnsi="Times Roman"/>
                <w:color w:val="000000"/>
                <w:sz w:val="20"/>
                <w:szCs w:val="20"/>
                <w:lang w:val="es-CO" w:eastAsia="es-CO"/>
              </w:rPr>
              <w:t xml:space="preserve">úmero de </w:t>
            </w:r>
            <w:r w:rsidR="00E26510">
              <w:rPr>
                <w:rFonts w:ascii="Times Roman" w:eastAsia="Times New Roman" w:hAnsi="Times Roman"/>
                <w:color w:val="000000"/>
                <w:sz w:val="20"/>
                <w:szCs w:val="20"/>
                <w:lang w:val="es-CO" w:eastAsia="es-CO"/>
              </w:rPr>
              <w:t xml:space="preserve">quejas </w:t>
            </w:r>
            <w:r w:rsidRPr="00832CAD">
              <w:rPr>
                <w:rFonts w:ascii="Times Roman" w:eastAsia="Times New Roman" w:hAnsi="Times Roman"/>
                <w:color w:val="000000"/>
                <w:sz w:val="20"/>
                <w:szCs w:val="20"/>
                <w:lang w:val="es-CO" w:eastAsia="es-CO"/>
              </w:rPr>
              <w:t>falladas a favor del afiliado</w:t>
            </w:r>
            <w:r w:rsidR="00EF7A2C">
              <w:rPr>
                <w:rFonts w:ascii="Times Roman" w:eastAsia="Times New Roman" w:hAnsi="Times Roman"/>
                <w:color w:val="000000"/>
                <w:sz w:val="20"/>
                <w:szCs w:val="20"/>
                <w:lang w:val="es-CO" w:eastAsia="es-CO"/>
              </w:rPr>
              <w:t xml:space="preserve">. Formula: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m:t>
              </m:r>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×10.000</m:t>
              </m:r>
            </m:oMath>
            <w:r w:rsidR="00EF7A2C">
              <w:rPr>
                <w:rFonts w:ascii="Times Roman" w:eastAsia="Times New Roman" w:hAnsi="Times Roman"/>
                <w:color w:val="000000"/>
                <w:sz w:val="20"/>
                <w:szCs w:val="20"/>
                <w:lang w:val="es-CO" w:eastAsia="es-CO"/>
              </w:rPr>
              <w:t xml:space="preserve">; </w:t>
            </w:r>
          </w:p>
          <w:p w14:paraId="6EA726AD" w14:textId="0A3A12F7" w:rsidR="006920BC" w:rsidRPr="00832CAD" w:rsidRDefault="00EF7A2C" w:rsidP="00E26510">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Siendo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el nú</w:t>
            </w:r>
            <w:r w:rsidR="00DC17AA">
              <w:rPr>
                <w:rFonts w:ascii="Times Roman" w:eastAsia="Times New Roman" w:hAnsi="Times Roman"/>
                <w:color w:val="000000"/>
                <w:sz w:val="20"/>
                <w:szCs w:val="20"/>
                <w:lang w:val="es-CO" w:eastAsia="es-CO"/>
              </w:rPr>
              <w:t xml:space="preserve">mero de </w:t>
            </w:r>
            <w:r w:rsidR="00E26510">
              <w:rPr>
                <w:rFonts w:ascii="Times Roman" w:eastAsia="Times New Roman" w:hAnsi="Times Roman"/>
                <w:color w:val="000000"/>
                <w:sz w:val="20"/>
                <w:szCs w:val="20"/>
                <w:lang w:val="es-CO" w:eastAsia="es-CO"/>
              </w:rPr>
              <w:t>quejas</w:t>
            </w:r>
            <w:r>
              <w:rPr>
                <w:rFonts w:ascii="Times Roman" w:eastAsia="Times New Roman" w:hAnsi="Times Roman"/>
                <w:color w:val="000000"/>
                <w:sz w:val="20"/>
                <w:szCs w:val="20"/>
                <w:lang w:val="es-CO" w:eastAsia="es-CO"/>
              </w:rPr>
              <w:t xml:space="preserve"> falladas en contra de la EAPB y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número total de</w:t>
            </w:r>
            <w:r w:rsidR="008A3AF9">
              <w:rPr>
                <w:rFonts w:ascii="Times Roman" w:eastAsia="Times New Roman" w:hAnsi="Times Roman"/>
                <w:color w:val="000000"/>
                <w:sz w:val="20"/>
                <w:szCs w:val="20"/>
                <w:lang w:val="es-CO" w:eastAsia="es-CO"/>
              </w:rPr>
              <w:t xml:space="preserve"> usuarios</w:t>
            </w:r>
            <w:r>
              <w:rPr>
                <w:rFonts w:ascii="Times Roman" w:eastAsia="Times New Roman" w:hAnsi="Times Roman"/>
                <w:color w:val="000000"/>
                <w:sz w:val="20"/>
                <w:szCs w:val="20"/>
                <w:lang w:val="es-CO" w:eastAsia="es-CO"/>
              </w:rPr>
              <w:t>.</w:t>
            </w:r>
          </w:p>
        </w:tc>
        <w:tc>
          <w:tcPr>
            <w:tcW w:w="831" w:type="pct"/>
            <w:shd w:val="clear" w:color="000000" w:fill="FFFFFF"/>
            <w:vAlign w:val="center"/>
            <w:hideMark/>
          </w:tcPr>
          <w:p w14:paraId="1D83AD1E" w14:textId="61C2F3A3" w:rsidR="006920BC" w:rsidRPr="00832CAD" w:rsidRDefault="006920BC"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Orden 20 - Sentencia T670 de 2008 y Auto 260 de 201</w:t>
            </w:r>
            <w:r w:rsidR="001F7FEA">
              <w:rPr>
                <w:rFonts w:ascii="Times Roman" w:eastAsia="Times New Roman" w:hAnsi="Times Roman"/>
                <w:color w:val="000000"/>
                <w:sz w:val="20"/>
                <w:szCs w:val="20"/>
                <w:lang w:val="es-CO" w:eastAsia="es-CO"/>
              </w:rPr>
              <w:t>2</w:t>
            </w:r>
          </w:p>
        </w:tc>
        <w:tc>
          <w:tcPr>
            <w:tcW w:w="707" w:type="pct"/>
            <w:shd w:val="clear" w:color="000000" w:fill="FFFFFF"/>
            <w:vAlign w:val="center"/>
            <w:hideMark/>
          </w:tcPr>
          <w:p w14:paraId="5F950B86" w14:textId="77777777" w:rsidR="006920BC" w:rsidRPr="00832CAD" w:rsidRDefault="006920BC" w:rsidP="00832CAD">
            <w:pPr>
              <w:rPr>
                <w:rFonts w:ascii="Times Roman" w:eastAsia="Times New Roman" w:hAnsi="Times Roman"/>
                <w:color w:val="000000"/>
                <w:sz w:val="20"/>
                <w:szCs w:val="20"/>
                <w:lang w:val="es-CO" w:eastAsia="es-CO"/>
              </w:rPr>
            </w:pPr>
            <w:proofErr w:type="spellStart"/>
            <w:r w:rsidRPr="00832CAD">
              <w:rPr>
                <w:rFonts w:ascii="Times Roman" w:eastAsia="Times New Roman" w:hAnsi="Times Roman"/>
                <w:color w:val="000000"/>
                <w:sz w:val="20"/>
                <w:szCs w:val="20"/>
                <w:lang w:val="es-CO" w:eastAsia="es-CO"/>
              </w:rPr>
              <w:t>SuperSalud</w:t>
            </w:r>
            <w:proofErr w:type="spellEnd"/>
          </w:p>
        </w:tc>
        <w:tc>
          <w:tcPr>
            <w:tcW w:w="536" w:type="pct"/>
            <w:shd w:val="clear" w:color="000000" w:fill="FFFFFF"/>
            <w:vAlign w:val="center"/>
            <w:hideMark/>
          </w:tcPr>
          <w:p w14:paraId="73E7F349" w14:textId="38D992F6" w:rsidR="006920BC" w:rsidRPr="00832CAD" w:rsidRDefault="0034076D"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Estándar </w:t>
            </w:r>
            <w:r w:rsidR="00712993">
              <w:rPr>
                <w:rFonts w:ascii="Times Roman" w:eastAsia="Times New Roman" w:hAnsi="Times Roman"/>
                <w:color w:val="000000"/>
                <w:sz w:val="20"/>
                <w:szCs w:val="20"/>
                <w:lang w:val="es-CO" w:eastAsia="es-CO"/>
              </w:rPr>
              <w:t>1</w:t>
            </w:r>
            <w:r>
              <w:rPr>
                <w:rFonts w:ascii="Times Roman" w:eastAsia="Times New Roman" w:hAnsi="Times Roman"/>
                <w:color w:val="000000"/>
                <w:sz w:val="20"/>
                <w:szCs w:val="20"/>
                <w:lang w:val="es-CO" w:eastAsia="es-CO"/>
              </w:rPr>
              <w:t>0 por cada10 mil afiliados</w:t>
            </w:r>
          </w:p>
        </w:tc>
      </w:tr>
      <w:tr w:rsidR="008A0D1C" w:rsidRPr="00832CAD" w14:paraId="7619127D" w14:textId="77777777" w:rsidTr="001C203A">
        <w:trPr>
          <w:trHeight w:val="1468"/>
        </w:trPr>
        <w:tc>
          <w:tcPr>
            <w:tcW w:w="544" w:type="pct"/>
            <w:vMerge/>
            <w:shd w:val="clear" w:color="000000" w:fill="FFFFFF"/>
            <w:vAlign w:val="center"/>
          </w:tcPr>
          <w:p w14:paraId="65F50C8A" w14:textId="77777777" w:rsidR="008A0D1C" w:rsidRPr="00832CAD" w:rsidRDefault="008A0D1C" w:rsidP="00832CAD">
            <w:pPr>
              <w:rPr>
                <w:rFonts w:ascii="Times Roman" w:eastAsia="Times New Roman" w:hAnsi="Times Roman"/>
                <w:color w:val="000000"/>
                <w:sz w:val="20"/>
                <w:szCs w:val="20"/>
                <w:lang w:val="es-CO" w:eastAsia="es-CO"/>
              </w:rPr>
            </w:pPr>
          </w:p>
        </w:tc>
        <w:tc>
          <w:tcPr>
            <w:tcW w:w="1119" w:type="pct"/>
            <w:shd w:val="clear" w:color="000000" w:fill="FFFFFF"/>
            <w:noWrap/>
            <w:vAlign w:val="center"/>
          </w:tcPr>
          <w:p w14:paraId="04EEEF37" w14:textId="5472C7E4" w:rsidR="008A0D1C" w:rsidRPr="00832CAD" w:rsidRDefault="008A0D1C" w:rsidP="00AE7129">
            <w:pPr>
              <w:jc w:val="both"/>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xml:space="preserve">Número de </w:t>
            </w:r>
            <w:r w:rsidR="00AE7129">
              <w:rPr>
                <w:rFonts w:ascii="Times Roman" w:eastAsia="Times New Roman" w:hAnsi="Times Roman"/>
                <w:color w:val="000000"/>
                <w:sz w:val="20"/>
                <w:szCs w:val="20"/>
                <w:lang w:val="es-CO" w:eastAsia="es-CO"/>
              </w:rPr>
              <w:t xml:space="preserve">tutelas </w:t>
            </w:r>
            <w:r w:rsidRPr="00832CAD">
              <w:rPr>
                <w:rFonts w:ascii="Times Roman" w:eastAsia="Times New Roman" w:hAnsi="Times Roman"/>
                <w:color w:val="000000"/>
                <w:sz w:val="20"/>
                <w:szCs w:val="20"/>
                <w:lang w:val="es-CO" w:eastAsia="es-CO"/>
              </w:rPr>
              <w:t>falladas en contra de la EAPB por falta de atención oportuna y negación de prestación de servicios médicos de los</w:t>
            </w:r>
            <w:r w:rsidR="00823AF3">
              <w:rPr>
                <w:rFonts w:ascii="Times Roman" w:eastAsia="Times New Roman" w:hAnsi="Times Roman"/>
                <w:color w:val="000000"/>
                <w:sz w:val="20"/>
                <w:szCs w:val="20"/>
                <w:lang w:val="es-CO" w:eastAsia="es-CO"/>
              </w:rPr>
              <w:t xml:space="preserve"> sujetos de especial protección </w:t>
            </w:r>
            <w:r w:rsidRPr="00832CAD">
              <w:rPr>
                <w:rFonts w:ascii="Times Roman" w:eastAsia="Times New Roman" w:hAnsi="Times Roman"/>
                <w:color w:val="000000"/>
                <w:sz w:val="20"/>
                <w:szCs w:val="20"/>
                <w:lang w:val="es-CO" w:eastAsia="es-CO"/>
              </w:rPr>
              <w:t xml:space="preserve">constitucional como son maternas, menores de un año y los pacientes de la tercera edad; las EAPB deben garantizar que este </w:t>
            </w:r>
            <w:r w:rsidR="001A1197">
              <w:rPr>
                <w:rFonts w:ascii="Times Roman" w:eastAsia="Times New Roman" w:hAnsi="Times Roman"/>
                <w:color w:val="000000"/>
                <w:sz w:val="20"/>
                <w:szCs w:val="20"/>
                <w:lang w:val="es-CO" w:eastAsia="es-CO"/>
              </w:rPr>
              <w:t>indicador no sea superior a diez</w:t>
            </w:r>
            <w:r w:rsidRPr="00832CAD">
              <w:rPr>
                <w:rFonts w:ascii="Times Roman" w:eastAsia="Times New Roman" w:hAnsi="Times Roman"/>
                <w:color w:val="000000"/>
                <w:sz w:val="20"/>
                <w:szCs w:val="20"/>
                <w:lang w:val="es-CO" w:eastAsia="es-CO"/>
              </w:rPr>
              <w:t xml:space="preserve"> (</w:t>
            </w:r>
            <w:r w:rsidR="001A1197">
              <w:rPr>
                <w:rFonts w:ascii="Times Roman" w:eastAsia="Times New Roman" w:hAnsi="Times Roman"/>
                <w:color w:val="000000"/>
                <w:sz w:val="20"/>
                <w:szCs w:val="20"/>
                <w:lang w:val="es-CO" w:eastAsia="es-CO"/>
              </w:rPr>
              <w:t>1</w:t>
            </w:r>
            <w:r w:rsidRPr="00832CAD">
              <w:rPr>
                <w:rFonts w:ascii="Times Roman" w:eastAsia="Times New Roman" w:hAnsi="Times Roman"/>
                <w:color w:val="000000"/>
                <w:sz w:val="20"/>
                <w:szCs w:val="20"/>
                <w:lang w:val="es-CO" w:eastAsia="es-CO"/>
              </w:rPr>
              <w:t>0) por cada 10.000 afiliados en cada año.</w:t>
            </w:r>
          </w:p>
        </w:tc>
        <w:tc>
          <w:tcPr>
            <w:tcW w:w="1262" w:type="pct"/>
            <w:shd w:val="clear" w:color="000000" w:fill="FFFFFF"/>
            <w:vAlign w:val="center"/>
          </w:tcPr>
          <w:p w14:paraId="30B0394D" w14:textId="1CF0157A" w:rsidR="008A0D1C" w:rsidRDefault="00AE7129" w:rsidP="00424F4A">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Número de tutelas</w:t>
            </w:r>
            <w:r w:rsidR="008A0D1C" w:rsidRPr="00832CAD">
              <w:rPr>
                <w:rFonts w:ascii="Times Roman" w:eastAsia="Times New Roman" w:hAnsi="Times Roman"/>
                <w:color w:val="000000"/>
                <w:sz w:val="20"/>
                <w:szCs w:val="20"/>
                <w:lang w:val="es-CO" w:eastAsia="es-CO"/>
              </w:rPr>
              <w:t xml:space="preserve"> falladas a favor del afiliado</w:t>
            </w:r>
            <w:r w:rsidR="008A0D1C">
              <w:rPr>
                <w:rFonts w:ascii="Times Roman" w:eastAsia="Times New Roman" w:hAnsi="Times Roman"/>
                <w:color w:val="000000"/>
                <w:sz w:val="20"/>
                <w:szCs w:val="20"/>
                <w:lang w:val="es-CO" w:eastAsia="es-CO"/>
              </w:rPr>
              <w:t xml:space="preserve">. Formula: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m:t>
              </m:r>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×10.000</m:t>
              </m:r>
            </m:oMath>
            <w:r w:rsidR="008A0D1C">
              <w:rPr>
                <w:rFonts w:ascii="Times Roman" w:eastAsia="Times New Roman" w:hAnsi="Times Roman"/>
                <w:color w:val="000000"/>
                <w:sz w:val="20"/>
                <w:szCs w:val="20"/>
                <w:lang w:val="es-CO" w:eastAsia="es-CO"/>
              </w:rPr>
              <w:t xml:space="preserve">; </w:t>
            </w:r>
          </w:p>
          <w:p w14:paraId="5D5BC5BB" w14:textId="351148DB" w:rsidR="008A0D1C" w:rsidRPr="00832CAD" w:rsidRDefault="008A0D1C" w:rsidP="00EF7A2C">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Siendo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el nú</w:t>
            </w:r>
            <w:r w:rsidR="00AE7129">
              <w:rPr>
                <w:rFonts w:ascii="Times Roman" w:eastAsia="Times New Roman" w:hAnsi="Times Roman"/>
                <w:color w:val="000000"/>
                <w:sz w:val="20"/>
                <w:szCs w:val="20"/>
                <w:lang w:val="es-CO" w:eastAsia="es-CO"/>
              </w:rPr>
              <w:t>mero de tutelas</w:t>
            </w:r>
            <w:r>
              <w:rPr>
                <w:rFonts w:ascii="Times Roman" w:eastAsia="Times New Roman" w:hAnsi="Times Roman"/>
                <w:color w:val="000000"/>
                <w:sz w:val="20"/>
                <w:szCs w:val="20"/>
                <w:lang w:val="es-CO" w:eastAsia="es-CO"/>
              </w:rPr>
              <w:t xml:space="preserve"> falladas en contra de la EAPB y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número total de usuarios.</w:t>
            </w:r>
          </w:p>
        </w:tc>
        <w:tc>
          <w:tcPr>
            <w:tcW w:w="831" w:type="pct"/>
            <w:shd w:val="clear" w:color="000000" w:fill="FFFFFF"/>
            <w:vAlign w:val="center"/>
          </w:tcPr>
          <w:p w14:paraId="24BD6BFB" w14:textId="6AA7D233" w:rsidR="008A0D1C" w:rsidRPr="00832CAD" w:rsidRDefault="008A0D1C"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Orden 20 - Sentencia T670 de 2008 y Auto 260 de 201</w:t>
            </w:r>
            <w:r>
              <w:rPr>
                <w:rFonts w:ascii="Times Roman" w:eastAsia="Times New Roman" w:hAnsi="Times Roman"/>
                <w:color w:val="000000"/>
                <w:sz w:val="20"/>
                <w:szCs w:val="20"/>
                <w:lang w:val="es-CO" w:eastAsia="es-CO"/>
              </w:rPr>
              <w:t>2</w:t>
            </w:r>
          </w:p>
        </w:tc>
        <w:tc>
          <w:tcPr>
            <w:tcW w:w="707" w:type="pct"/>
            <w:shd w:val="clear" w:color="000000" w:fill="FFFFFF"/>
            <w:vAlign w:val="center"/>
          </w:tcPr>
          <w:p w14:paraId="11E435E2" w14:textId="4337F0D4" w:rsidR="008A0D1C" w:rsidRPr="00832CAD" w:rsidRDefault="008A0D1C" w:rsidP="00832CAD">
            <w:pPr>
              <w:rPr>
                <w:rFonts w:ascii="Times Roman" w:eastAsia="Times New Roman" w:hAnsi="Times Roman"/>
                <w:color w:val="000000"/>
                <w:sz w:val="20"/>
                <w:szCs w:val="20"/>
                <w:lang w:val="es-CO" w:eastAsia="es-CO"/>
              </w:rPr>
            </w:pPr>
            <w:proofErr w:type="spellStart"/>
            <w:r w:rsidRPr="00832CAD">
              <w:rPr>
                <w:rFonts w:ascii="Times Roman" w:eastAsia="Times New Roman" w:hAnsi="Times Roman"/>
                <w:color w:val="000000"/>
                <w:sz w:val="20"/>
                <w:szCs w:val="20"/>
                <w:lang w:val="es-CO" w:eastAsia="es-CO"/>
              </w:rPr>
              <w:t>SuperSalud</w:t>
            </w:r>
            <w:proofErr w:type="spellEnd"/>
          </w:p>
        </w:tc>
        <w:tc>
          <w:tcPr>
            <w:tcW w:w="536" w:type="pct"/>
            <w:shd w:val="clear" w:color="000000" w:fill="FFFFFF"/>
            <w:vAlign w:val="center"/>
          </w:tcPr>
          <w:p w14:paraId="7AF3CD54" w14:textId="526B6219" w:rsidR="008A0D1C" w:rsidRDefault="008A0D1C"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w:t>
            </w:r>
            <w:r w:rsidR="00DC17AA">
              <w:rPr>
                <w:rFonts w:ascii="Times Roman" w:eastAsia="Times New Roman" w:hAnsi="Times Roman"/>
                <w:color w:val="000000"/>
                <w:sz w:val="20"/>
                <w:szCs w:val="20"/>
                <w:lang w:val="es-CO" w:eastAsia="es-CO"/>
              </w:rPr>
              <w:t xml:space="preserve">ndar </w:t>
            </w:r>
            <w:r w:rsidR="001A1197">
              <w:rPr>
                <w:rFonts w:ascii="Times Roman" w:eastAsia="Times New Roman" w:hAnsi="Times Roman"/>
                <w:color w:val="000000"/>
                <w:sz w:val="20"/>
                <w:szCs w:val="20"/>
                <w:lang w:val="es-CO" w:eastAsia="es-CO"/>
              </w:rPr>
              <w:t>1</w:t>
            </w:r>
            <w:r w:rsidR="00DC17AA">
              <w:rPr>
                <w:rFonts w:ascii="Times Roman" w:eastAsia="Times New Roman" w:hAnsi="Times Roman"/>
                <w:color w:val="000000"/>
                <w:sz w:val="20"/>
                <w:szCs w:val="20"/>
                <w:lang w:val="es-CO" w:eastAsia="es-CO"/>
              </w:rPr>
              <w:t>0</w:t>
            </w:r>
            <w:r>
              <w:rPr>
                <w:rFonts w:ascii="Times Roman" w:eastAsia="Times New Roman" w:hAnsi="Times Roman"/>
                <w:color w:val="000000"/>
                <w:sz w:val="20"/>
                <w:szCs w:val="20"/>
                <w:lang w:val="es-CO" w:eastAsia="es-CO"/>
              </w:rPr>
              <w:t xml:space="preserve"> por cada10 mil afiliados</w:t>
            </w:r>
          </w:p>
        </w:tc>
      </w:tr>
      <w:tr w:rsidR="008A0D1C" w:rsidRPr="00832CAD" w14:paraId="00951B88" w14:textId="77777777" w:rsidTr="001C203A">
        <w:trPr>
          <w:trHeight w:val="797"/>
        </w:trPr>
        <w:tc>
          <w:tcPr>
            <w:tcW w:w="544" w:type="pct"/>
            <w:vMerge/>
            <w:shd w:val="clear" w:color="000000" w:fill="FFFFFF"/>
            <w:vAlign w:val="center"/>
            <w:hideMark/>
          </w:tcPr>
          <w:p w14:paraId="0BB214F6" w14:textId="77777777" w:rsidR="008A0D1C" w:rsidRPr="00832CAD" w:rsidRDefault="008A0D1C" w:rsidP="00832CAD">
            <w:pPr>
              <w:rPr>
                <w:rFonts w:ascii="Times Roman" w:eastAsia="Times New Roman" w:hAnsi="Times Roman"/>
                <w:color w:val="000000"/>
                <w:sz w:val="20"/>
                <w:szCs w:val="20"/>
                <w:lang w:val="es-CO" w:eastAsia="es-CO"/>
              </w:rPr>
            </w:pPr>
          </w:p>
        </w:tc>
        <w:tc>
          <w:tcPr>
            <w:tcW w:w="1119" w:type="pct"/>
            <w:shd w:val="clear" w:color="000000" w:fill="FFFFFF"/>
            <w:noWrap/>
            <w:vAlign w:val="center"/>
            <w:hideMark/>
          </w:tcPr>
          <w:p w14:paraId="49DAC6AE" w14:textId="3493E35D" w:rsidR="008A0D1C" w:rsidRPr="00832CAD" w:rsidRDefault="008A0D1C" w:rsidP="00832CAD">
            <w:pPr>
              <w:jc w:val="both"/>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Número de quejas</w:t>
            </w:r>
            <w:r w:rsidR="003C702C">
              <w:rPr>
                <w:rFonts w:ascii="Times Roman" w:eastAsia="Times New Roman" w:hAnsi="Times Roman"/>
                <w:color w:val="000000"/>
                <w:sz w:val="20"/>
                <w:szCs w:val="20"/>
                <w:lang w:val="es-CO" w:eastAsia="es-CO"/>
              </w:rPr>
              <w:t xml:space="preserve"> ante </w:t>
            </w:r>
            <w:proofErr w:type="spellStart"/>
            <w:r w:rsidR="003C702C">
              <w:rPr>
                <w:rFonts w:ascii="Times Roman" w:eastAsia="Times New Roman" w:hAnsi="Times Roman"/>
                <w:color w:val="000000"/>
                <w:sz w:val="20"/>
                <w:szCs w:val="20"/>
                <w:lang w:val="es-CO" w:eastAsia="es-CO"/>
              </w:rPr>
              <w:t>SuperSalud</w:t>
            </w:r>
            <w:proofErr w:type="spellEnd"/>
            <w:r w:rsidRPr="00832CAD">
              <w:rPr>
                <w:rFonts w:ascii="Times Roman" w:eastAsia="Times New Roman" w:hAnsi="Times Roman"/>
                <w:color w:val="000000"/>
                <w:sz w:val="20"/>
                <w:szCs w:val="20"/>
                <w:lang w:val="es-CO" w:eastAsia="es-CO"/>
              </w:rPr>
              <w:t xml:space="preserve"> falladas por negarse a afiliar personas a pesar de que éstas cumplan el tiempo y requisitos para trasladarse de EAPB; las EAPB deben garantizar que este indicador no sea superi</w:t>
            </w:r>
            <w:r w:rsidR="00A146FA">
              <w:rPr>
                <w:rFonts w:ascii="Times Roman" w:eastAsia="Times New Roman" w:hAnsi="Times Roman"/>
                <w:color w:val="000000"/>
                <w:sz w:val="20"/>
                <w:szCs w:val="20"/>
                <w:lang w:val="es-CO" w:eastAsia="es-CO"/>
              </w:rPr>
              <w:t>or a cinco (5</w:t>
            </w:r>
            <w:r w:rsidR="001C203A">
              <w:rPr>
                <w:rFonts w:ascii="Times Roman" w:eastAsia="Times New Roman" w:hAnsi="Times Roman"/>
                <w:color w:val="000000"/>
                <w:sz w:val="20"/>
                <w:szCs w:val="20"/>
                <w:lang w:val="es-CO" w:eastAsia="es-CO"/>
              </w:rPr>
              <w:t>) por cada 10.000 afiliados</w:t>
            </w:r>
            <w:r w:rsidRPr="00832CAD">
              <w:rPr>
                <w:rFonts w:ascii="Times Roman" w:eastAsia="Times New Roman" w:hAnsi="Times Roman"/>
                <w:color w:val="000000"/>
                <w:sz w:val="20"/>
                <w:szCs w:val="20"/>
                <w:lang w:val="es-CO" w:eastAsia="es-CO"/>
              </w:rPr>
              <w:t xml:space="preserve"> en cada año.</w:t>
            </w:r>
          </w:p>
        </w:tc>
        <w:tc>
          <w:tcPr>
            <w:tcW w:w="1262" w:type="pct"/>
            <w:shd w:val="clear" w:color="000000" w:fill="FFFFFF"/>
            <w:vAlign w:val="center"/>
            <w:hideMark/>
          </w:tcPr>
          <w:p w14:paraId="253E2FBD" w14:textId="278A9951" w:rsidR="008A0D1C" w:rsidRDefault="003A772F" w:rsidP="000A6892">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Número de quejas </w:t>
            </w:r>
            <w:r w:rsidR="008A0D1C" w:rsidRPr="00832CAD">
              <w:rPr>
                <w:rFonts w:ascii="Times Roman" w:eastAsia="Times New Roman" w:hAnsi="Times Roman"/>
                <w:color w:val="000000"/>
                <w:sz w:val="20"/>
                <w:szCs w:val="20"/>
                <w:lang w:val="es-CO" w:eastAsia="es-CO"/>
              </w:rPr>
              <w:t>falladas a favor del afiliado</w:t>
            </w:r>
            <w:r w:rsidR="008A0D1C">
              <w:rPr>
                <w:rFonts w:ascii="Times Roman" w:eastAsia="Times New Roman" w:hAnsi="Times Roman"/>
                <w:color w:val="000000"/>
                <w:sz w:val="20"/>
                <w:szCs w:val="20"/>
                <w:lang w:val="es-CO" w:eastAsia="es-CO"/>
              </w:rPr>
              <w:t xml:space="preserve">. Formula: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m:t>
              </m:r>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×10.000</m:t>
              </m:r>
            </m:oMath>
            <w:r w:rsidR="008A0D1C">
              <w:rPr>
                <w:rFonts w:ascii="Times Roman" w:eastAsia="Times New Roman" w:hAnsi="Times Roman"/>
                <w:color w:val="000000"/>
                <w:sz w:val="20"/>
                <w:szCs w:val="20"/>
                <w:lang w:val="es-CO" w:eastAsia="es-CO"/>
              </w:rPr>
              <w:t xml:space="preserve">; </w:t>
            </w:r>
          </w:p>
          <w:p w14:paraId="6904EC95" w14:textId="1802E481" w:rsidR="008A0D1C" w:rsidRPr="00832CAD" w:rsidRDefault="008A0D1C" w:rsidP="009F2736">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Siendo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el nú</w:t>
            </w:r>
            <w:r w:rsidR="009F2736">
              <w:rPr>
                <w:rFonts w:ascii="Times Roman" w:eastAsia="Times New Roman" w:hAnsi="Times Roman"/>
                <w:color w:val="000000"/>
                <w:sz w:val="20"/>
                <w:szCs w:val="20"/>
                <w:lang w:val="es-CO" w:eastAsia="es-CO"/>
              </w:rPr>
              <w:t>mero de quejas</w:t>
            </w:r>
            <w:r>
              <w:rPr>
                <w:rFonts w:ascii="Times Roman" w:eastAsia="Times New Roman" w:hAnsi="Times Roman"/>
                <w:color w:val="000000"/>
                <w:sz w:val="20"/>
                <w:szCs w:val="20"/>
                <w:lang w:val="es-CO" w:eastAsia="es-CO"/>
              </w:rPr>
              <w:t xml:space="preserve"> falladas en contra de la EAPB y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número total de usuarios.</w:t>
            </w:r>
          </w:p>
        </w:tc>
        <w:tc>
          <w:tcPr>
            <w:tcW w:w="831" w:type="pct"/>
            <w:shd w:val="clear" w:color="000000" w:fill="FFFFFF"/>
            <w:vAlign w:val="center"/>
            <w:hideMark/>
          </w:tcPr>
          <w:p w14:paraId="7CF4F521" w14:textId="005E7570" w:rsidR="008A0D1C" w:rsidRPr="00832CAD" w:rsidRDefault="008A0D1C"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Orden 20 - Sentencia T670 de 2008 y Auto 260 de 201</w:t>
            </w:r>
            <w:r>
              <w:rPr>
                <w:rFonts w:ascii="Times Roman" w:eastAsia="Times New Roman" w:hAnsi="Times Roman"/>
                <w:color w:val="000000"/>
                <w:sz w:val="20"/>
                <w:szCs w:val="20"/>
                <w:lang w:val="es-CO" w:eastAsia="es-CO"/>
              </w:rPr>
              <w:t>2</w:t>
            </w:r>
          </w:p>
        </w:tc>
        <w:tc>
          <w:tcPr>
            <w:tcW w:w="707" w:type="pct"/>
            <w:shd w:val="clear" w:color="000000" w:fill="FFFFFF"/>
            <w:vAlign w:val="center"/>
            <w:hideMark/>
          </w:tcPr>
          <w:p w14:paraId="5C6CED7F" w14:textId="77777777" w:rsidR="008A0D1C" w:rsidRPr="00832CAD" w:rsidRDefault="008A0D1C" w:rsidP="00832CAD">
            <w:pPr>
              <w:rPr>
                <w:rFonts w:ascii="Times Roman" w:eastAsia="Times New Roman" w:hAnsi="Times Roman"/>
                <w:color w:val="000000"/>
                <w:sz w:val="20"/>
                <w:szCs w:val="20"/>
                <w:lang w:val="es-CO" w:eastAsia="es-CO"/>
              </w:rPr>
            </w:pPr>
            <w:proofErr w:type="spellStart"/>
            <w:r w:rsidRPr="00832CAD">
              <w:rPr>
                <w:rFonts w:ascii="Times Roman" w:eastAsia="Times New Roman" w:hAnsi="Times Roman"/>
                <w:color w:val="000000"/>
                <w:sz w:val="20"/>
                <w:szCs w:val="20"/>
                <w:lang w:val="es-CO" w:eastAsia="es-CO"/>
              </w:rPr>
              <w:t>SuperSalud</w:t>
            </w:r>
            <w:proofErr w:type="spellEnd"/>
            <w:r w:rsidRPr="00832CAD">
              <w:rPr>
                <w:rFonts w:ascii="Times Roman" w:eastAsia="Times New Roman" w:hAnsi="Times Roman"/>
                <w:color w:val="000000"/>
                <w:sz w:val="20"/>
                <w:szCs w:val="20"/>
                <w:lang w:val="es-CO" w:eastAsia="es-CO"/>
              </w:rPr>
              <w:t xml:space="preserve"> y MSPS</w:t>
            </w:r>
          </w:p>
        </w:tc>
        <w:tc>
          <w:tcPr>
            <w:tcW w:w="536" w:type="pct"/>
            <w:shd w:val="clear" w:color="000000" w:fill="FFFFFF"/>
            <w:vAlign w:val="center"/>
            <w:hideMark/>
          </w:tcPr>
          <w:p w14:paraId="59DFFA60" w14:textId="3E1A11F3" w:rsidR="008A0D1C" w:rsidRPr="00832CAD" w:rsidRDefault="008A0D1C"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Estándar </w:t>
            </w:r>
            <w:r w:rsidR="00A146FA">
              <w:rPr>
                <w:rFonts w:ascii="Times Roman" w:eastAsia="Times New Roman" w:hAnsi="Times Roman"/>
                <w:color w:val="000000"/>
                <w:sz w:val="20"/>
                <w:szCs w:val="20"/>
                <w:lang w:val="es-CO" w:eastAsia="es-CO"/>
              </w:rPr>
              <w:t>5</w:t>
            </w:r>
            <w:r>
              <w:rPr>
                <w:rFonts w:ascii="Times Roman" w:eastAsia="Times New Roman" w:hAnsi="Times Roman"/>
                <w:color w:val="000000"/>
                <w:sz w:val="20"/>
                <w:szCs w:val="20"/>
                <w:lang w:val="es-CO" w:eastAsia="es-CO"/>
              </w:rPr>
              <w:t xml:space="preserve"> por cada10 mil afiliados</w:t>
            </w:r>
          </w:p>
        </w:tc>
      </w:tr>
      <w:tr w:rsidR="003C702C" w:rsidRPr="00832CAD" w14:paraId="79F7382A" w14:textId="77777777" w:rsidTr="001C203A">
        <w:trPr>
          <w:trHeight w:val="797"/>
        </w:trPr>
        <w:tc>
          <w:tcPr>
            <w:tcW w:w="544" w:type="pct"/>
            <w:shd w:val="clear" w:color="000000" w:fill="FFFFFF"/>
            <w:vAlign w:val="center"/>
          </w:tcPr>
          <w:p w14:paraId="47D8A1AE" w14:textId="77777777" w:rsidR="003C702C" w:rsidRPr="00832CAD" w:rsidRDefault="003C702C" w:rsidP="00832CAD">
            <w:pPr>
              <w:rPr>
                <w:rFonts w:ascii="Times Roman" w:eastAsia="Times New Roman" w:hAnsi="Times Roman"/>
                <w:color w:val="000000"/>
                <w:sz w:val="20"/>
                <w:szCs w:val="20"/>
                <w:lang w:val="es-CO" w:eastAsia="es-CO"/>
              </w:rPr>
            </w:pPr>
          </w:p>
        </w:tc>
        <w:tc>
          <w:tcPr>
            <w:tcW w:w="1119" w:type="pct"/>
            <w:shd w:val="clear" w:color="000000" w:fill="FFFFFF"/>
            <w:noWrap/>
            <w:vAlign w:val="center"/>
          </w:tcPr>
          <w:p w14:paraId="5CBF5EBC" w14:textId="168E0C37" w:rsidR="003C702C" w:rsidRPr="00832CAD" w:rsidRDefault="003C702C" w:rsidP="003C702C">
            <w:pPr>
              <w:jc w:val="both"/>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 xml:space="preserve">Número de </w:t>
            </w:r>
            <w:r>
              <w:rPr>
                <w:rFonts w:ascii="Times Roman" w:eastAsia="Times New Roman" w:hAnsi="Times Roman"/>
                <w:color w:val="000000"/>
                <w:sz w:val="20"/>
                <w:szCs w:val="20"/>
                <w:lang w:val="es-CO" w:eastAsia="es-CO"/>
              </w:rPr>
              <w:t>tutelas</w:t>
            </w:r>
            <w:r w:rsidRPr="00832CAD">
              <w:rPr>
                <w:rFonts w:ascii="Times Roman" w:eastAsia="Times New Roman" w:hAnsi="Times Roman"/>
                <w:color w:val="000000"/>
                <w:sz w:val="20"/>
                <w:szCs w:val="20"/>
                <w:lang w:val="es-CO" w:eastAsia="es-CO"/>
              </w:rPr>
              <w:t xml:space="preserve"> falladas por negarse a afiliar personas a pesar de que éstas cumplan el tiempo y requisitos para trasladarse de EAPB; las EAPB deben garantizar que este indicador no sea superi</w:t>
            </w:r>
            <w:r w:rsidR="007367AD">
              <w:rPr>
                <w:rFonts w:ascii="Times Roman" w:eastAsia="Times New Roman" w:hAnsi="Times Roman"/>
                <w:color w:val="000000"/>
                <w:sz w:val="20"/>
                <w:szCs w:val="20"/>
                <w:lang w:val="es-CO" w:eastAsia="es-CO"/>
              </w:rPr>
              <w:t>or a cinco (5</w:t>
            </w:r>
            <w:r w:rsidR="001C203A">
              <w:rPr>
                <w:rFonts w:ascii="Times Roman" w:eastAsia="Times New Roman" w:hAnsi="Times Roman"/>
                <w:color w:val="000000"/>
                <w:sz w:val="20"/>
                <w:szCs w:val="20"/>
                <w:lang w:val="es-CO" w:eastAsia="es-CO"/>
              </w:rPr>
              <w:t>) por cada 10.000 afiliados</w:t>
            </w:r>
            <w:r w:rsidRPr="00832CAD">
              <w:rPr>
                <w:rFonts w:ascii="Times Roman" w:eastAsia="Times New Roman" w:hAnsi="Times Roman"/>
                <w:color w:val="000000"/>
                <w:sz w:val="20"/>
                <w:szCs w:val="20"/>
                <w:lang w:val="es-CO" w:eastAsia="es-CO"/>
              </w:rPr>
              <w:t xml:space="preserve"> en cada año.</w:t>
            </w:r>
          </w:p>
        </w:tc>
        <w:tc>
          <w:tcPr>
            <w:tcW w:w="1262" w:type="pct"/>
            <w:shd w:val="clear" w:color="000000" w:fill="FFFFFF"/>
            <w:vAlign w:val="center"/>
          </w:tcPr>
          <w:p w14:paraId="04BFBB50" w14:textId="77777777" w:rsidR="003C702C" w:rsidRDefault="003C702C" w:rsidP="00424F4A">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Número de tutelas falladas a favor del afiliado</w:t>
            </w:r>
            <w:r>
              <w:rPr>
                <w:rFonts w:ascii="Times Roman" w:eastAsia="Times New Roman" w:hAnsi="Times Roman"/>
                <w:color w:val="000000"/>
                <w:sz w:val="20"/>
                <w:szCs w:val="20"/>
                <w:lang w:val="es-CO" w:eastAsia="es-CO"/>
              </w:rPr>
              <w:t xml:space="preserve">. Formula: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m:t>
              </m:r>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r>
                <w:rPr>
                  <w:rFonts w:ascii="Cambria Math" w:eastAsia="Times New Roman" w:hAnsi="Cambria Math"/>
                  <w:color w:val="000000"/>
                  <w:sz w:val="20"/>
                  <w:szCs w:val="20"/>
                  <w:lang w:val="es-CO" w:eastAsia="es-CO"/>
                </w:rPr>
                <m:t>×10.000</m:t>
              </m:r>
            </m:oMath>
            <w:r>
              <w:rPr>
                <w:rFonts w:ascii="Times Roman" w:eastAsia="Times New Roman" w:hAnsi="Times Roman"/>
                <w:color w:val="000000"/>
                <w:sz w:val="20"/>
                <w:szCs w:val="20"/>
                <w:lang w:val="es-CO" w:eastAsia="es-CO"/>
              </w:rPr>
              <w:t xml:space="preserve">; </w:t>
            </w:r>
          </w:p>
          <w:p w14:paraId="34A239EC" w14:textId="4A81A53C" w:rsidR="003C702C" w:rsidRPr="00832CAD" w:rsidRDefault="003C702C" w:rsidP="000A6892">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 xml:space="preserve">Siendo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Q</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el número de tutelas falladas en contra de la EAPB y </w:t>
            </w:r>
            <m:oMath>
              <m:sSub>
                <m:sSubPr>
                  <m:ctrlPr>
                    <w:rPr>
                      <w:rFonts w:ascii="Cambria Math" w:eastAsia="Times New Roman" w:hAnsi="Cambria Math"/>
                      <w:i/>
                      <w:color w:val="000000"/>
                      <w:sz w:val="20"/>
                      <w:szCs w:val="20"/>
                      <w:lang w:val="es-CO" w:eastAsia="es-CO"/>
                    </w:rPr>
                  </m:ctrlPr>
                </m:sSubPr>
                <m:e>
                  <m:r>
                    <w:rPr>
                      <w:rFonts w:ascii="Cambria Math" w:eastAsia="Times New Roman" w:hAnsi="Cambria Math"/>
                      <w:color w:val="000000"/>
                      <w:sz w:val="20"/>
                      <w:szCs w:val="20"/>
                      <w:lang w:val="es-CO" w:eastAsia="es-CO"/>
                    </w:rPr>
                    <m:t>T</m:t>
                  </m:r>
                </m:e>
                <m:sub>
                  <m:r>
                    <w:rPr>
                      <w:rFonts w:ascii="Cambria Math" w:eastAsia="Times New Roman" w:hAnsi="Cambria Math"/>
                      <w:color w:val="000000"/>
                      <w:sz w:val="20"/>
                      <w:szCs w:val="20"/>
                      <w:lang w:val="es-CO" w:eastAsia="es-CO"/>
                    </w:rPr>
                    <m:t>i</m:t>
                  </m:r>
                </m:sub>
              </m:sSub>
            </m:oMath>
            <w:r>
              <w:rPr>
                <w:rFonts w:ascii="Times Roman" w:eastAsia="Times New Roman" w:hAnsi="Times Roman"/>
                <w:color w:val="000000"/>
                <w:sz w:val="20"/>
                <w:szCs w:val="20"/>
                <w:lang w:val="es-CO" w:eastAsia="es-CO"/>
              </w:rPr>
              <w:t xml:space="preserve"> número total de usuarios.</w:t>
            </w:r>
          </w:p>
        </w:tc>
        <w:tc>
          <w:tcPr>
            <w:tcW w:w="831" w:type="pct"/>
            <w:shd w:val="clear" w:color="000000" w:fill="FFFFFF"/>
            <w:vAlign w:val="center"/>
          </w:tcPr>
          <w:p w14:paraId="4E94F497" w14:textId="6AACB8F9" w:rsidR="003C702C" w:rsidRPr="00832CAD" w:rsidRDefault="003C702C" w:rsidP="00832CAD">
            <w:pPr>
              <w:rPr>
                <w:rFonts w:ascii="Times Roman" w:eastAsia="Times New Roman" w:hAnsi="Times Roman"/>
                <w:color w:val="000000"/>
                <w:sz w:val="20"/>
                <w:szCs w:val="20"/>
                <w:lang w:val="es-CO" w:eastAsia="es-CO"/>
              </w:rPr>
            </w:pPr>
            <w:r w:rsidRPr="00832CAD">
              <w:rPr>
                <w:rFonts w:ascii="Times Roman" w:eastAsia="Times New Roman" w:hAnsi="Times Roman"/>
                <w:color w:val="000000"/>
                <w:sz w:val="20"/>
                <w:szCs w:val="20"/>
                <w:lang w:val="es-CO" w:eastAsia="es-CO"/>
              </w:rPr>
              <w:t>Orden 20 - Sentencia T670 de 2008 y Auto 260 de 201</w:t>
            </w:r>
            <w:r>
              <w:rPr>
                <w:rFonts w:ascii="Times Roman" w:eastAsia="Times New Roman" w:hAnsi="Times Roman"/>
                <w:color w:val="000000"/>
                <w:sz w:val="20"/>
                <w:szCs w:val="20"/>
                <w:lang w:val="es-CO" w:eastAsia="es-CO"/>
              </w:rPr>
              <w:t>2</w:t>
            </w:r>
          </w:p>
        </w:tc>
        <w:tc>
          <w:tcPr>
            <w:tcW w:w="707" w:type="pct"/>
            <w:shd w:val="clear" w:color="000000" w:fill="FFFFFF"/>
            <w:vAlign w:val="center"/>
          </w:tcPr>
          <w:p w14:paraId="4378273D" w14:textId="7F4121EA" w:rsidR="003C702C" w:rsidRPr="00832CAD" w:rsidRDefault="003C702C" w:rsidP="00832CAD">
            <w:pPr>
              <w:rPr>
                <w:rFonts w:ascii="Times Roman" w:eastAsia="Times New Roman" w:hAnsi="Times Roman"/>
                <w:color w:val="000000"/>
                <w:sz w:val="20"/>
                <w:szCs w:val="20"/>
                <w:lang w:val="es-CO" w:eastAsia="es-CO"/>
              </w:rPr>
            </w:pPr>
            <w:proofErr w:type="spellStart"/>
            <w:r w:rsidRPr="00832CAD">
              <w:rPr>
                <w:rFonts w:ascii="Times Roman" w:eastAsia="Times New Roman" w:hAnsi="Times Roman"/>
                <w:color w:val="000000"/>
                <w:sz w:val="20"/>
                <w:szCs w:val="20"/>
                <w:lang w:val="es-CO" w:eastAsia="es-CO"/>
              </w:rPr>
              <w:t>SuperSalud</w:t>
            </w:r>
            <w:proofErr w:type="spellEnd"/>
            <w:r w:rsidRPr="00832CAD">
              <w:rPr>
                <w:rFonts w:ascii="Times Roman" w:eastAsia="Times New Roman" w:hAnsi="Times Roman"/>
                <w:color w:val="000000"/>
                <w:sz w:val="20"/>
                <w:szCs w:val="20"/>
                <w:lang w:val="es-CO" w:eastAsia="es-CO"/>
              </w:rPr>
              <w:t xml:space="preserve"> y MSPS</w:t>
            </w:r>
          </w:p>
        </w:tc>
        <w:tc>
          <w:tcPr>
            <w:tcW w:w="536" w:type="pct"/>
            <w:shd w:val="clear" w:color="000000" w:fill="FFFFFF"/>
            <w:vAlign w:val="center"/>
          </w:tcPr>
          <w:p w14:paraId="73861597" w14:textId="2389C516" w:rsidR="003C702C" w:rsidRDefault="007367AD" w:rsidP="00832CAD">
            <w:pPr>
              <w:rPr>
                <w:rFonts w:ascii="Times Roman" w:eastAsia="Times New Roman" w:hAnsi="Times Roman"/>
                <w:color w:val="000000"/>
                <w:sz w:val="20"/>
                <w:szCs w:val="20"/>
                <w:lang w:val="es-CO" w:eastAsia="es-CO"/>
              </w:rPr>
            </w:pPr>
            <w:r>
              <w:rPr>
                <w:rFonts w:ascii="Times Roman" w:eastAsia="Times New Roman" w:hAnsi="Times Roman"/>
                <w:color w:val="000000"/>
                <w:sz w:val="20"/>
                <w:szCs w:val="20"/>
                <w:lang w:val="es-CO" w:eastAsia="es-CO"/>
              </w:rPr>
              <w:t>Estándar 5</w:t>
            </w:r>
            <w:r w:rsidR="003C702C">
              <w:rPr>
                <w:rFonts w:ascii="Times Roman" w:eastAsia="Times New Roman" w:hAnsi="Times Roman"/>
                <w:color w:val="000000"/>
                <w:sz w:val="20"/>
                <w:szCs w:val="20"/>
                <w:lang w:val="es-CO" w:eastAsia="es-CO"/>
              </w:rPr>
              <w:t xml:space="preserve"> por cada10 mil afiliados</w:t>
            </w:r>
          </w:p>
        </w:tc>
      </w:tr>
    </w:tbl>
    <w:p w14:paraId="6516D104" w14:textId="77777777" w:rsidR="007B0636" w:rsidRDefault="007B0636" w:rsidP="00832CAD">
      <w:pPr>
        <w:pStyle w:val="Cuerpo"/>
        <w:spacing w:before="240"/>
        <w:jc w:val="both"/>
      </w:pPr>
      <w:bookmarkStart w:id="0" w:name="_GoBack"/>
      <w:bookmarkEnd w:id="0"/>
    </w:p>
    <w:p w14:paraId="47D04625" w14:textId="77777777" w:rsidR="00675D42" w:rsidRPr="00621D4C" w:rsidRDefault="00675D42" w:rsidP="00D510B8">
      <w:pPr>
        <w:pStyle w:val="Cuerpo"/>
        <w:spacing w:before="240"/>
        <w:jc w:val="both"/>
      </w:pPr>
    </w:p>
    <w:p w14:paraId="3F67CD62" w14:textId="77777777" w:rsidR="00D510B8" w:rsidRDefault="00D510B8" w:rsidP="00D510B8">
      <w:pPr>
        <w:pStyle w:val="Cuerpo"/>
        <w:spacing w:before="240"/>
        <w:jc w:val="both"/>
      </w:pPr>
      <w:r w:rsidRPr="00621D4C">
        <w:t>Cordialmente,</w:t>
      </w:r>
    </w:p>
    <w:p w14:paraId="22FEA924" w14:textId="77777777" w:rsidR="00F83BD6" w:rsidRDefault="00F83BD6" w:rsidP="00D510B8">
      <w:pPr>
        <w:pStyle w:val="Cuerpo"/>
        <w:spacing w:before="240"/>
        <w:jc w:val="both"/>
      </w:pPr>
    </w:p>
    <w:p w14:paraId="1EAB8FEA" w14:textId="77777777" w:rsidR="00F83BD6" w:rsidRPr="00621D4C" w:rsidRDefault="00F83BD6" w:rsidP="00D510B8">
      <w:pPr>
        <w:pStyle w:val="Cuerpo"/>
        <w:spacing w:before="240"/>
        <w:jc w:val="both"/>
      </w:pPr>
    </w:p>
    <w:p w14:paraId="0C3EF329" w14:textId="77777777" w:rsidR="00D510B8" w:rsidRPr="00621D4C" w:rsidRDefault="00D510B8" w:rsidP="00D510B8">
      <w:pPr>
        <w:spacing w:before="240"/>
        <w:jc w:val="both"/>
        <w:rPr>
          <w:lang w:val="es-CO"/>
        </w:rPr>
      </w:pPr>
      <w:r w:rsidRPr="00621D4C">
        <w:rPr>
          <w:lang w:val="es-CO"/>
        </w:rPr>
        <w:t>________________________</w:t>
      </w:r>
      <w:r w:rsidRPr="00621D4C">
        <w:rPr>
          <w:lang w:val="es-CO"/>
        </w:rPr>
        <w:tab/>
      </w:r>
    </w:p>
    <w:p w14:paraId="6603151A" w14:textId="77777777" w:rsidR="00D510B8" w:rsidRPr="00621D4C" w:rsidRDefault="00D510B8" w:rsidP="00D510B8">
      <w:pPr>
        <w:jc w:val="both"/>
        <w:rPr>
          <w:lang w:val="es-CO"/>
        </w:rPr>
      </w:pPr>
      <w:r w:rsidRPr="00621D4C">
        <w:rPr>
          <w:b/>
          <w:lang w:val="es-CO"/>
        </w:rPr>
        <w:t>RODRIGO LARA RESTREPO</w:t>
      </w:r>
      <w:r w:rsidRPr="00621D4C">
        <w:rPr>
          <w:lang w:val="es-CO"/>
        </w:rPr>
        <w:tab/>
        <w:t xml:space="preserve">      </w:t>
      </w:r>
    </w:p>
    <w:p w14:paraId="1F4D82E7" w14:textId="77777777" w:rsidR="00D510B8" w:rsidRPr="00621D4C" w:rsidRDefault="00D510B8" w:rsidP="00D510B8">
      <w:pPr>
        <w:rPr>
          <w:lang w:val="es-CO"/>
        </w:rPr>
      </w:pPr>
      <w:r w:rsidRPr="00621D4C">
        <w:rPr>
          <w:lang w:val="es-CO"/>
        </w:rPr>
        <w:t xml:space="preserve">H. Representante a la Cámara </w:t>
      </w:r>
    </w:p>
    <w:p w14:paraId="7BA3A671" w14:textId="77777777" w:rsidR="00D510B8" w:rsidRDefault="00D510B8">
      <w:pPr>
        <w:rPr>
          <w:lang w:val="es-CO"/>
        </w:rPr>
      </w:pPr>
    </w:p>
    <w:p w14:paraId="36BCC293" w14:textId="77777777" w:rsidR="00F83BD6" w:rsidRDefault="00F83BD6">
      <w:pPr>
        <w:rPr>
          <w:lang w:val="es-CO"/>
        </w:rPr>
      </w:pPr>
    </w:p>
    <w:p w14:paraId="02814E95" w14:textId="77777777" w:rsidR="00F83BD6" w:rsidRDefault="00F83BD6">
      <w:pPr>
        <w:rPr>
          <w:lang w:val="es-CO"/>
        </w:rPr>
      </w:pPr>
    </w:p>
    <w:p w14:paraId="35B0610D" w14:textId="77777777" w:rsidR="00F83BD6" w:rsidRDefault="00F83BD6">
      <w:pPr>
        <w:rPr>
          <w:lang w:val="es-CO"/>
        </w:rPr>
      </w:pPr>
    </w:p>
    <w:p w14:paraId="4A880F09" w14:textId="77777777" w:rsidR="00F83BD6" w:rsidRDefault="00F83BD6">
      <w:pPr>
        <w:rPr>
          <w:lang w:val="es-CO"/>
        </w:rPr>
      </w:pPr>
    </w:p>
    <w:p w14:paraId="31AA0941" w14:textId="77777777" w:rsidR="00F83BD6" w:rsidRDefault="00F83BD6" w:rsidP="00F83BD6">
      <w:pPr>
        <w:rPr>
          <w:lang w:val="es-CO"/>
        </w:rPr>
      </w:pPr>
    </w:p>
    <w:p w14:paraId="6331C6A5" w14:textId="77777777" w:rsidR="00F83BD6" w:rsidRPr="00287741" w:rsidRDefault="00F83BD6" w:rsidP="00F83BD6">
      <w:pPr>
        <w:rPr>
          <w:lang w:val="es-CO"/>
        </w:rPr>
      </w:pPr>
    </w:p>
    <w:p w14:paraId="079EA573" w14:textId="77777777" w:rsidR="00F83BD6" w:rsidRPr="00287741" w:rsidRDefault="00F83BD6" w:rsidP="00F83BD6">
      <w:pPr>
        <w:jc w:val="both"/>
        <w:rPr>
          <w:lang w:val="es-CO"/>
        </w:rPr>
      </w:pPr>
      <w:r w:rsidRPr="00287741">
        <w:rPr>
          <w:lang w:val="es-CO"/>
        </w:rPr>
        <w:t>_______________________</w:t>
      </w:r>
      <w:r w:rsidRPr="00287741">
        <w:rPr>
          <w:lang w:val="es-CO"/>
        </w:rPr>
        <w:tab/>
      </w:r>
    </w:p>
    <w:p w14:paraId="6C3DE9C4" w14:textId="77777777" w:rsidR="00F83BD6" w:rsidRPr="00287741" w:rsidRDefault="00F83BD6" w:rsidP="00F83BD6">
      <w:pPr>
        <w:jc w:val="both"/>
        <w:rPr>
          <w:lang w:val="es-CO"/>
        </w:rPr>
      </w:pPr>
      <w:r>
        <w:rPr>
          <w:b/>
          <w:lang w:val="es-CO"/>
        </w:rPr>
        <w:t>DAVID BARGUIL ASSIS</w:t>
      </w:r>
      <w:r w:rsidRPr="00287741">
        <w:rPr>
          <w:lang w:val="es-CO"/>
        </w:rPr>
        <w:tab/>
        <w:t xml:space="preserve">      </w:t>
      </w:r>
    </w:p>
    <w:p w14:paraId="1E3DFEDD" w14:textId="77777777" w:rsidR="00F83BD6" w:rsidRPr="00287741" w:rsidRDefault="00F83BD6" w:rsidP="00F83BD6">
      <w:pPr>
        <w:rPr>
          <w:lang w:val="es-CO"/>
        </w:rPr>
      </w:pPr>
      <w:r w:rsidRPr="00287741">
        <w:rPr>
          <w:lang w:val="es-CO"/>
        </w:rPr>
        <w:t xml:space="preserve">H. Representante a la Cámara </w:t>
      </w:r>
    </w:p>
    <w:p w14:paraId="60B5988B" w14:textId="77777777" w:rsidR="00F83BD6" w:rsidRPr="00D510B8" w:rsidRDefault="00F83BD6">
      <w:pPr>
        <w:rPr>
          <w:lang w:val="es-CO"/>
        </w:rPr>
      </w:pPr>
    </w:p>
    <w:sectPr w:rsidR="00F83BD6" w:rsidRPr="00D510B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5D4A8" w14:textId="77777777" w:rsidR="008C7423" w:rsidRDefault="008C7423" w:rsidP="00D510B8">
      <w:r>
        <w:separator/>
      </w:r>
    </w:p>
  </w:endnote>
  <w:endnote w:type="continuationSeparator" w:id="0">
    <w:p w14:paraId="142AEC53" w14:textId="77777777" w:rsidR="008C7423" w:rsidRDefault="008C7423" w:rsidP="00D5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19">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937">
    <w:altName w:val="Times New Roman"/>
    <w:charset w:val="00"/>
    <w:family w:val="auto"/>
    <w:pitch w:val="variable"/>
  </w:font>
  <w:font w:name="Arial Bold">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Roman">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F6294" w14:textId="77777777" w:rsidR="008C7423" w:rsidRDefault="008C7423" w:rsidP="00D510B8">
      <w:r>
        <w:separator/>
      </w:r>
    </w:p>
  </w:footnote>
  <w:footnote w:type="continuationSeparator" w:id="0">
    <w:p w14:paraId="3987763F" w14:textId="77777777" w:rsidR="008C7423" w:rsidRDefault="008C7423" w:rsidP="00D510B8">
      <w:r>
        <w:continuationSeparator/>
      </w:r>
    </w:p>
  </w:footnote>
  <w:footnote w:id="1">
    <w:p w14:paraId="601B8E50" w14:textId="77777777" w:rsidR="00D510B8" w:rsidRPr="005C759F" w:rsidRDefault="00D510B8" w:rsidP="00D510B8">
      <w:pPr>
        <w:jc w:val="both"/>
        <w:rPr>
          <w:sz w:val="20"/>
          <w:szCs w:val="20"/>
        </w:rPr>
      </w:pPr>
      <w:r w:rsidRPr="003464B6">
        <w:rPr>
          <w:rStyle w:val="Refdenotaalpie"/>
        </w:rPr>
        <w:footnoteRef/>
      </w:r>
      <w:r w:rsidRPr="005C759F">
        <w:rPr>
          <w:sz w:val="20"/>
          <w:szCs w:val="20"/>
        </w:rPr>
        <w:t xml:space="preserve"> </w:t>
      </w:r>
      <w:r>
        <w:rPr>
          <w:sz w:val="20"/>
          <w:szCs w:val="20"/>
        </w:rPr>
        <w:t xml:space="preserve">   </w:t>
      </w:r>
      <w:r w:rsidRPr="005C759F">
        <w:rPr>
          <w:sz w:val="20"/>
          <w:szCs w:val="20"/>
        </w:rPr>
        <w:t xml:space="preserve">M.P. Manuel José Cepeda. </w:t>
      </w:r>
    </w:p>
  </w:footnote>
  <w:footnote w:id="2">
    <w:p w14:paraId="1C2F7CF1" w14:textId="77777777" w:rsidR="00D510B8" w:rsidRDefault="00D510B8" w:rsidP="00D510B8">
      <w:pPr>
        <w:pStyle w:val="Textonotapie"/>
        <w:jc w:val="both"/>
      </w:pPr>
      <w:r>
        <w:rPr>
          <w:rStyle w:val="Refdenotaalpie"/>
        </w:rPr>
        <w:footnoteRef/>
      </w:r>
      <w:r>
        <w:t xml:space="preserve">   </w:t>
      </w:r>
      <w:r>
        <w:tab/>
      </w:r>
      <w:r w:rsidRPr="00BB5055">
        <w:rPr>
          <w:rFonts w:ascii="Times New Roman" w:hAnsi="Times New Roman" w:cs="Times New Roman"/>
        </w:rPr>
        <w:t>Mediante sentencia C-313 de 2014 M.P. Gabriel Eduardo Mendoza, se realizó el control previo e integral del Proyecto de Ley Estatutaria 209 de 2013 Senado y 267 DE 2013 Cámara “Por medio de la cual se regula el derecho fundamental a la salud y se dictan otras disposiciones”. Allí se declaró “EXEQUIBLE el artículo 6°, salvo las expresiones “de manera intempestiva y arbitraria” contenidas en el literal d) del inciso segundo, “que se requieran con necesidad” y “que puedan agravar la condición de salud de las personas” contenidas en el literal e) del inciso segundo, que se declaran INEXEQUIBLES”.</w:t>
      </w:r>
    </w:p>
  </w:footnote>
  <w:footnote w:id="3">
    <w:p w14:paraId="64D8DE4C" w14:textId="24E6DB3F" w:rsidR="00D510B8" w:rsidRPr="006816B3" w:rsidRDefault="00D510B8" w:rsidP="00D510B8">
      <w:pPr>
        <w:pStyle w:val="Textonotapie"/>
        <w:jc w:val="both"/>
        <w:rPr>
          <w:rFonts w:ascii="Times New Roman" w:hAnsi="Times New Roman" w:cs="Times New Roman"/>
        </w:rPr>
      </w:pPr>
      <w:r w:rsidRPr="006816B3">
        <w:rPr>
          <w:rStyle w:val="Refdenotaalpie"/>
          <w:rFonts w:ascii="Times New Roman" w:hAnsi="Times New Roman" w:cs="Times New Roman"/>
        </w:rPr>
        <w:footnoteRef/>
      </w:r>
      <w:r w:rsidRPr="006816B3">
        <w:rPr>
          <w:rStyle w:val="Refdenotaalpie"/>
          <w:rFonts w:ascii="Times New Roman" w:hAnsi="Times New Roman" w:cs="Times New Roman"/>
        </w:rPr>
        <w:t xml:space="preserve"> </w:t>
      </w:r>
      <w:r w:rsidRPr="006816B3">
        <w:rPr>
          <w:rStyle w:val="Refdenotaalpie"/>
          <w:rFonts w:ascii="Times New Roman" w:hAnsi="Times New Roman" w:cs="Times New Roman"/>
        </w:rPr>
        <w:tab/>
      </w:r>
      <w:r w:rsidRPr="006816B3">
        <w:rPr>
          <w:rFonts w:ascii="Times New Roman" w:hAnsi="Times New Roman" w:cs="Times New Roman"/>
        </w:rPr>
        <w:t xml:space="preserve">Los principios enunciados son: universalidad; pro </w:t>
      </w:r>
      <w:proofErr w:type="spellStart"/>
      <w:r w:rsidRPr="006816B3">
        <w:rPr>
          <w:rFonts w:ascii="Times New Roman" w:hAnsi="Times New Roman" w:cs="Times New Roman"/>
        </w:rPr>
        <w:t>homine</w:t>
      </w:r>
      <w:proofErr w:type="spellEnd"/>
      <w:r w:rsidRPr="006816B3">
        <w:rPr>
          <w:rFonts w:ascii="Times New Roman" w:hAnsi="Times New Roman" w:cs="Times New Roman"/>
        </w:rPr>
        <w:t xml:space="preserve">; equidad; continuidad; </w:t>
      </w:r>
      <w:r w:rsidR="00FE3D89">
        <w:rPr>
          <w:rFonts w:ascii="Times New Roman" w:hAnsi="Times New Roman" w:cs="Times New Roman"/>
        </w:rPr>
        <w:t xml:space="preserve">oportunidad; </w:t>
      </w:r>
      <w:r w:rsidRPr="006816B3">
        <w:rPr>
          <w:rFonts w:ascii="Times New Roman" w:hAnsi="Times New Roman" w:cs="Times New Roman"/>
        </w:rPr>
        <w:t>prevalencia   de derechos; progresividad del derecho; libre elección;</w:t>
      </w:r>
      <w:r w:rsidR="00253DA3">
        <w:rPr>
          <w:rFonts w:ascii="Times New Roman" w:hAnsi="Times New Roman" w:cs="Times New Roman"/>
        </w:rPr>
        <w:t xml:space="preserve"> sostenibilidad; </w:t>
      </w:r>
      <w:proofErr w:type="gramStart"/>
      <w:r w:rsidR="00253DA3">
        <w:rPr>
          <w:rFonts w:ascii="Times New Roman" w:hAnsi="Times New Roman" w:cs="Times New Roman"/>
        </w:rPr>
        <w:t>solidaridad;</w:t>
      </w:r>
      <w:r w:rsidRPr="006816B3">
        <w:rPr>
          <w:rFonts w:ascii="Times New Roman" w:hAnsi="Times New Roman" w:cs="Times New Roman"/>
        </w:rPr>
        <w:t xml:space="preserve">  eficiencia</w:t>
      </w:r>
      <w:proofErr w:type="gramEnd"/>
      <w:r w:rsidRPr="006816B3">
        <w:rPr>
          <w:rFonts w:ascii="Times New Roman" w:hAnsi="Times New Roman" w:cs="Times New Roman"/>
        </w:rPr>
        <w:t xml:space="preserve">; interculturalidad; protección a los pueblos indígenas y por último, protección pueblos y   comunidades indígenas, ROM, negras, afrocolombianas, raizales y </w:t>
      </w:r>
      <w:proofErr w:type="spellStart"/>
      <w:r w:rsidRPr="006816B3">
        <w:rPr>
          <w:rFonts w:ascii="Times New Roman" w:hAnsi="Times New Roman" w:cs="Times New Roman"/>
        </w:rPr>
        <w:t>palenqueras</w:t>
      </w:r>
      <w:proofErr w:type="spellEnd"/>
    </w:p>
  </w:footnote>
  <w:footnote w:id="4">
    <w:p w14:paraId="6ED50504" w14:textId="77777777" w:rsidR="00D510B8" w:rsidRPr="006816B3" w:rsidRDefault="00D510B8" w:rsidP="00D510B8">
      <w:pPr>
        <w:jc w:val="both"/>
        <w:rPr>
          <w:sz w:val="20"/>
          <w:szCs w:val="20"/>
          <w:lang w:val="en-US"/>
        </w:rPr>
      </w:pPr>
      <w:r w:rsidRPr="006816B3">
        <w:rPr>
          <w:rStyle w:val="Refdenotaalpie"/>
        </w:rPr>
        <w:footnoteRef/>
      </w:r>
      <w:r w:rsidRPr="00B31385">
        <w:rPr>
          <w:rStyle w:val="Refdenotaalpie"/>
          <w:lang w:val="en-US"/>
        </w:rPr>
        <w:t xml:space="preserve">     </w:t>
      </w:r>
      <w:r w:rsidRPr="00B31385">
        <w:rPr>
          <w:sz w:val="20"/>
          <w:szCs w:val="20"/>
          <w:lang w:val="en-US"/>
        </w:rPr>
        <w:t xml:space="preserve">Managed care competition. </w:t>
      </w:r>
      <w:r w:rsidRPr="006816B3">
        <w:rPr>
          <w:sz w:val="20"/>
          <w:szCs w:val="20"/>
          <w:lang w:val="en-US"/>
        </w:rPr>
        <w:t xml:space="preserve">Handbook of Health Economics, Volume 1, and Part A, 2000, Pages 707–                                                                       </w:t>
      </w:r>
    </w:p>
    <w:p w14:paraId="7D2E4A82" w14:textId="36FE28F6" w:rsidR="00D510B8" w:rsidRPr="006816B3" w:rsidRDefault="00D510B8" w:rsidP="00D510B8">
      <w:pPr>
        <w:jc w:val="both"/>
        <w:rPr>
          <w:sz w:val="20"/>
          <w:szCs w:val="20"/>
        </w:rPr>
      </w:pPr>
      <w:r w:rsidRPr="006816B3">
        <w:rPr>
          <w:sz w:val="20"/>
          <w:szCs w:val="20"/>
          <w:lang w:val="en-US"/>
        </w:rPr>
        <w:t xml:space="preserve">     </w:t>
      </w:r>
      <w:r w:rsidRPr="006816B3">
        <w:rPr>
          <w:sz w:val="20"/>
          <w:szCs w:val="20"/>
        </w:rPr>
        <w:t xml:space="preserve">753. </w:t>
      </w:r>
      <w:proofErr w:type="spellStart"/>
      <w:r w:rsidRPr="006816B3">
        <w:rPr>
          <w:sz w:val="20"/>
          <w:szCs w:val="20"/>
        </w:rPr>
        <w:t>Chapter</w:t>
      </w:r>
      <w:proofErr w:type="spellEnd"/>
      <w:r w:rsidRPr="006816B3">
        <w:rPr>
          <w:sz w:val="20"/>
          <w:szCs w:val="20"/>
        </w:rPr>
        <w:t xml:space="preserve"> 13 – </w:t>
      </w:r>
      <w:proofErr w:type="spellStart"/>
      <w:r w:rsidRPr="006816B3">
        <w:rPr>
          <w:sz w:val="20"/>
          <w:szCs w:val="20"/>
        </w:rPr>
        <w:t>Managed</w:t>
      </w:r>
      <w:proofErr w:type="spellEnd"/>
      <w:r w:rsidRPr="006816B3">
        <w:rPr>
          <w:sz w:val="20"/>
          <w:szCs w:val="20"/>
        </w:rPr>
        <w:t xml:space="preserve"> </w:t>
      </w:r>
      <w:proofErr w:type="spellStart"/>
      <w:r w:rsidRPr="006816B3">
        <w:rPr>
          <w:sz w:val="20"/>
          <w:szCs w:val="20"/>
        </w:rPr>
        <w:t>Care</w:t>
      </w:r>
      <w:proofErr w:type="spellEnd"/>
      <w:r w:rsidRPr="006816B3">
        <w:rPr>
          <w:sz w:val="20"/>
          <w:szCs w:val="20"/>
        </w:rPr>
        <w:t xml:space="preserve">. </w:t>
      </w:r>
    </w:p>
  </w:footnote>
  <w:footnote w:id="5">
    <w:p w14:paraId="73ED5855" w14:textId="77777777" w:rsidR="00D510B8" w:rsidRPr="006816B3" w:rsidRDefault="00D510B8" w:rsidP="00D510B8">
      <w:pPr>
        <w:pStyle w:val="Textonotapie"/>
        <w:jc w:val="both"/>
        <w:rPr>
          <w:rFonts w:ascii="Times New Roman" w:hAnsi="Times New Roman" w:cs="Times New Roman"/>
        </w:rPr>
      </w:pPr>
      <w:r w:rsidRPr="006816B3">
        <w:rPr>
          <w:rStyle w:val="Refdenotaalpie"/>
          <w:rFonts w:ascii="Times New Roman" w:hAnsi="Times New Roman" w:cs="Times New Roman"/>
        </w:rPr>
        <w:footnoteRef/>
      </w:r>
      <w:r w:rsidRPr="006816B3">
        <w:rPr>
          <w:rFonts w:ascii="Times New Roman" w:hAnsi="Times New Roman" w:cs="Times New Roman"/>
        </w:rPr>
        <w:t xml:space="preserve"> </w:t>
      </w:r>
      <w:r w:rsidRPr="006816B3">
        <w:rPr>
          <w:rFonts w:ascii="Times New Roman" w:hAnsi="Times New Roman" w:cs="Times New Roman"/>
        </w:rPr>
        <w:tab/>
        <w:t>La Unidad de pago por capitación (UPC) es el valor que reconoce el sistema a cada EPS por la organización y garantía de la prestación de los servicios de salud contenidos en el plan obligatorio de salud, sin distinción o segmentación alguna por niveles de complejidad, tecnologías especificas o Entidades Promotoras de Salud (EPS), tipos de prestadores de servicios, ni por las diferentes modalidades de pago y contratación de servicios que podrían existir.</w:t>
      </w:r>
    </w:p>
  </w:footnote>
  <w:footnote w:id="6">
    <w:p w14:paraId="73629F80" w14:textId="77777777" w:rsidR="00D510B8" w:rsidRPr="006816B3" w:rsidRDefault="00D510B8" w:rsidP="00D510B8">
      <w:pPr>
        <w:pStyle w:val="Textonotapie"/>
        <w:rPr>
          <w:rFonts w:ascii="Times New Roman" w:hAnsi="Times New Roman" w:cs="Times New Roman"/>
        </w:rPr>
      </w:pPr>
      <w:r w:rsidRPr="006816B3">
        <w:rPr>
          <w:rStyle w:val="Refdenotaalpie"/>
          <w:rFonts w:ascii="Times New Roman" w:hAnsi="Times New Roman" w:cs="Times New Roman"/>
        </w:rPr>
        <w:footnoteRef/>
      </w:r>
      <w:r w:rsidRPr="006816B3">
        <w:rPr>
          <w:rFonts w:ascii="Times New Roman" w:hAnsi="Times New Roman" w:cs="Times New Roman"/>
        </w:rPr>
        <w:t xml:space="preserve"> </w:t>
      </w:r>
      <w:r w:rsidRPr="006816B3">
        <w:rPr>
          <w:rFonts w:ascii="Times New Roman" w:hAnsi="Times New Roman" w:cs="Times New Roman"/>
        </w:rPr>
        <w:tab/>
        <w:t xml:space="preserve">En Colombia el gasto en salud como porcentaje del PIB se encuentra por debajo del promedio de la región. </w:t>
      </w:r>
    </w:p>
  </w:footnote>
  <w:footnote w:id="7">
    <w:p w14:paraId="298DDDA0" w14:textId="09D1CDE1" w:rsidR="00D510B8" w:rsidRDefault="00D510B8" w:rsidP="00D510B8">
      <w:pPr>
        <w:pStyle w:val="Textonotapie"/>
        <w:jc w:val="both"/>
      </w:pPr>
      <w:r w:rsidRPr="006816B3">
        <w:rPr>
          <w:rStyle w:val="Refdenotaalpie"/>
          <w:rFonts w:ascii="Times New Roman" w:hAnsi="Times New Roman" w:cs="Times New Roman"/>
        </w:rPr>
        <w:footnoteRef/>
      </w:r>
      <w:r w:rsidRPr="006816B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sidRPr="006816B3">
        <w:rPr>
          <w:rFonts w:ascii="Times New Roman" w:hAnsi="Times New Roman" w:cs="Times New Roman"/>
        </w:rPr>
        <w:t xml:space="preserve">Actualmente, se cuenta con diferentes herramientas para entregarle información al ciudadano sobre el desempeño de las diferentes EPS. Así, la Ley 1438 de 2011, en su artículo 111, establece que de manera anual se debe presentar un informe con la calificación de los actores. Igualmente, los usuarios cuentan con el Sistema de Información para la Calidad (SIC). En la resolución de 256 de 2016, el Ministerio de Salud </w:t>
      </w:r>
      <w:r w:rsidR="002C55BB" w:rsidRPr="006816B3">
        <w:rPr>
          <w:rFonts w:ascii="Times New Roman" w:hAnsi="Times New Roman" w:cs="Times New Roman"/>
        </w:rPr>
        <w:t>y Protección</w:t>
      </w:r>
      <w:r w:rsidRPr="006816B3">
        <w:rPr>
          <w:rFonts w:ascii="Times New Roman" w:hAnsi="Times New Roman" w:cs="Times New Roman"/>
        </w:rPr>
        <w:t xml:space="preserve"> Social actualizó los criterios y parámetros a considerar en el SIC. La Corte Constitucional, en virtud de la sentencia T-760 de 2008, le solicitó al Ministerio de Salud realizar un ranking de las EPS tomando en consideración las principales prácticas violatorias del derecho a la salud. La Corte Constitucional determinó catorce (14) ítems o criterios para la construcción de determinado ranking.</w:t>
      </w:r>
    </w:p>
  </w:footnote>
  <w:footnote w:id="8">
    <w:p w14:paraId="427BFACC" w14:textId="77777777" w:rsidR="00D510B8" w:rsidRPr="00B31385" w:rsidRDefault="00D510B8" w:rsidP="00D510B8">
      <w:pPr>
        <w:pStyle w:val="Textonotapie"/>
        <w:rPr>
          <w:rFonts w:ascii="Times New Roman" w:hAnsi="Times New Roman" w:cs="Times New Roman"/>
        </w:rPr>
      </w:pPr>
      <w:r>
        <w:rPr>
          <w:rStyle w:val="Refdenotaalpie"/>
        </w:rPr>
        <w:footnoteRef/>
      </w:r>
      <w:r>
        <w:t xml:space="preserve">  </w:t>
      </w:r>
      <w:r w:rsidRPr="00785E11">
        <w:rPr>
          <w:rFonts w:ascii="Times New Roman" w:hAnsi="Times New Roman" w:cs="Times New Roman"/>
        </w:rPr>
        <w:t xml:space="preserve">  </w:t>
      </w:r>
      <w:proofErr w:type="spellStart"/>
      <w:r w:rsidRPr="00785E11">
        <w:rPr>
          <w:rFonts w:ascii="Times New Roman" w:hAnsi="Times New Roman" w:cs="Times New Roman"/>
        </w:rPr>
        <w:t>Baranes</w:t>
      </w:r>
      <w:proofErr w:type="spellEnd"/>
      <w:r w:rsidRPr="00785E11">
        <w:rPr>
          <w:rFonts w:ascii="Times New Roman" w:hAnsi="Times New Roman" w:cs="Times New Roman"/>
        </w:rPr>
        <w:t xml:space="preserve">, E., y </w:t>
      </w:r>
      <w:proofErr w:type="spellStart"/>
      <w:r w:rsidRPr="00785E11">
        <w:rPr>
          <w:rFonts w:ascii="Times New Roman" w:hAnsi="Times New Roman" w:cs="Times New Roman"/>
        </w:rPr>
        <w:t>Bardey</w:t>
      </w:r>
      <w:proofErr w:type="spellEnd"/>
      <w:r w:rsidRPr="00785E11">
        <w:rPr>
          <w:rFonts w:ascii="Times New Roman" w:hAnsi="Times New Roman" w:cs="Times New Roman"/>
        </w:rPr>
        <w:t xml:space="preserve">, D. (2012). </w:t>
      </w:r>
      <w:r w:rsidRPr="00785E11">
        <w:rPr>
          <w:rFonts w:ascii="Times New Roman" w:hAnsi="Times New Roman" w:cs="Times New Roman"/>
          <w:lang w:val="en-US"/>
        </w:rPr>
        <w:t xml:space="preserve">Competition between Managed Care Organizations </w:t>
      </w:r>
      <w:r>
        <w:rPr>
          <w:rFonts w:ascii="Times New Roman" w:hAnsi="Times New Roman" w:cs="Times New Roman"/>
          <w:lang w:val="en-US"/>
        </w:rPr>
        <w:t xml:space="preserve">and Indemnity </w:t>
      </w:r>
      <w:r w:rsidRPr="00785E11">
        <w:rPr>
          <w:rFonts w:ascii="Times New Roman" w:hAnsi="Times New Roman" w:cs="Times New Roman"/>
          <w:lang w:val="en-US"/>
        </w:rPr>
        <w:t>Plans in Health Insur</w:t>
      </w:r>
      <w:r>
        <w:rPr>
          <w:rFonts w:ascii="Times New Roman" w:hAnsi="Times New Roman" w:cs="Times New Roman"/>
          <w:lang w:val="en-US"/>
        </w:rPr>
        <w:t>ance Markets.</w:t>
      </w:r>
      <w:r w:rsidRPr="00785E11">
        <w:rPr>
          <w:rFonts w:ascii="Times New Roman" w:hAnsi="Times New Roman" w:cs="Times New Roman"/>
          <w:lang w:val="en-US"/>
        </w:rPr>
        <w:t xml:space="preserve"> </w:t>
      </w:r>
      <w:r w:rsidRPr="00B31385">
        <w:rPr>
          <w:rFonts w:ascii="Times New Roman" w:hAnsi="Times New Roman" w:cs="Times New Roman"/>
        </w:rPr>
        <w:t>Documento Cede, Universidad de los Andes.</w:t>
      </w:r>
    </w:p>
  </w:footnote>
  <w:footnote w:id="9">
    <w:p w14:paraId="29513C60" w14:textId="77777777" w:rsidR="00D510B8" w:rsidRPr="00F52070" w:rsidRDefault="00D510B8" w:rsidP="00D510B8">
      <w:pPr>
        <w:pStyle w:val="Textonotapie"/>
        <w:rPr>
          <w:rFonts w:ascii="Times New Roman" w:hAnsi="Times New Roman" w:cs="Times New Roman"/>
        </w:rPr>
      </w:pPr>
      <w:r w:rsidRPr="00F52070">
        <w:rPr>
          <w:rStyle w:val="Refdenotaalpie"/>
          <w:rFonts w:ascii="Times New Roman" w:hAnsi="Times New Roman" w:cs="Times New Roman"/>
        </w:rPr>
        <w:footnoteRef/>
      </w:r>
      <w:r>
        <w:rPr>
          <w:rFonts w:ascii="Times New Roman" w:hAnsi="Times New Roman" w:cs="Times New Roman"/>
        </w:rPr>
        <w:t xml:space="preserve">    </w:t>
      </w:r>
      <w:r w:rsidRPr="00F52070">
        <w:rPr>
          <w:rFonts w:ascii="Times New Roman" w:hAnsi="Times New Roman" w:cs="Times New Roman"/>
        </w:rPr>
        <w:t xml:space="preserve">Dávila, C. y Rueda A. (2013). La competencia en el modelo de aseguramiento en salud </w:t>
      </w:r>
      <w:r>
        <w:rPr>
          <w:rFonts w:ascii="Times New Roman" w:hAnsi="Times New Roman" w:cs="Times New Roman"/>
        </w:rPr>
        <w:t xml:space="preserve">en Colombia. </w:t>
      </w:r>
      <w:r w:rsidRPr="00F52070">
        <w:rPr>
          <w:rFonts w:ascii="Times New Roman" w:hAnsi="Times New Roman" w:cs="Times New Roman"/>
        </w:rPr>
        <w:t>Tesis de la Universidad del Externado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8B41" w14:textId="6E2C1A86" w:rsidR="00D510B8" w:rsidRDefault="00D510B8" w:rsidP="00D510B8">
    <w:pPr>
      <w:pStyle w:val="Encabezado"/>
      <w:jc w:val="right"/>
    </w:pPr>
    <w:r>
      <w:rPr>
        <w:noProof/>
        <w:lang w:val="es-CO" w:eastAsia="es-CO"/>
      </w:rPr>
      <w:drawing>
        <wp:anchor distT="152400" distB="152400" distL="152400" distR="152400" simplePos="0" relativeHeight="251659264" behindDoc="1" locked="0" layoutInCell="1" allowOverlap="1" wp14:anchorId="2DC1D55D" wp14:editId="00232A54">
          <wp:simplePos x="0" y="0"/>
          <wp:positionH relativeFrom="page">
            <wp:posOffset>3114675</wp:posOffset>
          </wp:positionH>
          <wp:positionV relativeFrom="page">
            <wp:posOffset>314325</wp:posOffset>
          </wp:positionV>
          <wp:extent cx="1552575" cy="33337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Pr="00E1508C">
      <w:instrText xml:space="preserve"> </w:instrText>
    </w:r>
    <w:r>
      <w:instrText>PAGE</w:instrText>
    </w:r>
    <w:r w:rsidRPr="00E1508C">
      <w:instrText xml:space="preserve"> </w:instrText>
    </w:r>
    <w:r>
      <w:fldChar w:fldCharType="separate"/>
    </w:r>
    <w:r w:rsidR="000F65A0">
      <w:rPr>
        <w:noProof/>
      </w:rPr>
      <w:t>13</w:t>
    </w:r>
    <w:r>
      <w:rPr>
        <w:noProof/>
      </w:rPr>
      <w:fldChar w:fldCharType="end"/>
    </w:r>
  </w:p>
  <w:p w14:paraId="09630FE1" w14:textId="77777777" w:rsidR="00D510B8" w:rsidRDefault="00D510B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Num5"/>
    <w:lvl w:ilvl="0">
      <w:start w:val="1"/>
      <w:numFmt w:val="lowerRoman"/>
      <w:lvlText w:val="%1)"/>
      <w:lvlJc w:val="left"/>
      <w:pPr>
        <w:tabs>
          <w:tab w:val="num" w:pos="0"/>
        </w:tabs>
        <w:ind w:left="1428" w:hanging="72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2" w15:restartNumberingAfterBreak="0">
    <w:nsid w:val="00000004"/>
    <w:multiLevelType w:val="multilevel"/>
    <w:tmpl w:val="00000004"/>
    <w:name w:val="WW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multilevel"/>
    <w:tmpl w:val="86F849CC"/>
    <w:name w:val="WWNum112"/>
    <w:lvl w:ilvl="0">
      <w:start w:val="1"/>
      <w:numFmt w:val="decimal"/>
      <w:lvlText w:val="%1."/>
      <w:lvlJc w:val="left"/>
      <w:pPr>
        <w:ind w:left="360" w:hanging="360"/>
      </w:pPr>
      <w:rPr>
        <w:rFonts w:hint="default"/>
      </w:rPr>
    </w:lvl>
    <w:lvl w:ilvl="1">
      <w:start w:val="1"/>
      <w:numFmt w:val="lowerLetter"/>
      <w:lvlText w:val="%2)"/>
      <w:lvlJc w:val="left"/>
      <w:pPr>
        <w:tabs>
          <w:tab w:val="num" w:pos="0"/>
        </w:tabs>
        <w:ind w:left="792" w:hanging="432"/>
      </w:pPr>
      <w:rPr>
        <w:b/>
      </w:rPr>
    </w:lvl>
    <w:lvl w:ilvl="2">
      <w:start w:val="1"/>
      <w:numFmt w:val="bullet"/>
      <w:lvlText w:val="o"/>
      <w:lvlJc w:val="left"/>
      <w:pPr>
        <w:ind w:left="1080" w:hanging="360"/>
      </w:pPr>
      <w:rPr>
        <w:rFonts w:ascii="Courier New" w:hAnsi="Courier New" w:cs="Courier New" w:hint="default"/>
      </w:rPr>
    </w:lvl>
    <w:lvl w:ilvl="3">
      <w:start w:val="3"/>
      <w:numFmt w:val="bullet"/>
      <w:lvlText w:val="-"/>
      <w:lvlJc w:val="left"/>
      <w:pPr>
        <w:ind w:left="1440" w:hanging="360"/>
      </w:pPr>
      <w:rPr>
        <w:rFonts w:ascii="Times New Roman" w:eastAsia="SimSun" w:hAnsi="Times New Roman" w:cs="Times New Roman"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Symbol" w:hAnsi="Symbol" w:hint="default"/>
      </w:rPr>
    </w:lvl>
    <w:lvl w:ilvl="6">
      <w:start w:val="1"/>
      <w:numFmt w:val="bullet"/>
      <w:lvlText w:val="o"/>
      <w:lvlJc w:val="left"/>
      <w:pPr>
        <w:ind w:left="2520" w:hanging="360"/>
      </w:pPr>
      <w:rPr>
        <w:rFonts w:ascii="Courier New" w:hAnsi="Courier New" w:cs="Courier New" w:hint="default"/>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4E4431F"/>
    <w:multiLevelType w:val="hybridMultilevel"/>
    <w:tmpl w:val="1B4A273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B601C72"/>
    <w:multiLevelType w:val="hybridMultilevel"/>
    <w:tmpl w:val="7EE246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B6B3917"/>
    <w:multiLevelType w:val="hybridMultilevel"/>
    <w:tmpl w:val="CAB07938"/>
    <w:lvl w:ilvl="0" w:tplc="E138D924">
      <w:start w:val="1"/>
      <w:numFmt w:val="lowerLetter"/>
      <w:lvlText w:val="%1)"/>
      <w:lvlJc w:val="left"/>
      <w:pPr>
        <w:ind w:left="720" w:hanging="360"/>
      </w:pPr>
      <w:rPr>
        <w:rFonts w:ascii="Times New Roman" w:hAnsi="Times New Roman" w:cs="Times New Roman"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F233059"/>
    <w:multiLevelType w:val="hybridMultilevel"/>
    <w:tmpl w:val="02B2E648"/>
    <w:name w:val="WWNum112"/>
    <w:lvl w:ilvl="0" w:tplc="370E862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7204DA"/>
    <w:multiLevelType w:val="hybridMultilevel"/>
    <w:tmpl w:val="7EA29C22"/>
    <w:lvl w:ilvl="0" w:tplc="040A001B">
      <w:start w:val="1"/>
      <w:numFmt w:val="lowerRoman"/>
      <w:lvlText w:val="%1."/>
      <w:lvlJc w:val="right"/>
      <w:pPr>
        <w:ind w:left="720" w:hanging="360"/>
      </w:pPr>
    </w:lvl>
    <w:lvl w:ilvl="1" w:tplc="040A001B">
      <w:start w:val="1"/>
      <w:numFmt w:val="lowerRoman"/>
      <w:lvlText w:val="%2."/>
      <w:lvlJc w:val="righ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F632848"/>
    <w:multiLevelType w:val="hybridMultilevel"/>
    <w:tmpl w:val="F900259A"/>
    <w:lvl w:ilvl="0" w:tplc="46662D0C">
      <w:start w:val="3"/>
      <w:numFmt w:val="bullet"/>
      <w:lvlText w:val="-"/>
      <w:lvlJc w:val="left"/>
      <w:pPr>
        <w:ind w:left="720" w:hanging="360"/>
      </w:pPr>
      <w:rPr>
        <w:rFonts w:ascii="Times New Roman" w:eastAsia="SimSun"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3">
      <w:start w:val="1"/>
      <w:numFmt w:val="bullet"/>
      <w:lvlText w:val="o"/>
      <w:lvlJc w:val="left"/>
      <w:pPr>
        <w:ind w:left="2880" w:hanging="360"/>
      </w:pPr>
      <w:rPr>
        <w:rFonts w:ascii="Courier New" w:hAnsi="Courier New" w:cs="Courier New"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FF9512B"/>
    <w:multiLevelType w:val="hybridMultilevel"/>
    <w:tmpl w:val="3B884056"/>
    <w:name w:val="WWNum1122"/>
    <w:lvl w:ilvl="0" w:tplc="040A001B">
      <w:start w:val="1"/>
      <w:numFmt w:val="lowerRoman"/>
      <w:lvlText w:val="%1."/>
      <w:lvlJc w:val="righ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4"/>
  </w:num>
  <w:num w:numId="6">
    <w:abstractNumId w:val="9"/>
  </w:num>
  <w:num w:numId="7">
    <w:abstractNumId w:val="0"/>
  </w:num>
  <w:num w:numId="8">
    <w:abstractNumId w:val="5"/>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B8"/>
    <w:rsid w:val="000163A7"/>
    <w:rsid w:val="0001648C"/>
    <w:rsid w:val="00040B83"/>
    <w:rsid w:val="00041135"/>
    <w:rsid w:val="00047E96"/>
    <w:rsid w:val="0005715D"/>
    <w:rsid w:val="000639D0"/>
    <w:rsid w:val="000724FE"/>
    <w:rsid w:val="00091A9A"/>
    <w:rsid w:val="000A0516"/>
    <w:rsid w:val="000A6892"/>
    <w:rsid w:val="000B06AF"/>
    <w:rsid w:val="000B69E8"/>
    <w:rsid w:val="000C0D87"/>
    <w:rsid w:val="000C5B0A"/>
    <w:rsid w:val="000C64FC"/>
    <w:rsid w:val="000D18D3"/>
    <w:rsid w:val="000E476D"/>
    <w:rsid w:val="000F0FA2"/>
    <w:rsid w:val="000F221E"/>
    <w:rsid w:val="000F48E4"/>
    <w:rsid w:val="000F65A0"/>
    <w:rsid w:val="00100B60"/>
    <w:rsid w:val="00101251"/>
    <w:rsid w:val="00117024"/>
    <w:rsid w:val="00121AD8"/>
    <w:rsid w:val="00135B12"/>
    <w:rsid w:val="0014463E"/>
    <w:rsid w:val="001459BC"/>
    <w:rsid w:val="00145AB9"/>
    <w:rsid w:val="00151EDA"/>
    <w:rsid w:val="00171EB3"/>
    <w:rsid w:val="001865BA"/>
    <w:rsid w:val="001964C2"/>
    <w:rsid w:val="001A1197"/>
    <w:rsid w:val="001A3197"/>
    <w:rsid w:val="001B21E1"/>
    <w:rsid w:val="001B2D65"/>
    <w:rsid w:val="001B781B"/>
    <w:rsid w:val="001B7B54"/>
    <w:rsid w:val="001C02C5"/>
    <w:rsid w:val="001C1D3B"/>
    <w:rsid w:val="001C203A"/>
    <w:rsid w:val="001C351D"/>
    <w:rsid w:val="001C7135"/>
    <w:rsid w:val="001D02E8"/>
    <w:rsid w:val="001D7E5B"/>
    <w:rsid w:val="001E5732"/>
    <w:rsid w:val="001F0D37"/>
    <w:rsid w:val="001F29C9"/>
    <w:rsid w:val="001F61D9"/>
    <w:rsid w:val="001F7FEA"/>
    <w:rsid w:val="00203491"/>
    <w:rsid w:val="00211274"/>
    <w:rsid w:val="00216B4A"/>
    <w:rsid w:val="0022052A"/>
    <w:rsid w:val="00221C44"/>
    <w:rsid w:val="00232E0B"/>
    <w:rsid w:val="0023329B"/>
    <w:rsid w:val="00233932"/>
    <w:rsid w:val="00244A8B"/>
    <w:rsid w:val="00253DA3"/>
    <w:rsid w:val="002554AA"/>
    <w:rsid w:val="00261094"/>
    <w:rsid w:val="0027052E"/>
    <w:rsid w:val="002712CD"/>
    <w:rsid w:val="00282F9C"/>
    <w:rsid w:val="00283199"/>
    <w:rsid w:val="00287741"/>
    <w:rsid w:val="002A0C18"/>
    <w:rsid w:val="002A3801"/>
    <w:rsid w:val="002B46B3"/>
    <w:rsid w:val="002C2562"/>
    <w:rsid w:val="002C55BB"/>
    <w:rsid w:val="002C5E07"/>
    <w:rsid w:val="002D0780"/>
    <w:rsid w:val="002D1F43"/>
    <w:rsid w:val="002F370F"/>
    <w:rsid w:val="00301422"/>
    <w:rsid w:val="00306D30"/>
    <w:rsid w:val="00316773"/>
    <w:rsid w:val="00320F60"/>
    <w:rsid w:val="00322185"/>
    <w:rsid w:val="00340584"/>
    <w:rsid w:val="0034076D"/>
    <w:rsid w:val="00345767"/>
    <w:rsid w:val="003509E4"/>
    <w:rsid w:val="003543FF"/>
    <w:rsid w:val="00373A5F"/>
    <w:rsid w:val="00375671"/>
    <w:rsid w:val="00392FA6"/>
    <w:rsid w:val="00396AC0"/>
    <w:rsid w:val="003A40B3"/>
    <w:rsid w:val="003A772F"/>
    <w:rsid w:val="003B0598"/>
    <w:rsid w:val="003B0756"/>
    <w:rsid w:val="003B5160"/>
    <w:rsid w:val="003C193C"/>
    <w:rsid w:val="003C702C"/>
    <w:rsid w:val="003D1FC7"/>
    <w:rsid w:val="003D29C5"/>
    <w:rsid w:val="003D5DC3"/>
    <w:rsid w:val="003D62C1"/>
    <w:rsid w:val="003E0FCF"/>
    <w:rsid w:val="003F44BC"/>
    <w:rsid w:val="003F603B"/>
    <w:rsid w:val="00400067"/>
    <w:rsid w:val="004030E9"/>
    <w:rsid w:val="00406270"/>
    <w:rsid w:val="00411CF7"/>
    <w:rsid w:val="00416447"/>
    <w:rsid w:val="004172B9"/>
    <w:rsid w:val="00432B15"/>
    <w:rsid w:val="00432C1B"/>
    <w:rsid w:val="004344EA"/>
    <w:rsid w:val="00436F94"/>
    <w:rsid w:val="0044586D"/>
    <w:rsid w:val="00445E4D"/>
    <w:rsid w:val="004469B1"/>
    <w:rsid w:val="004478C4"/>
    <w:rsid w:val="00451176"/>
    <w:rsid w:val="00454F86"/>
    <w:rsid w:val="00470E77"/>
    <w:rsid w:val="0047196C"/>
    <w:rsid w:val="00474637"/>
    <w:rsid w:val="00475A66"/>
    <w:rsid w:val="0047785F"/>
    <w:rsid w:val="00485FEA"/>
    <w:rsid w:val="00490F27"/>
    <w:rsid w:val="0049427B"/>
    <w:rsid w:val="004A7D25"/>
    <w:rsid w:val="004B1553"/>
    <w:rsid w:val="004B511E"/>
    <w:rsid w:val="004C3D86"/>
    <w:rsid w:val="004D08EB"/>
    <w:rsid w:val="004D0FBA"/>
    <w:rsid w:val="004D1555"/>
    <w:rsid w:val="004D316E"/>
    <w:rsid w:val="004D40DC"/>
    <w:rsid w:val="004E05F0"/>
    <w:rsid w:val="004E0697"/>
    <w:rsid w:val="004E1FA3"/>
    <w:rsid w:val="004E61CC"/>
    <w:rsid w:val="004F1290"/>
    <w:rsid w:val="004F3933"/>
    <w:rsid w:val="004F4EA1"/>
    <w:rsid w:val="004F6A5F"/>
    <w:rsid w:val="00506427"/>
    <w:rsid w:val="00512F3B"/>
    <w:rsid w:val="005131CA"/>
    <w:rsid w:val="00514701"/>
    <w:rsid w:val="005262A2"/>
    <w:rsid w:val="005300E5"/>
    <w:rsid w:val="00534E68"/>
    <w:rsid w:val="005368E1"/>
    <w:rsid w:val="005439DC"/>
    <w:rsid w:val="00562A6A"/>
    <w:rsid w:val="00567D7D"/>
    <w:rsid w:val="00581933"/>
    <w:rsid w:val="005924F4"/>
    <w:rsid w:val="00596381"/>
    <w:rsid w:val="005B0F33"/>
    <w:rsid w:val="005B4407"/>
    <w:rsid w:val="005C6B5B"/>
    <w:rsid w:val="005D4C46"/>
    <w:rsid w:val="005E54FD"/>
    <w:rsid w:val="005F08BE"/>
    <w:rsid w:val="00634136"/>
    <w:rsid w:val="00637938"/>
    <w:rsid w:val="00641C25"/>
    <w:rsid w:val="00641E4C"/>
    <w:rsid w:val="006444CB"/>
    <w:rsid w:val="00647F1C"/>
    <w:rsid w:val="006608CB"/>
    <w:rsid w:val="006658DC"/>
    <w:rsid w:val="0066678A"/>
    <w:rsid w:val="006725AF"/>
    <w:rsid w:val="00675D42"/>
    <w:rsid w:val="006846E9"/>
    <w:rsid w:val="006920BC"/>
    <w:rsid w:val="0069510A"/>
    <w:rsid w:val="0069557D"/>
    <w:rsid w:val="006A11A7"/>
    <w:rsid w:val="006A160D"/>
    <w:rsid w:val="006A5FCF"/>
    <w:rsid w:val="006A7912"/>
    <w:rsid w:val="006B14AE"/>
    <w:rsid w:val="006B3865"/>
    <w:rsid w:val="006B61E8"/>
    <w:rsid w:val="006C25B1"/>
    <w:rsid w:val="006D4AFE"/>
    <w:rsid w:val="006D4CC8"/>
    <w:rsid w:val="006F118B"/>
    <w:rsid w:val="006F11FF"/>
    <w:rsid w:val="006F4B60"/>
    <w:rsid w:val="00710875"/>
    <w:rsid w:val="007108E7"/>
    <w:rsid w:val="0071106E"/>
    <w:rsid w:val="00712993"/>
    <w:rsid w:val="00721A66"/>
    <w:rsid w:val="00727B8E"/>
    <w:rsid w:val="00734B7E"/>
    <w:rsid w:val="007367AD"/>
    <w:rsid w:val="0074372E"/>
    <w:rsid w:val="00746950"/>
    <w:rsid w:val="00750F7A"/>
    <w:rsid w:val="0076099D"/>
    <w:rsid w:val="00762F0D"/>
    <w:rsid w:val="00765D65"/>
    <w:rsid w:val="00774263"/>
    <w:rsid w:val="007842BD"/>
    <w:rsid w:val="007A37BE"/>
    <w:rsid w:val="007B005E"/>
    <w:rsid w:val="007B0636"/>
    <w:rsid w:val="007B1772"/>
    <w:rsid w:val="007B3782"/>
    <w:rsid w:val="007B5443"/>
    <w:rsid w:val="007B78B5"/>
    <w:rsid w:val="007D0824"/>
    <w:rsid w:val="007D3EED"/>
    <w:rsid w:val="007E3B71"/>
    <w:rsid w:val="007E3E24"/>
    <w:rsid w:val="007E657C"/>
    <w:rsid w:val="007F1B24"/>
    <w:rsid w:val="007F265A"/>
    <w:rsid w:val="007F301B"/>
    <w:rsid w:val="00803632"/>
    <w:rsid w:val="00816A5F"/>
    <w:rsid w:val="00823AF3"/>
    <w:rsid w:val="00824567"/>
    <w:rsid w:val="00827B0D"/>
    <w:rsid w:val="00832CAD"/>
    <w:rsid w:val="00833005"/>
    <w:rsid w:val="00837A13"/>
    <w:rsid w:val="008411D4"/>
    <w:rsid w:val="00842DCF"/>
    <w:rsid w:val="008431F7"/>
    <w:rsid w:val="008532F0"/>
    <w:rsid w:val="0087383D"/>
    <w:rsid w:val="00885F05"/>
    <w:rsid w:val="00892C07"/>
    <w:rsid w:val="008A0D1C"/>
    <w:rsid w:val="008A3AF9"/>
    <w:rsid w:val="008B69F4"/>
    <w:rsid w:val="008C5D9F"/>
    <w:rsid w:val="008C7423"/>
    <w:rsid w:val="008D6526"/>
    <w:rsid w:val="008E2E58"/>
    <w:rsid w:val="008E4E23"/>
    <w:rsid w:val="008F6810"/>
    <w:rsid w:val="008F6976"/>
    <w:rsid w:val="00910193"/>
    <w:rsid w:val="009129A3"/>
    <w:rsid w:val="00914A30"/>
    <w:rsid w:val="009247ED"/>
    <w:rsid w:val="00944FF3"/>
    <w:rsid w:val="009450F9"/>
    <w:rsid w:val="009476B2"/>
    <w:rsid w:val="009508C3"/>
    <w:rsid w:val="009524DF"/>
    <w:rsid w:val="00952D0B"/>
    <w:rsid w:val="00965BEF"/>
    <w:rsid w:val="00966351"/>
    <w:rsid w:val="00973B81"/>
    <w:rsid w:val="009828BC"/>
    <w:rsid w:val="00983EFF"/>
    <w:rsid w:val="009847DA"/>
    <w:rsid w:val="00993480"/>
    <w:rsid w:val="00995BC7"/>
    <w:rsid w:val="009A2DD5"/>
    <w:rsid w:val="009A4272"/>
    <w:rsid w:val="009B0B80"/>
    <w:rsid w:val="009B6662"/>
    <w:rsid w:val="009C190E"/>
    <w:rsid w:val="009C1CB4"/>
    <w:rsid w:val="009C60D7"/>
    <w:rsid w:val="009C6E66"/>
    <w:rsid w:val="009D207D"/>
    <w:rsid w:val="009E4A5B"/>
    <w:rsid w:val="009F09DA"/>
    <w:rsid w:val="009F19B4"/>
    <w:rsid w:val="009F2736"/>
    <w:rsid w:val="00A01785"/>
    <w:rsid w:val="00A01D0E"/>
    <w:rsid w:val="00A146FA"/>
    <w:rsid w:val="00A14EC5"/>
    <w:rsid w:val="00A20567"/>
    <w:rsid w:val="00A3180E"/>
    <w:rsid w:val="00A35D2B"/>
    <w:rsid w:val="00A429D0"/>
    <w:rsid w:val="00A42A82"/>
    <w:rsid w:val="00A443A4"/>
    <w:rsid w:val="00A56950"/>
    <w:rsid w:val="00A60AD4"/>
    <w:rsid w:val="00A6496D"/>
    <w:rsid w:val="00A6745A"/>
    <w:rsid w:val="00A740DE"/>
    <w:rsid w:val="00A8519B"/>
    <w:rsid w:val="00A87A70"/>
    <w:rsid w:val="00A97F23"/>
    <w:rsid w:val="00AA4D0C"/>
    <w:rsid w:val="00AA5E48"/>
    <w:rsid w:val="00AB4D29"/>
    <w:rsid w:val="00AB59C8"/>
    <w:rsid w:val="00AC07DE"/>
    <w:rsid w:val="00AC28B2"/>
    <w:rsid w:val="00AC369F"/>
    <w:rsid w:val="00AD0350"/>
    <w:rsid w:val="00AD1D9D"/>
    <w:rsid w:val="00AD4324"/>
    <w:rsid w:val="00AD666B"/>
    <w:rsid w:val="00AE7129"/>
    <w:rsid w:val="00AF1A2E"/>
    <w:rsid w:val="00AF3C5A"/>
    <w:rsid w:val="00AF5D88"/>
    <w:rsid w:val="00B000B7"/>
    <w:rsid w:val="00B04809"/>
    <w:rsid w:val="00B069A4"/>
    <w:rsid w:val="00B0742F"/>
    <w:rsid w:val="00B140BF"/>
    <w:rsid w:val="00B33DFE"/>
    <w:rsid w:val="00B3799E"/>
    <w:rsid w:val="00B53139"/>
    <w:rsid w:val="00B53659"/>
    <w:rsid w:val="00B537EE"/>
    <w:rsid w:val="00B6251E"/>
    <w:rsid w:val="00B65DAF"/>
    <w:rsid w:val="00B73469"/>
    <w:rsid w:val="00B94004"/>
    <w:rsid w:val="00BA526B"/>
    <w:rsid w:val="00BC1FEE"/>
    <w:rsid w:val="00BC60AF"/>
    <w:rsid w:val="00BD1642"/>
    <w:rsid w:val="00BD1728"/>
    <w:rsid w:val="00BD5F26"/>
    <w:rsid w:val="00BD7E9D"/>
    <w:rsid w:val="00BF3169"/>
    <w:rsid w:val="00BF6AD9"/>
    <w:rsid w:val="00BF6FB1"/>
    <w:rsid w:val="00C0064B"/>
    <w:rsid w:val="00C04EF5"/>
    <w:rsid w:val="00C07C36"/>
    <w:rsid w:val="00C102C7"/>
    <w:rsid w:val="00C10A07"/>
    <w:rsid w:val="00C313DC"/>
    <w:rsid w:val="00C476B5"/>
    <w:rsid w:val="00C63775"/>
    <w:rsid w:val="00C6656F"/>
    <w:rsid w:val="00C71844"/>
    <w:rsid w:val="00C73B5E"/>
    <w:rsid w:val="00C77BD5"/>
    <w:rsid w:val="00C82AC7"/>
    <w:rsid w:val="00C82AEB"/>
    <w:rsid w:val="00C85F64"/>
    <w:rsid w:val="00CA28D1"/>
    <w:rsid w:val="00CA565D"/>
    <w:rsid w:val="00CA6B8A"/>
    <w:rsid w:val="00CB43DD"/>
    <w:rsid w:val="00CB7A38"/>
    <w:rsid w:val="00CC7517"/>
    <w:rsid w:val="00CC7552"/>
    <w:rsid w:val="00CC7777"/>
    <w:rsid w:val="00CC7BD1"/>
    <w:rsid w:val="00CE0915"/>
    <w:rsid w:val="00CE1E6A"/>
    <w:rsid w:val="00CF66CA"/>
    <w:rsid w:val="00D0648C"/>
    <w:rsid w:val="00D0798E"/>
    <w:rsid w:val="00D11B3B"/>
    <w:rsid w:val="00D13686"/>
    <w:rsid w:val="00D163CA"/>
    <w:rsid w:val="00D27421"/>
    <w:rsid w:val="00D32C63"/>
    <w:rsid w:val="00D37A5E"/>
    <w:rsid w:val="00D41D49"/>
    <w:rsid w:val="00D46A96"/>
    <w:rsid w:val="00D510B8"/>
    <w:rsid w:val="00D719C3"/>
    <w:rsid w:val="00D724C8"/>
    <w:rsid w:val="00D72EAC"/>
    <w:rsid w:val="00D73BDC"/>
    <w:rsid w:val="00D804C3"/>
    <w:rsid w:val="00D84909"/>
    <w:rsid w:val="00D84A6D"/>
    <w:rsid w:val="00DA2641"/>
    <w:rsid w:val="00DA33F5"/>
    <w:rsid w:val="00DA7C3F"/>
    <w:rsid w:val="00DB16AA"/>
    <w:rsid w:val="00DC17AA"/>
    <w:rsid w:val="00DC2B9F"/>
    <w:rsid w:val="00DC3FCD"/>
    <w:rsid w:val="00DC4B66"/>
    <w:rsid w:val="00DD0468"/>
    <w:rsid w:val="00DD2F58"/>
    <w:rsid w:val="00DE2F91"/>
    <w:rsid w:val="00E04E74"/>
    <w:rsid w:val="00E11829"/>
    <w:rsid w:val="00E12BA3"/>
    <w:rsid w:val="00E22E88"/>
    <w:rsid w:val="00E22EF8"/>
    <w:rsid w:val="00E26510"/>
    <w:rsid w:val="00E351BD"/>
    <w:rsid w:val="00E45C82"/>
    <w:rsid w:val="00E55C09"/>
    <w:rsid w:val="00E60B1E"/>
    <w:rsid w:val="00E82E4E"/>
    <w:rsid w:val="00E82EC8"/>
    <w:rsid w:val="00E84A32"/>
    <w:rsid w:val="00E976DB"/>
    <w:rsid w:val="00EA0062"/>
    <w:rsid w:val="00EA5F51"/>
    <w:rsid w:val="00EA75A8"/>
    <w:rsid w:val="00EB6615"/>
    <w:rsid w:val="00EC3D1D"/>
    <w:rsid w:val="00EC5C8A"/>
    <w:rsid w:val="00ED729B"/>
    <w:rsid w:val="00ED7A92"/>
    <w:rsid w:val="00EE5CA7"/>
    <w:rsid w:val="00EF0734"/>
    <w:rsid w:val="00EF30CC"/>
    <w:rsid w:val="00EF7A2C"/>
    <w:rsid w:val="00EF7AEB"/>
    <w:rsid w:val="00F0309F"/>
    <w:rsid w:val="00F241B3"/>
    <w:rsid w:val="00F26FAB"/>
    <w:rsid w:val="00F331AC"/>
    <w:rsid w:val="00F46B5E"/>
    <w:rsid w:val="00F479DB"/>
    <w:rsid w:val="00F621DC"/>
    <w:rsid w:val="00F63538"/>
    <w:rsid w:val="00F66159"/>
    <w:rsid w:val="00F7244C"/>
    <w:rsid w:val="00F82BCE"/>
    <w:rsid w:val="00F83533"/>
    <w:rsid w:val="00F83BD6"/>
    <w:rsid w:val="00F84585"/>
    <w:rsid w:val="00F852F6"/>
    <w:rsid w:val="00F90796"/>
    <w:rsid w:val="00FA38C3"/>
    <w:rsid w:val="00FB2AED"/>
    <w:rsid w:val="00FB4CC2"/>
    <w:rsid w:val="00FD260C"/>
    <w:rsid w:val="00FD6159"/>
    <w:rsid w:val="00FD75E1"/>
    <w:rsid w:val="00FE3D89"/>
    <w:rsid w:val="00FE6F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B5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8C3"/>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D510B8"/>
    <w:pPr>
      <w:suppressAutoHyphens/>
      <w:ind w:left="720"/>
    </w:pPr>
    <w:rPr>
      <w:rFonts w:ascii="Calibri" w:eastAsia="SimSun" w:hAnsi="Calibri" w:cs="font319"/>
      <w:lang w:val="es-ES" w:eastAsia="ar-SA"/>
    </w:rPr>
  </w:style>
  <w:style w:type="paragraph" w:customStyle="1" w:styleId="Sinespaciado1">
    <w:name w:val="Sin espaciado1"/>
    <w:rsid w:val="00D510B8"/>
    <w:pPr>
      <w:suppressAutoHyphens/>
      <w:spacing w:after="0" w:line="240" w:lineRule="auto"/>
    </w:pPr>
    <w:rPr>
      <w:rFonts w:ascii="Times New Roman" w:eastAsia="Arial Unicode MS" w:hAnsi="Times New Roman" w:cs="Arial Unicode MS"/>
      <w:color w:val="000000"/>
      <w:sz w:val="24"/>
      <w:szCs w:val="24"/>
      <w:u w:color="000000"/>
      <w:lang w:val="en-US" w:eastAsia="ar-SA"/>
    </w:rPr>
  </w:style>
  <w:style w:type="paragraph" w:customStyle="1" w:styleId="Cuerpo">
    <w:name w:val="Cuerpo"/>
    <w:rsid w:val="00D510B8"/>
    <w:pPr>
      <w:suppressAutoHyphens/>
      <w:spacing w:after="0" w:line="240" w:lineRule="auto"/>
    </w:pPr>
    <w:rPr>
      <w:rFonts w:ascii="Times New Roman" w:eastAsia="Times New Roman" w:hAnsi="Times New Roman" w:cs="Times New Roman"/>
      <w:color w:val="000000"/>
      <w:sz w:val="24"/>
      <w:szCs w:val="24"/>
      <w:u w:color="000000"/>
      <w:lang w:eastAsia="ar-SA"/>
    </w:rPr>
  </w:style>
  <w:style w:type="character" w:styleId="Refdenotaalpie">
    <w:name w:val="footnote reference"/>
    <w:rsid w:val="00D510B8"/>
    <w:rPr>
      <w:vertAlign w:val="superscript"/>
    </w:rPr>
  </w:style>
  <w:style w:type="paragraph" w:styleId="Textonotapie">
    <w:name w:val="footnote text"/>
    <w:basedOn w:val="Normal"/>
    <w:link w:val="TextonotapieCar"/>
    <w:rsid w:val="00D510B8"/>
    <w:pPr>
      <w:suppressLineNumbers/>
      <w:suppressAutoHyphens/>
      <w:ind w:left="283" w:hanging="283"/>
    </w:pPr>
    <w:rPr>
      <w:rFonts w:ascii="Calibri" w:eastAsia="SimSun" w:hAnsi="Calibri" w:cs="font319"/>
      <w:sz w:val="20"/>
      <w:szCs w:val="20"/>
      <w:lang w:val="es-ES" w:eastAsia="ar-SA"/>
    </w:rPr>
  </w:style>
  <w:style w:type="character" w:customStyle="1" w:styleId="TextonotapieCar">
    <w:name w:val="Texto nota pie Car"/>
    <w:basedOn w:val="Fuentedeprrafopredeter"/>
    <w:link w:val="Textonotapie"/>
    <w:rsid w:val="00D510B8"/>
    <w:rPr>
      <w:rFonts w:ascii="Calibri" w:eastAsia="SimSun" w:hAnsi="Calibri" w:cs="font319"/>
      <w:sz w:val="20"/>
      <w:szCs w:val="20"/>
      <w:lang w:val="es-ES" w:eastAsia="ar-SA"/>
    </w:rPr>
  </w:style>
  <w:style w:type="paragraph" w:styleId="Encabezado">
    <w:name w:val="header"/>
    <w:basedOn w:val="Normal"/>
    <w:link w:val="EncabezadoCar"/>
    <w:unhideWhenUsed/>
    <w:rsid w:val="00D510B8"/>
    <w:pPr>
      <w:tabs>
        <w:tab w:val="center" w:pos="4419"/>
        <w:tab w:val="right" w:pos="8838"/>
      </w:tabs>
      <w:suppressAutoHyphens/>
    </w:pPr>
    <w:rPr>
      <w:rFonts w:ascii="Calibri" w:eastAsia="SimSun" w:hAnsi="Calibri" w:cs="font319"/>
      <w:lang w:val="es-ES" w:eastAsia="ar-SA"/>
    </w:rPr>
  </w:style>
  <w:style w:type="character" w:customStyle="1" w:styleId="EncabezadoCar">
    <w:name w:val="Encabezado Car"/>
    <w:basedOn w:val="Fuentedeprrafopredeter"/>
    <w:link w:val="Encabezado"/>
    <w:rsid w:val="00D510B8"/>
    <w:rPr>
      <w:rFonts w:ascii="Calibri" w:eastAsia="SimSun" w:hAnsi="Calibri" w:cs="font319"/>
      <w:sz w:val="24"/>
      <w:szCs w:val="24"/>
      <w:lang w:val="es-ES" w:eastAsia="ar-SA"/>
    </w:rPr>
  </w:style>
  <w:style w:type="paragraph" w:styleId="Piedepgina">
    <w:name w:val="footer"/>
    <w:basedOn w:val="Normal"/>
    <w:link w:val="PiedepginaCar"/>
    <w:uiPriority w:val="99"/>
    <w:unhideWhenUsed/>
    <w:rsid w:val="00D510B8"/>
    <w:pPr>
      <w:tabs>
        <w:tab w:val="center" w:pos="4419"/>
        <w:tab w:val="right" w:pos="8838"/>
      </w:tabs>
      <w:suppressAutoHyphens/>
    </w:pPr>
    <w:rPr>
      <w:rFonts w:ascii="Calibri" w:eastAsia="SimSun" w:hAnsi="Calibri" w:cs="font319"/>
      <w:lang w:val="es-ES" w:eastAsia="ar-SA"/>
    </w:rPr>
  </w:style>
  <w:style w:type="character" w:customStyle="1" w:styleId="PiedepginaCar">
    <w:name w:val="Pie de página Car"/>
    <w:basedOn w:val="Fuentedeprrafopredeter"/>
    <w:link w:val="Piedepgina"/>
    <w:uiPriority w:val="99"/>
    <w:rsid w:val="00D510B8"/>
    <w:rPr>
      <w:rFonts w:ascii="Calibri" w:eastAsia="SimSun" w:hAnsi="Calibri" w:cs="font319"/>
      <w:sz w:val="24"/>
      <w:szCs w:val="24"/>
      <w:lang w:val="es-ES" w:eastAsia="ar-SA"/>
    </w:rPr>
  </w:style>
  <w:style w:type="paragraph" w:styleId="Textodeglobo">
    <w:name w:val="Balloon Text"/>
    <w:basedOn w:val="Normal"/>
    <w:link w:val="TextodegloboCar"/>
    <w:uiPriority w:val="99"/>
    <w:semiHidden/>
    <w:unhideWhenUsed/>
    <w:rsid w:val="00D510B8"/>
    <w:pPr>
      <w:suppressAutoHyphens/>
    </w:pPr>
    <w:rPr>
      <w:rFonts w:ascii="Tahoma" w:eastAsia="SimSun" w:hAnsi="Tahoma" w:cs="Tahoma"/>
      <w:sz w:val="16"/>
      <w:szCs w:val="16"/>
      <w:lang w:val="es-ES" w:eastAsia="ar-SA"/>
    </w:rPr>
  </w:style>
  <w:style w:type="character" w:customStyle="1" w:styleId="TextodegloboCar">
    <w:name w:val="Texto de globo Car"/>
    <w:basedOn w:val="Fuentedeprrafopredeter"/>
    <w:link w:val="Textodeglobo"/>
    <w:uiPriority w:val="99"/>
    <w:semiHidden/>
    <w:rsid w:val="00D510B8"/>
    <w:rPr>
      <w:rFonts w:ascii="Tahoma" w:eastAsia="SimSun" w:hAnsi="Tahoma" w:cs="Tahoma"/>
      <w:sz w:val="16"/>
      <w:szCs w:val="16"/>
      <w:lang w:val="es-ES" w:eastAsia="ar-SA"/>
    </w:rPr>
  </w:style>
  <w:style w:type="paragraph" w:styleId="Prrafodelista">
    <w:name w:val="List Paragraph"/>
    <w:basedOn w:val="Normal"/>
    <w:uiPriority w:val="34"/>
    <w:qFormat/>
    <w:rsid w:val="001B7B54"/>
    <w:pPr>
      <w:suppressAutoHyphens/>
      <w:ind w:left="720"/>
      <w:contextualSpacing/>
    </w:pPr>
    <w:rPr>
      <w:rFonts w:ascii="Calibri" w:eastAsia="SimSun" w:hAnsi="Calibri" w:cs="font319"/>
      <w:lang w:val="es-ES" w:eastAsia="ar-SA"/>
    </w:rPr>
  </w:style>
  <w:style w:type="paragraph" w:styleId="NormalWeb">
    <w:name w:val="Normal (Web)"/>
    <w:basedOn w:val="Normal"/>
    <w:uiPriority w:val="99"/>
    <w:unhideWhenUsed/>
    <w:rsid w:val="00746950"/>
    <w:pPr>
      <w:spacing w:before="100" w:beforeAutospacing="1" w:after="100" w:afterAutospacing="1"/>
    </w:pPr>
  </w:style>
  <w:style w:type="character" w:styleId="Refdecomentario">
    <w:name w:val="annotation reference"/>
    <w:basedOn w:val="Fuentedeprrafopredeter"/>
    <w:uiPriority w:val="99"/>
    <w:semiHidden/>
    <w:unhideWhenUsed/>
    <w:rsid w:val="006F118B"/>
    <w:rPr>
      <w:sz w:val="18"/>
      <w:szCs w:val="18"/>
    </w:rPr>
  </w:style>
  <w:style w:type="paragraph" w:styleId="Textocomentario">
    <w:name w:val="annotation text"/>
    <w:basedOn w:val="Normal"/>
    <w:link w:val="TextocomentarioCar"/>
    <w:uiPriority w:val="99"/>
    <w:semiHidden/>
    <w:unhideWhenUsed/>
    <w:rsid w:val="006F118B"/>
  </w:style>
  <w:style w:type="character" w:customStyle="1" w:styleId="TextocomentarioCar">
    <w:name w:val="Texto comentario Car"/>
    <w:basedOn w:val="Fuentedeprrafopredeter"/>
    <w:link w:val="Textocomentario"/>
    <w:uiPriority w:val="99"/>
    <w:semiHidden/>
    <w:rsid w:val="006F118B"/>
    <w:rPr>
      <w:rFonts w:ascii="Times New Roman" w:hAnsi="Times New Roman" w:cs="Times New Roman"/>
      <w:sz w:val="24"/>
      <w:szCs w:val="24"/>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6F118B"/>
    <w:rPr>
      <w:b/>
      <w:bCs/>
      <w:sz w:val="20"/>
      <w:szCs w:val="20"/>
    </w:rPr>
  </w:style>
  <w:style w:type="character" w:customStyle="1" w:styleId="AsuntodelcomentarioCar">
    <w:name w:val="Asunto del comentario Car"/>
    <w:basedOn w:val="TextocomentarioCar"/>
    <w:link w:val="Asuntodelcomentario"/>
    <w:uiPriority w:val="99"/>
    <w:semiHidden/>
    <w:rsid w:val="006F118B"/>
    <w:rPr>
      <w:rFonts w:ascii="Times New Roman" w:hAnsi="Times New Roman" w:cs="Times New Roman"/>
      <w:b/>
      <w:bCs/>
      <w:sz w:val="20"/>
      <w:szCs w:val="20"/>
      <w:lang w:val="es-ES_tradnl" w:eastAsia="es-ES_tradnl"/>
    </w:rPr>
  </w:style>
  <w:style w:type="character" w:styleId="Textodelmarcadordeposicin">
    <w:name w:val="Placeholder Text"/>
    <w:basedOn w:val="Fuentedeprrafopredeter"/>
    <w:uiPriority w:val="99"/>
    <w:semiHidden/>
    <w:rsid w:val="00E82E4E"/>
    <w:rPr>
      <w:color w:val="808080"/>
    </w:rPr>
  </w:style>
  <w:style w:type="paragraph" w:customStyle="1" w:styleId="Prrafodelista2">
    <w:name w:val="Párrafo de lista2"/>
    <w:basedOn w:val="Normal"/>
    <w:rsid w:val="00F26FAB"/>
    <w:pPr>
      <w:suppressAutoHyphens/>
      <w:ind w:left="720"/>
    </w:pPr>
    <w:rPr>
      <w:rFonts w:ascii="Calibri" w:eastAsia="SimSun" w:hAnsi="Calibri" w:cs="font937"/>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487">
      <w:bodyDiv w:val="1"/>
      <w:marLeft w:val="0"/>
      <w:marRight w:val="0"/>
      <w:marTop w:val="0"/>
      <w:marBottom w:val="0"/>
      <w:divBdr>
        <w:top w:val="none" w:sz="0" w:space="0" w:color="auto"/>
        <w:left w:val="none" w:sz="0" w:space="0" w:color="auto"/>
        <w:bottom w:val="none" w:sz="0" w:space="0" w:color="auto"/>
        <w:right w:val="none" w:sz="0" w:space="0" w:color="auto"/>
      </w:divBdr>
      <w:divsChild>
        <w:div w:id="844789468">
          <w:marLeft w:val="0"/>
          <w:marRight w:val="0"/>
          <w:marTop w:val="0"/>
          <w:marBottom w:val="0"/>
          <w:divBdr>
            <w:top w:val="none" w:sz="0" w:space="0" w:color="auto"/>
            <w:left w:val="none" w:sz="0" w:space="0" w:color="auto"/>
            <w:bottom w:val="none" w:sz="0" w:space="0" w:color="auto"/>
            <w:right w:val="none" w:sz="0" w:space="0" w:color="auto"/>
          </w:divBdr>
          <w:divsChild>
            <w:div w:id="1947927990">
              <w:marLeft w:val="0"/>
              <w:marRight w:val="0"/>
              <w:marTop w:val="0"/>
              <w:marBottom w:val="0"/>
              <w:divBdr>
                <w:top w:val="none" w:sz="0" w:space="0" w:color="auto"/>
                <w:left w:val="none" w:sz="0" w:space="0" w:color="auto"/>
                <w:bottom w:val="none" w:sz="0" w:space="0" w:color="auto"/>
                <w:right w:val="none" w:sz="0" w:space="0" w:color="auto"/>
              </w:divBdr>
              <w:divsChild>
                <w:div w:id="466165778">
                  <w:marLeft w:val="0"/>
                  <w:marRight w:val="0"/>
                  <w:marTop w:val="0"/>
                  <w:marBottom w:val="0"/>
                  <w:divBdr>
                    <w:top w:val="none" w:sz="0" w:space="0" w:color="auto"/>
                    <w:left w:val="none" w:sz="0" w:space="0" w:color="auto"/>
                    <w:bottom w:val="none" w:sz="0" w:space="0" w:color="auto"/>
                    <w:right w:val="none" w:sz="0" w:space="0" w:color="auto"/>
                  </w:divBdr>
                  <w:divsChild>
                    <w:div w:id="776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55798">
      <w:bodyDiv w:val="1"/>
      <w:marLeft w:val="0"/>
      <w:marRight w:val="0"/>
      <w:marTop w:val="0"/>
      <w:marBottom w:val="0"/>
      <w:divBdr>
        <w:top w:val="none" w:sz="0" w:space="0" w:color="auto"/>
        <w:left w:val="none" w:sz="0" w:space="0" w:color="auto"/>
        <w:bottom w:val="none" w:sz="0" w:space="0" w:color="auto"/>
        <w:right w:val="none" w:sz="0" w:space="0" w:color="auto"/>
      </w:divBdr>
    </w:div>
    <w:div w:id="425465196">
      <w:bodyDiv w:val="1"/>
      <w:marLeft w:val="0"/>
      <w:marRight w:val="0"/>
      <w:marTop w:val="0"/>
      <w:marBottom w:val="0"/>
      <w:divBdr>
        <w:top w:val="none" w:sz="0" w:space="0" w:color="auto"/>
        <w:left w:val="none" w:sz="0" w:space="0" w:color="auto"/>
        <w:bottom w:val="none" w:sz="0" w:space="0" w:color="auto"/>
        <w:right w:val="none" w:sz="0" w:space="0" w:color="auto"/>
      </w:divBdr>
    </w:div>
    <w:div w:id="558908596">
      <w:bodyDiv w:val="1"/>
      <w:marLeft w:val="0"/>
      <w:marRight w:val="0"/>
      <w:marTop w:val="0"/>
      <w:marBottom w:val="0"/>
      <w:divBdr>
        <w:top w:val="none" w:sz="0" w:space="0" w:color="auto"/>
        <w:left w:val="none" w:sz="0" w:space="0" w:color="auto"/>
        <w:bottom w:val="none" w:sz="0" w:space="0" w:color="auto"/>
        <w:right w:val="none" w:sz="0" w:space="0" w:color="auto"/>
      </w:divBdr>
      <w:divsChild>
        <w:div w:id="2022076118">
          <w:marLeft w:val="0"/>
          <w:marRight w:val="0"/>
          <w:marTop w:val="0"/>
          <w:marBottom w:val="0"/>
          <w:divBdr>
            <w:top w:val="none" w:sz="0" w:space="0" w:color="auto"/>
            <w:left w:val="none" w:sz="0" w:space="0" w:color="auto"/>
            <w:bottom w:val="none" w:sz="0" w:space="0" w:color="auto"/>
            <w:right w:val="none" w:sz="0" w:space="0" w:color="auto"/>
          </w:divBdr>
          <w:divsChild>
            <w:div w:id="1910142487">
              <w:marLeft w:val="0"/>
              <w:marRight w:val="0"/>
              <w:marTop w:val="0"/>
              <w:marBottom w:val="0"/>
              <w:divBdr>
                <w:top w:val="none" w:sz="0" w:space="0" w:color="auto"/>
                <w:left w:val="none" w:sz="0" w:space="0" w:color="auto"/>
                <w:bottom w:val="none" w:sz="0" w:space="0" w:color="auto"/>
                <w:right w:val="none" w:sz="0" w:space="0" w:color="auto"/>
              </w:divBdr>
              <w:divsChild>
                <w:div w:id="1008674508">
                  <w:marLeft w:val="0"/>
                  <w:marRight w:val="0"/>
                  <w:marTop w:val="0"/>
                  <w:marBottom w:val="0"/>
                  <w:divBdr>
                    <w:top w:val="none" w:sz="0" w:space="0" w:color="auto"/>
                    <w:left w:val="none" w:sz="0" w:space="0" w:color="auto"/>
                    <w:bottom w:val="none" w:sz="0" w:space="0" w:color="auto"/>
                    <w:right w:val="none" w:sz="0" w:space="0" w:color="auto"/>
                  </w:divBdr>
                  <w:divsChild>
                    <w:div w:id="6063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19379">
      <w:bodyDiv w:val="1"/>
      <w:marLeft w:val="0"/>
      <w:marRight w:val="0"/>
      <w:marTop w:val="0"/>
      <w:marBottom w:val="0"/>
      <w:divBdr>
        <w:top w:val="none" w:sz="0" w:space="0" w:color="auto"/>
        <w:left w:val="none" w:sz="0" w:space="0" w:color="auto"/>
        <w:bottom w:val="none" w:sz="0" w:space="0" w:color="auto"/>
        <w:right w:val="none" w:sz="0" w:space="0" w:color="auto"/>
      </w:divBdr>
    </w:div>
    <w:div w:id="1046880649">
      <w:bodyDiv w:val="1"/>
      <w:marLeft w:val="0"/>
      <w:marRight w:val="0"/>
      <w:marTop w:val="0"/>
      <w:marBottom w:val="0"/>
      <w:divBdr>
        <w:top w:val="none" w:sz="0" w:space="0" w:color="auto"/>
        <w:left w:val="none" w:sz="0" w:space="0" w:color="auto"/>
        <w:bottom w:val="none" w:sz="0" w:space="0" w:color="auto"/>
        <w:right w:val="none" w:sz="0" w:space="0" w:color="auto"/>
      </w:divBdr>
    </w:div>
    <w:div w:id="1116480596">
      <w:bodyDiv w:val="1"/>
      <w:marLeft w:val="0"/>
      <w:marRight w:val="0"/>
      <w:marTop w:val="0"/>
      <w:marBottom w:val="0"/>
      <w:divBdr>
        <w:top w:val="none" w:sz="0" w:space="0" w:color="auto"/>
        <w:left w:val="none" w:sz="0" w:space="0" w:color="auto"/>
        <w:bottom w:val="none" w:sz="0" w:space="0" w:color="auto"/>
        <w:right w:val="none" w:sz="0" w:space="0" w:color="auto"/>
      </w:divBdr>
    </w:div>
    <w:div w:id="1306813658">
      <w:bodyDiv w:val="1"/>
      <w:marLeft w:val="0"/>
      <w:marRight w:val="0"/>
      <w:marTop w:val="0"/>
      <w:marBottom w:val="0"/>
      <w:divBdr>
        <w:top w:val="none" w:sz="0" w:space="0" w:color="auto"/>
        <w:left w:val="none" w:sz="0" w:space="0" w:color="auto"/>
        <w:bottom w:val="none" w:sz="0" w:space="0" w:color="auto"/>
        <w:right w:val="none" w:sz="0" w:space="0" w:color="auto"/>
      </w:divBdr>
      <w:divsChild>
        <w:div w:id="791171056">
          <w:marLeft w:val="0"/>
          <w:marRight w:val="0"/>
          <w:marTop w:val="0"/>
          <w:marBottom w:val="0"/>
          <w:divBdr>
            <w:top w:val="none" w:sz="0" w:space="0" w:color="auto"/>
            <w:left w:val="none" w:sz="0" w:space="0" w:color="auto"/>
            <w:bottom w:val="none" w:sz="0" w:space="0" w:color="auto"/>
            <w:right w:val="none" w:sz="0" w:space="0" w:color="auto"/>
          </w:divBdr>
          <w:divsChild>
            <w:div w:id="1056395678">
              <w:marLeft w:val="0"/>
              <w:marRight w:val="0"/>
              <w:marTop w:val="0"/>
              <w:marBottom w:val="0"/>
              <w:divBdr>
                <w:top w:val="none" w:sz="0" w:space="0" w:color="auto"/>
                <w:left w:val="none" w:sz="0" w:space="0" w:color="auto"/>
                <w:bottom w:val="none" w:sz="0" w:space="0" w:color="auto"/>
                <w:right w:val="none" w:sz="0" w:space="0" w:color="auto"/>
              </w:divBdr>
              <w:divsChild>
                <w:div w:id="2008706311">
                  <w:marLeft w:val="0"/>
                  <w:marRight w:val="0"/>
                  <w:marTop w:val="0"/>
                  <w:marBottom w:val="0"/>
                  <w:divBdr>
                    <w:top w:val="none" w:sz="0" w:space="0" w:color="auto"/>
                    <w:left w:val="none" w:sz="0" w:space="0" w:color="auto"/>
                    <w:bottom w:val="none" w:sz="0" w:space="0" w:color="auto"/>
                    <w:right w:val="none" w:sz="0" w:space="0" w:color="auto"/>
                  </w:divBdr>
                  <w:divsChild>
                    <w:div w:id="4597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8347">
      <w:bodyDiv w:val="1"/>
      <w:marLeft w:val="0"/>
      <w:marRight w:val="0"/>
      <w:marTop w:val="0"/>
      <w:marBottom w:val="0"/>
      <w:divBdr>
        <w:top w:val="none" w:sz="0" w:space="0" w:color="auto"/>
        <w:left w:val="none" w:sz="0" w:space="0" w:color="auto"/>
        <w:bottom w:val="none" w:sz="0" w:space="0" w:color="auto"/>
        <w:right w:val="none" w:sz="0" w:space="0" w:color="auto"/>
      </w:divBdr>
      <w:divsChild>
        <w:div w:id="1428034874">
          <w:marLeft w:val="0"/>
          <w:marRight w:val="0"/>
          <w:marTop w:val="0"/>
          <w:marBottom w:val="0"/>
          <w:divBdr>
            <w:top w:val="none" w:sz="0" w:space="0" w:color="auto"/>
            <w:left w:val="none" w:sz="0" w:space="0" w:color="auto"/>
            <w:bottom w:val="none" w:sz="0" w:space="0" w:color="auto"/>
            <w:right w:val="none" w:sz="0" w:space="0" w:color="auto"/>
          </w:divBdr>
          <w:divsChild>
            <w:div w:id="247927281">
              <w:marLeft w:val="0"/>
              <w:marRight w:val="0"/>
              <w:marTop w:val="0"/>
              <w:marBottom w:val="0"/>
              <w:divBdr>
                <w:top w:val="none" w:sz="0" w:space="0" w:color="auto"/>
                <w:left w:val="none" w:sz="0" w:space="0" w:color="auto"/>
                <w:bottom w:val="none" w:sz="0" w:space="0" w:color="auto"/>
                <w:right w:val="none" w:sz="0" w:space="0" w:color="auto"/>
              </w:divBdr>
              <w:divsChild>
                <w:div w:id="113059760">
                  <w:marLeft w:val="0"/>
                  <w:marRight w:val="0"/>
                  <w:marTop w:val="0"/>
                  <w:marBottom w:val="0"/>
                  <w:divBdr>
                    <w:top w:val="none" w:sz="0" w:space="0" w:color="auto"/>
                    <w:left w:val="none" w:sz="0" w:space="0" w:color="auto"/>
                    <w:bottom w:val="none" w:sz="0" w:space="0" w:color="auto"/>
                    <w:right w:val="none" w:sz="0" w:space="0" w:color="auto"/>
                  </w:divBdr>
                  <w:divsChild>
                    <w:div w:id="18240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254475">
      <w:bodyDiv w:val="1"/>
      <w:marLeft w:val="0"/>
      <w:marRight w:val="0"/>
      <w:marTop w:val="0"/>
      <w:marBottom w:val="0"/>
      <w:divBdr>
        <w:top w:val="none" w:sz="0" w:space="0" w:color="auto"/>
        <w:left w:val="none" w:sz="0" w:space="0" w:color="auto"/>
        <w:bottom w:val="none" w:sz="0" w:space="0" w:color="auto"/>
        <w:right w:val="none" w:sz="0" w:space="0" w:color="auto"/>
      </w:divBdr>
      <w:divsChild>
        <w:div w:id="1975868074">
          <w:marLeft w:val="0"/>
          <w:marRight w:val="0"/>
          <w:marTop w:val="0"/>
          <w:marBottom w:val="0"/>
          <w:divBdr>
            <w:top w:val="none" w:sz="0" w:space="0" w:color="auto"/>
            <w:left w:val="none" w:sz="0" w:space="0" w:color="auto"/>
            <w:bottom w:val="none" w:sz="0" w:space="0" w:color="auto"/>
            <w:right w:val="none" w:sz="0" w:space="0" w:color="auto"/>
          </w:divBdr>
          <w:divsChild>
            <w:div w:id="1577595564">
              <w:marLeft w:val="0"/>
              <w:marRight w:val="0"/>
              <w:marTop w:val="0"/>
              <w:marBottom w:val="0"/>
              <w:divBdr>
                <w:top w:val="none" w:sz="0" w:space="0" w:color="auto"/>
                <w:left w:val="none" w:sz="0" w:space="0" w:color="auto"/>
                <w:bottom w:val="none" w:sz="0" w:space="0" w:color="auto"/>
                <w:right w:val="none" w:sz="0" w:space="0" w:color="auto"/>
              </w:divBdr>
              <w:divsChild>
                <w:div w:id="1072047849">
                  <w:marLeft w:val="0"/>
                  <w:marRight w:val="0"/>
                  <w:marTop w:val="0"/>
                  <w:marBottom w:val="0"/>
                  <w:divBdr>
                    <w:top w:val="none" w:sz="0" w:space="0" w:color="auto"/>
                    <w:left w:val="none" w:sz="0" w:space="0" w:color="auto"/>
                    <w:bottom w:val="none" w:sz="0" w:space="0" w:color="auto"/>
                    <w:right w:val="none" w:sz="0" w:space="0" w:color="auto"/>
                  </w:divBdr>
                  <w:divsChild>
                    <w:div w:id="5647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7289">
      <w:bodyDiv w:val="1"/>
      <w:marLeft w:val="0"/>
      <w:marRight w:val="0"/>
      <w:marTop w:val="0"/>
      <w:marBottom w:val="0"/>
      <w:divBdr>
        <w:top w:val="none" w:sz="0" w:space="0" w:color="auto"/>
        <w:left w:val="none" w:sz="0" w:space="0" w:color="auto"/>
        <w:bottom w:val="none" w:sz="0" w:space="0" w:color="auto"/>
        <w:right w:val="none" w:sz="0" w:space="0" w:color="auto"/>
      </w:divBdr>
      <w:divsChild>
        <w:div w:id="1876890181">
          <w:marLeft w:val="0"/>
          <w:marRight w:val="0"/>
          <w:marTop w:val="0"/>
          <w:marBottom w:val="0"/>
          <w:divBdr>
            <w:top w:val="none" w:sz="0" w:space="0" w:color="auto"/>
            <w:left w:val="none" w:sz="0" w:space="0" w:color="auto"/>
            <w:bottom w:val="none" w:sz="0" w:space="0" w:color="auto"/>
            <w:right w:val="none" w:sz="0" w:space="0" w:color="auto"/>
          </w:divBdr>
          <w:divsChild>
            <w:div w:id="940647212">
              <w:marLeft w:val="0"/>
              <w:marRight w:val="0"/>
              <w:marTop w:val="0"/>
              <w:marBottom w:val="0"/>
              <w:divBdr>
                <w:top w:val="none" w:sz="0" w:space="0" w:color="auto"/>
                <w:left w:val="none" w:sz="0" w:space="0" w:color="auto"/>
                <w:bottom w:val="none" w:sz="0" w:space="0" w:color="auto"/>
                <w:right w:val="none" w:sz="0" w:space="0" w:color="auto"/>
              </w:divBdr>
              <w:divsChild>
                <w:div w:id="1342199519">
                  <w:marLeft w:val="0"/>
                  <w:marRight w:val="0"/>
                  <w:marTop w:val="0"/>
                  <w:marBottom w:val="0"/>
                  <w:divBdr>
                    <w:top w:val="none" w:sz="0" w:space="0" w:color="auto"/>
                    <w:left w:val="none" w:sz="0" w:space="0" w:color="auto"/>
                    <w:bottom w:val="none" w:sz="0" w:space="0" w:color="auto"/>
                    <w:right w:val="none" w:sz="0" w:space="0" w:color="auto"/>
                  </w:divBdr>
                  <w:divsChild>
                    <w:div w:id="5548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661830">
      <w:bodyDiv w:val="1"/>
      <w:marLeft w:val="0"/>
      <w:marRight w:val="0"/>
      <w:marTop w:val="0"/>
      <w:marBottom w:val="0"/>
      <w:divBdr>
        <w:top w:val="none" w:sz="0" w:space="0" w:color="auto"/>
        <w:left w:val="none" w:sz="0" w:space="0" w:color="auto"/>
        <w:bottom w:val="none" w:sz="0" w:space="0" w:color="auto"/>
        <w:right w:val="none" w:sz="0" w:space="0" w:color="auto"/>
      </w:divBdr>
    </w:div>
    <w:div w:id="21238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55CA6B-093B-43B3-8E97-0261D792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4822</Words>
  <Characters>26526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mejia</cp:lastModifiedBy>
  <cp:revision>3</cp:revision>
  <cp:lastPrinted>2017-07-20T18:48:00Z</cp:lastPrinted>
  <dcterms:created xsi:type="dcterms:W3CDTF">2017-07-24T18:17:00Z</dcterms:created>
  <dcterms:modified xsi:type="dcterms:W3CDTF">2017-07-24T18:17:00Z</dcterms:modified>
</cp:coreProperties>
</file>