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937A6" w14:textId="77777777" w:rsidR="001C227F" w:rsidRDefault="00AD45D2">
      <w:pPr>
        <w:spacing w:before="240" w:after="240" w:line="240" w:lineRule="auto"/>
        <w:jc w:val="center"/>
        <w:rPr>
          <w:rFonts w:ascii="Century Gothic" w:eastAsia="Century Gothic" w:hAnsi="Century Gothic" w:cs="Century Gothic"/>
          <w:b/>
        </w:rPr>
      </w:pPr>
      <w:r>
        <w:rPr>
          <w:rFonts w:ascii="Century Gothic" w:eastAsia="Century Gothic" w:hAnsi="Century Gothic" w:cs="Century Gothic"/>
          <w:b/>
        </w:rPr>
        <w:t>PROYECTO DE LEY NO. _______ DE 2025 CÁMARA</w:t>
      </w:r>
    </w:p>
    <w:p w14:paraId="596891C7" w14:textId="77777777" w:rsidR="001C227F" w:rsidRDefault="00AD45D2">
      <w:pPr>
        <w:spacing w:line="240" w:lineRule="auto"/>
        <w:jc w:val="center"/>
        <w:rPr>
          <w:rFonts w:ascii="Century Gothic" w:eastAsia="Century Gothic" w:hAnsi="Century Gothic" w:cs="Century Gothic"/>
          <w:b/>
        </w:rPr>
      </w:pPr>
      <w:r>
        <w:rPr>
          <w:rFonts w:ascii="Century Gothic" w:eastAsia="Century Gothic" w:hAnsi="Century Gothic" w:cs="Century Gothic"/>
          <w:b/>
        </w:rPr>
        <w:t>“Por medio del cual se adopta y regula el programa Estado Joven para la dignificación de las prácticas laborales en las Entidades Públicas y se promueve la inserción laboral de los practicantes en el sector”</w:t>
      </w:r>
    </w:p>
    <w:p w14:paraId="1BAD5B28" w14:textId="77777777" w:rsidR="001C227F" w:rsidRDefault="001C227F">
      <w:pPr>
        <w:spacing w:line="240" w:lineRule="auto"/>
        <w:jc w:val="center"/>
        <w:rPr>
          <w:rFonts w:ascii="Century Gothic" w:eastAsia="Century Gothic" w:hAnsi="Century Gothic" w:cs="Century Gothic"/>
          <w:b/>
        </w:rPr>
      </w:pPr>
    </w:p>
    <w:p w14:paraId="648EDB88" w14:textId="77777777" w:rsidR="001C227F" w:rsidRDefault="00AD45D2">
      <w:pPr>
        <w:spacing w:line="240" w:lineRule="auto"/>
        <w:jc w:val="both"/>
        <w:rPr>
          <w:rFonts w:ascii="Century Gothic" w:eastAsia="Century Gothic" w:hAnsi="Century Gothic" w:cs="Century Gothic"/>
          <w:b/>
        </w:rPr>
      </w:pPr>
      <w:r>
        <w:rPr>
          <w:rFonts w:ascii="Century Gothic" w:eastAsia="Century Gothic" w:hAnsi="Century Gothic" w:cs="Century Gothic"/>
          <w:b/>
        </w:rPr>
        <w:t>Bogotá D.C., julio de 2025</w:t>
      </w:r>
    </w:p>
    <w:p w14:paraId="5788CD9E" w14:textId="77777777" w:rsidR="001C227F" w:rsidRDefault="001C227F">
      <w:pPr>
        <w:spacing w:line="240" w:lineRule="auto"/>
        <w:jc w:val="both"/>
        <w:rPr>
          <w:rFonts w:ascii="Century Gothic" w:eastAsia="Century Gothic" w:hAnsi="Century Gothic" w:cs="Century Gothic"/>
        </w:rPr>
      </w:pPr>
    </w:p>
    <w:p w14:paraId="3644FEBD" w14:textId="77777777" w:rsidR="001C227F" w:rsidRDefault="00AD45D2">
      <w:pPr>
        <w:spacing w:line="240" w:lineRule="auto"/>
        <w:jc w:val="both"/>
        <w:rPr>
          <w:rFonts w:ascii="Century Gothic" w:eastAsia="Century Gothic" w:hAnsi="Century Gothic" w:cs="Century Gothic"/>
        </w:rPr>
      </w:pPr>
      <w:r>
        <w:rPr>
          <w:rFonts w:ascii="Century Gothic" w:eastAsia="Century Gothic" w:hAnsi="Century Gothic" w:cs="Century Gothic"/>
        </w:rPr>
        <w:t>SEÑOR</w:t>
      </w:r>
    </w:p>
    <w:p w14:paraId="0FED786C" w14:textId="77777777" w:rsidR="001C227F" w:rsidRDefault="00AD45D2">
      <w:pPr>
        <w:spacing w:line="240" w:lineRule="auto"/>
        <w:jc w:val="both"/>
        <w:rPr>
          <w:rFonts w:ascii="Century Gothic" w:eastAsia="Century Gothic" w:hAnsi="Century Gothic" w:cs="Century Gothic"/>
          <w:b/>
        </w:rPr>
      </w:pPr>
      <w:r>
        <w:rPr>
          <w:rFonts w:ascii="Century Gothic" w:eastAsia="Century Gothic" w:hAnsi="Century Gothic" w:cs="Century Gothic"/>
          <w:b/>
        </w:rPr>
        <w:t xml:space="preserve">JULIÁN DAVID </w:t>
      </w:r>
      <w:r>
        <w:rPr>
          <w:rFonts w:ascii="Century Gothic" w:eastAsia="Century Gothic" w:hAnsi="Century Gothic" w:cs="Century Gothic"/>
          <w:b/>
        </w:rPr>
        <w:t>LÓPEZ TENORIO</w:t>
      </w:r>
    </w:p>
    <w:p w14:paraId="24317FF5" w14:textId="77777777" w:rsidR="001C227F" w:rsidRDefault="00AD45D2">
      <w:pPr>
        <w:spacing w:line="240" w:lineRule="auto"/>
        <w:jc w:val="both"/>
        <w:rPr>
          <w:rFonts w:ascii="Century Gothic" w:eastAsia="Century Gothic" w:hAnsi="Century Gothic" w:cs="Century Gothic"/>
        </w:rPr>
      </w:pPr>
      <w:bookmarkStart w:id="0" w:name="_heading=h.gjdgxs" w:colFirst="0" w:colLast="0"/>
      <w:bookmarkEnd w:id="0"/>
      <w:r>
        <w:rPr>
          <w:rFonts w:ascii="Century Gothic" w:eastAsia="Century Gothic" w:hAnsi="Century Gothic" w:cs="Century Gothic"/>
        </w:rPr>
        <w:t xml:space="preserve">PRESIDENTE </w:t>
      </w:r>
    </w:p>
    <w:p w14:paraId="1A06A0BD" w14:textId="77777777" w:rsidR="001C227F" w:rsidRDefault="00AD45D2">
      <w:pPr>
        <w:spacing w:line="240" w:lineRule="auto"/>
        <w:jc w:val="both"/>
        <w:rPr>
          <w:rFonts w:ascii="Century Gothic" w:eastAsia="Century Gothic" w:hAnsi="Century Gothic" w:cs="Century Gothic"/>
        </w:rPr>
      </w:pPr>
      <w:r>
        <w:rPr>
          <w:rFonts w:ascii="Century Gothic" w:eastAsia="Century Gothic" w:hAnsi="Century Gothic" w:cs="Century Gothic"/>
        </w:rPr>
        <w:t>CÁMARA DE REPRESENTANTES</w:t>
      </w:r>
    </w:p>
    <w:p w14:paraId="0B51381F" w14:textId="77777777" w:rsidR="001C227F" w:rsidRDefault="001C227F">
      <w:pPr>
        <w:spacing w:line="240" w:lineRule="auto"/>
        <w:jc w:val="both"/>
        <w:rPr>
          <w:rFonts w:ascii="Century Gothic" w:eastAsia="Century Gothic" w:hAnsi="Century Gothic" w:cs="Century Gothic"/>
        </w:rPr>
      </w:pPr>
    </w:p>
    <w:p w14:paraId="45E2BF59" w14:textId="77777777" w:rsidR="001C227F" w:rsidRDefault="00AD45D2">
      <w:pPr>
        <w:spacing w:before="100" w:line="240" w:lineRule="auto"/>
        <w:ind w:left="2160"/>
        <w:jc w:val="both"/>
        <w:rPr>
          <w:rFonts w:ascii="Century Gothic" w:eastAsia="Century Gothic" w:hAnsi="Century Gothic" w:cs="Century Gothic"/>
        </w:rPr>
      </w:pPr>
      <w:r>
        <w:rPr>
          <w:rFonts w:ascii="Century Gothic" w:eastAsia="Century Gothic" w:hAnsi="Century Gothic" w:cs="Century Gothic"/>
          <w:b/>
        </w:rPr>
        <w:t xml:space="preserve">Asunto: </w:t>
      </w:r>
      <w:r>
        <w:rPr>
          <w:rFonts w:ascii="Century Gothic" w:eastAsia="Century Gothic" w:hAnsi="Century Gothic" w:cs="Century Gothic"/>
        </w:rPr>
        <w:t xml:space="preserve">Radicación del Proyecto de Ley No. _____ de 2025 Cámara </w:t>
      </w:r>
      <w:r>
        <w:rPr>
          <w:rFonts w:ascii="Century Gothic" w:eastAsia="Century Gothic" w:hAnsi="Century Gothic" w:cs="Century Gothic"/>
          <w:i/>
        </w:rPr>
        <w:t>“</w:t>
      </w:r>
      <w:r>
        <w:rPr>
          <w:rFonts w:ascii="Century Gothic" w:eastAsia="Century Gothic" w:hAnsi="Century Gothic" w:cs="Century Gothic"/>
          <w:b/>
          <w:i/>
        </w:rPr>
        <w:t>Por medio del cual se adopta y regula el programa Estado Joven, a través del establecimiento de criterios de política pública para la digni</w:t>
      </w:r>
      <w:r>
        <w:rPr>
          <w:rFonts w:ascii="Century Gothic" w:eastAsia="Century Gothic" w:hAnsi="Century Gothic" w:cs="Century Gothic"/>
          <w:b/>
          <w:i/>
        </w:rPr>
        <w:t>ficación de las prácticas laborales en las Entidades Públicas y se promueve la inserción laboral de los practicantes en el sector</w:t>
      </w:r>
      <w:r>
        <w:rPr>
          <w:rFonts w:ascii="Century Gothic" w:eastAsia="Century Gothic" w:hAnsi="Century Gothic" w:cs="Century Gothic"/>
          <w:b/>
        </w:rPr>
        <w:t>”.</w:t>
      </w:r>
    </w:p>
    <w:p w14:paraId="26D39B1E" w14:textId="77777777" w:rsidR="001C227F" w:rsidRDefault="001C227F">
      <w:pPr>
        <w:spacing w:before="100" w:line="240" w:lineRule="auto"/>
        <w:ind w:left="2160"/>
        <w:jc w:val="both"/>
        <w:rPr>
          <w:rFonts w:ascii="Century Gothic" w:eastAsia="Century Gothic" w:hAnsi="Century Gothic" w:cs="Century Gothic"/>
        </w:rPr>
      </w:pPr>
    </w:p>
    <w:p w14:paraId="1EF282F3" w14:textId="77777777" w:rsidR="001C227F" w:rsidRDefault="00AD45D2">
      <w:pPr>
        <w:spacing w:before="100" w:after="240" w:line="240" w:lineRule="auto"/>
        <w:jc w:val="both"/>
        <w:rPr>
          <w:rFonts w:ascii="Century Gothic" w:eastAsia="Century Gothic" w:hAnsi="Century Gothic" w:cs="Century Gothic"/>
        </w:rPr>
      </w:pPr>
      <w:r>
        <w:rPr>
          <w:rFonts w:ascii="Century Gothic" w:eastAsia="Century Gothic" w:hAnsi="Century Gothic" w:cs="Century Gothic"/>
        </w:rPr>
        <w:t xml:space="preserve">De manera respetuosa, y en consideración de los artículos 222 y 223 de la Ley 5 de 1992, presentamos a consideración de la </w:t>
      </w:r>
      <w:r>
        <w:rPr>
          <w:rFonts w:ascii="Century Gothic" w:eastAsia="Century Gothic" w:hAnsi="Century Gothic" w:cs="Century Gothic"/>
        </w:rPr>
        <w:t>Cámara de Representantes el Proyecto de Ley “</w:t>
      </w:r>
      <w:r>
        <w:rPr>
          <w:rFonts w:ascii="Century Gothic" w:eastAsia="Century Gothic" w:hAnsi="Century Gothic" w:cs="Century Gothic"/>
          <w:i/>
        </w:rPr>
        <w:t>Por medio del cual se adopta y regula el programa Estado Joven, a través del establecimiento de criterios de política pública para la dignificación de las prácticas laborales en las Entidades Públicas y se promu</w:t>
      </w:r>
      <w:r>
        <w:rPr>
          <w:rFonts w:ascii="Century Gothic" w:eastAsia="Century Gothic" w:hAnsi="Century Gothic" w:cs="Century Gothic"/>
          <w:i/>
        </w:rPr>
        <w:t>eve la inserción laboral de los practicantes en el sector”</w:t>
      </w:r>
      <w:r>
        <w:rPr>
          <w:rFonts w:ascii="Century Gothic" w:eastAsia="Century Gothic" w:hAnsi="Century Gothic" w:cs="Century Gothic"/>
        </w:rPr>
        <w:t>, iniciativa legislativa que cumple con los requisitos contemplados en el artículo 145 de la presente ley.</w:t>
      </w:r>
    </w:p>
    <w:p w14:paraId="58966ED4" w14:textId="488461AE" w:rsidR="001C227F" w:rsidRDefault="00AD45D2">
      <w:pPr>
        <w:spacing w:before="100" w:after="240" w:line="240" w:lineRule="auto"/>
        <w:jc w:val="both"/>
        <w:rPr>
          <w:rFonts w:ascii="Century Gothic" w:eastAsia="Century Gothic" w:hAnsi="Century Gothic" w:cs="Century Gothic"/>
        </w:rPr>
      </w:pPr>
      <w:r>
        <w:rPr>
          <w:rFonts w:ascii="Century Gothic" w:eastAsia="Century Gothic" w:hAnsi="Century Gothic" w:cs="Century Gothic"/>
        </w:rPr>
        <w:t>Cordialmente,</w:t>
      </w:r>
    </w:p>
    <w:tbl>
      <w:tblPr>
        <w:tblStyle w:val="ad"/>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485"/>
      </w:tblGrid>
      <w:tr w:rsidR="001C227F" w14:paraId="22F891E4" w14:textId="77777777">
        <w:trPr>
          <w:trHeight w:val="2324"/>
        </w:trPr>
        <w:tc>
          <w:tcPr>
            <w:tcW w:w="4515" w:type="dxa"/>
            <w:shd w:val="clear" w:color="auto" w:fill="auto"/>
            <w:tcMar>
              <w:top w:w="100" w:type="dxa"/>
              <w:left w:w="100" w:type="dxa"/>
              <w:bottom w:w="100" w:type="dxa"/>
              <w:right w:w="100" w:type="dxa"/>
            </w:tcMar>
          </w:tcPr>
          <w:p w14:paraId="720A99AA" w14:textId="697E8225" w:rsidR="001C227F" w:rsidRDefault="001C227F">
            <w:pPr>
              <w:spacing w:line="240" w:lineRule="auto"/>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671EC857" w14:textId="0FD7EBD2" w:rsidR="001C227F" w:rsidRDefault="001C227F">
            <w:pPr>
              <w:spacing w:line="240" w:lineRule="auto"/>
              <w:jc w:val="center"/>
              <w:rPr>
                <w:rFonts w:ascii="Century Gothic" w:eastAsia="Century Gothic" w:hAnsi="Century Gothic" w:cs="Century Gothic"/>
              </w:rPr>
            </w:pPr>
          </w:p>
        </w:tc>
      </w:tr>
      <w:tr w:rsidR="001C227F" w14:paraId="2D2CE0D8" w14:textId="77777777">
        <w:trPr>
          <w:trHeight w:val="3177"/>
        </w:trPr>
        <w:tc>
          <w:tcPr>
            <w:tcW w:w="4515" w:type="dxa"/>
            <w:shd w:val="clear" w:color="auto" w:fill="auto"/>
            <w:tcMar>
              <w:top w:w="100" w:type="dxa"/>
              <w:left w:w="100" w:type="dxa"/>
              <w:bottom w:w="100" w:type="dxa"/>
              <w:right w:w="100" w:type="dxa"/>
            </w:tcMar>
          </w:tcPr>
          <w:p w14:paraId="3EA15E81" w14:textId="693CA356"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6E7582EE" w14:textId="3553C1C0" w:rsidR="001C227F" w:rsidRDefault="001C227F">
            <w:pPr>
              <w:jc w:val="center"/>
              <w:rPr>
                <w:rFonts w:ascii="Century Gothic" w:eastAsia="Century Gothic" w:hAnsi="Century Gothic" w:cs="Century Gothic"/>
                <w:b/>
              </w:rPr>
            </w:pPr>
          </w:p>
        </w:tc>
      </w:tr>
      <w:tr w:rsidR="001C227F" w14:paraId="6CD32F6F" w14:textId="77777777">
        <w:trPr>
          <w:trHeight w:val="2721"/>
        </w:trPr>
        <w:tc>
          <w:tcPr>
            <w:tcW w:w="4515" w:type="dxa"/>
            <w:shd w:val="clear" w:color="auto" w:fill="auto"/>
            <w:tcMar>
              <w:top w:w="100" w:type="dxa"/>
              <w:left w:w="100" w:type="dxa"/>
              <w:bottom w:w="100" w:type="dxa"/>
              <w:right w:w="100" w:type="dxa"/>
            </w:tcMar>
          </w:tcPr>
          <w:p w14:paraId="1A307BAC" w14:textId="4AB7B547" w:rsidR="001C227F" w:rsidRDefault="001C227F">
            <w:pPr>
              <w:spacing w:line="240" w:lineRule="auto"/>
              <w:jc w:val="center"/>
              <w:rPr>
                <w:rFonts w:ascii="Century Gothic" w:eastAsia="Century Gothic" w:hAnsi="Century Gothic" w:cs="Century Gothic"/>
                <w:sz w:val="18"/>
                <w:szCs w:val="18"/>
              </w:rPr>
            </w:pPr>
          </w:p>
        </w:tc>
        <w:tc>
          <w:tcPr>
            <w:tcW w:w="4485" w:type="dxa"/>
            <w:shd w:val="clear" w:color="auto" w:fill="auto"/>
            <w:tcMar>
              <w:top w:w="100" w:type="dxa"/>
              <w:left w:w="100" w:type="dxa"/>
              <w:bottom w:w="100" w:type="dxa"/>
              <w:right w:w="100" w:type="dxa"/>
            </w:tcMar>
          </w:tcPr>
          <w:p w14:paraId="72CE3BA5" w14:textId="56530A1C" w:rsidR="001C227F" w:rsidRDefault="001C227F">
            <w:pPr>
              <w:widowControl w:val="0"/>
              <w:jc w:val="center"/>
              <w:rPr>
                <w:rFonts w:ascii="Century Gothic" w:eastAsia="Century Gothic" w:hAnsi="Century Gothic" w:cs="Century Gothic"/>
                <w:sz w:val="2"/>
                <w:szCs w:val="2"/>
              </w:rPr>
            </w:pPr>
          </w:p>
        </w:tc>
      </w:tr>
      <w:tr w:rsidR="001C227F" w14:paraId="0FCB8E49" w14:textId="77777777">
        <w:trPr>
          <w:trHeight w:val="2721"/>
        </w:trPr>
        <w:tc>
          <w:tcPr>
            <w:tcW w:w="4515" w:type="dxa"/>
            <w:shd w:val="clear" w:color="auto" w:fill="auto"/>
            <w:tcMar>
              <w:top w:w="100" w:type="dxa"/>
              <w:left w:w="100" w:type="dxa"/>
              <w:bottom w:w="100" w:type="dxa"/>
              <w:right w:w="100" w:type="dxa"/>
            </w:tcMar>
          </w:tcPr>
          <w:p w14:paraId="5F71F3C5" w14:textId="476F83A0" w:rsidR="001C227F" w:rsidRDefault="001C227F">
            <w:pPr>
              <w:widowControl w:val="0"/>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4BA83A26" w14:textId="04B24E39" w:rsidR="001C227F" w:rsidRDefault="001C227F">
            <w:pPr>
              <w:widowControl w:val="0"/>
              <w:jc w:val="center"/>
              <w:rPr>
                <w:rFonts w:ascii="Century Gothic" w:eastAsia="Century Gothic" w:hAnsi="Century Gothic" w:cs="Century Gothic"/>
              </w:rPr>
            </w:pPr>
          </w:p>
        </w:tc>
      </w:tr>
      <w:tr w:rsidR="001C227F" w14:paraId="34EAB64B" w14:textId="77777777">
        <w:trPr>
          <w:trHeight w:val="2721"/>
        </w:trPr>
        <w:tc>
          <w:tcPr>
            <w:tcW w:w="4515" w:type="dxa"/>
            <w:shd w:val="clear" w:color="auto" w:fill="auto"/>
            <w:tcMar>
              <w:top w:w="100" w:type="dxa"/>
              <w:left w:w="100" w:type="dxa"/>
              <w:bottom w:w="100" w:type="dxa"/>
              <w:right w:w="100" w:type="dxa"/>
            </w:tcMar>
          </w:tcPr>
          <w:p w14:paraId="2250EEC3" w14:textId="141E2EF1" w:rsidR="001C227F" w:rsidRDefault="001C227F">
            <w:pPr>
              <w:widowControl w:val="0"/>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51FB68A7" w14:textId="1C195D54" w:rsidR="001C227F" w:rsidRDefault="001C227F">
            <w:pPr>
              <w:widowControl w:val="0"/>
              <w:jc w:val="center"/>
              <w:rPr>
                <w:rFonts w:ascii="Century Gothic" w:eastAsia="Century Gothic" w:hAnsi="Century Gothic" w:cs="Century Gothic"/>
              </w:rPr>
            </w:pPr>
          </w:p>
        </w:tc>
      </w:tr>
      <w:tr w:rsidR="001C227F" w14:paraId="4C8B465C" w14:textId="77777777">
        <w:trPr>
          <w:trHeight w:val="2721"/>
        </w:trPr>
        <w:tc>
          <w:tcPr>
            <w:tcW w:w="4515" w:type="dxa"/>
            <w:shd w:val="clear" w:color="auto" w:fill="auto"/>
            <w:tcMar>
              <w:top w:w="100" w:type="dxa"/>
              <w:left w:w="100" w:type="dxa"/>
              <w:bottom w:w="100" w:type="dxa"/>
              <w:right w:w="100" w:type="dxa"/>
            </w:tcMar>
          </w:tcPr>
          <w:p w14:paraId="21747EED" w14:textId="23914586" w:rsidR="001C227F" w:rsidRDefault="001C227F">
            <w:pPr>
              <w:widowControl w:val="0"/>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358BBAD5" w14:textId="64FB9BB4" w:rsidR="001C227F" w:rsidRDefault="001C227F">
            <w:pPr>
              <w:widowControl w:val="0"/>
              <w:spacing w:line="240" w:lineRule="auto"/>
              <w:jc w:val="center"/>
              <w:rPr>
                <w:rFonts w:ascii="Century Gothic" w:eastAsia="Century Gothic" w:hAnsi="Century Gothic" w:cs="Century Gothic"/>
              </w:rPr>
            </w:pPr>
          </w:p>
        </w:tc>
      </w:tr>
      <w:tr w:rsidR="001C227F" w14:paraId="07D75E10" w14:textId="77777777">
        <w:trPr>
          <w:trHeight w:val="2721"/>
        </w:trPr>
        <w:tc>
          <w:tcPr>
            <w:tcW w:w="4515" w:type="dxa"/>
            <w:shd w:val="clear" w:color="auto" w:fill="auto"/>
            <w:tcMar>
              <w:top w:w="100" w:type="dxa"/>
              <w:left w:w="100" w:type="dxa"/>
              <w:bottom w:w="100" w:type="dxa"/>
              <w:right w:w="100" w:type="dxa"/>
            </w:tcMar>
          </w:tcPr>
          <w:p w14:paraId="1F2729F7" w14:textId="77777777" w:rsidR="001C227F" w:rsidRDefault="001C227F">
            <w:pPr>
              <w:jc w:val="center"/>
              <w:rPr>
                <w:rFonts w:ascii="Century Gothic" w:eastAsia="Century Gothic" w:hAnsi="Century Gothic" w:cs="Century Gothic"/>
                <w:b/>
              </w:rPr>
            </w:pPr>
          </w:p>
        </w:tc>
        <w:tc>
          <w:tcPr>
            <w:tcW w:w="4485" w:type="dxa"/>
            <w:shd w:val="clear" w:color="auto" w:fill="auto"/>
            <w:tcMar>
              <w:top w:w="100" w:type="dxa"/>
              <w:left w:w="100" w:type="dxa"/>
              <w:bottom w:w="100" w:type="dxa"/>
              <w:right w:w="100" w:type="dxa"/>
            </w:tcMar>
          </w:tcPr>
          <w:p w14:paraId="62B2FE6C" w14:textId="1724E632" w:rsidR="001C227F" w:rsidRDefault="001C227F">
            <w:pPr>
              <w:jc w:val="center"/>
              <w:rPr>
                <w:rFonts w:ascii="Century Gothic" w:eastAsia="Century Gothic" w:hAnsi="Century Gothic" w:cs="Century Gothic"/>
              </w:rPr>
            </w:pPr>
          </w:p>
        </w:tc>
      </w:tr>
      <w:tr w:rsidR="001C227F" w14:paraId="0F76FB19" w14:textId="77777777">
        <w:trPr>
          <w:trHeight w:val="2280"/>
        </w:trPr>
        <w:tc>
          <w:tcPr>
            <w:tcW w:w="4515" w:type="dxa"/>
            <w:shd w:val="clear" w:color="auto" w:fill="auto"/>
            <w:tcMar>
              <w:top w:w="100" w:type="dxa"/>
              <w:left w:w="100" w:type="dxa"/>
              <w:bottom w:w="100" w:type="dxa"/>
              <w:right w:w="100" w:type="dxa"/>
            </w:tcMar>
          </w:tcPr>
          <w:p w14:paraId="6C4043B5" w14:textId="76C98E41" w:rsidR="001C227F" w:rsidRDefault="001C227F">
            <w:pP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29612937" w14:textId="7D9FCEB2" w:rsidR="001C227F" w:rsidRDefault="001C227F">
            <w:pPr>
              <w:spacing w:line="240" w:lineRule="auto"/>
              <w:jc w:val="center"/>
              <w:rPr>
                <w:rFonts w:ascii="Century Gothic" w:eastAsia="Century Gothic" w:hAnsi="Century Gothic" w:cs="Century Gothic"/>
              </w:rPr>
            </w:pPr>
          </w:p>
        </w:tc>
      </w:tr>
      <w:tr w:rsidR="001C227F" w14:paraId="651DF826" w14:textId="77777777">
        <w:trPr>
          <w:trHeight w:val="2721"/>
        </w:trPr>
        <w:tc>
          <w:tcPr>
            <w:tcW w:w="4515" w:type="dxa"/>
            <w:shd w:val="clear" w:color="auto" w:fill="auto"/>
            <w:tcMar>
              <w:top w:w="100" w:type="dxa"/>
              <w:left w:w="100" w:type="dxa"/>
              <w:bottom w:w="100" w:type="dxa"/>
              <w:right w:w="100" w:type="dxa"/>
            </w:tcMar>
          </w:tcPr>
          <w:p w14:paraId="3AFDDAA8" w14:textId="531DF281" w:rsidR="001C227F" w:rsidRDefault="001C227F">
            <w:pPr>
              <w:spacing w:line="240" w:lineRule="auto"/>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2FDA4F39" w14:textId="2D633CBD" w:rsidR="001C227F" w:rsidRDefault="001C227F">
            <w:pPr>
              <w:spacing w:line="240" w:lineRule="auto"/>
              <w:jc w:val="center"/>
              <w:rPr>
                <w:rFonts w:ascii="Century Gothic" w:eastAsia="Century Gothic" w:hAnsi="Century Gothic" w:cs="Century Gothic"/>
                <w:b/>
              </w:rPr>
            </w:pPr>
          </w:p>
        </w:tc>
      </w:tr>
      <w:tr w:rsidR="001C227F" w14:paraId="130F48D7" w14:textId="77777777">
        <w:trPr>
          <w:trHeight w:val="2721"/>
        </w:trPr>
        <w:tc>
          <w:tcPr>
            <w:tcW w:w="4515" w:type="dxa"/>
            <w:shd w:val="clear" w:color="auto" w:fill="auto"/>
            <w:tcMar>
              <w:top w:w="100" w:type="dxa"/>
              <w:left w:w="100" w:type="dxa"/>
              <w:bottom w:w="100" w:type="dxa"/>
              <w:right w:w="100" w:type="dxa"/>
            </w:tcMar>
          </w:tcPr>
          <w:p w14:paraId="479E5C63" w14:textId="2A52121F"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2D75962F" w14:textId="3EED2285" w:rsidR="001C227F" w:rsidRDefault="001C227F">
            <w:pPr>
              <w:spacing w:line="240" w:lineRule="auto"/>
              <w:jc w:val="center"/>
            </w:pPr>
          </w:p>
        </w:tc>
      </w:tr>
      <w:tr w:rsidR="001C227F" w14:paraId="6A797F69" w14:textId="77777777">
        <w:trPr>
          <w:trHeight w:val="2721"/>
        </w:trPr>
        <w:tc>
          <w:tcPr>
            <w:tcW w:w="4515" w:type="dxa"/>
            <w:shd w:val="clear" w:color="auto" w:fill="auto"/>
            <w:tcMar>
              <w:top w:w="100" w:type="dxa"/>
              <w:left w:w="100" w:type="dxa"/>
              <w:bottom w:w="100" w:type="dxa"/>
              <w:right w:w="100" w:type="dxa"/>
            </w:tcMar>
          </w:tcPr>
          <w:p w14:paraId="09476C33" w14:textId="298E05E1"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25E20228" w14:textId="77777777" w:rsidR="001C227F" w:rsidRDefault="001C227F">
            <w:pPr>
              <w:jc w:val="center"/>
            </w:pPr>
          </w:p>
        </w:tc>
      </w:tr>
      <w:tr w:rsidR="001C227F" w14:paraId="228200A8" w14:textId="77777777">
        <w:trPr>
          <w:trHeight w:val="2721"/>
        </w:trPr>
        <w:tc>
          <w:tcPr>
            <w:tcW w:w="4515" w:type="dxa"/>
            <w:shd w:val="clear" w:color="auto" w:fill="auto"/>
            <w:tcMar>
              <w:top w:w="100" w:type="dxa"/>
              <w:left w:w="100" w:type="dxa"/>
              <w:bottom w:w="100" w:type="dxa"/>
              <w:right w:w="100" w:type="dxa"/>
            </w:tcMar>
          </w:tcPr>
          <w:p w14:paraId="52169AA7"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4837DF65" w14:textId="77777777" w:rsidR="001C227F" w:rsidRDefault="001C227F">
            <w:pPr>
              <w:jc w:val="center"/>
            </w:pPr>
          </w:p>
        </w:tc>
      </w:tr>
      <w:tr w:rsidR="001C227F" w14:paraId="40EA2C4C" w14:textId="77777777">
        <w:trPr>
          <w:trHeight w:val="2721"/>
        </w:trPr>
        <w:tc>
          <w:tcPr>
            <w:tcW w:w="4515" w:type="dxa"/>
            <w:shd w:val="clear" w:color="auto" w:fill="auto"/>
            <w:tcMar>
              <w:top w:w="100" w:type="dxa"/>
              <w:left w:w="100" w:type="dxa"/>
              <w:bottom w:w="100" w:type="dxa"/>
              <w:right w:w="100" w:type="dxa"/>
            </w:tcMar>
          </w:tcPr>
          <w:p w14:paraId="705FF423"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2C25CB04" w14:textId="77777777" w:rsidR="001C227F" w:rsidRDefault="001C227F">
            <w:pPr>
              <w:jc w:val="center"/>
            </w:pPr>
          </w:p>
        </w:tc>
      </w:tr>
      <w:tr w:rsidR="001C227F" w14:paraId="0202BEEC" w14:textId="77777777">
        <w:trPr>
          <w:trHeight w:val="2721"/>
        </w:trPr>
        <w:tc>
          <w:tcPr>
            <w:tcW w:w="4515" w:type="dxa"/>
            <w:shd w:val="clear" w:color="auto" w:fill="auto"/>
            <w:tcMar>
              <w:top w:w="100" w:type="dxa"/>
              <w:left w:w="100" w:type="dxa"/>
              <w:bottom w:w="100" w:type="dxa"/>
              <w:right w:w="100" w:type="dxa"/>
            </w:tcMar>
          </w:tcPr>
          <w:p w14:paraId="72B24343"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3BCB5182" w14:textId="77777777" w:rsidR="001C227F" w:rsidRDefault="001C227F">
            <w:pPr>
              <w:jc w:val="center"/>
            </w:pPr>
          </w:p>
        </w:tc>
      </w:tr>
      <w:tr w:rsidR="001C227F" w14:paraId="3D563C6B" w14:textId="77777777">
        <w:trPr>
          <w:trHeight w:val="2721"/>
        </w:trPr>
        <w:tc>
          <w:tcPr>
            <w:tcW w:w="4515" w:type="dxa"/>
            <w:shd w:val="clear" w:color="auto" w:fill="auto"/>
            <w:tcMar>
              <w:top w:w="100" w:type="dxa"/>
              <w:left w:w="100" w:type="dxa"/>
              <w:bottom w:w="100" w:type="dxa"/>
              <w:right w:w="100" w:type="dxa"/>
            </w:tcMar>
          </w:tcPr>
          <w:p w14:paraId="3E631D48"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7B6719D0" w14:textId="77777777" w:rsidR="001C227F" w:rsidRDefault="001C227F">
            <w:pPr>
              <w:jc w:val="center"/>
            </w:pPr>
          </w:p>
        </w:tc>
      </w:tr>
      <w:tr w:rsidR="001C227F" w14:paraId="2BFDDD8F" w14:textId="77777777">
        <w:trPr>
          <w:trHeight w:val="2721"/>
        </w:trPr>
        <w:tc>
          <w:tcPr>
            <w:tcW w:w="4515" w:type="dxa"/>
            <w:shd w:val="clear" w:color="auto" w:fill="auto"/>
            <w:tcMar>
              <w:top w:w="100" w:type="dxa"/>
              <w:left w:w="100" w:type="dxa"/>
              <w:bottom w:w="100" w:type="dxa"/>
              <w:right w:w="100" w:type="dxa"/>
            </w:tcMar>
          </w:tcPr>
          <w:p w14:paraId="3058B874"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56A8FCFA" w14:textId="77777777" w:rsidR="001C227F" w:rsidRDefault="001C227F">
            <w:pPr>
              <w:jc w:val="center"/>
            </w:pPr>
          </w:p>
        </w:tc>
      </w:tr>
      <w:tr w:rsidR="001C227F" w14:paraId="79655555" w14:textId="77777777">
        <w:trPr>
          <w:trHeight w:val="2721"/>
        </w:trPr>
        <w:tc>
          <w:tcPr>
            <w:tcW w:w="4515" w:type="dxa"/>
            <w:shd w:val="clear" w:color="auto" w:fill="auto"/>
            <w:tcMar>
              <w:top w:w="100" w:type="dxa"/>
              <w:left w:w="100" w:type="dxa"/>
              <w:bottom w:w="100" w:type="dxa"/>
              <w:right w:w="100" w:type="dxa"/>
            </w:tcMar>
          </w:tcPr>
          <w:p w14:paraId="45298F84"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66738940" w14:textId="77777777" w:rsidR="001C227F" w:rsidRDefault="001C227F">
            <w:pPr>
              <w:jc w:val="center"/>
            </w:pPr>
          </w:p>
        </w:tc>
      </w:tr>
      <w:tr w:rsidR="001C227F" w14:paraId="4FAFC679" w14:textId="77777777">
        <w:trPr>
          <w:trHeight w:val="2721"/>
        </w:trPr>
        <w:tc>
          <w:tcPr>
            <w:tcW w:w="4515" w:type="dxa"/>
            <w:shd w:val="clear" w:color="auto" w:fill="auto"/>
            <w:tcMar>
              <w:top w:w="100" w:type="dxa"/>
              <w:left w:w="100" w:type="dxa"/>
              <w:bottom w:w="100" w:type="dxa"/>
              <w:right w:w="100" w:type="dxa"/>
            </w:tcMar>
          </w:tcPr>
          <w:p w14:paraId="3F878C19"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4E167C6A" w14:textId="77777777" w:rsidR="001C227F" w:rsidRDefault="001C227F">
            <w:pPr>
              <w:jc w:val="center"/>
            </w:pPr>
          </w:p>
        </w:tc>
      </w:tr>
      <w:tr w:rsidR="001C227F" w14:paraId="3408D845" w14:textId="77777777">
        <w:trPr>
          <w:trHeight w:val="2721"/>
        </w:trPr>
        <w:tc>
          <w:tcPr>
            <w:tcW w:w="4515" w:type="dxa"/>
            <w:shd w:val="clear" w:color="auto" w:fill="auto"/>
            <w:tcMar>
              <w:top w:w="100" w:type="dxa"/>
              <w:left w:w="100" w:type="dxa"/>
              <w:bottom w:w="100" w:type="dxa"/>
              <w:right w:w="100" w:type="dxa"/>
            </w:tcMar>
          </w:tcPr>
          <w:p w14:paraId="255DF33D"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2049387D" w14:textId="77777777" w:rsidR="001C227F" w:rsidRDefault="001C227F">
            <w:pPr>
              <w:jc w:val="center"/>
            </w:pPr>
          </w:p>
        </w:tc>
      </w:tr>
    </w:tbl>
    <w:p w14:paraId="525DA622" w14:textId="77777777" w:rsidR="001C227F" w:rsidRDefault="001C227F">
      <w:pPr>
        <w:pBdr>
          <w:top w:val="none" w:sz="0" w:space="0" w:color="000000"/>
          <w:left w:val="none" w:sz="0" w:space="0" w:color="000000"/>
          <w:bottom w:val="none" w:sz="0" w:space="0" w:color="000000"/>
          <w:right w:val="none" w:sz="0" w:space="0" w:color="000000"/>
          <w:between w:val="none" w:sz="0" w:space="0" w:color="000000"/>
        </w:pBdr>
        <w:jc w:val="both"/>
        <w:rPr>
          <w:rFonts w:ascii="Century Gothic" w:eastAsia="Century Gothic" w:hAnsi="Century Gothic" w:cs="Century Gothic"/>
        </w:rPr>
      </w:pPr>
    </w:p>
    <w:p w14:paraId="6DBB42BC" w14:textId="77777777" w:rsidR="001C227F" w:rsidRDefault="001C227F">
      <w:pPr>
        <w:jc w:val="center"/>
        <w:rPr>
          <w:rFonts w:ascii="Century Gothic" w:eastAsia="Century Gothic" w:hAnsi="Century Gothic" w:cs="Century Gothic"/>
          <w:b/>
        </w:rPr>
      </w:pPr>
    </w:p>
    <w:p w14:paraId="43FC2513" w14:textId="19A41AFE" w:rsidR="001C227F" w:rsidRDefault="001C227F">
      <w:pPr>
        <w:jc w:val="center"/>
        <w:rPr>
          <w:rFonts w:ascii="Century Gothic" w:eastAsia="Century Gothic" w:hAnsi="Century Gothic" w:cs="Century Gothic"/>
          <w:b/>
        </w:rPr>
      </w:pPr>
    </w:p>
    <w:p w14:paraId="47AC4064" w14:textId="681CC524" w:rsidR="00B70AA6" w:rsidRDefault="00B70AA6">
      <w:pPr>
        <w:jc w:val="center"/>
        <w:rPr>
          <w:rFonts w:ascii="Century Gothic" w:eastAsia="Century Gothic" w:hAnsi="Century Gothic" w:cs="Century Gothic"/>
          <w:b/>
        </w:rPr>
      </w:pPr>
    </w:p>
    <w:p w14:paraId="32C3E6D9" w14:textId="207BD479" w:rsidR="00B70AA6" w:rsidRDefault="00B70AA6">
      <w:pPr>
        <w:jc w:val="center"/>
        <w:rPr>
          <w:rFonts w:ascii="Century Gothic" w:eastAsia="Century Gothic" w:hAnsi="Century Gothic" w:cs="Century Gothic"/>
          <w:b/>
        </w:rPr>
      </w:pPr>
    </w:p>
    <w:p w14:paraId="4992DDEE" w14:textId="2258C13D" w:rsidR="00B70AA6" w:rsidRDefault="00B70AA6">
      <w:pPr>
        <w:jc w:val="center"/>
        <w:rPr>
          <w:rFonts w:ascii="Century Gothic" w:eastAsia="Century Gothic" w:hAnsi="Century Gothic" w:cs="Century Gothic"/>
          <w:b/>
        </w:rPr>
      </w:pPr>
    </w:p>
    <w:p w14:paraId="41FA0977" w14:textId="3049FEEF" w:rsidR="00B70AA6" w:rsidRDefault="00B70AA6">
      <w:pPr>
        <w:jc w:val="center"/>
        <w:rPr>
          <w:rFonts w:ascii="Century Gothic" w:eastAsia="Century Gothic" w:hAnsi="Century Gothic" w:cs="Century Gothic"/>
          <w:b/>
        </w:rPr>
      </w:pPr>
    </w:p>
    <w:p w14:paraId="21C5F576" w14:textId="42667327" w:rsidR="00B70AA6" w:rsidRDefault="00B70AA6">
      <w:pPr>
        <w:jc w:val="center"/>
        <w:rPr>
          <w:rFonts w:ascii="Century Gothic" w:eastAsia="Century Gothic" w:hAnsi="Century Gothic" w:cs="Century Gothic"/>
          <w:b/>
        </w:rPr>
      </w:pPr>
    </w:p>
    <w:p w14:paraId="6F5C7D5A" w14:textId="4A41CBE6" w:rsidR="00B70AA6" w:rsidRDefault="00B70AA6">
      <w:pPr>
        <w:jc w:val="center"/>
        <w:rPr>
          <w:rFonts w:ascii="Century Gothic" w:eastAsia="Century Gothic" w:hAnsi="Century Gothic" w:cs="Century Gothic"/>
          <w:b/>
        </w:rPr>
      </w:pPr>
    </w:p>
    <w:p w14:paraId="5938071A" w14:textId="77777777" w:rsidR="00B70AA6" w:rsidRDefault="00B70AA6">
      <w:pPr>
        <w:jc w:val="center"/>
        <w:rPr>
          <w:rFonts w:ascii="Century Gothic" w:eastAsia="Century Gothic" w:hAnsi="Century Gothic" w:cs="Century Gothic"/>
          <w:b/>
        </w:rPr>
      </w:pPr>
    </w:p>
    <w:p w14:paraId="3B2730A1" w14:textId="77777777" w:rsidR="001C227F" w:rsidRDefault="00AD45D2">
      <w:pPr>
        <w:jc w:val="center"/>
        <w:rPr>
          <w:rFonts w:ascii="Century Gothic" w:eastAsia="Century Gothic" w:hAnsi="Century Gothic" w:cs="Century Gothic"/>
          <w:b/>
        </w:rPr>
      </w:pPr>
      <w:r>
        <w:rPr>
          <w:rFonts w:ascii="Century Gothic" w:eastAsia="Century Gothic" w:hAnsi="Century Gothic" w:cs="Century Gothic"/>
          <w:b/>
        </w:rPr>
        <w:lastRenderedPageBreak/>
        <w:t>PROYECTO DE LEY NO. ________ DE 2025 CÁMARA</w:t>
      </w:r>
    </w:p>
    <w:p w14:paraId="69816B73" w14:textId="77777777" w:rsidR="001C227F" w:rsidRDefault="001C227F">
      <w:pPr>
        <w:jc w:val="center"/>
        <w:rPr>
          <w:rFonts w:ascii="Century Gothic" w:eastAsia="Century Gothic" w:hAnsi="Century Gothic" w:cs="Century Gothic"/>
          <w:b/>
        </w:rPr>
      </w:pPr>
    </w:p>
    <w:p w14:paraId="25040840" w14:textId="77777777" w:rsidR="001C227F" w:rsidRDefault="001C227F">
      <w:pPr>
        <w:jc w:val="center"/>
        <w:rPr>
          <w:rFonts w:ascii="Century Gothic" w:eastAsia="Century Gothic" w:hAnsi="Century Gothic" w:cs="Century Gothic"/>
          <w:b/>
        </w:rPr>
      </w:pPr>
    </w:p>
    <w:p w14:paraId="26BD4130" w14:textId="77777777" w:rsidR="001C227F" w:rsidRDefault="00AD45D2">
      <w:pPr>
        <w:jc w:val="center"/>
        <w:rPr>
          <w:rFonts w:ascii="Century Gothic" w:eastAsia="Century Gothic" w:hAnsi="Century Gothic" w:cs="Century Gothic"/>
          <w:b/>
        </w:rPr>
      </w:pPr>
      <w:r>
        <w:rPr>
          <w:rFonts w:ascii="Century Gothic" w:eastAsia="Century Gothic" w:hAnsi="Century Gothic" w:cs="Century Gothic"/>
          <w:b/>
        </w:rPr>
        <w:t>“POR MEDIO DEL CUAL SE ADOPTA Y REGULA EL PROGRAMA ESTADO JOVEN PARA LA DIGNIFICACIÓN DE LAS PRÁCTICAS LABORALES EN LAS ENTIDADES PÚBLICAS Y SE PROMUEVE LA INSERCIÓN LABORAL DE LOS PRACTICANTES EN EL SECTOR”</w:t>
      </w:r>
    </w:p>
    <w:p w14:paraId="457AA248" w14:textId="77777777" w:rsidR="001C227F" w:rsidRDefault="001C227F">
      <w:pPr>
        <w:jc w:val="center"/>
        <w:rPr>
          <w:rFonts w:ascii="Century Gothic" w:eastAsia="Century Gothic" w:hAnsi="Century Gothic" w:cs="Century Gothic"/>
          <w:b/>
        </w:rPr>
      </w:pPr>
    </w:p>
    <w:p w14:paraId="0CB087D0" w14:textId="77777777" w:rsidR="001C227F" w:rsidRDefault="001C227F">
      <w:pPr>
        <w:jc w:val="center"/>
        <w:rPr>
          <w:rFonts w:ascii="Century Gothic" w:eastAsia="Century Gothic" w:hAnsi="Century Gothic" w:cs="Century Gothic"/>
          <w:b/>
        </w:rPr>
      </w:pPr>
    </w:p>
    <w:p w14:paraId="6B57005D" w14:textId="77777777" w:rsidR="001C227F" w:rsidRDefault="00AD45D2">
      <w:pPr>
        <w:jc w:val="center"/>
        <w:rPr>
          <w:rFonts w:ascii="Century Gothic" w:eastAsia="Century Gothic" w:hAnsi="Century Gothic" w:cs="Century Gothic"/>
          <w:b/>
        </w:rPr>
      </w:pPr>
      <w:r>
        <w:rPr>
          <w:rFonts w:ascii="Century Gothic" w:eastAsia="Century Gothic" w:hAnsi="Century Gothic" w:cs="Century Gothic"/>
          <w:b/>
        </w:rPr>
        <w:t>EL CONGRESO DE COLOMBIA</w:t>
      </w:r>
    </w:p>
    <w:p w14:paraId="03B5ECC5" w14:textId="77777777" w:rsidR="001C227F" w:rsidRDefault="001C227F">
      <w:pPr>
        <w:jc w:val="center"/>
        <w:rPr>
          <w:rFonts w:ascii="Century Gothic" w:eastAsia="Century Gothic" w:hAnsi="Century Gothic" w:cs="Century Gothic"/>
          <w:b/>
        </w:rPr>
      </w:pPr>
    </w:p>
    <w:p w14:paraId="7548F424" w14:textId="77777777" w:rsidR="001C227F" w:rsidRDefault="001C227F">
      <w:pPr>
        <w:jc w:val="center"/>
        <w:rPr>
          <w:rFonts w:ascii="Century Gothic" w:eastAsia="Century Gothic" w:hAnsi="Century Gothic" w:cs="Century Gothic"/>
          <w:b/>
        </w:rPr>
      </w:pPr>
    </w:p>
    <w:p w14:paraId="0ACAFA39" w14:textId="77777777" w:rsidR="001C227F" w:rsidRDefault="00AD45D2">
      <w:pPr>
        <w:jc w:val="center"/>
        <w:rPr>
          <w:rFonts w:ascii="Century Gothic" w:eastAsia="Century Gothic" w:hAnsi="Century Gothic" w:cs="Century Gothic"/>
          <w:b/>
        </w:rPr>
      </w:pPr>
      <w:r>
        <w:rPr>
          <w:rFonts w:ascii="Century Gothic" w:eastAsia="Century Gothic" w:hAnsi="Century Gothic" w:cs="Century Gothic"/>
          <w:b/>
        </w:rPr>
        <w:t>DECRETA:</w:t>
      </w:r>
    </w:p>
    <w:p w14:paraId="27EE1AF9" w14:textId="77777777" w:rsidR="001C227F" w:rsidRDefault="001C227F">
      <w:pPr>
        <w:jc w:val="center"/>
        <w:rPr>
          <w:rFonts w:ascii="Century Gothic" w:eastAsia="Century Gothic" w:hAnsi="Century Gothic" w:cs="Century Gothic"/>
        </w:rPr>
      </w:pPr>
    </w:p>
    <w:p w14:paraId="748D9A1F" w14:textId="77777777" w:rsidR="001C227F" w:rsidRDefault="001C227F">
      <w:pPr>
        <w:rPr>
          <w:rFonts w:ascii="Century Gothic" w:eastAsia="Century Gothic" w:hAnsi="Century Gothic" w:cs="Century Gothic"/>
        </w:rPr>
      </w:pPr>
    </w:p>
    <w:p w14:paraId="775E8507" w14:textId="77777777" w:rsidR="001C227F" w:rsidRDefault="00AD45D2">
      <w:pPr>
        <w:shd w:val="clear" w:color="auto" w:fill="FFFFFF"/>
        <w:jc w:val="both"/>
        <w:rPr>
          <w:rFonts w:ascii="Century Gothic" w:eastAsia="Century Gothic" w:hAnsi="Century Gothic" w:cs="Century Gothic"/>
        </w:rPr>
      </w:pPr>
      <w:r>
        <w:rPr>
          <w:rFonts w:ascii="Century Gothic" w:eastAsia="Century Gothic" w:hAnsi="Century Gothic" w:cs="Century Gothic"/>
          <w:b/>
        </w:rPr>
        <w:t>ARTÍCULO</w:t>
      </w:r>
      <w:r>
        <w:rPr>
          <w:rFonts w:ascii="Century Gothic" w:eastAsia="Century Gothic" w:hAnsi="Century Gothic" w:cs="Century Gothic"/>
        </w:rPr>
        <w:t> </w:t>
      </w:r>
      <w:r>
        <w:rPr>
          <w:rFonts w:ascii="Century Gothic" w:eastAsia="Century Gothic" w:hAnsi="Century Gothic" w:cs="Century Gothic"/>
          <w:b/>
        </w:rPr>
        <w:t>1.</w:t>
      </w:r>
      <w:r>
        <w:rPr>
          <w:rFonts w:ascii="Century Gothic" w:eastAsia="Century Gothic" w:hAnsi="Century Gothic" w:cs="Century Gothic"/>
        </w:rPr>
        <w:t> </w:t>
      </w:r>
      <w:r>
        <w:rPr>
          <w:rFonts w:ascii="Century Gothic" w:eastAsia="Century Gothic" w:hAnsi="Century Gothic" w:cs="Century Gothic"/>
          <w:b/>
        </w:rPr>
        <w:t>OBJETO</w:t>
      </w:r>
      <w:r>
        <w:rPr>
          <w:rFonts w:ascii="Century Gothic" w:eastAsia="Century Gothic" w:hAnsi="Century Gothic" w:cs="Century Gothic"/>
          <w:b/>
          <w:color w:val="000000"/>
        </w:rPr>
        <w:t>.</w:t>
      </w:r>
      <w:r>
        <w:rPr>
          <w:rFonts w:ascii="Century Gothic" w:eastAsia="Century Gothic" w:hAnsi="Century Gothic" w:cs="Century Gothic"/>
          <w:color w:val="000000"/>
        </w:rPr>
        <w:t xml:space="preserve"> La presente </w:t>
      </w:r>
      <w:r>
        <w:rPr>
          <w:rFonts w:ascii="Century Gothic" w:eastAsia="Century Gothic" w:hAnsi="Century Gothic" w:cs="Century Gothic"/>
        </w:rPr>
        <w:t>L</w:t>
      </w:r>
      <w:r>
        <w:rPr>
          <w:rFonts w:ascii="Century Gothic" w:eastAsia="Century Gothic" w:hAnsi="Century Gothic" w:cs="Century Gothic"/>
          <w:color w:val="000000"/>
        </w:rPr>
        <w:t xml:space="preserve">ey tiene por objeto adoptar el </w:t>
      </w:r>
      <w:r>
        <w:rPr>
          <w:rFonts w:ascii="Century Gothic" w:eastAsia="Century Gothic" w:hAnsi="Century Gothic" w:cs="Century Gothic"/>
        </w:rPr>
        <w:t>programa</w:t>
      </w:r>
      <w:r>
        <w:rPr>
          <w:rFonts w:ascii="Century Gothic" w:eastAsia="Century Gothic" w:hAnsi="Century Gothic" w:cs="Century Gothic"/>
          <w:color w:val="000000"/>
        </w:rPr>
        <w:t xml:space="preserve"> </w:t>
      </w:r>
      <w:r>
        <w:rPr>
          <w:rFonts w:ascii="Century Gothic" w:eastAsia="Century Gothic" w:hAnsi="Century Gothic" w:cs="Century Gothic"/>
        </w:rPr>
        <w:t xml:space="preserve">“Estado Joven” como un mecanismo de política pública </w:t>
      </w:r>
      <w:r>
        <w:rPr>
          <w:rFonts w:ascii="Century Gothic" w:eastAsia="Century Gothic" w:hAnsi="Century Gothic" w:cs="Century Gothic"/>
          <w:color w:val="000000"/>
        </w:rPr>
        <w:t xml:space="preserve">para dignificar las prácticas laborales </w:t>
      </w:r>
      <w:r>
        <w:rPr>
          <w:rFonts w:ascii="Century Gothic" w:eastAsia="Century Gothic" w:hAnsi="Century Gothic" w:cs="Century Gothic"/>
        </w:rPr>
        <w:t>en las entidades públicas</w:t>
      </w:r>
      <w:r>
        <w:rPr>
          <w:rFonts w:ascii="Century Gothic" w:eastAsia="Century Gothic" w:hAnsi="Century Gothic" w:cs="Century Gothic"/>
          <w:color w:val="000000"/>
        </w:rPr>
        <w:t xml:space="preserve">, promover la inserción laboral de los </w:t>
      </w:r>
      <w:r>
        <w:rPr>
          <w:rFonts w:ascii="Century Gothic" w:eastAsia="Century Gothic" w:hAnsi="Century Gothic" w:cs="Century Gothic"/>
        </w:rPr>
        <w:t>jóvenes</w:t>
      </w:r>
      <w:r>
        <w:rPr>
          <w:rFonts w:ascii="Century Gothic" w:eastAsia="Century Gothic" w:hAnsi="Century Gothic" w:cs="Century Gothic"/>
          <w:color w:val="000000"/>
        </w:rPr>
        <w:t xml:space="preserve"> </w:t>
      </w:r>
      <w:r>
        <w:rPr>
          <w:rFonts w:ascii="Century Gothic" w:eastAsia="Century Gothic" w:hAnsi="Century Gothic" w:cs="Century Gothic"/>
        </w:rPr>
        <w:t>practicantes</w:t>
      </w:r>
      <w:r>
        <w:rPr>
          <w:rFonts w:ascii="Century Gothic" w:eastAsia="Century Gothic" w:hAnsi="Century Gothic" w:cs="Century Gothic"/>
          <w:color w:val="000000"/>
        </w:rPr>
        <w:t xml:space="preserve"> en el sector </w:t>
      </w:r>
      <w:r>
        <w:rPr>
          <w:rFonts w:ascii="Century Gothic" w:eastAsia="Century Gothic" w:hAnsi="Century Gothic" w:cs="Century Gothic"/>
        </w:rPr>
        <w:t xml:space="preserve">público </w:t>
      </w:r>
      <w:r>
        <w:rPr>
          <w:rFonts w:ascii="Century Gothic" w:eastAsia="Century Gothic" w:hAnsi="Century Gothic" w:cs="Century Gothic"/>
          <w:color w:val="000000"/>
        </w:rPr>
        <w:t>y</w:t>
      </w:r>
      <w:r>
        <w:rPr>
          <w:rFonts w:ascii="Century Gothic" w:eastAsia="Century Gothic" w:hAnsi="Century Gothic" w:cs="Century Gothic"/>
        </w:rPr>
        <w:t xml:space="preserve"> dictar otras disposiciones.</w:t>
      </w:r>
    </w:p>
    <w:p w14:paraId="002261CC" w14:textId="77777777" w:rsidR="001C227F" w:rsidRDefault="001C227F">
      <w:pPr>
        <w:shd w:val="clear" w:color="auto" w:fill="FFFFFF"/>
        <w:jc w:val="both"/>
        <w:rPr>
          <w:rFonts w:ascii="Century Gothic" w:eastAsia="Century Gothic" w:hAnsi="Century Gothic" w:cs="Century Gothic"/>
        </w:rPr>
      </w:pPr>
    </w:p>
    <w:p w14:paraId="420E7326" w14:textId="77777777" w:rsidR="001C227F" w:rsidRDefault="00AD45D2">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b/>
        </w:rPr>
        <w:t>ARTÍCULO 2.</w:t>
      </w:r>
      <w:r>
        <w:rPr>
          <w:rFonts w:ascii="Century Gothic" w:eastAsia="Century Gothic" w:hAnsi="Century Gothic" w:cs="Century Gothic"/>
        </w:rPr>
        <w:t xml:space="preserve"> </w:t>
      </w:r>
      <w:r>
        <w:rPr>
          <w:rFonts w:ascii="Century Gothic" w:eastAsia="Century Gothic" w:hAnsi="Century Gothic" w:cs="Century Gothic"/>
          <w:b/>
        </w:rPr>
        <w:t>CAMPO DE APLICACIÓN</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La presente Ley será aplicable a todas las prácticas laborales, pasantías, judicatura o relación de docencia de</w:t>
      </w:r>
      <w:r>
        <w:rPr>
          <w:rFonts w:ascii="Century Gothic" w:eastAsia="Century Gothic" w:hAnsi="Century Gothic" w:cs="Century Gothic"/>
          <w:color w:val="000000"/>
        </w:rPr>
        <w:t xml:space="preserve"> servicio en el sector salud, habilitadas y ofertadas en el sector público.</w:t>
      </w:r>
    </w:p>
    <w:p w14:paraId="3F6460CF" w14:textId="77777777" w:rsidR="001C227F" w:rsidRDefault="001C227F">
      <w:pPr>
        <w:shd w:val="clear" w:color="auto" w:fill="FFFFFF"/>
        <w:jc w:val="both"/>
        <w:rPr>
          <w:rFonts w:ascii="Century Gothic" w:eastAsia="Century Gothic" w:hAnsi="Century Gothic" w:cs="Century Gothic"/>
        </w:rPr>
      </w:pPr>
    </w:p>
    <w:p w14:paraId="08E2AB90" w14:textId="55755466" w:rsidR="001C227F" w:rsidRDefault="00AD45D2">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b/>
        </w:rPr>
        <w:t>PARÁGRAFO.</w:t>
      </w:r>
      <w:r w:rsidR="00B70AA6">
        <w:rPr>
          <w:rFonts w:ascii="Century Gothic" w:eastAsia="Century Gothic" w:hAnsi="Century Gothic" w:cs="Century Gothic"/>
          <w:b/>
        </w:rPr>
        <w:t xml:space="preserve"> </w:t>
      </w:r>
      <w:r>
        <w:rPr>
          <w:rFonts w:ascii="Century Gothic" w:eastAsia="Century Gothic" w:hAnsi="Century Gothic" w:cs="Century Gothic"/>
        </w:rPr>
        <w:t>El contrato de aprendizaje continuará rigiéndose por lo establecido en el artículo 81 del Código Sustantivo del Trabajo, modificado por la Ley 2466 de 2025, o por la nor</w:t>
      </w:r>
      <w:r>
        <w:rPr>
          <w:rFonts w:ascii="Century Gothic" w:eastAsia="Century Gothic" w:hAnsi="Century Gothic" w:cs="Century Gothic"/>
        </w:rPr>
        <w:t>ma que lo modifique o sustituya, así como por las disposiciones complementarias y concordantes</w:t>
      </w:r>
    </w:p>
    <w:p w14:paraId="7ADC55ED" w14:textId="77777777" w:rsidR="001C227F" w:rsidRDefault="001C227F">
      <w:pPr>
        <w:shd w:val="clear" w:color="auto" w:fill="FFFFFF"/>
        <w:jc w:val="both"/>
        <w:rPr>
          <w:rFonts w:ascii="Century Gothic" w:eastAsia="Century Gothic" w:hAnsi="Century Gothic" w:cs="Century Gothic"/>
        </w:rPr>
      </w:pPr>
    </w:p>
    <w:p w14:paraId="71D96226" w14:textId="77777777" w:rsidR="001C227F" w:rsidRDefault="00AD45D2">
      <w:pPr>
        <w:shd w:val="clear" w:color="auto" w:fill="FFFFFF"/>
        <w:jc w:val="both"/>
        <w:rPr>
          <w:rFonts w:ascii="Century Gothic" w:eastAsia="Century Gothic" w:hAnsi="Century Gothic" w:cs="Century Gothic"/>
        </w:rPr>
      </w:pPr>
      <w:r>
        <w:rPr>
          <w:rFonts w:ascii="Century Gothic" w:eastAsia="Century Gothic" w:hAnsi="Century Gothic" w:cs="Century Gothic"/>
          <w:b/>
        </w:rPr>
        <w:t>ARTÍCULO 3. PROGRAMA ESTADO JÓVEN.</w:t>
      </w:r>
      <w:r>
        <w:rPr>
          <w:rFonts w:ascii="Century Gothic" w:eastAsia="Century Gothic" w:hAnsi="Century Gothic" w:cs="Century Gothic"/>
        </w:rPr>
        <w:t xml:space="preserve"> El programa Estado Joven consiste en la financiación del desarrollo de prácticas laborales en el sector público y la adopción de mecanismos para su inserción laboral, con la finalidad de facilitar a los jóvenes la transición del ciclo de aprendizaje al me</w:t>
      </w:r>
      <w:r>
        <w:rPr>
          <w:rFonts w:ascii="Century Gothic" w:eastAsia="Century Gothic" w:hAnsi="Century Gothic" w:cs="Century Gothic"/>
        </w:rPr>
        <w:t>rcado laboral.</w:t>
      </w:r>
    </w:p>
    <w:p w14:paraId="3B975227" w14:textId="77777777" w:rsidR="001C227F" w:rsidRDefault="001C227F">
      <w:pPr>
        <w:shd w:val="clear" w:color="auto" w:fill="FFFFFF"/>
        <w:jc w:val="both"/>
        <w:rPr>
          <w:rFonts w:ascii="Century Gothic" w:eastAsia="Century Gothic" w:hAnsi="Century Gothic" w:cs="Century Gothic"/>
        </w:rPr>
      </w:pPr>
    </w:p>
    <w:p w14:paraId="37376FDF" w14:textId="77777777" w:rsidR="001C227F" w:rsidRDefault="001C227F">
      <w:pPr>
        <w:shd w:val="clear" w:color="auto" w:fill="FFFFFF"/>
        <w:jc w:val="both"/>
        <w:rPr>
          <w:rFonts w:ascii="Century Gothic" w:eastAsia="Century Gothic" w:hAnsi="Century Gothic" w:cs="Century Gothic"/>
        </w:rPr>
      </w:pPr>
    </w:p>
    <w:p w14:paraId="64CB7F59" w14:textId="77777777" w:rsidR="001C227F" w:rsidRDefault="00AD45D2">
      <w:pPr>
        <w:shd w:val="clear" w:color="auto" w:fill="FFFFFF"/>
        <w:jc w:val="both"/>
        <w:rPr>
          <w:rFonts w:ascii="Century Gothic" w:eastAsia="Century Gothic" w:hAnsi="Century Gothic" w:cs="Century Gothic"/>
          <w:color w:val="444746"/>
        </w:rPr>
      </w:pPr>
      <w:r>
        <w:rPr>
          <w:rFonts w:ascii="Century Gothic" w:eastAsia="Century Gothic" w:hAnsi="Century Gothic" w:cs="Century Gothic"/>
          <w:b/>
        </w:rPr>
        <w:t>ARTÍCULO 4</w:t>
      </w:r>
      <w:r>
        <w:rPr>
          <w:rFonts w:ascii="Century Gothic" w:eastAsia="Century Gothic" w:hAnsi="Century Gothic" w:cs="Century Gothic"/>
        </w:rPr>
        <w:t>.</w:t>
      </w:r>
      <w:r>
        <w:rPr>
          <w:rFonts w:ascii="Century Gothic" w:eastAsia="Century Gothic" w:hAnsi="Century Gothic" w:cs="Century Gothic"/>
          <w:b/>
        </w:rPr>
        <w:t xml:space="preserve"> ESTADO JOVEN COMO POLÍTICA DE DIGNIFICACIÓN DE PRÁCTICAS LABORALES E INSERCIÓN LABORAL EN EL SECTOR PÚBLICO</w:t>
      </w:r>
      <w:r>
        <w:rPr>
          <w:rFonts w:ascii="Century Gothic" w:eastAsia="Century Gothic" w:hAnsi="Century Gothic" w:cs="Century Gothic"/>
          <w:color w:val="000000"/>
        </w:rPr>
        <w:t xml:space="preserve">. </w:t>
      </w:r>
      <w:r>
        <w:rPr>
          <w:rFonts w:ascii="Century Gothic" w:eastAsia="Century Gothic" w:hAnsi="Century Gothic" w:cs="Century Gothic"/>
          <w:b/>
          <w:color w:val="000000"/>
        </w:rPr>
        <w:t> </w:t>
      </w:r>
      <w:r>
        <w:rPr>
          <w:rFonts w:ascii="Century Gothic" w:eastAsia="Century Gothic" w:hAnsi="Century Gothic" w:cs="Century Gothic"/>
          <w:color w:val="444746"/>
        </w:rPr>
        <w:t>El programa Estado Joven, como política de dignificación de prácticas laborales e inserción laboral en el sector públ</w:t>
      </w:r>
      <w:r>
        <w:rPr>
          <w:rFonts w:ascii="Century Gothic" w:eastAsia="Century Gothic" w:hAnsi="Century Gothic" w:cs="Century Gothic"/>
          <w:color w:val="444746"/>
        </w:rPr>
        <w:t>ico, deberá contener, como mínimo, los siguientes lineamientos:</w:t>
      </w:r>
    </w:p>
    <w:p w14:paraId="6DE16227" w14:textId="77777777" w:rsidR="001C227F" w:rsidRDefault="001C227F">
      <w:pPr>
        <w:shd w:val="clear" w:color="auto" w:fill="FFFFFF"/>
        <w:jc w:val="both"/>
        <w:rPr>
          <w:rFonts w:ascii="Century Gothic" w:eastAsia="Century Gothic" w:hAnsi="Century Gothic" w:cs="Century Gothic"/>
        </w:rPr>
      </w:pPr>
    </w:p>
    <w:p w14:paraId="7A7F76CA" w14:textId="77777777" w:rsidR="001C227F" w:rsidRDefault="00AD45D2">
      <w:pPr>
        <w:numPr>
          <w:ilvl w:val="0"/>
          <w:numId w:val="4"/>
        </w:numPr>
        <w:pBdr>
          <w:top w:val="nil"/>
          <w:left w:val="nil"/>
          <w:bottom w:val="nil"/>
          <w:right w:val="nil"/>
          <w:between w:val="nil"/>
        </w:pBd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El establecimiento de medidas tendientes a promover la vinculación de estudiantes de los diferentes niveles de educación superior que trata el art</w:t>
      </w:r>
      <w:r>
        <w:rPr>
          <w:rFonts w:ascii="Century Gothic" w:eastAsia="Century Gothic" w:hAnsi="Century Gothic" w:cs="Century Gothic"/>
        </w:rPr>
        <w:t>ículo 2 de la presente Ley para que jóvenes p</w:t>
      </w:r>
      <w:r>
        <w:rPr>
          <w:rFonts w:ascii="Century Gothic" w:eastAsia="Century Gothic" w:hAnsi="Century Gothic" w:cs="Century Gothic"/>
        </w:rPr>
        <w:t xml:space="preserve">racticantes desarrollen sus prácticas laborales en el sector público. </w:t>
      </w:r>
    </w:p>
    <w:p w14:paraId="06FD10B5" w14:textId="77777777" w:rsidR="001C227F" w:rsidRDefault="00AD45D2">
      <w:pPr>
        <w:numPr>
          <w:ilvl w:val="0"/>
          <w:numId w:val="4"/>
        </w:numPr>
        <w:pBdr>
          <w:top w:val="nil"/>
          <w:left w:val="nil"/>
          <w:bottom w:val="nil"/>
          <w:right w:val="nil"/>
          <w:between w:val="nil"/>
        </w:pBdr>
        <w:shd w:val="clear" w:color="auto" w:fill="FFFFFF"/>
        <w:jc w:val="both"/>
        <w:rPr>
          <w:rFonts w:ascii="Century Gothic" w:eastAsia="Century Gothic" w:hAnsi="Century Gothic" w:cs="Century Gothic"/>
        </w:rPr>
      </w:pPr>
      <w:r>
        <w:rPr>
          <w:rFonts w:ascii="Century Gothic" w:eastAsia="Century Gothic" w:hAnsi="Century Gothic" w:cs="Century Gothic"/>
        </w:rPr>
        <w:t>El reconocimiento de un auxilio de práctica durante todo el desarrollo de la práctica laboral, el cual no podrá ser inferior a un salario mínimo mensual legal vigente (SMMLV).</w:t>
      </w:r>
    </w:p>
    <w:p w14:paraId="3576A3D4" w14:textId="77777777" w:rsidR="001C227F" w:rsidRDefault="00AD45D2">
      <w:pPr>
        <w:numPr>
          <w:ilvl w:val="0"/>
          <w:numId w:val="4"/>
        </w:numPr>
        <w:pBdr>
          <w:top w:val="nil"/>
          <w:left w:val="nil"/>
          <w:bottom w:val="nil"/>
          <w:right w:val="nil"/>
          <w:between w:val="nil"/>
        </w:pBdr>
        <w:shd w:val="clear" w:color="auto" w:fill="FFFFFF"/>
        <w:jc w:val="both"/>
        <w:rPr>
          <w:rFonts w:ascii="Century Gothic" w:eastAsia="Century Gothic" w:hAnsi="Century Gothic" w:cs="Century Gothic"/>
        </w:rPr>
      </w:pPr>
      <w:r>
        <w:rPr>
          <w:rFonts w:ascii="Century Gothic" w:eastAsia="Century Gothic" w:hAnsi="Century Gothic" w:cs="Century Gothic"/>
        </w:rPr>
        <w:t>La afilia</w:t>
      </w:r>
      <w:r>
        <w:rPr>
          <w:rFonts w:ascii="Century Gothic" w:eastAsia="Century Gothic" w:hAnsi="Century Gothic" w:cs="Century Gothic"/>
        </w:rPr>
        <w:t xml:space="preserve">ción y cotización al Sistema Integral de Seguridad Social en los subsistemas en pensiones, salud y riesgos laborales. </w:t>
      </w:r>
    </w:p>
    <w:p w14:paraId="2377DF13" w14:textId="77777777" w:rsidR="001C227F" w:rsidRDefault="00AD45D2">
      <w:pPr>
        <w:numPr>
          <w:ilvl w:val="0"/>
          <w:numId w:val="4"/>
        </w:numPr>
        <w:pBdr>
          <w:top w:val="nil"/>
          <w:left w:val="nil"/>
          <w:bottom w:val="nil"/>
          <w:right w:val="nil"/>
          <w:between w:val="nil"/>
        </w:pBd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La creación de un procedimiento de convocatoria públic</w:t>
      </w:r>
      <w:r>
        <w:rPr>
          <w:rFonts w:ascii="Century Gothic" w:eastAsia="Century Gothic" w:hAnsi="Century Gothic" w:cs="Century Gothic"/>
        </w:rPr>
        <w:t>a</w:t>
      </w:r>
      <w:r>
        <w:rPr>
          <w:rFonts w:ascii="Century Gothic" w:eastAsia="Century Gothic" w:hAnsi="Century Gothic" w:cs="Century Gothic"/>
          <w:color w:val="000000"/>
        </w:rPr>
        <w:t xml:space="preserve"> y transparente para la </w:t>
      </w:r>
      <w:r>
        <w:rPr>
          <w:rFonts w:ascii="Century Gothic" w:eastAsia="Century Gothic" w:hAnsi="Century Gothic" w:cs="Century Gothic"/>
        </w:rPr>
        <w:t xml:space="preserve">postulación </w:t>
      </w:r>
      <w:r>
        <w:rPr>
          <w:rFonts w:ascii="Century Gothic" w:eastAsia="Century Gothic" w:hAnsi="Century Gothic" w:cs="Century Gothic"/>
          <w:color w:val="000000"/>
        </w:rPr>
        <w:t xml:space="preserve">de los practicantes </w:t>
      </w:r>
      <w:r>
        <w:rPr>
          <w:rFonts w:ascii="Century Gothic" w:eastAsia="Century Gothic" w:hAnsi="Century Gothic" w:cs="Century Gothic"/>
        </w:rPr>
        <w:t>al programa Estado Joven</w:t>
      </w:r>
      <w:r>
        <w:rPr>
          <w:rFonts w:ascii="Century Gothic" w:eastAsia="Century Gothic" w:hAnsi="Century Gothic" w:cs="Century Gothic"/>
          <w:color w:val="000000"/>
        </w:rPr>
        <w:t xml:space="preserve">, </w:t>
      </w:r>
      <w:r>
        <w:rPr>
          <w:rFonts w:ascii="Century Gothic" w:eastAsia="Century Gothic" w:hAnsi="Century Gothic" w:cs="Century Gothic"/>
          <w:color w:val="000000"/>
        </w:rPr>
        <w:t>el cual será reportado al Sistema de Información del Servicio Público de Empleo (SISE)</w:t>
      </w:r>
      <w:r>
        <w:rPr>
          <w:rFonts w:ascii="Century Gothic" w:eastAsia="Century Gothic" w:hAnsi="Century Gothic" w:cs="Century Gothic"/>
        </w:rPr>
        <w:t>.</w:t>
      </w:r>
    </w:p>
    <w:p w14:paraId="48B59453" w14:textId="77777777" w:rsidR="001C227F" w:rsidRDefault="00AD45D2">
      <w:pPr>
        <w:numPr>
          <w:ilvl w:val="0"/>
          <w:numId w:val="4"/>
        </w:numPr>
        <w:pBdr>
          <w:top w:val="nil"/>
          <w:left w:val="nil"/>
          <w:bottom w:val="nil"/>
          <w:right w:val="nil"/>
          <w:between w:val="nil"/>
        </w:pBd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La creación de un procedimiento de selección público y transparente de los practicantes</w:t>
      </w:r>
      <w:r>
        <w:rPr>
          <w:rFonts w:ascii="Century Gothic" w:eastAsia="Century Gothic" w:hAnsi="Century Gothic" w:cs="Century Gothic"/>
        </w:rPr>
        <w:t xml:space="preserve"> a los programas que desarrollen prácticas laborales en el sector público, el cual deberá</w:t>
      </w:r>
      <w:r>
        <w:rPr>
          <w:rFonts w:ascii="Century Gothic" w:eastAsia="Century Gothic" w:hAnsi="Century Gothic" w:cs="Century Gothic"/>
          <w:color w:val="000000"/>
        </w:rPr>
        <w:t xml:space="preserve"> garanti</w:t>
      </w:r>
      <w:r>
        <w:rPr>
          <w:rFonts w:ascii="Century Gothic" w:eastAsia="Century Gothic" w:hAnsi="Century Gothic" w:cs="Century Gothic"/>
        </w:rPr>
        <w:t>zar</w:t>
      </w:r>
      <w:r>
        <w:rPr>
          <w:rFonts w:ascii="Century Gothic" w:eastAsia="Century Gothic" w:hAnsi="Century Gothic" w:cs="Century Gothic"/>
          <w:color w:val="000000"/>
        </w:rPr>
        <w:t xml:space="preserve"> la paridad entre hombre y mujeres, con enfoque diferencial de género</w:t>
      </w:r>
      <w:r>
        <w:rPr>
          <w:rFonts w:ascii="Century Gothic" w:eastAsia="Century Gothic" w:hAnsi="Century Gothic" w:cs="Century Gothic"/>
          <w:color w:val="000000"/>
        </w:rPr>
        <w:t>.</w:t>
      </w:r>
    </w:p>
    <w:p w14:paraId="7908055F" w14:textId="77777777" w:rsidR="001C227F" w:rsidRDefault="00AD45D2">
      <w:pPr>
        <w:numPr>
          <w:ilvl w:val="0"/>
          <w:numId w:val="4"/>
        </w:numPr>
        <w:pBdr>
          <w:top w:val="nil"/>
          <w:left w:val="nil"/>
          <w:bottom w:val="nil"/>
          <w:right w:val="nil"/>
          <w:between w:val="nil"/>
        </w:pBd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La priorización de vinculación para los postulantes que se encuentren domiciliados en estratos socioeconómicos 1, 2 y 3.</w:t>
      </w:r>
    </w:p>
    <w:p w14:paraId="43C309D1" w14:textId="77777777" w:rsidR="001C227F" w:rsidRDefault="00AD45D2">
      <w:pPr>
        <w:numPr>
          <w:ilvl w:val="0"/>
          <w:numId w:val="4"/>
        </w:numPr>
        <w:pBdr>
          <w:top w:val="nil"/>
          <w:left w:val="nil"/>
          <w:bottom w:val="nil"/>
          <w:right w:val="nil"/>
          <w:between w:val="nil"/>
        </w:pBd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El establecimiento de mecanismos y procedimientos tendientes a la protección de los derechos de los practicantes del sector p</w:t>
      </w:r>
      <w:r>
        <w:rPr>
          <w:rFonts w:ascii="Century Gothic" w:eastAsia="Century Gothic" w:hAnsi="Century Gothic" w:cs="Century Gothic"/>
        </w:rPr>
        <w:t>úblico</w:t>
      </w:r>
      <w:r>
        <w:rPr>
          <w:rFonts w:ascii="Century Gothic" w:eastAsia="Century Gothic" w:hAnsi="Century Gothic" w:cs="Century Gothic"/>
          <w:color w:val="000000"/>
        </w:rPr>
        <w:t xml:space="preserve">, </w:t>
      </w:r>
      <w:r>
        <w:rPr>
          <w:rFonts w:ascii="Century Gothic" w:eastAsia="Century Gothic" w:hAnsi="Century Gothic" w:cs="Century Gothic"/>
          <w:color w:val="000000"/>
        </w:rPr>
        <w:t xml:space="preserve">así como la fijación de medidas preventivas, correctivas y sancionatorias de cualquier tipo de abuso o violencia en el ámbito de desarrollo de la práctica en las entidades </w:t>
      </w:r>
      <w:r>
        <w:rPr>
          <w:rFonts w:ascii="Century Gothic" w:eastAsia="Century Gothic" w:hAnsi="Century Gothic" w:cs="Century Gothic"/>
        </w:rPr>
        <w:t>públicas</w:t>
      </w:r>
      <w:r>
        <w:rPr>
          <w:rFonts w:ascii="Century Gothic" w:eastAsia="Century Gothic" w:hAnsi="Century Gothic" w:cs="Century Gothic"/>
          <w:color w:val="000000"/>
        </w:rPr>
        <w:t>.</w:t>
      </w:r>
    </w:p>
    <w:p w14:paraId="2C5C7DF4" w14:textId="77777777" w:rsidR="001C227F" w:rsidRDefault="00AD45D2">
      <w:pPr>
        <w:numPr>
          <w:ilvl w:val="0"/>
          <w:numId w:val="4"/>
        </w:numPr>
        <w:pBdr>
          <w:top w:val="nil"/>
          <w:left w:val="nil"/>
          <w:bottom w:val="nil"/>
          <w:right w:val="nil"/>
          <w:between w:val="nil"/>
        </w:pBdr>
        <w:shd w:val="clear" w:color="auto" w:fill="FFFFFF"/>
        <w:spacing w:after="160"/>
        <w:jc w:val="both"/>
        <w:rPr>
          <w:rFonts w:ascii="Century Gothic" w:eastAsia="Century Gothic" w:hAnsi="Century Gothic" w:cs="Century Gothic"/>
          <w:color w:val="000000"/>
        </w:rPr>
      </w:pPr>
      <w:r>
        <w:rPr>
          <w:rFonts w:ascii="Century Gothic" w:eastAsia="Century Gothic" w:hAnsi="Century Gothic" w:cs="Century Gothic"/>
          <w:color w:val="000000"/>
        </w:rPr>
        <w:t>La creación de un mecanismo para articular, unificar y centralizar la info</w:t>
      </w:r>
      <w:r>
        <w:rPr>
          <w:rFonts w:ascii="Century Gothic" w:eastAsia="Century Gothic" w:hAnsi="Century Gothic" w:cs="Century Gothic"/>
          <w:color w:val="000000"/>
        </w:rPr>
        <w:t>rmación de los practicantes en el territorio nacional vinculados a las entidades públicas.</w:t>
      </w:r>
    </w:p>
    <w:p w14:paraId="7358CA1C" w14:textId="77777777" w:rsidR="001C227F" w:rsidRDefault="00AD45D2">
      <w:pPr>
        <w:shd w:val="clear" w:color="auto" w:fill="FFFFFF"/>
        <w:jc w:val="both"/>
        <w:rPr>
          <w:rFonts w:ascii="Century Gothic" w:eastAsia="Century Gothic" w:hAnsi="Century Gothic" w:cs="Century Gothic"/>
          <w:color w:val="000000"/>
          <w:highlight w:val="white"/>
        </w:rPr>
      </w:pPr>
      <w:bookmarkStart w:id="1" w:name="_heading=h.svaeea6gb50f" w:colFirst="0" w:colLast="0"/>
      <w:bookmarkEnd w:id="1"/>
      <w:r>
        <w:rPr>
          <w:rFonts w:ascii="Century Gothic" w:eastAsia="Century Gothic" w:hAnsi="Century Gothic" w:cs="Century Gothic"/>
          <w:b/>
        </w:rPr>
        <w:t xml:space="preserve">PARÁGRAFO PRIMERO. </w:t>
      </w:r>
      <w:r>
        <w:rPr>
          <w:rFonts w:ascii="Century Gothic" w:eastAsia="Century Gothic" w:hAnsi="Century Gothic" w:cs="Century Gothic"/>
        </w:rPr>
        <w:t>El Ministerio del Trabajo, en coordinación con el Departamento Administrativo de la Función Pública, deberá reglamentar y poner en operación el pr</w:t>
      </w:r>
      <w:r>
        <w:rPr>
          <w:rFonts w:ascii="Century Gothic" w:eastAsia="Century Gothic" w:hAnsi="Century Gothic" w:cs="Century Gothic"/>
        </w:rPr>
        <w:t>ograma Estado Joven conforme a los criterios establecidos en el presente artículo, en un término de seis (6) meses contados a partir de la expedición de la presente Ley. La reglamentación deberá incorporar criterios de diferenciación a favor de grupos vuln</w:t>
      </w:r>
      <w:r>
        <w:rPr>
          <w:rFonts w:ascii="Century Gothic" w:eastAsia="Century Gothic" w:hAnsi="Century Gothic" w:cs="Century Gothic"/>
        </w:rPr>
        <w:t xml:space="preserve">erables, tales como </w:t>
      </w:r>
      <w:proofErr w:type="gramStart"/>
      <w:r>
        <w:rPr>
          <w:rFonts w:ascii="Century Gothic" w:eastAsia="Century Gothic" w:hAnsi="Century Gothic" w:cs="Century Gothic"/>
        </w:rPr>
        <w:t>los jóvenes víctimas</w:t>
      </w:r>
      <w:proofErr w:type="gramEnd"/>
      <w:r>
        <w:rPr>
          <w:rFonts w:ascii="Century Gothic" w:eastAsia="Century Gothic" w:hAnsi="Century Gothic" w:cs="Century Gothic"/>
        </w:rPr>
        <w:t xml:space="preserve"> del conflicto armado, las mujeres jóvenes cabeza de hogar y los jóvenes en condición de discapacidad.</w:t>
      </w:r>
    </w:p>
    <w:p w14:paraId="304E9786" w14:textId="77777777" w:rsidR="001C227F" w:rsidRDefault="001C227F">
      <w:pPr>
        <w:shd w:val="clear" w:color="auto" w:fill="FFFFFF"/>
        <w:jc w:val="both"/>
        <w:rPr>
          <w:rFonts w:ascii="Century Gothic" w:eastAsia="Century Gothic" w:hAnsi="Century Gothic" w:cs="Century Gothic"/>
        </w:rPr>
      </w:pPr>
    </w:p>
    <w:p w14:paraId="5217B330" w14:textId="77777777" w:rsidR="001C227F" w:rsidRDefault="00AD45D2">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b/>
          <w:highlight w:val="white"/>
        </w:rPr>
        <w:t>PARÁGRAFO SEGUNDO</w:t>
      </w:r>
      <w:r>
        <w:rPr>
          <w:rFonts w:ascii="Century Gothic" w:eastAsia="Century Gothic" w:hAnsi="Century Gothic" w:cs="Century Gothic"/>
          <w:color w:val="000000"/>
          <w:highlight w:val="white"/>
        </w:rPr>
        <w:t xml:space="preserve"> </w:t>
      </w:r>
      <w:r>
        <w:rPr>
          <w:rFonts w:ascii="Century Gothic" w:eastAsia="Century Gothic" w:hAnsi="Century Gothic" w:cs="Century Gothic"/>
          <w:color w:val="000000"/>
        </w:rPr>
        <w:t xml:space="preserve">La vinculación de los practicantes se hará a través de un proceso público, transparente, participativo y basado en el mérito, que estará a cargo de cada una de las entidades a través de sus oficinas de personal </w:t>
      </w:r>
      <w:r>
        <w:rPr>
          <w:rFonts w:ascii="Century Gothic" w:eastAsia="Century Gothic" w:hAnsi="Century Gothic" w:cs="Century Gothic"/>
        </w:rPr>
        <w:t xml:space="preserve">o la dependencia que </w:t>
      </w:r>
      <w:r>
        <w:rPr>
          <w:rFonts w:ascii="Century Gothic" w:eastAsia="Century Gothic" w:hAnsi="Century Gothic" w:cs="Century Gothic"/>
          <w:color w:val="000000"/>
        </w:rPr>
        <w:t>corresponda, según el ca</w:t>
      </w:r>
      <w:r>
        <w:rPr>
          <w:rFonts w:ascii="Century Gothic" w:eastAsia="Century Gothic" w:hAnsi="Century Gothic" w:cs="Century Gothic"/>
          <w:color w:val="000000"/>
        </w:rPr>
        <w:t>so. </w:t>
      </w:r>
    </w:p>
    <w:p w14:paraId="72422B86" w14:textId="77777777" w:rsidR="001C227F" w:rsidRDefault="00AD45D2">
      <w:pPr>
        <w:shd w:val="clear" w:color="auto" w:fill="FFFFFF"/>
        <w:jc w:val="both"/>
        <w:rPr>
          <w:rFonts w:ascii="Century Gothic" w:eastAsia="Century Gothic" w:hAnsi="Century Gothic" w:cs="Century Gothic"/>
        </w:rPr>
      </w:pPr>
      <w:r>
        <w:rPr>
          <w:rFonts w:ascii="Century Gothic" w:eastAsia="Century Gothic" w:hAnsi="Century Gothic" w:cs="Century Gothic"/>
        </w:rPr>
        <w:br/>
      </w:r>
      <w:r>
        <w:rPr>
          <w:rFonts w:ascii="Century Gothic" w:eastAsia="Century Gothic" w:hAnsi="Century Gothic" w:cs="Century Gothic"/>
          <w:b/>
        </w:rPr>
        <w:t>PARÁGRAFO TERCERO.</w:t>
      </w:r>
      <w:r>
        <w:rPr>
          <w:rFonts w:ascii="Century Gothic" w:eastAsia="Century Gothic" w:hAnsi="Century Gothic" w:cs="Century Gothic"/>
        </w:rPr>
        <w:t xml:space="preserve"> Las entidades territoriales deberán armonizar sus programas de </w:t>
      </w:r>
      <w:r>
        <w:rPr>
          <w:rFonts w:ascii="Century Gothic" w:eastAsia="Century Gothic" w:hAnsi="Century Gothic" w:cs="Century Gothic"/>
        </w:rPr>
        <w:lastRenderedPageBreak/>
        <w:t>prácticas laborales con los lineamientos establecidos en el programa Estado Joven, con el propósito de unificar la política pública de dignificación de las prácticas la</w:t>
      </w:r>
      <w:r>
        <w:rPr>
          <w:rFonts w:ascii="Century Gothic" w:eastAsia="Century Gothic" w:hAnsi="Century Gothic" w:cs="Century Gothic"/>
        </w:rPr>
        <w:t>borales y de fortalecimiento de la inserción laboral juvenil en el sector público a nivel nacional. Este proceso de adecuación deberá realizarse dentro de los tres (3) meses siguientes a la expedición de la reglamentación correspondiente del programa Estad</w:t>
      </w:r>
      <w:r>
        <w:rPr>
          <w:rFonts w:ascii="Century Gothic" w:eastAsia="Century Gothic" w:hAnsi="Century Gothic" w:cs="Century Gothic"/>
        </w:rPr>
        <w:t>o Joven.</w:t>
      </w:r>
    </w:p>
    <w:p w14:paraId="6F8CB3E1" w14:textId="77777777" w:rsidR="001C227F" w:rsidRDefault="001C227F">
      <w:pPr>
        <w:shd w:val="clear" w:color="auto" w:fill="FFFFFF"/>
        <w:jc w:val="both"/>
        <w:rPr>
          <w:rFonts w:ascii="Century Gothic" w:eastAsia="Century Gothic" w:hAnsi="Century Gothic" w:cs="Century Gothic"/>
        </w:rPr>
      </w:pPr>
    </w:p>
    <w:p w14:paraId="03DDB6DA" w14:textId="77777777" w:rsidR="001C227F" w:rsidRDefault="00AD45D2">
      <w:pPr>
        <w:shd w:val="clear" w:color="auto" w:fill="FFFFFF"/>
        <w:jc w:val="both"/>
        <w:rPr>
          <w:rFonts w:ascii="Century Gothic" w:eastAsia="Century Gothic" w:hAnsi="Century Gothic" w:cs="Century Gothic"/>
        </w:rPr>
      </w:pPr>
      <w:r>
        <w:rPr>
          <w:rFonts w:ascii="Century Gothic" w:eastAsia="Century Gothic" w:hAnsi="Century Gothic" w:cs="Century Gothic"/>
        </w:rPr>
        <w:t xml:space="preserve">Para ello, el Ministerio del Trabajo prestará la asistencia técnica que se requiera para la formulación, </w:t>
      </w:r>
      <w:proofErr w:type="spellStart"/>
      <w:r>
        <w:rPr>
          <w:rFonts w:ascii="Century Gothic" w:eastAsia="Century Gothic" w:hAnsi="Century Gothic" w:cs="Century Gothic"/>
        </w:rPr>
        <w:t>viabilización</w:t>
      </w:r>
      <w:proofErr w:type="spellEnd"/>
      <w:r>
        <w:rPr>
          <w:rFonts w:ascii="Century Gothic" w:eastAsia="Century Gothic" w:hAnsi="Century Gothic" w:cs="Century Gothic"/>
        </w:rPr>
        <w:t xml:space="preserve"> y realización del proceso de armonización de sus programas de prácticas laborales. </w:t>
      </w:r>
    </w:p>
    <w:p w14:paraId="6BBC8343" w14:textId="77777777" w:rsidR="001C227F" w:rsidRDefault="00AD45D2">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 </w:t>
      </w:r>
    </w:p>
    <w:p w14:paraId="3A0498C7" w14:textId="77777777" w:rsidR="001C227F" w:rsidRDefault="001C227F">
      <w:pPr>
        <w:shd w:val="clear" w:color="auto" w:fill="FFFFFF"/>
        <w:jc w:val="both"/>
        <w:rPr>
          <w:rFonts w:ascii="Century Gothic" w:eastAsia="Century Gothic" w:hAnsi="Century Gothic" w:cs="Century Gothic"/>
        </w:rPr>
      </w:pPr>
    </w:p>
    <w:p w14:paraId="5D65D273" w14:textId="77777777" w:rsidR="001C227F" w:rsidRDefault="00AD45D2">
      <w:pPr>
        <w:shd w:val="clear" w:color="auto" w:fill="FFFFFF"/>
        <w:jc w:val="both"/>
        <w:rPr>
          <w:rFonts w:ascii="Century Gothic" w:eastAsia="Century Gothic" w:hAnsi="Century Gothic" w:cs="Century Gothic"/>
          <w:b/>
        </w:rPr>
      </w:pPr>
      <w:r>
        <w:rPr>
          <w:rFonts w:ascii="Century Gothic" w:eastAsia="Century Gothic" w:hAnsi="Century Gothic" w:cs="Century Gothic"/>
          <w:b/>
        </w:rPr>
        <w:t>ARTÍCULO 5.</w:t>
      </w:r>
      <w:r>
        <w:rPr>
          <w:rFonts w:ascii="Century Gothic" w:eastAsia="Century Gothic" w:hAnsi="Century Gothic" w:cs="Century Gothic"/>
          <w:b/>
          <w:color w:val="000000"/>
        </w:rPr>
        <w:t xml:space="preserve"> </w:t>
      </w:r>
      <w:r>
        <w:rPr>
          <w:rFonts w:ascii="Century Gothic" w:eastAsia="Century Gothic" w:hAnsi="Century Gothic" w:cs="Century Gothic"/>
        </w:rPr>
        <w:t>Modifíquese</w:t>
      </w:r>
      <w:r>
        <w:rPr>
          <w:rFonts w:ascii="Century Gothic" w:eastAsia="Century Gothic" w:hAnsi="Century Gothic" w:cs="Century Gothic"/>
          <w:color w:val="000000"/>
        </w:rPr>
        <w:t xml:space="preserve"> el artículo 4 de</w:t>
      </w:r>
      <w:r>
        <w:rPr>
          <w:rFonts w:ascii="Century Gothic" w:eastAsia="Century Gothic" w:hAnsi="Century Gothic" w:cs="Century Gothic"/>
          <w:color w:val="000000"/>
        </w:rPr>
        <w:t xml:space="preserve"> la </w:t>
      </w:r>
      <w:r>
        <w:rPr>
          <w:rFonts w:ascii="Century Gothic" w:eastAsia="Century Gothic" w:hAnsi="Century Gothic" w:cs="Century Gothic"/>
        </w:rPr>
        <w:t>L</w:t>
      </w:r>
      <w:r>
        <w:rPr>
          <w:rFonts w:ascii="Century Gothic" w:eastAsia="Century Gothic" w:hAnsi="Century Gothic" w:cs="Century Gothic"/>
          <w:color w:val="000000"/>
        </w:rPr>
        <w:t xml:space="preserve">ey 2043 de 2020, el cual quedará así: </w:t>
      </w:r>
    </w:p>
    <w:p w14:paraId="26475C8C" w14:textId="77777777" w:rsidR="001C227F" w:rsidRDefault="001C227F">
      <w:pPr>
        <w:shd w:val="clear" w:color="auto" w:fill="FFFFFF"/>
        <w:jc w:val="both"/>
        <w:rPr>
          <w:rFonts w:ascii="Century Gothic" w:eastAsia="Century Gothic" w:hAnsi="Century Gothic" w:cs="Century Gothic"/>
          <w:color w:val="000000"/>
        </w:rPr>
      </w:pPr>
    </w:p>
    <w:p w14:paraId="1AB62760" w14:textId="77777777" w:rsidR="001C227F" w:rsidRDefault="00AD45D2">
      <w:pPr>
        <w:shd w:val="clear" w:color="auto" w:fill="FFFFFF"/>
        <w:ind w:left="720"/>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4. AUXILIO DE </w:t>
      </w:r>
      <w:r>
        <w:rPr>
          <w:rFonts w:ascii="Century Gothic" w:eastAsia="Century Gothic" w:hAnsi="Century Gothic" w:cs="Century Gothic"/>
          <w:b/>
          <w:color w:val="444746"/>
        </w:rPr>
        <w:t>PRÁCTICA</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 xml:space="preserve">Los estudiantes que desarrollen sus prácticas laborales en el sector público tendrán derecho a un auxilio </w:t>
      </w:r>
      <w:r>
        <w:rPr>
          <w:rFonts w:ascii="Century Gothic" w:eastAsia="Century Gothic" w:hAnsi="Century Gothic" w:cs="Century Gothic"/>
          <w:color w:val="444746"/>
        </w:rPr>
        <w:t>económico</w:t>
      </w:r>
      <w:r>
        <w:rPr>
          <w:rFonts w:ascii="Century Gothic" w:eastAsia="Century Gothic" w:hAnsi="Century Gothic" w:cs="Century Gothic"/>
          <w:color w:val="000000"/>
        </w:rPr>
        <w:t xml:space="preserve"> mensual de sostenimiento equivalente por lo menos al cien </w:t>
      </w:r>
      <w:r>
        <w:rPr>
          <w:rFonts w:ascii="Century Gothic" w:eastAsia="Century Gothic" w:hAnsi="Century Gothic" w:cs="Century Gothic"/>
          <w:color w:val="444746"/>
        </w:rPr>
        <w:t>por ciento</w:t>
      </w:r>
      <w:r>
        <w:rPr>
          <w:rFonts w:ascii="Century Gothic" w:eastAsia="Century Gothic" w:hAnsi="Century Gothic" w:cs="Century Gothic"/>
          <w:color w:val="000000"/>
        </w:rPr>
        <w:t xml:space="preserve"> (100%) del salario mínimo mensual legal vigente (SMMLV), en caso de que</w:t>
      </w:r>
      <w:r>
        <w:rPr>
          <w:rFonts w:ascii="Century Gothic" w:eastAsia="Century Gothic" w:hAnsi="Century Gothic" w:cs="Century Gothic"/>
          <w:color w:val="000000"/>
        </w:rPr>
        <w:t xml:space="preserve"> la práctica se realice a tiempo completo. Para las prácticas de tiempo parcial, el auxilio de práctica deberá ser proporcional a la jornada de la actividad formativa.</w:t>
      </w:r>
    </w:p>
    <w:p w14:paraId="59115069" w14:textId="77777777" w:rsidR="001C227F" w:rsidRDefault="001C227F">
      <w:pPr>
        <w:shd w:val="clear" w:color="auto" w:fill="FFFFFF"/>
        <w:ind w:left="720"/>
        <w:jc w:val="both"/>
        <w:rPr>
          <w:rFonts w:ascii="Century Gothic" w:eastAsia="Century Gothic" w:hAnsi="Century Gothic" w:cs="Century Gothic"/>
          <w:color w:val="000000"/>
        </w:rPr>
      </w:pPr>
    </w:p>
    <w:p w14:paraId="0846B160" w14:textId="77777777" w:rsidR="001C227F" w:rsidRDefault="00AD45D2">
      <w:pPr>
        <w:shd w:val="clear" w:color="auto" w:fill="FFFFFF"/>
        <w:ind w:left="720"/>
        <w:jc w:val="both"/>
        <w:rPr>
          <w:rFonts w:ascii="Century Gothic" w:eastAsia="Century Gothic" w:hAnsi="Century Gothic" w:cs="Century Gothic"/>
          <w:color w:val="000000"/>
        </w:rPr>
      </w:pPr>
      <w:r>
        <w:rPr>
          <w:rFonts w:ascii="Century Gothic" w:eastAsia="Century Gothic" w:hAnsi="Century Gothic" w:cs="Century Gothic"/>
          <w:b/>
        </w:rPr>
        <w:t>PARÁGRAFO 1.</w:t>
      </w:r>
      <w:r>
        <w:rPr>
          <w:rFonts w:ascii="Century Gothic" w:eastAsia="Century Gothic" w:hAnsi="Century Gothic" w:cs="Century Gothic"/>
          <w:color w:val="000000"/>
        </w:rPr>
        <w:t xml:space="preserve"> El auxilio que trata la presente </w:t>
      </w:r>
      <w:r>
        <w:rPr>
          <w:rFonts w:ascii="Century Gothic" w:eastAsia="Century Gothic" w:hAnsi="Century Gothic" w:cs="Century Gothic"/>
        </w:rPr>
        <w:t>L</w:t>
      </w:r>
      <w:r>
        <w:rPr>
          <w:rFonts w:ascii="Century Gothic" w:eastAsia="Century Gothic" w:hAnsi="Century Gothic" w:cs="Century Gothic"/>
          <w:color w:val="000000"/>
        </w:rPr>
        <w:t>ey, tiene como finalidad apoyar al pract</w:t>
      </w:r>
      <w:r>
        <w:rPr>
          <w:rFonts w:ascii="Century Gothic" w:eastAsia="Century Gothic" w:hAnsi="Century Gothic" w:cs="Century Gothic"/>
          <w:color w:val="000000"/>
        </w:rPr>
        <w:t>icante en el desarrollo de su actividad formativa y en ningún caso constituye salario.</w:t>
      </w:r>
    </w:p>
    <w:p w14:paraId="1B0F7290" w14:textId="77777777" w:rsidR="001C227F" w:rsidRDefault="00AD45D2">
      <w:pPr>
        <w:shd w:val="clear" w:color="auto" w:fill="FFFFFF"/>
        <w:spacing w:before="180" w:after="180"/>
        <w:ind w:left="720"/>
        <w:jc w:val="both"/>
        <w:rPr>
          <w:rFonts w:ascii="Century Gothic" w:eastAsia="Century Gothic" w:hAnsi="Century Gothic" w:cs="Century Gothic"/>
          <w:color w:val="000000"/>
        </w:rPr>
      </w:pPr>
      <w:r>
        <w:rPr>
          <w:rFonts w:ascii="Century Gothic" w:eastAsia="Century Gothic" w:hAnsi="Century Gothic" w:cs="Century Gothic"/>
          <w:b/>
        </w:rPr>
        <w:t>PARÁGRAFO 2.</w:t>
      </w:r>
      <w:r>
        <w:rPr>
          <w:rFonts w:ascii="Century Gothic" w:eastAsia="Century Gothic" w:hAnsi="Century Gothic" w:cs="Century Gothic"/>
          <w:b/>
          <w:color w:val="4B4949"/>
        </w:rPr>
        <w:t xml:space="preserve"> </w:t>
      </w:r>
      <w:r>
        <w:rPr>
          <w:rFonts w:ascii="Century Gothic" w:eastAsia="Century Gothic" w:hAnsi="Century Gothic" w:cs="Century Gothic"/>
          <w:color w:val="000000"/>
        </w:rPr>
        <w:t xml:space="preserve">En todo caso, el desembolso del auxilio de </w:t>
      </w:r>
      <w:r>
        <w:rPr>
          <w:rFonts w:ascii="Century Gothic" w:eastAsia="Century Gothic" w:hAnsi="Century Gothic" w:cs="Century Gothic"/>
          <w:color w:val="4B4949"/>
        </w:rPr>
        <w:t>práctica</w:t>
      </w:r>
      <w:r>
        <w:rPr>
          <w:rFonts w:ascii="Century Gothic" w:eastAsia="Century Gothic" w:hAnsi="Century Gothic" w:cs="Century Gothic"/>
          <w:color w:val="000000"/>
        </w:rPr>
        <w:t xml:space="preserve"> deberá estar soportado en el cumplimiento efectivo de las obligaciones impuestas en la práctica laboral,</w:t>
      </w:r>
      <w:r>
        <w:rPr>
          <w:rFonts w:ascii="Century Gothic" w:eastAsia="Century Gothic" w:hAnsi="Century Gothic" w:cs="Century Gothic"/>
          <w:color w:val="000000"/>
        </w:rPr>
        <w:t xml:space="preserve"> certificado por el supervisor asignado.</w:t>
      </w:r>
    </w:p>
    <w:p w14:paraId="3AAACB1D" w14:textId="77777777" w:rsidR="001C227F" w:rsidRDefault="00AD45D2">
      <w:pPr>
        <w:shd w:val="clear" w:color="auto" w:fill="FFFFFF"/>
        <w:spacing w:before="180" w:after="180"/>
        <w:ind w:left="720"/>
        <w:jc w:val="both"/>
        <w:rPr>
          <w:rFonts w:ascii="Century Gothic" w:eastAsia="Century Gothic" w:hAnsi="Century Gothic" w:cs="Century Gothic"/>
          <w:color w:val="000000"/>
        </w:rPr>
      </w:pPr>
      <w:r>
        <w:rPr>
          <w:rFonts w:ascii="Century Gothic" w:eastAsia="Century Gothic" w:hAnsi="Century Gothic" w:cs="Century Gothic"/>
          <w:b/>
        </w:rPr>
        <w:t>PARÁGRAFO 3.</w:t>
      </w:r>
      <w:r>
        <w:rPr>
          <w:rFonts w:ascii="Century Gothic" w:eastAsia="Century Gothic" w:hAnsi="Century Gothic" w:cs="Century Gothic"/>
          <w:b/>
          <w:color w:val="4B4949"/>
        </w:rPr>
        <w:t xml:space="preserve"> </w:t>
      </w:r>
      <w:r>
        <w:rPr>
          <w:rFonts w:ascii="Century Gothic" w:eastAsia="Century Gothic" w:hAnsi="Century Gothic" w:cs="Century Gothic"/>
          <w:color w:val="000000"/>
        </w:rPr>
        <w:t xml:space="preserve">El pago del auxilio de práctica no excluye a las partes de la </w:t>
      </w:r>
      <w:r>
        <w:rPr>
          <w:rFonts w:ascii="Century Gothic" w:eastAsia="Century Gothic" w:hAnsi="Century Gothic" w:cs="Century Gothic"/>
          <w:color w:val="4B4949"/>
        </w:rPr>
        <w:t>obligación de</w:t>
      </w:r>
      <w:r>
        <w:rPr>
          <w:rFonts w:ascii="Century Gothic" w:eastAsia="Century Gothic" w:hAnsi="Century Gothic" w:cs="Century Gothic"/>
          <w:color w:val="000000"/>
        </w:rPr>
        <w:t xml:space="preserve"> afiliación y pago de ARL y del cubrimiento con póliza de responsabilidad civil a terceros, según reglamentación del sector por</w:t>
      </w:r>
      <w:r>
        <w:rPr>
          <w:rFonts w:ascii="Century Gothic" w:eastAsia="Century Gothic" w:hAnsi="Century Gothic" w:cs="Century Gothic"/>
          <w:color w:val="000000"/>
        </w:rPr>
        <w:t xml:space="preserve"> cada practicante. En ningún caso, estas obligaciones podrán trasladarse al practicante.</w:t>
      </w:r>
    </w:p>
    <w:p w14:paraId="453EF858" w14:textId="77777777" w:rsidR="001C227F" w:rsidRDefault="001C227F">
      <w:pPr>
        <w:shd w:val="clear" w:color="auto" w:fill="FFFFFF"/>
        <w:spacing w:before="180" w:after="180"/>
        <w:ind w:left="720"/>
        <w:jc w:val="both"/>
        <w:rPr>
          <w:rFonts w:ascii="Century Gothic" w:eastAsia="Century Gothic" w:hAnsi="Century Gothic" w:cs="Century Gothic"/>
        </w:rPr>
      </w:pPr>
    </w:p>
    <w:p w14:paraId="1BCA1586" w14:textId="77777777" w:rsidR="001C227F" w:rsidRDefault="00AD45D2">
      <w:pPr>
        <w:shd w:val="clear" w:color="auto" w:fill="FFFFFF"/>
        <w:spacing w:before="180" w:after="180"/>
        <w:jc w:val="both"/>
        <w:rPr>
          <w:rFonts w:ascii="Century Gothic" w:eastAsia="Century Gothic" w:hAnsi="Century Gothic" w:cs="Century Gothic"/>
        </w:rPr>
      </w:pPr>
      <w:r>
        <w:rPr>
          <w:rFonts w:ascii="Century Gothic" w:eastAsia="Century Gothic" w:hAnsi="Century Gothic" w:cs="Century Gothic"/>
          <w:b/>
        </w:rPr>
        <w:t xml:space="preserve">ARTÍCULO 6. AFILIACIÓN Y PAGO A LOS SUBSISTEMAS DE SEGURIDAD SOCIAL EN SALUD Y PENSIONES. </w:t>
      </w:r>
      <w:r>
        <w:rPr>
          <w:rFonts w:ascii="Century Gothic" w:eastAsia="Century Gothic" w:hAnsi="Century Gothic" w:cs="Century Gothic"/>
        </w:rPr>
        <w:t>Durante el desarrollo de las prácticas laborales en el marco del programa Es</w:t>
      </w:r>
      <w:r>
        <w:rPr>
          <w:rFonts w:ascii="Century Gothic" w:eastAsia="Century Gothic" w:hAnsi="Century Gothic" w:cs="Century Gothic"/>
        </w:rPr>
        <w:t>tado Joven, las y los estudiantes deberán estar afiliados a los subsistemas de seguridad social en salud y pensiones, conforme a las siguientes condiciones:</w:t>
      </w:r>
    </w:p>
    <w:p w14:paraId="32A86915" w14:textId="77777777" w:rsidR="001C227F" w:rsidRDefault="00AD45D2">
      <w:pPr>
        <w:numPr>
          <w:ilvl w:val="0"/>
          <w:numId w:val="6"/>
        </w:numPr>
        <w:shd w:val="clear" w:color="auto" w:fill="FFFFFF"/>
        <w:spacing w:before="240"/>
        <w:jc w:val="both"/>
        <w:rPr>
          <w:rFonts w:ascii="Century Gothic" w:eastAsia="Century Gothic" w:hAnsi="Century Gothic" w:cs="Century Gothic"/>
        </w:rPr>
      </w:pPr>
      <w:r>
        <w:rPr>
          <w:rFonts w:ascii="Century Gothic" w:eastAsia="Century Gothic" w:hAnsi="Century Gothic" w:cs="Century Gothic"/>
          <w:b/>
        </w:rPr>
        <w:lastRenderedPageBreak/>
        <w:t xml:space="preserve">Afiliación y cotización al Subsistema de Seguridad Social en Salud: </w:t>
      </w:r>
      <w:r>
        <w:rPr>
          <w:rFonts w:ascii="Century Gothic" w:eastAsia="Century Gothic" w:hAnsi="Century Gothic" w:cs="Century Gothic"/>
        </w:rPr>
        <w:t xml:space="preserve">Las y los practicantes deberán </w:t>
      </w:r>
      <w:r>
        <w:rPr>
          <w:rFonts w:ascii="Century Gothic" w:eastAsia="Century Gothic" w:hAnsi="Century Gothic" w:cs="Century Gothic"/>
        </w:rPr>
        <w:t>estar afiliados al Subsistema de Seguridad Social en Salud, ya sea en calidad de beneficiarios o como cotizantes. En este último caso, el 8,5% del aporte deberá ser asumido por la entidad educativa o la entidad pública, de acuerdo con lo estipulado en el c</w:t>
      </w:r>
      <w:r>
        <w:rPr>
          <w:rFonts w:ascii="Century Gothic" w:eastAsia="Century Gothic" w:hAnsi="Century Gothic" w:cs="Century Gothic"/>
        </w:rPr>
        <w:t>onvenio de prácticas suscrito entre las partes. En ningún caso podrá trasladarse este costo al o la practicante.</w:t>
      </w:r>
    </w:p>
    <w:p w14:paraId="01D41556" w14:textId="77777777" w:rsidR="001C227F" w:rsidRDefault="00AD45D2">
      <w:pPr>
        <w:numPr>
          <w:ilvl w:val="0"/>
          <w:numId w:val="6"/>
        </w:numPr>
        <w:shd w:val="clear" w:color="auto" w:fill="FFFFFF"/>
        <w:spacing w:after="240"/>
        <w:jc w:val="both"/>
        <w:rPr>
          <w:rFonts w:ascii="Century Gothic" w:eastAsia="Century Gothic" w:hAnsi="Century Gothic" w:cs="Century Gothic"/>
        </w:rPr>
      </w:pPr>
      <w:r>
        <w:rPr>
          <w:rFonts w:ascii="Century Gothic" w:eastAsia="Century Gothic" w:hAnsi="Century Gothic" w:cs="Century Gothic"/>
          <w:b/>
        </w:rPr>
        <w:t xml:space="preserve">Afiliación y cotización al Subsistema de Seguridad Social en Pensiones: </w:t>
      </w:r>
      <w:r>
        <w:rPr>
          <w:rFonts w:ascii="Century Gothic" w:eastAsia="Century Gothic" w:hAnsi="Century Gothic" w:cs="Century Gothic"/>
        </w:rPr>
        <w:t>Las y los practicantes deberán estar afiliados al Subsistema de Seguridad Social en Pensiones y la cotización deberá efectuarse sobre el ingreso base de cotización (IBC) correspondient</w:t>
      </w:r>
      <w:r>
        <w:rPr>
          <w:rFonts w:ascii="Century Gothic" w:eastAsia="Century Gothic" w:hAnsi="Century Gothic" w:cs="Century Gothic"/>
        </w:rPr>
        <w:t>e al auxilio económico recibido por concepto de práctica. El porcentaje de cotización será cubierto conjuntamente por la entidad pública y el practicante, conforme a lo establecido en la legislación vigente.</w:t>
      </w:r>
    </w:p>
    <w:p w14:paraId="40433B64" w14:textId="77777777" w:rsidR="001C227F" w:rsidRDefault="001C227F">
      <w:pPr>
        <w:shd w:val="clear" w:color="auto" w:fill="FFFFFF"/>
        <w:jc w:val="both"/>
        <w:rPr>
          <w:rFonts w:ascii="Century Gothic" w:eastAsia="Century Gothic" w:hAnsi="Century Gothic" w:cs="Century Gothic"/>
          <w:color w:val="000000"/>
        </w:rPr>
      </w:pPr>
    </w:p>
    <w:p w14:paraId="6E4A392E" w14:textId="77777777" w:rsidR="001C227F" w:rsidRDefault="00AD45D2">
      <w:pPr>
        <w:shd w:val="clear" w:color="auto" w:fill="FFFFFF"/>
        <w:jc w:val="both"/>
        <w:rPr>
          <w:rFonts w:ascii="Century Gothic" w:eastAsia="Century Gothic" w:hAnsi="Century Gothic" w:cs="Century Gothic"/>
        </w:rPr>
      </w:pPr>
      <w:r>
        <w:rPr>
          <w:rFonts w:ascii="Century Gothic" w:eastAsia="Century Gothic" w:hAnsi="Century Gothic" w:cs="Century Gothic"/>
          <w:b/>
        </w:rPr>
        <w:t>ARTÍCULO 7. PUBLICACIÓN DE PLAZAS VACANTES</w:t>
      </w:r>
      <w:r>
        <w:rPr>
          <w:rFonts w:ascii="Century Gothic" w:eastAsia="Century Gothic" w:hAnsi="Century Gothic" w:cs="Century Gothic"/>
          <w:b/>
          <w:color w:val="000000"/>
        </w:rPr>
        <w:t>.</w:t>
      </w:r>
      <w:r>
        <w:rPr>
          <w:rFonts w:ascii="Century Gothic" w:eastAsia="Century Gothic" w:hAnsi="Century Gothic" w:cs="Century Gothic"/>
          <w:color w:val="000000"/>
        </w:rPr>
        <w:t> </w:t>
      </w:r>
      <w:r>
        <w:rPr>
          <w:rFonts w:ascii="Century Gothic" w:eastAsia="Century Gothic" w:hAnsi="Century Gothic" w:cs="Century Gothic"/>
        </w:rPr>
        <w:t xml:space="preserve">En </w:t>
      </w:r>
      <w:r>
        <w:rPr>
          <w:rFonts w:ascii="Century Gothic" w:eastAsia="Century Gothic" w:hAnsi="Century Gothic" w:cs="Century Gothic"/>
        </w:rPr>
        <w:t xml:space="preserve">el marco del programa Estado Joven, las entidades públicas deberán publicar el listado completo de las plazas vacantes disponibles para el desarrollo de prácticas laborales en sus dependencias. Esta publicación deberá realizarse a través de sus sitios web </w:t>
      </w:r>
      <w:r>
        <w:rPr>
          <w:rFonts w:ascii="Century Gothic" w:eastAsia="Century Gothic" w:hAnsi="Century Gothic" w:cs="Century Gothic"/>
        </w:rPr>
        <w:t>oficiales y del Servicio Público de Empleo (SISE), e incluir información detallada y actualizada sobre los requisitos, modalidades, condiciones y plazos de aplicación.</w:t>
      </w:r>
    </w:p>
    <w:p w14:paraId="30807FFD" w14:textId="77777777" w:rsidR="001C227F" w:rsidRDefault="001C227F">
      <w:pPr>
        <w:shd w:val="clear" w:color="auto" w:fill="FFFFFF"/>
        <w:jc w:val="both"/>
        <w:rPr>
          <w:rFonts w:ascii="Century Gothic" w:eastAsia="Century Gothic" w:hAnsi="Century Gothic" w:cs="Century Gothic"/>
        </w:rPr>
      </w:pPr>
    </w:p>
    <w:p w14:paraId="4CBAE480" w14:textId="77777777" w:rsidR="001C227F" w:rsidRDefault="00AD45D2">
      <w:pPr>
        <w:shd w:val="clear" w:color="auto" w:fill="FFFFFF"/>
        <w:jc w:val="both"/>
        <w:rPr>
          <w:rFonts w:ascii="Century Gothic" w:eastAsia="Century Gothic" w:hAnsi="Century Gothic" w:cs="Century Gothic"/>
        </w:rPr>
      </w:pPr>
      <w:r>
        <w:rPr>
          <w:rFonts w:ascii="Century Gothic" w:eastAsia="Century Gothic" w:hAnsi="Century Gothic" w:cs="Century Gothic"/>
        </w:rPr>
        <w:t>El Ministerio del Trabajo, a través del Servicio Público de Empleo (SISE), habilitará e</w:t>
      </w:r>
      <w:r>
        <w:rPr>
          <w:rFonts w:ascii="Century Gothic" w:eastAsia="Century Gothic" w:hAnsi="Century Gothic" w:cs="Century Gothic"/>
        </w:rPr>
        <w:t>l registro, la postulación pública y el seguimiento de los practicantes a las vacantes ofertadas por las entidades públicas, garantizando un proceso accesible, transparente y equitativo en todo el territorio nacional.</w:t>
      </w:r>
    </w:p>
    <w:p w14:paraId="38DCE94D" w14:textId="77777777" w:rsidR="001C227F" w:rsidRDefault="00AD45D2">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14:paraId="0DEF10E8" w14:textId="77777777" w:rsidR="001C227F" w:rsidRDefault="001C227F">
      <w:pPr>
        <w:shd w:val="clear" w:color="auto" w:fill="FFFFFF"/>
        <w:jc w:val="both"/>
        <w:rPr>
          <w:rFonts w:ascii="Century Gothic" w:eastAsia="Century Gothic" w:hAnsi="Century Gothic" w:cs="Century Gothic"/>
        </w:rPr>
      </w:pPr>
    </w:p>
    <w:p w14:paraId="27685745" w14:textId="77777777" w:rsidR="001C227F" w:rsidRDefault="00AD45D2">
      <w:pPr>
        <w:shd w:val="clear" w:color="auto" w:fill="FFFFFF"/>
        <w:jc w:val="both"/>
        <w:rPr>
          <w:rFonts w:ascii="Century Gothic" w:eastAsia="Century Gothic" w:hAnsi="Century Gothic" w:cs="Century Gothic"/>
          <w:color w:val="000000"/>
          <w:highlight w:val="white"/>
        </w:rPr>
      </w:pPr>
      <w:r>
        <w:rPr>
          <w:rFonts w:ascii="Century Gothic" w:eastAsia="Century Gothic" w:hAnsi="Century Gothic" w:cs="Century Gothic"/>
          <w:color w:val="000000"/>
        </w:rPr>
        <w:t> </w:t>
      </w:r>
      <w:r>
        <w:rPr>
          <w:rFonts w:ascii="Century Gothic" w:eastAsia="Century Gothic" w:hAnsi="Century Gothic" w:cs="Century Gothic"/>
          <w:b/>
        </w:rPr>
        <w:t>ARTÍCULO 8. PRESUPUESTO.</w:t>
      </w:r>
      <w:r>
        <w:rPr>
          <w:rFonts w:ascii="Century Gothic" w:eastAsia="Century Gothic" w:hAnsi="Century Gothic" w:cs="Century Gothic"/>
          <w:b/>
          <w:color w:val="000000"/>
        </w:rPr>
        <w:t> </w:t>
      </w:r>
      <w:r>
        <w:rPr>
          <w:rFonts w:ascii="Century Gothic" w:eastAsia="Century Gothic" w:hAnsi="Century Gothic" w:cs="Century Gothic"/>
          <w:color w:val="000000"/>
        </w:rPr>
        <w:t xml:space="preserve">El Gobierno Nacional deberá incorporar en el Presupuesto General de la Nación las partidas presupuestales adicionales necesarias para cofinanciar los gastos de las entidades públicas del orden nacional y territorial que asuman las </w:t>
      </w:r>
      <w:r>
        <w:rPr>
          <w:rFonts w:ascii="Century Gothic" w:eastAsia="Century Gothic" w:hAnsi="Century Gothic" w:cs="Century Gothic"/>
          <w:color w:val="000000"/>
        </w:rPr>
        <w:t>obligaciones de que trata la presente Le</w:t>
      </w:r>
      <w:r>
        <w:rPr>
          <w:rFonts w:ascii="Century Gothic" w:eastAsia="Century Gothic" w:hAnsi="Century Gothic" w:cs="Century Gothic"/>
          <w:color w:val="000000"/>
          <w:highlight w:val="white"/>
        </w:rPr>
        <w:t>y med</w:t>
      </w:r>
      <w:r>
        <w:rPr>
          <w:rFonts w:ascii="Century Gothic" w:eastAsia="Century Gothic" w:hAnsi="Century Gothic" w:cs="Century Gothic"/>
          <w:highlight w:val="white"/>
        </w:rPr>
        <w:t>iante transferencias directas o convenios interadministrativos con las entidades</w:t>
      </w:r>
      <w:r>
        <w:rPr>
          <w:rFonts w:ascii="Century Gothic" w:eastAsia="Century Gothic" w:hAnsi="Century Gothic" w:cs="Century Gothic"/>
          <w:color w:val="000000"/>
          <w:highlight w:val="white"/>
        </w:rPr>
        <w:t>, en armonía con el Marco Fiscal de Mediano Plazo. </w:t>
      </w:r>
    </w:p>
    <w:p w14:paraId="68E8B460" w14:textId="77777777" w:rsidR="001C227F" w:rsidRDefault="001C227F">
      <w:pPr>
        <w:shd w:val="clear" w:color="auto" w:fill="FFFFFF"/>
        <w:jc w:val="both"/>
        <w:rPr>
          <w:rFonts w:ascii="Century Gothic" w:eastAsia="Century Gothic" w:hAnsi="Century Gothic" w:cs="Century Gothic"/>
        </w:rPr>
      </w:pPr>
    </w:p>
    <w:p w14:paraId="425CBD90" w14:textId="77777777" w:rsidR="001C227F" w:rsidRDefault="00AD45D2">
      <w:pPr>
        <w:shd w:val="clear" w:color="auto" w:fill="FFFFFF"/>
        <w:jc w:val="both"/>
        <w:rPr>
          <w:rFonts w:ascii="Century Gothic" w:eastAsia="Century Gothic" w:hAnsi="Century Gothic" w:cs="Century Gothic"/>
        </w:rPr>
      </w:pPr>
      <w:r>
        <w:rPr>
          <w:rFonts w:ascii="Century Gothic" w:eastAsia="Century Gothic" w:hAnsi="Century Gothic" w:cs="Century Gothic"/>
        </w:rPr>
        <w:t>El Ministerio del Trabajo deberá disponer dentro de su presupuesto de inversió</w:t>
      </w:r>
      <w:r>
        <w:rPr>
          <w:rFonts w:ascii="Century Gothic" w:eastAsia="Century Gothic" w:hAnsi="Century Gothic" w:cs="Century Gothic"/>
        </w:rPr>
        <w:t>n, una partida permanente destinada a la cofinanciación anual del programa Estado Joven</w:t>
      </w:r>
    </w:p>
    <w:p w14:paraId="7AE10C5C" w14:textId="77777777" w:rsidR="001C227F" w:rsidRDefault="001C227F">
      <w:pPr>
        <w:shd w:val="clear" w:color="auto" w:fill="FFFFFF"/>
        <w:jc w:val="both"/>
        <w:rPr>
          <w:rFonts w:ascii="Century Gothic" w:eastAsia="Century Gothic" w:hAnsi="Century Gothic" w:cs="Century Gothic"/>
        </w:rPr>
      </w:pPr>
    </w:p>
    <w:p w14:paraId="26A41777" w14:textId="77777777" w:rsidR="001C227F" w:rsidRDefault="00AD45D2">
      <w:pPr>
        <w:shd w:val="clear" w:color="auto" w:fill="FFFFFF"/>
        <w:jc w:val="both"/>
        <w:rPr>
          <w:rFonts w:ascii="Century Gothic" w:eastAsia="Century Gothic" w:hAnsi="Century Gothic" w:cs="Century Gothic"/>
        </w:rPr>
      </w:pPr>
      <w:r>
        <w:rPr>
          <w:rFonts w:ascii="Century Gothic" w:eastAsia="Century Gothic" w:hAnsi="Century Gothic" w:cs="Century Gothic"/>
          <w:b/>
        </w:rPr>
        <w:t xml:space="preserve">PARÁGRAFO. </w:t>
      </w:r>
      <w:r>
        <w:rPr>
          <w:rFonts w:ascii="Century Gothic" w:eastAsia="Century Gothic" w:hAnsi="Century Gothic" w:cs="Century Gothic"/>
        </w:rPr>
        <w:t xml:space="preserve">En febrero de cada anualidad, las entidades públicas del nivel nacional y territorial, en conjunto con las Instituciones de Educación Superior, presentarán </w:t>
      </w:r>
      <w:r>
        <w:rPr>
          <w:rFonts w:ascii="Century Gothic" w:eastAsia="Century Gothic" w:hAnsi="Century Gothic" w:cs="Century Gothic"/>
        </w:rPr>
        <w:t xml:space="preserve">ante el </w:t>
      </w:r>
      <w:r>
        <w:rPr>
          <w:rFonts w:ascii="Century Gothic" w:eastAsia="Century Gothic" w:hAnsi="Century Gothic" w:cs="Century Gothic"/>
        </w:rPr>
        <w:lastRenderedPageBreak/>
        <w:t>Ministerio de Trabajo un informe sobre las plazas y necesidades presupuestales para cubrir la cofinanciación del programa Estado Joven.</w:t>
      </w:r>
    </w:p>
    <w:p w14:paraId="0024F565" w14:textId="77777777" w:rsidR="001C227F" w:rsidRDefault="001C227F">
      <w:pPr>
        <w:shd w:val="clear" w:color="auto" w:fill="FFFFFF"/>
        <w:jc w:val="both"/>
        <w:rPr>
          <w:rFonts w:ascii="Century Gothic" w:eastAsia="Century Gothic" w:hAnsi="Century Gothic" w:cs="Century Gothic"/>
        </w:rPr>
      </w:pPr>
    </w:p>
    <w:p w14:paraId="24E6C9E8" w14:textId="77777777" w:rsidR="001C227F" w:rsidRDefault="00AD45D2">
      <w:pPr>
        <w:shd w:val="clear" w:color="auto" w:fill="FFFFFF"/>
        <w:jc w:val="both"/>
        <w:rPr>
          <w:rFonts w:ascii="Century Gothic" w:eastAsia="Century Gothic" w:hAnsi="Century Gothic" w:cs="Century Gothic"/>
        </w:rPr>
      </w:pPr>
      <w:r>
        <w:rPr>
          <w:rFonts w:ascii="Century Gothic" w:eastAsia="Century Gothic" w:hAnsi="Century Gothic" w:cs="Century Gothic"/>
        </w:rPr>
        <w:t>A partir de estos informes, el Ministerio del Trabajo, aprobará el monto a reconocer en la partida presupuestal</w:t>
      </w:r>
      <w:r>
        <w:rPr>
          <w:rFonts w:ascii="Century Gothic" w:eastAsia="Century Gothic" w:hAnsi="Century Gothic" w:cs="Century Gothic"/>
        </w:rPr>
        <w:t xml:space="preserve"> del presupuesto de inversión y lo incorporará en las solicitudes del Presupuesto General de la Nación de la siguiente vigencia. El presupuesto de cofinanciación del programa Estado Joven no podrá ser inferior al monto reconocido y aprobado a través de est</w:t>
      </w:r>
      <w:r>
        <w:rPr>
          <w:rFonts w:ascii="Century Gothic" w:eastAsia="Century Gothic" w:hAnsi="Century Gothic" w:cs="Century Gothic"/>
        </w:rPr>
        <w:t>e mecanismo.</w:t>
      </w:r>
    </w:p>
    <w:p w14:paraId="44DC952F" w14:textId="77777777" w:rsidR="001C227F" w:rsidRDefault="001C227F">
      <w:pPr>
        <w:shd w:val="clear" w:color="auto" w:fill="FFFFFF"/>
        <w:jc w:val="both"/>
        <w:rPr>
          <w:rFonts w:ascii="Century Gothic" w:eastAsia="Century Gothic" w:hAnsi="Century Gothic" w:cs="Century Gothic"/>
        </w:rPr>
      </w:pPr>
    </w:p>
    <w:p w14:paraId="5D54145F" w14:textId="77777777" w:rsidR="001C227F" w:rsidRDefault="00AD45D2">
      <w:pPr>
        <w:shd w:val="clear" w:color="auto" w:fill="FFFFFF"/>
        <w:jc w:val="both"/>
        <w:rPr>
          <w:rFonts w:ascii="Century Gothic" w:eastAsia="Century Gothic" w:hAnsi="Century Gothic" w:cs="Century Gothic"/>
          <w:color w:val="000000"/>
        </w:rPr>
      </w:pPr>
      <w:r>
        <w:rPr>
          <w:rFonts w:ascii="Century Gothic" w:eastAsia="Century Gothic" w:hAnsi="Century Gothic" w:cs="Century Gothic"/>
          <w:b/>
        </w:rPr>
        <w:t>ARTÍCULO 9</w:t>
      </w:r>
      <w:r>
        <w:rPr>
          <w:rFonts w:ascii="Century Gothic" w:eastAsia="Century Gothic" w:hAnsi="Century Gothic" w:cs="Century Gothic"/>
        </w:rPr>
        <w:t xml:space="preserve">. </w:t>
      </w:r>
      <w:r>
        <w:rPr>
          <w:rFonts w:ascii="Century Gothic" w:eastAsia="Century Gothic" w:hAnsi="Century Gothic" w:cs="Century Gothic"/>
          <w:b/>
        </w:rPr>
        <w:t xml:space="preserve">VIGILANCIA, Y SEGUIMIENTO Y CONTROL. </w:t>
      </w:r>
      <w:r>
        <w:rPr>
          <w:rFonts w:ascii="Century Gothic" w:eastAsia="Century Gothic" w:hAnsi="Century Gothic" w:cs="Century Gothic"/>
          <w:color w:val="000000"/>
        </w:rPr>
        <w:t xml:space="preserve">El Ministerio de Trabajo, deberá realizar seguimiento y vigilancia al cumplimiento de lo dispuesto en la presente </w:t>
      </w:r>
      <w:r>
        <w:rPr>
          <w:rFonts w:ascii="Century Gothic" w:eastAsia="Century Gothic" w:hAnsi="Century Gothic" w:cs="Century Gothic"/>
        </w:rPr>
        <w:t>L</w:t>
      </w:r>
      <w:r>
        <w:rPr>
          <w:rFonts w:ascii="Century Gothic" w:eastAsia="Century Gothic" w:hAnsi="Century Gothic" w:cs="Century Gothic"/>
          <w:color w:val="000000"/>
        </w:rPr>
        <w:t xml:space="preserve">ey y deberá remitir </w:t>
      </w:r>
      <w:r>
        <w:rPr>
          <w:rFonts w:ascii="Century Gothic" w:eastAsia="Century Gothic" w:hAnsi="Century Gothic" w:cs="Century Gothic"/>
        </w:rPr>
        <w:t>un informe anual de los avances de la implementación del p</w:t>
      </w:r>
      <w:r>
        <w:rPr>
          <w:rFonts w:ascii="Century Gothic" w:eastAsia="Century Gothic" w:hAnsi="Century Gothic" w:cs="Century Gothic"/>
        </w:rPr>
        <w:t>rograma Estado Joven</w:t>
      </w:r>
      <w:r>
        <w:rPr>
          <w:rFonts w:ascii="Century Gothic" w:eastAsia="Century Gothic" w:hAnsi="Century Gothic" w:cs="Century Gothic"/>
          <w:color w:val="000000"/>
        </w:rPr>
        <w:t xml:space="preserve"> a las Comisiones Séptimas Constitucionales Permanentes del Senado de la República y la </w:t>
      </w:r>
      <w:r>
        <w:rPr>
          <w:rFonts w:ascii="Century Gothic" w:eastAsia="Century Gothic" w:hAnsi="Century Gothic" w:cs="Century Gothic"/>
        </w:rPr>
        <w:t>Cámara</w:t>
      </w:r>
      <w:r>
        <w:rPr>
          <w:rFonts w:ascii="Century Gothic" w:eastAsia="Century Gothic" w:hAnsi="Century Gothic" w:cs="Century Gothic"/>
          <w:color w:val="000000"/>
        </w:rPr>
        <w:t xml:space="preserve"> de Representantes. La entidad promoverá la participación efectiva con sus beneficiarios en la estructuración y socialización de estos informe</w:t>
      </w:r>
      <w:r>
        <w:rPr>
          <w:rFonts w:ascii="Century Gothic" w:eastAsia="Century Gothic" w:hAnsi="Century Gothic" w:cs="Century Gothic"/>
          <w:color w:val="000000"/>
        </w:rPr>
        <w:t xml:space="preserve">s anuales. </w:t>
      </w:r>
    </w:p>
    <w:p w14:paraId="7D9E7AB7" w14:textId="77777777" w:rsidR="001C227F" w:rsidRDefault="001C227F">
      <w:pPr>
        <w:shd w:val="clear" w:color="auto" w:fill="FFFFFF"/>
        <w:jc w:val="both"/>
        <w:rPr>
          <w:rFonts w:ascii="Century Gothic" w:eastAsia="Century Gothic" w:hAnsi="Century Gothic" w:cs="Century Gothic"/>
        </w:rPr>
      </w:pPr>
    </w:p>
    <w:p w14:paraId="43D6C880" w14:textId="77777777" w:rsidR="001C227F" w:rsidRDefault="00AD45D2">
      <w:pPr>
        <w:shd w:val="clear" w:color="auto" w:fill="FFFFFF"/>
        <w:jc w:val="both"/>
        <w:rPr>
          <w:rFonts w:ascii="Century Gothic" w:eastAsia="Century Gothic" w:hAnsi="Century Gothic" w:cs="Century Gothic"/>
        </w:rPr>
      </w:pPr>
      <w:r>
        <w:rPr>
          <w:rFonts w:ascii="Century Gothic" w:eastAsia="Century Gothic" w:hAnsi="Century Gothic" w:cs="Century Gothic"/>
        </w:rPr>
        <w:t xml:space="preserve">El incumplimiento de las medidas contempladas en la presente Ley dará lugar a las faltas disciplinarias, fiscales y penales a que haya lugar, de conformidad con la normatividad vigente. </w:t>
      </w:r>
    </w:p>
    <w:p w14:paraId="21D6A075" w14:textId="77777777" w:rsidR="001C227F" w:rsidRDefault="001C227F">
      <w:pPr>
        <w:shd w:val="clear" w:color="auto" w:fill="FFFFFF"/>
        <w:spacing w:after="160"/>
        <w:jc w:val="both"/>
        <w:rPr>
          <w:rFonts w:ascii="Century Gothic" w:eastAsia="Century Gothic" w:hAnsi="Century Gothic" w:cs="Century Gothic"/>
          <w:b/>
        </w:rPr>
      </w:pPr>
    </w:p>
    <w:p w14:paraId="41D666B2" w14:textId="77777777" w:rsidR="001C227F" w:rsidRDefault="00AD45D2">
      <w:pPr>
        <w:shd w:val="clear" w:color="auto" w:fill="FFFFFF"/>
        <w:spacing w:after="160"/>
        <w:jc w:val="both"/>
        <w:rPr>
          <w:rFonts w:ascii="Century Gothic" w:eastAsia="Century Gothic" w:hAnsi="Century Gothic" w:cs="Century Gothic"/>
          <w:color w:val="000000"/>
        </w:rPr>
      </w:pPr>
      <w:r>
        <w:rPr>
          <w:rFonts w:ascii="Century Gothic" w:eastAsia="Century Gothic" w:hAnsi="Century Gothic" w:cs="Century Gothic"/>
          <w:b/>
        </w:rPr>
        <w:t>ARTÍCULO 10</w:t>
      </w:r>
      <w:r>
        <w:rPr>
          <w:rFonts w:ascii="Century Gothic" w:eastAsia="Century Gothic" w:hAnsi="Century Gothic" w:cs="Century Gothic"/>
        </w:rPr>
        <w:t xml:space="preserve">. </w:t>
      </w:r>
      <w:r>
        <w:rPr>
          <w:rFonts w:ascii="Century Gothic" w:eastAsia="Century Gothic" w:hAnsi="Century Gothic" w:cs="Century Gothic"/>
          <w:b/>
        </w:rPr>
        <w:t>VIGENCIAS Y DEROGACIONES.</w:t>
      </w:r>
      <w:r>
        <w:rPr>
          <w:rFonts w:ascii="Century Gothic" w:eastAsia="Century Gothic" w:hAnsi="Century Gothic" w:cs="Century Gothic"/>
          <w:color w:val="000000"/>
        </w:rPr>
        <w:t xml:space="preserve"> La presente </w:t>
      </w:r>
      <w:r>
        <w:rPr>
          <w:rFonts w:ascii="Century Gothic" w:eastAsia="Century Gothic" w:hAnsi="Century Gothic" w:cs="Century Gothic"/>
        </w:rPr>
        <w:t>L</w:t>
      </w:r>
      <w:r>
        <w:rPr>
          <w:rFonts w:ascii="Century Gothic" w:eastAsia="Century Gothic" w:hAnsi="Century Gothic" w:cs="Century Gothic"/>
          <w:color w:val="000000"/>
        </w:rPr>
        <w:t xml:space="preserve">ey </w:t>
      </w:r>
      <w:r>
        <w:rPr>
          <w:rFonts w:ascii="Century Gothic" w:eastAsia="Century Gothic" w:hAnsi="Century Gothic" w:cs="Century Gothic"/>
          <w:color w:val="000000"/>
        </w:rPr>
        <w:t>rige a partir de su promulgación y deroga las disposiciones que le sean contrarias.</w:t>
      </w:r>
    </w:p>
    <w:p w14:paraId="592E8B5C" w14:textId="77777777" w:rsidR="001C227F" w:rsidRDefault="001C227F">
      <w:pPr>
        <w:ind w:hanging="2"/>
        <w:jc w:val="both"/>
        <w:rPr>
          <w:rFonts w:ascii="Century Gothic" w:eastAsia="Century Gothic" w:hAnsi="Century Gothic" w:cs="Century Gothic"/>
        </w:rPr>
      </w:pPr>
    </w:p>
    <w:p w14:paraId="69A53A50" w14:textId="77777777" w:rsidR="001C227F" w:rsidRDefault="00AD45D2">
      <w:pPr>
        <w:ind w:hanging="2"/>
        <w:jc w:val="both"/>
        <w:rPr>
          <w:rFonts w:ascii="Century Gothic" w:eastAsia="Century Gothic" w:hAnsi="Century Gothic" w:cs="Century Gothic"/>
        </w:rPr>
      </w:pPr>
      <w:r>
        <w:rPr>
          <w:rFonts w:ascii="Century Gothic" w:eastAsia="Century Gothic" w:hAnsi="Century Gothic" w:cs="Century Gothic"/>
        </w:rPr>
        <w:t>De los Honorables Congresistas,</w:t>
      </w:r>
    </w:p>
    <w:p w14:paraId="02BAEC81" w14:textId="77777777" w:rsidR="001C227F" w:rsidRDefault="001C227F">
      <w:pPr>
        <w:pBdr>
          <w:top w:val="none" w:sz="0" w:space="0" w:color="000000"/>
          <w:left w:val="none" w:sz="0" w:space="0" w:color="000000"/>
          <w:bottom w:val="none" w:sz="0" w:space="0" w:color="000000"/>
          <w:right w:val="none" w:sz="0" w:space="0" w:color="000000"/>
          <w:between w:val="none" w:sz="0" w:space="0" w:color="000000"/>
        </w:pBdr>
        <w:jc w:val="both"/>
        <w:rPr>
          <w:rFonts w:ascii="Century Gothic" w:eastAsia="Century Gothic" w:hAnsi="Century Gothic" w:cs="Century Gothic"/>
        </w:rPr>
      </w:pPr>
    </w:p>
    <w:p w14:paraId="580FB162" w14:textId="042192E4" w:rsidR="001C227F" w:rsidRDefault="001C227F">
      <w:pPr>
        <w:spacing w:before="100" w:after="240" w:line="240" w:lineRule="auto"/>
        <w:jc w:val="both"/>
        <w:rPr>
          <w:rFonts w:ascii="Century Gothic" w:eastAsia="Century Gothic" w:hAnsi="Century Gothic" w:cs="Century Gothic"/>
        </w:rPr>
      </w:pPr>
    </w:p>
    <w:tbl>
      <w:tblPr>
        <w:tblStyle w:val="ae"/>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485"/>
      </w:tblGrid>
      <w:tr w:rsidR="001C227F" w14:paraId="027A8932" w14:textId="77777777">
        <w:trPr>
          <w:trHeight w:val="2324"/>
        </w:trPr>
        <w:tc>
          <w:tcPr>
            <w:tcW w:w="4515" w:type="dxa"/>
            <w:shd w:val="clear" w:color="auto" w:fill="auto"/>
            <w:tcMar>
              <w:top w:w="100" w:type="dxa"/>
              <w:left w:w="100" w:type="dxa"/>
              <w:bottom w:w="100" w:type="dxa"/>
              <w:right w:w="100" w:type="dxa"/>
            </w:tcMar>
          </w:tcPr>
          <w:p w14:paraId="3CC39439" w14:textId="075C9C6F" w:rsidR="001C227F" w:rsidRDefault="001C227F">
            <w:pPr>
              <w:spacing w:line="240" w:lineRule="auto"/>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2C5636A1" w14:textId="1133B2BC" w:rsidR="001C227F" w:rsidRDefault="001C227F">
            <w:pPr>
              <w:spacing w:line="240" w:lineRule="auto"/>
              <w:jc w:val="center"/>
              <w:rPr>
                <w:rFonts w:ascii="Century Gothic" w:eastAsia="Century Gothic" w:hAnsi="Century Gothic" w:cs="Century Gothic"/>
              </w:rPr>
            </w:pPr>
          </w:p>
        </w:tc>
      </w:tr>
      <w:tr w:rsidR="001C227F" w14:paraId="303988A9" w14:textId="77777777">
        <w:trPr>
          <w:trHeight w:val="3177"/>
        </w:trPr>
        <w:tc>
          <w:tcPr>
            <w:tcW w:w="4515" w:type="dxa"/>
            <w:shd w:val="clear" w:color="auto" w:fill="auto"/>
            <w:tcMar>
              <w:top w:w="100" w:type="dxa"/>
              <w:left w:w="100" w:type="dxa"/>
              <w:bottom w:w="100" w:type="dxa"/>
              <w:right w:w="100" w:type="dxa"/>
            </w:tcMar>
          </w:tcPr>
          <w:p w14:paraId="56BCFF09" w14:textId="5A6AE61C"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246E22CB" w14:textId="06EA0267" w:rsidR="001C227F" w:rsidRDefault="001C227F">
            <w:pPr>
              <w:jc w:val="center"/>
              <w:rPr>
                <w:rFonts w:ascii="Century Gothic" w:eastAsia="Century Gothic" w:hAnsi="Century Gothic" w:cs="Century Gothic"/>
                <w:b/>
              </w:rPr>
            </w:pPr>
          </w:p>
        </w:tc>
      </w:tr>
      <w:tr w:rsidR="001C227F" w14:paraId="1DA744A0" w14:textId="77777777">
        <w:trPr>
          <w:trHeight w:val="2721"/>
        </w:trPr>
        <w:tc>
          <w:tcPr>
            <w:tcW w:w="4515" w:type="dxa"/>
            <w:shd w:val="clear" w:color="auto" w:fill="auto"/>
            <w:tcMar>
              <w:top w:w="100" w:type="dxa"/>
              <w:left w:w="100" w:type="dxa"/>
              <w:bottom w:w="100" w:type="dxa"/>
              <w:right w:w="100" w:type="dxa"/>
            </w:tcMar>
          </w:tcPr>
          <w:p w14:paraId="10138366" w14:textId="7C80EE39" w:rsidR="001C227F" w:rsidRDefault="001C227F">
            <w:pPr>
              <w:spacing w:line="240" w:lineRule="auto"/>
              <w:jc w:val="center"/>
              <w:rPr>
                <w:rFonts w:ascii="Century Gothic" w:eastAsia="Century Gothic" w:hAnsi="Century Gothic" w:cs="Century Gothic"/>
                <w:sz w:val="18"/>
                <w:szCs w:val="18"/>
              </w:rPr>
            </w:pPr>
          </w:p>
        </w:tc>
        <w:tc>
          <w:tcPr>
            <w:tcW w:w="4485" w:type="dxa"/>
            <w:shd w:val="clear" w:color="auto" w:fill="auto"/>
            <w:tcMar>
              <w:top w:w="100" w:type="dxa"/>
              <w:left w:w="100" w:type="dxa"/>
              <w:bottom w:w="100" w:type="dxa"/>
              <w:right w:w="100" w:type="dxa"/>
            </w:tcMar>
          </w:tcPr>
          <w:p w14:paraId="77980290" w14:textId="520A9EF5" w:rsidR="001C227F" w:rsidRDefault="001C227F">
            <w:pPr>
              <w:widowControl w:val="0"/>
              <w:jc w:val="center"/>
              <w:rPr>
                <w:rFonts w:ascii="Century Gothic" w:eastAsia="Century Gothic" w:hAnsi="Century Gothic" w:cs="Century Gothic"/>
                <w:sz w:val="2"/>
                <w:szCs w:val="2"/>
              </w:rPr>
            </w:pPr>
          </w:p>
        </w:tc>
      </w:tr>
      <w:tr w:rsidR="001C227F" w14:paraId="4DC0BF0A" w14:textId="77777777">
        <w:trPr>
          <w:trHeight w:val="2721"/>
        </w:trPr>
        <w:tc>
          <w:tcPr>
            <w:tcW w:w="4515" w:type="dxa"/>
            <w:shd w:val="clear" w:color="auto" w:fill="auto"/>
            <w:tcMar>
              <w:top w:w="100" w:type="dxa"/>
              <w:left w:w="100" w:type="dxa"/>
              <w:bottom w:w="100" w:type="dxa"/>
              <w:right w:w="100" w:type="dxa"/>
            </w:tcMar>
          </w:tcPr>
          <w:p w14:paraId="48308C6B" w14:textId="26DA431E" w:rsidR="001C227F" w:rsidRDefault="001C227F">
            <w:pPr>
              <w:widowControl w:val="0"/>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3FC0426A" w14:textId="793FFD03" w:rsidR="001C227F" w:rsidRDefault="001C227F">
            <w:pPr>
              <w:widowControl w:val="0"/>
              <w:jc w:val="center"/>
              <w:rPr>
                <w:rFonts w:ascii="Century Gothic" w:eastAsia="Century Gothic" w:hAnsi="Century Gothic" w:cs="Century Gothic"/>
              </w:rPr>
            </w:pPr>
          </w:p>
        </w:tc>
      </w:tr>
      <w:tr w:rsidR="001C227F" w14:paraId="26916959" w14:textId="77777777">
        <w:trPr>
          <w:trHeight w:val="2721"/>
        </w:trPr>
        <w:tc>
          <w:tcPr>
            <w:tcW w:w="4515" w:type="dxa"/>
            <w:shd w:val="clear" w:color="auto" w:fill="auto"/>
            <w:tcMar>
              <w:top w:w="100" w:type="dxa"/>
              <w:left w:w="100" w:type="dxa"/>
              <w:bottom w:w="100" w:type="dxa"/>
              <w:right w:w="100" w:type="dxa"/>
            </w:tcMar>
          </w:tcPr>
          <w:p w14:paraId="748B7307" w14:textId="23F7475F" w:rsidR="001C227F" w:rsidRDefault="001C227F">
            <w:pPr>
              <w:widowControl w:val="0"/>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3908EDA3" w14:textId="1E4DA673" w:rsidR="001C227F" w:rsidRDefault="001C227F">
            <w:pPr>
              <w:widowControl w:val="0"/>
              <w:jc w:val="center"/>
              <w:rPr>
                <w:rFonts w:ascii="Century Gothic" w:eastAsia="Century Gothic" w:hAnsi="Century Gothic" w:cs="Century Gothic"/>
              </w:rPr>
            </w:pPr>
          </w:p>
        </w:tc>
      </w:tr>
      <w:tr w:rsidR="001C227F" w14:paraId="121014F5" w14:textId="77777777">
        <w:trPr>
          <w:trHeight w:val="2721"/>
        </w:trPr>
        <w:tc>
          <w:tcPr>
            <w:tcW w:w="4515" w:type="dxa"/>
            <w:shd w:val="clear" w:color="auto" w:fill="auto"/>
            <w:tcMar>
              <w:top w:w="100" w:type="dxa"/>
              <w:left w:w="100" w:type="dxa"/>
              <w:bottom w:w="100" w:type="dxa"/>
              <w:right w:w="100" w:type="dxa"/>
            </w:tcMar>
          </w:tcPr>
          <w:p w14:paraId="01192306" w14:textId="3ACD7926" w:rsidR="001C227F" w:rsidRDefault="001C227F">
            <w:pPr>
              <w:widowControl w:val="0"/>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16A34EBB" w14:textId="6079C6D3" w:rsidR="001C227F" w:rsidRDefault="001C227F">
            <w:pPr>
              <w:widowControl w:val="0"/>
              <w:spacing w:line="240" w:lineRule="auto"/>
              <w:jc w:val="center"/>
              <w:rPr>
                <w:rFonts w:ascii="Century Gothic" w:eastAsia="Century Gothic" w:hAnsi="Century Gothic" w:cs="Century Gothic"/>
              </w:rPr>
            </w:pPr>
          </w:p>
        </w:tc>
      </w:tr>
      <w:tr w:rsidR="001C227F" w14:paraId="3B1C99BF" w14:textId="77777777">
        <w:trPr>
          <w:trHeight w:val="2721"/>
        </w:trPr>
        <w:tc>
          <w:tcPr>
            <w:tcW w:w="4515" w:type="dxa"/>
            <w:shd w:val="clear" w:color="auto" w:fill="auto"/>
            <w:tcMar>
              <w:top w:w="100" w:type="dxa"/>
              <w:left w:w="100" w:type="dxa"/>
              <w:bottom w:w="100" w:type="dxa"/>
              <w:right w:w="100" w:type="dxa"/>
            </w:tcMar>
          </w:tcPr>
          <w:p w14:paraId="3D7664EE" w14:textId="77777777" w:rsidR="001C227F" w:rsidRDefault="001C227F">
            <w:pPr>
              <w:jc w:val="center"/>
              <w:rPr>
                <w:rFonts w:ascii="Century Gothic" w:eastAsia="Century Gothic" w:hAnsi="Century Gothic" w:cs="Century Gothic"/>
                <w:b/>
              </w:rPr>
            </w:pPr>
          </w:p>
        </w:tc>
        <w:tc>
          <w:tcPr>
            <w:tcW w:w="4485" w:type="dxa"/>
            <w:shd w:val="clear" w:color="auto" w:fill="auto"/>
            <w:tcMar>
              <w:top w:w="100" w:type="dxa"/>
              <w:left w:w="100" w:type="dxa"/>
              <w:bottom w:w="100" w:type="dxa"/>
              <w:right w:w="100" w:type="dxa"/>
            </w:tcMar>
          </w:tcPr>
          <w:p w14:paraId="11566991" w14:textId="77AD813D" w:rsidR="001C227F" w:rsidRDefault="001C227F">
            <w:pPr>
              <w:jc w:val="center"/>
              <w:rPr>
                <w:rFonts w:ascii="Century Gothic" w:eastAsia="Century Gothic" w:hAnsi="Century Gothic" w:cs="Century Gothic"/>
              </w:rPr>
            </w:pPr>
          </w:p>
        </w:tc>
      </w:tr>
      <w:tr w:rsidR="001C227F" w14:paraId="34ECA08E" w14:textId="77777777">
        <w:trPr>
          <w:trHeight w:val="2280"/>
        </w:trPr>
        <w:tc>
          <w:tcPr>
            <w:tcW w:w="4515" w:type="dxa"/>
            <w:shd w:val="clear" w:color="auto" w:fill="auto"/>
            <w:tcMar>
              <w:top w:w="100" w:type="dxa"/>
              <w:left w:w="100" w:type="dxa"/>
              <w:bottom w:w="100" w:type="dxa"/>
              <w:right w:w="100" w:type="dxa"/>
            </w:tcMar>
          </w:tcPr>
          <w:p w14:paraId="53430575" w14:textId="0B56AEB4" w:rsidR="001C227F" w:rsidRDefault="001C227F">
            <w:pP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78AA3628" w14:textId="56440A94" w:rsidR="001C227F" w:rsidRDefault="001C227F">
            <w:pPr>
              <w:spacing w:line="240" w:lineRule="auto"/>
              <w:jc w:val="center"/>
              <w:rPr>
                <w:rFonts w:ascii="Century Gothic" w:eastAsia="Century Gothic" w:hAnsi="Century Gothic" w:cs="Century Gothic"/>
              </w:rPr>
            </w:pPr>
          </w:p>
        </w:tc>
      </w:tr>
      <w:tr w:rsidR="001C227F" w14:paraId="76C3D4D3" w14:textId="77777777">
        <w:trPr>
          <w:trHeight w:val="2721"/>
        </w:trPr>
        <w:tc>
          <w:tcPr>
            <w:tcW w:w="4515" w:type="dxa"/>
            <w:shd w:val="clear" w:color="auto" w:fill="auto"/>
            <w:tcMar>
              <w:top w:w="100" w:type="dxa"/>
              <w:left w:w="100" w:type="dxa"/>
              <w:bottom w:w="100" w:type="dxa"/>
              <w:right w:w="100" w:type="dxa"/>
            </w:tcMar>
          </w:tcPr>
          <w:p w14:paraId="76B93025" w14:textId="14704724" w:rsidR="001C227F" w:rsidRDefault="001C227F">
            <w:pPr>
              <w:spacing w:line="240" w:lineRule="auto"/>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0C2807E7" w14:textId="1778E830" w:rsidR="001C227F" w:rsidRDefault="001C227F">
            <w:pPr>
              <w:spacing w:line="240" w:lineRule="auto"/>
              <w:jc w:val="center"/>
              <w:rPr>
                <w:rFonts w:ascii="Century Gothic" w:eastAsia="Century Gothic" w:hAnsi="Century Gothic" w:cs="Century Gothic"/>
                <w:b/>
              </w:rPr>
            </w:pPr>
          </w:p>
        </w:tc>
      </w:tr>
      <w:tr w:rsidR="001C227F" w14:paraId="7645824C" w14:textId="77777777">
        <w:trPr>
          <w:trHeight w:val="2721"/>
        </w:trPr>
        <w:tc>
          <w:tcPr>
            <w:tcW w:w="4515" w:type="dxa"/>
            <w:shd w:val="clear" w:color="auto" w:fill="auto"/>
            <w:tcMar>
              <w:top w:w="100" w:type="dxa"/>
              <w:left w:w="100" w:type="dxa"/>
              <w:bottom w:w="100" w:type="dxa"/>
              <w:right w:w="100" w:type="dxa"/>
            </w:tcMar>
          </w:tcPr>
          <w:p w14:paraId="4255ACF7" w14:textId="0BEB5856"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13C1361C" w14:textId="3265F16B" w:rsidR="001C227F" w:rsidRDefault="001C227F">
            <w:pPr>
              <w:spacing w:line="240" w:lineRule="auto"/>
              <w:jc w:val="center"/>
            </w:pPr>
          </w:p>
        </w:tc>
      </w:tr>
      <w:tr w:rsidR="001C227F" w14:paraId="395C57AC" w14:textId="77777777">
        <w:trPr>
          <w:trHeight w:val="2721"/>
        </w:trPr>
        <w:tc>
          <w:tcPr>
            <w:tcW w:w="4515" w:type="dxa"/>
            <w:shd w:val="clear" w:color="auto" w:fill="auto"/>
            <w:tcMar>
              <w:top w:w="100" w:type="dxa"/>
              <w:left w:w="100" w:type="dxa"/>
              <w:bottom w:w="100" w:type="dxa"/>
              <w:right w:w="100" w:type="dxa"/>
            </w:tcMar>
          </w:tcPr>
          <w:p w14:paraId="077D6E95" w14:textId="5EA89323"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7208095E" w14:textId="77777777" w:rsidR="001C227F" w:rsidRDefault="001C227F">
            <w:pPr>
              <w:jc w:val="center"/>
            </w:pPr>
          </w:p>
        </w:tc>
      </w:tr>
      <w:tr w:rsidR="001C227F" w14:paraId="60B4DC78" w14:textId="77777777">
        <w:trPr>
          <w:trHeight w:val="2721"/>
        </w:trPr>
        <w:tc>
          <w:tcPr>
            <w:tcW w:w="4515" w:type="dxa"/>
            <w:shd w:val="clear" w:color="auto" w:fill="auto"/>
            <w:tcMar>
              <w:top w:w="100" w:type="dxa"/>
              <w:left w:w="100" w:type="dxa"/>
              <w:bottom w:w="100" w:type="dxa"/>
              <w:right w:w="100" w:type="dxa"/>
            </w:tcMar>
          </w:tcPr>
          <w:p w14:paraId="269C27D8"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4FB15273" w14:textId="77777777" w:rsidR="001C227F" w:rsidRDefault="001C227F">
            <w:pPr>
              <w:jc w:val="center"/>
            </w:pPr>
          </w:p>
        </w:tc>
      </w:tr>
      <w:tr w:rsidR="001C227F" w14:paraId="351DE12C" w14:textId="77777777">
        <w:trPr>
          <w:trHeight w:val="2721"/>
        </w:trPr>
        <w:tc>
          <w:tcPr>
            <w:tcW w:w="4515" w:type="dxa"/>
            <w:shd w:val="clear" w:color="auto" w:fill="auto"/>
            <w:tcMar>
              <w:top w:w="100" w:type="dxa"/>
              <w:left w:w="100" w:type="dxa"/>
              <w:bottom w:w="100" w:type="dxa"/>
              <w:right w:w="100" w:type="dxa"/>
            </w:tcMar>
          </w:tcPr>
          <w:p w14:paraId="157AC781"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22446686" w14:textId="77777777" w:rsidR="001C227F" w:rsidRDefault="001C227F">
            <w:pPr>
              <w:jc w:val="center"/>
            </w:pPr>
          </w:p>
        </w:tc>
      </w:tr>
      <w:tr w:rsidR="001C227F" w14:paraId="76DBB82F" w14:textId="77777777">
        <w:trPr>
          <w:trHeight w:val="2721"/>
        </w:trPr>
        <w:tc>
          <w:tcPr>
            <w:tcW w:w="4515" w:type="dxa"/>
            <w:shd w:val="clear" w:color="auto" w:fill="auto"/>
            <w:tcMar>
              <w:top w:w="100" w:type="dxa"/>
              <w:left w:w="100" w:type="dxa"/>
              <w:bottom w:w="100" w:type="dxa"/>
              <w:right w:w="100" w:type="dxa"/>
            </w:tcMar>
          </w:tcPr>
          <w:p w14:paraId="56541B31"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73A40834" w14:textId="77777777" w:rsidR="001C227F" w:rsidRDefault="001C227F">
            <w:pPr>
              <w:jc w:val="center"/>
            </w:pPr>
          </w:p>
        </w:tc>
      </w:tr>
      <w:tr w:rsidR="001C227F" w14:paraId="57B9129E" w14:textId="77777777">
        <w:trPr>
          <w:trHeight w:val="2721"/>
        </w:trPr>
        <w:tc>
          <w:tcPr>
            <w:tcW w:w="4515" w:type="dxa"/>
            <w:shd w:val="clear" w:color="auto" w:fill="auto"/>
            <w:tcMar>
              <w:top w:w="100" w:type="dxa"/>
              <w:left w:w="100" w:type="dxa"/>
              <w:bottom w:w="100" w:type="dxa"/>
              <w:right w:w="100" w:type="dxa"/>
            </w:tcMar>
          </w:tcPr>
          <w:p w14:paraId="6635E8AB"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3D2BE33B" w14:textId="77777777" w:rsidR="001C227F" w:rsidRDefault="001C227F">
            <w:pPr>
              <w:jc w:val="center"/>
            </w:pPr>
          </w:p>
        </w:tc>
      </w:tr>
      <w:tr w:rsidR="001C227F" w14:paraId="74CD2A5D" w14:textId="77777777">
        <w:trPr>
          <w:trHeight w:val="2721"/>
        </w:trPr>
        <w:tc>
          <w:tcPr>
            <w:tcW w:w="4515" w:type="dxa"/>
            <w:shd w:val="clear" w:color="auto" w:fill="auto"/>
            <w:tcMar>
              <w:top w:w="100" w:type="dxa"/>
              <w:left w:w="100" w:type="dxa"/>
              <w:bottom w:w="100" w:type="dxa"/>
              <w:right w:w="100" w:type="dxa"/>
            </w:tcMar>
          </w:tcPr>
          <w:p w14:paraId="720C1C79"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55AD4F6F" w14:textId="77777777" w:rsidR="001C227F" w:rsidRDefault="001C227F">
            <w:pPr>
              <w:jc w:val="center"/>
            </w:pPr>
          </w:p>
        </w:tc>
      </w:tr>
      <w:tr w:rsidR="001C227F" w14:paraId="6F97AA42" w14:textId="77777777">
        <w:trPr>
          <w:trHeight w:val="2721"/>
        </w:trPr>
        <w:tc>
          <w:tcPr>
            <w:tcW w:w="4515" w:type="dxa"/>
            <w:shd w:val="clear" w:color="auto" w:fill="auto"/>
            <w:tcMar>
              <w:top w:w="100" w:type="dxa"/>
              <w:left w:w="100" w:type="dxa"/>
              <w:bottom w:w="100" w:type="dxa"/>
              <w:right w:w="100" w:type="dxa"/>
            </w:tcMar>
          </w:tcPr>
          <w:p w14:paraId="7DDF3834"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777C1DFF" w14:textId="77777777" w:rsidR="001C227F" w:rsidRDefault="001C227F">
            <w:pPr>
              <w:jc w:val="center"/>
            </w:pPr>
          </w:p>
        </w:tc>
      </w:tr>
      <w:tr w:rsidR="001C227F" w14:paraId="7CA80229" w14:textId="77777777">
        <w:trPr>
          <w:trHeight w:val="2721"/>
        </w:trPr>
        <w:tc>
          <w:tcPr>
            <w:tcW w:w="4515" w:type="dxa"/>
            <w:shd w:val="clear" w:color="auto" w:fill="auto"/>
            <w:tcMar>
              <w:top w:w="100" w:type="dxa"/>
              <w:left w:w="100" w:type="dxa"/>
              <w:bottom w:w="100" w:type="dxa"/>
              <w:right w:w="100" w:type="dxa"/>
            </w:tcMar>
          </w:tcPr>
          <w:p w14:paraId="286B921A"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41D0A71E" w14:textId="77777777" w:rsidR="001C227F" w:rsidRDefault="001C227F">
            <w:pPr>
              <w:jc w:val="center"/>
            </w:pPr>
          </w:p>
        </w:tc>
      </w:tr>
      <w:tr w:rsidR="001C227F" w14:paraId="33E841E8" w14:textId="77777777">
        <w:trPr>
          <w:trHeight w:val="2721"/>
        </w:trPr>
        <w:tc>
          <w:tcPr>
            <w:tcW w:w="4515" w:type="dxa"/>
            <w:shd w:val="clear" w:color="auto" w:fill="auto"/>
            <w:tcMar>
              <w:top w:w="100" w:type="dxa"/>
              <w:left w:w="100" w:type="dxa"/>
              <w:bottom w:w="100" w:type="dxa"/>
              <w:right w:w="100" w:type="dxa"/>
            </w:tcMar>
          </w:tcPr>
          <w:p w14:paraId="5467DE0C"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2FBE55A4" w14:textId="77777777" w:rsidR="001C227F" w:rsidRDefault="001C227F">
            <w:pPr>
              <w:jc w:val="center"/>
            </w:pPr>
          </w:p>
        </w:tc>
      </w:tr>
    </w:tbl>
    <w:p w14:paraId="70352623" w14:textId="77777777" w:rsidR="001C227F" w:rsidRDefault="001C227F">
      <w:pPr>
        <w:pBdr>
          <w:top w:val="none" w:sz="0" w:space="0" w:color="000000"/>
          <w:left w:val="none" w:sz="0" w:space="0" w:color="000000"/>
          <w:bottom w:val="none" w:sz="0" w:space="0" w:color="000000"/>
          <w:right w:val="none" w:sz="0" w:space="0" w:color="000000"/>
          <w:between w:val="none" w:sz="0" w:space="0" w:color="000000"/>
        </w:pBdr>
        <w:jc w:val="both"/>
        <w:rPr>
          <w:rFonts w:ascii="Century Gothic" w:eastAsia="Century Gothic" w:hAnsi="Century Gothic" w:cs="Century Gothic"/>
        </w:rPr>
      </w:pPr>
    </w:p>
    <w:p w14:paraId="42050A25" w14:textId="170CDAE5" w:rsidR="001C227F" w:rsidRDefault="001C227F">
      <w:pPr>
        <w:pBdr>
          <w:top w:val="none" w:sz="0" w:space="0" w:color="000000"/>
          <w:left w:val="none" w:sz="0" w:space="0" w:color="000000"/>
          <w:bottom w:val="none" w:sz="0" w:space="0" w:color="000000"/>
          <w:right w:val="none" w:sz="0" w:space="0" w:color="000000"/>
          <w:between w:val="none" w:sz="0" w:space="0" w:color="000000"/>
        </w:pBdr>
        <w:jc w:val="both"/>
        <w:rPr>
          <w:rFonts w:ascii="Century Gothic" w:eastAsia="Century Gothic" w:hAnsi="Century Gothic" w:cs="Century Gothic"/>
        </w:rPr>
      </w:pPr>
    </w:p>
    <w:p w14:paraId="63364128" w14:textId="019EC155" w:rsidR="00B70AA6" w:rsidRDefault="00B70AA6">
      <w:pPr>
        <w:pBdr>
          <w:top w:val="none" w:sz="0" w:space="0" w:color="000000"/>
          <w:left w:val="none" w:sz="0" w:space="0" w:color="000000"/>
          <w:bottom w:val="none" w:sz="0" w:space="0" w:color="000000"/>
          <w:right w:val="none" w:sz="0" w:space="0" w:color="000000"/>
          <w:between w:val="none" w:sz="0" w:space="0" w:color="000000"/>
        </w:pBdr>
        <w:jc w:val="both"/>
        <w:rPr>
          <w:rFonts w:ascii="Century Gothic" w:eastAsia="Century Gothic" w:hAnsi="Century Gothic" w:cs="Century Gothic"/>
        </w:rPr>
      </w:pPr>
    </w:p>
    <w:p w14:paraId="426B84F6" w14:textId="31D8BC38" w:rsidR="00B70AA6" w:rsidRDefault="00B70AA6">
      <w:pPr>
        <w:pBdr>
          <w:top w:val="none" w:sz="0" w:space="0" w:color="000000"/>
          <w:left w:val="none" w:sz="0" w:space="0" w:color="000000"/>
          <w:bottom w:val="none" w:sz="0" w:space="0" w:color="000000"/>
          <w:right w:val="none" w:sz="0" w:space="0" w:color="000000"/>
          <w:between w:val="none" w:sz="0" w:space="0" w:color="000000"/>
        </w:pBdr>
        <w:jc w:val="both"/>
        <w:rPr>
          <w:rFonts w:ascii="Century Gothic" w:eastAsia="Century Gothic" w:hAnsi="Century Gothic" w:cs="Century Gothic"/>
        </w:rPr>
      </w:pPr>
    </w:p>
    <w:p w14:paraId="62B97008" w14:textId="7F0BCBE1" w:rsidR="00B70AA6" w:rsidRDefault="00B70AA6">
      <w:pPr>
        <w:pBdr>
          <w:top w:val="none" w:sz="0" w:space="0" w:color="000000"/>
          <w:left w:val="none" w:sz="0" w:space="0" w:color="000000"/>
          <w:bottom w:val="none" w:sz="0" w:space="0" w:color="000000"/>
          <w:right w:val="none" w:sz="0" w:space="0" w:color="000000"/>
          <w:between w:val="none" w:sz="0" w:space="0" w:color="000000"/>
        </w:pBdr>
        <w:jc w:val="both"/>
        <w:rPr>
          <w:rFonts w:ascii="Century Gothic" w:eastAsia="Century Gothic" w:hAnsi="Century Gothic" w:cs="Century Gothic"/>
        </w:rPr>
      </w:pPr>
    </w:p>
    <w:p w14:paraId="029962F0" w14:textId="51754FC0" w:rsidR="00B70AA6" w:rsidRDefault="00B70AA6">
      <w:pPr>
        <w:pBdr>
          <w:top w:val="none" w:sz="0" w:space="0" w:color="000000"/>
          <w:left w:val="none" w:sz="0" w:space="0" w:color="000000"/>
          <w:bottom w:val="none" w:sz="0" w:space="0" w:color="000000"/>
          <w:right w:val="none" w:sz="0" w:space="0" w:color="000000"/>
          <w:between w:val="none" w:sz="0" w:space="0" w:color="000000"/>
        </w:pBdr>
        <w:jc w:val="both"/>
        <w:rPr>
          <w:rFonts w:ascii="Century Gothic" w:eastAsia="Century Gothic" w:hAnsi="Century Gothic" w:cs="Century Gothic"/>
        </w:rPr>
      </w:pPr>
    </w:p>
    <w:p w14:paraId="1C816C4B" w14:textId="2C24472C" w:rsidR="00B70AA6" w:rsidRDefault="00B70AA6">
      <w:pPr>
        <w:pBdr>
          <w:top w:val="none" w:sz="0" w:space="0" w:color="000000"/>
          <w:left w:val="none" w:sz="0" w:space="0" w:color="000000"/>
          <w:bottom w:val="none" w:sz="0" w:space="0" w:color="000000"/>
          <w:right w:val="none" w:sz="0" w:space="0" w:color="000000"/>
          <w:between w:val="none" w:sz="0" w:space="0" w:color="000000"/>
        </w:pBdr>
        <w:jc w:val="both"/>
        <w:rPr>
          <w:rFonts w:ascii="Century Gothic" w:eastAsia="Century Gothic" w:hAnsi="Century Gothic" w:cs="Century Gothic"/>
        </w:rPr>
      </w:pPr>
    </w:p>
    <w:p w14:paraId="06CB393B" w14:textId="3D5F4288" w:rsidR="00B70AA6" w:rsidRDefault="00B70AA6">
      <w:pPr>
        <w:pBdr>
          <w:top w:val="none" w:sz="0" w:space="0" w:color="000000"/>
          <w:left w:val="none" w:sz="0" w:space="0" w:color="000000"/>
          <w:bottom w:val="none" w:sz="0" w:space="0" w:color="000000"/>
          <w:right w:val="none" w:sz="0" w:space="0" w:color="000000"/>
          <w:between w:val="none" w:sz="0" w:space="0" w:color="000000"/>
        </w:pBdr>
        <w:jc w:val="both"/>
        <w:rPr>
          <w:rFonts w:ascii="Century Gothic" w:eastAsia="Century Gothic" w:hAnsi="Century Gothic" w:cs="Century Gothic"/>
        </w:rPr>
      </w:pPr>
    </w:p>
    <w:p w14:paraId="0A883ACB" w14:textId="274439FE" w:rsidR="00B70AA6" w:rsidRDefault="00B70AA6">
      <w:pPr>
        <w:pBdr>
          <w:top w:val="none" w:sz="0" w:space="0" w:color="000000"/>
          <w:left w:val="none" w:sz="0" w:space="0" w:color="000000"/>
          <w:bottom w:val="none" w:sz="0" w:space="0" w:color="000000"/>
          <w:right w:val="none" w:sz="0" w:space="0" w:color="000000"/>
          <w:between w:val="none" w:sz="0" w:space="0" w:color="000000"/>
        </w:pBdr>
        <w:jc w:val="both"/>
        <w:rPr>
          <w:rFonts w:ascii="Century Gothic" w:eastAsia="Century Gothic" w:hAnsi="Century Gothic" w:cs="Century Gothic"/>
        </w:rPr>
      </w:pPr>
    </w:p>
    <w:p w14:paraId="7F717A3F" w14:textId="77777777" w:rsidR="00B70AA6" w:rsidRDefault="00B70AA6">
      <w:pPr>
        <w:pBdr>
          <w:top w:val="none" w:sz="0" w:space="0" w:color="000000"/>
          <w:left w:val="none" w:sz="0" w:space="0" w:color="000000"/>
          <w:bottom w:val="none" w:sz="0" w:space="0" w:color="000000"/>
          <w:right w:val="none" w:sz="0" w:space="0" w:color="000000"/>
          <w:between w:val="none" w:sz="0" w:space="0" w:color="000000"/>
        </w:pBdr>
        <w:jc w:val="both"/>
        <w:rPr>
          <w:rFonts w:ascii="Century Gothic" w:eastAsia="Century Gothic" w:hAnsi="Century Gothic" w:cs="Century Gothic"/>
        </w:rPr>
      </w:pPr>
    </w:p>
    <w:p w14:paraId="566309FA" w14:textId="77777777" w:rsidR="001C227F" w:rsidRDefault="00AD45D2">
      <w:pPr>
        <w:jc w:val="center"/>
        <w:rPr>
          <w:rFonts w:ascii="Century Gothic" w:eastAsia="Century Gothic" w:hAnsi="Century Gothic" w:cs="Century Gothic"/>
          <w:b/>
        </w:rPr>
      </w:pPr>
      <w:r>
        <w:rPr>
          <w:rFonts w:ascii="Century Gothic" w:eastAsia="Century Gothic" w:hAnsi="Century Gothic" w:cs="Century Gothic"/>
          <w:b/>
        </w:rPr>
        <w:lastRenderedPageBreak/>
        <w:t>EXPOSICIÓN DE MOTIVOS</w:t>
      </w:r>
    </w:p>
    <w:p w14:paraId="3082A22C" w14:textId="77777777" w:rsidR="001C227F" w:rsidRDefault="001C227F">
      <w:pPr>
        <w:jc w:val="center"/>
        <w:rPr>
          <w:rFonts w:ascii="Century Gothic" w:eastAsia="Century Gothic" w:hAnsi="Century Gothic" w:cs="Century Gothic"/>
          <w:b/>
        </w:rPr>
      </w:pPr>
    </w:p>
    <w:p w14:paraId="1E945079" w14:textId="77777777" w:rsidR="001C227F" w:rsidRDefault="00AD45D2">
      <w:pPr>
        <w:jc w:val="both"/>
        <w:rPr>
          <w:rFonts w:ascii="Century Gothic" w:eastAsia="Century Gothic" w:hAnsi="Century Gothic" w:cs="Century Gothic"/>
          <w:b/>
        </w:rPr>
      </w:pPr>
      <w:r>
        <w:rPr>
          <w:rFonts w:ascii="Century Gothic" w:eastAsia="Century Gothic" w:hAnsi="Century Gothic" w:cs="Century Gothic"/>
          <w:b/>
        </w:rPr>
        <w:t>1. OBJETO DEL PROYECTO.</w:t>
      </w:r>
    </w:p>
    <w:p w14:paraId="3ADFE74E"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rPr>
        <w:br/>
      </w:r>
      <w:r>
        <w:rPr>
          <w:rFonts w:ascii="Century Gothic" w:eastAsia="Century Gothic" w:hAnsi="Century Gothic" w:cs="Century Gothic"/>
        </w:rPr>
        <w:t xml:space="preserve">El presente proyecto de ley tiene como propósito institucionalizar el programa </w:t>
      </w:r>
      <w:r>
        <w:rPr>
          <w:rFonts w:ascii="Century Gothic" w:eastAsia="Century Gothic" w:hAnsi="Century Gothic" w:cs="Century Gothic"/>
          <w:i/>
        </w:rPr>
        <w:t>Estado Joven</w:t>
      </w:r>
      <w:r>
        <w:rPr>
          <w:rFonts w:ascii="Century Gothic" w:eastAsia="Century Gothic" w:hAnsi="Century Gothic" w:cs="Century Gothic"/>
        </w:rPr>
        <w:t xml:space="preserve"> como una política pública permanente del Estado colombiano, orientada a dignificar las prácticas laborales en las entidades públicas y a facilitar la inserción de l</w:t>
      </w:r>
      <w:r>
        <w:rPr>
          <w:rFonts w:ascii="Century Gothic" w:eastAsia="Century Gothic" w:hAnsi="Century Gothic" w:cs="Century Gothic"/>
        </w:rPr>
        <w:t>os jóvenes en el empleo formal, mediante su incorporación progresiva al servicio público.</w:t>
      </w:r>
    </w:p>
    <w:p w14:paraId="3AB981C3" w14:textId="77777777" w:rsidR="001C227F" w:rsidRDefault="00AD45D2">
      <w:pPr>
        <w:spacing w:before="280" w:after="280"/>
        <w:jc w:val="both"/>
        <w:rPr>
          <w:rFonts w:ascii="Century Gothic" w:eastAsia="Century Gothic" w:hAnsi="Century Gothic" w:cs="Century Gothic"/>
        </w:rPr>
      </w:pPr>
      <w:r>
        <w:rPr>
          <w:rFonts w:ascii="Century Gothic" w:eastAsia="Century Gothic" w:hAnsi="Century Gothic" w:cs="Century Gothic"/>
        </w:rPr>
        <w:t>Esta iniciativa parte del reconocimiento de una brecha estructural entre la formación académica y el acceso al mundo laboral, agudizada por la ausencia de una regulac</w:t>
      </w:r>
      <w:r>
        <w:rPr>
          <w:rFonts w:ascii="Century Gothic" w:eastAsia="Century Gothic" w:hAnsi="Century Gothic" w:cs="Century Gothic"/>
        </w:rPr>
        <w:t>ión integral que garantice condiciones mínimas de calidad, equidad y sostenibilidad en el desarrollo de prácticas laborales en el sector público. Por tanto, se propone establecer lineamientos normativos y operativos que aseguren experiencias formativas jus</w:t>
      </w:r>
      <w:r>
        <w:rPr>
          <w:rFonts w:ascii="Century Gothic" w:eastAsia="Century Gothic" w:hAnsi="Century Gothic" w:cs="Century Gothic"/>
        </w:rPr>
        <w:t>tas, inclusivas y transparentes, con enfoque diferencial y territorial.</w:t>
      </w:r>
    </w:p>
    <w:p w14:paraId="79B3FB4A" w14:textId="77777777" w:rsidR="001C227F" w:rsidRDefault="00AD45D2">
      <w:pPr>
        <w:spacing w:before="280" w:after="280"/>
        <w:jc w:val="both"/>
        <w:rPr>
          <w:rFonts w:ascii="Century Gothic" w:eastAsia="Century Gothic" w:hAnsi="Century Gothic" w:cs="Century Gothic"/>
        </w:rPr>
      </w:pPr>
      <w:r>
        <w:rPr>
          <w:rFonts w:ascii="Century Gothic" w:eastAsia="Century Gothic" w:hAnsi="Century Gothic" w:cs="Century Gothic"/>
        </w:rPr>
        <w:t>Los jóvenes practicantes representan una oportunidad estratégica para fortalecer la gestión pública. Su participación promueve el relevo generacional, incorpora nuevas habilidades digi</w:t>
      </w:r>
      <w:r>
        <w:rPr>
          <w:rFonts w:ascii="Century Gothic" w:eastAsia="Century Gothic" w:hAnsi="Century Gothic" w:cs="Century Gothic"/>
        </w:rPr>
        <w:t>tales y enfoques innovadores para resolver los desafíos sociales, y contribuye al dinamismo institucional. Para aprovechar este potencial, resulta indispensable superar la visión asistencial de las prácticas laborales y transformarlas en procesos formativo</w:t>
      </w:r>
      <w:r>
        <w:rPr>
          <w:rFonts w:ascii="Century Gothic" w:eastAsia="Century Gothic" w:hAnsi="Century Gothic" w:cs="Century Gothic"/>
        </w:rPr>
        <w:t>s dignos, con acceso basado en el mérito y la igualdad de oportunidades.</w:t>
      </w:r>
    </w:p>
    <w:p w14:paraId="08BC43D7" w14:textId="77777777" w:rsidR="001C227F" w:rsidRDefault="00AD45D2">
      <w:pPr>
        <w:spacing w:before="280" w:after="280"/>
        <w:jc w:val="both"/>
        <w:rPr>
          <w:rFonts w:ascii="Century Gothic" w:eastAsia="Century Gothic" w:hAnsi="Century Gothic" w:cs="Century Gothic"/>
        </w:rPr>
      </w:pPr>
      <w:r>
        <w:rPr>
          <w:rFonts w:ascii="Century Gothic" w:eastAsia="Century Gothic" w:hAnsi="Century Gothic" w:cs="Century Gothic"/>
        </w:rPr>
        <w:t>En este marco, el proyecto consagra el derecho a recibir un auxilio económico de sostenimiento digno durante la práctica, que permita a los jóvenes cubrir sus necesidades básicas y continuar sus estudios, mitigando así los factores de deserción académica a</w:t>
      </w:r>
      <w:r>
        <w:rPr>
          <w:rFonts w:ascii="Century Gothic" w:eastAsia="Century Gothic" w:hAnsi="Century Gothic" w:cs="Century Gothic"/>
        </w:rPr>
        <w:t>sociados a la falta de recursos. Esta medida es clave para garantizar que las prácticas laborales sean accesibles también para quienes provienen de contextos socioeconómicos vulnerables.</w:t>
      </w:r>
    </w:p>
    <w:p w14:paraId="39834F9F" w14:textId="77777777" w:rsidR="001C227F" w:rsidRDefault="00AD45D2">
      <w:pPr>
        <w:spacing w:before="280" w:after="280"/>
        <w:jc w:val="both"/>
        <w:rPr>
          <w:rFonts w:ascii="Century Gothic" w:eastAsia="Century Gothic" w:hAnsi="Century Gothic" w:cs="Century Gothic"/>
        </w:rPr>
      </w:pPr>
      <w:r>
        <w:rPr>
          <w:rFonts w:ascii="Century Gothic" w:eastAsia="Century Gothic" w:hAnsi="Century Gothic" w:cs="Century Gothic"/>
        </w:rPr>
        <w:t>Finalmente, la propuesta busca fortalecer los mecanismos de convocato</w:t>
      </w:r>
      <w:r>
        <w:rPr>
          <w:rFonts w:ascii="Century Gothic" w:eastAsia="Century Gothic" w:hAnsi="Century Gothic" w:cs="Century Gothic"/>
        </w:rPr>
        <w:t>ria, selección, registro, seguimiento y rendición de cuentas, articulándolos al Sistema de Información del Servicio Público de Empleo (SISE), y asegurando estándares comunes de calidad en todos los niveles del Estado.</w:t>
      </w:r>
    </w:p>
    <w:p w14:paraId="7D92494B" w14:textId="77777777" w:rsidR="001C227F" w:rsidRDefault="001C227F">
      <w:pPr>
        <w:jc w:val="both"/>
        <w:rPr>
          <w:rFonts w:ascii="Century Gothic" w:eastAsia="Century Gothic" w:hAnsi="Century Gothic" w:cs="Century Gothic"/>
          <w:b/>
        </w:rPr>
      </w:pPr>
    </w:p>
    <w:p w14:paraId="7012CDD6" w14:textId="77777777" w:rsidR="001C227F" w:rsidRDefault="00AD45D2">
      <w:pPr>
        <w:jc w:val="both"/>
        <w:rPr>
          <w:rFonts w:ascii="Century Gothic" w:eastAsia="Century Gothic" w:hAnsi="Century Gothic" w:cs="Century Gothic"/>
          <w:b/>
        </w:rPr>
      </w:pPr>
      <w:r>
        <w:rPr>
          <w:rFonts w:ascii="Century Gothic" w:eastAsia="Century Gothic" w:hAnsi="Century Gothic" w:cs="Century Gothic"/>
          <w:b/>
        </w:rPr>
        <w:t xml:space="preserve">2. ANTECEDENTES DE LA INICIATIVA. </w:t>
      </w:r>
    </w:p>
    <w:p w14:paraId="1C6F73DE" w14:textId="77777777" w:rsidR="001C227F" w:rsidRDefault="001C227F">
      <w:pPr>
        <w:jc w:val="both"/>
        <w:rPr>
          <w:rFonts w:ascii="Century Gothic" w:eastAsia="Century Gothic" w:hAnsi="Century Gothic" w:cs="Century Gothic"/>
        </w:rPr>
      </w:pPr>
    </w:p>
    <w:p w14:paraId="7ABCDF7D"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lastRenderedPageBreak/>
        <w:t>A</w:t>
      </w:r>
      <w:r>
        <w:rPr>
          <w:rFonts w:ascii="Century Gothic" w:eastAsia="Century Gothic" w:hAnsi="Century Gothic" w:cs="Century Gothic"/>
        </w:rPr>
        <w:t xml:space="preserve"> lo largo de la última década, el Congreso de la República ha expedido diversas normas orientadas a fomentar el empleo juvenil, impulsar el desarrollo económico de esta población y facilitar su vinculación al sector público mediante prácticas laborales. Si</w:t>
      </w:r>
      <w:r>
        <w:rPr>
          <w:rFonts w:ascii="Century Gothic" w:eastAsia="Century Gothic" w:hAnsi="Century Gothic" w:cs="Century Gothic"/>
        </w:rPr>
        <w:t>n embargo, estas disposiciones han sido parciales, de implementación limitada y, en su mayoría, de carácter facultativo, lo que ha impedido consolidar una política pública integral, con garantías claras para los jóvenes practicantes; dentro de las cuales p</w:t>
      </w:r>
      <w:r>
        <w:rPr>
          <w:rFonts w:ascii="Century Gothic" w:eastAsia="Century Gothic" w:hAnsi="Century Gothic" w:cs="Century Gothic"/>
        </w:rPr>
        <w:t xml:space="preserve">odemos encontrar: </w:t>
      </w:r>
    </w:p>
    <w:p w14:paraId="3AD6C86E" w14:textId="77777777" w:rsidR="001C227F" w:rsidRDefault="001C227F">
      <w:pPr>
        <w:jc w:val="both"/>
        <w:rPr>
          <w:rFonts w:ascii="Century Gothic" w:eastAsia="Century Gothic" w:hAnsi="Century Gothic" w:cs="Century Gothic"/>
          <w:b/>
        </w:rPr>
      </w:pPr>
    </w:p>
    <w:p w14:paraId="5CD3EDEA" w14:textId="77777777" w:rsidR="001C227F" w:rsidRDefault="00AD45D2">
      <w:pPr>
        <w:jc w:val="both"/>
        <w:rPr>
          <w:rFonts w:ascii="Century Gothic" w:eastAsia="Century Gothic" w:hAnsi="Century Gothic" w:cs="Century Gothic"/>
          <w:b/>
        </w:rPr>
      </w:pPr>
      <w:r>
        <w:rPr>
          <w:rFonts w:ascii="Century Gothic" w:eastAsia="Century Gothic" w:hAnsi="Century Gothic" w:cs="Century Gothic"/>
          <w:b/>
        </w:rPr>
        <w:t>2.1. LEY 1780 DE 2016.</w:t>
      </w:r>
    </w:p>
    <w:p w14:paraId="495B0E90" w14:textId="77777777" w:rsidR="001C227F" w:rsidRDefault="001C227F">
      <w:pPr>
        <w:jc w:val="both"/>
        <w:rPr>
          <w:rFonts w:ascii="Century Gothic" w:eastAsia="Century Gothic" w:hAnsi="Century Gothic" w:cs="Century Gothic"/>
          <w:b/>
        </w:rPr>
      </w:pPr>
    </w:p>
    <w:p w14:paraId="454A7B03"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Mediante esta iniciativa legislativa se pretendió impulsar la generación de empleo para los jóvenes entre 18 y 28 años de edad, fijando las bases institucionales para el diseño y ejecución de políticas de empleo, emprendimiento y la creación de nuevas empr</w:t>
      </w:r>
      <w:r>
        <w:rPr>
          <w:rFonts w:ascii="Century Gothic" w:eastAsia="Century Gothic" w:hAnsi="Century Gothic" w:cs="Century Gothic"/>
        </w:rPr>
        <w:t>esas jóvenes.</w:t>
      </w:r>
    </w:p>
    <w:p w14:paraId="555DED9E" w14:textId="77777777" w:rsidR="001C227F" w:rsidRDefault="001C227F">
      <w:pPr>
        <w:jc w:val="both"/>
        <w:rPr>
          <w:rFonts w:ascii="Century Gothic" w:eastAsia="Century Gothic" w:hAnsi="Century Gothic" w:cs="Century Gothic"/>
        </w:rPr>
      </w:pPr>
    </w:p>
    <w:p w14:paraId="0F71A3D6"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Al interior de su Título II “Promoción del empleo juvenil en el sector público” se consagraron las iniciativas tendientes a fortalecer la vinculación de este grupo poblacional al interior de las empresas industriales y comerciales del estado</w:t>
      </w:r>
      <w:r>
        <w:rPr>
          <w:rFonts w:ascii="Century Gothic" w:eastAsia="Century Gothic" w:hAnsi="Century Gothic" w:cs="Century Gothic"/>
        </w:rPr>
        <w:t>, las empresas de economía mixta, empresas de servicios públicos y entidades públicas del sector central y descentralizado.</w:t>
      </w:r>
    </w:p>
    <w:p w14:paraId="15A70FA1" w14:textId="77777777" w:rsidR="001C227F" w:rsidRDefault="001C227F">
      <w:pPr>
        <w:jc w:val="both"/>
        <w:rPr>
          <w:rFonts w:ascii="Century Gothic" w:eastAsia="Century Gothic" w:hAnsi="Century Gothic" w:cs="Century Gothic"/>
        </w:rPr>
      </w:pPr>
    </w:p>
    <w:p w14:paraId="450F4085"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A partir  de allí, de su artículo 13 y siguientes, se buscaron establecer las medidas necesarias para la promoción de espacios de p</w:t>
      </w:r>
      <w:r>
        <w:rPr>
          <w:rFonts w:ascii="Century Gothic" w:eastAsia="Century Gothic" w:hAnsi="Century Gothic" w:cs="Century Gothic"/>
        </w:rPr>
        <w:t xml:space="preserve">rácticas laborales en las entidades públicas; fijando en cabeza del Gobierno Nacional el desarrollo y reglamentación de una política que incentivara, fomentara y coordinara la vinculación de jóvenes sin experiencia, para que estos pudieran realizar sus </w:t>
      </w:r>
      <w:r>
        <w:rPr>
          <w:rFonts w:ascii="Century Gothic" w:eastAsia="Century Gothic" w:hAnsi="Century Gothic" w:cs="Century Gothic"/>
          <w:b/>
          <w:i/>
        </w:rPr>
        <w:t>prá</w:t>
      </w:r>
      <w:r>
        <w:rPr>
          <w:rFonts w:ascii="Century Gothic" w:eastAsia="Century Gothic" w:hAnsi="Century Gothic" w:cs="Century Gothic"/>
          <w:b/>
          <w:i/>
        </w:rPr>
        <w:t>cticas</w:t>
      </w:r>
      <w:r>
        <w:rPr>
          <w:rFonts w:ascii="Century Gothic" w:eastAsia="Century Gothic" w:hAnsi="Century Gothic" w:cs="Century Gothic"/>
        </w:rPr>
        <w:t xml:space="preserve"> laborales en las entidades públicas y que estas fueran computadas como experiencia para el acceso al servicio público.</w:t>
      </w:r>
    </w:p>
    <w:p w14:paraId="752B0E85" w14:textId="77777777" w:rsidR="001C227F" w:rsidRDefault="001C227F">
      <w:pPr>
        <w:jc w:val="both"/>
        <w:rPr>
          <w:rFonts w:ascii="Century Gothic" w:eastAsia="Century Gothic" w:hAnsi="Century Gothic" w:cs="Century Gothic"/>
        </w:rPr>
      </w:pPr>
    </w:p>
    <w:p w14:paraId="0FD90D37"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Estableciendo en su parágrafo 3 que, “A través del Mecanismo de Protección al Cesante y con cargo al FOSFEC, podrá financiarse pr</w:t>
      </w:r>
      <w:r>
        <w:rPr>
          <w:rFonts w:ascii="Century Gothic" w:eastAsia="Century Gothic" w:hAnsi="Century Gothic" w:cs="Century Gothic"/>
        </w:rPr>
        <w:t>áctica laboral, judicatura y relación docencia de servicio en el sector salud como mecanismo para que los jóvenes adquieran experiencia laboral relacionada a su campo de estudio”.</w:t>
      </w:r>
    </w:p>
    <w:p w14:paraId="14DCA510" w14:textId="77777777" w:rsidR="001C227F" w:rsidRDefault="001C227F">
      <w:pPr>
        <w:jc w:val="both"/>
        <w:rPr>
          <w:rFonts w:ascii="Century Gothic" w:eastAsia="Century Gothic" w:hAnsi="Century Gothic" w:cs="Century Gothic"/>
        </w:rPr>
      </w:pPr>
    </w:p>
    <w:p w14:paraId="6FB5257C"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Disposición a partir de la cual se creó por parte del Ministerio del Trabaj</w:t>
      </w:r>
      <w:r>
        <w:rPr>
          <w:rFonts w:ascii="Century Gothic" w:eastAsia="Century Gothic" w:hAnsi="Century Gothic" w:cs="Century Gothic"/>
        </w:rPr>
        <w:t>o un programa denominado “Estado Joven” el cual buscaba facilitar a los jóvenes la transición del ciclo de aprendizaje al mercado laboral a través de incentivos para realizar sus prácticas laborales en el sector público. Este programa fue operado por las C</w:t>
      </w:r>
      <w:r>
        <w:rPr>
          <w:rFonts w:ascii="Century Gothic" w:eastAsia="Century Gothic" w:hAnsi="Century Gothic" w:cs="Century Gothic"/>
        </w:rPr>
        <w:t xml:space="preserve">ajas de Compensación Familiar y benefició a más de 8.000 jóvenes. </w:t>
      </w:r>
    </w:p>
    <w:p w14:paraId="136BFB9D" w14:textId="77777777" w:rsidR="001C227F" w:rsidRDefault="001C227F">
      <w:pPr>
        <w:jc w:val="both"/>
        <w:rPr>
          <w:rFonts w:ascii="Century Gothic" w:eastAsia="Century Gothic" w:hAnsi="Century Gothic" w:cs="Century Gothic"/>
        </w:rPr>
      </w:pPr>
    </w:p>
    <w:p w14:paraId="30A0695D"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 xml:space="preserve">No obstante, lo anterior, en el año 2019 el parágrafo en cita tuvo problemas de constitucionalidad, pues al ser financiado con recursos del FOSFEC parafiscales, no podían destinarse a una </w:t>
      </w:r>
      <w:r>
        <w:rPr>
          <w:rFonts w:ascii="Century Gothic" w:eastAsia="Century Gothic" w:hAnsi="Century Gothic" w:cs="Century Gothic"/>
        </w:rPr>
        <w:t xml:space="preserve">finalidad distinta que no fuera la de reinvertir en el sector grabado, debido a los principios de reserva de ley en materia tributaria y de destinación sectorial. Situación que generó que el programa perdiera su fuente de financiación. </w:t>
      </w:r>
    </w:p>
    <w:p w14:paraId="14F6D886" w14:textId="77777777" w:rsidR="001C227F" w:rsidRDefault="001C227F">
      <w:pPr>
        <w:jc w:val="both"/>
        <w:rPr>
          <w:rFonts w:ascii="Century Gothic" w:eastAsia="Century Gothic" w:hAnsi="Century Gothic" w:cs="Century Gothic"/>
        </w:rPr>
      </w:pPr>
    </w:p>
    <w:p w14:paraId="5CDD47F2"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Pese a esta situac</w:t>
      </w:r>
      <w:r>
        <w:rPr>
          <w:rFonts w:ascii="Century Gothic" w:eastAsia="Century Gothic" w:hAnsi="Century Gothic" w:cs="Century Gothic"/>
        </w:rPr>
        <w:t>ión, en el año 2021 el Ministerio del Trabajo gestionó recursos del Presupuesto General de la Nación, que permitieron reactivar el programa, con un nuevo esquema jurídico, operativo y financiero; lo cual, le permitió desarrollar en los años 2022 y 2023 dos</w:t>
      </w:r>
      <w:r>
        <w:rPr>
          <w:rFonts w:ascii="Century Gothic" w:eastAsia="Century Gothic" w:hAnsi="Century Gothic" w:cs="Century Gothic"/>
        </w:rPr>
        <w:t xml:space="preserve"> convocatorias por cada anualidad, para un total de once convocatorias desde su creación, beneficiando a más de 13.700 estudiantes.</w:t>
      </w:r>
    </w:p>
    <w:p w14:paraId="301E02C1" w14:textId="77777777" w:rsidR="001C227F" w:rsidRDefault="001C227F">
      <w:pPr>
        <w:jc w:val="both"/>
        <w:rPr>
          <w:rFonts w:ascii="Century Gothic" w:eastAsia="Century Gothic" w:hAnsi="Century Gothic" w:cs="Century Gothic"/>
        </w:rPr>
      </w:pPr>
    </w:p>
    <w:p w14:paraId="0A5C78EA"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Mas sin embargo, a la fecha de la presente iniciativa legislativa se encontró que este programa se encuentra desfinanciado,</w:t>
      </w:r>
      <w:r>
        <w:rPr>
          <w:rFonts w:ascii="Century Gothic" w:eastAsia="Century Gothic" w:hAnsi="Century Gothic" w:cs="Century Gothic"/>
        </w:rPr>
        <w:t xml:space="preserve"> situación que además generó la necesidad de la misma, pues para el  2023 el gobierno nacional no amplió la cobertura del programa “ Estado Joven” y  para el año 2024, tampoco destinó un solo recurso del Presupuesto General de la Nación para continuar su o</w:t>
      </w:r>
      <w:r>
        <w:rPr>
          <w:rFonts w:ascii="Century Gothic" w:eastAsia="Century Gothic" w:hAnsi="Century Gothic" w:cs="Century Gothic"/>
        </w:rPr>
        <w:t>peratividad, razón por la cual el programa tuvo que cerrar y con ello, se dejó sin recursos económicos a la fuente de financiación que sufragaba el auxilio de sostenimiento de los practicantes de las entidades públicas.</w:t>
      </w:r>
    </w:p>
    <w:p w14:paraId="18975179" w14:textId="77777777" w:rsidR="001C227F" w:rsidRDefault="001C227F">
      <w:pPr>
        <w:jc w:val="both"/>
        <w:rPr>
          <w:rFonts w:ascii="Century Gothic" w:eastAsia="Century Gothic" w:hAnsi="Century Gothic" w:cs="Century Gothic"/>
          <w:i/>
        </w:rPr>
      </w:pPr>
    </w:p>
    <w:p w14:paraId="001D45BC"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i/>
        </w:rPr>
        <w:t xml:space="preserve">Es por esta razón, que se </w:t>
      </w:r>
      <w:r>
        <w:rPr>
          <w:rFonts w:ascii="Century Gothic" w:eastAsia="Century Gothic" w:hAnsi="Century Gothic" w:cs="Century Gothic"/>
        </w:rPr>
        <w:t>encontró</w:t>
      </w:r>
      <w:r>
        <w:rPr>
          <w:rFonts w:ascii="Century Gothic" w:eastAsia="Century Gothic" w:hAnsi="Century Gothic" w:cs="Century Gothic"/>
          <w:i/>
        </w:rPr>
        <w:t xml:space="preserve"> </w:t>
      </w:r>
      <w:r>
        <w:rPr>
          <w:rFonts w:ascii="Century Gothic" w:eastAsia="Century Gothic" w:hAnsi="Century Gothic" w:cs="Century Gothic"/>
          <w:i/>
        </w:rPr>
        <w:t>indispensable la presentación de esta iniciativa legislativa, pues es necesario establecer un mínimo de lineamientos que propendan por la dignificación de las prácticas labores en la Entidades públicas y que tenga una perspectiva de continuidad, que no dep</w:t>
      </w:r>
      <w:r>
        <w:rPr>
          <w:rFonts w:ascii="Century Gothic" w:eastAsia="Century Gothic" w:hAnsi="Century Gothic" w:cs="Century Gothic"/>
          <w:i/>
        </w:rPr>
        <w:t>enda de una directriz gubernamental concreta</w:t>
      </w:r>
      <w:r>
        <w:rPr>
          <w:rFonts w:ascii="Century Gothic" w:eastAsia="Century Gothic" w:hAnsi="Century Gothic" w:cs="Century Gothic"/>
        </w:rPr>
        <w:t>. Pues aun cuando esta ley fomentó la inclusión y promoción de empleo para la población joven, entendiendo la problemática estructural en materia de desempleo juvenil y la necesidad de fijar lineamientos y estrat</w:t>
      </w:r>
      <w:r>
        <w:rPr>
          <w:rFonts w:ascii="Century Gothic" w:eastAsia="Century Gothic" w:hAnsi="Century Gothic" w:cs="Century Gothic"/>
        </w:rPr>
        <w:t>egias para fomentar el desarrollo de prácticas laborales en las entidades estatales;  a la fecha no se tienen  lineamientos claros que propendan por el desarrollo de una política pública que dignifique las prácticas laborales en el sector público, que cons</w:t>
      </w:r>
      <w:r>
        <w:rPr>
          <w:rFonts w:ascii="Century Gothic" w:eastAsia="Century Gothic" w:hAnsi="Century Gothic" w:cs="Century Gothic"/>
        </w:rPr>
        <w:t xml:space="preserve">agre los derechos o garantías mínimas, atienda la problemática de deserción académica, entienda las necesidades de los practicantes de cara al sostenimiento económico que garantice su subsistencia </w:t>
      </w:r>
      <w:proofErr w:type="spellStart"/>
      <w:r>
        <w:rPr>
          <w:rFonts w:ascii="Century Gothic" w:eastAsia="Century Gothic" w:hAnsi="Century Gothic" w:cs="Century Gothic"/>
        </w:rPr>
        <w:t>y</w:t>
      </w:r>
      <w:proofErr w:type="spellEnd"/>
      <w:r>
        <w:rPr>
          <w:rFonts w:ascii="Century Gothic" w:eastAsia="Century Gothic" w:hAnsi="Century Gothic" w:cs="Century Gothic"/>
        </w:rPr>
        <w:t xml:space="preserve"> inserción al ámbito laboral y promueva la ingreso de las </w:t>
      </w:r>
      <w:r>
        <w:rPr>
          <w:rFonts w:ascii="Century Gothic" w:eastAsia="Century Gothic" w:hAnsi="Century Gothic" w:cs="Century Gothic"/>
        </w:rPr>
        <w:t>nuevas generaciones al empleo público.</w:t>
      </w:r>
    </w:p>
    <w:p w14:paraId="7E08E84D" w14:textId="77777777" w:rsidR="001C227F" w:rsidRDefault="001C227F">
      <w:pPr>
        <w:jc w:val="both"/>
        <w:rPr>
          <w:rFonts w:ascii="Century Gothic" w:eastAsia="Century Gothic" w:hAnsi="Century Gothic" w:cs="Century Gothic"/>
        </w:rPr>
      </w:pPr>
    </w:p>
    <w:p w14:paraId="36C4DC38" w14:textId="77777777" w:rsidR="001C227F" w:rsidRDefault="00AD45D2">
      <w:pPr>
        <w:jc w:val="both"/>
        <w:rPr>
          <w:rFonts w:ascii="Century Gothic" w:eastAsia="Century Gothic" w:hAnsi="Century Gothic" w:cs="Century Gothic"/>
          <w:b/>
        </w:rPr>
      </w:pPr>
      <w:r>
        <w:rPr>
          <w:rFonts w:ascii="Century Gothic" w:eastAsia="Century Gothic" w:hAnsi="Century Gothic" w:cs="Century Gothic"/>
          <w:b/>
        </w:rPr>
        <w:t>2.2. LEY 2039 DE 2020.</w:t>
      </w:r>
    </w:p>
    <w:p w14:paraId="39411727" w14:textId="77777777" w:rsidR="001C227F" w:rsidRDefault="001C227F">
      <w:pPr>
        <w:jc w:val="both"/>
        <w:rPr>
          <w:rFonts w:ascii="Century Gothic" w:eastAsia="Century Gothic" w:hAnsi="Century Gothic" w:cs="Century Gothic"/>
        </w:rPr>
      </w:pPr>
    </w:p>
    <w:p w14:paraId="1121FF99"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lastRenderedPageBreak/>
        <w:t xml:space="preserve">Mediante esta iniciativa legislativa, se pretendió dictar normas tendientes a promover la inserción laboral y productiva de los jóvenes a través de la formulación de incentivos educativos y laborales para </w:t>
      </w:r>
      <w:proofErr w:type="spellStart"/>
      <w:r>
        <w:rPr>
          <w:rFonts w:ascii="Century Gothic" w:eastAsia="Century Gothic" w:hAnsi="Century Gothic" w:cs="Century Gothic"/>
        </w:rPr>
        <w:t>lo</w:t>
      </w:r>
      <w:proofErr w:type="spellEnd"/>
      <w:r>
        <w:rPr>
          <w:rFonts w:ascii="Century Gothic" w:eastAsia="Century Gothic" w:hAnsi="Century Gothic" w:cs="Century Gothic"/>
        </w:rPr>
        <w:t xml:space="preserve"> estudiantes de educación superior, consistentes </w:t>
      </w:r>
      <w:r>
        <w:rPr>
          <w:rFonts w:ascii="Century Gothic" w:eastAsia="Century Gothic" w:hAnsi="Century Gothic" w:cs="Century Gothic"/>
        </w:rPr>
        <w:t>en computar la duración de la práctica laboral como experiencia profesional válida, siempre y cuando su contenido se relacionara directamente con el programa académico cursado.</w:t>
      </w:r>
    </w:p>
    <w:p w14:paraId="60574E8C" w14:textId="77777777" w:rsidR="001C227F" w:rsidRDefault="001C227F">
      <w:pPr>
        <w:jc w:val="both"/>
        <w:rPr>
          <w:rFonts w:ascii="Century Gothic" w:eastAsia="Century Gothic" w:hAnsi="Century Gothic" w:cs="Century Gothic"/>
        </w:rPr>
      </w:pPr>
    </w:p>
    <w:p w14:paraId="106D3305"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Igualmente, mediante esta Ley se estableció la obligación de contabilizar la e</w:t>
      </w:r>
      <w:r>
        <w:rPr>
          <w:rFonts w:ascii="Century Gothic" w:eastAsia="Century Gothic" w:hAnsi="Century Gothic" w:cs="Century Gothic"/>
        </w:rPr>
        <w:t xml:space="preserve">xperiencia previa a la obtención del título profesional en los concursos públicos. Así mismo, se concibió la creación y otorgamiento de apoyos directos para los jóvenes productores agropecuarios, pesqueros y afrodescendientes, con el propósito de promover </w:t>
      </w:r>
      <w:r>
        <w:rPr>
          <w:rFonts w:ascii="Century Gothic" w:eastAsia="Century Gothic" w:hAnsi="Century Gothic" w:cs="Century Gothic"/>
        </w:rPr>
        <w:t>la productividad laboral en los jóvenes colombianos.</w:t>
      </w:r>
    </w:p>
    <w:p w14:paraId="484AF858" w14:textId="77777777" w:rsidR="001C227F" w:rsidRDefault="001C227F">
      <w:pPr>
        <w:jc w:val="both"/>
        <w:rPr>
          <w:rFonts w:ascii="Century Gothic" w:eastAsia="Century Gothic" w:hAnsi="Century Gothic" w:cs="Century Gothic"/>
        </w:rPr>
      </w:pPr>
    </w:p>
    <w:p w14:paraId="7F262447"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Iniciativa legislativa que si bien, procuró establecer medidas tendientes a fortalecer la inserción y la productividad laboral y económica de este grupo poblacional, no se encargó de expedir lineamiento</w:t>
      </w:r>
      <w:r>
        <w:rPr>
          <w:rFonts w:ascii="Century Gothic" w:eastAsia="Century Gothic" w:hAnsi="Century Gothic" w:cs="Century Gothic"/>
        </w:rPr>
        <w:t>s o parámetros básicos para el desarrollo de prácticas laborales al interior de las entidades públicas, ni tampoco al desarrollo de propuestas tendientes a dignificar las prácticas laborales desarrolladas en entidades de naturaleza pública.</w:t>
      </w:r>
    </w:p>
    <w:p w14:paraId="754AAF9A" w14:textId="77777777" w:rsidR="001C227F" w:rsidRDefault="001C227F">
      <w:pPr>
        <w:jc w:val="both"/>
        <w:rPr>
          <w:rFonts w:ascii="Century Gothic" w:eastAsia="Century Gothic" w:hAnsi="Century Gothic" w:cs="Century Gothic"/>
        </w:rPr>
      </w:pPr>
    </w:p>
    <w:p w14:paraId="4D3F91DE" w14:textId="77777777" w:rsidR="001C227F" w:rsidRDefault="00AD45D2">
      <w:pPr>
        <w:jc w:val="both"/>
        <w:rPr>
          <w:rFonts w:ascii="Century Gothic" w:eastAsia="Century Gothic" w:hAnsi="Century Gothic" w:cs="Century Gothic"/>
          <w:b/>
        </w:rPr>
      </w:pPr>
      <w:r>
        <w:rPr>
          <w:rFonts w:ascii="Century Gothic" w:eastAsia="Century Gothic" w:hAnsi="Century Gothic" w:cs="Century Gothic"/>
          <w:b/>
        </w:rPr>
        <w:t xml:space="preserve">2.3. LEY 2043 </w:t>
      </w:r>
      <w:r>
        <w:rPr>
          <w:rFonts w:ascii="Century Gothic" w:eastAsia="Century Gothic" w:hAnsi="Century Gothic" w:cs="Century Gothic"/>
          <w:b/>
        </w:rPr>
        <w:t>DE 2020.</w:t>
      </w:r>
    </w:p>
    <w:p w14:paraId="1ACBD348" w14:textId="77777777" w:rsidR="001C227F" w:rsidRDefault="001C227F">
      <w:pPr>
        <w:jc w:val="both"/>
        <w:rPr>
          <w:rFonts w:ascii="Century Gothic" w:eastAsia="Century Gothic" w:hAnsi="Century Gothic" w:cs="Century Gothic"/>
        </w:rPr>
      </w:pPr>
    </w:p>
    <w:p w14:paraId="18753EA3"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Esta iniciativa, tuvo como objetivo combatir el desempleo juvenil al establecer mecanismos normativos tendientes a facilitar el acceso de las personas que recientemente han culminado un proceso formativo o de educación, al mundo laboral, buscando</w:t>
      </w:r>
      <w:r>
        <w:rPr>
          <w:rFonts w:ascii="Century Gothic" w:eastAsia="Century Gothic" w:hAnsi="Century Gothic" w:cs="Century Gothic"/>
        </w:rPr>
        <w:t xml:space="preserve"> establecer las prácticas laborales como experiencia profesional y/o relacionada. </w:t>
      </w:r>
    </w:p>
    <w:p w14:paraId="64F09FA5" w14:textId="77777777" w:rsidR="001C227F" w:rsidRDefault="001C227F">
      <w:pPr>
        <w:jc w:val="both"/>
        <w:rPr>
          <w:rFonts w:ascii="Century Gothic" w:eastAsia="Century Gothic" w:hAnsi="Century Gothic" w:cs="Century Gothic"/>
        </w:rPr>
      </w:pPr>
    </w:p>
    <w:p w14:paraId="7E297220"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Además, buscó fijar una directriz dirigida a las entidades de naturaleza pública, que resultó facultativa, consistente en que, las entidades públicas del orden nacional, de</w:t>
      </w:r>
      <w:r>
        <w:rPr>
          <w:rFonts w:ascii="Century Gothic" w:eastAsia="Century Gothic" w:hAnsi="Century Gothic" w:cs="Century Gothic"/>
        </w:rPr>
        <w:t>partamental, distrital y municipal, acorde a las disponibilidades presupuestales pudieran destinar un rubro de su presupuesto al reconocimiento de un subsidio de transporte y alimentación, que en todo caso no podría ser superior a un (1) salario mínimo leg</w:t>
      </w:r>
      <w:r>
        <w:rPr>
          <w:rFonts w:ascii="Century Gothic" w:eastAsia="Century Gothic" w:hAnsi="Century Gothic" w:cs="Century Gothic"/>
        </w:rPr>
        <w:t>al mensual vigente.</w:t>
      </w:r>
    </w:p>
    <w:p w14:paraId="170C3921" w14:textId="77777777" w:rsidR="001C227F" w:rsidRDefault="001C227F">
      <w:pPr>
        <w:jc w:val="both"/>
        <w:rPr>
          <w:rFonts w:ascii="Century Gothic" w:eastAsia="Century Gothic" w:hAnsi="Century Gothic" w:cs="Century Gothic"/>
        </w:rPr>
      </w:pPr>
    </w:p>
    <w:p w14:paraId="4AF85212"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Si bien, esta iniciativa buscó abordar la problemática laboral de los jóvenes en Colombia y propendió por concebir lineamientos o mecanismos tendientes a dignificar las prácticas laborales, como otorgar un beneficio económico a los est</w:t>
      </w:r>
      <w:r>
        <w:rPr>
          <w:rFonts w:ascii="Century Gothic" w:eastAsia="Century Gothic" w:hAnsi="Century Gothic" w:cs="Century Gothic"/>
        </w:rPr>
        <w:t xml:space="preserve">udiantes que les permitiera su subsistencia y garantizara su permanencia académica; éste resultó ser </w:t>
      </w:r>
      <w:r>
        <w:rPr>
          <w:rFonts w:ascii="Century Gothic" w:eastAsia="Century Gothic" w:hAnsi="Century Gothic" w:cs="Century Gothic"/>
        </w:rPr>
        <w:lastRenderedPageBreak/>
        <w:t>facultativo y no imperativo, lo cual ha generado que, desde la expedición de la Ley en mención a la fecha de hoy, si bien incrementó la vinculación de prac</w:t>
      </w:r>
      <w:r>
        <w:rPr>
          <w:rFonts w:ascii="Century Gothic" w:eastAsia="Century Gothic" w:hAnsi="Century Gothic" w:cs="Century Gothic"/>
        </w:rPr>
        <w:t>ticantes al interior de las entidades públicas, el otorgamiento de un apoyo de sostenimiento económico resultó inexistente en la mayoría de las entidades públicas.</w:t>
      </w:r>
    </w:p>
    <w:p w14:paraId="33716763" w14:textId="77777777" w:rsidR="001C227F" w:rsidRDefault="001C227F">
      <w:pPr>
        <w:jc w:val="both"/>
        <w:rPr>
          <w:rFonts w:ascii="Century Gothic" w:eastAsia="Century Gothic" w:hAnsi="Century Gothic" w:cs="Century Gothic"/>
        </w:rPr>
      </w:pPr>
    </w:p>
    <w:p w14:paraId="20981B8E"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Como podrá evidenciarse en apartes posteriores del presente escrito, la “implementación gra</w:t>
      </w:r>
      <w:r>
        <w:rPr>
          <w:rFonts w:ascii="Century Gothic" w:eastAsia="Century Gothic" w:hAnsi="Century Gothic" w:cs="Century Gothic"/>
        </w:rPr>
        <w:t xml:space="preserve">dual” y el otorgamiento facultativo de un apoyo económico de sostenimiento a cargo de las entidades públicas, ha generado que desde el año de la expedición de la Ley en mención (año 2020) hasta la fecha presente, no se haya presentado al interior de todas </w:t>
      </w:r>
      <w:r>
        <w:rPr>
          <w:rFonts w:ascii="Century Gothic" w:eastAsia="Century Gothic" w:hAnsi="Century Gothic" w:cs="Century Gothic"/>
        </w:rPr>
        <w:t xml:space="preserve">las entidades públicas consultadas, ni una implementación o desarrollo progresivo del apoyo de sostenimiento, ni una compromiso real por parte de las entidades de otorgarlo. </w:t>
      </w:r>
    </w:p>
    <w:p w14:paraId="0665E138" w14:textId="77777777" w:rsidR="001C227F" w:rsidRDefault="001C227F">
      <w:pPr>
        <w:jc w:val="both"/>
        <w:rPr>
          <w:rFonts w:ascii="Century Gothic" w:eastAsia="Century Gothic" w:hAnsi="Century Gothic" w:cs="Century Gothic"/>
        </w:rPr>
      </w:pPr>
    </w:p>
    <w:p w14:paraId="0D7DD187"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 xml:space="preserve">Lo anterior, refleja de manera clara la necesidad de establecer una disposición </w:t>
      </w:r>
      <w:r>
        <w:rPr>
          <w:rFonts w:ascii="Century Gothic" w:eastAsia="Century Gothic" w:hAnsi="Century Gothic" w:cs="Century Gothic"/>
        </w:rPr>
        <w:t>normativa de carácter imperativo, que implemente de manera inmediata y obligatoria el otorgamiento de un apoyo de sostenimiento económico a favor de los practicantes, además de lineamientos claros para el desarrollo de una política pública de dignificación</w:t>
      </w:r>
      <w:r>
        <w:rPr>
          <w:rFonts w:ascii="Century Gothic" w:eastAsia="Century Gothic" w:hAnsi="Century Gothic" w:cs="Century Gothic"/>
        </w:rPr>
        <w:t xml:space="preserve"> de las prácticas al interior de las entidades públicas.</w:t>
      </w:r>
    </w:p>
    <w:p w14:paraId="2EDBD3A7"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 xml:space="preserve"> </w:t>
      </w:r>
    </w:p>
    <w:p w14:paraId="42537C91" w14:textId="77777777" w:rsidR="001C227F" w:rsidRDefault="00AD45D2">
      <w:pPr>
        <w:jc w:val="both"/>
        <w:rPr>
          <w:rFonts w:ascii="Century Gothic" w:eastAsia="Century Gothic" w:hAnsi="Century Gothic" w:cs="Century Gothic"/>
          <w:b/>
        </w:rPr>
      </w:pPr>
      <w:r>
        <w:rPr>
          <w:rFonts w:ascii="Century Gothic" w:eastAsia="Century Gothic" w:hAnsi="Century Gothic" w:cs="Century Gothic"/>
          <w:b/>
        </w:rPr>
        <w:t xml:space="preserve">2.4 PROYECTO DE ACUERDO 260 DE 2020 </w:t>
      </w:r>
    </w:p>
    <w:p w14:paraId="17DEAAC8" w14:textId="77777777" w:rsidR="001C227F" w:rsidRDefault="00AD45D2">
      <w:pPr>
        <w:spacing w:before="240" w:after="240"/>
        <w:jc w:val="both"/>
        <w:rPr>
          <w:rFonts w:ascii="Century Gothic" w:eastAsia="Century Gothic" w:hAnsi="Century Gothic" w:cs="Century Gothic"/>
          <w:color w:val="1155CC"/>
          <w:u w:val="single"/>
        </w:rPr>
      </w:pPr>
      <w:r>
        <w:rPr>
          <w:rFonts w:ascii="Century Gothic" w:eastAsia="Century Gothic" w:hAnsi="Century Gothic" w:cs="Century Gothic"/>
        </w:rPr>
        <w:t>​</w:t>
      </w:r>
      <w:r>
        <w:rPr>
          <w:rFonts w:ascii="Century Gothic" w:eastAsia="Century Gothic" w:hAnsi="Century Gothic" w:cs="Century Gothic"/>
        </w:rPr>
        <w:t>El Proyecto de Acuerdo 260 de 2020, estableció el Sistema Distrital de Prácticas y Pasantías Pagas en Bogotá. Este sistema busca ofrecer oportunidades de práct</w:t>
      </w:r>
      <w:r>
        <w:rPr>
          <w:rFonts w:ascii="Century Gothic" w:eastAsia="Century Gothic" w:hAnsi="Century Gothic" w:cs="Century Gothic"/>
        </w:rPr>
        <w:t>icas laborales, pasantías, judicaturas y relaciones docencia-servicio en entidades públicas del Distrito, con una remuneración equivalente a un salario mínimo mensual legal vigente.</w:t>
      </w:r>
    </w:p>
    <w:p w14:paraId="544A87E8" w14:textId="77777777" w:rsidR="001C227F" w:rsidRDefault="00AD45D2">
      <w:pPr>
        <w:pStyle w:val="Ttulo3"/>
        <w:keepNext w:val="0"/>
        <w:keepLines w:val="0"/>
        <w:spacing w:before="280"/>
        <w:jc w:val="both"/>
        <w:rPr>
          <w:rFonts w:ascii="Century Gothic" w:eastAsia="Century Gothic" w:hAnsi="Century Gothic" w:cs="Century Gothic"/>
          <w:color w:val="000000"/>
          <w:sz w:val="22"/>
          <w:szCs w:val="22"/>
        </w:rPr>
      </w:pPr>
      <w:bookmarkStart w:id="2" w:name="_heading=h.4diiztgk49mt" w:colFirst="0" w:colLast="0"/>
      <w:bookmarkEnd w:id="2"/>
      <w:r>
        <w:rPr>
          <w:rFonts w:ascii="Century Gothic" w:eastAsia="Century Gothic" w:hAnsi="Century Gothic" w:cs="Century Gothic"/>
          <w:color w:val="000000"/>
          <w:sz w:val="22"/>
          <w:szCs w:val="22"/>
        </w:rPr>
        <w:t>Este programa contempla las siguientes características:</w:t>
      </w:r>
    </w:p>
    <w:p w14:paraId="4A4CB389" w14:textId="77777777" w:rsidR="001C227F" w:rsidRDefault="001C227F"/>
    <w:p w14:paraId="7B9069F4" w14:textId="77777777" w:rsidR="001C227F" w:rsidRDefault="00AD45D2">
      <w:pPr>
        <w:numPr>
          <w:ilvl w:val="0"/>
          <w:numId w:val="5"/>
        </w:numPr>
        <w:jc w:val="both"/>
        <w:rPr>
          <w:rFonts w:ascii="Century Gothic" w:eastAsia="Century Gothic" w:hAnsi="Century Gothic" w:cs="Century Gothic"/>
        </w:rPr>
      </w:pPr>
      <w:r>
        <w:rPr>
          <w:rFonts w:ascii="Century Gothic" w:eastAsia="Century Gothic" w:hAnsi="Century Gothic" w:cs="Century Gothic"/>
        </w:rPr>
        <w:t>Remuneración y certificación: Los estudiantes reciben un auxilio económico mensual y una certificación de experiencia laboral, facilitando su ingreso al mercado laboral. ​</w:t>
      </w:r>
    </w:p>
    <w:p w14:paraId="6E3DB803" w14:textId="77777777" w:rsidR="001C227F" w:rsidRDefault="00AD45D2">
      <w:pPr>
        <w:numPr>
          <w:ilvl w:val="0"/>
          <w:numId w:val="5"/>
        </w:numPr>
        <w:jc w:val="both"/>
        <w:rPr>
          <w:rFonts w:ascii="Century Gothic" w:eastAsia="Century Gothic" w:hAnsi="Century Gothic" w:cs="Century Gothic"/>
        </w:rPr>
      </w:pPr>
      <w:r>
        <w:rPr>
          <w:rFonts w:ascii="Century Gothic" w:eastAsia="Century Gothic" w:hAnsi="Century Gothic" w:cs="Century Gothic"/>
        </w:rPr>
        <w:t>Proceso de selección meritocrático y paritario: La asignación de plazas se realiza m</w:t>
      </w:r>
      <w:r>
        <w:rPr>
          <w:rFonts w:ascii="Century Gothic" w:eastAsia="Century Gothic" w:hAnsi="Century Gothic" w:cs="Century Gothic"/>
        </w:rPr>
        <w:t>ediante un proceso transparente, garantizando la equidad de género con al menos el 50% de las plazas destinadas a mujeres. ​</w:t>
      </w:r>
    </w:p>
    <w:p w14:paraId="50C94D64" w14:textId="77777777" w:rsidR="001C227F" w:rsidRDefault="00AD45D2">
      <w:pPr>
        <w:numPr>
          <w:ilvl w:val="0"/>
          <w:numId w:val="5"/>
        </w:numPr>
        <w:jc w:val="both"/>
        <w:rPr>
          <w:rFonts w:ascii="Century Gothic" w:eastAsia="Century Gothic" w:hAnsi="Century Gothic" w:cs="Century Gothic"/>
        </w:rPr>
      </w:pPr>
      <w:r>
        <w:rPr>
          <w:rFonts w:ascii="Century Gothic" w:eastAsia="Century Gothic" w:hAnsi="Century Gothic" w:cs="Century Gothic"/>
        </w:rPr>
        <w:t>Acceso centralizado: La Alcaldía de Bogotá debe publicar en un único sitio web el listado completo de oportunidades disponibles en las entidades del nivel central y descentralizado, facilitando la postulación de los estudiantes.</w:t>
      </w:r>
    </w:p>
    <w:p w14:paraId="55AACA5F" w14:textId="77777777" w:rsidR="001C227F" w:rsidRDefault="00AD45D2">
      <w:pPr>
        <w:spacing w:before="240" w:after="240"/>
        <w:jc w:val="both"/>
        <w:rPr>
          <w:rFonts w:ascii="Century Gothic" w:eastAsia="Century Gothic" w:hAnsi="Century Gothic" w:cs="Century Gothic"/>
          <w:sz w:val="20"/>
          <w:szCs w:val="20"/>
        </w:rPr>
      </w:pPr>
      <w:r>
        <w:rPr>
          <w:rFonts w:ascii="Century Gothic" w:eastAsia="Century Gothic" w:hAnsi="Century Gothic" w:cs="Century Gothic"/>
        </w:rPr>
        <w:lastRenderedPageBreak/>
        <w:t>Este proyecto de acuerdo es</w:t>
      </w:r>
      <w:r>
        <w:rPr>
          <w:rFonts w:ascii="Century Gothic" w:eastAsia="Century Gothic" w:hAnsi="Century Gothic" w:cs="Century Gothic"/>
        </w:rPr>
        <w:t xml:space="preserve"> un referente principal para la presente iniciativa legislativa, en tanto entiende la necesidad de apoyar económicamente a los jóvenes practicantes y así mismo la importancia del mérito y la implementación de un proceso transparente que garantice la equida</w:t>
      </w:r>
      <w:r>
        <w:rPr>
          <w:rFonts w:ascii="Century Gothic" w:eastAsia="Century Gothic" w:hAnsi="Century Gothic" w:cs="Century Gothic"/>
        </w:rPr>
        <w:t xml:space="preserve">d de género en la asignación de los practicantes. </w:t>
      </w:r>
    </w:p>
    <w:p w14:paraId="14227E93" w14:textId="77777777" w:rsidR="001C227F" w:rsidRDefault="001C227F">
      <w:pPr>
        <w:jc w:val="both"/>
        <w:rPr>
          <w:rFonts w:ascii="Century Gothic" w:eastAsia="Century Gothic" w:hAnsi="Century Gothic" w:cs="Century Gothic"/>
          <w:b/>
        </w:rPr>
      </w:pPr>
    </w:p>
    <w:p w14:paraId="0A5E7BA3" w14:textId="77777777" w:rsidR="001C227F" w:rsidRDefault="001C227F">
      <w:pPr>
        <w:jc w:val="both"/>
        <w:rPr>
          <w:rFonts w:ascii="Century Gothic" w:eastAsia="Century Gothic" w:hAnsi="Century Gothic" w:cs="Century Gothic"/>
          <w:b/>
        </w:rPr>
      </w:pPr>
    </w:p>
    <w:p w14:paraId="65B9D276" w14:textId="77777777" w:rsidR="001C227F" w:rsidRDefault="00AD45D2">
      <w:pPr>
        <w:jc w:val="both"/>
        <w:rPr>
          <w:rFonts w:ascii="Century Gothic" w:eastAsia="Century Gothic" w:hAnsi="Century Gothic" w:cs="Century Gothic"/>
          <w:b/>
        </w:rPr>
      </w:pPr>
      <w:r>
        <w:rPr>
          <w:rFonts w:ascii="Century Gothic" w:eastAsia="Century Gothic" w:hAnsi="Century Gothic" w:cs="Century Gothic"/>
          <w:b/>
        </w:rPr>
        <w:t>3. JUSTIFICACIÓN DEL PROYECTO.</w:t>
      </w:r>
    </w:p>
    <w:p w14:paraId="24CBE631" w14:textId="77777777" w:rsidR="001C227F" w:rsidRDefault="001C227F">
      <w:pPr>
        <w:jc w:val="both"/>
        <w:rPr>
          <w:rFonts w:ascii="Century Gothic" w:eastAsia="Century Gothic" w:hAnsi="Century Gothic" w:cs="Century Gothic"/>
          <w:b/>
        </w:rPr>
      </w:pPr>
    </w:p>
    <w:p w14:paraId="3D4A99CD"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La anterior normatividad ha buscado incentivar la vinculación laboral de los practicantes estableciendo como experiencia profesional el desarrollo de sus prácticas, y ha p</w:t>
      </w:r>
      <w:r>
        <w:rPr>
          <w:rFonts w:ascii="Century Gothic" w:eastAsia="Century Gothic" w:hAnsi="Century Gothic" w:cs="Century Gothic"/>
        </w:rPr>
        <w:t>rocurado fijar o establecer de manera facultativa y progresiva, beneficios económicos a favor de los practicantes. Sin embargo, resulta evidente la ausencia de evolución progresiva de beneficios y derechos en favor de los practicantes en las entidades públ</w:t>
      </w:r>
      <w:r>
        <w:rPr>
          <w:rFonts w:ascii="Century Gothic" w:eastAsia="Century Gothic" w:hAnsi="Century Gothic" w:cs="Century Gothic"/>
        </w:rPr>
        <w:t>icas. Es por ello, que surge la necesidad de expedir lineamientos orientados al diseño e implementación de una política integral que regule y dignifique las prácticas laborales en las entidades públicas y atienda la problemática de deserción académica deri</w:t>
      </w:r>
      <w:r>
        <w:rPr>
          <w:rFonts w:ascii="Century Gothic" w:eastAsia="Century Gothic" w:hAnsi="Century Gothic" w:cs="Century Gothic"/>
        </w:rPr>
        <w:t>vada en su mayoría de casos por necesidades económicas.</w:t>
      </w:r>
    </w:p>
    <w:p w14:paraId="71FB298F" w14:textId="77777777" w:rsidR="001C227F" w:rsidRDefault="001C227F">
      <w:pPr>
        <w:jc w:val="both"/>
        <w:rPr>
          <w:rFonts w:ascii="Century Gothic" w:eastAsia="Century Gothic" w:hAnsi="Century Gothic" w:cs="Century Gothic"/>
        </w:rPr>
      </w:pPr>
    </w:p>
    <w:p w14:paraId="4B7635DB"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Es por ello, que la presente iniciativa pretende, además de articular y armonizar las disposiciones normativas antes mencionadas, establecer los lineamientos mínimos para el diseño e implementación d</w:t>
      </w:r>
      <w:r>
        <w:rPr>
          <w:rFonts w:ascii="Century Gothic" w:eastAsia="Century Gothic" w:hAnsi="Century Gothic" w:cs="Century Gothic"/>
        </w:rPr>
        <w:t>e una política integral que propenda por la dignificación de las prácticas laborales en las entidades públicas, que permita evidenciar un aumento y permanencia de los estudiantes en sus ciclos académicos y les permita desarrollar el inicio de su vida labor</w:t>
      </w:r>
      <w:r>
        <w:rPr>
          <w:rFonts w:ascii="Century Gothic" w:eastAsia="Century Gothic" w:hAnsi="Century Gothic" w:cs="Century Gothic"/>
        </w:rPr>
        <w:t>al al interior de las entidades públicas en condiciones de igualdad respecto de las entidades privadas que si se encuentran obligadas a ejecutar contratos de aprendizaje.</w:t>
      </w:r>
    </w:p>
    <w:p w14:paraId="10FCE369" w14:textId="77777777" w:rsidR="001C227F" w:rsidRDefault="001C227F">
      <w:pPr>
        <w:jc w:val="both"/>
        <w:rPr>
          <w:rFonts w:ascii="Century Gothic" w:eastAsia="Century Gothic" w:hAnsi="Century Gothic" w:cs="Century Gothic"/>
        </w:rPr>
      </w:pPr>
    </w:p>
    <w:p w14:paraId="50ACE63F"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Además de lo anterior, la presente iniciativa tiene como objeto combatir el desemple</w:t>
      </w:r>
      <w:r>
        <w:rPr>
          <w:rFonts w:ascii="Century Gothic" w:eastAsia="Century Gothic" w:hAnsi="Century Gothic" w:cs="Century Gothic"/>
        </w:rPr>
        <w:t>o juvenil al establecer mecanismos normativos para facilitar el acceso de las personas que recientemente han culminado un proceso formativo o de educación, al mundo laboral. Para ello, se pretende promover el desarrollo prácticas laborales en el sector púb</w:t>
      </w:r>
      <w:r>
        <w:rPr>
          <w:rFonts w:ascii="Century Gothic" w:eastAsia="Century Gothic" w:hAnsi="Century Gothic" w:cs="Century Gothic"/>
        </w:rPr>
        <w:t>lico , además de fijar criterios de igualdad y equidad en la postulación y acceso a las vacantes para dichas prácticas, fijar lineamientos para el desarrollo de una política integral que dignifique el desarrollo de prácticas en las entidades públicas e inc</w:t>
      </w:r>
      <w:r>
        <w:rPr>
          <w:rFonts w:ascii="Century Gothic" w:eastAsia="Century Gothic" w:hAnsi="Century Gothic" w:cs="Century Gothic"/>
        </w:rPr>
        <w:t>entive el empleo público, permitiendo a los practicantes gozar de un apoyo económico de sostenimiento digno, además de la garantía de cotización al sistema general de seguridad social integral.</w:t>
      </w:r>
    </w:p>
    <w:p w14:paraId="1409D415" w14:textId="77777777" w:rsidR="001C227F" w:rsidRDefault="001C227F">
      <w:pPr>
        <w:jc w:val="both"/>
        <w:rPr>
          <w:rFonts w:ascii="Century Gothic" w:eastAsia="Century Gothic" w:hAnsi="Century Gothic" w:cs="Century Gothic"/>
        </w:rPr>
      </w:pPr>
    </w:p>
    <w:p w14:paraId="5819F142"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lastRenderedPageBreak/>
        <w:t>Por otra parte, la intención de fijar el otorgamiento obligat</w:t>
      </w:r>
      <w:r>
        <w:rPr>
          <w:rFonts w:ascii="Century Gothic" w:eastAsia="Century Gothic" w:hAnsi="Century Gothic" w:cs="Century Gothic"/>
        </w:rPr>
        <w:t>orio de un beneficio económico de sostenimiento a favor de los practicantes, de manera obligatoria al interior de las entidades públicas, obedece a la necesidad de otorgar un apoyo con el fin de prestar ayuda en los gastos de manutención de los estudiantes</w:t>
      </w:r>
      <w:r>
        <w:rPr>
          <w:rFonts w:ascii="Century Gothic" w:eastAsia="Century Gothic" w:hAnsi="Century Gothic" w:cs="Century Gothic"/>
        </w:rPr>
        <w:t>, toda vez que, en muchas ocasiones, el hecho de estar ejecutando sus prácticas laborales, impide que la persona se pueda desempeñar en un empleo adicional, al no contar con la disponibilidad de tiempo suficiente, entre otros factores. Medidas como la prop</w:t>
      </w:r>
      <w:r>
        <w:rPr>
          <w:rFonts w:ascii="Century Gothic" w:eastAsia="Century Gothic" w:hAnsi="Century Gothic" w:cs="Century Gothic"/>
        </w:rPr>
        <w:t>uesta en esta iniciativa legislativa, resultan necesarias ante el panorama actual de nuestro país, donde la tasa de desempleo juvenil está muy por encima de la tasa de desempleo general.</w:t>
      </w:r>
    </w:p>
    <w:p w14:paraId="764963B0" w14:textId="77777777" w:rsidR="001C227F" w:rsidRDefault="001C227F">
      <w:pPr>
        <w:jc w:val="both"/>
        <w:rPr>
          <w:rFonts w:ascii="Century Gothic" w:eastAsia="Century Gothic" w:hAnsi="Century Gothic" w:cs="Century Gothic"/>
        </w:rPr>
      </w:pPr>
    </w:p>
    <w:p w14:paraId="78825AA9" w14:textId="77777777" w:rsidR="001C227F" w:rsidRDefault="00AD45D2">
      <w:pPr>
        <w:jc w:val="both"/>
        <w:rPr>
          <w:rFonts w:ascii="Century Gothic" w:eastAsia="Century Gothic" w:hAnsi="Century Gothic" w:cs="Century Gothic"/>
          <w:b/>
          <w:u w:val="single"/>
        </w:rPr>
      </w:pPr>
      <w:r>
        <w:rPr>
          <w:rFonts w:ascii="Century Gothic" w:eastAsia="Century Gothic" w:hAnsi="Century Gothic" w:cs="Century Gothic"/>
          <w:b/>
          <w:u w:val="single"/>
        </w:rPr>
        <w:t>3.1. Problemática del desempleo (desempleo general y desempleo juven</w:t>
      </w:r>
      <w:r>
        <w:rPr>
          <w:rFonts w:ascii="Century Gothic" w:eastAsia="Century Gothic" w:hAnsi="Century Gothic" w:cs="Century Gothic"/>
          <w:b/>
          <w:u w:val="single"/>
        </w:rPr>
        <w:t>il):</w:t>
      </w:r>
    </w:p>
    <w:p w14:paraId="3BDCEBD2" w14:textId="77777777" w:rsidR="001C227F" w:rsidRDefault="001C227F">
      <w:pPr>
        <w:jc w:val="both"/>
        <w:rPr>
          <w:rFonts w:ascii="Century Gothic" w:eastAsia="Century Gothic" w:hAnsi="Century Gothic" w:cs="Century Gothic"/>
        </w:rPr>
      </w:pPr>
    </w:p>
    <w:p w14:paraId="254FBCD2"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La tasa de desempleo general en el país, para el año 2024 se situó en 10% en promedio, por su parte la tasa de informalidad, a corte 2024 correspondió al 33,2%. Esto, permite vislumbrar con total claridad que la problemática de desempleo e informalid</w:t>
      </w:r>
      <w:r>
        <w:rPr>
          <w:rFonts w:ascii="Century Gothic" w:eastAsia="Century Gothic" w:hAnsi="Century Gothic" w:cs="Century Gothic"/>
        </w:rPr>
        <w:t xml:space="preserve">ad ha sido uno de los flagelos del país, lo cual impide su desarrollo económico y la prosperidad económica generalizada; siendo mínima y restringida la cantidad de personas que tienen la posibilidad de acceder a un empleo formal. </w:t>
      </w:r>
    </w:p>
    <w:p w14:paraId="7F0B7C7B" w14:textId="77777777" w:rsidR="001C227F" w:rsidRDefault="001C227F">
      <w:pPr>
        <w:jc w:val="both"/>
        <w:rPr>
          <w:rFonts w:ascii="Century Gothic" w:eastAsia="Century Gothic" w:hAnsi="Century Gothic" w:cs="Century Gothic"/>
        </w:rPr>
      </w:pPr>
    </w:p>
    <w:p w14:paraId="76B383B9"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Las principales barreras</w:t>
      </w:r>
      <w:r>
        <w:rPr>
          <w:rFonts w:ascii="Century Gothic" w:eastAsia="Century Gothic" w:hAnsi="Century Gothic" w:cs="Century Gothic"/>
        </w:rPr>
        <w:t xml:space="preserve"> de acceso de empleo en Colombia, a partir de los resultados publicados por el Instituto de Ciencia Política Hernán Echavarría Olózaga (ICP) y la Fundación Konrad Adenauer en Colombia en el informe titulado </w:t>
      </w:r>
      <w:r>
        <w:rPr>
          <w:rFonts w:ascii="Century Gothic" w:eastAsia="Century Gothic" w:hAnsi="Century Gothic" w:cs="Century Gothic"/>
          <w:i/>
        </w:rPr>
        <w:t>“Barreras de acceso al mercado de trabajo en Colo</w:t>
      </w:r>
      <w:r>
        <w:rPr>
          <w:rFonts w:ascii="Century Gothic" w:eastAsia="Century Gothic" w:hAnsi="Century Gothic" w:cs="Century Gothic"/>
          <w:i/>
        </w:rPr>
        <w:t>mbia: Reforma Laboral - Evaluación y Recomendaciones para el Congreso de la República</w:t>
      </w:r>
      <w:r>
        <w:rPr>
          <w:rFonts w:ascii="Century Gothic" w:eastAsia="Century Gothic" w:hAnsi="Century Gothic" w:cs="Century Gothic"/>
        </w:rPr>
        <w:t>”, Colombia enfrenta desafíos significativos en el acceso al empleo formal. De acuerdo con el informe, la informalidad constituye uno de los obstáculos más prominentes, af</w:t>
      </w:r>
      <w:r>
        <w:rPr>
          <w:rFonts w:ascii="Century Gothic" w:eastAsia="Century Gothic" w:hAnsi="Century Gothic" w:cs="Century Gothic"/>
        </w:rPr>
        <w:t>ectando al 58% de los trabajadores, principalmente en el sector de las microempresas. La estructura empresarial del país presenta una concentración notable: el 64% del empleo total se genera en microempresas, de las cuales un 54% opera en el sector informa</w:t>
      </w:r>
      <w:r>
        <w:rPr>
          <w:rFonts w:ascii="Century Gothic" w:eastAsia="Century Gothic" w:hAnsi="Century Gothic" w:cs="Century Gothic"/>
        </w:rPr>
        <w:t>l, con capacidades limitadas para la formalización de sus empleados. La productividad laboral representa otra barrera fundamental, posicionando a Colombia como el país con el menor índice en la OCDE, evidenciado por un decrecimiento del 11.05% en 2021 y el</w:t>
      </w:r>
      <w:r>
        <w:rPr>
          <w:rFonts w:ascii="Century Gothic" w:eastAsia="Century Gothic" w:hAnsi="Century Gothic" w:cs="Century Gothic"/>
        </w:rPr>
        <w:t xml:space="preserve"> aporte más bajo por hora trabajada (14.33 USD). Los costos laborales constituyen un factor adicional que dificulta la generación de empleo formal, con un incremento del 18% respecto a 2022. Esta situación se agrava por la considerable carga tributaria que</w:t>
      </w:r>
      <w:r>
        <w:rPr>
          <w:rFonts w:ascii="Century Gothic" w:eastAsia="Century Gothic" w:hAnsi="Century Gothic" w:cs="Century Gothic"/>
        </w:rPr>
        <w:t xml:space="preserve"> enfrentan las empresas. El panorama se completa con el perfil educativo de la fuerza laboral, donde el 65% de los trabajadores no supera la educación secundaria, distribuidos en un 12% sin educación formal, 19% con primaria y 34% con secundaria. Este conj</w:t>
      </w:r>
      <w:r>
        <w:rPr>
          <w:rFonts w:ascii="Century Gothic" w:eastAsia="Century Gothic" w:hAnsi="Century Gothic" w:cs="Century Gothic"/>
        </w:rPr>
        <w:t xml:space="preserve">unto de factores </w:t>
      </w:r>
      <w:r>
        <w:rPr>
          <w:rFonts w:ascii="Century Gothic" w:eastAsia="Century Gothic" w:hAnsi="Century Gothic" w:cs="Century Gothic"/>
        </w:rPr>
        <w:lastRenderedPageBreak/>
        <w:t xml:space="preserve">interrelacionados obstaculiza significativamente la creación y el acceso a empleos formales y de calidad en el país. </w:t>
      </w:r>
    </w:p>
    <w:p w14:paraId="5FD158F3" w14:textId="77777777" w:rsidR="001C227F" w:rsidRDefault="001C227F">
      <w:pPr>
        <w:jc w:val="both"/>
        <w:rPr>
          <w:rFonts w:ascii="Century Gothic" w:eastAsia="Century Gothic" w:hAnsi="Century Gothic" w:cs="Century Gothic"/>
        </w:rPr>
      </w:pPr>
    </w:p>
    <w:p w14:paraId="7D4E4F25"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La anterior, resulta más desolador al contrastar la problemática de desempleo e informalidad en la población joven del p</w:t>
      </w:r>
      <w:r>
        <w:rPr>
          <w:rFonts w:ascii="Century Gothic" w:eastAsia="Century Gothic" w:hAnsi="Century Gothic" w:cs="Century Gothic"/>
        </w:rPr>
        <w:t>aís (comprendida entre los 18 y 28 años de edad); para el año 2024 el desempleo juvenil se situó en el primer semestre en 19,9% porcentaje superior al desempleo general en 9,9 puntos porcentuales. Por su parte, la informalidad de la población joven del paí</w:t>
      </w:r>
      <w:r>
        <w:rPr>
          <w:rFonts w:ascii="Century Gothic" w:eastAsia="Century Gothic" w:hAnsi="Century Gothic" w:cs="Century Gothic"/>
        </w:rPr>
        <w:t xml:space="preserve">s, se situó para el trimestre junio-agosto 2024 en 17,8%. Además, de evidenciarse una notable disparidad en materia de informalidad de desempleo entre hombre y mujeres jóvenes. </w:t>
      </w:r>
    </w:p>
    <w:p w14:paraId="403F3BB9" w14:textId="77777777" w:rsidR="001C227F" w:rsidRDefault="001C227F">
      <w:pPr>
        <w:jc w:val="both"/>
        <w:rPr>
          <w:rFonts w:ascii="Century Gothic" w:eastAsia="Century Gothic" w:hAnsi="Century Gothic" w:cs="Century Gothic"/>
        </w:rPr>
      </w:pPr>
    </w:p>
    <w:p w14:paraId="54E2F6A8"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La problemática del empleo juvenil se acentúa en las zonas rurales. De acuerd</w:t>
      </w:r>
      <w:r>
        <w:rPr>
          <w:rFonts w:ascii="Century Gothic" w:eastAsia="Century Gothic" w:hAnsi="Century Gothic" w:cs="Century Gothic"/>
        </w:rPr>
        <w:t xml:space="preserve">o con la información publicada en 2024 por el Observatorio Laboral y el Observatorio Fiscal de la Pontificia Universidad Javeriana, existen varios desafíos significativos en materia de empleo juvenil que se acentúan particularmente en las zonas rurales de </w:t>
      </w:r>
      <w:r>
        <w:rPr>
          <w:rFonts w:ascii="Century Gothic" w:eastAsia="Century Gothic" w:hAnsi="Century Gothic" w:cs="Century Gothic"/>
        </w:rPr>
        <w:t>Colombia. Las áreas rurales muestran las tasas más altas de no participación en la fuerza laboral, alcanzando un 39% en 2023 en comparación con el 33-39% en otras regiones. Esto indica una preocupante desconexión de los jóvenes rurales tanto de las oportun</w:t>
      </w:r>
      <w:r>
        <w:rPr>
          <w:rFonts w:ascii="Century Gothic" w:eastAsia="Century Gothic" w:hAnsi="Century Gothic" w:cs="Century Gothic"/>
        </w:rPr>
        <w:t>idades educativas como laborales. El crecimiento del empleo formal ha sido significativamente menor en las áreas rurales en comparación con las principales ciudades. Mientras que los centros urbanos, particularmente las 5 ciudades principales, han experime</w:t>
      </w:r>
      <w:r>
        <w:rPr>
          <w:rFonts w:ascii="Century Gothic" w:eastAsia="Century Gothic" w:hAnsi="Century Gothic" w:cs="Century Gothic"/>
        </w:rPr>
        <w:t>ntado aumentos sustanciales en el empleo formal, las regiones rurales no han visto un crecimiento significativo en los empleos formales. Esta disparidad sugiere menos oportunidades de empleo de calidad para los jóvenes rurales.</w:t>
      </w:r>
    </w:p>
    <w:p w14:paraId="221D6BB1" w14:textId="77777777" w:rsidR="001C227F" w:rsidRDefault="00AD45D2">
      <w:pPr>
        <w:spacing w:before="240" w:after="240"/>
        <w:jc w:val="both"/>
        <w:rPr>
          <w:rFonts w:ascii="Century Gothic" w:eastAsia="Century Gothic" w:hAnsi="Century Gothic" w:cs="Century Gothic"/>
        </w:rPr>
      </w:pPr>
      <w:r>
        <w:rPr>
          <w:rFonts w:ascii="Century Gothic" w:eastAsia="Century Gothic" w:hAnsi="Century Gothic" w:cs="Century Gothic"/>
        </w:rPr>
        <w:t>La situación es especialment</w:t>
      </w:r>
      <w:r>
        <w:rPr>
          <w:rFonts w:ascii="Century Gothic" w:eastAsia="Century Gothic" w:hAnsi="Century Gothic" w:cs="Century Gothic"/>
        </w:rPr>
        <w:t>e desafiante para las mujeres jóvenes en áreas rurales. Los datos muestran que tienen las tasas más altas de no participación en el mercado laboral, sus niveles de empleo disminuyen más significativamente en comparación con las áreas urbanas y enfrentan ma</w:t>
      </w:r>
      <w:r>
        <w:rPr>
          <w:rFonts w:ascii="Century Gothic" w:eastAsia="Century Gothic" w:hAnsi="Century Gothic" w:cs="Century Gothic"/>
        </w:rPr>
        <w:t>yores barreras para acceder al empleo formal. Esta brecha de género en el empleo rural profundiza las desigualdades existentes. Existe además una marcada disparidad en el nivel educativo entre las zonas rurales y urbanas. El documento muestra que las áreas</w:t>
      </w:r>
      <w:r>
        <w:rPr>
          <w:rFonts w:ascii="Century Gothic" w:eastAsia="Century Gothic" w:hAnsi="Century Gothic" w:cs="Century Gothic"/>
        </w:rPr>
        <w:t xml:space="preserve"> rurales tienen proporciones más altas de personas con niveles de educación básica únicamente, lo que limita el acceso de los jóvenes a mejores oportunidades laborales. Esta brecha educativa contribuye a perpetuar el ciclo de desventaja laboral.</w:t>
      </w:r>
    </w:p>
    <w:p w14:paraId="5DB924EA" w14:textId="77777777" w:rsidR="001C227F" w:rsidRDefault="00AD45D2">
      <w:pPr>
        <w:spacing w:before="240" w:after="240"/>
        <w:jc w:val="both"/>
        <w:rPr>
          <w:rFonts w:ascii="Century Gothic" w:eastAsia="Century Gothic" w:hAnsi="Century Gothic" w:cs="Century Gothic"/>
        </w:rPr>
      </w:pPr>
      <w:r>
        <w:rPr>
          <w:rFonts w:ascii="Century Gothic" w:eastAsia="Century Gothic" w:hAnsi="Century Gothic" w:cs="Century Gothic"/>
        </w:rPr>
        <w:t>El documen</w:t>
      </w:r>
      <w:r>
        <w:rPr>
          <w:rFonts w:ascii="Century Gothic" w:eastAsia="Century Gothic" w:hAnsi="Century Gothic" w:cs="Century Gothic"/>
        </w:rPr>
        <w:t xml:space="preserve">to sugiere que estos desafíos en el empleo juvenil rural están impulsando la migración interna hacia las principales ciudades donde existen mejores oportunidades. Esta situación crea un ciclo que reduce aún más las posibilidades de desarrollo </w:t>
      </w:r>
      <w:r>
        <w:rPr>
          <w:rFonts w:ascii="Century Gothic" w:eastAsia="Century Gothic" w:hAnsi="Century Gothic" w:cs="Century Gothic"/>
        </w:rPr>
        <w:lastRenderedPageBreak/>
        <w:t xml:space="preserve">económico en </w:t>
      </w:r>
      <w:r>
        <w:rPr>
          <w:rFonts w:ascii="Century Gothic" w:eastAsia="Century Gothic" w:hAnsi="Century Gothic" w:cs="Century Gothic"/>
        </w:rPr>
        <w:t>las áreas rurales. Se enfatiza la necesidad de políticas específicas para aumentar las oportunidades de empleo formal, mejorar el acceso a educación de calidad, desarrollar estrategias para apoyar la participación laboral de las mujeres rurales y crear inc</w:t>
      </w:r>
      <w:r>
        <w:rPr>
          <w:rFonts w:ascii="Century Gothic" w:eastAsia="Century Gothic" w:hAnsi="Century Gothic" w:cs="Century Gothic"/>
        </w:rPr>
        <w:t>entivos para retener el talento joven en las áreas rurales.</w:t>
      </w:r>
    </w:p>
    <w:p w14:paraId="22CA0704"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Esta problemática se ha asociado a las barreras al acceso a oportunidades de trabajo decente en favor de la juventud. Es por ello que se resalta la importancia del acceso a un trabajo decente y su</w:t>
      </w:r>
      <w:r>
        <w:rPr>
          <w:rFonts w:ascii="Century Gothic" w:eastAsia="Century Gothic" w:hAnsi="Century Gothic" w:cs="Century Gothic"/>
        </w:rPr>
        <w:t xml:space="preserve"> importancia para brindar herramientas a la juventud y puedan lograr alcanzar sus aspiraciones, mejorar sus condiciones de vida y participar activamente en la sociedad y en la estimulación de la economía. El derecho a un trabajo decente y condiciones digna</w:t>
      </w:r>
      <w:r>
        <w:rPr>
          <w:rFonts w:ascii="Century Gothic" w:eastAsia="Century Gothic" w:hAnsi="Century Gothic" w:cs="Century Gothic"/>
        </w:rPr>
        <w:t>s no depende de la edad.</w:t>
      </w:r>
    </w:p>
    <w:p w14:paraId="3B7BEE68" w14:textId="77777777" w:rsidR="001C227F" w:rsidRDefault="001C227F">
      <w:pPr>
        <w:jc w:val="both"/>
        <w:rPr>
          <w:rFonts w:ascii="Century Gothic" w:eastAsia="Century Gothic" w:hAnsi="Century Gothic" w:cs="Century Gothic"/>
        </w:rPr>
      </w:pPr>
    </w:p>
    <w:p w14:paraId="1C75F056" w14:textId="77777777" w:rsidR="001C227F" w:rsidRDefault="00AD45D2">
      <w:pPr>
        <w:jc w:val="both"/>
        <w:rPr>
          <w:rFonts w:ascii="Century Gothic" w:eastAsia="Century Gothic" w:hAnsi="Century Gothic" w:cs="Century Gothic"/>
          <w:b/>
          <w:u w:val="single"/>
        </w:rPr>
      </w:pPr>
      <w:r>
        <w:rPr>
          <w:rFonts w:ascii="Century Gothic" w:eastAsia="Century Gothic" w:hAnsi="Century Gothic" w:cs="Century Gothic"/>
          <w:b/>
          <w:u w:val="single"/>
        </w:rPr>
        <w:t>3.2. El sector público y su trascendencia en el abordaje de estas problemáticas:</w:t>
      </w:r>
    </w:p>
    <w:p w14:paraId="7391E3F0" w14:textId="77777777" w:rsidR="001C227F" w:rsidRDefault="001C227F">
      <w:pPr>
        <w:jc w:val="both"/>
        <w:rPr>
          <w:rFonts w:ascii="Century Gothic" w:eastAsia="Century Gothic" w:hAnsi="Century Gothic" w:cs="Century Gothic"/>
        </w:rPr>
      </w:pPr>
    </w:p>
    <w:p w14:paraId="3EE26014"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 xml:space="preserve">Tal y como lo ha señalado la Organización Internacional del Trabajo – OIT, en las memorias de la Conferencia Internacional del Trabajo No. 93 (2005), la promoción del empleo juvenil en el sector público busca generar lazos más estrechos entre la educación </w:t>
      </w:r>
      <w:r>
        <w:rPr>
          <w:rFonts w:ascii="Century Gothic" w:eastAsia="Century Gothic" w:hAnsi="Century Gothic" w:cs="Century Gothic"/>
        </w:rPr>
        <w:t xml:space="preserve">y el aprendizaje en el lugar de trabajo, además destaca como una buena práctica para mejorar las oportunidades de los jóvenes en el mercado laboral, el desarrollo e implementación de prácticas laborales en el sector público (no solo en las empresas), para </w:t>
      </w:r>
      <w:r>
        <w:rPr>
          <w:rFonts w:ascii="Century Gothic" w:eastAsia="Century Gothic" w:hAnsi="Century Gothic" w:cs="Century Gothic"/>
        </w:rPr>
        <w:t>así consolidar formación profesional y facilitar su transición entre la educación y el trabajo.</w:t>
      </w:r>
    </w:p>
    <w:p w14:paraId="0D8CBCB4" w14:textId="77777777" w:rsidR="001C227F" w:rsidRDefault="001C227F">
      <w:pPr>
        <w:jc w:val="both"/>
        <w:rPr>
          <w:rFonts w:ascii="Century Gothic" w:eastAsia="Century Gothic" w:hAnsi="Century Gothic" w:cs="Century Gothic"/>
        </w:rPr>
      </w:pPr>
    </w:p>
    <w:p w14:paraId="6B300C45"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En Colombia, tal y como se ha sostenido a lo largo del presente escrito, las prácticas laborales en el sector público si bien tienen una regulación parcial o e</w:t>
      </w:r>
      <w:r>
        <w:rPr>
          <w:rFonts w:ascii="Century Gothic" w:eastAsia="Century Gothic" w:hAnsi="Century Gothic" w:cs="Century Gothic"/>
        </w:rPr>
        <w:t>specífica, respecto de las definiciones, tipos de prácticas, posibilidad de establecer convenios, entre otros aspectos; no contamos con una política integral en materia de prácticas laborales al interior de las entidades públicas; pues más allá de la regul</w:t>
      </w:r>
      <w:r>
        <w:rPr>
          <w:rFonts w:ascii="Century Gothic" w:eastAsia="Century Gothic" w:hAnsi="Century Gothic" w:cs="Century Gothic"/>
        </w:rPr>
        <w:t>ación específica del contrato de aprendizaje mediante la Ley 789 de 2002, que, como se profundizará más adelante no resulta vinculante para las entidades públicas; no contamos con lineamiento ni políticas integrales que garanticen el desarrollo de práctica</w:t>
      </w:r>
      <w:r>
        <w:rPr>
          <w:rFonts w:ascii="Century Gothic" w:eastAsia="Century Gothic" w:hAnsi="Century Gothic" w:cs="Century Gothic"/>
        </w:rPr>
        <w:t>s laborales dignas en las entidades públicas y en condiciones de igualdad respecto de las empresas privadas, las empresas industriales y comerciales del estado las de economía mixta, a quienes sí les aplica de manera obligatoria la legislación citada.</w:t>
      </w:r>
    </w:p>
    <w:p w14:paraId="2D53ACD4" w14:textId="77777777" w:rsidR="001C227F" w:rsidRDefault="001C227F">
      <w:pPr>
        <w:jc w:val="both"/>
        <w:rPr>
          <w:rFonts w:ascii="Century Gothic" w:eastAsia="Century Gothic" w:hAnsi="Century Gothic" w:cs="Century Gothic"/>
        </w:rPr>
      </w:pPr>
    </w:p>
    <w:p w14:paraId="7E19FAEF"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 xml:space="preserve">Es </w:t>
      </w:r>
      <w:r>
        <w:rPr>
          <w:rFonts w:ascii="Century Gothic" w:eastAsia="Century Gothic" w:hAnsi="Century Gothic" w:cs="Century Gothic"/>
        </w:rPr>
        <w:t xml:space="preserve">por todo lo expuesto previamente, que resulta necesario promover una regulación que propenda por la expedición de una política pública integral, fijando los lineamientos mínimos que garanticen el adecuado desarrollo de las prácticas y brinden herramientas </w:t>
      </w:r>
      <w:r>
        <w:rPr>
          <w:rFonts w:ascii="Century Gothic" w:eastAsia="Century Gothic" w:hAnsi="Century Gothic" w:cs="Century Gothic"/>
        </w:rPr>
        <w:t xml:space="preserve">para abordar la problemáticas sociales relacionadas con el desempleo, la informalidad </w:t>
      </w:r>
      <w:r>
        <w:rPr>
          <w:rFonts w:ascii="Century Gothic" w:eastAsia="Century Gothic" w:hAnsi="Century Gothic" w:cs="Century Gothic"/>
        </w:rPr>
        <w:lastRenderedPageBreak/>
        <w:t>y las deserción estudiantil asociada a las necesidades económicas de los estudiantes; además de fomentar el desarrollo profesional de las personas que desarrollan práctic</w:t>
      </w:r>
      <w:r>
        <w:rPr>
          <w:rFonts w:ascii="Century Gothic" w:eastAsia="Century Gothic" w:hAnsi="Century Gothic" w:cs="Century Gothic"/>
        </w:rPr>
        <w:t>as laborales al interior de las entidades públicas del país, aportando experiencia y facilitando el tránsito entre la educación y el trabajo.</w:t>
      </w:r>
    </w:p>
    <w:p w14:paraId="45BC8C53" w14:textId="77777777" w:rsidR="001C227F" w:rsidRDefault="001C227F">
      <w:pPr>
        <w:jc w:val="both"/>
        <w:rPr>
          <w:rFonts w:ascii="Century Gothic" w:eastAsia="Century Gothic" w:hAnsi="Century Gothic" w:cs="Century Gothic"/>
        </w:rPr>
      </w:pPr>
    </w:p>
    <w:p w14:paraId="6D601C66" w14:textId="77777777" w:rsidR="001C227F" w:rsidRDefault="001C227F">
      <w:pPr>
        <w:jc w:val="both"/>
        <w:rPr>
          <w:rFonts w:ascii="Century Gothic" w:eastAsia="Century Gothic" w:hAnsi="Century Gothic" w:cs="Century Gothic"/>
          <w:b/>
        </w:rPr>
      </w:pPr>
    </w:p>
    <w:p w14:paraId="1B2E6380" w14:textId="77777777" w:rsidR="001C227F" w:rsidRDefault="001C227F">
      <w:pPr>
        <w:jc w:val="both"/>
        <w:rPr>
          <w:rFonts w:ascii="Century Gothic" w:eastAsia="Century Gothic" w:hAnsi="Century Gothic" w:cs="Century Gothic"/>
          <w:b/>
        </w:rPr>
      </w:pPr>
    </w:p>
    <w:p w14:paraId="5DABF572" w14:textId="77777777" w:rsidR="001C227F" w:rsidRDefault="001C227F">
      <w:pPr>
        <w:jc w:val="both"/>
        <w:rPr>
          <w:rFonts w:ascii="Century Gothic" w:eastAsia="Century Gothic" w:hAnsi="Century Gothic" w:cs="Century Gothic"/>
          <w:b/>
        </w:rPr>
      </w:pPr>
    </w:p>
    <w:p w14:paraId="28F40F5A" w14:textId="77777777" w:rsidR="001C227F" w:rsidRDefault="00AD45D2">
      <w:pPr>
        <w:jc w:val="both"/>
        <w:rPr>
          <w:rFonts w:ascii="Century Gothic" w:eastAsia="Century Gothic" w:hAnsi="Century Gothic" w:cs="Century Gothic"/>
          <w:b/>
          <w:u w:val="single"/>
        </w:rPr>
      </w:pPr>
      <w:r>
        <w:rPr>
          <w:rFonts w:ascii="Century Gothic" w:eastAsia="Century Gothic" w:hAnsi="Century Gothic" w:cs="Century Gothic"/>
          <w:b/>
          <w:u w:val="single"/>
        </w:rPr>
        <w:t>3.3. La ausencia de una regulación integral en materia de prácticas laborales en las entidades públicas del or</w:t>
      </w:r>
      <w:r>
        <w:rPr>
          <w:rFonts w:ascii="Century Gothic" w:eastAsia="Century Gothic" w:hAnsi="Century Gothic" w:cs="Century Gothic"/>
          <w:b/>
          <w:u w:val="single"/>
        </w:rPr>
        <w:t>den central y/o descentralizado del país:</w:t>
      </w:r>
    </w:p>
    <w:p w14:paraId="35FDA99E" w14:textId="77777777" w:rsidR="001C227F" w:rsidRDefault="001C227F">
      <w:pPr>
        <w:jc w:val="both"/>
        <w:rPr>
          <w:rFonts w:ascii="Century Gothic" w:eastAsia="Century Gothic" w:hAnsi="Century Gothic" w:cs="Century Gothic"/>
          <w:b/>
        </w:rPr>
      </w:pPr>
    </w:p>
    <w:p w14:paraId="5F60D588"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La Ley 789 de 2002, a partir de su artículo 30 y siguientes, efectuó la regulación del “contrato de aprendizaje”, modificó su naturaleza contractual y estableció los sujetos obligados a vincular aprendices, además</w:t>
      </w:r>
      <w:r>
        <w:rPr>
          <w:rFonts w:ascii="Century Gothic" w:eastAsia="Century Gothic" w:hAnsi="Century Gothic" w:cs="Century Gothic"/>
        </w:rPr>
        <w:t xml:space="preserve"> de fijar una regulación relativa al desarrollo de las prácticas, las garantías a favor los aprendices, las obligaciones en materia de seguridad social y el establecimiento de un apoyo económico a favor de los aprendices y los lineamientos para la estimaci</w:t>
      </w:r>
      <w:r>
        <w:rPr>
          <w:rFonts w:ascii="Century Gothic" w:eastAsia="Century Gothic" w:hAnsi="Century Gothic" w:cs="Century Gothic"/>
        </w:rPr>
        <w:t>ón y asignación de las respectivas cuotas.</w:t>
      </w:r>
    </w:p>
    <w:p w14:paraId="20ECB905" w14:textId="77777777" w:rsidR="001C227F" w:rsidRDefault="001C227F">
      <w:pPr>
        <w:jc w:val="both"/>
        <w:rPr>
          <w:rFonts w:ascii="Century Gothic" w:eastAsia="Century Gothic" w:hAnsi="Century Gothic" w:cs="Century Gothic"/>
        </w:rPr>
      </w:pPr>
    </w:p>
    <w:p w14:paraId="3482BCE6"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Sin embargo, ley en mención en su artículo 32 restringió su campo de aplicación única y exclusivamente para las empresas de naturaleza privada, las empresas industriales y comerciales del estado y las empresas de</w:t>
      </w:r>
      <w:r>
        <w:rPr>
          <w:rFonts w:ascii="Century Gothic" w:eastAsia="Century Gothic" w:hAnsi="Century Gothic" w:cs="Century Gothic"/>
        </w:rPr>
        <w:t xml:space="preserve"> economía mixta; dejando ausente de regulación u obligatoriedad de aplicación de esta normatividad a las demás entidades de naturaleza pública del orden nacional, departamental, distrital y municipal.</w:t>
      </w:r>
    </w:p>
    <w:p w14:paraId="1695935B" w14:textId="77777777" w:rsidR="001C227F" w:rsidRDefault="001C227F">
      <w:pPr>
        <w:jc w:val="both"/>
        <w:rPr>
          <w:rFonts w:ascii="Century Gothic" w:eastAsia="Century Gothic" w:hAnsi="Century Gothic" w:cs="Century Gothic"/>
        </w:rPr>
      </w:pPr>
    </w:p>
    <w:p w14:paraId="0342CEB2"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Ahora, si bien la legislación no contempla como sujeto</w:t>
      </w:r>
      <w:r>
        <w:rPr>
          <w:rFonts w:ascii="Century Gothic" w:eastAsia="Century Gothic" w:hAnsi="Century Gothic" w:cs="Century Gothic"/>
        </w:rPr>
        <w:t xml:space="preserve"> obligado a la vinculación de aprendices a ciertas entidades públicas, es importante mencionar que dichas entidades están en plena capacidad y viabilidad jurídica de vincular aprendices y someterse a su regulación jurídica integral de manera voluntaria. Si</w:t>
      </w:r>
      <w:r>
        <w:rPr>
          <w:rFonts w:ascii="Century Gothic" w:eastAsia="Century Gothic" w:hAnsi="Century Gothic" w:cs="Century Gothic"/>
        </w:rPr>
        <w:t>n embargo, en el trámite de averiguación y formulación del presente proyecto, logró evidenciarse con total claridad que la cantidad de vinculaciones voluntarias de aprendices y por lo tanto el cumplimiento de su regulación integral y las obligaciones que d</w:t>
      </w:r>
      <w:r>
        <w:rPr>
          <w:rFonts w:ascii="Century Gothic" w:eastAsia="Century Gothic" w:hAnsi="Century Gothic" w:cs="Century Gothic"/>
        </w:rPr>
        <w:t>e allí emanan, resulta ínfima de cara a la vinculación de practicantes, respecto de quienes no existen regulaciones integrales ni obligaciones claras en materia de apoyos económicos de sostenimiento y cotización a seguridad social.</w:t>
      </w:r>
    </w:p>
    <w:p w14:paraId="350044D4" w14:textId="77777777" w:rsidR="001C227F" w:rsidRDefault="001C227F">
      <w:pPr>
        <w:jc w:val="both"/>
        <w:rPr>
          <w:rFonts w:ascii="Century Gothic" w:eastAsia="Century Gothic" w:hAnsi="Century Gothic" w:cs="Century Gothic"/>
        </w:rPr>
      </w:pPr>
    </w:p>
    <w:p w14:paraId="665D3B67"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Además, es importante e</w:t>
      </w:r>
      <w:r>
        <w:rPr>
          <w:rFonts w:ascii="Century Gothic" w:eastAsia="Century Gothic" w:hAnsi="Century Gothic" w:cs="Century Gothic"/>
        </w:rPr>
        <w:t>stablecer, que recientemente estuvo en trámite en el Congreso de la República el Proyecto de Ley No. 166 de 2023 Cámara “</w:t>
      </w:r>
      <w:r>
        <w:rPr>
          <w:rFonts w:ascii="Century Gothic" w:eastAsia="Century Gothic" w:hAnsi="Century Gothic" w:cs="Century Gothic"/>
          <w:i/>
        </w:rPr>
        <w:t>Por medio del cual se adopta una reforma laboral para el trabajo digno y decente</w:t>
      </w:r>
      <w:r>
        <w:rPr>
          <w:rFonts w:ascii="Century Gothic" w:eastAsia="Century Gothic" w:hAnsi="Century Gothic" w:cs="Century Gothic"/>
        </w:rPr>
        <w:t>”, el cual ha contado con la iniciativa y apoyo del Gob</w:t>
      </w:r>
      <w:r>
        <w:rPr>
          <w:rFonts w:ascii="Century Gothic" w:eastAsia="Century Gothic" w:hAnsi="Century Gothic" w:cs="Century Gothic"/>
        </w:rPr>
        <w:t xml:space="preserve">ierno Nacional,  mediante este se busca efectuar </w:t>
      </w:r>
      <w:r>
        <w:rPr>
          <w:rFonts w:ascii="Century Gothic" w:eastAsia="Century Gothic" w:hAnsi="Century Gothic" w:cs="Century Gothic"/>
        </w:rPr>
        <w:lastRenderedPageBreak/>
        <w:t>modificaciones relativas al contrato de aprendizaje, el valor del cuota de sostenimiento de los aprendices, el valor de la monetización de la cuota y la naturaleza contractual de la relación; no existe propu</w:t>
      </w:r>
      <w:r>
        <w:rPr>
          <w:rFonts w:ascii="Century Gothic" w:eastAsia="Century Gothic" w:hAnsi="Century Gothic" w:cs="Century Gothic"/>
        </w:rPr>
        <w:t>esta de modificación alguna respecto de los sujetos obligados a celebrar contrato de aprendizaje, por lo que, continuaría siendo una relación “especial” y/o “laboral” no vinculante ni obligatoria para ciertas entidades de naturaleza pública del país; refle</w:t>
      </w:r>
      <w:r>
        <w:rPr>
          <w:rFonts w:ascii="Century Gothic" w:eastAsia="Century Gothic" w:hAnsi="Century Gothic" w:cs="Century Gothic"/>
        </w:rPr>
        <w:t>jando nuevamente la necesidad de expedir una regulación clara y específica que brinde los lineamiento mínimos para el desarrollo de una política pública de dignificación de las prácticas laborales en las entidades de naturaleza pública.</w:t>
      </w:r>
    </w:p>
    <w:p w14:paraId="21BCCCB7" w14:textId="77777777" w:rsidR="001C227F" w:rsidRDefault="001C227F">
      <w:pPr>
        <w:jc w:val="both"/>
        <w:rPr>
          <w:rFonts w:ascii="Century Gothic" w:eastAsia="Century Gothic" w:hAnsi="Century Gothic" w:cs="Century Gothic"/>
        </w:rPr>
      </w:pPr>
    </w:p>
    <w:p w14:paraId="63064A57"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 xml:space="preserve">Finalmente, en el </w:t>
      </w:r>
      <w:r>
        <w:rPr>
          <w:rFonts w:ascii="Century Gothic" w:eastAsia="Century Gothic" w:hAnsi="Century Gothic" w:cs="Century Gothic"/>
        </w:rPr>
        <w:t>desarrollo del presente proyecto, se logró evidenciar de manera clara que, al interior de la totalidad de entidades públicas consultadas, a lo largo del territorio nacional, la estadística de vinculación de aprendices y practicantes tiene múltiples dificul</w:t>
      </w:r>
      <w:r>
        <w:rPr>
          <w:rFonts w:ascii="Century Gothic" w:eastAsia="Century Gothic" w:hAnsi="Century Gothic" w:cs="Century Gothic"/>
        </w:rPr>
        <w:t xml:space="preserve">tades en su aplicación práctica: </w:t>
      </w:r>
    </w:p>
    <w:p w14:paraId="035EDED9" w14:textId="77777777" w:rsidR="001C227F" w:rsidRDefault="001C227F">
      <w:pPr>
        <w:jc w:val="both"/>
        <w:rPr>
          <w:rFonts w:ascii="Century Gothic" w:eastAsia="Century Gothic" w:hAnsi="Century Gothic" w:cs="Century Gothic"/>
        </w:rPr>
      </w:pPr>
    </w:p>
    <w:p w14:paraId="6997EC3E" w14:textId="77777777" w:rsidR="001C227F" w:rsidRDefault="00AD45D2">
      <w:pPr>
        <w:jc w:val="both"/>
        <w:rPr>
          <w:rFonts w:ascii="Century Gothic" w:eastAsia="Century Gothic" w:hAnsi="Century Gothic" w:cs="Century Gothic"/>
          <w:b/>
          <w:u w:val="single"/>
        </w:rPr>
      </w:pPr>
      <w:r>
        <w:rPr>
          <w:rFonts w:ascii="Century Gothic" w:eastAsia="Century Gothic" w:hAnsi="Century Gothic" w:cs="Century Gothic"/>
          <w:b/>
          <w:u w:val="single"/>
        </w:rPr>
        <w:t>3.4. La Incorporación de los Jóvenes a la Carrera Administrativa en Colombia, es una necesidad para el Fortalecimiento del Estado.</w:t>
      </w:r>
    </w:p>
    <w:p w14:paraId="044EF652" w14:textId="77777777" w:rsidR="001C227F" w:rsidRDefault="00AD45D2">
      <w:pPr>
        <w:spacing w:before="240" w:after="240"/>
        <w:jc w:val="both"/>
        <w:rPr>
          <w:rFonts w:ascii="Century Gothic" w:eastAsia="Century Gothic" w:hAnsi="Century Gothic" w:cs="Century Gothic"/>
        </w:rPr>
      </w:pPr>
      <w:r>
        <w:rPr>
          <w:rFonts w:ascii="Century Gothic" w:eastAsia="Century Gothic" w:hAnsi="Century Gothic" w:cs="Century Gothic"/>
        </w:rPr>
        <w:t>La participación de los jóvenes en la carrera administrativa representa un eje fundamental</w:t>
      </w:r>
      <w:r>
        <w:rPr>
          <w:rFonts w:ascii="Century Gothic" w:eastAsia="Century Gothic" w:hAnsi="Century Gothic" w:cs="Century Gothic"/>
        </w:rPr>
        <w:t xml:space="preserve"> para la modernización y fortalecimiento del Estado colombiano. En un país donde los desafíos sociales, económicos y tecnológicos requieren una administración pública dinámica y eficiente, la incorporación de las nuevas generaciones se convierte en una est</w:t>
      </w:r>
      <w:r>
        <w:rPr>
          <w:rFonts w:ascii="Century Gothic" w:eastAsia="Century Gothic" w:hAnsi="Century Gothic" w:cs="Century Gothic"/>
        </w:rPr>
        <w:t>rategia clave. Este ensayo aborda la importancia de integrar a los jóvenes al servicio público, analizando tanto el contexto laboral juvenil como los beneficios que su presencia aporta a la gestión pública, respaldado por datos oficiales y marcos normativo</w:t>
      </w:r>
      <w:r>
        <w:rPr>
          <w:rFonts w:ascii="Century Gothic" w:eastAsia="Century Gothic" w:hAnsi="Century Gothic" w:cs="Century Gothic"/>
        </w:rPr>
        <w:t>s.</w:t>
      </w:r>
    </w:p>
    <w:p w14:paraId="644C5B90" w14:textId="77777777" w:rsidR="001C227F" w:rsidRDefault="00AD45D2">
      <w:pPr>
        <w:spacing w:before="240" w:after="240"/>
        <w:jc w:val="both"/>
        <w:rPr>
          <w:rFonts w:ascii="Century Gothic" w:eastAsia="Century Gothic" w:hAnsi="Century Gothic" w:cs="Century Gothic"/>
        </w:rPr>
      </w:pPr>
      <w:r>
        <w:rPr>
          <w:rFonts w:ascii="Century Gothic" w:eastAsia="Century Gothic" w:hAnsi="Century Gothic" w:cs="Century Gothic"/>
        </w:rPr>
        <w:t>En Colombia, la carrera administrativa está diseñada para garantizar el acceso al empleo público bajo principios de mérito, igualdad y transparencia, tal como lo establece la Ley 909 de 2004. En este contexto, los jóvenes constituyen un recurso humano i</w:t>
      </w:r>
      <w:r>
        <w:rPr>
          <w:rFonts w:ascii="Century Gothic" w:eastAsia="Century Gothic" w:hAnsi="Century Gothic" w:cs="Century Gothic"/>
        </w:rPr>
        <w:t>nvaluable, no solo por su potencial productivo, sino por la capacidad de impulsar procesos de innovación, transformación digital y compromiso social dentro de las instituciones.</w:t>
      </w:r>
    </w:p>
    <w:p w14:paraId="606190DB" w14:textId="77777777" w:rsidR="001C227F" w:rsidRDefault="00AD45D2">
      <w:pPr>
        <w:spacing w:before="240" w:after="240"/>
        <w:jc w:val="both"/>
        <w:rPr>
          <w:rFonts w:ascii="Century Gothic" w:eastAsia="Century Gothic" w:hAnsi="Century Gothic" w:cs="Century Gothic"/>
        </w:rPr>
      </w:pPr>
      <w:r>
        <w:rPr>
          <w:rFonts w:ascii="Century Gothic" w:eastAsia="Century Gothic" w:hAnsi="Century Gothic" w:cs="Century Gothic"/>
        </w:rPr>
        <w:t>De acuerdo con la Función Pública (2023), al cierre de 2022 fueron contratados</w:t>
      </w:r>
      <w:r>
        <w:rPr>
          <w:rFonts w:ascii="Century Gothic" w:eastAsia="Century Gothic" w:hAnsi="Century Gothic" w:cs="Century Gothic"/>
        </w:rPr>
        <w:t xml:space="preserve"> o vinculados 69.652 jóvenes entre 18 y 28 años en entidades públicas, lo que representó un incremento del 38,5% respecto al año anterior. Este aumento refleja los esfuerzos del Estado por abrir espacios a la juventud, pero también evidencia el creciente i</w:t>
      </w:r>
      <w:r>
        <w:rPr>
          <w:rFonts w:ascii="Century Gothic" w:eastAsia="Century Gothic" w:hAnsi="Century Gothic" w:cs="Century Gothic"/>
        </w:rPr>
        <w:t>nterés de esta población en participar en la gestión pública.</w:t>
      </w:r>
    </w:p>
    <w:p w14:paraId="19FF10D4" w14:textId="77777777" w:rsidR="001C227F" w:rsidRDefault="00AD45D2">
      <w:pPr>
        <w:spacing w:before="240" w:after="240"/>
        <w:jc w:val="both"/>
        <w:rPr>
          <w:rFonts w:ascii="Century Gothic" w:eastAsia="Century Gothic" w:hAnsi="Century Gothic" w:cs="Century Gothic"/>
        </w:rPr>
      </w:pPr>
      <w:r>
        <w:rPr>
          <w:rFonts w:ascii="Century Gothic" w:eastAsia="Century Gothic" w:hAnsi="Century Gothic" w:cs="Century Gothic"/>
        </w:rPr>
        <w:lastRenderedPageBreak/>
        <w:t>Asimismo, la Comisión Nacional del Servicio Civil (CNSC) reportó que más de 500.000 jóvenes se han registrado para participar en procesos de selección en los últimos años (CNSC, 2023). Esta cifr</w:t>
      </w:r>
      <w:r>
        <w:rPr>
          <w:rFonts w:ascii="Century Gothic" w:eastAsia="Century Gothic" w:hAnsi="Century Gothic" w:cs="Century Gothic"/>
        </w:rPr>
        <w:t>a es un indicativo claro del compromiso juvenil con la construcción de un servicio público basado en la meritocracia y la transparencia.</w:t>
      </w:r>
    </w:p>
    <w:p w14:paraId="693564BD" w14:textId="77777777" w:rsidR="001C227F" w:rsidRDefault="00AD45D2">
      <w:pPr>
        <w:spacing w:before="240" w:after="240"/>
        <w:jc w:val="both"/>
        <w:rPr>
          <w:rFonts w:ascii="Century Gothic" w:eastAsia="Century Gothic" w:hAnsi="Century Gothic" w:cs="Century Gothic"/>
        </w:rPr>
      </w:pPr>
      <w:r>
        <w:rPr>
          <w:rFonts w:ascii="Century Gothic" w:eastAsia="Century Gothic" w:hAnsi="Century Gothic" w:cs="Century Gothic"/>
        </w:rPr>
        <w:t>No obstante, este panorama alentador coexiste con una realidad preocupante: la tasa de desempleo juvenil en Colombia alcanzó el 16% en 2023, superando ampliamente la media nacional (Infobae, 2024). Además, cerca de 2,48 millones de jóvenes se encuentran en</w:t>
      </w:r>
      <w:r>
        <w:rPr>
          <w:rFonts w:ascii="Century Gothic" w:eastAsia="Century Gothic" w:hAnsi="Century Gothic" w:cs="Century Gothic"/>
        </w:rPr>
        <w:t xml:space="preserve"> situación de inactividad, es decir, no estudian ni trabajan. Esta situación convierte a la carrera administrativa en una alternativa estratégica para ofrecer empleo digno y estable a esta población vulnerable.</w:t>
      </w:r>
    </w:p>
    <w:p w14:paraId="40668AB1" w14:textId="77777777" w:rsidR="001C227F" w:rsidRDefault="00AD45D2">
      <w:pPr>
        <w:spacing w:before="240" w:after="240"/>
        <w:jc w:val="both"/>
        <w:rPr>
          <w:rFonts w:ascii="Century Gothic" w:eastAsia="Century Gothic" w:hAnsi="Century Gothic" w:cs="Century Gothic"/>
        </w:rPr>
      </w:pPr>
      <w:r>
        <w:rPr>
          <w:rFonts w:ascii="Century Gothic" w:eastAsia="Century Gothic" w:hAnsi="Century Gothic" w:cs="Century Gothic"/>
        </w:rPr>
        <w:t>La incorporación de jóvenes al servicio públi</w:t>
      </w:r>
      <w:r>
        <w:rPr>
          <w:rFonts w:ascii="Century Gothic" w:eastAsia="Century Gothic" w:hAnsi="Century Gothic" w:cs="Century Gothic"/>
        </w:rPr>
        <w:t>co no solo atiende a una necesidad laboral, sino que también aporta beneficios sustanciales al Estado. Los jóvenes traen consigo una visión renovadora, habilidades digitales avanzadas y una fuerte orientación hacia valores como la sostenibilidad, la inclus</w:t>
      </w:r>
      <w:r>
        <w:rPr>
          <w:rFonts w:ascii="Century Gothic" w:eastAsia="Century Gothic" w:hAnsi="Century Gothic" w:cs="Century Gothic"/>
        </w:rPr>
        <w:t>ión y la participación ciudadana. Estos elementos son esenciales para que las instituciones públicas puedan responder de manera efectiva a los desafíos del siglo XXI.</w:t>
      </w:r>
    </w:p>
    <w:p w14:paraId="38E36E96" w14:textId="77777777" w:rsidR="001C227F" w:rsidRDefault="00AD45D2">
      <w:pPr>
        <w:spacing w:before="240" w:after="240"/>
        <w:jc w:val="both"/>
        <w:rPr>
          <w:rFonts w:ascii="Century Gothic" w:eastAsia="Century Gothic" w:hAnsi="Century Gothic" w:cs="Century Gothic"/>
          <w:sz w:val="24"/>
          <w:szCs w:val="24"/>
        </w:rPr>
      </w:pPr>
      <w:r>
        <w:rPr>
          <w:rFonts w:ascii="Century Gothic" w:eastAsia="Century Gothic" w:hAnsi="Century Gothic" w:cs="Century Gothic"/>
        </w:rPr>
        <w:t>Por otra parte, la carrera administrativa ofrece a los jóvenes una ruta clara de desarrol</w:t>
      </w:r>
      <w:r>
        <w:rPr>
          <w:rFonts w:ascii="Century Gothic" w:eastAsia="Century Gothic" w:hAnsi="Century Gothic" w:cs="Century Gothic"/>
        </w:rPr>
        <w:t>lo profesional, bajo un sistema que promueve la capacitación continua y la estabilidad laboral. Este modelo contribuye a la construcción de una administración pública ética, eficiente y comprometida con el bienestar colectivo.</w:t>
      </w:r>
    </w:p>
    <w:p w14:paraId="08163282" w14:textId="77777777" w:rsidR="001C227F" w:rsidRDefault="00AD45D2">
      <w:pPr>
        <w:spacing w:before="240" w:after="240"/>
        <w:jc w:val="both"/>
        <w:rPr>
          <w:rFonts w:ascii="Century Gothic" w:eastAsia="Century Gothic" w:hAnsi="Century Gothic" w:cs="Century Gothic"/>
        </w:rPr>
      </w:pPr>
      <w:r>
        <w:rPr>
          <w:rFonts w:ascii="Century Gothic" w:eastAsia="Century Gothic" w:hAnsi="Century Gothic" w:cs="Century Gothic"/>
        </w:rPr>
        <w:t>La incorporación de los jóven</w:t>
      </w:r>
      <w:r>
        <w:rPr>
          <w:rFonts w:ascii="Century Gothic" w:eastAsia="Century Gothic" w:hAnsi="Century Gothic" w:cs="Century Gothic"/>
        </w:rPr>
        <w:t xml:space="preserve">es a la carrera administrativa en Colombia es más que una política de empleo; es una inversión en el futuro del país y en la transformación de sus instituciones. Fomentar la participación juvenil en el servicio público fortalece la democracia, promueve la </w:t>
      </w:r>
      <w:r>
        <w:rPr>
          <w:rFonts w:ascii="Century Gothic" w:eastAsia="Century Gothic" w:hAnsi="Century Gothic" w:cs="Century Gothic"/>
        </w:rPr>
        <w:t>innovación y asegura la sostenibilidad de la gestión estatal. Es imperativo que el Estado continúe desarrollando mecanismos que faciliten el acceso de los jóvenes al empleo público, garantizando así que su talento y compromiso se traduzcan en un mejor serv</w:t>
      </w:r>
      <w:r>
        <w:rPr>
          <w:rFonts w:ascii="Century Gothic" w:eastAsia="Century Gothic" w:hAnsi="Century Gothic" w:cs="Century Gothic"/>
        </w:rPr>
        <w:t>icio para toda la ciudadanía.</w:t>
      </w:r>
    </w:p>
    <w:p w14:paraId="569C59AD" w14:textId="77777777" w:rsidR="001C227F" w:rsidRDefault="00AD45D2">
      <w:pPr>
        <w:jc w:val="both"/>
        <w:rPr>
          <w:rFonts w:ascii="Century Gothic" w:eastAsia="Century Gothic" w:hAnsi="Century Gothic" w:cs="Century Gothic"/>
          <w:b/>
          <w:u w:val="single"/>
        </w:rPr>
      </w:pPr>
      <w:r>
        <w:rPr>
          <w:rFonts w:ascii="Century Gothic" w:eastAsia="Century Gothic" w:hAnsi="Century Gothic" w:cs="Century Gothic"/>
          <w:b/>
          <w:u w:val="single"/>
        </w:rPr>
        <w:t xml:space="preserve">Implementación gradual de la Ley 2043 de 2020. </w:t>
      </w:r>
    </w:p>
    <w:p w14:paraId="47292162" w14:textId="77777777" w:rsidR="001C227F" w:rsidRDefault="001C227F">
      <w:pPr>
        <w:jc w:val="both"/>
        <w:rPr>
          <w:rFonts w:ascii="Century Gothic" w:eastAsia="Century Gothic" w:hAnsi="Century Gothic" w:cs="Century Gothic"/>
          <w:b/>
        </w:rPr>
      </w:pPr>
    </w:p>
    <w:p w14:paraId="0FF276C9"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Tal como fue señalado en el acápite de antecedente, la Ley 2043 de 2020 contempló que las entidades públicas, de manera progresiva podrán incluir dentro de sus gastos de funcion</w:t>
      </w:r>
      <w:r>
        <w:rPr>
          <w:rFonts w:ascii="Century Gothic" w:eastAsia="Century Gothic" w:hAnsi="Century Gothic" w:cs="Century Gothic"/>
        </w:rPr>
        <w:t>amiento un rubro para el reconocimiento de un subsidio mensual de transporte y alimentación para los estudiantes que hagan sus prácticas.</w:t>
      </w:r>
    </w:p>
    <w:p w14:paraId="63C3A9C0" w14:textId="77777777" w:rsidR="001C227F" w:rsidRDefault="001C227F">
      <w:pPr>
        <w:jc w:val="both"/>
        <w:rPr>
          <w:rFonts w:ascii="Century Gothic" w:eastAsia="Century Gothic" w:hAnsi="Century Gothic" w:cs="Century Gothic"/>
        </w:rPr>
      </w:pPr>
    </w:p>
    <w:p w14:paraId="64541572"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lastRenderedPageBreak/>
        <w:t>Según respuesta a derecho de petición del Ministerio del Trabajo del 12 de diciembre de 2024, la entidad hace referen</w:t>
      </w:r>
      <w:r>
        <w:rPr>
          <w:rFonts w:ascii="Century Gothic" w:eastAsia="Century Gothic" w:hAnsi="Century Gothic" w:cs="Century Gothic"/>
        </w:rPr>
        <w:t>cia a la totalidad de aprendices y practicantes que han sido reportados en la plataforma Pila entre 2021 a 2024:</w:t>
      </w:r>
    </w:p>
    <w:p w14:paraId="08C7A96F" w14:textId="77777777" w:rsidR="001C227F" w:rsidRDefault="001C227F">
      <w:pPr>
        <w:jc w:val="both"/>
        <w:rPr>
          <w:rFonts w:ascii="Century Gothic" w:eastAsia="Century Gothic" w:hAnsi="Century Gothic" w:cs="Century Gothic"/>
        </w:rPr>
      </w:pPr>
    </w:p>
    <w:p w14:paraId="6EBBB3D4" w14:textId="77777777" w:rsidR="001C227F" w:rsidRDefault="00AD45D2">
      <w:pPr>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Fuente: </w:t>
      </w:r>
      <w:r>
        <w:rPr>
          <w:rFonts w:ascii="Century Gothic" w:eastAsia="Century Gothic" w:hAnsi="Century Gothic" w:cs="Century Gothic"/>
          <w:sz w:val="20"/>
          <w:szCs w:val="20"/>
        </w:rPr>
        <w:t>Respuesta a Derecho de Petición del Ministerio del Trabajo.</w:t>
      </w:r>
      <w:r>
        <w:rPr>
          <w:noProof/>
        </w:rPr>
        <w:drawing>
          <wp:anchor distT="114300" distB="114300" distL="114300" distR="114300" simplePos="0" relativeHeight="251671552" behindDoc="0" locked="0" layoutInCell="1" hidden="0" allowOverlap="1" wp14:anchorId="4491BC64" wp14:editId="25F52C0F">
            <wp:simplePos x="0" y="0"/>
            <wp:positionH relativeFrom="column">
              <wp:posOffset>114300</wp:posOffset>
            </wp:positionH>
            <wp:positionV relativeFrom="paragraph">
              <wp:posOffset>114300</wp:posOffset>
            </wp:positionV>
            <wp:extent cx="5448300" cy="3122800"/>
            <wp:effectExtent l="0" t="0" r="0" b="0"/>
            <wp:wrapTopAndBottom distT="114300" distB="114300"/>
            <wp:docPr id="420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8"/>
                    <a:srcRect/>
                    <a:stretch>
                      <a:fillRect/>
                    </a:stretch>
                  </pic:blipFill>
                  <pic:spPr>
                    <a:xfrm>
                      <a:off x="0" y="0"/>
                      <a:ext cx="5448300" cy="3122800"/>
                    </a:xfrm>
                    <a:prstGeom prst="rect">
                      <a:avLst/>
                    </a:prstGeom>
                    <a:ln/>
                  </pic:spPr>
                </pic:pic>
              </a:graphicData>
            </a:graphic>
          </wp:anchor>
        </w:drawing>
      </w:r>
    </w:p>
    <w:p w14:paraId="31EEC82C" w14:textId="77777777" w:rsidR="001C227F" w:rsidRDefault="001C227F">
      <w:pPr>
        <w:jc w:val="both"/>
        <w:rPr>
          <w:rFonts w:ascii="Century Gothic" w:eastAsia="Century Gothic" w:hAnsi="Century Gothic" w:cs="Century Gothic"/>
        </w:rPr>
      </w:pPr>
    </w:p>
    <w:p w14:paraId="30821913"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Partiendo de esta base y con la finalidad de realizar una revisión exhaustiva de los practicantes en el país, se hizo requerimientos de información a todas las entidades del nivel nacional, la totalidad de gobernaciones del país y una importante suma de mu</w:t>
      </w:r>
      <w:r>
        <w:rPr>
          <w:rFonts w:ascii="Century Gothic" w:eastAsia="Century Gothic" w:hAnsi="Century Gothic" w:cs="Century Gothic"/>
        </w:rPr>
        <w:t xml:space="preserve">nicipios de Colombia. </w:t>
      </w:r>
    </w:p>
    <w:p w14:paraId="0A08C69F" w14:textId="77777777" w:rsidR="001C227F" w:rsidRDefault="001C227F">
      <w:pPr>
        <w:jc w:val="both"/>
        <w:rPr>
          <w:rFonts w:ascii="Century Gothic" w:eastAsia="Century Gothic" w:hAnsi="Century Gothic" w:cs="Century Gothic"/>
        </w:rPr>
      </w:pPr>
    </w:p>
    <w:p w14:paraId="0DB877A3"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 xml:space="preserve">A partir de la respuesta de entidades y del consolidado de Estado Joven, se sacó un total de 96.777 practicantes distribuidos en 665 entidades de todo el país (189 del orden nacional y 476 a nivel territorial), podemos apreciar los </w:t>
      </w:r>
      <w:r>
        <w:rPr>
          <w:rFonts w:ascii="Century Gothic" w:eastAsia="Century Gothic" w:hAnsi="Century Gothic" w:cs="Century Gothic"/>
        </w:rPr>
        <w:t>siguientes resultados de la presente investigación:</w:t>
      </w:r>
    </w:p>
    <w:p w14:paraId="78D272B1" w14:textId="77777777" w:rsidR="001C227F" w:rsidRDefault="001C227F">
      <w:pPr>
        <w:jc w:val="both"/>
        <w:rPr>
          <w:rFonts w:ascii="Century Gothic" w:eastAsia="Century Gothic" w:hAnsi="Century Gothic" w:cs="Century Gothic"/>
        </w:rPr>
      </w:pPr>
    </w:p>
    <w:p w14:paraId="3C86DF45" w14:textId="77777777" w:rsidR="001C227F" w:rsidRDefault="00AD45D2">
      <w:pPr>
        <w:numPr>
          <w:ilvl w:val="0"/>
          <w:numId w:val="1"/>
        </w:numPr>
        <w:jc w:val="both"/>
        <w:rPr>
          <w:rFonts w:ascii="Century Gothic" w:eastAsia="Century Gothic" w:hAnsi="Century Gothic" w:cs="Century Gothic"/>
        </w:rPr>
      </w:pPr>
      <w:r>
        <w:rPr>
          <w:rFonts w:ascii="Century Gothic" w:eastAsia="Century Gothic" w:hAnsi="Century Gothic" w:cs="Century Gothic"/>
        </w:rPr>
        <w:t xml:space="preserve">En primer lugar, se pudo analizar entre 2021 y 2024 un total de 96.777 practicantes en las diferentes entidades del nivel nacional y el nivel territorial, dando como resultado que las principales formas </w:t>
      </w:r>
      <w:r>
        <w:rPr>
          <w:rFonts w:ascii="Century Gothic" w:eastAsia="Century Gothic" w:hAnsi="Century Gothic" w:cs="Century Gothic"/>
        </w:rPr>
        <w:t xml:space="preserve">de vinculación fueron la práctica propiamente dicha y la relación de docencia en el sector salud, de la siguiente forma: </w:t>
      </w:r>
    </w:p>
    <w:p w14:paraId="1D30345C" w14:textId="77777777" w:rsidR="001C227F" w:rsidRDefault="001C227F">
      <w:pPr>
        <w:ind w:left="720"/>
        <w:jc w:val="both"/>
        <w:rPr>
          <w:rFonts w:ascii="Century Gothic" w:eastAsia="Century Gothic" w:hAnsi="Century Gothic" w:cs="Century Gothic"/>
        </w:rPr>
      </w:pPr>
    </w:p>
    <w:p w14:paraId="5D555C2D" w14:textId="77777777" w:rsidR="001C227F" w:rsidRDefault="00AD45D2">
      <w:pPr>
        <w:ind w:left="720"/>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lastRenderedPageBreak/>
        <w:t xml:space="preserve">Fuente: </w:t>
      </w:r>
      <w:r>
        <w:rPr>
          <w:rFonts w:ascii="Century Gothic" w:eastAsia="Century Gothic" w:hAnsi="Century Gothic" w:cs="Century Gothic"/>
          <w:sz w:val="20"/>
          <w:szCs w:val="20"/>
        </w:rPr>
        <w:t>Elaboración propia.</w:t>
      </w:r>
      <w:r>
        <w:rPr>
          <w:noProof/>
        </w:rPr>
        <w:drawing>
          <wp:anchor distT="0" distB="0" distL="114300" distR="114300" simplePos="0" relativeHeight="251672576" behindDoc="0" locked="0" layoutInCell="1" hidden="0" allowOverlap="1" wp14:anchorId="49A80C39" wp14:editId="4EE9B934">
            <wp:simplePos x="0" y="0"/>
            <wp:positionH relativeFrom="column">
              <wp:posOffset>-57148</wp:posOffset>
            </wp:positionH>
            <wp:positionV relativeFrom="paragraph">
              <wp:posOffset>38100</wp:posOffset>
            </wp:positionV>
            <wp:extent cx="6137275" cy="2933700"/>
            <wp:effectExtent l="38100" t="38100" r="38100" b="38100"/>
            <wp:wrapSquare wrapText="bothSides" distT="0" distB="0" distL="114300" distR="114300"/>
            <wp:docPr id="418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9"/>
                    <a:srcRect/>
                    <a:stretch>
                      <a:fillRect/>
                    </a:stretch>
                  </pic:blipFill>
                  <pic:spPr>
                    <a:xfrm>
                      <a:off x="0" y="0"/>
                      <a:ext cx="6137275" cy="2933700"/>
                    </a:xfrm>
                    <a:prstGeom prst="rect">
                      <a:avLst/>
                    </a:prstGeom>
                    <a:ln w="38100">
                      <a:solidFill>
                        <a:srgbClr val="000000"/>
                      </a:solidFill>
                      <a:prstDash val="solid"/>
                    </a:ln>
                  </pic:spPr>
                </pic:pic>
              </a:graphicData>
            </a:graphic>
          </wp:anchor>
        </w:drawing>
      </w:r>
    </w:p>
    <w:p w14:paraId="2EBE1160" w14:textId="77777777" w:rsidR="001C227F" w:rsidRDefault="001C227F">
      <w:pPr>
        <w:jc w:val="both"/>
        <w:rPr>
          <w:rFonts w:ascii="Century Gothic" w:eastAsia="Century Gothic" w:hAnsi="Century Gothic" w:cs="Century Gothic"/>
        </w:rPr>
      </w:pPr>
    </w:p>
    <w:p w14:paraId="4CAD6059" w14:textId="77777777" w:rsidR="001C227F" w:rsidRDefault="00AD45D2">
      <w:pPr>
        <w:ind w:left="720"/>
        <w:jc w:val="both"/>
        <w:rPr>
          <w:rFonts w:ascii="Century Gothic" w:eastAsia="Century Gothic" w:hAnsi="Century Gothic" w:cs="Century Gothic"/>
        </w:rPr>
      </w:pPr>
      <w:r>
        <w:rPr>
          <w:rFonts w:ascii="Century Gothic" w:eastAsia="Century Gothic" w:hAnsi="Century Gothic" w:cs="Century Gothic"/>
        </w:rPr>
        <w:t>De este resultado, es importante resaltar que únicamente 5.627 (5,81%) de estos practicantes fueron vin</w:t>
      </w:r>
      <w:r>
        <w:rPr>
          <w:rFonts w:ascii="Century Gothic" w:eastAsia="Century Gothic" w:hAnsi="Century Gothic" w:cs="Century Gothic"/>
        </w:rPr>
        <w:t>culados a través del programa de Estado Joven.</w:t>
      </w:r>
    </w:p>
    <w:p w14:paraId="32561352" w14:textId="77777777" w:rsidR="001C227F" w:rsidRDefault="00AD45D2">
      <w:pPr>
        <w:numPr>
          <w:ilvl w:val="0"/>
          <w:numId w:val="1"/>
        </w:numPr>
        <w:jc w:val="both"/>
        <w:rPr>
          <w:rFonts w:ascii="Century Gothic" w:eastAsia="Century Gothic" w:hAnsi="Century Gothic" w:cs="Century Gothic"/>
        </w:rPr>
      </w:pPr>
      <w:r>
        <w:rPr>
          <w:rFonts w:ascii="Century Gothic" w:eastAsia="Century Gothic" w:hAnsi="Century Gothic" w:cs="Century Gothic"/>
        </w:rPr>
        <w:t xml:space="preserve">Adicionalmente a lo anterior, también se realizó un análisis de la vinculación de los practicantes especificando si reciben algún tipo de apoyo de sostenimiento y para quienes no. De esta manera, se denota lo </w:t>
      </w:r>
      <w:r>
        <w:rPr>
          <w:rFonts w:ascii="Century Gothic" w:eastAsia="Century Gothic" w:hAnsi="Century Gothic" w:cs="Century Gothic"/>
        </w:rPr>
        <w:t xml:space="preserve">siguiente: </w:t>
      </w:r>
    </w:p>
    <w:p w14:paraId="2B2FF43A" w14:textId="77777777" w:rsidR="001C227F" w:rsidRDefault="00AD45D2">
      <w:pPr>
        <w:ind w:left="720"/>
        <w:jc w:val="both"/>
        <w:rPr>
          <w:rFonts w:ascii="Century Gothic" w:eastAsia="Century Gothic" w:hAnsi="Century Gothic" w:cs="Century Gothic"/>
        </w:rPr>
      </w:pPr>
      <w:r>
        <w:rPr>
          <w:noProof/>
        </w:rPr>
        <w:drawing>
          <wp:anchor distT="0" distB="0" distL="114300" distR="114300" simplePos="0" relativeHeight="251673600" behindDoc="0" locked="0" layoutInCell="1" hidden="0" allowOverlap="1" wp14:anchorId="7772D934" wp14:editId="0C038D84">
            <wp:simplePos x="0" y="0"/>
            <wp:positionH relativeFrom="column">
              <wp:posOffset>85092</wp:posOffset>
            </wp:positionH>
            <wp:positionV relativeFrom="paragraph">
              <wp:posOffset>212090</wp:posOffset>
            </wp:positionV>
            <wp:extent cx="5886450" cy="2695575"/>
            <wp:effectExtent l="38100" t="38100" r="38100" b="38100"/>
            <wp:wrapSquare wrapText="bothSides" distT="0" distB="0" distL="114300" distR="114300"/>
            <wp:docPr id="4218"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0"/>
                    <a:srcRect/>
                    <a:stretch>
                      <a:fillRect/>
                    </a:stretch>
                  </pic:blipFill>
                  <pic:spPr>
                    <a:xfrm>
                      <a:off x="0" y="0"/>
                      <a:ext cx="5886450" cy="2695575"/>
                    </a:xfrm>
                    <a:prstGeom prst="rect">
                      <a:avLst/>
                    </a:prstGeom>
                    <a:ln w="38100">
                      <a:solidFill>
                        <a:srgbClr val="000000"/>
                      </a:solidFill>
                      <a:prstDash val="solid"/>
                    </a:ln>
                  </pic:spPr>
                </pic:pic>
              </a:graphicData>
            </a:graphic>
          </wp:anchor>
        </w:drawing>
      </w:r>
    </w:p>
    <w:p w14:paraId="69B91AD4" w14:textId="77777777" w:rsidR="001C227F" w:rsidRDefault="00AD45D2">
      <w:pPr>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Fuente: </w:t>
      </w:r>
      <w:r>
        <w:rPr>
          <w:rFonts w:ascii="Century Gothic" w:eastAsia="Century Gothic" w:hAnsi="Century Gothic" w:cs="Century Gothic"/>
          <w:sz w:val="20"/>
          <w:szCs w:val="20"/>
        </w:rPr>
        <w:t>Elaboración propia.</w:t>
      </w:r>
    </w:p>
    <w:p w14:paraId="7D4714F9" w14:textId="77777777" w:rsidR="001C227F" w:rsidRDefault="001C227F">
      <w:pPr>
        <w:jc w:val="center"/>
        <w:rPr>
          <w:rFonts w:ascii="Century Gothic" w:eastAsia="Century Gothic" w:hAnsi="Century Gothic" w:cs="Century Gothic"/>
        </w:rPr>
      </w:pPr>
    </w:p>
    <w:p w14:paraId="2AFC8C1E"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noProof/>
        </w:rPr>
        <w:lastRenderedPageBreak/>
        <w:drawing>
          <wp:inline distT="114300" distB="114300" distL="114300" distR="114300" wp14:anchorId="7F58AA89" wp14:editId="079342B5">
            <wp:extent cx="5943600" cy="2540000"/>
            <wp:effectExtent l="38100" t="38100" r="38100" b="38100"/>
            <wp:docPr id="4209"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1"/>
                    <a:srcRect/>
                    <a:stretch>
                      <a:fillRect/>
                    </a:stretch>
                  </pic:blipFill>
                  <pic:spPr>
                    <a:xfrm>
                      <a:off x="0" y="0"/>
                      <a:ext cx="5943600" cy="2540000"/>
                    </a:xfrm>
                    <a:prstGeom prst="rect">
                      <a:avLst/>
                    </a:prstGeom>
                    <a:ln w="38100">
                      <a:solidFill>
                        <a:srgbClr val="000000"/>
                      </a:solidFill>
                      <a:prstDash val="solid"/>
                    </a:ln>
                  </pic:spPr>
                </pic:pic>
              </a:graphicData>
            </a:graphic>
          </wp:inline>
        </w:drawing>
      </w:r>
    </w:p>
    <w:p w14:paraId="359837E3" w14:textId="77777777" w:rsidR="001C227F" w:rsidRDefault="00AD45D2">
      <w:pPr>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Fuente: </w:t>
      </w:r>
      <w:r>
        <w:rPr>
          <w:rFonts w:ascii="Century Gothic" w:eastAsia="Century Gothic" w:hAnsi="Century Gothic" w:cs="Century Gothic"/>
          <w:sz w:val="20"/>
          <w:szCs w:val="20"/>
        </w:rPr>
        <w:t>Elaboración propia.</w:t>
      </w:r>
    </w:p>
    <w:p w14:paraId="2BA4C2E7" w14:textId="77777777" w:rsidR="001C227F" w:rsidRDefault="001C227F">
      <w:pPr>
        <w:ind w:left="720"/>
        <w:jc w:val="both"/>
        <w:rPr>
          <w:rFonts w:ascii="Century Gothic" w:eastAsia="Century Gothic" w:hAnsi="Century Gothic" w:cs="Century Gothic"/>
        </w:rPr>
      </w:pPr>
    </w:p>
    <w:p w14:paraId="6AD5DDAD" w14:textId="77777777" w:rsidR="001C227F" w:rsidRDefault="00AD45D2">
      <w:pPr>
        <w:ind w:left="720"/>
        <w:jc w:val="both"/>
        <w:rPr>
          <w:rFonts w:ascii="Century Gothic" w:eastAsia="Century Gothic" w:hAnsi="Century Gothic" w:cs="Century Gothic"/>
        </w:rPr>
      </w:pPr>
      <w:r>
        <w:rPr>
          <w:rFonts w:ascii="Century Gothic" w:eastAsia="Century Gothic" w:hAnsi="Century Gothic" w:cs="Century Gothic"/>
        </w:rPr>
        <w:t xml:space="preserve">A partir de estos datos se puede señalar lo siguiente: (i) durante el año 2021, se vincularon un total de 19.670 practicantes en las diferentes modalidades, de los cuales un total de 11.952 no recibieron ningún tipo de apoyo de sostenimiento (60,76%) y un </w:t>
      </w:r>
      <w:r>
        <w:rPr>
          <w:rFonts w:ascii="Century Gothic" w:eastAsia="Century Gothic" w:hAnsi="Century Gothic" w:cs="Century Gothic"/>
        </w:rPr>
        <w:t>total de 7.726 sí recibieron un apoyo de sostenimiento (39,27%); (</w:t>
      </w:r>
      <w:proofErr w:type="spellStart"/>
      <w:r>
        <w:rPr>
          <w:rFonts w:ascii="Century Gothic" w:eastAsia="Century Gothic" w:hAnsi="Century Gothic" w:cs="Century Gothic"/>
        </w:rPr>
        <w:t>ii</w:t>
      </w:r>
      <w:proofErr w:type="spellEnd"/>
      <w:r>
        <w:rPr>
          <w:rFonts w:ascii="Century Gothic" w:eastAsia="Century Gothic" w:hAnsi="Century Gothic" w:cs="Century Gothic"/>
        </w:rPr>
        <w:t>) durante el año 2022, se vincularon un total de 25.005 practicantes en las diferentes modalidades, de los cuales un total de 16.216 no recibieron ningún tipo de apoyo de sostenimiento (64</w:t>
      </w:r>
      <w:r>
        <w:rPr>
          <w:rFonts w:ascii="Century Gothic" w:eastAsia="Century Gothic" w:hAnsi="Century Gothic" w:cs="Century Gothic"/>
        </w:rPr>
        <w:t>,85%) y un total de 8.789 sí recibieron un apoyo de sostenimiento (35,15%); (</w:t>
      </w:r>
      <w:proofErr w:type="spellStart"/>
      <w:r>
        <w:rPr>
          <w:rFonts w:ascii="Century Gothic" w:eastAsia="Century Gothic" w:hAnsi="Century Gothic" w:cs="Century Gothic"/>
        </w:rPr>
        <w:t>iii</w:t>
      </w:r>
      <w:proofErr w:type="spellEnd"/>
      <w:r>
        <w:rPr>
          <w:rFonts w:ascii="Century Gothic" w:eastAsia="Century Gothic" w:hAnsi="Century Gothic" w:cs="Century Gothic"/>
        </w:rPr>
        <w:t>) durante el año 2023, se vincularon un total de 25.583 practicantes, de los cuales un total de 17.115 no recibieron ningún tipo de apoyo de sostenimiento (66,9%) y un total de</w:t>
      </w:r>
      <w:r>
        <w:rPr>
          <w:rFonts w:ascii="Century Gothic" w:eastAsia="Century Gothic" w:hAnsi="Century Gothic" w:cs="Century Gothic"/>
        </w:rPr>
        <w:t xml:space="preserve"> 8.468 sí recibieron un apoyo de sostenimiento (33,1%); y, (</w:t>
      </w:r>
      <w:proofErr w:type="spellStart"/>
      <w:r>
        <w:rPr>
          <w:rFonts w:ascii="Century Gothic" w:eastAsia="Century Gothic" w:hAnsi="Century Gothic" w:cs="Century Gothic"/>
        </w:rPr>
        <w:t>iv</w:t>
      </w:r>
      <w:proofErr w:type="spellEnd"/>
      <w:r>
        <w:rPr>
          <w:rFonts w:ascii="Century Gothic" w:eastAsia="Century Gothic" w:hAnsi="Century Gothic" w:cs="Century Gothic"/>
        </w:rPr>
        <w:t>) durante el año 2024, se vincularon un total de 26.519 practicantes, de los cuales un total de 19.977 no recibieron ningún tipo de apoyo de sostenimiento (75,33%) y un total de 6.542 sí recibie</w:t>
      </w:r>
      <w:r>
        <w:rPr>
          <w:rFonts w:ascii="Century Gothic" w:eastAsia="Century Gothic" w:hAnsi="Century Gothic" w:cs="Century Gothic"/>
        </w:rPr>
        <w:t>ron un apoyo de sostenimiento (24,66%).</w:t>
      </w:r>
    </w:p>
    <w:p w14:paraId="29A613CF" w14:textId="77777777" w:rsidR="001C227F" w:rsidRDefault="001C227F">
      <w:pPr>
        <w:ind w:left="720"/>
        <w:jc w:val="both"/>
        <w:rPr>
          <w:rFonts w:ascii="Century Gothic" w:eastAsia="Century Gothic" w:hAnsi="Century Gothic" w:cs="Century Gothic"/>
        </w:rPr>
      </w:pPr>
    </w:p>
    <w:p w14:paraId="6352BDA5" w14:textId="77777777" w:rsidR="001C227F" w:rsidRDefault="00AD45D2">
      <w:pPr>
        <w:ind w:left="720"/>
        <w:jc w:val="both"/>
        <w:rPr>
          <w:rFonts w:ascii="Century Gothic" w:eastAsia="Century Gothic" w:hAnsi="Century Gothic" w:cs="Century Gothic"/>
        </w:rPr>
      </w:pPr>
      <w:r>
        <w:rPr>
          <w:rFonts w:ascii="Century Gothic" w:eastAsia="Century Gothic" w:hAnsi="Century Gothic" w:cs="Century Gothic"/>
        </w:rPr>
        <w:t xml:space="preserve">De forma agregada, se tendría que entre 2021-2024 del total de 96.777 practicantes se tendría que 65.252 no recibieron ningún tipo de apoyo de </w:t>
      </w:r>
      <w:r>
        <w:rPr>
          <w:rFonts w:ascii="Century Gothic" w:eastAsia="Century Gothic" w:hAnsi="Century Gothic" w:cs="Century Gothic"/>
        </w:rPr>
        <w:lastRenderedPageBreak/>
        <w:t xml:space="preserve">sostenimiento (67,42%) y un total de 31.525 sí recibieron algún tipo de </w:t>
      </w:r>
      <w:r>
        <w:rPr>
          <w:rFonts w:ascii="Century Gothic" w:eastAsia="Century Gothic" w:hAnsi="Century Gothic" w:cs="Century Gothic"/>
        </w:rPr>
        <w:t>apoyo de sostenimiento (32.57%).</w:t>
      </w:r>
      <w:r>
        <w:rPr>
          <w:noProof/>
        </w:rPr>
        <w:drawing>
          <wp:anchor distT="114300" distB="114300" distL="114300" distR="114300" simplePos="0" relativeHeight="251674624" behindDoc="0" locked="0" layoutInCell="1" hidden="0" allowOverlap="1" wp14:anchorId="3772D3D3" wp14:editId="4B3516B9">
            <wp:simplePos x="0" y="0"/>
            <wp:positionH relativeFrom="column">
              <wp:posOffset>190500</wp:posOffset>
            </wp:positionH>
            <wp:positionV relativeFrom="paragraph">
              <wp:posOffset>1028700</wp:posOffset>
            </wp:positionV>
            <wp:extent cx="5524183" cy="2343593"/>
            <wp:effectExtent l="38100" t="38100" r="38100" b="38100"/>
            <wp:wrapTopAndBottom distT="114300" distB="114300"/>
            <wp:docPr id="417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2"/>
                    <a:srcRect/>
                    <a:stretch>
                      <a:fillRect/>
                    </a:stretch>
                  </pic:blipFill>
                  <pic:spPr>
                    <a:xfrm>
                      <a:off x="0" y="0"/>
                      <a:ext cx="5524183" cy="2343593"/>
                    </a:xfrm>
                    <a:prstGeom prst="rect">
                      <a:avLst/>
                    </a:prstGeom>
                    <a:ln w="38100">
                      <a:solidFill>
                        <a:srgbClr val="000000"/>
                      </a:solidFill>
                      <a:prstDash val="solid"/>
                    </a:ln>
                  </pic:spPr>
                </pic:pic>
              </a:graphicData>
            </a:graphic>
          </wp:anchor>
        </w:drawing>
      </w:r>
    </w:p>
    <w:p w14:paraId="78424DC9" w14:textId="77777777" w:rsidR="001C227F" w:rsidRDefault="00AD45D2">
      <w:pPr>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Fuente: </w:t>
      </w:r>
      <w:r>
        <w:rPr>
          <w:rFonts w:ascii="Century Gothic" w:eastAsia="Century Gothic" w:hAnsi="Century Gothic" w:cs="Century Gothic"/>
          <w:sz w:val="20"/>
          <w:szCs w:val="20"/>
        </w:rPr>
        <w:t>Elaboración propia.</w:t>
      </w:r>
    </w:p>
    <w:p w14:paraId="22AF18F9" w14:textId="77777777" w:rsidR="001C227F" w:rsidRDefault="001C227F">
      <w:pPr>
        <w:ind w:left="720"/>
        <w:jc w:val="both"/>
        <w:rPr>
          <w:rFonts w:ascii="Century Gothic" w:eastAsia="Century Gothic" w:hAnsi="Century Gothic" w:cs="Century Gothic"/>
        </w:rPr>
      </w:pPr>
    </w:p>
    <w:p w14:paraId="325DD329" w14:textId="77777777" w:rsidR="001C227F" w:rsidRDefault="00AD45D2">
      <w:pPr>
        <w:numPr>
          <w:ilvl w:val="0"/>
          <w:numId w:val="1"/>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Esta situación se agudiza al revisar que del poco porcentaje que tiene apoyo económico, cuántos de estos practicantes tienen una remuneración igual o superior al salario mínimo mensual legal vi</w:t>
      </w:r>
      <w:r>
        <w:rPr>
          <w:rFonts w:ascii="Century Gothic" w:eastAsia="Century Gothic" w:hAnsi="Century Gothic" w:cs="Century Gothic"/>
          <w:color w:val="000000"/>
        </w:rPr>
        <w:t>gente. En este sentido, de los 31.525 practicantes que recibieron apoyos económicos entre 2021-2024, un total de 15.857 tuvieron ingresos inferiores al salario mínimo (50,3%) y un total de 15.668 se les paga el salario mínimo o superior (49,7%).</w:t>
      </w:r>
    </w:p>
    <w:p w14:paraId="547AA967" w14:textId="77777777" w:rsidR="001C227F" w:rsidRDefault="00AD45D2">
      <w:pPr>
        <w:pBdr>
          <w:top w:val="nil"/>
          <w:left w:val="nil"/>
          <w:bottom w:val="nil"/>
          <w:right w:val="nil"/>
          <w:between w:val="nil"/>
        </w:pBdr>
        <w:spacing w:after="160"/>
        <w:ind w:left="720"/>
        <w:jc w:val="both"/>
        <w:rPr>
          <w:rFonts w:ascii="Century Gothic" w:eastAsia="Century Gothic" w:hAnsi="Century Gothic" w:cs="Century Gothic"/>
          <w:color w:val="000000"/>
        </w:rPr>
      </w:pPr>
      <w:r>
        <w:rPr>
          <w:noProof/>
        </w:rPr>
        <w:drawing>
          <wp:anchor distT="0" distB="0" distL="114300" distR="114300" simplePos="0" relativeHeight="251675648" behindDoc="0" locked="0" layoutInCell="1" hidden="0" allowOverlap="1" wp14:anchorId="4EB5A593" wp14:editId="299DE799">
            <wp:simplePos x="0" y="0"/>
            <wp:positionH relativeFrom="column">
              <wp:posOffset>-719452</wp:posOffset>
            </wp:positionH>
            <wp:positionV relativeFrom="paragraph">
              <wp:posOffset>209550</wp:posOffset>
            </wp:positionV>
            <wp:extent cx="7332523" cy="1496290"/>
            <wp:effectExtent l="38100" t="38100" r="38100" b="38100"/>
            <wp:wrapTopAndBottom distT="0" distB="0"/>
            <wp:docPr id="4207"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3"/>
                    <a:srcRect/>
                    <a:stretch>
                      <a:fillRect/>
                    </a:stretch>
                  </pic:blipFill>
                  <pic:spPr>
                    <a:xfrm>
                      <a:off x="0" y="0"/>
                      <a:ext cx="7332523" cy="1496290"/>
                    </a:xfrm>
                    <a:prstGeom prst="rect">
                      <a:avLst/>
                    </a:prstGeom>
                    <a:ln w="38100">
                      <a:solidFill>
                        <a:srgbClr val="000000"/>
                      </a:solidFill>
                      <a:prstDash val="solid"/>
                    </a:ln>
                  </pic:spPr>
                </pic:pic>
              </a:graphicData>
            </a:graphic>
          </wp:anchor>
        </w:drawing>
      </w:r>
    </w:p>
    <w:p w14:paraId="00C1C8A3" w14:textId="77777777" w:rsidR="001C227F" w:rsidRDefault="00AD45D2">
      <w:pPr>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 Fuente:</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Elaboración del Observatorio Fiscal de la Universidad Javeriana.</w:t>
      </w:r>
    </w:p>
    <w:p w14:paraId="253ABE21" w14:textId="77777777" w:rsidR="001C227F" w:rsidRDefault="001C227F">
      <w:pPr>
        <w:jc w:val="both"/>
        <w:rPr>
          <w:rFonts w:ascii="Century Gothic" w:eastAsia="Century Gothic" w:hAnsi="Century Gothic" w:cs="Century Gothic"/>
        </w:rPr>
      </w:pPr>
    </w:p>
    <w:p w14:paraId="599CB235" w14:textId="77777777" w:rsidR="001C227F" w:rsidRDefault="00AD45D2">
      <w:pPr>
        <w:numPr>
          <w:ilvl w:val="0"/>
          <w:numId w:val="1"/>
        </w:numPr>
        <w:pBdr>
          <w:top w:val="nil"/>
          <w:left w:val="nil"/>
          <w:bottom w:val="nil"/>
          <w:right w:val="nil"/>
          <w:between w:val="nil"/>
        </w:pBdr>
        <w:spacing w:after="16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Esta situación, de por sí diciente, es especialmente preocupante respecto de la relación con los contratos de aprendizaje. Esto por cuanto la Ley 2043 de 2020 ya prevé que los contratos de aprendizaje tengan un nivel de remuneración, tal como lo contempla </w:t>
      </w:r>
      <w:r>
        <w:rPr>
          <w:rFonts w:ascii="Century Gothic" w:eastAsia="Century Gothic" w:hAnsi="Century Gothic" w:cs="Century Gothic"/>
          <w:color w:val="000000"/>
        </w:rPr>
        <w:t xml:space="preserve">la Ley 789 de 2002. </w:t>
      </w:r>
    </w:p>
    <w:p w14:paraId="6B6D85C3" w14:textId="77777777" w:rsidR="001C227F" w:rsidRDefault="001C227F">
      <w:pPr>
        <w:ind w:left="720"/>
        <w:jc w:val="both"/>
        <w:rPr>
          <w:rFonts w:ascii="Century Gothic" w:eastAsia="Century Gothic" w:hAnsi="Century Gothic" w:cs="Century Gothic"/>
        </w:rPr>
      </w:pPr>
    </w:p>
    <w:p w14:paraId="63B17E94" w14:textId="77777777" w:rsidR="001C227F" w:rsidRDefault="00AD45D2">
      <w:pPr>
        <w:ind w:left="720"/>
        <w:jc w:val="both"/>
        <w:rPr>
          <w:rFonts w:ascii="Century Gothic" w:eastAsia="Century Gothic" w:hAnsi="Century Gothic" w:cs="Century Gothic"/>
        </w:rPr>
      </w:pPr>
      <w:r>
        <w:rPr>
          <w:rFonts w:ascii="Century Gothic" w:eastAsia="Century Gothic" w:hAnsi="Century Gothic" w:cs="Century Gothic"/>
        </w:rPr>
        <w:t>Por ende, si se excluyen los contratos de aprendizaje de este análisis, la situación se vuelve más dramática, pues: (i) durante el año 2021, sería un total de 14.852 practicantes, de los cuales 11.943 (80,42%) no recibieron ningún tip</w:t>
      </w:r>
      <w:r>
        <w:rPr>
          <w:rFonts w:ascii="Century Gothic" w:eastAsia="Century Gothic" w:hAnsi="Century Gothic" w:cs="Century Gothic"/>
        </w:rPr>
        <w:t>o de apoyo de sostenimiento y un total de 2.909 (19,58% sí recibieron un apoyo de sostenimiento; (</w:t>
      </w:r>
      <w:proofErr w:type="spellStart"/>
      <w:r>
        <w:rPr>
          <w:rFonts w:ascii="Century Gothic" w:eastAsia="Century Gothic" w:hAnsi="Century Gothic" w:cs="Century Gothic"/>
        </w:rPr>
        <w:t>ii</w:t>
      </w:r>
      <w:proofErr w:type="spellEnd"/>
      <w:r>
        <w:rPr>
          <w:rFonts w:ascii="Century Gothic" w:eastAsia="Century Gothic" w:hAnsi="Century Gothic" w:cs="Century Gothic"/>
        </w:rPr>
        <w:t>) durante el año 2022, sería un total de 20.452 practicantes, de los cuales 16.213 (79,27%) no recibieron ningún tipo de apoyo de sostenimiento y un total d</w:t>
      </w:r>
      <w:r>
        <w:rPr>
          <w:rFonts w:ascii="Century Gothic" w:eastAsia="Century Gothic" w:hAnsi="Century Gothic" w:cs="Century Gothic"/>
        </w:rPr>
        <w:t>e 4.239 (20,73%) sí recibieron un apoyo de sostenimiento; (</w:t>
      </w:r>
      <w:proofErr w:type="spellStart"/>
      <w:r>
        <w:rPr>
          <w:rFonts w:ascii="Century Gothic" w:eastAsia="Century Gothic" w:hAnsi="Century Gothic" w:cs="Century Gothic"/>
        </w:rPr>
        <w:t>iii</w:t>
      </w:r>
      <w:proofErr w:type="spellEnd"/>
      <w:r>
        <w:rPr>
          <w:rFonts w:ascii="Century Gothic" w:eastAsia="Century Gothic" w:hAnsi="Century Gothic" w:cs="Century Gothic"/>
        </w:rPr>
        <w:t>) durante el año 2023, sería un total de 21.393 practicantes, de los cuales un total de 17.099 (79,93%) no recibieron ningún tipo de apoyo de sostenimiento y un total de 4.294 (20,07%); y, duran</w:t>
      </w:r>
      <w:r>
        <w:rPr>
          <w:rFonts w:ascii="Century Gothic" w:eastAsia="Century Gothic" w:hAnsi="Century Gothic" w:cs="Century Gothic"/>
        </w:rPr>
        <w:t>te el año 2024, sería un total de 22.008 practicantes, de los cuales un total de 19.967 no recibieron ningún tipo de apoyo de sostenimiento (90,73%) y un total de 2.041 sí recibieron un apoyo de sostenimiento (9,27%).</w:t>
      </w:r>
    </w:p>
    <w:p w14:paraId="2B51CD9B" w14:textId="77777777" w:rsidR="001C227F" w:rsidRDefault="001C227F">
      <w:pPr>
        <w:jc w:val="both"/>
        <w:rPr>
          <w:rFonts w:ascii="Century Gothic" w:eastAsia="Century Gothic" w:hAnsi="Century Gothic" w:cs="Century Gothic"/>
        </w:rPr>
      </w:pPr>
    </w:p>
    <w:p w14:paraId="7C4984FA" w14:textId="77777777" w:rsidR="001C227F" w:rsidRDefault="00AD45D2">
      <w:pPr>
        <w:ind w:left="720"/>
        <w:jc w:val="both"/>
        <w:rPr>
          <w:rFonts w:ascii="Century Gothic" w:eastAsia="Century Gothic" w:hAnsi="Century Gothic" w:cs="Century Gothic"/>
        </w:rPr>
      </w:pPr>
      <w:r>
        <w:rPr>
          <w:rFonts w:ascii="Century Gothic" w:eastAsia="Century Gothic" w:hAnsi="Century Gothic" w:cs="Century Gothic"/>
        </w:rPr>
        <w:t>En este sentido, de forma agrupada da</w:t>
      </w:r>
      <w:r>
        <w:rPr>
          <w:rFonts w:ascii="Century Gothic" w:eastAsia="Century Gothic" w:hAnsi="Century Gothic" w:cs="Century Gothic"/>
        </w:rPr>
        <w:t>ría un total de 78.705 practicantes, sin contar los contratos de aprendizaje, de los cuales un total 65.224 no recibieron ningún tipo de apoyo de sostenimiento (82,87%) y un total de 13.481 sí recibieron un apoyo de sostenimiento (17,13%).</w:t>
      </w:r>
    </w:p>
    <w:p w14:paraId="2B7F6A93" w14:textId="77777777" w:rsidR="001C227F" w:rsidRDefault="00AD45D2">
      <w:pPr>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Fuente: </w:t>
      </w:r>
      <w:r>
        <w:rPr>
          <w:rFonts w:ascii="Century Gothic" w:eastAsia="Century Gothic" w:hAnsi="Century Gothic" w:cs="Century Gothic"/>
          <w:sz w:val="20"/>
          <w:szCs w:val="20"/>
        </w:rPr>
        <w:t>Elaboración propia.</w:t>
      </w:r>
      <w:r>
        <w:rPr>
          <w:noProof/>
        </w:rPr>
        <w:drawing>
          <wp:anchor distT="0" distB="0" distL="114300" distR="114300" simplePos="0" relativeHeight="251676672" behindDoc="0" locked="0" layoutInCell="1" hidden="0" allowOverlap="1" wp14:anchorId="29CAA157" wp14:editId="5D9C4864">
            <wp:simplePos x="0" y="0"/>
            <wp:positionH relativeFrom="column">
              <wp:posOffset>3</wp:posOffset>
            </wp:positionH>
            <wp:positionV relativeFrom="paragraph">
              <wp:posOffset>146050</wp:posOffset>
            </wp:positionV>
            <wp:extent cx="6008090" cy="2905125"/>
            <wp:effectExtent l="38100" t="38100" r="38100" b="38100"/>
            <wp:wrapSquare wrapText="bothSides" distT="0" distB="0" distL="114300" distR="114300"/>
            <wp:docPr id="415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6008090" cy="2905125"/>
                    </a:xfrm>
                    <a:prstGeom prst="rect">
                      <a:avLst/>
                    </a:prstGeom>
                    <a:ln w="38100">
                      <a:solidFill>
                        <a:srgbClr val="000000"/>
                      </a:solidFill>
                      <a:prstDash val="solid"/>
                    </a:ln>
                  </pic:spPr>
                </pic:pic>
              </a:graphicData>
            </a:graphic>
          </wp:anchor>
        </w:drawing>
      </w:r>
    </w:p>
    <w:p w14:paraId="522857B4" w14:textId="77777777" w:rsidR="001C227F" w:rsidRDefault="001C227F">
      <w:pPr>
        <w:ind w:left="720"/>
        <w:jc w:val="both"/>
        <w:rPr>
          <w:rFonts w:ascii="Century Gothic" w:eastAsia="Century Gothic" w:hAnsi="Century Gothic" w:cs="Century Gothic"/>
        </w:rPr>
      </w:pPr>
    </w:p>
    <w:p w14:paraId="70B9671C" w14:textId="77777777" w:rsidR="001C227F" w:rsidRDefault="001C227F">
      <w:pPr>
        <w:ind w:left="720"/>
        <w:jc w:val="both"/>
        <w:rPr>
          <w:rFonts w:ascii="Century Gothic" w:eastAsia="Century Gothic" w:hAnsi="Century Gothic" w:cs="Century Gothic"/>
        </w:rPr>
      </w:pPr>
    </w:p>
    <w:p w14:paraId="13B58B65" w14:textId="77777777" w:rsidR="001C227F" w:rsidRDefault="00AD45D2">
      <w:pPr>
        <w:jc w:val="both"/>
        <w:rPr>
          <w:rFonts w:ascii="Century Gothic" w:eastAsia="Century Gothic" w:hAnsi="Century Gothic" w:cs="Century Gothic"/>
          <w:b/>
        </w:rPr>
      </w:pPr>
      <w:r>
        <w:rPr>
          <w:rFonts w:ascii="Century Gothic" w:eastAsia="Century Gothic" w:hAnsi="Century Gothic" w:cs="Century Gothic"/>
          <w:b/>
        </w:rPr>
        <w:t>4. IMPACTO FISCAL</w:t>
      </w:r>
    </w:p>
    <w:p w14:paraId="36B15CA9" w14:textId="77777777" w:rsidR="001C227F" w:rsidRDefault="001C227F">
      <w:pPr>
        <w:jc w:val="both"/>
        <w:rPr>
          <w:rFonts w:ascii="Century Gothic" w:eastAsia="Century Gothic" w:hAnsi="Century Gothic" w:cs="Century Gothic"/>
          <w:b/>
        </w:rPr>
      </w:pPr>
    </w:p>
    <w:p w14:paraId="4D3C975C"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lastRenderedPageBreak/>
        <w:t>La Ley 819 de 2003 “Por la cual se dictan normas orgánicas en materia de presupuesto, responsabilidad y transparencia fiscal y se dictan otras disposiciones”, establece, en su artículo 7 que “</w:t>
      </w:r>
      <w:r>
        <w:rPr>
          <w:rFonts w:ascii="Century Gothic" w:eastAsia="Century Gothic" w:hAnsi="Century Gothic" w:cs="Century Gothic"/>
          <w:i/>
        </w:rPr>
        <w:t>el impacto fiscal de c</w:t>
      </w:r>
      <w:r>
        <w:rPr>
          <w:rFonts w:ascii="Century Gothic" w:eastAsia="Century Gothic" w:hAnsi="Century Gothic" w:cs="Century Gothic"/>
          <w:i/>
        </w:rPr>
        <w:t>ualquier proyecto de ley, ordenanza o acuerdo, que ordene gasto o que otorgue beneficios tributarios, deberá hacerse explícito y deberá ser compatible con el Marco Fiscal de Mediano Plazo. Para estos propósitos, deberá incluirse expresamente en la exposici</w:t>
      </w:r>
      <w:r>
        <w:rPr>
          <w:rFonts w:ascii="Century Gothic" w:eastAsia="Century Gothic" w:hAnsi="Century Gothic" w:cs="Century Gothic"/>
          <w:i/>
        </w:rPr>
        <w:t>ón de motivos y en las ponencias de trámite respectivas los costos fiscales de la iniciativa y la fuente de ingreso adicional generada para el financiamiento de dicho costo</w:t>
      </w:r>
      <w:r>
        <w:rPr>
          <w:rFonts w:ascii="Century Gothic" w:eastAsia="Century Gothic" w:hAnsi="Century Gothic" w:cs="Century Gothic"/>
        </w:rPr>
        <w:t>”. De conformidad con lo previsto en dicha disposición, en lo que sigue esta sección</w:t>
      </w:r>
      <w:r>
        <w:rPr>
          <w:rFonts w:ascii="Century Gothic" w:eastAsia="Century Gothic" w:hAnsi="Century Gothic" w:cs="Century Gothic"/>
        </w:rPr>
        <w:t xml:space="preserve"> presentará el posible impacto fiscal y la fuente de financiación de la iniciativa.</w:t>
      </w:r>
    </w:p>
    <w:p w14:paraId="288787B4" w14:textId="77777777" w:rsidR="001C227F" w:rsidRDefault="001C227F">
      <w:pPr>
        <w:jc w:val="both"/>
        <w:rPr>
          <w:rFonts w:ascii="Century Gothic" w:eastAsia="Century Gothic" w:hAnsi="Century Gothic" w:cs="Century Gothic"/>
        </w:rPr>
      </w:pPr>
    </w:p>
    <w:p w14:paraId="726DD1B7"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 xml:space="preserve">Del análisis realizado por el </w:t>
      </w:r>
      <w:r>
        <w:rPr>
          <w:rFonts w:ascii="Century Gothic" w:eastAsia="Century Gothic" w:hAnsi="Century Gothic" w:cs="Century Gothic"/>
          <w:b/>
        </w:rPr>
        <w:t>Observatorio Fiscal de la Universidad Javeriana</w:t>
      </w:r>
      <w:r>
        <w:rPr>
          <w:rFonts w:ascii="Century Gothic" w:eastAsia="Century Gothic" w:hAnsi="Century Gothic" w:cs="Century Gothic"/>
        </w:rPr>
        <w:t xml:space="preserve">, se contempla la siguiente estimación fiscal de la iniciativa: </w:t>
      </w:r>
    </w:p>
    <w:p w14:paraId="7A1344B3" w14:textId="77777777" w:rsidR="001C227F" w:rsidRDefault="001C227F">
      <w:pPr>
        <w:jc w:val="both"/>
        <w:rPr>
          <w:rFonts w:ascii="Century Gothic" w:eastAsia="Century Gothic" w:hAnsi="Century Gothic" w:cs="Century Gothic"/>
        </w:rPr>
      </w:pPr>
    </w:p>
    <w:p w14:paraId="503F8488" w14:textId="77777777" w:rsidR="001C227F" w:rsidRDefault="00AD45D2">
      <w:pPr>
        <w:numPr>
          <w:ilvl w:val="0"/>
          <w:numId w:val="3"/>
        </w:numPr>
        <w:jc w:val="both"/>
        <w:rPr>
          <w:rFonts w:ascii="Century Gothic" w:eastAsia="Century Gothic" w:hAnsi="Century Gothic" w:cs="Century Gothic"/>
        </w:rPr>
      </w:pPr>
      <w:r>
        <w:rPr>
          <w:rFonts w:ascii="Century Gothic" w:eastAsia="Century Gothic" w:hAnsi="Century Gothic" w:cs="Century Gothic"/>
        </w:rPr>
        <w:t xml:space="preserve">En primer lugar, se tuvo en </w:t>
      </w:r>
      <w:r>
        <w:rPr>
          <w:rFonts w:ascii="Century Gothic" w:eastAsia="Century Gothic" w:hAnsi="Century Gothic" w:cs="Century Gothic"/>
        </w:rPr>
        <w:t xml:space="preserve">consideración la información relacionada de 96.777 practicantes en el sector público de las entidades que reportaron respuestas de peticiones. </w:t>
      </w:r>
    </w:p>
    <w:p w14:paraId="2FCC38D6" w14:textId="77777777" w:rsidR="001C227F" w:rsidRDefault="001C227F">
      <w:pPr>
        <w:ind w:left="720"/>
        <w:jc w:val="both"/>
        <w:rPr>
          <w:rFonts w:ascii="Century Gothic" w:eastAsia="Century Gothic" w:hAnsi="Century Gothic" w:cs="Century Gothic"/>
        </w:rPr>
      </w:pPr>
    </w:p>
    <w:p w14:paraId="48AD4501" w14:textId="77777777" w:rsidR="001C227F" w:rsidRDefault="00AD45D2">
      <w:pPr>
        <w:numPr>
          <w:ilvl w:val="0"/>
          <w:numId w:val="3"/>
        </w:numPr>
        <w:jc w:val="both"/>
        <w:rPr>
          <w:rFonts w:ascii="Century Gothic" w:eastAsia="Century Gothic" w:hAnsi="Century Gothic" w:cs="Century Gothic"/>
        </w:rPr>
      </w:pPr>
      <w:r>
        <w:rPr>
          <w:rFonts w:ascii="Century Gothic" w:eastAsia="Century Gothic" w:hAnsi="Century Gothic" w:cs="Century Gothic"/>
        </w:rPr>
        <w:t>En segundo lugar, a partir de estos datos se analizó por cada practicante, cuál porcentaje le faltaba para obte</w:t>
      </w:r>
      <w:r>
        <w:rPr>
          <w:rFonts w:ascii="Century Gothic" w:eastAsia="Century Gothic" w:hAnsi="Century Gothic" w:cs="Century Gothic"/>
        </w:rPr>
        <w:t xml:space="preserve">ner como mínimo el salario mínimo. A partir de ello, se extrajo lo siguiente: </w:t>
      </w:r>
    </w:p>
    <w:p w14:paraId="3A3D1A58" w14:textId="77777777" w:rsidR="001C227F" w:rsidRDefault="00AD45D2">
      <w:pPr>
        <w:ind w:left="360"/>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Fuente: </w:t>
      </w:r>
      <w:r>
        <w:rPr>
          <w:rFonts w:ascii="Century Gothic" w:eastAsia="Century Gothic" w:hAnsi="Century Gothic" w:cs="Century Gothic"/>
          <w:sz w:val="20"/>
          <w:szCs w:val="20"/>
        </w:rPr>
        <w:t>Elaboración del Observatorio Fiscal de la Universidad Javeriana.</w:t>
      </w:r>
      <w:r>
        <w:rPr>
          <w:noProof/>
        </w:rPr>
        <w:drawing>
          <wp:anchor distT="114300" distB="114300" distL="114300" distR="114300" simplePos="0" relativeHeight="251677696" behindDoc="0" locked="0" layoutInCell="1" hidden="0" allowOverlap="1" wp14:anchorId="4F921099" wp14:editId="3193A97B">
            <wp:simplePos x="0" y="0"/>
            <wp:positionH relativeFrom="column">
              <wp:posOffset>-614362</wp:posOffset>
            </wp:positionH>
            <wp:positionV relativeFrom="paragraph">
              <wp:posOffset>152400</wp:posOffset>
            </wp:positionV>
            <wp:extent cx="7096125" cy="1905000"/>
            <wp:effectExtent l="38100" t="38100" r="38100" b="38100"/>
            <wp:wrapTopAndBottom distT="114300" distB="114300"/>
            <wp:docPr id="418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5"/>
                    <a:srcRect/>
                    <a:stretch>
                      <a:fillRect/>
                    </a:stretch>
                  </pic:blipFill>
                  <pic:spPr>
                    <a:xfrm>
                      <a:off x="0" y="0"/>
                      <a:ext cx="7096125" cy="1905000"/>
                    </a:xfrm>
                    <a:prstGeom prst="rect">
                      <a:avLst/>
                    </a:prstGeom>
                    <a:ln w="38100">
                      <a:solidFill>
                        <a:srgbClr val="000000"/>
                      </a:solidFill>
                      <a:prstDash val="solid"/>
                    </a:ln>
                  </pic:spPr>
                </pic:pic>
              </a:graphicData>
            </a:graphic>
          </wp:anchor>
        </w:drawing>
      </w:r>
    </w:p>
    <w:p w14:paraId="552879C9" w14:textId="77777777" w:rsidR="001C227F" w:rsidRDefault="001C227F">
      <w:pPr>
        <w:jc w:val="both"/>
        <w:rPr>
          <w:rFonts w:ascii="Century Gothic" w:eastAsia="Century Gothic" w:hAnsi="Century Gothic" w:cs="Century Gothic"/>
        </w:rPr>
      </w:pPr>
    </w:p>
    <w:p w14:paraId="0CD4E95E" w14:textId="77777777" w:rsidR="001C227F" w:rsidRDefault="00AD45D2">
      <w:pPr>
        <w:ind w:left="720"/>
        <w:jc w:val="both"/>
        <w:rPr>
          <w:rFonts w:ascii="Century Gothic" w:eastAsia="Century Gothic" w:hAnsi="Century Gothic" w:cs="Century Gothic"/>
        </w:rPr>
      </w:pPr>
      <w:r>
        <w:rPr>
          <w:rFonts w:ascii="Century Gothic" w:eastAsia="Century Gothic" w:hAnsi="Century Gothic" w:cs="Century Gothic"/>
        </w:rPr>
        <w:t xml:space="preserve">Lo anterior arroja un total de </w:t>
      </w:r>
      <w:r>
        <w:rPr>
          <w:rFonts w:ascii="Century Gothic" w:eastAsia="Century Gothic" w:hAnsi="Century Gothic" w:cs="Century Gothic"/>
          <w:b/>
        </w:rPr>
        <w:t xml:space="preserve">$19.843 </w:t>
      </w:r>
      <w:r>
        <w:rPr>
          <w:rFonts w:ascii="Century Gothic" w:eastAsia="Century Gothic" w:hAnsi="Century Gothic" w:cs="Century Gothic"/>
        </w:rPr>
        <w:t>millones de pesos por mes, el coste para financiar a un total de 24.194 practicantes en promedio. Lo anterior, llevado a los 12 meses del año, daría un coste fiscal anual de</w:t>
      </w:r>
      <w:r>
        <w:rPr>
          <w:rFonts w:ascii="Century Gothic" w:eastAsia="Century Gothic" w:hAnsi="Century Gothic" w:cs="Century Gothic"/>
          <w:b/>
        </w:rPr>
        <w:t xml:space="preserve"> $238.116 </w:t>
      </w:r>
      <w:r>
        <w:rPr>
          <w:rFonts w:ascii="Century Gothic" w:eastAsia="Century Gothic" w:hAnsi="Century Gothic" w:cs="Century Gothic"/>
        </w:rPr>
        <w:t xml:space="preserve">millones de pesos. </w:t>
      </w:r>
    </w:p>
    <w:p w14:paraId="5F096A5A" w14:textId="77777777" w:rsidR="001C227F" w:rsidRDefault="001C227F">
      <w:pPr>
        <w:jc w:val="both"/>
        <w:rPr>
          <w:rFonts w:ascii="Century Gothic" w:eastAsia="Century Gothic" w:hAnsi="Century Gothic" w:cs="Century Gothic"/>
        </w:rPr>
      </w:pPr>
    </w:p>
    <w:p w14:paraId="0741E92C" w14:textId="77777777" w:rsidR="001C227F" w:rsidRDefault="00AD45D2">
      <w:pPr>
        <w:numPr>
          <w:ilvl w:val="0"/>
          <w:numId w:val="2"/>
        </w:numPr>
        <w:jc w:val="both"/>
        <w:rPr>
          <w:rFonts w:ascii="Century Gothic" w:eastAsia="Century Gothic" w:hAnsi="Century Gothic" w:cs="Century Gothic"/>
        </w:rPr>
      </w:pPr>
      <w:r>
        <w:rPr>
          <w:rFonts w:ascii="Century Gothic" w:eastAsia="Century Gothic" w:hAnsi="Century Gothic" w:cs="Century Gothic"/>
        </w:rPr>
        <w:lastRenderedPageBreak/>
        <w:t>En tercer lugar, atendiendo a que los datos dados en</w:t>
      </w:r>
      <w:r>
        <w:rPr>
          <w:rFonts w:ascii="Century Gothic" w:eastAsia="Century Gothic" w:hAnsi="Century Gothic" w:cs="Century Gothic"/>
        </w:rPr>
        <w:t xml:space="preserve"> las respuestas analizadas corresponden a una muestra del territorio nacional, se hizo adicionalmente una proyección para complementar los datos anteriormente relacionados para hacerlos extensivos al resto del territorio. </w:t>
      </w:r>
    </w:p>
    <w:p w14:paraId="069AF4BC" w14:textId="77777777" w:rsidR="001C227F" w:rsidRDefault="001C227F">
      <w:pPr>
        <w:ind w:left="720"/>
        <w:jc w:val="both"/>
        <w:rPr>
          <w:rFonts w:ascii="Century Gothic" w:eastAsia="Century Gothic" w:hAnsi="Century Gothic" w:cs="Century Gothic"/>
        </w:rPr>
      </w:pPr>
    </w:p>
    <w:p w14:paraId="01AB892C" w14:textId="77777777" w:rsidR="001C227F" w:rsidRDefault="00AD45D2">
      <w:pPr>
        <w:ind w:left="720"/>
        <w:jc w:val="both"/>
        <w:rPr>
          <w:rFonts w:ascii="Century Gothic" w:eastAsia="Century Gothic" w:hAnsi="Century Gothic" w:cs="Century Gothic"/>
        </w:rPr>
      </w:pPr>
      <w:r>
        <w:rPr>
          <w:rFonts w:ascii="Century Gothic" w:eastAsia="Century Gothic" w:hAnsi="Century Gothic" w:cs="Century Gothic"/>
        </w:rPr>
        <w:t>Para ello, primero se analizó la</w:t>
      </w:r>
      <w:r>
        <w:rPr>
          <w:rFonts w:ascii="Century Gothic" w:eastAsia="Century Gothic" w:hAnsi="Century Gothic" w:cs="Century Gothic"/>
        </w:rPr>
        <w:t xml:space="preserve"> cantidad de respuestas otorgadas en correlación a las entidades del país: </w:t>
      </w:r>
    </w:p>
    <w:p w14:paraId="2CBA0B4B" w14:textId="77777777" w:rsidR="001C227F" w:rsidRDefault="001C227F">
      <w:pPr>
        <w:ind w:left="720"/>
        <w:jc w:val="both"/>
        <w:rPr>
          <w:rFonts w:ascii="Century Gothic" w:eastAsia="Century Gothic" w:hAnsi="Century Gothic" w:cs="Century Gothic"/>
        </w:rPr>
      </w:pPr>
    </w:p>
    <w:p w14:paraId="784FF976" w14:textId="77777777" w:rsidR="001C227F" w:rsidRDefault="00AD45D2">
      <w:pPr>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Fuente: </w:t>
      </w:r>
      <w:r>
        <w:rPr>
          <w:rFonts w:ascii="Century Gothic" w:eastAsia="Century Gothic" w:hAnsi="Century Gothic" w:cs="Century Gothic"/>
          <w:sz w:val="20"/>
          <w:szCs w:val="20"/>
        </w:rPr>
        <w:t>Elaboración propia.</w:t>
      </w:r>
      <w:r>
        <w:rPr>
          <w:noProof/>
        </w:rPr>
        <w:drawing>
          <wp:anchor distT="114300" distB="114300" distL="114300" distR="114300" simplePos="0" relativeHeight="251678720" behindDoc="0" locked="0" layoutInCell="1" hidden="0" allowOverlap="1" wp14:anchorId="08D99CBE" wp14:editId="1F5EDC53">
            <wp:simplePos x="0" y="0"/>
            <wp:positionH relativeFrom="column">
              <wp:posOffset>223402</wp:posOffset>
            </wp:positionH>
            <wp:positionV relativeFrom="paragraph">
              <wp:posOffset>38101</wp:posOffset>
            </wp:positionV>
            <wp:extent cx="5524736" cy="2801750"/>
            <wp:effectExtent l="38100" t="38100" r="38100" b="38100"/>
            <wp:wrapTopAndBottom distT="114300" distB="114300"/>
            <wp:docPr id="4212"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6"/>
                    <a:srcRect/>
                    <a:stretch>
                      <a:fillRect/>
                    </a:stretch>
                  </pic:blipFill>
                  <pic:spPr>
                    <a:xfrm>
                      <a:off x="0" y="0"/>
                      <a:ext cx="5524736" cy="2801750"/>
                    </a:xfrm>
                    <a:prstGeom prst="rect">
                      <a:avLst/>
                    </a:prstGeom>
                    <a:ln w="38100">
                      <a:solidFill>
                        <a:srgbClr val="000000"/>
                      </a:solidFill>
                      <a:prstDash val="solid"/>
                    </a:ln>
                  </pic:spPr>
                </pic:pic>
              </a:graphicData>
            </a:graphic>
          </wp:anchor>
        </w:drawing>
      </w:r>
    </w:p>
    <w:p w14:paraId="2F222412" w14:textId="77777777" w:rsidR="001C227F" w:rsidRDefault="001C227F">
      <w:pPr>
        <w:ind w:left="720"/>
        <w:jc w:val="both"/>
        <w:rPr>
          <w:rFonts w:ascii="Century Gothic" w:eastAsia="Century Gothic" w:hAnsi="Century Gothic" w:cs="Century Gothic"/>
        </w:rPr>
      </w:pPr>
    </w:p>
    <w:p w14:paraId="4BCE9849" w14:textId="77777777" w:rsidR="001C227F" w:rsidRDefault="00AD45D2">
      <w:pPr>
        <w:numPr>
          <w:ilvl w:val="0"/>
          <w:numId w:val="2"/>
        </w:numPr>
        <w:jc w:val="both"/>
        <w:rPr>
          <w:rFonts w:ascii="Century Gothic" w:eastAsia="Century Gothic" w:hAnsi="Century Gothic" w:cs="Century Gothic"/>
        </w:rPr>
      </w:pPr>
      <w:r>
        <w:rPr>
          <w:rFonts w:ascii="Century Gothic" w:eastAsia="Century Gothic" w:hAnsi="Century Gothic" w:cs="Century Gothic"/>
        </w:rPr>
        <w:t>A partir de esta desagregación, se proyectó la cantidad de practicantes y de salarios que se tendrían que asumir para complementar el resto del país,</w:t>
      </w:r>
      <w:r>
        <w:rPr>
          <w:rFonts w:ascii="Century Gothic" w:eastAsia="Century Gothic" w:hAnsi="Century Gothic" w:cs="Century Gothic"/>
        </w:rPr>
        <w:t xml:space="preserve"> dejando claridad que esta es una proyección. </w:t>
      </w:r>
    </w:p>
    <w:p w14:paraId="4FB508E0" w14:textId="77777777" w:rsidR="001C227F" w:rsidRDefault="00AD45D2">
      <w:pPr>
        <w:numPr>
          <w:ilvl w:val="0"/>
          <w:numId w:val="2"/>
        </w:numPr>
        <w:jc w:val="both"/>
        <w:rPr>
          <w:rFonts w:ascii="Century Gothic" w:eastAsia="Century Gothic" w:hAnsi="Century Gothic" w:cs="Century Gothic"/>
        </w:rPr>
      </w:pPr>
      <w:r>
        <w:rPr>
          <w:rFonts w:ascii="Century Gothic" w:eastAsia="Century Gothic" w:hAnsi="Century Gothic" w:cs="Century Gothic"/>
        </w:rPr>
        <w:t xml:space="preserve">De este modo, se estaría atendiendo a un coste fiscal promedio proyectado de </w:t>
      </w:r>
      <w:r>
        <w:rPr>
          <w:rFonts w:ascii="Century Gothic" w:eastAsia="Century Gothic" w:hAnsi="Century Gothic" w:cs="Century Gothic"/>
          <w:b/>
        </w:rPr>
        <w:t>$64.799</w:t>
      </w:r>
      <w:r>
        <w:rPr>
          <w:rFonts w:ascii="Century Gothic" w:eastAsia="Century Gothic" w:hAnsi="Century Gothic" w:cs="Century Gothic"/>
        </w:rPr>
        <w:t xml:space="preserve"> millones de pesos al mes, lo que equivaldría a un total de </w:t>
      </w:r>
      <w:r>
        <w:rPr>
          <w:rFonts w:ascii="Century Gothic" w:eastAsia="Century Gothic" w:hAnsi="Century Gothic" w:cs="Century Gothic"/>
          <w:b/>
        </w:rPr>
        <w:t>$777.590</w:t>
      </w:r>
      <w:r>
        <w:rPr>
          <w:rFonts w:ascii="Century Gothic" w:eastAsia="Century Gothic" w:hAnsi="Century Gothic" w:cs="Century Gothic"/>
        </w:rPr>
        <w:t xml:space="preserve"> millones de pesos al año. </w:t>
      </w:r>
    </w:p>
    <w:p w14:paraId="6F2269D7" w14:textId="77777777" w:rsidR="001C227F" w:rsidRDefault="001C227F">
      <w:pPr>
        <w:jc w:val="both"/>
        <w:rPr>
          <w:rFonts w:ascii="Century Gothic" w:eastAsia="Century Gothic" w:hAnsi="Century Gothic" w:cs="Century Gothic"/>
        </w:rPr>
      </w:pPr>
    </w:p>
    <w:p w14:paraId="16434F99" w14:textId="77777777" w:rsidR="001C227F" w:rsidRDefault="001C227F">
      <w:pPr>
        <w:jc w:val="both"/>
        <w:rPr>
          <w:rFonts w:ascii="Century Gothic" w:eastAsia="Century Gothic" w:hAnsi="Century Gothic" w:cs="Century Gothic"/>
        </w:rPr>
      </w:pPr>
    </w:p>
    <w:p w14:paraId="2F51690A" w14:textId="77777777" w:rsidR="001C227F" w:rsidRDefault="001C227F">
      <w:pPr>
        <w:jc w:val="both"/>
        <w:rPr>
          <w:rFonts w:ascii="Century Gothic" w:eastAsia="Century Gothic" w:hAnsi="Century Gothic" w:cs="Century Gothic"/>
        </w:rPr>
      </w:pPr>
    </w:p>
    <w:p w14:paraId="613770E8" w14:textId="77777777" w:rsidR="001C227F" w:rsidRDefault="001C227F">
      <w:pPr>
        <w:jc w:val="both"/>
        <w:rPr>
          <w:rFonts w:ascii="Century Gothic" w:eastAsia="Century Gothic" w:hAnsi="Century Gothic" w:cs="Century Gothic"/>
        </w:rPr>
      </w:pPr>
    </w:p>
    <w:p w14:paraId="26F3710A" w14:textId="77777777" w:rsidR="001C227F" w:rsidRDefault="00AD45D2">
      <w:pPr>
        <w:jc w:val="center"/>
        <w:rPr>
          <w:rFonts w:ascii="Century Gothic" w:eastAsia="Century Gothic" w:hAnsi="Century Gothic" w:cs="Century Gothic"/>
        </w:rPr>
      </w:pPr>
      <w:r>
        <w:rPr>
          <w:rFonts w:ascii="Century Gothic" w:eastAsia="Century Gothic" w:hAnsi="Century Gothic" w:cs="Century Gothic"/>
          <w:b/>
          <w:sz w:val="20"/>
          <w:szCs w:val="20"/>
        </w:rPr>
        <w:lastRenderedPageBreak/>
        <w:t xml:space="preserve">Fuente: </w:t>
      </w:r>
      <w:r>
        <w:rPr>
          <w:rFonts w:ascii="Century Gothic" w:eastAsia="Century Gothic" w:hAnsi="Century Gothic" w:cs="Century Gothic"/>
          <w:sz w:val="20"/>
          <w:szCs w:val="20"/>
        </w:rPr>
        <w:t>Elaboración propi</w:t>
      </w:r>
      <w:r>
        <w:rPr>
          <w:rFonts w:ascii="Century Gothic" w:eastAsia="Century Gothic" w:hAnsi="Century Gothic" w:cs="Century Gothic"/>
          <w:sz w:val="20"/>
          <w:szCs w:val="20"/>
        </w:rPr>
        <w:t>a.</w:t>
      </w:r>
      <w:r>
        <w:rPr>
          <w:noProof/>
        </w:rPr>
        <w:drawing>
          <wp:anchor distT="114300" distB="114300" distL="114300" distR="114300" simplePos="0" relativeHeight="251679744" behindDoc="0" locked="0" layoutInCell="1" hidden="0" allowOverlap="1" wp14:anchorId="15371194" wp14:editId="7CAA21CB">
            <wp:simplePos x="0" y="0"/>
            <wp:positionH relativeFrom="column">
              <wp:posOffset>819150</wp:posOffset>
            </wp:positionH>
            <wp:positionV relativeFrom="paragraph">
              <wp:posOffset>114300</wp:posOffset>
            </wp:positionV>
            <wp:extent cx="4229100" cy="2314575"/>
            <wp:effectExtent l="38100" t="38100" r="38100" b="38100"/>
            <wp:wrapTopAndBottom distT="114300" distB="114300"/>
            <wp:docPr id="416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7"/>
                    <a:srcRect/>
                    <a:stretch>
                      <a:fillRect/>
                    </a:stretch>
                  </pic:blipFill>
                  <pic:spPr>
                    <a:xfrm>
                      <a:off x="0" y="0"/>
                      <a:ext cx="4229100" cy="2314575"/>
                    </a:xfrm>
                    <a:prstGeom prst="rect">
                      <a:avLst/>
                    </a:prstGeom>
                    <a:ln w="38100">
                      <a:solidFill>
                        <a:srgbClr val="000000"/>
                      </a:solidFill>
                      <a:prstDash val="solid"/>
                    </a:ln>
                  </pic:spPr>
                </pic:pic>
              </a:graphicData>
            </a:graphic>
          </wp:anchor>
        </w:drawing>
      </w:r>
    </w:p>
    <w:p w14:paraId="644450AA" w14:textId="77777777" w:rsidR="001C227F" w:rsidRDefault="001C227F">
      <w:pPr>
        <w:jc w:val="both"/>
        <w:rPr>
          <w:rFonts w:ascii="Century Gothic" w:eastAsia="Century Gothic" w:hAnsi="Century Gothic" w:cs="Century Gothic"/>
        </w:rPr>
      </w:pPr>
    </w:p>
    <w:p w14:paraId="2BD78744"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Finalmente, es fundamental señalar que, al ser un análisis proyectado de respuestas de peticiones de las mismas entidades públicas del país, se realizarán las solicitudes respectivas de concepto fiscal por parte del Ministerio de Hacienda y Crédito Pú</w:t>
      </w:r>
      <w:r>
        <w:rPr>
          <w:rFonts w:ascii="Century Gothic" w:eastAsia="Century Gothic" w:hAnsi="Century Gothic" w:cs="Century Gothic"/>
        </w:rPr>
        <w:t xml:space="preserve">blico en el transcurso del proyecto. </w:t>
      </w:r>
      <w:r>
        <w:rPr>
          <w:rFonts w:ascii="Century Gothic" w:eastAsia="Century Gothic" w:hAnsi="Century Gothic" w:cs="Century Gothic"/>
          <w:i/>
        </w:rPr>
        <w:t>A</w:t>
      </w:r>
      <w:r>
        <w:rPr>
          <w:rFonts w:ascii="Century Gothic" w:eastAsia="Century Gothic" w:hAnsi="Century Gothic" w:cs="Century Gothic"/>
        </w:rPr>
        <w:t>demás, se debe tener en cuenta como sustento, el pronunciamiento de la Corte Constitucional en la Sentencia C-502 de 2007, en la cual se puntualizó que el impacto fiscal de las normas no puede convertirse en óbice y barrera, para que las corporaciones públ</w:t>
      </w:r>
      <w:r>
        <w:rPr>
          <w:rFonts w:ascii="Century Gothic" w:eastAsia="Century Gothic" w:hAnsi="Century Gothic" w:cs="Century Gothic"/>
        </w:rPr>
        <w:t>icas ejerzan su función legislativa y normativa:</w:t>
      </w:r>
    </w:p>
    <w:p w14:paraId="066CF8B3" w14:textId="77777777" w:rsidR="001C227F" w:rsidRDefault="001C227F">
      <w:pPr>
        <w:jc w:val="both"/>
        <w:rPr>
          <w:rFonts w:ascii="Century Gothic" w:eastAsia="Century Gothic" w:hAnsi="Century Gothic" w:cs="Century Gothic"/>
        </w:rPr>
      </w:pPr>
    </w:p>
    <w:p w14:paraId="1D8D98F6" w14:textId="77777777" w:rsidR="001C227F" w:rsidRDefault="00AD45D2">
      <w:pPr>
        <w:ind w:left="708"/>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“En la realidad, aceptar que las condiciones establecidas en el artículo 7° de la Ley 819 de 2003 constituyen un requisito de trámite que le incumbe cumplir única y exclusivamente al Congreso reduce desprop</w:t>
      </w:r>
      <w:r>
        <w:rPr>
          <w:rFonts w:ascii="Century Gothic" w:eastAsia="Century Gothic" w:hAnsi="Century Gothic" w:cs="Century Gothic"/>
          <w:i/>
          <w:sz w:val="20"/>
          <w:szCs w:val="20"/>
        </w:rPr>
        <w:t>orcionadamente la capacidad de iniciativa legislativa que reside en el Congreso de la República, con lo cual se vulnera el principio de separación de las Ramas del Poder Público, en la medida en que se lesiona seriamente la autonomía del Legislativo.</w:t>
      </w:r>
    </w:p>
    <w:p w14:paraId="5C31D61B" w14:textId="77777777" w:rsidR="001C227F" w:rsidRDefault="001C227F">
      <w:pPr>
        <w:ind w:left="708"/>
        <w:jc w:val="both"/>
        <w:rPr>
          <w:rFonts w:ascii="Century Gothic" w:eastAsia="Century Gothic" w:hAnsi="Century Gothic" w:cs="Century Gothic"/>
          <w:i/>
          <w:sz w:val="20"/>
          <w:szCs w:val="20"/>
        </w:rPr>
      </w:pPr>
    </w:p>
    <w:p w14:paraId="7EEFA13F" w14:textId="77777777" w:rsidR="001C227F" w:rsidRDefault="00AD45D2">
      <w:pPr>
        <w:ind w:left="708"/>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Prec</w:t>
      </w:r>
      <w:r>
        <w:rPr>
          <w:rFonts w:ascii="Century Gothic" w:eastAsia="Century Gothic" w:hAnsi="Century Gothic" w:cs="Century Gothic"/>
          <w:i/>
          <w:sz w:val="20"/>
          <w:szCs w:val="20"/>
        </w:rPr>
        <w:t xml:space="preserve">isamente, los obstáculos casi insuperables que se generarían para la actividad legislativa del Congreso de la República conducirían a concederle una forma de poder de veto al </w:t>
      </w:r>
      <w:proofErr w:type="gramStart"/>
      <w:r>
        <w:rPr>
          <w:rFonts w:ascii="Century Gothic" w:eastAsia="Century Gothic" w:hAnsi="Century Gothic" w:cs="Century Gothic"/>
          <w:i/>
          <w:sz w:val="20"/>
          <w:szCs w:val="20"/>
        </w:rPr>
        <w:t>Ministro</w:t>
      </w:r>
      <w:proofErr w:type="gramEnd"/>
      <w:r>
        <w:rPr>
          <w:rFonts w:ascii="Century Gothic" w:eastAsia="Century Gothic" w:hAnsi="Century Gothic" w:cs="Century Gothic"/>
          <w:i/>
          <w:sz w:val="20"/>
          <w:szCs w:val="20"/>
        </w:rPr>
        <w:t xml:space="preserve"> de Hacienda sobre las iniciativas de ley en el Parlamento.</w:t>
      </w:r>
    </w:p>
    <w:p w14:paraId="4A09ED1D" w14:textId="77777777" w:rsidR="001C227F" w:rsidRDefault="001C227F">
      <w:pPr>
        <w:ind w:left="708"/>
        <w:jc w:val="both"/>
        <w:rPr>
          <w:rFonts w:ascii="Century Gothic" w:eastAsia="Century Gothic" w:hAnsi="Century Gothic" w:cs="Century Gothic"/>
          <w:i/>
          <w:sz w:val="20"/>
          <w:szCs w:val="20"/>
        </w:rPr>
      </w:pPr>
    </w:p>
    <w:p w14:paraId="79DA5BDB" w14:textId="77777777" w:rsidR="001C227F" w:rsidRDefault="00AD45D2">
      <w:pPr>
        <w:ind w:left="708"/>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Es decir, el</w:t>
      </w:r>
      <w:r>
        <w:rPr>
          <w:rFonts w:ascii="Century Gothic" w:eastAsia="Century Gothic" w:hAnsi="Century Gothic" w:cs="Century Gothic"/>
          <w:i/>
          <w:sz w:val="20"/>
          <w:szCs w:val="20"/>
        </w:rPr>
        <w:t xml:space="preserve"> mencionado artículo debe interpretarse en el sentido de que su fin es obtener que las leyes que se dicten tengan en cuenta las realidades macroeconómicas, pero sin crear barreras insalvables en el ejercicio de la función legislativa ni crear un poder de v</w:t>
      </w:r>
      <w:r>
        <w:rPr>
          <w:rFonts w:ascii="Century Gothic" w:eastAsia="Century Gothic" w:hAnsi="Century Gothic" w:cs="Century Gothic"/>
          <w:i/>
          <w:sz w:val="20"/>
          <w:szCs w:val="20"/>
        </w:rPr>
        <w:t xml:space="preserve">eto legislativo en cabeza del </w:t>
      </w:r>
      <w:proofErr w:type="gramStart"/>
      <w:r>
        <w:rPr>
          <w:rFonts w:ascii="Century Gothic" w:eastAsia="Century Gothic" w:hAnsi="Century Gothic" w:cs="Century Gothic"/>
          <w:i/>
          <w:sz w:val="20"/>
          <w:szCs w:val="20"/>
        </w:rPr>
        <w:t>Ministro</w:t>
      </w:r>
      <w:proofErr w:type="gramEnd"/>
      <w:r>
        <w:rPr>
          <w:rFonts w:ascii="Century Gothic" w:eastAsia="Century Gothic" w:hAnsi="Century Gothic" w:cs="Century Gothic"/>
          <w:i/>
          <w:sz w:val="20"/>
          <w:szCs w:val="20"/>
        </w:rPr>
        <w:t xml:space="preserve"> de Hacienda.” </w:t>
      </w:r>
    </w:p>
    <w:p w14:paraId="4902D718" w14:textId="77777777" w:rsidR="001C227F" w:rsidRDefault="001C227F">
      <w:pPr>
        <w:ind w:left="708"/>
        <w:jc w:val="both"/>
        <w:rPr>
          <w:rFonts w:ascii="Century Gothic" w:eastAsia="Century Gothic" w:hAnsi="Century Gothic" w:cs="Century Gothic"/>
          <w:i/>
        </w:rPr>
      </w:pPr>
    </w:p>
    <w:p w14:paraId="0D029B59" w14:textId="77777777" w:rsidR="001C227F" w:rsidRDefault="001C227F">
      <w:pPr>
        <w:ind w:left="708"/>
        <w:jc w:val="both"/>
        <w:rPr>
          <w:rFonts w:ascii="Century Gothic" w:eastAsia="Century Gothic" w:hAnsi="Century Gothic" w:cs="Century Gothic"/>
          <w:i/>
        </w:rPr>
      </w:pPr>
    </w:p>
    <w:p w14:paraId="380E60D3" w14:textId="77777777" w:rsidR="001C227F" w:rsidRDefault="00AD45D2">
      <w:pPr>
        <w:jc w:val="both"/>
        <w:rPr>
          <w:rFonts w:ascii="Century Gothic" w:eastAsia="Century Gothic" w:hAnsi="Century Gothic" w:cs="Century Gothic"/>
          <w:b/>
        </w:rPr>
      </w:pPr>
      <w:r>
        <w:rPr>
          <w:rFonts w:ascii="Century Gothic" w:eastAsia="Century Gothic" w:hAnsi="Century Gothic" w:cs="Century Gothic"/>
          <w:b/>
        </w:rPr>
        <w:lastRenderedPageBreak/>
        <w:t>5. CONFLICTO DE INTERESES</w:t>
      </w:r>
    </w:p>
    <w:p w14:paraId="1AA56109" w14:textId="77777777" w:rsidR="001C227F" w:rsidRDefault="001C227F">
      <w:pPr>
        <w:jc w:val="both"/>
        <w:rPr>
          <w:rFonts w:ascii="Century Gothic" w:eastAsia="Century Gothic" w:hAnsi="Century Gothic" w:cs="Century Gothic"/>
          <w:b/>
        </w:rPr>
      </w:pPr>
    </w:p>
    <w:p w14:paraId="55885CB3"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De conformidad con lo establecido en el artículo 286 y 291 de la Ley 5 de 1992, ningún congresista se encuentra en un conflicto de interés para discutir y votar el presente proyecto de acto legislativo, en tanto la discusión y votación de este no generaría</w:t>
      </w:r>
      <w:r>
        <w:rPr>
          <w:rFonts w:ascii="Century Gothic" w:eastAsia="Century Gothic" w:hAnsi="Century Gothic" w:cs="Century Gothic"/>
        </w:rPr>
        <w:t xml:space="preserve"> un beneficio particular, actual y directo a favor de un congresista. </w:t>
      </w:r>
    </w:p>
    <w:p w14:paraId="6B593556" w14:textId="77777777" w:rsidR="001C227F" w:rsidRDefault="001C227F">
      <w:pPr>
        <w:jc w:val="both"/>
        <w:rPr>
          <w:rFonts w:ascii="Century Gothic" w:eastAsia="Century Gothic" w:hAnsi="Century Gothic" w:cs="Century Gothic"/>
        </w:rPr>
      </w:pPr>
    </w:p>
    <w:p w14:paraId="58601D2D"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Según la jurisprudencia del Consejo de Estado, para que exista un conflicto de interés debe existir un beneficio particular, actual y directo del congresista. Así, para que el benefici</w:t>
      </w:r>
      <w:r>
        <w:rPr>
          <w:rFonts w:ascii="Century Gothic" w:eastAsia="Century Gothic" w:hAnsi="Century Gothic" w:cs="Century Gothic"/>
        </w:rPr>
        <w:t xml:space="preserve">o genere un conflicto de interés debe este ser individual y concreto, </w:t>
      </w:r>
      <w:proofErr w:type="gramStart"/>
      <w:r>
        <w:rPr>
          <w:rFonts w:ascii="Century Gothic" w:eastAsia="Century Gothic" w:hAnsi="Century Gothic" w:cs="Century Gothic"/>
        </w:rPr>
        <w:t>ya que</w:t>
      </w:r>
      <w:proofErr w:type="gramEnd"/>
      <w:r>
        <w:rPr>
          <w:rFonts w:ascii="Century Gothic" w:eastAsia="Century Gothic" w:hAnsi="Century Gothic" w:cs="Century Gothic"/>
        </w:rPr>
        <w:t xml:space="preserve"> si se acepta que también incluya las iniciativas de alcance general, todos los congresistas deberían declararse impedidos en todo momento</w:t>
      </w:r>
      <w:r>
        <w:rPr>
          <w:rFonts w:ascii="Century Gothic" w:eastAsia="Century Gothic" w:hAnsi="Century Gothic" w:cs="Century Gothic"/>
          <w:vertAlign w:val="superscript"/>
        </w:rPr>
        <w:footnoteReference w:id="1"/>
      </w:r>
      <w:r>
        <w:rPr>
          <w:rFonts w:ascii="Century Gothic" w:eastAsia="Century Gothic" w:hAnsi="Century Gothic" w:cs="Century Gothic"/>
        </w:rPr>
        <w:t xml:space="preserve">. </w:t>
      </w:r>
    </w:p>
    <w:p w14:paraId="7A4C27C7" w14:textId="77777777" w:rsidR="001C227F" w:rsidRDefault="001C227F">
      <w:pPr>
        <w:jc w:val="both"/>
        <w:rPr>
          <w:rFonts w:ascii="Century Gothic" w:eastAsia="Century Gothic" w:hAnsi="Century Gothic" w:cs="Century Gothic"/>
        </w:rPr>
      </w:pPr>
    </w:p>
    <w:p w14:paraId="569EF4BA" w14:textId="77777777" w:rsidR="001C227F" w:rsidRDefault="00AD45D2">
      <w:pPr>
        <w:jc w:val="both"/>
        <w:rPr>
          <w:rFonts w:ascii="Century Gothic" w:eastAsia="Century Gothic" w:hAnsi="Century Gothic" w:cs="Century Gothic"/>
        </w:rPr>
      </w:pPr>
      <w:r>
        <w:rPr>
          <w:rFonts w:ascii="Century Gothic" w:eastAsia="Century Gothic" w:hAnsi="Century Gothic" w:cs="Century Gothic"/>
        </w:rPr>
        <w:t>Por ende, si se analiza esta situaci</w:t>
      </w:r>
      <w:r>
        <w:rPr>
          <w:rFonts w:ascii="Century Gothic" w:eastAsia="Century Gothic" w:hAnsi="Century Gothic" w:cs="Century Gothic"/>
        </w:rPr>
        <w:t xml:space="preserve">ón a la luz de este proyecto de acto legislativo, esta iniciativa no generaría ningún tipo de conflicto de interés, toda vez que no se presentaría un beneficio particular respecto a su trámite. Adicionalmente, el literal c del artículo 1 de la Ley 2003 de </w:t>
      </w:r>
      <w:r>
        <w:rPr>
          <w:rFonts w:ascii="Century Gothic" w:eastAsia="Century Gothic" w:hAnsi="Century Gothic" w:cs="Century Gothic"/>
        </w:rPr>
        <w:t xml:space="preserve">2019 plantea que tampoco constituye conflicto de interés cuando el congresista participe, actúe o vote en proyectos de acto legislativo que disminuyan beneficios y cuando vote negativamente cuando se mantiene la normatividad vigente. </w:t>
      </w:r>
    </w:p>
    <w:p w14:paraId="2B1F7217" w14:textId="77777777" w:rsidR="001C227F" w:rsidRDefault="00AD45D2">
      <w:pPr>
        <w:ind w:hanging="2"/>
        <w:jc w:val="both"/>
        <w:rPr>
          <w:rFonts w:ascii="Century Gothic" w:eastAsia="Century Gothic" w:hAnsi="Century Gothic" w:cs="Century Gothic"/>
        </w:rPr>
      </w:pPr>
      <w:r>
        <w:rPr>
          <w:rFonts w:ascii="Century Gothic" w:eastAsia="Century Gothic" w:hAnsi="Century Gothic" w:cs="Century Gothic"/>
        </w:rPr>
        <w:br/>
        <w:t>De los Honorables Co</w:t>
      </w:r>
      <w:r>
        <w:rPr>
          <w:rFonts w:ascii="Century Gothic" w:eastAsia="Century Gothic" w:hAnsi="Century Gothic" w:cs="Century Gothic"/>
        </w:rPr>
        <w:t>ngresistas,</w:t>
      </w:r>
    </w:p>
    <w:p w14:paraId="7068B31F" w14:textId="77777777" w:rsidR="001C227F" w:rsidRDefault="001C227F">
      <w:pPr>
        <w:ind w:hanging="2"/>
        <w:jc w:val="both"/>
        <w:rPr>
          <w:rFonts w:ascii="Century Gothic" w:eastAsia="Century Gothic" w:hAnsi="Century Gothic" w:cs="Century Gothic"/>
        </w:rPr>
      </w:pPr>
    </w:p>
    <w:p w14:paraId="7BAC9323" w14:textId="77777777" w:rsidR="001C227F" w:rsidRDefault="001C227F">
      <w:pPr>
        <w:ind w:hanging="2"/>
        <w:jc w:val="both"/>
        <w:rPr>
          <w:rFonts w:ascii="Century Gothic" w:eastAsia="Century Gothic" w:hAnsi="Century Gothic" w:cs="Century Gothic"/>
        </w:rPr>
      </w:pPr>
    </w:p>
    <w:p w14:paraId="26958EB1" w14:textId="77777777" w:rsidR="001C227F" w:rsidRDefault="001C227F">
      <w:pPr>
        <w:spacing w:before="100" w:after="240" w:line="240" w:lineRule="auto"/>
        <w:jc w:val="both"/>
        <w:rPr>
          <w:rFonts w:ascii="Century Gothic" w:eastAsia="Century Gothic" w:hAnsi="Century Gothic" w:cs="Century Gothic"/>
        </w:rPr>
      </w:pPr>
    </w:p>
    <w:tbl>
      <w:tblPr>
        <w:tblStyle w:val="af"/>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485"/>
      </w:tblGrid>
      <w:tr w:rsidR="001C227F" w14:paraId="516E5CA2" w14:textId="77777777">
        <w:trPr>
          <w:trHeight w:val="2324"/>
        </w:trPr>
        <w:tc>
          <w:tcPr>
            <w:tcW w:w="4515" w:type="dxa"/>
            <w:shd w:val="clear" w:color="auto" w:fill="auto"/>
            <w:tcMar>
              <w:top w:w="100" w:type="dxa"/>
              <w:left w:w="100" w:type="dxa"/>
              <w:bottom w:w="100" w:type="dxa"/>
              <w:right w:w="100" w:type="dxa"/>
            </w:tcMar>
          </w:tcPr>
          <w:p w14:paraId="644FF8E0" w14:textId="20D26197" w:rsidR="001C227F" w:rsidRDefault="001C227F">
            <w:pPr>
              <w:spacing w:line="240" w:lineRule="auto"/>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63CD2E19" w14:textId="3F6BACD6" w:rsidR="001C227F" w:rsidRDefault="001C227F">
            <w:pPr>
              <w:spacing w:line="240" w:lineRule="auto"/>
              <w:jc w:val="center"/>
              <w:rPr>
                <w:rFonts w:ascii="Century Gothic" w:eastAsia="Century Gothic" w:hAnsi="Century Gothic" w:cs="Century Gothic"/>
              </w:rPr>
            </w:pPr>
          </w:p>
        </w:tc>
      </w:tr>
      <w:tr w:rsidR="001C227F" w14:paraId="75969C34" w14:textId="77777777">
        <w:trPr>
          <w:trHeight w:val="3177"/>
        </w:trPr>
        <w:tc>
          <w:tcPr>
            <w:tcW w:w="4515" w:type="dxa"/>
            <w:shd w:val="clear" w:color="auto" w:fill="auto"/>
            <w:tcMar>
              <w:top w:w="100" w:type="dxa"/>
              <w:left w:w="100" w:type="dxa"/>
              <w:bottom w:w="100" w:type="dxa"/>
              <w:right w:w="100" w:type="dxa"/>
            </w:tcMar>
          </w:tcPr>
          <w:p w14:paraId="2D9DA5E6" w14:textId="2CAACA9C"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36F1CEC8" w14:textId="41F69B26" w:rsidR="001C227F" w:rsidRDefault="001C227F">
            <w:pPr>
              <w:jc w:val="center"/>
              <w:rPr>
                <w:rFonts w:ascii="Century Gothic" w:eastAsia="Century Gothic" w:hAnsi="Century Gothic" w:cs="Century Gothic"/>
                <w:b/>
              </w:rPr>
            </w:pPr>
          </w:p>
        </w:tc>
      </w:tr>
      <w:tr w:rsidR="001C227F" w14:paraId="1E8BE462" w14:textId="77777777">
        <w:trPr>
          <w:trHeight w:val="2721"/>
        </w:trPr>
        <w:tc>
          <w:tcPr>
            <w:tcW w:w="4515" w:type="dxa"/>
            <w:shd w:val="clear" w:color="auto" w:fill="auto"/>
            <w:tcMar>
              <w:top w:w="100" w:type="dxa"/>
              <w:left w:w="100" w:type="dxa"/>
              <w:bottom w:w="100" w:type="dxa"/>
              <w:right w:w="100" w:type="dxa"/>
            </w:tcMar>
          </w:tcPr>
          <w:p w14:paraId="1301D2CD" w14:textId="36A484D3" w:rsidR="001C227F" w:rsidRDefault="001C227F">
            <w:pPr>
              <w:spacing w:line="240" w:lineRule="auto"/>
              <w:jc w:val="center"/>
              <w:rPr>
                <w:rFonts w:ascii="Century Gothic" w:eastAsia="Century Gothic" w:hAnsi="Century Gothic" w:cs="Century Gothic"/>
                <w:sz w:val="18"/>
                <w:szCs w:val="18"/>
              </w:rPr>
            </w:pPr>
          </w:p>
        </w:tc>
        <w:tc>
          <w:tcPr>
            <w:tcW w:w="4485" w:type="dxa"/>
            <w:shd w:val="clear" w:color="auto" w:fill="auto"/>
            <w:tcMar>
              <w:top w:w="100" w:type="dxa"/>
              <w:left w:w="100" w:type="dxa"/>
              <w:bottom w:w="100" w:type="dxa"/>
              <w:right w:w="100" w:type="dxa"/>
            </w:tcMar>
          </w:tcPr>
          <w:p w14:paraId="5D04DC7F" w14:textId="2F2B994A" w:rsidR="001C227F" w:rsidRDefault="001C227F">
            <w:pPr>
              <w:widowControl w:val="0"/>
              <w:jc w:val="center"/>
              <w:rPr>
                <w:rFonts w:ascii="Century Gothic" w:eastAsia="Century Gothic" w:hAnsi="Century Gothic" w:cs="Century Gothic"/>
                <w:sz w:val="2"/>
                <w:szCs w:val="2"/>
              </w:rPr>
            </w:pPr>
          </w:p>
        </w:tc>
      </w:tr>
      <w:tr w:rsidR="001C227F" w14:paraId="15747941" w14:textId="77777777">
        <w:trPr>
          <w:trHeight w:val="2721"/>
        </w:trPr>
        <w:tc>
          <w:tcPr>
            <w:tcW w:w="4515" w:type="dxa"/>
            <w:shd w:val="clear" w:color="auto" w:fill="auto"/>
            <w:tcMar>
              <w:top w:w="100" w:type="dxa"/>
              <w:left w:w="100" w:type="dxa"/>
              <w:bottom w:w="100" w:type="dxa"/>
              <w:right w:w="100" w:type="dxa"/>
            </w:tcMar>
          </w:tcPr>
          <w:p w14:paraId="76C5449B" w14:textId="6A752970" w:rsidR="001C227F" w:rsidRDefault="001C227F">
            <w:pPr>
              <w:widowControl w:val="0"/>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23F552C1" w14:textId="60885D6E" w:rsidR="001C227F" w:rsidRDefault="001C227F">
            <w:pPr>
              <w:widowControl w:val="0"/>
              <w:jc w:val="center"/>
              <w:rPr>
                <w:rFonts w:ascii="Century Gothic" w:eastAsia="Century Gothic" w:hAnsi="Century Gothic" w:cs="Century Gothic"/>
              </w:rPr>
            </w:pPr>
          </w:p>
        </w:tc>
      </w:tr>
      <w:tr w:rsidR="001C227F" w14:paraId="0847E44D" w14:textId="77777777">
        <w:trPr>
          <w:trHeight w:val="2721"/>
        </w:trPr>
        <w:tc>
          <w:tcPr>
            <w:tcW w:w="4515" w:type="dxa"/>
            <w:shd w:val="clear" w:color="auto" w:fill="auto"/>
            <w:tcMar>
              <w:top w:w="100" w:type="dxa"/>
              <w:left w:w="100" w:type="dxa"/>
              <w:bottom w:w="100" w:type="dxa"/>
              <w:right w:w="100" w:type="dxa"/>
            </w:tcMar>
          </w:tcPr>
          <w:p w14:paraId="0A8A1819" w14:textId="0A88D14F" w:rsidR="001C227F" w:rsidRDefault="001C227F">
            <w:pPr>
              <w:widowControl w:val="0"/>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583BC6D6" w14:textId="2BC39DC8" w:rsidR="001C227F" w:rsidRDefault="001C227F">
            <w:pPr>
              <w:widowControl w:val="0"/>
              <w:jc w:val="center"/>
              <w:rPr>
                <w:rFonts w:ascii="Century Gothic" w:eastAsia="Century Gothic" w:hAnsi="Century Gothic" w:cs="Century Gothic"/>
              </w:rPr>
            </w:pPr>
          </w:p>
        </w:tc>
      </w:tr>
      <w:tr w:rsidR="001C227F" w14:paraId="2074CEFB" w14:textId="77777777">
        <w:trPr>
          <w:trHeight w:val="2721"/>
        </w:trPr>
        <w:tc>
          <w:tcPr>
            <w:tcW w:w="4515" w:type="dxa"/>
            <w:shd w:val="clear" w:color="auto" w:fill="auto"/>
            <w:tcMar>
              <w:top w:w="100" w:type="dxa"/>
              <w:left w:w="100" w:type="dxa"/>
              <w:bottom w:w="100" w:type="dxa"/>
              <w:right w:w="100" w:type="dxa"/>
            </w:tcMar>
          </w:tcPr>
          <w:p w14:paraId="493E7994" w14:textId="4EAE6575" w:rsidR="001C227F" w:rsidRDefault="001C227F">
            <w:pPr>
              <w:widowControl w:val="0"/>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1CD7DE38" w14:textId="3DD27A66" w:rsidR="001C227F" w:rsidRDefault="001C227F">
            <w:pPr>
              <w:widowControl w:val="0"/>
              <w:spacing w:line="240" w:lineRule="auto"/>
              <w:jc w:val="center"/>
              <w:rPr>
                <w:rFonts w:ascii="Century Gothic" w:eastAsia="Century Gothic" w:hAnsi="Century Gothic" w:cs="Century Gothic"/>
              </w:rPr>
            </w:pPr>
          </w:p>
        </w:tc>
      </w:tr>
      <w:tr w:rsidR="001C227F" w14:paraId="48CAB65B" w14:textId="77777777">
        <w:trPr>
          <w:trHeight w:val="2721"/>
        </w:trPr>
        <w:tc>
          <w:tcPr>
            <w:tcW w:w="4515" w:type="dxa"/>
            <w:shd w:val="clear" w:color="auto" w:fill="auto"/>
            <w:tcMar>
              <w:top w:w="100" w:type="dxa"/>
              <w:left w:w="100" w:type="dxa"/>
              <w:bottom w:w="100" w:type="dxa"/>
              <w:right w:w="100" w:type="dxa"/>
            </w:tcMar>
          </w:tcPr>
          <w:p w14:paraId="411E1520" w14:textId="77777777" w:rsidR="001C227F" w:rsidRDefault="001C227F">
            <w:pPr>
              <w:jc w:val="center"/>
              <w:rPr>
                <w:rFonts w:ascii="Century Gothic" w:eastAsia="Century Gothic" w:hAnsi="Century Gothic" w:cs="Century Gothic"/>
                <w:b/>
              </w:rPr>
            </w:pPr>
          </w:p>
        </w:tc>
        <w:tc>
          <w:tcPr>
            <w:tcW w:w="4485" w:type="dxa"/>
            <w:shd w:val="clear" w:color="auto" w:fill="auto"/>
            <w:tcMar>
              <w:top w:w="100" w:type="dxa"/>
              <w:left w:w="100" w:type="dxa"/>
              <w:bottom w:w="100" w:type="dxa"/>
              <w:right w:w="100" w:type="dxa"/>
            </w:tcMar>
          </w:tcPr>
          <w:p w14:paraId="60521A60" w14:textId="13772182" w:rsidR="001C227F" w:rsidRDefault="001C227F">
            <w:pPr>
              <w:jc w:val="center"/>
              <w:rPr>
                <w:rFonts w:ascii="Century Gothic" w:eastAsia="Century Gothic" w:hAnsi="Century Gothic" w:cs="Century Gothic"/>
              </w:rPr>
            </w:pPr>
          </w:p>
        </w:tc>
      </w:tr>
      <w:tr w:rsidR="001C227F" w14:paraId="3BF30194" w14:textId="77777777">
        <w:trPr>
          <w:trHeight w:val="2280"/>
        </w:trPr>
        <w:tc>
          <w:tcPr>
            <w:tcW w:w="4515" w:type="dxa"/>
            <w:shd w:val="clear" w:color="auto" w:fill="auto"/>
            <w:tcMar>
              <w:top w:w="100" w:type="dxa"/>
              <w:left w:w="100" w:type="dxa"/>
              <w:bottom w:w="100" w:type="dxa"/>
              <w:right w:w="100" w:type="dxa"/>
            </w:tcMar>
          </w:tcPr>
          <w:p w14:paraId="23C2A6F7" w14:textId="183EE24E" w:rsidR="001C227F" w:rsidRDefault="001C227F">
            <w:pP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651D9BE8" w14:textId="5C4D3032" w:rsidR="001C227F" w:rsidRDefault="001C227F">
            <w:pPr>
              <w:spacing w:line="240" w:lineRule="auto"/>
              <w:jc w:val="center"/>
              <w:rPr>
                <w:rFonts w:ascii="Century Gothic" w:eastAsia="Century Gothic" w:hAnsi="Century Gothic" w:cs="Century Gothic"/>
              </w:rPr>
            </w:pPr>
          </w:p>
        </w:tc>
      </w:tr>
      <w:tr w:rsidR="001C227F" w14:paraId="55F6631C" w14:textId="77777777">
        <w:trPr>
          <w:trHeight w:val="2721"/>
        </w:trPr>
        <w:tc>
          <w:tcPr>
            <w:tcW w:w="4515" w:type="dxa"/>
            <w:shd w:val="clear" w:color="auto" w:fill="auto"/>
            <w:tcMar>
              <w:top w:w="100" w:type="dxa"/>
              <w:left w:w="100" w:type="dxa"/>
              <w:bottom w:w="100" w:type="dxa"/>
              <w:right w:w="100" w:type="dxa"/>
            </w:tcMar>
          </w:tcPr>
          <w:p w14:paraId="7BFAC97B" w14:textId="29128249" w:rsidR="001C227F" w:rsidRDefault="001C227F">
            <w:pPr>
              <w:spacing w:line="240" w:lineRule="auto"/>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44CF0B6E" w14:textId="3F7C92A4" w:rsidR="001C227F" w:rsidRDefault="001C227F">
            <w:pPr>
              <w:spacing w:line="240" w:lineRule="auto"/>
              <w:jc w:val="center"/>
              <w:rPr>
                <w:rFonts w:ascii="Century Gothic" w:eastAsia="Century Gothic" w:hAnsi="Century Gothic" w:cs="Century Gothic"/>
                <w:b/>
              </w:rPr>
            </w:pPr>
          </w:p>
        </w:tc>
      </w:tr>
      <w:tr w:rsidR="001C227F" w14:paraId="57B02537" w14:textId="77777777">
        <w:trPr>
          <w:trHeight w:val="2721"/>
        </w:trPr>
        <w:tc>
          <w:tcPr>
            <w:tcW w:w="4515" w:type="dxa"/>
            <w:shd w:val="clear" w:color="auto" w:fill="auto"/>
            <w:tcMar>
              <w:top w:w="100" w:type="dxa"/>
              <w:left w:w="100" w:type="dxa"/>
              <w:bottom w:w="100" w:type="dxa"/>
              <w:right w:w="100" w:type="dxa"/>
            </w:tcMar>
          </w:tcPr>
          <w:p w14:paraId="6D23E254" w14:textId="5D354908"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040F3D52" w14:textId="461CE2CA" w:rsidR="001C227F" w:rsidRDefault="001C227F">
            <w:pPr>
              <w:spacing w:line="240" w:lineRule="auto"/>
              <w:jc w:val="center"/>
            </w:pPr>
          </w:p>
        </w:tc>
      </w:tr>
      <w:tr w:rsidR="001C227F" w14:paraId="314F82BA" w14:textId="77777777">
        <w:trPr>
          <w:trHeight w:val="2721"/>
        </w:trPr>
        <w:tc>
          <w:tcPr>
            <w:tcW w:w="4515" w:type="dxa"/>
            <w:shd w:val="clear" w:color="auto" w:fill="auto"/>
            <w:tcMar>
              <w:top w:w="100" w:type="dxa"/>
              <w:left w:w="100" w:type="dxa"/>
              <w:bottom w:w="100" w:type="dxa"/>
              <w:right w:w="100" w:type="dxa"/>
            </w:tcMar>
          </w:tcPr>
          <w:p w14:paraId="043D210D" w14:textId="603F961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3829A945" w14:textId="77777777" w:rsidR="001C227F" w:rsidRDefault="001C227F">
            <w:pPr>
              <w:jc w:val="center"/>
            </w:pPr>
          </w:p>
        </w:tc>
      </w:tr>
      <w:tr w:rsidR="001C227F" w14:paraId="1BC0353A" w14:textId="77777777">
        <w:trPr>
          <w:trHeight w:val="2721"/>
        </w:trPr>
        <w:tc>
          <w:tcPr>
            <w:tcW w:w="4515" w:type="dxa"/>
            <w:shd w:val="clear" w:color="auto" w:fill="auto"/>
            <w:tcMar>
              <w:top w:w="100" w:type="dxa"/>
              <w:left w:w="100" w:type="dxa"/>
              <w:bottom w:w="100" w:type="dxa"/>
              <w:right w:w="100" w:type="dxa"/>
            </w:tcMar>
          </w:tcPr>
          <w:p w14:paraId="5256D80F"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68ABA405" w14:textId="77777777" w:rsidR="001C227F" w:rsidRDefault="001C227F">
            <w:pPr>
              <w:jc w:val="center"/>
            </w:pPr>
          </w:p>
        </w:tc>
      </w:tr>
      <w:tr w:rsidR="001C227F" w14:paraId="532D045C" w14:textId="77777777">
        <w:trPr>
          <w:trHeight w:val="2721"/>
        </w:trPr>
        <w:tc>
          <w:tcPr>
            <w:tcW w:w="4515" w:type="dxa"/>
            <w:shd w:val="clear" w:color="auto" w:fill="auto"/>
            <w:tcMar>
              <w:top w:w="100" w:type="dxa"/>
              <w:left w:w="100" w:type="dxa"/>
              <w:bottom w:w="100" w:type="dxa"/>
              <w:right w:w="100" w:type="dxa"/>
            </w:tcMar>
          </w:tcPr>
          <w:p w14:paraId="37C6AAA4"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5B8D34BC" w14:textId="77777777" w:rsidR="001C227F" w:rsidRDefault="001C227F">
            <w:pPr>
              <w:jc w:val="center"/>
            </w:pPr>
          </w:p>
        </w:tc>
      </w:tr>
      <w:tr w:rsidR="001C227F" w14:paraId="2E27CD41" w14:textId="77777777">
        <w:trPr>
          <w:trHeight w:val="2721"/>
        </w:trPr>
        <w:tc>
          <w:tcPr>
            <w:tcW w:w="4515" w:type="dxa"/>
            <w:shd w:val="clear" w:color="auto" w:fill="auto"/>
            <w:tcMar>
              <w:top w:w="100" w:type="dxa"/>
              <w:left w:w="100" w:type="dxa"/>
              <w:bottom w:w="100" w:type="dxa"/>
              <w:right w:w="100" w:type="dxa"/>
            </w:tcMar>
          </w:tcPr>
          <w:p w14:paraId="010D2520"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7055FF15" w14:textId="77777777" w:rsidR="001C227F" w:rsidRDefault="001C227F">
            <w:pPr>
              <w:jc w:val="center"/>
            </w:pPr>
          </w:p>
        </w:tc>
      </w:tr>
      <w:tr w:rsidR="001C227F" w14:paraId="6E5BBEE2" w14:textId="77777777">
        <w:trPr>
          <w:trHeight w:val="2721"/>
        </w:trPr>
        <w:tc>
          <w:tcPr>
            <w:tcW w:w="4515" w:type="dxa"/>
            <w:shd w:val="clear" w:color="auto" w:fill="auto"/>
            <w:tcMar>
              <w:top w:w="100" w:type="dxa"/>
              <w:left w:w="100" w:type="dxa"/>
              <w:bottom w:w="100" w:type="dxa"/>
              <w:right w:w="100" w:type="dxa"/>
            </w:tcMar>
          </w:tcPr>
          <w:p w14:paraId="47FA08F6"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5E3690BE" w14:textId="77777777" w:rsidR="001C227F" w:rsidRDefault="001C227F">
            <w:pPr>
              <w:jc w:val="center"/>
            </w:pPr>
          </w:p>
        </w:tc>
      </w:tr>
      <w:tr w:rsidR="001C227F" w14:paraId="7ED83DBF" w14:textId="77777777">
        <w:trPr>
          <w:trHeight w:val="2721"/>
        </w:trPr>
        <w:tc>
          <w:tcPr>
            <w:tcW w:w="4515" w:type="dxa"/>
            <w:shd w:val="clear" w:color="auto" w:fill="auto"/>
            <w:tcMar>
              <w:top w:w="100" w:type="dxa"/>
              <w:left w:w="100" w:type="dxa"/>
              <w:bottom w:w="100" w:type="dxa"/>
              <w:right w:w="100" w:type="dxa"/>
            </w:tcMar>
          </w:tcPr>
          <w:p w14:paraId="50B6D997"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11C64881" w14:textId="77777777" w:rsidR="001C227F" w:rsidRDefault="001C227F">
            <w:pPr>
              <w:jc w:val="center"/>
            </w:pPr>
          </w:p>
        </w:tc>
      </w:tr>
      <w:tr w:rsidR="001C227F" w14:paraId="703E1976" w14:textId="77777777">
        <w:trPr>
          <w:trHeight w:val="2721"/>
        </w:trPr>
        <w:tc>
          <w:tcPr>
            <w:tcW w:w="4515" w:type="dxa"/>
            <w:shd w:val="clear" w:color="auto" w:fill="auto"/>
            <w:tcMar>
              <w:top w:w="100" w:type="dxa"/>
              <w:left w:w="100" w:type="dxa"/>
              <w:bottom w:w="100" w:type="dxa"/>
              <w:right w:w="100" w:type="dxa"/>
            </w:tcMar>
          </w:tcPr>
          <w:p w14:paraId="48C5D421"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6867C6AF" w14:textId="77777777" w:rsidR="001C227F" w:rsidRDefault="001C227F">
            <w:pPr>
              <w:jc w:val="center"/>
            </w:pPr>
          </w:p>
        </w:tc>
      </w:tr>
      <w:tr w:rsidR="001C227F" w14:paraId="3D8F83A1" w14:textId="77777777">
        <w:trPr>
          <w:trHeight w:val="2721"/>
        </w:trPr>
        <w:tc>
          <w:tcPr>
            <w:tcW w:w="4515" w:type="dxa"/>
            <w:shd w:val="clear" w:color="auto" w:fill="auto"/>
            <w:tcMar>
              <w:top w:w="100" w:type="dxa"/>
              <w:left w:w="100" w:type="dxa"/>
              <w:bottom w:w="100" w:type="dxa"/>
              <w:right w:w="100" w:type="dxa"/>
            </w:tcMar>
          </w:tcPr>
          <w:p w14:paraId="1963C7AB"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23EFB215" w14:textId="77777777" w:rsidR="001C227F" w:rsidRDefault="001C227F">
            <w:pPr>
              <w:jc w:val="center"/>
            </w:pPr>
          </w:p>
        </w:tc>
      </w:tr>
      <w:tr w:rsidR="001C227F" w14:paraId="12BF148D" w14:textId="77777777">
        <w:trPr>
          <w:trHeight w:val="2721"/>
        </w:trPr>
        <w:tc>
          <w:tcPr>
            <w:tcW w:w="4515" w:type="dxa"/>
            <w:shd w:val="clear" w:color="auto" w:fill="auto"/>
            <w:tcMar>
              <w:top w:w="100" w:type="dxa"/>
              <w:left w:w="100" w:type="dxa"/>
              <w:bottom w:w="100" w:type="dxa"/>
              <w:right w:w="100" w:type="dxa"/>
            </w:tcMar>
          </w:tcPr>
          <w:p w14:paraId="45B99393" w14:textId="77777777" w:rsidR="001C227F" w:rsidRDefault="001C227F">
            <w:pPr>
              <w:jc w:val="center"/>
              <w:rPr>
                <w:rFonts w:ascii="Century Gothic" w:eastAsia="Century Gothic" w:hAnsi="Century Gothic" w:cs="Century Gothic"/>
              </w:rPr>
            </w:pPr>
          </w:p>
        </w:tc>
        <w:tc>
          <w:tcPr>
            <w:tcW w:w="4485" w:type="dxa"/>
            <w:shd w:val="clear" w:color="auto" w:fill="auto"/>
            <w:tcMar>
              <w:top w:w="100" w:type="dxa"/>
              <w:left w:w="100" w:type="dxa"/>
              <w:bottom w:w="100" w:type="dxa"/>
              <w:right w:w="100" w:type="dxa"/>
            </w:tcMar>
          </w:tcPr>
          <w:p w14:paraId="7B5F514E" w14:textId="77777777" w:rsidR="001C227F" w:rsidRDefault="001C227F">
            <w:pPr>
              <w:jc w:val="center"/>
            </w:pPr>
          </w:p>
        </w:tc>
      </w:tr>
    </w:tbl>
    <w:p w14:paraId="47841866" w14:textId="77777777" w:rsidR="001C227F" w:rsidRDefault="001C227F">
      <w:pPr>
        <w:pBdr>
          <w:top w:val="none" w:sz="0" w:space="0" w:color="000000"/>
          <w:left w:val="none" w:sz="0" w:space="0" w:color="000000"/>
          <w:bottom w:val="none" w:sz="0" w:space="0" w:color="000000"/>
          <w:right w:val="none" w:sz="0" w:space="0" w:color="000000"/>
          <w:between w:val="none" w:sz="0" w:space="0" w:color="000000"/>
        </w:pBdr>
        <w:jc w:val="both"/>
        <w:rPr>
          <w:rFonts w:ascii="Century Gothic" w:eastAsia="Century Gothic" w:hAnsi="Century Gothic" w:cs="Century Gothic"/>
        </w:rPr>
      </w:pPr>
    </w:p>
    <w:p w14:paraId="31A8DD38" w14:textId="77777777" w:rsidR="001C227F" w:rsidRDefault="001C227F">
      <w:pPr>
        <w:spacing w:after="160"/>
        <w:jc w:val="center"/>
        <w:rPr>
          <w:rFonts w:ascii="Century Gothic" w:eastAsia="Century Gothic" w:hAnsi="Century Gothic" w:cs="Century Gothic"/>
        </w:rPr>
      </w:pPr>
    </w:p>
    <w:sectPr w:rsidR="001C227F">
      <w:headerReference w:type="default" r:id="rId18"/>
      <w:footerReference w:type="even" r:id="rId19"/>
      <w:footerReference w:type="default" r:id="rId20"/>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D6CE7" w14:textId="77777777" w:rsidR="00AD45D2" w:rsidRDefault="00AD45D2">
      <w:pPr>
        <w:spacing w:line="240" w:lineRule="auto"/>
      </w:pPr>
      <w:r>
        <w:separator/>
      </w:r>
    </w:p>
  </w:endnote>
  <w:endnote w:type="continuationSeparator" w:id="0">
    <w:p w14:paraId="1A72ADF1" w14:textId="77777777" w:rsidR="00AD45D2" w:rsidRDefault="00AD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BD2B" w14:textId="77777777" w:rsidR="001C227F" w:rsidRDefault="00AD45D2">
    <w:pPr>
      <w:pBdr>
        <w:top w:val="nil"/>
        <w:left w:val="nil"/>
        <w:bottom w:val="nil"/>
        <w:right w:val="nil"/>
        <w:between w:val="nil"/>
      </w:pBdr>
      <w:tabs>
        <w:tab w:val="center" w:pos="4680"/>
        <w:tab w:val="right" w:pos="9360"/>
      </w:tabs>
      <w:spacing w:line="240" w:lineRule="auto"/>
      <w:rPr>
        <w:color w:val="000000"/>
      </w:rPr>
    </w:pPr>
    <w:r>
      <w:rPr>
        <w:noProof/>
      </w:rPr>
      <mc:AlternateContent>
        <mc:Choice Requires="wpg">
          <w:drawing>
            <wp:anchor distT="0" distB="0" distL="0" distR="0" simplePos="0" relativeHeight="251661312" behindDoc="0" locked="0" layoutInCell="1" hidden="0" allowOverlap="1" wp14:anchorId="3DC6DC39" wp14:editId="10FB5A97">
              <wp:simplePos x="0" y="0"/>
              <wp:positionH relativeFrom="column">
                <wp:posOffset>-914399</wp:posOffset>
              </wp:positionH>
              <wp:positionV relativeFrom="paragraph">
                <wp:posOffset>0</wp:posOffset>
              </wp:positionV>
              <wp:extent cx="501015" cy="501015"/>
              <wp:effectExtent l="0" t="0" r="0" b="0"/>
              <wp:wrapNone/>
              <wp:docPr id="4141" name="Rectángulo 4141"/>
              <wp:cNvGraphicFramePr/>
              <a:graphic xmlns:a="http://schemas.openxmlformats.org/drawingml/2006/main">
                <a:graphicData uri="http://schemas.microsoft.com/office/word/2010/wordprocessingShape">
                  <wps:wsp>
                    <wps:cNvSpPr/>
                    <wps:spPr>
                      <a:xfrm>
                        <a:off x="5114543" y="3548543"/>
                        <a:ext cx="462915" cy="462915"/>
                      </a:xfrm>
                      <a:prstGeom prst="rect">
                        <a:avLst/>
                      </a:prstGeom>
                      <a:noFill/>
                      <a:ln>
                        <a:noFill/>
                      </a:ln>
                    </wps:spPr>
                    <wps:txbx>
                      <w:txbxContent>
                        <w:p w14:paraId="55DB5C13" w14:textId="77777777" w:rsidR="001C227F" w:rsidRDefault="00AD45D2">
                          <w:pPr>
                            <w:spacing w:line="275" w:lineRule="auto"/>
                            <w:textDirection w:val="btLr"/>
                          </w:pPr>
                          <w:r>
                            <w:rPr>
                              <w:rFonts w:ascii="Calibri" w:eastAsia="Calibri" w:hAnsi="Calibri" w:cs="Calibri"/>
                              <w:color w:val="000000"/>
                              <w:sz w:val="20"/>
                            </w:rPr>
                            <w:t>Internal</w:t>
                          </w:r>
                        </w:p>
                      </w:txbxContent>
                    </wps:txbx>
                    <wps:bodyPr spcFirstLastPara="1" wrap="square" lIns="254000" tIns="0" rIns="0" bIns="190500" anchor="b"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501015" cy="501015"/>
              <wp:effectExtent b="0" l="0" r="0" t="0"/>
              <wp:wrapNone/>
              <wp:docPr id="4141" name="image39.png"/>
              <a:graphic>
                <a:graphicData uri="http://schemas.openxmlformats.org/drawingml/2006/picture">
                  <pic:pic>
                    <pic:nvPicPr>
                      <pic:cNvPr id="0" name="image39.png"/>
                      <pic:cNvPicPr preferRelativeResize="0"/>
                    </pic:nvPicPr>
                    <pic:blipFill>
                      <a:blip r:embed="rId1"/>
                      <a:srcRect/>
                      <a:stretch>
                        <a:fillRect/>
                      </a:stretch>
                    </pic:blipFill>
                    <pic:spPr>
                      <a:xfrm>
                        <a:off x="0" y="0"/>
                        <a:ext cx="501015" cy="50101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BF18" w14:textId="77777777" w:rsidR="001C227F" w:rsidRDefault="00AD45D2">
    <w:pPr>
      <w:pBdr>
        <w:top w:val="nil"/>
        <w:left w:val="nil"/>
        <w:bottom w:val="nil"/>
        <w:right w:val="nil"/>
        <w:between w:val="nil"/>
      </w:pBdr>
      <w:tabs>
        <w:tab w:val="center" w:pos="4680"/>
        <w:tab w:val="right" w:pos="9360"/>
      </w:tabs>
      <w:spacing w:line="240" w:lineRule="auto"/>
      <w:rPr>
        <w:color w:val="000000"/>
      </w:rPr>
    </w:pPr>
    <w:r>
      <w:rPr>
        <w:noProof/>
      </w:rPr>
      <w:drawing>
        <wp:anchor distT="0" distB="0" distL="0" distR="0" simplePos="0" relativeHeight="251660288" behindDoc="1" locked="0" layoutInCell="1" hidden="0" allowOverlap="1" wp14:anchorId="15CF0B34" wp14:editId="42ED9425">
          <wp:simplePos x="0" y="0"/>
          <wp:positionH relativeFrom="column">
            <wp:posOffset>-914395</wp:posOffset>
          </wp:positionH>
          <wp:positionV relativeFrom="paragraph">
            <wp:posOffset>-161921</wp:posOffset>
          </wp:positionV>
          <wp:extent cx="7771448" cy="858197"/>
          <wp:effectExtent l="0" t="0" r="0" b="0"/>
          <wp:wrapNone/>
          <wp:docPr id="4183"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
                  <a:srcRect/>
                  <a:stretch>
                    <a:fillRect/>
                  </a:stretch>
                </pic:blipFill>
                <pic:spPr>
                  <a:xfrm>
                    <a:off x="0" y="0"/>
                    <a:ext cx="7771448" cy="85819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6EDD" w14:textId="77777777" w:rsidR="00AD45D2" w:rsidRDefault="00AD45D2">
      <w:pPr>
        <w:spacing w:line="240" w:lineRule="auto"/>
      </w:pPr>
      <w:r>
        <w:separator/>
      </w:r>
    </w:p>
  </w:footnote>
  <w:footnote w:type="continuationSeparator" w:id="0">
    <w:p w14:paraId="779576C9" w14:textId="77777777" w:rsidR="00AD45D2" w:rsidRDefault="00AD45D2">
      <w:pPr>
        <w:spacing w:line="240" w:lineRule="auto"/>
      </w:pPr>
      <w:r>
        <w:continuationSeparator/>
      </w:r>
    </w:p>
  </w:footnote>
  <w:footnote w:id="1">
    <w:p w14:paraId="2F592982" w14:textId="77777777" w:rsidR="001C227F" w:rsidRDefault="00AD45D2">
      <w:pPr>
        <w:pBdr>
          <w:top w:val="nil"/>
          <w:left w:val="nil"/>
          <w:bottom w:val="nil"/>
          <w:right w:val="nil"/>
          <w:between w:val="nil"/>
        </w:pBdr>
        <w:spacing w:line="240" w:lineRule="auto"/>
        <w:jc w:val="both"/>
        <w:rPr>
          <w:color w:val="000000"/>
          <w:sz w:val="20"/>
          <w:szCs w:val="20"/>
        </w:rPr>
      </w:pPr>
      <w:r>
        <w:rPr>
          <w:vertAlign w:val="superscript"/>
        </w:rPr>
        <w:footnoteRef/>
      </w:r>
      <w:r>
        <w:rPr>
          <w:color w:val="000000"/>
          <w:sz w:val="20"/>
          <w:szCs w:val="20"/>
        </w:rPr>
        <w:t xml:space="preserve"> CONSEJO DE ESTADO, SALA PLENA DE LO CONTENCIOSO ADMINISTRATIVO. Radicado, 11001-03-15-000-2020-04535-00(PI) (08 de septiembre de 2021). C.P. Guillermo </w:t>
      </w:r>
      <w:proofErr w:type="spellStart"/>
      <w:r>
        <w:rPr>
          <w:color w:val="000000"/>
          <w:sz w:val="20"/>
          <w:szCs w:val="20"/>
        </w:rPr>
        <w:t>Sanchez</w:t>
      </w:r>
      <w:proofErr w:type="spellEnd"/>
      <w:r>
        <w:rPr>
          <w:color w:val="000000"/>
          <w:sz w:val="20"/>
          <w:szCs w:val="20"/>
        </w:rPr>
        <w:t xml:space="preserve"> Luque.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FA23" w14:textId="77777777" w:rsidR="001C227F" w:rsidRDefault="00AD45D2">
    <w:pPr>
      <w:widowControl w:val="0"/>
      <w:tabs>
        <w:tab w:val="left" w:pos="8360"/>
      </w:tabs>
      <w:spacing w:line="240" w:lineRule="auto"/>
      <w:ind w:left="3051"/>
      <w:rPr>
        <w:rFonts w:ascii="Times New Roman" w:eastAsia="Times New Roman" w:hAnsi="Times New Roman" w:cs="Times New Roman"/>
        <w:sz w:val="20"/>
        <w:szCs w:val="20"/>
      </w:rPr>
    </w:pPr>
    <w:r>
      <w:rPr>
        <w:rFonts w:ascii="Times New Roman" w:eastAsia="Times New Roman" w:hAnsi="Times New Roman" w:cs="Times New Roman"/>
        <w:sz w:val="33"/>
        <w:szCs w:val="33"/>
        <w:vertAlign w:val="superscript"/>
      </w:rPr>
      <w:tab/>
    </w:r>
    <w:r>
      <w:rPr>
        <w:noProof/>
      </w:rPr>
      <w:drawing>
        <wp:anchor distT="0" distB="0" distL="0" distR="0" simplePos="0" relativeHeight="251658240" behindDoc="0" locked="0" layoutInCell="1" hidden="0" allowOverlap="1" wp14:anchorId="57E78C13" wp14:editId="68F59735">
          <wp:simplePos x="0" y="0"/>
          <wp:positionH relativeFrom="column">
            <wp:posOffset>1947234</wp:posOffset>
          </wp:positionH>
          <wp:positionV relativeFrom="paragraph">
            <wp:posOffset>-147318</wp:posOffset>
          </wp:positionV>
          <wp:extent cx="2077072" cy="611885"/>
          <wp:effectExtent l="9525" t="9525" r="9525" b="9525"/>
          <wp:wrapNone/>
          <wp:docPr id="4208"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
                  <a:srcRect/>
                  <a:stretch>
                    <a:fillRect/>
                  </a:stretch>
                </pic:blipFill>
                <pic:spPr>
                  <a:xfrm>
                    <a:off x="0" y="0"/>
                    <a:ext cx="2077072" cy="611885"/>
                  </a:xfrm>
                  <a:prstGeom prst="rect">
                    <a:avLst/>
                  </a:prstGeom>
                  <a:ln w="9525">
                    <a:solidFill>
                      <a:srgbClr val="000000"/>
                    </a:solidFill>
                    <a:prstDash val="solid"/>
                  </a:ln>
                </pic:spPr>
              </pic:pic>
            </a:graphicData>
          </a:graphic>
        </wp:anchor>
      </w:drawing>
    </w:r>
    <w:r>
      <w:rPr>
        <w:noProof/>
      </w:rPr>
      <w:drawing>
        <wp:anchor distT="114300" distB="114300" distL="114300" distR="114300" simplePos="0" relativeHeight="251659264" behindDoc="0" locked="0" layoutInCell="1" hidden="0" allowOverlap="1" wp14:anchorId="30B6B215" wp14:editId="6BDAA3B2">
          <wp:simplePos x="0" y="0"/>
          <wp:positionH relativeFrom="column">
            <wp:posOffset>4984750</wp:posOffset>
          </wp:positionH>
          <wp:positionV relativeFrom="paragraph">
            <wp:posOffset>-55877</wp:posOffset>
          </wp:positionV>
          <wp:extent cx="1320675" cy="496887"/>
          <wp:effectExtent l="0" t="0" r="0" b="0"/>
          <wp:wrapNone/>
          <wp:docPr id="419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
                  <a:srcRect/>
                  <a:stretch>
                    <a:fillRect/>
                  </a:stretch>
                </pic:blipFill>
                <pic:spPr>
                  <a:xfrm>
                    <a:off x="0" y="0"/>
                    <a:ext cx="1320675" cy="496887"/>
                  </a:xfrm>
                  <a:prstGeom prst="rect">
                    <a:avLst/>
                  </a:prstGeom>
                  <a:ln/>
                </pic:spPr>
              </pic:pic>
            </a:graphicData>
          </a:graphic>
        </wp:anchor>
      </w:drawing>
    </w:r>
  </w:p>
  <w:p w14:paraId="392600BC" w14:textId="77777777" w:rsidR="001C227F" w:rsidRDefault="001C227F">
    <w:pPr>
      <w:widowControl w:val="0"/>
      <w:tabs>
        <w:tab w:val="left" w:pos="8360"/>
      </w:tabs>
      <w:spacing w:line="240" w:lineRule="auto"/>
      <w:ind w:left="3051"/>
      <w:rPr>
        <w:rFonts w:ascii="Times New Roman" w:eastAsia="Times New Roman" w:hAnsi="Times New Roman" w:cs="Times New Roman"/>
        <w:sz w:val="20"/>
        <w:szCs w:val="20"/>
      </w:rPr>
    </w:pPr>
  </w:p>
  <w:p w14:paraId="01F6F50E" w14:textId="77777777" w:rsidR="001C227F" w:rsidRDefault="001C227F">
    <w:pPr>
      <w:widowControl w:val="0"/>
      <w:tabs>
        <w:tab w:val="left" w:pos="8360"/>
      </w:tabs>
      <w:spacing w:line="240" w:lineRule="auto"/>
      <w:ind w:left="3051"/>
      <w:rPr>
        <w:rFonts w:ascii="Times New Roman" w:eastAsia="Times New Roman" w:hAnsi="Times New Roman" w:cs="Times New Roman"/>
        <w:sz w:val="20"/>
        <w:szCs w:val="20"/>
      </w:rPr>
    </w:pPr>
  </w:p>
  <w:p w14:paraId="7A23DBDF" w14:textId="77777777" w:rsidR="001C227F" w:rsidRDefault="00AD45D2">
    <w:pPr>
      <w:widowControl w:val="0"/>
      <w:tabs>
        <w:tab w:val="left" w:pos="836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CB6E649" w14:textId="77777777" w:rsidR="001C227F" w:rsidRDefault="00AD45D2">
    <w:pPr>
      <w:widowControl w:val="0"/>
      <w:tabs>
        <w:tab w:val="left" w:pos="8360"/>
      </w:tabs>
      <w:spacing w:line="240" w:lineRule="auto"/>
      <w:jc w:val="center"/>
      <w:rPr>
        <w:b/>
        <w:sz w:val="20"/>
        <w:szCs w:val="20"/>
      </w:rPr>
    </w:pPr>
    <w:r>
      <w:rPr>
        <w:b/>
        <w:sz w:val="20"/>
        <w:szCs w:val="20"/>
      </w:rPr>
      <w:t>CATHERINE JUVINAO CLAVIJO</w:t>
    </w:r>
  </w:p>
  <w:p w14:paraId="1FAD5B0F" w14:textId="77777777" w:rsidR="001C227F" w:rsidRDefault="00AD45D2">
    <w:pPr>
      <w:widowControl w:val="0"/>
      <w:tabs>
        <w:tab w:val="left" w:pos="8360"/>
      </w:tabs>
      <w:spacing w:line="240" w:lineRule="auto"/>
      <w:jc w:val="center"/>
      <w:rPr>
        <w:b/>
        <w:sz w:val="20"/>
        <w:szCs w:val="20"/>
      </w:rPr>
    </w:pPr>
    <w:r>
      <w:rPr>
        <w:sz w:val="20"/>
        <w:szCs w:val="20"/>
      </w:rPr>
      <w:t>Representante a la Cámara por Bogotá</w:t>
    </w:r>
    <w:r>
      <w:rPr>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3068"/>
    <w:multiLevelType w:val="multilevel"/>
    <w:tmpl w:val="970A0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C8510F"/>
    <w:multiLevelType w:val="multilevel"/>
    <w:tmpl w:val="DF542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F14B55"/>
    <w:multiLevelType w:val="multilevel"/>
    <w:tmpl w:val="7E6EE0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DD0A64"/>
    <w:multiLevelType w:val="multilevel"/>
    <w:tmpl w:val="A7F63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3173AC7"/>
    <w:multiLevelType w:val="multilevel"/>
    <w:tmpl w:val="3E84A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407E13"/>
    <w:multiLevelType w:val="multilevel"/>
    <w:tmpl w:val="C374CC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27F"/>
    <w:rsid w:val="001C227F"/>
    <w:rsid w:val="00AD45D2"/>
    <w:rsid w:val="00B70A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D0BF"/>
  <w15:docId w15:val="{25EC46AC-7871-461B-96F8-C89D5184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rafodelista">
    <w:name w:val="List Paragraph"/>
    <w:basedOn w:val="Normal"/>
    <w:uiPriority w:val="34"/>
    <w:qFormat/>
    <w:pPr>
      <w:spacing w:after="160" w:line="259" w:lineRule="auto"/>
      <w:ind w:left="720"/>
      <w:contextualSpacing/>
    </w:pPr>
    <w:rPr>
      <w:rFonts w:ascii="Cambria" w:eastAsia="Cambria" w:hAnsi="Cambria" w:cs="SimSun"/>
      <w:lang w:val="es-CO"/>
    </w:rPr>
  </w:style>
  <w:style w:type="paragraph" w:styleId="Textonotapie">
    <w:name w:val="footnote text"/>
    <w:basedOn w:val="Normal"/>
    <w:link w:val="TextonotapieCar"/>
    <w:uiPriority w:val="99"/>
    <w:pPr>
      <w:spacing w:line="240" w:lineRule="auto"/>
    </w:pPr>
    <w:rPr>
      <w:rFonts w:ascii="Cambria" w:eastAsia="Cambria" w:hAnsi="Cambria" w:cs="SimSun"/>
      <w:sz w:val="20"/>
      <w:szCs w:val="20"/>
      <w:lang w:val="es-CO"/>
    </w:rPr>
  </w:style>
  <w:style w:type="character" w:customStyle="1" w:styleId="TextonotapieCar">
    <w:name w:val="Texto nota pie Car"/>
    <w:basedOn w:val="Fuentedeprrafopredeter"/>
    <w:link w:val="Textonotapie"/>
    <w:uiPriority w:val="99"/>
    <w:rPr>
      <w:rFonts w:ascii="Cambria" w:eastAsia="Cambria" w:hAnsi="Cambria" w:cs="SimSun"/>
      <w:sz w:val="20"/>
      <w:szCs w:val="20"/>
      <w:lang w:val="es-CO" w:eastAsia="en-US"/>
    </w:rPr>
  </w:style>
  <w:style w:type="character" w:styleId="Refdenotaalpie">
    <w:name w:val="footnote reference"/>
    <w:basedOn w:val="Fuentedeprrafopredeter"/>
    <w:uiPriority w:val="99"/>
    <w:rPr>
      <w:vertAlign w:val="superscript"/>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DB249B"/>
    <w:rPr>
      <w:color w:val="0000FF" w:themeColor="hyperlink"/>
      <w:u w:val="single"/>
    </w:rPr>
  </w:style>
  <w:style w:type="character" w:customStyle="1" w:styleId="Mencinsinresolver1">
    <w:name w:val="Mención sin resolver1"/>
    <w:basedOn w:val="Fuentedeprrafopredeter"/>
    <w:uiPriority w:val="99"/>
    <w:semiHidden/>
    <w:unhideWhenUsed/>
    <w:rsid w:val="00DB249B"/>
    <w:rPr>
      <w:color w:val="605E5C"/>
      <w:shd w:val="clear" w:color="auto" w:fill="E1DFDD"/>
    </w:rPr>
  </w:style>
  <w:style w:type="character" w:styleId="Refdecomentario">
    <w:name w:val="annotation reference"/>
    <w:basedOn w:val="Fuentedeprrafopredeter"/>
    <w:uiPriority w:val="99"/>
    <w:semiHidden/>
    <w:unhideWhenUsed/>
    <w:rsid w:val="001C4522"/>
    <w:rPr>
      <w:sz w:val="16"/>
      <w:szCs w:val="16"/>
    </w:rPr>
  </w:style>
  <w:style w:type="paragraph" w:styleId="Textocomentario">
    <w:name w:val="annotation text"/>
    <w:basedOn w:val="Normal"/>
    <w:link w:val="TextocomentarioCar"/>
    <w:uiPriority w:val="99"/>
    <w:unhideWhenUsed/>
    <w:rsid w:val="001C4522"/>
    <w:pPr>
      <w:spacing w:line="240" w:lineRule="auto"/>
    </w:pPr>
    <w:rPr>
      <w:sz w:val="20"/>
      <w:szCs w:val="20"/>
    </w:rPr>
  </w:style>
  <w:style w:type="character" w:customStyle="1" w:styleId="TextocomentarioCar">
    <w:name w:val="Texto comentario Car"/>
    <w:basedOn w:val="Fuentedeprrafopredeter"/>
    <w:link w:val="Textocomentario"/>
    <w:uiPriority w:val="99"/>
    <w:rsid w:val="001C4522"/>
    <w:rPr>
      <w:sz w:val="20"/>
      <w:szCs w:val="20"/>
    </w:rPr>
  </w:style>
  <w:style w:type="paragraph" w:styleId="Asuntodelcomentario">
    <w:name w:val="annotation subject"/>
    <w:basedOn w:val="Textocomentario"/>
    <w:next w:val="Textocomentario"/>
    <w:link w:val="AsuntodelcomentarioCar"/>
    <w:uiPriority w:val="99"/>
    <w:semiHidden/>
    <w:unhideWhenUsed/>
    <w:rsid w:val="001C4522"/>
    <w:rPr>
      <w:b/>
      <w:bCs/>
    </w:rPr>
  </w:style>
  <w:style w:type="character" w:customStyle="1" w:styleId="AsuntodelcomentarioCar">
    <w:name w:val="Asunto del comentario Car"/>
    <w:basedOn w:val="TextocomentarioCar"/>
    <w:link w:val="Asuntodelcomentario"/>
    <w:uiPriority w:val="99"/>
    <w:semiHidden/>
    <w:rsid w:val="001C4522"/>
    <w:rPr>
      <w:b/>
      <w:bCs/>
      <w:sz w:val="20"/>
      <w:szCs w:val="20"/>
    </w:rPr>
  </w:style>
  <w:style w:type="paragraph" w:styleId="Piedepgina">
    <w:name w:val="footer"/>
    <w:basedOn w:val="Normal"/>
    <w:link w:val="PiedepginaCar"/>
    <w:uiPriority w:val="99"/>
    <w:unhideWhenUsed/>
    <w:rsid w:val="006D33D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D33D4"/>
  </w:style>
  <w:style w:type="paragraph" w:styleId="Textodeglobo">
    <w:name w:val="Balloon Text"/>
    <w:basedOn w:val="Normal"/>
    <w:link w:val="TextodegloboCar"/>
    <w:uiPriority w:val="99"/>
    <w:semiHidden/>
    <w:unhideWhenUsed/>
    <w:rsid w:val="002D09A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09A1"/>
    <w:rPr>
      <w:rFonts w:ascii="Segoe UI" w:hAnsi="Segoe UI" w:cs="Segoe UI"/>
      <w:sz w:val="18"/>
      <w:szCs w:val="18"/>
    </w:r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character" w:styleId="nfasis">
    <w:name w:val="Emphasis"/>
    <w:basedOn w:val="Fuentedeprrafopredeter"/>
    <w:uiPriority w:val="20"/>
    <w:qFormat/>
    <w:rsid w:val="00706400"/>
    <w:rPr>
      <w:i/>
      <w:iCs/>
    </w:r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9.png"/></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c4r7i/rplLKN0abHKMmzVHEhyQ==">CgMxLjAyCGguZ2pkZ3hzMg5oLnN2YWVlYTZnYjUwZjIOaC40ZGlpenRnazQ5bXQ4AHIhMTZyRWM1Unkzem9wMUhWeTBTakphNE0yMEpKcUF1bzY1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8108</Words>
  <Characters>44596</Characters>
  <Application>Microsoft Office Word</Application>
  <DocSecurity>0</DocSecurity>
  <Lines>371</Lines>
  <Paragraphs>105</Paragraphs>
  <ScaleCrop>false</ScaleCrop>
  <Company/>
  <LinksUpToDate>false</LinksUpToDate>
  <CharactersWithSpaces>52599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Catherine Juvinao Clavijo</cp:lastModifiedBy>
  <cp:revision>2</cp:revision>
  <dcterms:created xsi:type="dcterms:W3CDTF">2025-07-31T22:36:00Z</dcterms:created>
  <dcterms:modified xsi:type="dcterms:W3CDTF">2025-07-31T22:36:00Z</dcterms:modified>
</cp:coreProperties>
</file>