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5D134" w14:textId="77777777" w:rsidR="00AA5550" w:rsidRDefault="00045FF4">
      <w:pPr>
        <w:spacing w:line="240" w:lineRule="auto"/>
        <w:jc w:val="both"/>
        <w:rPr>
          <w:rFonts w:ascii="Century Gothic" w:eastAsia="Century Gothic" w:hAnsi="Century Gothic" w:cs="Century Gothic"/>
        </w:rPr>
      </w:pPr>
      <w:bookmarkStart w:id="0" w:name="_heading=h.p1pzr13mywde" w:colFirst="0" w:colLast="0"/>
      <w:bookmarkEnd w:id="0"/>
      <w:r>
        <w:rPr>
          <w:rFonts w:ascii="Century Gothic" w:eastAsia="Century Gothic" w:hAnsi="Century Gothic" w:cs="Century Gothic"/>
        </w:rPr>
        <w:t>Bogotá D.C., 20 de agosto de 2025</w:t>
      </w:r>
    </w:p>
    <w:p w14:paraId="63678298" w14:textId="77777777" w:rsidR="00AA5550" w:rsidRDefault="00AA5550">
      <w:pPr>
        <w:spacing w:line="240" w:lineRule="auto"/>
        <w:jc w:val="both"/>
        <w:rPr>
          <w:rFonts w:ascii="Century Gothic" w:eastAsia="Century Gothic" w:hAnsi="Century Gothic" w:cs="Century Gothic"/>
        </w:rPr>
      </w:pPr>
    </w:p>
    <w:p w14:paraId="1509DEBB" w14:textId="77777777" w:rsidR="00AA5550" w:rsidRDefault="00045FF4">
      <w:pPr>
        <w:spacing w:line="240" w:lineRule="auto"/>
        <w:jc w:val="both"/>
        <w:rPr>
          <w:rFonts w:ascii="Century Gothic" w:eastAsia="Century Gothic" w:hAnsi="Century Gothic" w:cs="Century Gothic"/>
        </w:rPr>
      </w:pPr>
      <w:r>
        <w:rPr>
          <w:rFonts w:ascii="Century Gothic" w:eastAsia="Century Gothic" w:hAnsi="Century Gothic" w:cs="Century Gothic"/>
        </w:rPr>
        <w:t>Doctor</w:t>
      </w:r>
    </w:p>
    <w:p w14:paraId="36B279C9" w14:textId="77777777" w:rsidR="00AA5550" w:rsidRDefault="00045FF4">
      <w:pPr>
        <w:spacing w:line="240" w:lineRule="auto"/>
        <w:jc w:val="both"/>
        <w:rPr>
          <w:rFonts w:ascii="Century Gothic" w:eastAsia="Century Gothic" w:hAnsi="Century Gothic" w:cs="Century Gothic"/>
          <w:b/>
        </w:rPr>
      </w:pPr>
      <w:r>
        <w:rPr>
          <w:rFonts w:ascii="Century Gothic" w:eastAsia="Century Gothic" w:hAnsi="Century Gothic" w:cs="Century Gothic"/>
          <w:b/>
        </w:rPr>
        <w:t>Jaime Luis Lacouture Peñaloza</w:t>
      </w:r>
    </w:p>
    <w:p w14:paraId="77F6E34A" w14:textId="77777777" w:rsidR="00AA5550" w:rsidRDefault="00045FF4">
      <w:pPr>
        <w:spacing w:line="240" w:lineRule="auto"/>
        <w:jc w:val="both"/>
        <w:rPr>
          <w:rFonts w:ascii="Century Gothic" w:eastAsia="Century Gothic" w:hAnsi="Century Gothic" w:cs="Century Gothic"/>
        </w:rPr>
      </w:pPr>
      <w:r>
        <w:rPr>
          <w:rFonts w:ascii="Century Gothic" w:eastAsia="Century Gothic" w:hAnsi="Century Gothic" w:cs="Century Gothic"/>
        </w:rPr>
        <w:t>Secretario General</w:t>
      </w:r>
    </w:p>
    <w:p w14:paraId="557A94D4" w14:textId="77777777" w:rsidR="00AA5550" w:rsidRDefault="00045FF4">
      <w:pPr>
        <w:spacing w:line="240" w:lineRule="auto"/>
        <w:jc w:val="both"/>
        <w:rPr>
          <w:rFonts w:ascii="Century Gothic" w:eastAsia="Century Gothic" w:hAnsi="Century Gothic" w:cs="Century Gothic"/>
        </w:rPr>
      </w:pPr>
      <w:r>
        <w:rPr>
          <w:rFonts w:ascii="Century Gothic" w:eastAsia="Century Gothic" w:hAnsi="Century Gothic" w:cs="Century Gothic"/>
        </w:rPr>
        <w:t>Cámara de Representantes</w:t>
      </w:r>
    </w:p>
    <w:p w14:paraId="5AAC6819" w14:textId="77777777" w:rsidR="00AA5550" w:rsidRDefault="00AA5550">
      <w:pPr>
        <w:spacing w:line="240" w:lineRule="auto"/>
        <w:jc w:val="both"/>
        <w:rPr>
          <w:sz w:val="24"/>
          <w:szCs w:val="24"/>
        </w:rPr>
      </w:pPr>
    </w:p>
    <w:p w14:paraId="2322742E" w14:textId="77777777" w:rsidR="00AA5550" w:rsidRDefault="00AA5550">
      <w:pPr>
        <w:spacing w:line="240" w:lineRule="auto"/>
        <w:jc w:val="both"/>
        <w:rPr>
          <w:sz w:val="24"/>
          <w:szCs w:val="24"/>
        </w:rPr>
      </w:pPr>
    </w:p>
    <w:p w14:paraId="7BCFCE2B" w14:textId="77777777" w:rsidR="00AA5550" w:rsidRDefault="00045FF4">
      <w:pPr>
        <w:spacing w:line="240" w:lineRule="auto"/>
        <w:jc w:val="both"/>
        <w:rPr>
          <w:sz w:val="24"/>
          <w:szCs w:val="24"/>
        </w:rPr>
      </w:pPr>
      <w:r>
        <w:rPr>
          <w:rFonts w:ascii="Century Gothic" w:eastAsia="Century Gothic" w:hAnsi="Century Gothic" w:cs="Century Gothic"/>
          <w:b/>
        </w:rPr>
        <w:t>Asunto:</w:t>
      </w:r>
      <w:r>
        <w:rPr>
          <w:rFonts w:ascii="Century Gothic" w:eastAsia="Century Gothic" w:hAnsi="Century Gothic" w:cs="Century Gothic"/>
        </w:rPr>
        <w:t xml:space="preserve"> Radicación proyecto de ley:</w:t>
      </w:r>
      <w:r>
        <w:rPr>
          <w:sz w:val="24"/>
          <w:szCs w:val="24"/>
        </w:rPr>
        <w:t xml:space="preserve"> </w:t>
      </w:r>
      <w:r>
        <w:rPr>
          <w:rFonts w:ascii="Century Gothic" w:eastAsia="Century Gothic" w:hAnsi="Century Gothic" w:cs="Century Gothic"/>
        </w:rPr>
        <w:t>“Por medio de la cual se establecen lineamientos para la promoción y garantía de entornos seguros y protectores para mujeres, niñas, niños y adolescentes, y se dictan otras disposiciones.”</w:t>
      </w:r>
    </w:p>
    <w:p w14:paraId="6E253012" w14:textId="77777777" w:rsidR="00AA5550" w:rsidRDefault="00AA5550">
      <w:pPr>
        <w:spacing w:line="240" w:lineRule="auto"/>
        <w:jc w:val="both"/>
        <w:rPr>
          <w:sz w:val="24"/>
          <w:szCs w:val="24"/>
        </w:rPr>
      </w:pPr>
    </w:p>
    <w:p w14:paraId="23B20479" w14:textId="77777777" w:rsidR="00AA5550" w:rsidRDefault="00045FF4">
      <w:pPr>
        <w:spacing w:line="240" w:lineRule="auto"/>
        <w:jc w:val="both"/>
        <w:rPr>
          <w:rFonts w:ascii="Century Gothic" w:eastAsia="Century Gothic" w:hAnsi="Century Gothic" w:cs="Century Gothic"/>
        </w:rPr>
      </w:pPr>
      <w:r>
        <w:rPr>
          <w:rFonts w:ascii="Century Gothic" w:eastAsia="Century Gothic" w:hAnsi="Century Gothic" w:cs="Century Gothic"/>
        </w:rPr>
        <w:t>Cordial Saludo,</w:t>
      </w:r>
    </w:p>
    <w:p w14:paraId="7F625904" w14:textId="77777777" w:rsidR="00AA5550" w:rsidRDefault="00AA5550">
      <w:pPr>
        <w:spacing w:line="240" w:lineRule="auto"/>
        <w:jc w:val="both"/>
        <w:rPr>
          <w:rFonts w:ascii="Century Gothic" w:eastAsia="Century Gothic" w:hAnsi="Century Gothic" w:cs="Century Gothic"/>
        </w:rPr>
      </w:pPr>
    </w:p>
    <w:p w14:paraId="7AFDDE18" w14:textId="77777777" w:rsidR="00AA5550" w:rsidRDefault="00045FF4">
      <w:pPr>
        <w:spacing w:line="240" w:lineRule="auto"/>
        <w:jc w:val="both"/>
        <w:rPr>
          <w:rFonts w:ascii="Century Gothic" w:eastAsia="Century Gothic" w:hAnsi="Century Gothic" w:cs="Century Gothic"/>
        </w:rPr>
      </w:pPr>
      <w:r>
        <w:rPr>
          <w:rFonts w:ascii="Century Gothic" w:eastAsia="Century Gothic" w:hAnsi="Century Gothic" w:cs="Century Gothic"/>
        </w:rPr>
        <w:t>De manera respetuosa, los congresistas abajo firm</w:t>
      </w:r>
      <w:r>
        <w:rPr>
          <w:rFonts w:ascii="Century Gothic" w:eastAsia="Century Gothic" w:hAnsi="Century Gothic" w:cs="Century Gothic"/>
        </w:rPr>
        <w:t>antes radicamos ante usted la presente iniciativa de Proyecto de Ley “Por medio de la cual se establecen lineamientos para la promoción y garantía de entornos seguros y protectores para mujeres, niñas, niños y adolescentes, y se dictan otras disposiciones.</w:t>
      </w:r>
      <w:r>
        <w:rPr>
          <w:rFonts w:ascii="Century Gothic" w:eastAsia="Century Gothic" w:hAnsi="Century Gothic" w:cs="Century Gothic"/>
        </w:rPr>
        <w:t>”</w:t>
      </w:r>
    </w:p>
    <w:p w14:paraId="783E316E" w14:textId="77777777" w:rsidR="00AA5550" w:rsidRDefault="00AA5550">
      <w:pPr>
        <w:spacing w:line="240" w:lineRule="auto"/>
        <w:jc w:val="both"/>
        <w:rPr>
          <w:rFonts w:ascii="Century Gothic" w:eastAsia="Century Gothic" w:hAnsi="Century Gothic" w:cs="Century Gothic"/>
        </w:rPr>
      </w:pPr>
    </w:p>
    <w:p w14:paraId="04FB4CC4" w14:textId="77777777" w:rsidR="00AA5550" w:rsidRDefault="00045FF4">
      <w:pPr>
        <w:spacing w:line="240" w:lineRule="auto"/>
        <w:jc w:val="both"/>
        <w:rPr>
          <w:rFonts w:ascii="Century Gothic" w:eastAsia="Century Gothic" w:hAnsi="Century Gothic" w:cs="Century Gothic"/>
        </w:rPr>
      </w:pPr>
      <w:r>
        <w:rPr>
          <w:rFonts w:ascii="Century Gothic" w:eastAsia="Century Gothic" w:hAnsi="Century Gothic" w:cs="Century Gothic"/>
        </w:rPr>
        <w:t>Lo anterior con el fin de iniciar el trámite correspondiente y en cumplimiento con las exigencias dictadas por la Ley y la Constitución.</w:t>
      </w:r>
    </w:p>
    <w:p w14:paraId="37BC9BCC" w14:textId="77777777" w:rsidR="00AA5550" w:rsidRDefault="00AA5550">
      <w:pPr>
        <w:spacing w:line="240" w:lineRule="auto"/>
        <w:jc w:val="both"/>
        <w:rPr>
          <w:rFonts w:ascii="Century Gothic" w:eastAsia="Century Gothic" w:hAnsi="Century Gothic" w:cs="Century Gothic"/>
        </w:rPr>
      </w:pPr>
    </w:p>
    <w:p w14:paraId="59B1BB79" w14:textId="77777777" w:rsidR="00AA5550" w:rsidRDefault="00045FF4">
      <w:pPr>
        <w:spacing w:line="240" w:lineRule="auto"/>
        <w:jc w:val="both"/>
        <w:rPr>
          <w:rFonts w:ascii="Century Gothic" w:eastAsia="Century Gothic" w:hAnsi="Century Gothic" w:cs="Century Gothic"/>
        </w:rPr>
      </w:pPr>
      <w:r>
        <w:rPr>
          <w:rFonts w:ascii="Century Gothic" w:eastAsia="Century Gothic" w:hAnsi="Century Gothic" w:cs="Century Gothic"/>
        </w:rPr>
        <w:t>De los Honorables Congresistas,</w:t>
      </w:r>
    </w:p>
    <w:p w14:paraId="1271ED0C" w14:textId="77777777" w:rsidR="00AA5550" w:rsidRDefault="00AA5550">
      <w:pPr>
        <w:spacing w:line="240" w:lineRule="auto"/>
        <w:jc w:val="both"/>
        <w:rPr>
          <w:rFonts w:ascii="Century Gothic" w:eastAsia="Century Gothic" w:hAnsi="Century Gothic" w:cs="Century Gothic"/>
        </w:rPr>
      </w:pPr>
    </w:p>
    <w:p w14:paraId="379FA1E7" w14:textId="77777777" w:rsidR="00AA5550" w:rsidRDefault="00045FF4">
      <w:pPr>
        <w:spacing w:line="240" w:lineRule="auto"/>
        <w:jc w:val="both"/>
        <w:rPr>
          <w:rFonts w:ascii="Century Gothic" w:eastAsia="Century Gothic" w:hAnsi="Century Gothic" w:cs="Century Gothic"/>
        </w:rPr>
      </w:pPr>
      <w:r>
        <w:rPr>
          <w:rFonts w:ascii="Century Gothic" w:eastAsia="Century Gothic" w:hAnsi="Century Gothic" w:cs="Century Gothic"/>
        </w:rPr>
        <w:t xml:space="preserve">Atentamente, </w:t>
      </w:r>
    </w:p>
    <w:p w14:paraId="0212EBC5" w14:textId="77777777" w:rsidR="00AA5550" w:rsidRDefault="00AA5550">
      <w:pPr>
        <w:spacing w:line="240" w:lineRule="auto"/>
        <w:jc w:val="both"/>
        <w:rPr>
          <w:rFonts w:ascii="Century Gothic" w:eastAsia="Century Gothic" w:hAnsi="Century Gothic" w:cs="Century Gothic"/>
        </w:rPr>
      </w:pPr>
    </w:p>
    <w:p w14:paraId="2AEB97AB" w14:textId="77777777" w:rsidR="00AA5550" w:rsidRDefault="00045FF4">
      <w:pPr>
        <w:spacing w:before="240" w:after="240"/>
        <w:jc w:val="both"/>
        <w:rPr>
          <w:rFonts w:ascii="Century Gothic" w:eastAsia="Century Gothic" w:hAnsi="Century Gothic" w:cs="Century Gothic"/>
          <w:b/>
        </w:rPr>
      </w:pPr>
      <w:r>
        <w:rPr>
          <w:rFonts w:ascii="Century Gothic" w:eastAsia="Century Gothic" w:hAnsi="Century Gothic" w:cs="Century Gothic"/>
        </w:rPr>
        <w:t xml:space="preserve">los honorables congresistas, </w:t>
      </w:r>
    </w:p>
    <w:tbl>
      <w:tblPr>
        <w:tblStyle w:val="a3"/>
        <w:tblW w:w="94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25"/>
        <w:gridCol w:w="5040"/>
      </w:tblGrid>
      <w:tr w:rsidR="00AA5550" w14:paraId="7BB453B6" w14:textId="77777777">
        <w:trPr>
          <w:trHeight w:val="1590"/>
        </w:trPr>
        <w:tc>
          <w:tcPr>
            <w:tcW w:w="4425" w:type="dxa"/>
            <w:tcBorders>
              <w:top w:val="single" w:sz="5" w:space="0" w:color="A6A6A6"/>
              <w:left w:val="single" w:sz="5" w:space="0" w:color="A6A6A6"/>
              <w:bottom w:val="single" w:sz="5" w:space="0" w:color="A6A6A6"/>
              <w:right w:val="single" w:sz="5" w:space="0" w:color="A6A6A6"/>
            </w:tcBorders>
            <w:tcMar>
              <w:top w:w="0" w:type="dxa"/>
              <w:left w:w="100" w:type="dxa"/>
              <w:bottom w:w="0" w:type="dxa"/>
              <w:right w:w="100" w:type="dxa"/>
            </w:tcMar>
          </w:tcPr>
          <w:p w14:paraId="2B265052" w14:textId="77777777" w:rsidR="00AA5550" w:rsidRDefault="00AA5550">
            <w:pPr>
              <w:rPr>
                <w:rFonts w:ascii="Century Gothic" w:eastAsia="Century Gothic" w:hAnsi="Century Gothic" w:cs="Century Gothic"/>
                <w:b/>
                <w:sz w:val="20"/>
                <w:szCs w:val="20"/>
              </w:rPr>
            </w:pPr>
          </w:p>
          <w:p w14:paraId="77E4120F" w14:textId="77777777" w:rsidR="00AA5550" w:rsidRDefault="00045FF4">
            <w:pPr>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66F99844" wp14:editId="105357D3">
                  <wp:extent cx="1547813" cy="809995"/>
                  <wp:effectExtent l="0" t="0" r="0" b="0"/>
                  <wp:docPr id="2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1547813" cy="809995"/>
                          </a:xfrm>
                          <a:prstGeom prst="rect">
                            <a:avLst/>
                          </a:prstGeom>
                          <a:ln/>
                        </pic:spPr>
                      </pic:pic>
                    </a:graphicData>
                  </a:graphic>
                </wp:inline>
              </w:drawing>
            </w:r>
          </w:p>
          <w:p w14:paraId="0395B31A" w14:textId="77777777" w:rsidR="00AA5550" w:rsidRDefault="00045FF4">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JEZMI LIZETH BARRAZA ARRAUT</w:t>
            </w:r>
          </w:p>
          <w:p w14:paraId="2104A46B" w14:textId="77777777" w:rsidR="00AA5550" w:rsidRDefault="00045FF4">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Representante a la Cámara </w:t>
            </w:r>
          </w:p>
          <w:p w14:paraId="4A246AA5" w14:textId="77777777" w:rsidR="00AA5550" w:rsidRDefault="00045FF4">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Departamento del Atlántico</w:t>
            </w:r>
          </w:p>
        </w:tc>
        <w:tc>
          <w:tcPr>
            <w:tcW w:w="5040" w:type="dxa"/>
            <w:tcBorders>
              <w:top w:val="single" w:sz="5" w:space="0" w:color="A6A6A6"/>
              <w:left w:val="nil"/>
              <w:bottom w:val="single" w:sz="5" w:space="0" w:color="A6A6A6"/>
              <w:right w:val="single" w:sz="5" w:space="0" w:color="A6A6A6"/>
            </w:tcBorders>
            <w:tcMar>
              <w:top w:w="0" w:type="dxa"/>
              <w:left w:w="100" w:type="dxa"/>
              <w:bottom w:w="0" w:type="dxa"/>
              <w:right w:w="100" w:type="dxa"/>
            </w:tcMar>
          </w:tcPr>
          <w:p w14:paraId="721C2A9C" w14:textId="77777777" w:rsidR="00AA5550" w:rsidRDefault="00AA5550">
            <w:pPr>
              <w:widowControl w:val="0"/>
              <w:spacing w:line="240" w:lineRule="auto"/>
              <w:rPr>
                <w:rFonts w:ascii="Times New Roman" w:eastAsia="Times New Roman" w:hAnsi="Times New Roman" w:cs="Times New Roman"/>
                <w:sz w:val="24"/>
                <w:szCs w:val="24"/>
              </w:rPr>
            </w:pPr>
          </w:p>
          <w:p w14:paraId="3D9B8760" w14:textId="77777777" w:rsidR="00AA5550" w:rsidRDefault="00045FF4">
            <w:pPr>
              <w:widowControl w:val="0"/>
              <w:spacing w:line="240" w:lineRule="auto"/>
              <w:jc w:val="center"/>
              <w:rPr>
                <w:sz w:val="24"/>
                <w:szCs w:val="24"/>
              </w:rPr>
            </w:pPr>
            <w:r>
              <w:rPr>
                <w:rFonts w:ascii="Times New Roman" w:eastAsia="Times New Roman" w:hAnsi="Times New Roman" w:cs="Times New Roman"/>
                <w:noProof/>
                <w:sz w:val="24"/>
                <w:szCs w:val="24"/>
              </w:rPr>
              <w:drawing>
                <wp:inline distT="114300" distB="114300" distL="114300" distR="114300" wp14:anchorId="685CFB70" wp14:editId="5226E3F5">
                  <wp:extent cx="1975803" cy="588815"/>
                  <wp:effectExtent l="0" t="0" r="0" b="0"/>
                  <wp:docPr id="46"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9"/>
                          <a:srcRect/>
                          <a:stretch>
                            <a:fillRect/>
                          </a:stretch>
                        </pic:blipFill>
                        <pic:spPr>
                          <a:xfrm>
                            <a:off x="0" y="0"/>
                            <a:ext cx="1975803" cy="588815"/>
                          </a:xfrm>
                          <a:prstGeom prst="rect">
                            <a:avLst/>
                          </a:prstGeom>
                          <a:ln/>
                        </pic:spPr>
                      </pic:pic>
                    </a:graphicData>
                  </a:graphic>
                </wp:inline>
              </w:drawing>
            </w:r>
          </w:p>
          <w:p w14:paraId="12A54C83" w14:textId="77777777" w:rsidR="00AA5550" w:rsidRDefault="00045FF4">
            <w:pPr>
              <w:widowControl w:val="0"/>
              <w:spacing w:line="240" w:lineRule="auto"/>
              <w:jc w:val="center"/>
              <w:rPr>
                <w:b/>
                <w:sz w:val="24"/>
                <w:szCs w:val="24"/>
              </w:rPr>
            </w:pPr>
            <w:r>
              <w:rPr>
                <w:b/>
                <w:sz w:val="24"/>
                <w:szCs w:val="24"/>
              </w:rPr>
              <w:t xml:space="preserve">INGRID JOHANA AGUIRRE JUVINAO </w:t>
            </w:r>
          </w:p>
          <w:p w14:paraId="6A7500E0" w14:textId="77777777" w:rsidR="00AA5550" w:rsidRDefault="00045FF4">
            <w:pPr>
              <w:widowControl w:val="0"/>
              <w:spacing w:line="240" w:lineRule="auto"/>
              <w:jc w:val="center"/>
              <w:rPr>
                <w:sz w:val="24"/>
                <w:szCs w:val="24"/>
              </w:rPr>
            </w:pPr>
            <w:r>
              <w:rPr>
                <w:sz w:val="24"/>
                <w:szCs w:val="24"/>
              </w:rPr>
              <w:t xml:space="preserve">Representante a la Cámara </w:t>
            </w:r>
          </w:p>
          <w:p w14:paraId="25AF6F90" w14:textId="77777777" w:rsidR="00AA5550" w:rsidRDefault="00045FF4">
            <w:pPr>
              <w:widowControl w:val="0"/>
              <w:spacing w:line="240" w:lineRule="auto"/>
              <w:jc w:val="center"/>
              <w:rPr>
                <w:sz w:val="24"/>
                <w:szCs w:val="24"/>
              </w:rPr>
            </w:pPr>
            <w:r>
              <w:rPr>
                <w:sz w:val="24"/>
                <w:szCs w:val="24"/>
              </w:rPr>
              <w:t xml:space="preserve">Departamento del Magdalena </w:t>
            </w:r>
          </w:p>
          <w:p w14:paraId="5657A726" w14:textId="77777777" w:rsidR="00AA5550" w:rsidRDefault="00045FF4">
            <w:pPr>
              <w:widowControl w:val="0"/>
              <w:spacing w:line="240" w:lineRule="auto"/>
              <w:jc w:val="center"/>
              <w:rPr>
                <w:rFonts w:ascii="Century Gothic" w:eastAsia="Century Gothic" w:hAnsi="Century Gothic" w:cs="Century Gothic"/>
                <w:b/>
                <w:sz w:val="20"/>
                <w:szCs w:val="20"/>
              </w:rPr>
            </w:pPr>
            <w:r>
              <w:rPr>
                <w:sz w:val="24"/>
                <w:szCs w:val="24"/>
              </w:rPr>
              <w:t>Fuerza Ciudadana</w:t>
            </w:r>
          </w:p>
        </w:tc>
      </w:tr>
      <w:tr w:rsidR="00AA5550" w14:paraId="16A73D8D" w14:textId="77777777">
        <w:trPr>
          <w:trHeight w:val="1590"/>
        </w:trPr>
        <w:tc>
          <w:tcPr>
            <w:tcW w:w="4425" w:type="dxa"/>
            <w:tcBorders>
              <w:top w:val="single" w:sz="5" w:space="0" w:color="A6A6A6"/>
              <w:left w:val="single" w:sz="5" w:space="0" w:color="A6A6A6"/>
              <w:bottom w:val="single" w:sz="5" w:space="0" w:color="A6A6A6"/>
              <w:right w:val="single" w:sz="5" w:space="0" w:color="A6A6A6"/>
            </w:tcBorders>
            <w:tcMar>
              <w:top w:w="0" w:type="dxa"/>
              <w:left w:w="100" w:type="dxa"/>
              <w:bottom w:w="0" w:type="dxa"/>
              <w:right w:w="100" w:type="dxa"/>
            </w:tcMar>
          </w:tcPr>
          <w:p w14:paraId="4FFC776F" w14:textId="77777777" w:rsidR="00AA5550" w:rsidRDefault="00045FF4">
            <w:pPr>
              <w:widowControl w:val="0"/>
              <w:spacing w:before="240" w:after="240" w:line="240" w:lineRule="auto"/>
              <w:jc w:val="center"/>
              <w:rPr>
                <w:b/>
              </w:rPr>
            </w:pPr>
            <w:r>
              <w:rPr>
                <w:b/>
                <w:noProof/>
              </w:rPr>
              <w:drawing>
                <wp:inline distT="114300" distB="114300" distL="114300" distR="114300" wp14:anchorId="390419E7" wp14:editId="6D627BF8">
                  <wp:extent cx="1631142" cy="507091"/>
                  <wp:effectExtent l="0" t="0" r="0" b="0"/>
                  <wp:docPr id="3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1631142" cy="507091"/>
                          </a:xfrm>
                          <a:prstGeom prst="rect">
                            <a:avLst/>
                          </a:prstGeom>
                          <a:ln/>
                        </pic:spPr>
                      </pic:pic>
                    </a:graphicData>
                  </a:graphic>
                </wp:inline>
              </w:drawing>
            </w:r>
            <w:r>
              <w:rPr>
                <w:b/>
              </w:rPr>
              <w:t xml:space="preserve"> </w:t>
            </w:r>
          </w:p>
          <w:p w14:paraId="237EC327" w14:textId="77777777" w:rsidR="00AA5550" w:rsidRDefault="00045FF4">
            <w:pPr>
              <w:widowControl w:val="0"/>
              <w:spacing w:line="240" w:lineRule="auto"/>
              <w:jc w:val="center"/>
              <w:rPr>
                <w:b/>
                <w:sz w:val="20"/>
                <w:szCs w:val="20"/>
              </w:rPr>
            </w:pPr>
            <w:r>
              <w:rPr>
                <w:b/>
                <w:sz w:val="20"/>
                <w:szCs w:val="20"/>
              </w:rPr>
              <w:t>HÉCTOR DAVID CHAPARRO</w:t>
            </w:r>
          </w:p>
          <w:p w14:paraId="5111833D" w14:textId="77777777" w:rsidR="00AA5550" w:rsidRDefault="00045FF4">
            <w:pPr>
              <w:widowControl w:val="0"/>
              <w:spacing w:line="240" w:lineRule="auto"/>
              <w:jc w:val="center"/>
              <w:rPr>
                <w:b/>
                <w:sz w:val="20"/>
                <w:szCs w:val="20"/>
              </w:rPr>
            </w:pPr>
            <w:r>
              <w:rPr>
                <w:b/>
                <w:sz w:val="20"/>
                <w:szCs w:val="20"/>
              </w:rPr>
              <w:t>Representante a la Cámara</w:t>
            </w:r>
          </w:p>
          <w:p w14:paraId="27E48D5C" w14:textId="77777777" w:rsidR="00AA5550" w:rsidRDefault="00045FF4">
            <w:pPr>
              <w:widowControl w:val="0"/>
              <w:spacing w:line="240" w:lineRule="auto"/>
              <w:jc w:val="center"/>
              <w:rPr>
                <w:rFonts w:ascii="Century Gothic" w:eastAsia="Century Gothic" w:hAnsi="Century Gothic" w:cs="Century Gothic"/>
                <w:b/>
                <w:sz w:val="18"/>
                <w:szCs w:val="18"/>
              </w:rPr>
            </w:pPr>
            <w:r>
              <w:rPr>
                <w:b/>
                <w:sz w:val="20"/>
                <w:szCs w:val="20"/>
              </w:rPr>
              <w:t>Partido Liberal</w:t>
            </w:r>
          </w:p>
        </w:tc>
        <w:tc>
          <w:tcPr>
            <w:tcW w:w="5040" w:type="dxa"/>
            <w:tcBorders>
              <w:top w:val="single" w:sz="5" w:space="0" w:color="A6A6A6"/>
              <w:left w:val="nil"/>
              <w:bottom w:val="single" w:sz="5" w:space="0" w:color="A6A6A6"/>
              <w:right w:val="single" w:sz="5" w:space="0" w:color="A6A6A6"/>
            </w:tcBorders>
            <w:tcMar>
              <w:top w:w="0" w:type="dxa"/>
              <w:left w:w="100" w:type="dxa"/>
              <w:bottom w:w="0" w:type="dxa"/>
              <w:right w:w="100" w:type="dxa"/>
            </w:tcMar>
          </w:tcPr>
          <w:p w14:paraId="060FBFDE"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763ADD1D" wp14:editId="4B41A3D6">
                  <wp:extent cx="1552575" cy="838112"/>
                  <wp:effectExtent l="0" t="0" r="0" b="0"/>
                  <wp:docPr id="37"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1"/>
                          <a:srcRect/>
                          <a:stretch>
                            <a:fillRect/>
                          </a:stretch>
                        </pic:blipFill>
                        <pic:spPr>
                          <a:xfrm>
                            <a:off x="0" y="0"/>
                            <a:ext cx="1552575" cy="838112"/>
                          </a:xfrm>
                          <a:prstGeom prst="rect">
                            <a:avLst/>
                          </a:prstGeom>
                          <a:ln/>
                        </pic:spPr>
                      </pic:pic>
                    </a:graphicData>
                  </a:graphic>
                </wp:inline>
              </w:drawing>
            </w:r>
          </w:p>
          <w:p w14:paraId="25405907" w14:textId="77777777" w:rsidR="00AA5550" w:rsidRDefault="00045FF4">
            <w:pPr>
              <w:spacing w:before="240" w:after="24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JULIÁN PEINADO RAMÍREZ</w:t>
            </w:r>
          </w:p>
          <w:p w14:paraId="30A42FEB" w14:textId="77777777" w:rsidR="00AA5550" w:rsidRDefault="00045FF4">
            <w:pPr>
              <w:spacing w:before="240" w:after="24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lastRenderedPageBreak/>
              <w:t>Representante a la Cámara por Antioquia</w:t>
            </w:r>
          </w:p>
          <w:p w14:paraId="25CF2410" w14:textId="77777777" w:rsidR="00AA5550" w:rsidRDefault="00045FF4">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Partido Liberal</w:t>
            </w:r>
          </w:p>
        </w:tc>
      </w:tr>
      <w:tr w:rsidR="00AA5550" w14:paraId="16DD7A18" w14:textId="77777777">
        <w:trPr>
          <w:trHeight w:val="2819"/>
        </w:trPr>
        <w:tc>
          <w:tcPr>
            <w:tcW w:w="4425" w:type="dxa"/>
            <w:tcBorders>
              <w:top w:val="single" w:sz="5" w:space="0" w:color="A6A6A6"/>
              <w:left w:val="single" w:sz="5" w:space="0" w:color="A6A6A6"/>
              <w:bottom w:val="single" w:sz="5" w:space="0" w:color="A6A6A6"/>
              <w:right w:val="single" w:sz="5" w:space="0" w:color="A6A6A6"/>
            </w:tcBorders>
            <w:tcMar>
              <w:top w:w="0" w:type="dxa"/>
              <w:left w:w="100" w:type="dxa"/>
              <w:bottom w:w="0" w:type="dxa"/>
              <w:right w:w="100" w:type="dxa"/>
            </w:tcMar>
          </w:tcPr>
          <w:p w14:paraId="28F1057E" w14:textId="77777777" w:rsidR="00AA5550" w:rsidRDefault="00AA5550">
            <w:pPr>
              <w:jc w:val="center"/>
              <w:rPr>
                <w:rFonts w:ascii="Century Gothic" w:eastAsia="Century Gothic" w:hAnsi="Century Gothic" w:cs="Century Gothic"/>
                <w:b/>
                <w:sz w:val="20"/>
                <w:szCs w:val="20"/>
              </w:rPr>
            </w:pPr>
          </w:p>
          <w:p w14:paraId="416C8040" w14:textId="77777777" w:rsidR="00AA5550" w:rsidRDefault="00045FF4">
            <w:pPr>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30371DC9" wp14:editId="4D7E8814">
                  <wp:extent cx="2571750" cy="1028700"/>
                  <wp:effectExtent l="0" t="0" r="0" b="0"/>
                  <wp:docPr id="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2571750" cy="1028700"/>
                          </a:xfrm>
                          <a:prstGeom prst="rect">
                            <a:avLst/>
                          </a:prstGeom>
                          <a:ln/>
                        </pic:spPr>
                      </pic:pic>
                    </a:graphicData>
                  </a:graphic>
                </wp:inline>
              </w:drawing>
            </w:r>
          </w:p>
          <w:p w14:paraId="7A80EA0B" w14:textId="77777777" w:rsidR="00AA5550" w:rsidRDefault="00AA5550">
            <w:pPr>
              <w:jc w:val="center"/>
              <w:rPr>
                <w:rFonts w:ascii="Century Gothic" w:eastAsia="Century Gothic" w:hAnsi="Century Gothic" w:cs="Century Gothic"/>
                <w:b/>
                <w:sz w:val="20"/>
                <w:szCs w:val="20"/>
              </w:rPr>
            </w:pPr>
          </w:p>
        </w:tc>
        <w:tc>
          <w:tcPr>
            <w:tcW w:w="5040" w:type="dxa"/>
            <w:tcBorders>
              <w:top w:val="single" w:sz="5" w:space="0" w:color="A6A6A6"/>
              <w:left w:val="nil"/>
              <w:bottom w:val="single" w:sz="5" w:space="0" w:color="A6A6A6"/>
              <w:right w:val="single" w:sz="5" w:space="0" w:color="A6A6A6"/>
            </w:tcBorders>
            <w:tcMar>
              <w:top w:w="0" w:type="dxa"/>
              <w:left w:w="100" w:type="dxa"/>
              <w:bottom w:w="0" w:type="dxa"/>
              <w:right w:w="100" w:type="dxa"/>
            </w:tcMar>
          </w:tcPr>
          <w:p w14:paraId="3E9F9D2F"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0A373BDD" wp14:editId="0400438A">
                  <wp:extent cx="1485900" cy="736735"/>
                  <wp:effectExtent l="0" t="0" r="0" b="0"/>
                  <wp:docPr id="4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1485900" cy="736735"/>
                          </a:xfrm>
                          <a:prstGeom prst="rect">
                            <a:avLst/>
                          </a:prstGeom>
                          <a:ln/>
                        </pic:spPr>
                      </pic:pic>
                    </a:graphicData>
                  </a:graphic>
                </wp:inline>
              </w:drawing>
            </w:r>
          </w:p>
          <w:p w14:paraId="0C5DF137" w14:textId="77777777" w:rsidR="00AA5550" w:rsidRDefault="00045FF4">
            <w:pPr>
              <w:shd w:val="clear" w:color="auto" w:fill="FFFFFF"/>
              <w:jc w:val="center"/>
              <w:rPr>
                <w:b/>
              </w:rPr>
            </w:pPr>
            <w:r>
              <w:rPr>
                <w:b/>
              </w:rPr>
              <w:t>GERARDO YEPES CARO</w:t>
            </w:r>
          </w:p>
          <w:p w14:paraId="0AFB75FE" w14:textId="77777777" w:rsidR="00AA5550" w:rsidRDefault="00045FF4">
            <w:pPr>
              <w:shd w:val="clear" w:color="auto" w:fill="FFFFFF"/>
              <w:jc w:val="center"/>
              <w:rPr>
                <w:b/>
                <w:sz w:val="18"/>
                <w:szCs w:val="18"/>
              </w:rPr>
            </w:pPr>
            <w:r>
              <w:rPr>
                <w:b/>
                <w:sz w:val="18"/>
                <w:szCs w:val="18"/>
              </w:rPr>
              <w:t>Representante a la Cámara por el Tolima.</w:t>
            </w:r>
          </w:p>
          <w:p w14:paraId="6BEA4ECA" w14:textId="77777777" w:rsidR="00AA5550" w:rsidRDefault="00045FF4">
            <w:pPr>
              <w:shd w:val="clear" w:color="auto" w:fill="FFFFFF"/>
              <w:jc w:val="center"/>
              <w:rPr>
                <w:rFonts w:ascii="Century Gothic" w:eastAsia="Century Gothic" w:hAnsi="Century Gothic" w:cs="Century Gothic"/>
                <w:b/>
                <w:sz w:val="20"/>
                <w:szCs w:val="20"/>
              </w:rPr>
            </w:pPr>
            <w:r>
              <w:rPr>
                <w:b/>
                <w:sz w:val="18"/>
                <w:szCs w:val="18"/>
              </w:rPr>
              <w:t>Partido Conservador</w:t>
            </w:r>
          </w:p>
        </w:tc>
      </w:tr>
      <w:tr w:rsidR="00AA5550" w14:paraId="699394D9" w14:textId="77777777">
        <w:trPr>
          <w:trHeight w:val="1590"/>
        </w:trPr>
        <w:tc>
          <w:tcPr>
            <w:tcW w:w="4425" w:type="dxa"/>
            <w:tcBorders>
              <w:top w:val="single" w:sz="5" w:space="0" w:color="A6A6A6"/>
              <w:left w:val="single" w:sz="5" w:space="0" w:color="A6A6A6"/>
              <w:bottom w:val="single" w:sz="5" w:space="0" w:color="A6A6A6"/>
              <w:right w:val="single" w:sz="5" w:space="0" w:color="A6A6A6"/>
            </w:tcBorders>
            <w:tcMar>
              <w:top w:w="0" w:type="dxa"/>
              <w:left w:w="100" w:type="dxa"/>
              <w:bottom w:w="0" w:type="dxa"/>
              <w:right w:w="100" w:type="dxa"/>
            </w:tcMar>
          </w:tcPr>
          <w:p w14:paraId="49A1B4F9" w14:textId="77777777" w:rsidR="00AA5550" w:rsidRDefault="00045FF4">
            <w:pPr>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192BA5BB" wp14:editId="3A81AAEF">
                  <wp:extent cx="2676525" cy="1282700"/>
                  <wp:effectExtent l="0" t="0" r="0" b="0"/>
                  <wp:docPr id="5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2676525" cy="1282700"/>
                          </a:xfrm>
                          <a:prstGeom prst="rect">
                            <a:avLst/>
                          </a:prstGeom>
                          <a:ln/>
                        </pic:spPr>
                      </pic:pic>
                    </a:graphicData>
                  </a:graphic>
                </wp:inline>
              </w:drawing>
            </w:r>
          </w:p>
        </w:tc>
        <w:tc>
          <w:tcPr>
            <w:tcW w:w="5040" w:type="dxa"/>
            <w:tcBorders>
              <w:top w:val="single" w:sz="5" w:space="0" w:color="A6A6A6"/>
              <w:left w:val="nil"/>
              <w:bottom w:val="single" w:sz="5" w:space="0" w:color="A6A6A6"/>
              <w:right w:val="single" w:sz="5" w:space="0" w:color="A6A6A6"/>
            </w:tcBorders>
            <w:tcMar>
              <w:top w:w="0" w:type="dxa"/>
              <w:left w:w="100" w:type="dxa"/>
              <w:bottom w:w="0" w:type="dxa"/>
              <w:right w:w="100" w:type="dxa"/>
            </w:tcMar>
          </w:tcPr>
          <w:p w14:paraId="5BA88E85"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1B876EEA" wp14:editId="35B6C38D">
                  <wp:extent cx="1023938" cy="859962"/>
                  <wp:effectExtent l="0" t="0" r="0" b="0"/>
                  <wp:docPr id="1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1023938" cy="859962"/>
                          </a:xfrm>
                          <a:prstGeom prst="rect">
                            <a:avLst/>
                          </a:prstGeom>
                          <a:ln/>
                        </pic:spPr>
                      </pic:pic>
                    </a:graphicData>
                  </a:graphic>
                </wp:inline>
              </w:drawing>
            </w:r>
          </w:p>
          <w:p w14:paraId="6C706AE4"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ERIKA TATIANA SÁNCHEZ PINTO</w:t>
            </w:r>
          </w:p>
          <w:p w14:paraId="2FC1A038"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Representante a la Cámara </w:t>
            </w:r>
          </w:p>
          <w:p w14:paraId="322C53B2"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Departamento de Santander</w:t>
            </w:r>
          </w:p>
        </w:tc>
      </w:tr>
      <w:tr w:rsidR="00AA5550" w14:paraId="272CEA71" w14:textId="77777777">
        <w:trPr>
          <w:trHeight w:val="1845"/>
        </w:trPr>
        <w:tc>
          <w:tcPr>
            <w:tcW w:w="4425" w:type="dxa"/>
            <w:tcBorders>
              <w:top w:val="nil"/>
              <w:left w:val="single" w:sz="5" w:space="0" w:color="A6A6A6"/>
              <w:bottom w:val="single" w:sz="5" w:space="0" w:color="A6A6A6"/>
              <w:right w:val="single" w:sz="5" w:space="0" w:color="A6A6A6"/>
            </w:tcBorders>
            <w:tcMar>
              <w:top w:w="0" w:type="dxa"/>
              <w:left w:w="100" w:type="dxa"/>
              <w:bottom w:w="0" w:type="dxa"/>
              <w:right w:w="100" w:type="dxa"/>
            </w:tcMar>
          </w:tcPr>
          <w:p w14:paraId="5DC24A15"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3F78C912" wp14:editId="17C69102">
                  <wp:extent cx="1695450" cy="482445"/>
                  <wp:effectExtent l="0" t="0" r="0" b="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1695450" cy="482445"/>
                          </a:xfrm>
                          <a:prstGeom prst="rect">
                            <a:avLst/>
                          </a:prstGeom>
                          <a:ln/>
                        </pic:spPr>
                      </pic:pic>
                    </a:graphicData>
                  </a:graphic>
                </wp:inline>
              </w:drawing>
            </w:r>
          </w:p>
          <w:p w14:paraId="01A0EE23"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BETSY JUDITH PEREZ</w:t>
            </w:r>
          </w:p>
          <w:p w14:paraId="15DC546A"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Representante a la Cámara</w:t>
            </w:r>
          </w:p>
        </w:tc>
        <w:tc>
          <w:tcPr>
            <w:tcW w:w="5040" w:type="dxa"/>
            <w:tcBorders>
              <w:top w:val="nil"/>
              <w:left w:val="nil"/>
              <w:bottom w:val="single" w:sz="5" w:space="0" w:color="A6A6A6"/>
              <w:right w:val="single" w:sz="5" w:space="0" w:color="A6A6A6"/>
            </w:tcBorders>
            <w:tcMar>
              <w:top w:w="0" w:type="dxa"/>
              <w:left w:w="100" w:type="dxa"/>
              <w:bottom w:w="0" w:type="dxa"/>
              <w:right w:w="100" w:type="dxa"/>
            </w:tcMar>
          </w:tcPr>
          <w:p w14:paraId="409F139E"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37B5A88F" wp14:editId="4F103D94">
                  <wp:extent cx="2943225" cy="590550"/>
                  <wp:effectExtent l="0" t="0" r="0" b="0"/>
                  <wp:docPr id="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a:stretch>
                            <a:fillRect/>
                          </a:stretch>
                        </pic:blipFill>
                        <pic:spPr>
                          <a:xfrm>
                            <a:off x="0" y="0"/>
                            <a:ext cx="2943225" cy="590550"/>
                          </a:xfrm>
                          <a:prstGeom prst="rect">
                            <a:avLst/>
                          </a:prstGeom>
                          <a:ln/>
                        </pic:spPr>
                      </pic:pic>
                    </a:graphicData>
                  </a:graphic>
                </wp:inline>
              </w:drawing>
            </w:r>
          </w:p>
          <w:p w14:paraId="31C060B7" w14:textId="77777777" w:rsidR="00AA5550" w:rsidRDefault="00045FF4">
            <w:pPr>
              <w:jc w:val="center"/>
              <w:rPr>
                <w:b/>
                <w:sz w:val="20"/>
                <w:szCs w:val="20"/>
              </w:rPr>
            </w:pPr>
            <w:r>
              <w:rPr>
                <w:b/>
                <w:sz w:val="20"/>
                <w:szCs w:val="20"/>
              </w:rPr>
              <w:t>Representante a la Cámara</w:t>
            </w:r>
          </w:p>
          <w:p w14:paraId="3C4B1337" w14:textId="77777777" w:rsidR="00AA5550" w:rsidRDefault="00045FF4">
            <w:pPr>
              <w:jc w:val="center"/>
              <w:rPr>
                <w:rFonts w:ascii="Century Gothic" w:eastAsia="Century Gothic" w:hAnsi="Century Gothic" w:cs="Century Gothic"/>
                <w:b/>
                <w:sz w:val="20"/>
                <w:szCs w:val="20"/>
              </w:rPr>
            </w:pPr>
            <w:r>
              <w:rPr>
                <w:b/>
                <w:sz w:val="20"/>
                <w:szCs w:val="20"/>
              </w:rPr>
              <w:t>Departamento de Antioquia</w:t>
            </w:r>
          </w:p>
        </w:tc>
      </w:tr>
      <w:tr w:rsidR="00AA5550" w14:paraId="65C7D4D2" w14:textId="77777777">
        <w:trPr>
          <w:trHeight w:val="2508"/>
        </w:trPr>
        <w:tc>
          <w:tcPr>
            <w:tcW w:w="4425" w:type="dxa"/>
            <w:tcBorders>
              <w:top w:val="nil"/>
              <w:left w:val="single" w:sz="5" w:space="0" w:color="A6A6A6"/>
              <w:bottom w:val="single" w:sz="5" w:space="0" w:color="A6A6A6"/>
              <w:right w:val="single" w:sz="5" w:space="0" w:color="A6A6A6"/>
            </w:tcBorders>
            <w:tcMar>
              <w:top w:w="0" w:type="dxa"/>
              <w:left w:w="100" w:type="dxa"/>
              <w:bottom w:w="0" w:type="dxa"/>
              <w:right w:w="100" w:type="dxa"/>
            </w:tcMar>
          </w:tcPr>
          <w:p w14:paraId="012AB324" w14:textId="77777777" w:rsidR="00AA5550" w:rsidRDefault="00045FF4">
            <w:pPr>
              <w:jc w:val="center"/>
              <w:rPr>
                <w:b/>
                <w:sz w:val="24"/>
                <w:szCs w:val="24"/>
              </w:rPr>
            </w:pPr>
            <w:r>
              <w:rPr>
                <w:noProof/>
              </w:rPr>
              <w:drawing>
                <wp:anchor distT="114300" distB="114300" distL="114300" distR="114300" simplePos="0" relativeHeight="251658240" behindDoc="1" locked="0" layoutInCell="1" hidden="0" allowOverlap="1" wp14:anchorId="3D17497B" wp14:editId="416AD10B">
                  <wp:simplePos x="0" y="0"/>
                  <wp:positionH relativeFrom="column">
                    <wp:posOffset>742950</wp:posOffset>
                  </wp:positionH>
                  <wp:positionV relativeFrom="paragraph">
                    <wp:posOffset>219075</wp:posOffset>
                  </wp:positionV>
                  <wp:extent cx="1200150" cy="1200150"/>
                  <wp:effectExtent l="0" t="0" r="0" b="0"/>
                  <wp:wrapNone/>
                  <wp:docPr id="1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8"/>
                          <a:srcRect/>
                          <a:stretch>
                            <a:fillRect/>
                          </a:stretch>
                        </pic:blipFill>
                        <pic:spPr>
                          <a:xfrm>
                            <a:off x="0" y="0"/>
                            <a:ext cx="1200150" cy="1200150"/>
                          </a:xfrm>
                          <a:prstGeom prst="rect">
                            <a:avLst/>
                          </a:prstGeom>
                          <a:ln/>
                        </pic:spPr>
                      </pic:pic>
                    </a:graphicData>
                  </a:graphic>
                </wp:anchor>
              </w:drawing>
            </w:r>
          </w:p>
          <w:p w14:paraId="5E27277F" w14:textId="77777777" w:rsidR="00AA5550" w:rsidRDefault="00AA5550">
            <w:pPr>
              <w:jc w:val="center"/>
              <w:rPr>
                <w:b/>
                <w:sz w:val="24"/>
                <w:szCs w:val="24"/>
              </w:rPr>
            </w:pPr>
          </w:p>
          <w:p w14:paraId="1F230E8D" w14:textId="77777777" w:rsidR="00AA5550" w:rsidRDefault="00AA5550">
            <w:pPr>
              <w:jc w:val="center"/>
              <w:rPr>
                <w:b/>
                <w:sz w:val="24"/>
                <w:szCs w:val="24"/>
              </w:rPr>
            </w:pPr>
          </w:p>
          <w:p w14:paraId="1EF20D3E" w14:textId="77777777" w:rsidR="00AA5550" w:rsidRDefault="00AA5550">
            <w:pPr>
              <w:jc w:val="center"/>
              <w:rPr>
                <w:b/>
                <w:sz w:val="24"/>
                <w:szCs w:val="24"/>
              </w:rPr>
            </w:pPr>
          </w:p>
          <w:p w14:paraId="46F2CB14" w14:textId="77777777" w:rsidR="00AA5550" w:rsidRDefault="00AA5550">
            <w:pPr>
              <w:jc w:val="center"/>
              <w:rPr>
                <w:b/>
                <w:sz w:val="24"/>
                <w:szCs w:val="24"/>
              </w:rPr>
            </w:pPr>
          </w:p>
          <w:p w14:paraId="6B65AA03" w14:textId="77777777" w:rsidR="00AA5550" w:rsidRDefault="00045FF4">
            <w:pPr>
              <w:jc w:val="center"/>
              <w:rPr>
                <w:b/>
                <w:sz w:val="24"/>
                <w:szCs w:val="24"/>
              </w:rPr>
            </w:pPr>
            <w:r>
              <w:rPr>
                <w:b/>
                <w:sz w:val="24"/>
                <w:szCs w:val="24"/>
              </w:rPr>
              <w:t>AGMETH JOSÉ ESCAF TIJERINO</w:t>
            </w:r>
          </w:p>
          <w:p w14:paraId="36381693" w14:textId="77777777" w:rsidR="00AA5550" w:rsidRDefault="00045FF4">
            <w:pPr>
              <w:jc w:val="center"/>
              <w:rPr>
                <w:sz w:val="24"/>
                <w:szCs w:val="24"/>
              </w:rPr>
            </w:pPr>
            <w:r>
              <w:rPr>
                <w:sz w:val="24"/>
                <w:szCs w:val="24"/>
              </w:rPr>
              <w:t>Representante a la Cámara</w:t>
            </w:r>
          </w:p>
          <w:p w14:paraId="20C6C505" w14:textId="77777777" w:rsidR="00AA5550" w:rsidRDefault="00045FF4">
            <w:pPr>
              <w:jc w:val="center"/>
              <w:rPr>
                <w:rFonts w:ascii="Century Gothic" w:eastAsia="Century Gothic" w:hAnsi="Century Gothic" w:cs="Century Gothic"/>
                <w:b/>
                <w:sz w:val="20"/>
                <w:szCs w:val="20"/>
              </w:rPr>
            </w:pPr>
            <w:r>
              <w:rPr>
                <w:sz w:val="24"/>
                <w:szCs w:val="24"/>
              </w:rPr>
              <w:t>Pacto Histórico</w:t>
            </w:r>
          </w:p>
        </w:tc>
        <w:tc>
          <w:tcPr>
            <w:tcW w:w="5040" w:type="dxa"/>
            <w:tcBorders>
              <w:top w:val="nil"/>
              <w:left w:val="nil"/>
              <w:bottom w:val="single" w:sz="5" w:space="0" w:color="A6A6A6"/>
              <w:right w:val="single" w:sz="5" w:space="0" w:color="A6A6A6"/>
            </w:tcBorders>
            <w:tcMar>
              <w:top w:w="0" w:type="dxa"/>
              <w:left w:w="100" w:type="dxa"/>
              <w:bottom w:w="0" w:type="dxa"/>
              <w:right w:w="100" w:type="dxa"/>
            </w:tcMar>
          </w:tcPr>
          <w:p w14:paraId="04810C77"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39E27946" wp14:editId="405349F2">
                  <wp:extent cx="3067050" cy="673100"/>
                  <wp:effectExtent l="0" t="0" r="0" b="0"/>
                  <wp:docPr id="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3067050" cy="673100"/>
                          </a:xfrm>
                          <a:prstGeom prst="rect">
                            <a:avLst/>
                          </a:prstGeom>
                          <a:ln/>
                        </pic:spPr>
                      </pic:pic>
                    </a:graphicData>
                  </a:graphic>
                </wp:inline>
              </w:drawing>
            </w:r>
          </w:p>
        </w:tc>
      </w:tr>
      <w:tr w:rsidR="00AA5550" w14:paraId="416A0310" w14:textId="77777777">
        <w:trPr>
          <w:trHeight w:val="1845"/>
        </w:trPr>
        <w:tc>
          <w:tcPr>
            <w:tcW w:w="4425" w:type="dxa"/>
            <w:tcBorders>
              <w:top w:val="nil"/>
              <w:left w:val="single" w:sz="5" w:space="0" w:color="A6A6A6"/>
              <w:bottom w:val="single" w:sz="5" w:space="0" w:color="A6A6A6"/>
              <w:right w:val="single" w:sz="5" w:space="0" w:color="A6A6A6"/>
            </w:tcBorders>
            <w:tcMar>
              <w:top w:w="0" w:type="dxa"/>
              <w:left w:w="100" w:type="dxa"/>
              <w:bottom w:w="0" w:type="dxa"/>
              <w:right w:w="100" w:type="dxa"/>
            </w:tcMar>
          </w:tcPr>
          <w:p w14:paraId="3E3C60D8" w14:textId="77777777" w:rsidR="00AA5550" w:rsidRDefault="00AA5550">
            <w:pPr>
              <w:jc w:val="center"/>
              <w:rPr>
                <w:sz w:val="24"/>
                <w:szCs w:val="24"/>
              </w:rPr>
            </w:pPr>
          </w:p>
          <w:p w14:paraId="2D5C0F2B" w14:textId="77777777" w:rsidR="00AA5550" w:rsidRDefault="00AA5550">
            <w:pPr>
              <w:jc w:val="center"/>
              <w:rPr>
                <w:sz w:val="24"/>
                <w:szCs w:val="24"/>
              </w:rPr>
            </w:pPr>
          </w:p>
          <w:p w14:paraId="3FBEB026" w14:textId="77777777" w:rsidR="00AA5550" w:rsidRDefault="00045FF4">
            <w:pPr>
              <w:jc w:val="center"/>
              <w:rPr>
                <w:sz w:val="24"/>
                <w:szCs w:val="24"/>
              </w:rPr>
            </w:pPr>
            <w:r>
              <w:rPr>
                <w:noProof/>
                <w:sz w:val="24"/>
                <w:szCs w:val="24"/>
              </w:rPr>
              <w:drawing>
                <wp:inline distT="114300" distB="114300" distL="114300" distR="114300" wp14:anchorId="5648A8BF" wp14:editId="3C7E8D71">
                  <wp:extent cx="1362075" cy="739564"/>
                  <wp:effectExtent l="0" t="0" r="0" b="0"/>
                  <wp:docPr id="35"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0"/>
                          <a:srcRect/>
                          <a:stretch>
                            <a:fillRect/>
                          </a:stretch>
                        </pic:blipFill>
                        <pic:spPr>
                          <a:xfrm>
                            <a:off x="0" y="0"/>
                            <a:ext cx="1362075" cy="739564"/>
                          </a:xfrm>
                          <a:prstGeom prst="rect">
                            <a:avLst/>
                          </a:prstGeom>
                          <a:ln/>
                        </pic:spPr>
                      </pic:pic>
                    </a:graphicData>
                  </a:graphic>
                </wp:inline>
              </w:drawing>
            </w:r>
          </w:p>
          <w:p w14:paraId="11787F3E" w14:textId="77777777" w:rsidR="00AA5550" w:rsidRDefault="00045FF4">
            <w:pPr>
              <w:jc w:val="center"/>
              <w:rPr>
                <w:b/>
                <w:sz w:val="24"/>
                <w:szCs w:val="24"/>
              </w:rPr>
            </w:pPr>
            <w:r>
              <w:rPr>
                <w:b/>
                <w:sz w:val="24"/>
                <w:szCs w:val="24"/>
              </w:rPr>
              <w:t>CAMILO ESTEBAN ÁVILA MORALES</w:t>
            </w:r>
          </w:p>
          <w:p w14:paraId="56B63468" w14:textId="77777777" w:rsidR="00AA5550" w:rsidRDefault="00045FF4">
            <w:pPr>
              <w:jc w:val="center"/>
              <w:rPr>
                <w:sz w:val="24"/>
                <w:szCs w:val="24"/>
              </w:rPr>
            </w:pPr>
            <w:r>
              <w:rPr>
                <w:sz w:val="24"/>
                <w:szCs w:val="24"/>
              </w:rPr>
              <w:t>Representante a la Cámara</w:t>
            </w:r>
          </w:p>
          <w:p w14:paraId="27054D2E" w14:textId="77777777" w:rsidR="00AA5550" w:rsidRDefault="00045FF4">
            <w:pPr>
              <w:jc w:val="center"/>
              <w:rPr>
                <w:sz w:val="24"/>
                <w:szCs w:val="24"/>
              </w:rPr>
            </w:pPr>
            <w:r>
              <w:rPr>
                <w:sz w:val="24"/>
                <w:szCs w:val="24"/>
              </w:rPr>
              <w:t>Departamento del Vaupés</w:t>
            </w:r>
          </w:p>
        </w:tc>
        <w:tc>
          <w:tcPr>
            <w:tcW w:w="5040" w:type="dxa"/>
            <w:tcBorders>
              <w:top w:val="nil"/>
              <w:left w:val="nil"/>
              <w:bottom w:val="single" w:sz="5" w:space="0" w:color="A6A6A6"/>
              <w:right w:val="single" w:sz="5" w:space="0" w:color="A6A6A6"/>
            </w:tcBorders>
            <w:tcMar>
              <w:top w:w="0" w:type="dxa"/>
              <w:left w:w="100" w:type="dxa"/>
              <w:bottom w:w="0" w:type="dxa"/>
              <w:right w:w="100" w:type="dxa"/>
            </w:tcMar>
          </w:tcPr>
          <w:p w14:paraId="116E978F" w14:textId="77777777" w:rsidR="00AA5550" w:rsidRDefault="00045FF4">
            <w:pPr>
              <w:spacing w:before="240" w:after="240"/>
              <w:jc w:val="center"/>
              <w:rPr>
                <w:rFonts w:ascii="Century Gothic" w:eastAsia="Century Gothic" w:hAnsi="Century Gothic" w:cs="Century Gothic"/>
                <w:b/>
                <w:sz w:val="20"/>
                <w:szCs w:val="20"/>
              </w:rPr>
            </w:pPr>
            <w:r>
              <w:rPr>
                <w:noProof/>
              </w:rPr>
              <w:drawing>
                <wp:anchor distT="114300" distB="114300" distL="114300" distR="114300" simplePos="0" relativeHeight="251659264" behindDoc="0" locked="0" layoutInCell="1" hidden="0" allowOverlap="1" wp14:anchorId="5E04EAA9" wp14:editId="7DAB4196">
                  <wp:simplePos x="0" y="0"/>
                  <wp:positionH relativeFrom="column">
                    <wp:posOffset>752475</wp:posOffset>
                  </wp:positionH>
                  <wp:positionV relativeFrom="paragraph">
                    <wp:posOffset>161925</wp:posOffset>
                  </wp:positionV>
                  <wp:extent cx="1519238" cy="866775"/>
                  <wp:effectExtent l="0" t="0" r="0" b="0"/>
                  <wp:wrapNone/>
                  <wp:docPr id="2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1"/>
                          <a:srcRect t="-6593" b="6593"/>
                          <a:stretch>
                            <a:fillRect/>
                          </a:stretch>
                        </pic:blipFill>
                        <pic:spPr>
                          <a:xfrm>
                            <a:off x="0" y="0"/>
                            <a:ext cx="1519238" cy="866775"/>
                          </a:xfrm>
                          <a:prstGeom prst="rect">
                            <a:avLst/>
                          </a:prstGeom>
                          <a:ln/>
                        </pic:spPr>
                      </pic:pic>
                    </a:graphicData>
                  </a:graphic>
                </wp:anchor>
              </w:drawing>
            </w:r>
          </w:p>
          <w:p w14:paraId="5AB9051E" w14:textId="77777777" w:rsidR="00AA5550" w:rsidRDefault="00AA5550">
            <w:pPr>
              <w:spacing w:before="240" w:after="240"/>
              <w:jc w:val="center"/>
              <w:rPr>
                <w:rFonts w:ascii="Century Gothic" w:eastAsia="Century Gothic" w:hAnsi="Century Gothic" w:cs="Century Gothic"/>
                <w:b/>
                <w:sz w:val="20"/>
                <w:szCs w:val="20"/>
              </w:rPr>
            </w:pPr>
          </w:p>
          <w:p w14:paraId="07062446" w14:textId="77777777" w:rsidR="00AA5550" w:rsidRDefault="00AA5550">
            <w:pPr>
              <w:spacing w:before="240" w:after="240"/>
              <w:jc w:val="center"/>
              <w:rPr>
                <w:rFonts w:ascii="Century Gothic" w:eastAsia="Century Gothic" w:hAnsi="Century Gothic" w:cs="Century Gothic"/>
                <w:b/>
                <w:sz w:val="20"/>
                <w:szCs w:val="20"/>
              </w:rPr>
            </w:pPr>
          </w:p>
          <w:p w14:paraId="11AA32C7" w14:textId="77777777" w:rsidR="00AA5550" w:rsidRDefault="00045FF4">
            <w:pPr>
              <w:jc w:val="center"/>
              <w:rPr>
                <w:b/>
              </w:rPr>
            </w:pPr>
            <w:r>
              <w:rPr>
                <w:b/>
              </w:rPr>
              <w:t>ANGELA MARIA VERGARA GONZALEZ</w:t>
            </w:r>
          </w:p>
          <w:p w14:paraId="496AA940" w14:textId="77777777" w:rsidR="00AA5550" w:rsidRDefault="00045FF4">
            <w:pPr>
              <w:jc w:val="center"/>
            </w:pPr>
            <w:r>
              <w:t>Representante a la Cámara</w:t>
            </w:r>
          </w:p>
          <w:p w14:paraId="1BEBD57E" w14:textId="77777777" w:rsidR="00AA5550" w:rsidRDefault="00045FF4">
            <w:pPr>
              <w:jc w:val="center"/>
              <w:rPr>
                <w:rFonts w:ascii="Century Gothic" w:eastAsia="Century Gothic" w:hAnsi="Century Gothic" w:cs="Century Gothic"/>
                <w:b/>
                <w:sz w:val="20"/>
                <w:szCs w:val="20"/>
              </w:rPr>
            </w:pPr>
            <w:r>
              <w:t>Departamento de Bolívar</w:t>
            </w:r>
          </w:p>
        </w:tc>
      </w:tr>
      <w:tr w:rsidR="00AA5550" w14:paraId="04EF7781" w14:textId="77777777">
        <w:trPr>
          <w:trHeight w:val="4578"/>
        </w:trPr>
        <w:tc>
          <w:tcPr>
            <w:tcW w:w="4425" w:type="dxa"/>
            <w:tcBorders>
              <w:top w:val="nil"/>
              <w:left w:val="single" w:sz="5" w:space="0" w:color="A6A6A6"/>
              <w:bottom w:val="single" w:sz="5" w:space="0" w:color="A6A6A6"/>
              <w:right w:val="single" w:sz="5" w:space="0" w:color="A6A6A6"/>
            </w:tcBorders>
            <w:tcMar>
              <w:top w:w="0" w:type="dxa"/>
              <w:left w:w="100" w:type="dxa"/>
              <w:bottom w:w="0" w:type="dxa"/>
              <w:right w:w="100" w:type="dxa"/>
            </w:tcMar>
          </w:tcPr>
          <w:p w14:paraId="1B0450CF" w14:textId="77777777" w:rsidR="00AA5550" w:rsidRDefault="00AA5550">
            <w:pPr>
              <w:spacing w:before="240" w:after="240"/>
              <w:jc w:val="center"/>
              <w:rPr>
                <w:rFonts w:ascii="Arial Narrow" w:eastAsia="Arial Narrow" w:hAnsi="Arial Narrow" w:cs="Arial Narrow"/>
                <w:b/>
                <w:sz w:val="24"/>
                <w:szCs w:val="24"/>
              </w:rPr>
            </w:pPr>
          </w:p>
          <w:p w14:paraId="0F9CE06E" w14:textId="77777777" w:rsidR="00AA5550" w:rsidRDefault="00045FF4">
            <w:pPr>
              <w:spacing w:before="240" w:after="240"/>
              <w:jc w:val="center"/>
              <w:rPr>
                <w:rFonts w:ascii="Arial Narrow" w:eastAsia="Arial Narrow" w:hAnsi="Arial Narrow" w:cs="Arial Narrow"/>
                <w:b/>
                <w:sz w:val="24"/>
                <w:szCs w:val="24"/>
              </w:rPr>
            </w:pPr>
            <w:r>
              <w:rPr>
                <w:rFonts w:ascii="Arial Narrow" w:eastAsia="Arial Narrow" w:hAnsi="Arial Narrow" w:cs="Arial Narrow"/>
                <w:b/>
                <w:noProof/>
                <w:sz w:val="24"/>
                <w:szCs w:val="24"/>
              </w:rPr>
              <w:drawing>
                <wp:inline distT="114300" distB="114300" distL="114300" distR="114300" wp14:anchorId="2E0022C9" wp14:editId="56434645">
                  <wp:extent cx="2676525" cy="1016000"/>
                  <wp:effectExtent l="0" t="0" r="0" b="0"/>
                  <wp:docPr id="1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2"/>
                          <a:srcRect/>
                          <a:stretch>
                            <a:fillRect/>
                          </a:stretch>
                        </pic:blipFill>
                        <pic:spPr>
                          <a:xfrm>
                            <a:off x="0" y="0"/>
                            <a:ext cx="2676525" cy="1016000"/>
                          </a:xfrm>
                          <a:prstGeom prst="rect">
                            <a:avLst/>
                          </a:prstGeom>
                          <a:ln/>
                        </pic:spPr>
                      </pic:pic>
                    </a:graphicData>
                  </a:graphic>
                </wp:inline>
              </w:drawing>
            </w:r>
          </w:p>
          <w:p w14:paraId="105A9D87" w14:textId="77777777" w:rsidR="00AA5550" w:rsidRDefault="00045FF4">
            <w:pPr>
              <w:jc w:val="center"/>
              <w:rPr>
                <w:rFonts w:ascii="Arial Narrow" w:eastAsia="Arial Narrow" w:hAnsi="Arial Narrow" w:cs="Arial Narrow"/>
                <w:b/>
                <w:sz w:val="24"/>
                <w:szCs w:val="24"/>
              </w:rPr>
            </w:pPr>
            <w:r>
              <w:rPr>
                <w:rFonts w:ascii="Arial Narrow" w:eastAsia="Arial Narrow" w:hAnsi="Arial Narrow" w:cs="Arial Narrow"/>
                <w:b/>
                <w:sz w:val="24"/>
                <w:szCs w:val="24"/>
              </w:rPr>
              <w:t>CAROLINA GIRALDO BOTERO</w:t>
            </w:r>
          </w:p>
          <w:p w14:paraId="7F59F50B" w14:textId="77777777" w:rsidR="00AA5550" w:rsidRDefault="00045FF4">
            <w:pPr>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 por Risaralda</w:t>
            </w:r>
          </w:p>
        </w:tc>
        <w:tc>
          <w:tcPr>
            <w:tcW w:w="5040" w:type="dxa"/>
            <w:tcBorders>
              <w:top w:val="nil"/>
              <w:left w:val="nil"/>
              <w:bottom w:val="single" w:sz="5" w:space="0" w:color="A6A6A6"/>
              <w:right w:val="single" w:sz="5" w:space="0" w:color="A6A6A6"/>
            </w:tcBorders>
            <w:tcMar>
              <w:top w:w="0" w:type="dxa"/>
              <w:left w:w="100" w:type="dxa"/>
              <w:bottom w:w="0" w:type="dxa"/>
              <w:right w:w="100" w:type="dxa"/>
            </w:tcMar>
          </w:tcPr>
          <w:p w14:paraId="391A9F42" w14:textId="77777777" w:rsidR="00AA5550" w:rsidRDefault="00045FF4">
            <w:pPr>
              <w:spacing w:before="240" w:after="240"/>
              <w:jc w:val="center"/>
              <w:rPr>
                <w:rFonts w:ascii="Arial Narrow" w:eastAsia="Arial Narrow" w:hAnsi="Arial Narrow" w:cs="Arial Narrow"/>
                <w:b/>
                <w:sz w:val="24"/>
                <w:szCs w:val="24"/>
              </w:rPr>
            </w:pPr>
            <w:r>
              <w:rPr>
                <w:rFonts w:ascii="Arial Narrow" w:eastAsia="Arial Narrow" w:hAnsi="Arial Narrow" w:cs="Arial Narrow"/>
                <w:b/>
                <w:noProof/>
                <w:sz w:val="24"/>
                <w:szCs w:val="24"/>
              </w:rPr>
              <w:drawing>
                <wp:inline distT="114300" distB="114300" distL="114300" distR="114300" wp14:anchorId="6DEBA951" wp14:editId="04CB89FB">
                  <wp:extent cx="2876550" cy="817090"/>
                  <wp:effectExtent l="0" t="0" r="0" b="0"/>
                  <wp:docPr id="2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3"/>
                          <a:srcRect/>
                          <a:stretch>
                            <a:fillRect/>
                          </a:stretch>
                        </pic:blipFill>
                        <pic:spPr>
                          <a:xfrm>
                            <a:off x="0" y="0"/>
                            <a:ext cx="2876550" cy="817090"/>
                          </a:xfrm>
                          <a:prstGeom prst="rect">
                            <a:avLst/>
                          </a:prstGeom>
                          <a:ln/>
                        </pic:spPr>
                      </pic:pic>
                    </a:graphicData>
                  </a:graphic>
                </wp:inline>
              </w:drawing>
            </w:r>
          </w:p>
          <w:p w14:paraId="4D5C6EFB" w14:textId="77777777" w:rsidR="00AA5550" w:rsidRDefault="00045FF4">
            <w:pPr>
              <w:spacing w:before="240" w:after="24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ÁLVARO LEONEL RUEDA CABALLERO </w:t>
            </w:r>
          </w:p>
          <w:p w14:paraId="6E1A8260" w14:textId="77777777" w:rsidR="00AA5550" w:rsidRDefault="00045FF4">
            <w:pPr>
              <w:spacing w:before="240" w:after="24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 xml:space="preserve">Representante a la Cámara </w:t>
            </w:r>
          </w:p>
          <w:p w14:paraId="0A088BFF" w14:textId="77777777" w:rsidR="00AA5550" w:rsidRDefault="00045FF4">
            <w:pPr>
              <w:spacing w:before="240" w:after="240" w:line="240" w:lineRule="auto"/>
              <w:jc w:val="center"/>
              <w:rPr>
                <w:rFonts w:ascii="Arial Narrow" w:eastAsia="Arial Narrow" w:hAnsi="Arial Narrow" w:cs="Arial Narrow"/>
                <w:b/>
                <w:sz w:val="24"/>
                <w:szCs w:val="24"/>
              </w:rPr>
            </w:pPr>
            <w:r>
              <w:rPr>
                <w:rFonts w:ascii="Arial Narrow" w:eastAsia="Arial Narrow" w:hAnsi="Arial Narrow" w:cs="Arial Narrow"/>
                <w:sz w:val="24"/>
                <w:szCs w:val="24"/>
              </w:rPr>
              <w:t>Departamento de Santander</w:t>
            </w:r>
            <w:r>
              <w:rPr>
                <w:rFonts w:ascii="Arial Narrow" w:eastAsia="Arial Narrow" w:hAnsi="Arial Narrow" w:cs="Arial Narrow"/>
                <w:b/>
                <w:sz w:val="24"/>
                <w:szCs w:val="24"/>
              </w:rPr>
              <w:t xml:space="preserve"> </w:t>
            </w:r>
          </w:p>
        </w:tc>
      </w:tr>
      <w:tr w:rsidR="00AA5550" w14:paraId="6C5AFB44" w14:textId="77777777">
        <w:trPr>
          <w:trHeight w:val="1845"/>
        </w:trPr>
        <w:tc>
          <w:tcPr>
            <w:tcW w:w="4425" w:type="dxa"/>
            <w:tcBorders>
              <w:top w:val="nil"/>
              <w:left w:val="single" w:sz="5" w:space="0" w:color="A6A6A6"/>
              <w:bottom w:val="single" w:sz="5" w:space="0" w:color="A6A6A6"/>
              <w:right w:val="single" w:sz="5" w:space="0" w:color="A6A6A6"/>
            </w:tcBorders>
            <w:tcMar>
              <w:top w:w="0" w:type="dxa"/>
              <w:left w:w="100" w:type="dxa"/>
              <w:bottom w:w="0" w:type="dxa"/>
              <w:right w:w="100" w:type="dxa"/>
            </w:tcMar>
          </w:tcPr>
          <w:p w14:paraId="71C83660" w14:textId="77777777" w:rsidR="00AA5550" w:rsidRDefault="00045FF4">
            <w:pPr>
              <w:spacing w:before="240" w:after="240"/>
              <w:jc w:val="center"/>
              <w:rPr>
                <w:rFonts w:ascii="Century Gothic" w:eastAsia="Century Gothic" w:hAnsi="Century Gothic" w:cs="Century Gothic"/>
                <w:b/>
                <w:sz w:val="20"/>
                <w:szCs w:val="20"/>
              </w:rPr>
            </w:pPr>
            <w:r>
              <w:rPr>
                <w:noProof/>
              </w:rPr>
              <w:drawing>
                <wp:anchor distT="114300" distB="114300" distL="114300" distR="114300" simplePos="0" relativeHeight="251660288" behindDoc="1" locked="0" layoutInCell="1" hidden="0" allowOverlap="1" wp14:anchorId="0F7917E9" wp14:editId="33970230">
                  <wp:simplePos x="0" y="0"/>
                  <wp:positionH relativeFrom="column">
                    <wp:posOffset>166688</wp:posOffset>
                  </wp:positionH>
                  <wp:positionV relativeFrom="paragraph">
                    <wp:posOffset>171450</wp:posOffset>
                  </wp:positionV>
                  <wp:extent cx="2343150" cy="1657350"/>
                  <wp:effectExtent l="0" t="0" r="0" b="0"/>
                  <wp:wrapNone/>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2343150" cy="1657350"/>
                          </a:xfrm>
                          <a:prstGeom prst="rect">
                            <a:avLst/>
                          </a:prstGeom>
                          <a:ln/>
                        </pic:spPr>
                      </pic:pic>
                    </a:graphicData>
                  </a:graphic>
                </wp:anchor>
              </w:drawing>
            </w:r>
          </w:p>
          <w:p w14:paraId="28DAE8A7" w14:textId="77777777" w:rsidR="00AA5550" w:rsidRDefault="00AA5550">
            <w:pPr>
              <w:spacing w:before="240" w:after="240"/>
              <w:jc w:val="center"/>
              <w:rPr>
                <w:rFonts w:ascii="Century Gothic" w:eastAsia="Century Gothic" w:hAnsi="Century Gothic" w:cs="Century Gothic"/>
                <w:b/>
                <w:sz w:val="20"/>
                <w:szCs w:val="20"/>
              </w:rPr>
            </w:pPr>
          </w:p>
          <w:p w14:paraId="711C182C" w14:textId="77777777" w:rsidR="00AA5550" w:rsidRDefault="00AA5550">
            <w:pPr>
              <w:spacing w:before="240" w:after="240"/>
              <w:jc w:val="center"/>
              <w:rPr>
                <w:rFonts w:ascii="Century Gothic" w:eastAsia="Century Gothic" w:hAnsi="Century Gothic" w:cs="Century Gothic"/>
                <w:b/>
                <w:sz w:val="20"/>
                <w:szCs w:val="20"/>
              </w:rPr>
            </w:pPr>
          </w:p>
          <w:p w14:paraId="5DD83117" w14:textId="77777777" w:rsidR="00AA5550" w:rsidRDefault="00045FF4">
            <w:pPr>
              <w:jc w:val="center"/>
              <w:rPr>
                <w:rFonts w:ascii="Arial Narrow" w:eastAsia="Arial Narrow" w:hAnsi="Arial Narrow" w:cs="Arial Narrow"/>
                <w:b/>
                <w:sz w:val="24"/>
                <w:szCs w:val="24"/>
              </w:rPr>
            </w:pPr>
            <w:r>
              <w:rPr>
                <w:rFonts w:ascii="Arial Narrow" w:eastAsia="Arial Narrow" w:hAnsi="Arial Narrow" w:cs="Arial Narrow"/>
                <w:b/>
                <w:sz w:val="24"/>
                <w:szCs w:val="24"/>
              </w:rPr>
              <w:t>LUIS CARLOS OCHOA TOBON</w:t>
            </w:r>
          </w:p>
          <w:p w14:paraId="49E028C7" w14:textId="77777777" w:rsidR="00AA5550" w:rsidRDefault="00045FF4">
            <w:pPr>
              <w:jc w:val="center"/>
              <w:rPr>
                <w:rFonts w:ascii="Century Gothic" w:eastAsia="Century Gothic" w:hAnsi="Century Gothic" w:cs="Century Gothic"/>
                <w:b/>
                <w:sz w:val="20"/>
                <w:szCs w:val="20"/>
              </w:rPr>
            </w:pPr>
            <w:r>
              <w:rPr>
                <w:rFonts w:ascii="Arial Narrow" w:eastAsia="Arial Narrow" w:hAnsi="Arial Narrow" w:cs="Arial Narrow"/>
                <w:sz w:val="24"/>
                <w:szCs w:val="24"/>
              </w:rPr>
              <w:t>Representante a la Cámara por Antioquia</w:t>
            </w:r>
          </w:p>
        </w:tc>
        <w:tc>
          <w:tcPr>
            <w:tcW w:w="5040" w:type="dxa"/>
            <w:tcBorders>
              <w:top w:val="nil"/>
              <w:left w:val="nil"/>
              <w:bottom w:val="single" w:sz="5" w:space="0" w:color="A6A6A6"/>
              <w:right w:val="single" w:sz="5" w:space="0" w:color="A6A6A6"/>
            </w:tcBorders>
            <w:tcMar>
              <w:top w:w="0" w:type="dxa"/>
              <w:left w:w="100" w:type="dxa"/>
              <w:bottom w:w="0" w:type="dxa"/>
              <w:right w:w="100" w:type="dxa"/>
            </w:tcMar>
          </w:tcPr>
          <w:p w14:paraId="378949F0" w14:textId="77777777" w:rsidR="00AA5550" w:rsidRDefault="00045FF4">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drawing>
                <wp:inline distT="114300" distB="114300" distL="114300" distR="114300" wp14:anchorId="433BBC49" wp14:editId="65B315FB">
                  <wp:extent cx="1593462" cy="931390"/>
                  <wp:effectExtent l="0" t="0" r="0" b="0"/>
                  <wp:docPr id="2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5"/>
                          <a:srcRect/>
                          <a:stretch>
                            <a:fillRect/>
                          </a:stretch>
                        </pic:blipFill>
                        <pic:spPr>
                          <a:xfrm>
                            <a:off x="0" y="0"/>
                            <a:ext cx="1593462" cy="931390"/>
                          </a:xfrm>
                          <a:prstGeom prst="rect">
                            <a:avLst/>
                          </a:prstGeom>
                          <a:ln/>
                        </pic:spPr>
                      </pic:pic>
                    </a:graphicData>
                  </a:graphic>
                </wp:inline>
              </w:drawing>
            </w:r>
            <w:r>
              <w:rPr>
                <w:rFonts w:ascii="Times New Roman" w:eastAsia="Times New Roman" w:hAnsi="Times New Roman" w:cs="Times New Roman"/>
                <w:b/>
                <w:sz w:val="20"/>
                <w:szCs w:val="20"/>
              </w:rPr>
              <w:t xml:space="preserve"> </w:t>
            </w:r>
          </w:p>
          <w:p w14:paraId="28E64864" w14:textId="77777777" w:rsidR="00AA5550" w:rsidRDefault="00045FF4">
            <w:pPr>
              <w:spacing w:before="2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JOSÉ JAIME USCÁTEGUI PASTRANA</w:t>
            </w:r>
          </w:p>
          <w:p w14:paraId="2573F3C1" w14:textId="77777777" w:rsidR="00AA5550" w:rsidRDefault="00045FF4">
            <w:pPr>
              <w:jc w:val="center"/>
              <w:rPr>
                <w:rFonts w:ascii="Century Gothic" w:eastAsia="Century Gothic" w:hAnsi="Century Gothic" w:cs="Century Gothic"/>
                <w:b/>
                <w:sz w:val="20"/>
                <w:szCs w:val="20"/>
              </w:rPr>
            </w:pPr>
            <w:r>
              <w:rPr>
                <w:rFonts w:ascii="Times New Roman" w:eastAsia="Times New Roman" w:hAnsi="Times New Roman" w:cs="Times New Roman"/>
                <w:b/>
                <w:sz w:val="20"/>
                <w:szCs w:val="20"/>
              </w:rPr>
              <w:t>Representante a la Cámara</w:t>
            </w:r>
            <w:r>
              <w:rPr>
                <w:rFonts w:ascii="Century Gothic" w:eastAsia="Century Gothic" w:hAnsi="Century Gothic" w:cs="Century Gothic"/>
                <w:b/>
                <w:sz w:val="20"/>
                <w:szCs w:val="20"/>
              </w:rPr>
              <w:t xml:space="preserve"> </w:t>
            </w:r>
          </w:p>
        </w:tc>
      </w:tr>
    </w:tbl>
    <w:p w14:paraId="79665CD5" w14:textId="6EC1F3D1" w:rsidR="00AA5550" w:rsidRDefault="00AA5550">
      <w:pPr>
        <w:rPr>
          <w:rFonts w:ascii="Century Gothic" w:eastAsia="Century Gothic" w:hAnsi="Century Gothic" w:cs="Century Gothic"/>
          <w:b/>
        </w:rPr>
      </w:pPr>
    </w:p>
    <w:p w14:paraId="21B379BC" w14:textId="7D51EED8" w:rsidR="00C00F1B" w:rsidRDefault="00C00F1B">
      <w:pPr>
        <w:rPr>
          <w:rFonts w:ascii="Century Gothic" w:eastAsia="Century Gothic" w:hAnsi="Century Gothic" w:cs="Century Gothic"/>
          <w:b/>
        </w:rPr>
      </w:pPr>
    </w:p>
    <w:p w14:paraId="4B44D499" w14:textId="2A9CBC70" w:rsidR="00C00F1B" w:rsidRDefault="00C00F1B">
      <w:pPr>
        <w:rPr>
          <w:rFonts w:ascii="Century Gothic" w:eastAsia="Century Gothic" w:hAnsi="Century Gothic" w:cs="Century Gothic"/>
          <w:b/>
        </w:rPr>
      </w:pPr>
    </w:p>
    <w:p w14:paraId="59F5D9C5" w14:textId="47B0468A" w:rsidR="00C00F1B" w:rsidRDefault="00C00F1B">
      <w:pPr>
        <w:rPr>
          <w:rFonts w:ascii="Century Gothic" w:eastAsia="Century Gothic" w:hAnsi="Century Gothic" w:cs="Century Gothic"/>
          <w:b/>
        </w:rPr>
      </w:pPr>
    </w:p>
    <w:p w14:paraId="508EEC28" w14:textId="16069413" w:rsidR="00C00F1B" w:rsidRDefault="00C00F1B">
      <w:pPr>
        <w:rPr>
          <w:rFonts w:ascii="Century Gothic" w:eastAsia="Century Gothic" w:hAnsi="Century Gothic" w:cs="Century Gothic"/>
          <w:b/>
        </w:rPr>
      </w:pPr>
    </w:p>
    <w:p w14:paraId="156B52B4" w14:textId="515086E6" w:rsidR="00C00F1B" w:rsidRDefault="00C00F1B">
      <w:pPr>
        <w:rPr>
          <w:rFonts w:ascii="Century Gothic" w:eastAsia="Century Gothic" w:hAnsi="Century Gothic" w:cs="Century Gothic"/>
          <w:b/>
        </w:rPr>
      </w:pPr>
    </w:p>
    <w:p w14:paraId="195418A6" w14:textId="4A424BC8" w:rsidR="00C00F1B" w:rsidRDefault="00C00F1B">
      <w:pPr>
        <w:rPr>
          <w:rFonts w:ascii="Century Gothic" w:eastAsia="Century Gothic" w:hAnsi="Century Gothic" w:cs="Century Gothic"/>
          <w:b/>
        </w:rPr>
      </w:pPr>
    </w:p>
    <w:p w14:paraId="6C620953" w14:textId="080CB4E9" w:rsidR="00C00F1B" w:rsidRDefault="00C00F1B">
      <w:pPr>
        <w:rPr>
          <w:rFonts w:ascii="Century Gothic" w:eastAsia="Century Gothic" w:hAnsi="Century Gothic" w:cs="Century Gothic"/>
          <w:b/>
        </w:rPr>
      </w:pPr>
    </w:p>
    <w:p w14:paraId="6A84F694" w14:textId="77777777" w:rsidR="00C00F1B" w:rsidRDefault="00C00F1B">
      <w:pPr>
        <w:rPr>
          <w:rFonts w:ascii="Century Gothic" w:eastAsia="Century Gothic" w:hAnsi="Century Gothic" w:cs="Century Gothic"/>
          <w:b/>
        </w:rPr>
      </w:pPr>
    </w:p>
    <w:p w14:paraId="67043E67" w14:textId="77777777" w:rsidR="00AA5550" w:rsidRDefault="00045FF4">
      <w:pPr>
        <w:jc w:val="center"/>
        <w:rPr>
          <w:rFonts w:ascii="Century Gothic" w:eastAsia="Century Gothic" w:hAnsi="Century Gothic" w:cs="Century Gothic"/>
          <w:b/>
        </w:rPr>
      </w:pPr>
      <w:r>
        <w:rPr>
          <w:rFonts w:ascii="Century Gothic" w:eastAsia="Century Gothic" w:hAnsi="Century Gothic" w:cs="Century Gothic"/>
          <w:b/>
        </w:rPr>
        <w:lastRenderedPageBreak/>
        <w:t>Capítulo I. Disposiciones generales</w:t>
      </w:r>
    </w:p>
    <w:p w14:paraId="28DAEC55" w14:textId="77777777" w:rsidR="00AA5550" w:rsidRDefault="00AA5550">
      <w:pPr>
        <w:rPr>
          <w:rFonts w:ascii="Century Gothic" w:eastAsia="Century Gothic" w:hAnsi="Century Gothic" w:cs="Century Gothic"/>
          <w:b/>
        </w:rPr>
      </w:pPr>
    </w:p>
    <w:p w14:paraId="71A93678" w14:textId="77777777" w:rsidR="00AA5550" w:rsidRDefault="00045FF4">
      <w:pPr>
        <w:rPr>
          <w:rFonts w:ascii="Century Gothic" w:eastAsia="Century Gothic" w:hAnsi="Century Gothic" w:cs="Century Gothic"/>
        </w:rPr>
      </w:pPr>
      <w:r>
        <w:rPr>
          <w:rFonts w:ascii="Century Gothic" w:eastAsia="Century Gothic" w:hAnsi="Century Gothic" w:cs="Century Gothic"/>
          <w:b/>
        </w:rPr>
        <w:t>Artículo 1. Objeto</w:t>
      </w:r>
      <w:r>
        <w:rPr>
          <w:rFonts w:ascii="Century Gothic" w:eastAsia="Century Gothic" w:hAnsi="Century Gothic" w:cs="Century Gothic"/>
        </w:rPr>
        <w:t>. La presente ley tiene por objeto establecer un marco normativo integral para promover, garantizar y fortalecer entornos seguros y protectores para mujeres, niñas, niños y adolescentes en todo el territorio nacional, a través de la articulación interinsti</w:t>
      </w:r>
      <w:r>
        <w:rPr>
          <w:rFonts w:ascii="Century Gothic" w:eastAsia="Century Gothic" w:hAnsi="Century Gothic" w:cs="Century Gothic"/>
        </w:rPr>
        <w:t>tucional, la optimización de recursos existentes y la implementación de estrategias territoriales en materia de prevención, protección, iluminación, convivencia y participación comunitaria.</w:t>
      </w:r>
    </w:p>
    <w:p w14:paraId="039B7F47" w14:textId="77777777" w:rsidR="00AA5550" w:rsidRDefault="00045FF4">
      <w:pPr>
        <w:rPr>
          <w:rFonts w:ascii="Century Gothic" w:eastAsia="Century Gothic" w:hAnsi="Century Gothic" w:cs="Century Gothic"/>
        </w:rPr>
      </w:pPr>
      <w:r>
        <w:rPr>
          <w:rFonts w:ascii="Century Gothic" w:eastAsia="Century Gothic" w:hAnsi="Century Gothic" w:cs="Century Gothic"/>
          <w:b/>
        </w:rPr>
        <w:t>Artículo 2. Ámbito de aplicación</w:t>
      </w:r>
      <w:r>
        <w:rPr>
          <w:rFonts w:ascii="Century Gothic" w:eastAsia="Century Gothic" w:hAnsi="Century Gothic" w:cs="Century Gothic"/>
        </w:rPr>
        <w:t>. Las disposiciones de la presente ley se aplican en todo el territorio nacional y obligan a las entidades del orden nacional, departamental, distrital y municipal, así como a las autoridades administrativas, judiciales y de policía, en el marco de sus com</w:t>
      </w:r>
      <w:r>
        <w:rPr>
          <w:rFonts w:ascii="Century Gothic" w:eastAsia="Century Gothic" w:hAnsi="Century Gothic" w:cs="Century Gothic"/>
        </w:rPr>
        <w:t>petencias constitucionales y legales. Esta ley será aplicable en todos los contextos territoriales, urbanos y rurales, especialmente en aquellos donde se identifiquen condiciones de riesgo, exclusión o vulnerabilidad que afecten la seguridad, dignidad e in</w:t>
      </w:r>
      <w:r>
        <w:rPr>
          <w:rFonts w:ascii="Century Gothic" w:eastAsia="Century Gothic" w:hAnsi="Century Gothic" w:cs="Century Gothic"/>
        </w:rPr>
        <w:t>tegridad de mujeres, niñas, niños y adolescentes. Las acciones previstas en esta ley deberán articularse con las políticas públicas existentes en materia de infancia, adolescencia, equidad de género, convivencia ciudadana, seguridad, desarrollo territorial</w:t>
      </w:r>
      <w:r>
        <w:rPr>
          <w:rFonts w:ascii="Century Gothic" w:eastAsia="Century Gothic" w:hAnsi="Century Gothic" w:cs="Century Gothic"/>
        </w:rPr>
        <w:t xml:space="preserve"> y derechos humanos, sin implicar la creación de nuevas entidades ni la asignación de partidas presupuestales adicionales</w:t>
      </w:r>
    </w:p>
    <w:p w14:paraId="7F6E66A2" w14:textId="77777777" w:rsidR="00AA5550" w:rsidRDefault="00AA5550">
      <w:pPr>
        <w:rPr>
          <w:rFonts w:ascii="Century Gothic" w:eastAsia="Century Gothic" w:hAnsi="Century Gothic" w:cs="Century Gothic"/>
          <w:b/>
        </w:rPr>
      </w:pPr>
    </w:p>
    <w:p w14:paraId="49645C9F" w14:textId="77777777" w:rsidR="00AA5550" w:rsidRDefault="00045FF4">
      <w:pPr>
        <w:rPr>
          <w:rFonts w:ascii="Century Gothic" w:eastAsia="Century Gothic" w:hAnsi="Century Gothic" w:cs="Century Gothic"/>
        </w:rPr>
      </w:pPr>
      <w:r>
        <w:rPr>
          <w:rFonts w:ascii="Century Gothic" w:eastAsia="Century Gothic" w:hAnsi="Century Gothic" w:cs="Century Gothic"/>
          <w:b/>
        </w:rPr>
        <w:t xml:space="preserve">Artículo 3. Definiciones. </w:t>
      </w:r>
      <w:r>
        <w:rPr>
          <w:rFonts w:ascii="Century Gothic" w:eastAsia="Century Gothic" w:hAnsi="Century Gothic" w:cs="Century Gothic"/>
        </w:rPr>
        <w:t>Para los efectos de la presente ley, se adoptan las siguientes definiciones:</w:t>
      </w:r>
    </w:p>
    <w:p w14:paraId="2A421EB3" w14:textId="77777777" w:rsidR="00AA5550" w:rsidRDefault="00045FF4">
      <w:pPr>
        <w:numPr>
          <w:ilvl w:val="0"/>
          <w:numId w:val="8"/>
        </w:numPr>
        <w:spacing w:before="240"/>
        <w:jc w:val="both"/>
        <w:rPr>
          <w:rFonts w:ascii="Century Gothic" w:eastAsia="Century Gothic" w:hAnsi="Century Gothic" w:cs="Century Gothic"/>
        </w:rPr>
      </w:pPr>
      <w:r>
        <w:rPr>
          <w:rFonts w:ascii="Century Gothic" w:eastAsia="Century Gothic" w:hAnsi="Century Gothic" w:cs="Century Gothic"/>
          <w:b/>
        </w:rPr>
        <w:t xml:space="preserve">Entorno seguro: </w:t>
      </w:r>
      <w:r>
        <w:rPr>
          <w:rFonts w:ascii="Century Gothic" w:eastAsia="Century Gothic" w:hAnsi="Century Gothic" w:cs="Century Gothic"/>
        </w:rPr>
        <w:t>Espacio físico</w:t>
      </w:r>
      <w:r>
        <w:rPr>
          <w:rFonts w:ascii="Century Gothic" w:eastAsia="Century Gothic" w:hAnsi="Century Gothic" w:cs="Century Gothic"/>
        </w:rPr>
        <w:t>, social y simbólico en el que las mujeres, niñas, niños y adolescentes pueden ejercer sus derechos en condiciones de dignidad, seguridad, bienestar y libertad de violencia. Incluye el espacio público, los entornos escolares, comunitarios, familiares y dig</w:t>
      </w:r>
      <w:r>
        <w:rPr>
          <w:rFonts w:ascii="Century Gothic" w:eastAsia="Century Gothic" w:hAnsi="Century Gothic" w:cs="Century Gothic"/>
        </w:rPr>
        <w:t>itales, así como los sistemas de transporte, iluminación, vigilancia y convivencia.</w:t>
      </w:r>
      <w:r>
        <w:rPr>
          <w:rFonts w:ascii="Century Gothic" w:eastAsia="Century Gothic" w:hAnsi="Century Gothic" w:cs="Century Gothic"/>
        </w:rPr>
        <w:br/>
      </w:r>
    </w:p>
    <w:p w14:paraId="45A071D3" w14:textId="77777777" w:rsidR="00AA5550" w:rsidRDefault="00045FF4">
      <w:pPr>
        <w:numPr>
          <w:ilvl w:val="0"/>
          <w:numId w:val="8"/>
        </w:numPr>
        <w:jc w:val="both"/>
        <w:rPr>
          <w:rFonts w:ascii="Century Gothic" w:eastAsia="Century Gothic" w:hAnsi="Century Gothic" w:cs="Century Gothic"/>
        </w:rPr>
      </w:pPr>
      <w:r>
        <w:rPr>
          <w:rFonts w:ascii="Century Gothic" w:eastAsia="Century Gothic" w:hAnsi="Century Gothic" w:cs="Century Gothic"/>
          <w:b/>
        </w:rPr>
        <w:t xml:space="preserve">Violencias basadas en género: </w:t>
      </w:r>
      <w:r>
        <w:rPr>
          <w:rFonts w:ascii="Century Gothic" w:eastAsia="Century Gothic" w:hAnsi="Century Gothic" w:cs="Century Gothic"/>
        </w:rPr>
        <w:t>Cualquier acción u omisión, basada en el sexo, el género o los estereotipos asociados a estos, que cause daño físico, sexual, psicológico, pa</w:t>
      </w:r>
      <w:r>
        <w:rPr>
          <w:rFonts w:ascii="Century Gothic" w:eastAsia="Century Gothic" w:hAnsi="Century Gothic" w:cs="Century Gothic"/>
        </w:rPr>
        <w:t>trimonial, económico o simbólico a las mujeres por el hecho de serlo, y que limite o impida el goce de sus derechos. Incluye el feminicidio, la violencia intrafamiliar, el acoso callejero, la violencia digital y la violencia institucional.</w:t>
      </w:r>
      <w:r>
        <w:rPr>
          <w:rFonts w:ascii="Century Gothic" w:eastAsia="Century Gothic" w:hAnsi="Century Gothic" w:cs="Century Gothic"/>
        </w:rPr>
        <w:br/>
      </w:r>
    </w:p>
    <w:p w14:paraId="373B795B" w14:textId="77777777" w:rsidR="00AA5550" w:rsidRDefault="00045FF4">
      <w:pPr>
        <w:numPr>
          <w:ilvl w:val="0"/>
          <w:numId w:val="8"/>
        </w:numPr>
        <w:jc w:val="both"/>
        <w:rPr>
          <w:rFonts w:ascii="Century Gothic" w:eastAsia="Century Gothic" w:hAnsi="Century Gothic" w:cs="Century Gothic"/>
        </w:rPr>
      </w:pPr>
      <w:r>
        <w:rPr>
          <w:rFonts w:ascii="Century Gothic" w:eastAsia="Century Gothic" w:hAnsi="Century Gothic" w:cs="Century Gothic"/>
          <w:b/>
        </w:rPr>
        <w:t>Violencia contr</w:t>
      </w:r>
      <w:r>
        <w:rPr>
          <w:rFonts w:ascii="Century Gothic" w:eastAsia="Century Gothic" w:hAnsi="Century Gothic" w:cs="Century Gothic"/>
          <w:b/>
        </w:rPr>
        <w:t xml:space="preserve">a la niñez y la adolescencia: </w:t>
      </w:r>
      <w:r>
        <w:rPr>
          <w:rFonts w:ascii="Century Gothic" w:eastAsia="Century Gothic" w:hAnsi="Century Gothic" w:cs="Century Gothic"/>
        </w:rPr>
        <w:t>Toda forma de maltrato físico, psicológico, sexual, negligencia, explotación, abandono o trato cruel que afecte a personas menores de 18 años, en el ámbito familiar, escolar, institucional, comunitario o digital. Abarca tambié</w:t>
      </w:r>
      <w:r>
        <w:rPr>
          <w:rFonts w:ascii="Century Gothic" w:eastAsia="Century Gothic" w:hAnsi="Century Gothic" w:cs="Century Gothic"/>
        </w:rPr>
        <w:t xml:space="preserve">n las formas de violencia </w:t>
      </w:r>
      <w:r>
        <w:rPr>
          <w:rFonts w:ascii="Century Gothic" w:eastAsia="Century Gothic" w:hAnsi="Century Gothic" w:cs="Century Gothic"/>
        </w:rPr>
        <w:lastRenderedPageBreak/>
        <w:t>estructural y simbólica que vulneran sus derechos fundamentales y su desarrollo integral.</w:t>
      </w:r>
    </w:p>
    <w:p w14:paraId="7FAB5964" w14:textId="77777777" w:rsidR="00AA5550" w:rsidRDefault="00AA5550">
      <w:pPr>
        <w:ind w:left="720"/>
        <w:jc w:val="both"/>
        <w:rPr>
          <w:rFonts w:ascii="Century Gothic" w:eastAsia="Century Gothic" w:hAnsi="Century Gothic" w:cs="Century Gothic"/>
        </w:rPr>
      </w:pPr>
    </w:p>
    <w:p w14:paraId="6B916084" w14:textId="77777777" w:rsidR="00AA5550" w:rsidRDefault="00045FF4">
      <w:pPr>
        <w:numPr>
          <w:ilvl w:val="0"/>
          <w:numId w:val="8"/>
        </w:numPr>
        <w:jc w:val="both"/>
        <w:rPr>
          <w:rFonts w:ascii="Century Gothic" w:eastAsia="Century Gothic" w:hAnsi="Century Gothic" w:cs="Century Gothic"/>
        </w:rPr>
      </w:pPr>
      <w:r>
        <w:rPr>
          <w:rFonts w:ascii="Century Gothic" w:eastAsia="Century Gothic" w:hAnsi="Century Gothic" w:cs="Century Gothic"/>
          <w:b/>
        </w:rPr>
        <w:t>Corresponsabilidad territorial:</w:t>
      </w:r>
      <w:r>
        <w:rPr>
          <w:rFonts w:ascii="Century Gothic" w:eastAsia="Century Gothic" w:hAnsi="Century Gothic" w:cs="Century Gothic"/>
        </w:rPr>
        <w:t xml:space="preserve"> Principio según el cual las autoridades nacionales y territoriales, junto con la sociedad civil, las organi</w:t>
      </w:r>
      <w:r>
        <w:rPr>
          <w:rFonts w:ascii="Century Gothic" w:eastAsia="Century Gothic" w:hAnsi="Century Gothic" w:cs="Century Gothic"/>
        </w:rPr>
        <w:t>zaciones comunitarias y las familias, comparten el deber de garantizar entornos seguros mediante acciones coordinadas, sostenidas y pertinentes en cada contexto local.</w:t>
      </w:r>
      <w:r>
        <w:rPr>
          <w:rFonts w:ascii="Century Gothic" w:eastAsia="Century Gothic" w:hAnsi="Century Gothic" w:cs="Century Gothic"/>
        </w:rPr>
        <w:br/>
      </w:r>
    </w:p>
    <w:p w14:paraId="4330864A" w14:textId="77777777" w:rsidR="00AA5550" w:rsidRDefault="00045FF4">
      <w:pPr>
        <w:numPr>
          <w:ilvl w:val="0"/>
          <w:numId w:val="8"/>
        </w:numPr>
        <w:jc w:val="both"/>
        <w:rPr>
          <w:rFonts w:ascii="Century Gothic" w:eastAsia="Century Gothic" w:hAnsi="Century Gothic" w:cs="Century Gothic"/>
        </w:rPr>
      </w:pPr>
      <w:r>
        <w:rPr>
          <w:rFonts w:ascii="Century Gothic" w:eastAsia="Century Gothic" w:hAnsi="Century Gothic" w:cs="Century Gothic"/>
          <w:b/>
        </w:rPr>
        <w:t xml:space="preserve">Justicia espacial: </w:t>
      </w:r>
      <w:r>
        <w:rPr>
          <w:rFonts w:ascii="Century Gothic" w:eastAsia="Century Gothic" w:hAnsi="Century Gothic" w:cs="Century Gothic"/>
        </w:rPr>
        <w:t>Enfoque de intervención pública que reconoce las desigualdades terri</w:t>
      </w:r>
      <w:r>
        <w:rPr>
          <w:rFonts w:ascii="Century Gothic" w:eastAsia="Century Gothic" w:hAnsi="Century Gothic" w:cs="Century Gothic"/>
        </w:rPr>
        <w:t>toriales en el acceso a derechos, servicios y condiciones de vida digna. Implica la obligación del Estado de corregir los desequilibrios urbanos y rurales que perpetúan la exclusión, la inseguridad y la violencia, especialmente contra poblaciones vulnerabl</w:t>
      </w:r>
      <w:r>
        <w:rPr>
          <w:rFonts w:ascii="Century Gothic" w:eastAsia="Century Gothic" w:hAnsi="Century Gothic" w:cs="Century Gothic"/>
        </w:rPr>
        <w:t>es.</w:t>
      </w:r>
    </w:p>
    <w:p w14:paraId="379C92BC" w14:textId="77777777" w:rsidR="00AA5550" w:rsidRDefault="00AA5550">
      <w:pPr>
        <w:ind w:left="720"/>
        <w:jc w:val="both"/>
        <w:rPr>
          <w:rFonts w:ascii="Century Gothic" w:eastAsia="Century Gothic" w:hAnsi="Century Gothic" w:cs="Century Gothic"/>
        </w:rPr>
      </w:pPr>
    </w:p>
    <w:p w14:paraId="0CB60593" w14:textId="77777777" w:rsidR="00AA5550" w:rsidRDefault="00045FF4">
      <w:pPr>
        <w:numPr>
          <w:ilvl w:val="0"/>
          <w:numId w:val="8"/>
        </w:numPr>
        <w:jc w:val="both"/>
        <w:rPr>
          <w:rFonts w:ascii="Century Gothic" w:eastAsia="Century Gothic" w:hAnsi="Century Gothic" w:cs="Century Gothic"/>
        </w:rPr>
      </w:pPr>
      <w:r>
        <w:rPr>
          <w:rFonts w:ascii="Century Gothic" w:eastAsia="Century Gothic" w:hAnsi="Century Gothic" w:cs="Century Gothic"/>
          <w:b/>
        </w:rPr>
        <w:t xml:space="preserve">Curso de vida: </w:t>
      </w:r>
      <w:r>
        <w:rPr>
          <w:rFonts w:ascii="Century Gothic" w:eastAsia="Century Gothic" w:hAnsi="Century Gothic" w:cs="Century Gothic"/>
        </w:rPr>
        <w:t>Perspectiva integral que reconoce las diferentes etapas del desarrollo humano desde la primera infancia hasta la vejez, y la necesidad de garantizar condiciones de bienestar, protección y ejercicio de derechos a lo largo de toda la trayectoria vital, con é</w:t>
      </w:r>
      <w:r>
        <w:rPr>
          <w:rFonts w:ascii="Century Gothic" w:eastAsia="Century Gothic" w:hAnsi="Century Gothic" w:cs="Century Gothic"/>
        </w:rPr>
        <w:t>nfasis en la niñez, adolescencia y adultez temprana.</w:t>
      </w:r>
    </w:p>
    <w:p w14:paraId="3E00929F" w14:textId="77777777" w:rsidR="00AA5550" w:rsidRDefault="00AA5550">
      <w:pPr>
        <w:ind w:left="720"/>
        <w:jc w:val="both"/>
        <w:rPr>
          <w:rFonts w:ascii="Century Gothic" w:eastAsia="Century Gothic" w:hAnsi="Century Gothic" w:cs="Century Gothic"/>
        </w:rPr>
      </w:pPr>
    </w:p>
    <w:p w14:paraId="3705BCC6" w14:textId="77777777" w:rsidR="00AA5550" w:rsidRDefault="00045FF4">
      <w:pPr>
        <w:numPr>
          <w:ilvl w:val="0"/>
          <w:numId w:val="8"/>
        </w:numPr>
        <w:spacing w:after="240"/>
        <w:jc w:val="both"/>
        <w:rPr>
          <w:rFonts w:ascii="Century Gothic" w:eastAsia="Century Gothic" w:hAnsi="Century Gothic" w:cs="Century Gothic"/>
        </w:rPr>
      </w:pPr>
      <w:r>
        <w:rPr>
          <w:rFonts w:ascii="Century Gothic" w:eastAsia="Century Gothic" w:hAnsi="Century Gothic" w:cs="Century Gothic"/>
          <w:b/>
        </w:rPr>
        <w:t xml:space="preserve">Prevención estructural: </w:t>
      </w:r>
      <w:r>
        <w:rPr>
          <w:rFonts w:ascii="Century Gothic" w:eastAsia="Century Gothic" w:hAnsi="Century Gothic" w:cs="Century Gothic"/>
        </w:rPr>
        <w:t>Conjunto de estrategias, acciones e intervenciones sostenidas que buscan modificar las condiciones sociales, culturales, institucionales, ambientales y territoriales que propicie</w:t>
      </w:r>
      <w:r>
        <w:rPr>
          <w:rFonts w:ascii="Century Gothic" w:eastAsia="Century Gothic" w:hAnsi="Century Gothic" w:cs="Century Gothic"/>
        </w:rPr>
        <w:t>n la violencia o la inseguridad, mediante transformaciones en el entorno, la cultura, la infraestructura, el acceso a servicios y la participación ciudadana.</w:t>
      </w:r>
    </w:p>
    <w:p w14:paraId="7227B7B1" w14:textId="77777777" w:rsidR="00AA5550" w:rsidRDefault="00045FF4">
      <w:pPr>
        <w:rPr>
          <w:rFonts w:ascii="Century Gothic" w:eastAsia="Century Gothic" w:hAnsi="Century Gothic" w:cs="Century Gothic"/>
        </w:rPr>
      </w:pPr>
      <w:r>
        <w:rPr>
          <w:rFonts w:ascii="Century Gothic" w:eastAsia="Century Gothic" w:hAnsi="Century Gothic" w:cs="Century Gothic"/>
          <w:b/>
        </w:rPr>
        <w:t xml:space="preserve">Artículo 4. Principios rectores.  </w:t>
      </w:r>
      <w:r>
        <w:rPr>
          <w:rFonts w:ascii="Century Gothic" w:eastAsia="Century Gothic" w:hAnsi="Century Gothic" w:cs="Century Gothic"/>
        </w:rPr>
        <w:t>La interpretación, aplicación e implementación de la presente le</w:t>
      </w:r>
      <w:r>
        <w:rPr>
          <w:rFonts w:ascii="Century Gothic" w:eastAsia="Century Gothic" w:hAnsi="Century Gothic" w:cs="Century Gothic"/>
        </w:rPr>
        <w:t>y se regirá por los siguientes principios:</w:t>
      </w:r>
    </w:p>
    <w:p w14:paraId="78BEF13E" w14:textId="77777777" w:rsidR="00AA5550" w:rsidRDefault="00045FF4">
      <w:pPr>
        <w:numPr>
          <w:ilvl w:val="0"/>
          <w:numId w:val="10"/>
        </w:numPr>
        <w:spacing w:before="240"/>
        <w:jc w:val="both"/>
        <w:rPr>
          <w:rFonts w:ascii="Century Gothic" w:eastAsia="Century Gothic" w:hAnsi="Century Gothic" w:cs="Century Gothic"/>
        </w:rPr>
      </w:pPr>
      <w:r>
        <w:rPr>
          <w:rFonts w:ascii="Century Gothic" w:eastAsia="Century Gothic" w:hAnsi="Century Gothic" w:cs="Century Gothic"/>
          <w:b/>
        </w:rPr>
        <w:t xml:space="preserve">Interés superior de la niñez: </w:t>
      </w:r>
      <w:r>
        <w:rPr>
          <w:rFonts w:ascii="Century Gothic" w:eastAsia="Century Gothic" w:hAnsi="Century Gothic" w:cs="Century Gothic"/>
        </w:rPr>
        <w:t>Toda actuación pública o privada deberá considerar como criterio primordial el interés superior de niñas, niños y adolescentes, garantizando su protección integral y el ejercicio plen</w:t>
      </w:r>
      <w:r>
        <w:rPr>
          <w:rFonts w:ascii="Century Gothic" w:eastAsia="Century Gothic" w:hAnsi="Century Gothic" w:cs="Century Gothic"/>
        </w:rPr>
        <w:t>o de sus derechos, conforme al artículo 44 de la Constitución Política y los estándares internacionales vigentes.</w:t>
      </w:r>
    </w:p>
    <w:p w14:paraId="5039BFBF" w14:textId="77777777" w:rsidR="00AA5550" w:rsidRDefault="00045FF4">
      <w:pPr>
        <w:numPr>
          <w:ilvl w:val="0"/>
          <w:numId w:val="10"/>
        </w:numPr>
        <w:jc w:val="both"/>
        <w:rPr>
          <w:rFonts w:ascii="Century Gothic" w:eastAsia="Century Gothic" w:hAnsi="Century Gothic" w:cs="Century Gothic"/>
        </w:rPr>
      </w:pPr>
      <w:r>
        <w:rPr>
          <w:rFonts w:ascii="Century Gothic" w:eastAsia="Century Gothic" w:hAnsi="Century Gothic" w:cs="Century Gothic"/>
          <w:b/>
        </w:rPr>
        <w:t xml:space="preserve">Enfoque de género: </w:t>
      </w:r>
      <w:r>
        <w:rPr>
          <w:rFonts w:ascii="Century Gothic" w:eastAsia="Century Gothic" w:hAnsi="Century Gothic" w:cs="Century Gothic"/>
        </w:rPr>
        <w:t xml:space="preserve">Las políticas, programas, medidas y acciones adoptadas en virtud de esta ley deberán reconocer, prevenir y transformar las </w:t>
      </w:r>
      <w:r>
        <w:rPr>
          <w:rFonts w:ascii="Century Gothic" w:eastAsia="Century Gothic" w:hAnsi="Century Gothic" w:cs="Century Gothic"/>
        </w:rPr>
        <w:t>relaciones desiguales de poder que generan violencia y discriminación contra las mujeres, incorporando un enfoque diferenciado que permita su protección efectiva y empoderamiento.</w:t>
      </w:r>
    </w:p>
    <w:p w14:paraId="527DF5B3" w14:textId="77777777" w:rsidR="00AA5550" w:rsidRDefault="00045FF4">
      <w:pPr>
        <w:numPr>
          <w:ilvl w:val="0"/>
          <w:numId w:val="10"/>
        </w:numPr>
        <w:jc w:val="both"/>
        <w:rPr>
          <w:rFonts w:ascii="Century Gothic" w:eastAsia="Century Gothic" w:hAnsi="Century Gothic" w:cs="Century Gothic"/>
        </w:rPr>
      </w:pPr>
      <w:r>
        <w:rPr>
          <w:rFonts w:ascii="Century Gothic" w:eastAsia="Century Gothic" w:hAnsi="Century Gothic" w:cs="Century Gothic"/>
          <w:b/>
        </w:rPr>
        <w:t xml:space="preserve">Corresponsabilidad territorial: </w:t>
      </w:r>
      <w:r>
        <w:rPr>
          <w:rFonts w:ascii="Century Gothic" w:eastAsia="Century Gothic" w:hAnsi="Century Gothic" w:cs="Century Gothic"/>
        </w:rPr>
        <w:t>La garantía de entornos seguros exige la act</w:t>
      </w:r>
      <w:r>
        <w:rPr>
          <w:rFonts w:ascii="Century Gothic" w:eastAsia="Century Gothic" w:hAnsi="Century Gothic" w:cs="Century Gothic"/>
        </w:rPr>
        <w:t xml:space="preserve">uación articulada, sostenida y complementaria de las entidades del orden </w:t>
      </w:r>
      <w:r>
        <w:rPr>
          <w:rFonts w:ascii="Century Gothic" w:eastAsia="Century Gothic" w:hAnsi="Century Gothic" w:cs="Century Gothic"/>
        </w:rPr>
        <w:lastRenderedPageBreak/>
        <w:t>nacional, departamental, distrital y municipal, en coordinación con organizaciones comunitarias, sociales y familiares, conforme a los principios de subsidiariedad y coordinación inte</w:t>
      </w:r>
      <w:r>
        <w:rPr>
          <w:rFonts w:ascii="Century Gothic" w:eastAsia="Century Gothic" w:hAnsi="Century Gothic" w:cs="Century Gothic"/>
        </w:rPr>
        <w:t>rinstitucional.</w:t>
      </w:r>
    </w:p>
    <w:p w14:paraId="4547C2C5" w14:textId="77777777" w:rsidR="00AA5550" w:rsidRDefault="00045FF4">
      <w:pPr>
        <w:numPr>
          <w:ilvl w:val="0"/>
          <w:numId w:val="10"/>
        </w:numPr>
        <w:jc w:val="both"/>
        <w:rPr>
          <w:rFonts w:ascii="Century Gothic" w:eastAsia="Century Gothic" w:hAnsi="Century Gothic" w:cs="Century Gothic"/>
        </w:rPr>
      </w:pPr>
      <w:r>
        <w:rPr>
          <w:rFonts w:ascii="Century Gothic" w:eastAsia="Century Gothic" w:hAnsi="Century Gothic" w:cs="Century Gothic"/>
          <w:b/>
        </w:rPr>
        <w:t xml:space="preserve">Enfoque territorial: </w:t>
      </w:r>
      <w:r>
        <w:rPr>
          <w:rFonts w:ascii="Century Gothic" w:eastAsia="Century Gothic" w:hAnsi="Century Gothic" w:cs="Century Gothic"/>
        </w:rPr>
        <w:t>Las intervenciones deberán ser diferenciadas y pertinentes de acuerdo con las condiciones sociales, económicas, culturales, ambientales y de conflictividad de cada territorio, priorizando aquellas zonas con mayores índi</w:t>
      </w:r>
      <w:r>
        <w:rPr>
          <w:rFonts w:ascii="Century Gothic" w:eastAsia="Century Gothic" w:hAnsi="Century Gothic" w:cs="Century Gothic"/>
        </w:rPr>
        <w:t>ces de violencia, exclusión o riesgo estructural.</w:t>
      </w:r>
    </w:p>
    <w:p w14:paraId="6D07EB3C" w14:textId="77777777" w:rsidR="00AA5550" w:rsidRDefault="00045FF4">
      <w:pPr>
        <w:numPr>
          <w:ilvl w:val="0"/>
          <w:numId w:val="10"/>
        </w:numPr>
        <w:jc w:val="both"/>
        <w:rPr>
          <w:rFonts w:ascii="Century Gothic" w:eastAsia="Century Gothic" w:hAnsi="Century Gothic" w:cs="Century Gothic"/>
        </w:rPr>
      </w:pPr>
      <w:r>
        <w:rPr>
          <w:rFonts w:ascii="Century Gothic" w:eastAsia="Century Gothic" w:hAnsi="Century Gothic" w:cs="Century Gothic"/>
          <w:b/>
        </w:rPr>
        <w:t xml:space="preserve">Justicia espacial: </w:t>
      </w:r>
      <w:r>
        <w:rPr>
          <w:rFonts w:ascii="Century Gothic" w:eastAsia="Century Gothic" w:hAnsi="Century Gothic" w:cs="Century Gothic"/>
        </w:rPr>
        <w:t>Las medidas adoptadas en el marco de esta ley deberán contribuir a transformar los entornos inseguros o excluyentes en espacios protectores, accesibles, iluminados, habitables, y equitati</w:t>
      </w:r>
      <w:r>
        <w:rPr>
          <w:rFonts w:ascii="Century Gothic" w:eastAsia="Century Gothic" w:hAnsi="Century Gothic" w:cs="Century Gothic"/>
        </w:rPr>
        <w:t>vos, garantizando el derecho a la ciudad, al espacio público y a la seguridad con enfoque de derechos.</w:t>
      </w:r>
    </w:p>
    <w:p w14:paraId="63D85DAC" w14:textId="77777777" w:rsidR="00AA5550" w:rsidRDefault="00045FF4">
      <w:pPr>
        <w:numPr>
          <w:ilvl w:val="0"/>
          <w:numId w:val="10"/>
        </w:numPr>
        <w:jc w:val="both"/>
        <w:rPr>
          <w:rFonts w:ascii="Century Gothic" w:eastAsia="Century Gothic" w:hAnsi="Century Gothic" w:cs="Century Gothic"/>
        </w:rPr>
      </w:pPr>
      <w:r>
        <w:rPr>
          <w:rFonts w:ascii="Century Gothic" w:eastAsia="Century Gothic" w:hAnsi="Century Gothic" w:cs="Century Gothic"/>
          <w:b/>
        </w:rPr>
        <w:t xml:space="preserve">Enfoque de curso de vida: </w:t>
      </w:r>
      <w:r>
        <w:rPr>
          <w:rFonts w:ascii="Century Gothic" w:eastAsia="Century Gothic" w:hAnsi="Century Gothic" w:cs="Century Gothic"/>
        </w:rPr>
        <w:t>La política pública derivada de esta ley deberá reconocer las particularidades de cada etapa del desarrollo humano, priorizando</w:t>
      </w:r>
      <w:r>
        <w:rPr>
          <w:rFonts w:ascii="Century Gothic" w:eastAsia="Century Gothic" w:hAnsi="Century Gothic" w:cs="Century Gothic"/>
        </w:rPr>
        <w:t xml:space="preserve"> la protección de la primera infancia, la niñez, la adolescencia y la juventud, en relación con los entornos en los que se desarrollan.</w:t>
      </w:r>
    </w:p>
    <w:p w14:paraId="7E8E7981" w14:textId="77777777" w:rsidR="00AA5550" w:rsidRDefault="00045FF4">
      <w:pPr>
        <w:numPr>
          <w:ilvl w:val="0"/>
          <w:numId w:val="10"/>
        </w:numPr>
        <w:jc w:val="both"/>
        <w:rPr>
          <w:rFonts w:ascii="Century Gothic" w:eastAsia="Century Gothic" w:hAnsi="Century Gothic" w:cs="Century Gothic"/>
        </w:rPr>
      </w:pPr>
      <w:r>
        <w:rPr>
          <w:rFonts w:ascii="Century Gothic" w:eastAsia="Century Gothic" w:hAnsi="Century Gothic" w:cs="Century Gothic"/>
          <w:b/>
        </w:rPr>
        <w:t xml:space="preserve">Participación ciudadana: </w:t>
      </w:r>
      <w:r>
        <w:rPr>
          <w:rFonts w:ascii="Century Gothic" w:eastAsia="Century Gothic" w:hAnsi="Century Gothic" w:cs="Century Gothic"/>
        </w:rPr>
        <w:t xml:space="preserve"> Las acciones para la creación de entornos seguros deberán garantizar la participación efectiva</w:t>
      </w:r>
      <w:r>
        <w:rPr>
          <w:rFonts w:ascii="Century Gothic" w:eastAsia="Century Gothic" w:hAnsi="Century Gothic" w:cs="Century Gothic"/>
        </w:rPr>
        <w:t xml:space="preserve"> de las comunidades, especialmente de mujeres, niñas, niños, adolescentes y sus organizaciones, en los procesos de diagnóstico, formulación, ejecución y evaluación de las políticas públicas.</w:t>
      </w:r>
    </w:p>
    <w:p w14:paraId="3AD84AE4" w14:textId="77777777" w:rsidR="00AA5550" w:rsidRDefault="00045FF4">
      <w:pPr>
        <w:numPr>
          <w:ilvl w:val="0"/>
          <w:numId w:val="10"/>
        </w:numPr>
        <w:jc w:val="both"/>
        <w:rPr>
          <w:rFonts w:ascii="Century Gothic" w:eastAsia="Century Gothic" w:hAnsi="Century Gothic" w:cs="Century Gothic"/>
        </w:rPr>
      </w:pPr>
      <w:r>
        <w:rPr>
          <w:rFonts w:ascii="Century Gothic" w:eastAsia="Century Gothic" w:hAnsi="Century Gothic" w:cs="Century Gothic"/>
          <w:b/>
        </w:rPr>
        <w:t xml:space="preserve">Prevención estructural de las violencias: </w:t>
      </w:r>
      <w:r>
        <w:rPr>
          <w:rFonts w:ascii="Century Gothic" w:eastAsia="Century Gothic" w:hAnsi="Century Gothic" w:cs="Century Gothic"/>
        </w:rPr>
        <w:t xml:space="preserve">Toda estrategia deberá </w:t>
      </w:r>
      <w:r>
        <w:rPr>
          <w:rFonts w:ascii="Century Gothic" w:eastAsia="Century Gothic" w:hAnsi="Century Gothic" w:cs="Century Gothic"/>
        </w:rPr>
        <w:t>orientarse a transformar las causas estructurales, culturales y territoriales que reproducen violencias contra mujeres y niñez, mediante acciones sostenidas, intersectoriales y pedagógicas, que fortalezcan el tejido social, la convivencia y la protección c</w:t>
      </w:r>
      <w:r>
        <w:rPr>
          <w:rFonts w:ascii="Century Gothic" w:eastAsia="Century Gothic" w:hAnsi="Century Gothic" w:cs="Century Gothic"/>
        </w:rPr>
        <w:t>omunitaria.</w:t>
      </w:r>
    </w:p>
    <w:p w14:paraId="16BDDE94" w14:textId="09F484DA" w:rsidR="00AA5550" w:rsidRDefault="00045FF4">
      <w:pPr>
        <w:numPr>
          <w:ilvl w:val="0"/>
          <w:numId w:val="10"/>
        </w:numPr>
        <w:spacing w:after="240"/>
        <w:jc w:val="both"/>
        <w:rPr>
          <w:rFonts w:ascii="Century Gothic" w:eastAsia="Century Gothic" w:hAnsi="Century Gothic" w:cs="Century Gothic"/>
        </w:rPr>
      </w:pPr>
      <w:r>
        <w:rPr>
          <w:rFonts w:ascii="Century Gothic" w:eastAsia="Century Gothic" w:hAnsi="Century Gothic" w:cs="Century Gothic"/>
          <w:b/>
        </w:rPr>
        <w:t xml:space="preserve">Integralidad e intersectorialidad: </w:t>
      </w:r>
      <w:r>
        <w:rPr>
          <w:rFonts w:ascii="Century Gothic" w:eastAsia="Century Gothic" w:hAnsi="Century Gothic" w:cs="Century Gothic"/>
        </w:rPr>
        <w:t>La intervención del Estado deberá ser coherente, articulada y coordinada entre sectores como educación, salud, infraestructura, cultura, seguridad, justicia, planeación y desarrollo social, evitando la dispers</w:t>
      </w:r>
      <w:r>
        <w:rPr>
          <w:rFonts w:ascii="Century Gothic" w:eastAsia="Century Gothic" w:hAnsi="Century Gothic" w:cs="Century Gothic"/>
        </w:rPr>
        <w:t>ión institucional y garantizando respuestas eficaces y sostenibles.</w:t>
      </w:r>
    </w:p>
    <w:p w14:paraId="0499670E" w14:textId="0C133EFC" w:rsidR="00C00F1B" w:rsidRDefault="00C00F1B" w:rsidP="00C00F1B">
      <w:pPr>
        <w:spacing w:after="240"/>
        <w:jc w:val="both"/>
        <w:rPr>
          <w:rFonts w:ascii="Century Gothic" w:eastAsia="Century Gothic" w:hAnsi="Century Gothic" w:cs="Century Gothic"/>
        </w:rPr>
      </w:pPr>
    </w:p>
    <w:p w14:paraId="5963F42E" w14:textId="6A9B701C" w:rsidR="00C00F1B" w:rsidRDefault="00C00F1B" w:rsidP="00C00F1B">
      <w:pPr>
        <w:spacing w:after="240"/>
        <w:jc w:val="both"/>
        <w:rPr>
          <w:rFonts w:ascii="Century Gothic" w:eastAsia="Century Gothic" w:hAnsi="Century Gothic" w:cs="Century Gothic"/>
        </w:rPr>
      </w:pPr>
    </w:p>
    <w:p w14:paraId="6828D57C" w14:textId="0192E4CC" w:rsidR="00C00F1B" w:rsidRDefault="00C00F1B" w:rsidP="00C00F1B">
      <w:pPr>
        <w:spacing w:after="240"/>
        <w:jc w:val="both"/>
        <w:rPr>
          <w:rFonts w:ascii="Century Gothic" w:eastAsia="Century Gothic" w:hAnsi="Century Gothic" w:cs="Century Gothic"/>
        </w:rPr>
      </w:pPr>
    </w:p>
    <w:p w14:paraId="7B60050D" w14:textId="2DAEC49A" w:rsidR="00C00F1B" w:rsidRDefault="00C00F1B" w:rsidP="00C00F1B">
      <w:pPr>
        <w:spacing w:after="240"/>
        <w:jc w:val="both"/>
        <w:rPr>
          <w:rFonts w:ascii="Century Gothic" w:eastAsia="Century Gothic" w:hAnsi="Century Gothic" w:cs="Century Gothic"/>
        </w:rPr>
      </w:pPr>
    </w:p>
    <w:p w14:paraId="24B91726" w14:textId="77777777" w:rsidR="00C00F1B" w:rsidRDefault="00C00F1B" w:rsidP="00C00F1B">
      <w:pPr>
        <w:spacing w:after="240"/>
        <w:jc w:val="both"/>
        <w:rPr>
          <w:rFonts w:ascii="Century Gothic" w:eastAsia="Century Gothic" w:hAnsi="Century Gothic" w:cs="Century Gothic"/>
        </w:rPr>
      </w:pPr>
    </w:p>
    <w:p w14:paraId="0D108DC3" w14:textId="77777777" w:rsidR="00AA5550" w:rsidRDefault="00045FF4">
      <w:pPr>
        <w:jc w:val="center"/>
        <w:rPr>
          <w:rFonts w:ascii="Century Gothic" w:eastAsia="Century Gothic" w:hAnsi="Century Gothic" w:cs="Century Gothic"/>
          <w:b/>
        </w:rPr>
      </w:pPr>
      <w:r>
        <w:rPr>
          <w:rFonts w:ascii="Century Gothic" w:eastAsia="Century Gothic" w:hAnsi="Century Gothic" w:cs="Century Gothic"/>
          <w:b/>
        </w:rPr>
        <w:lastRenderedPageBreak/>
        <w:t xml:space="preserve">Capítulo II. </w:t>
      </w:r>
      <w:r>
        <w:rPr>
          <w:rFonts w:ascii="Century Gothic" w:eastAsia="Century Gothic" w:hAnsi="Century Gothic" w:cs="Century Gothic"/>
          <w:b/>
        </w:rPr>
        <w:br/>
        <w:t>De los Entornos Seguros</w:t>
      </w:r>
    </w:p>
    <w:p w14:paraId="4F1B3BF1" w14:textId="77777777" w:rsidR="00AA5550" w:rsidRDefault="00AA5550">
      <w:pPr>
        <w:rPr>
          <w:rFonts w:ascii="Century Gothic" w:eastAsia="Century Gothic" w:hAnsi="Century Gothic" w:cs="Century Gothic"/>
          <w:b/>
        </w:rPr>
      </w:pPr>
    </w:p>
    <w:p w14:paraId="62D77F0A"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b/>
        </w:rPr>
        <w:t xml:space="preserve">Artículo 5. Características de los entornos seguros: </w:t>
      </w:r>
      <w:r>
        <w:rPr>
          <w:rFonts w:ascii="Century Gothic" w:eastAsia="Century Gothic" w:hAnsi="Century Gothic" w:cs="Century Gothic"/>
        </w:rPr>
        <w:t>Los entornos seguros deberán integrarse por la articulación efectiva de los siguientes component</w:t>
      </w:r>
      <w:r>
        <w:rPr>
          <w:rFonts w:ascii="Century Gothic" w:eastAsia="Century Gothic" w:hAnsi="Century Gothic" w:cs="Century Gothic"/>
        </w:rPr>
        <w:t>es:</w:t>
      </w:r>
    </w:p>
    <w:p w14:paraId="00319175" w14:textId="77777777" w:rsidR="00AA5550" w:rsidRDefault="00045FF4">
      <w:pPr>
        <w:numPr>
          <w:ilvl w:val="0"/>
          <w:numId w:val="9"/>
        </w:numPr>
        <w:spacing w:before="240"/>
        <w:jc w:val="both"/>
        <w:rPr>
          <w:rFonts w:ascii="Century Gothic" w:eastAsia="Century Gothic" w:hAnsi="Century Gothic" w:cs="Century Gothic"/>
        </w:rPr>
      </w:pPr>
      <w:r>
        <w:rPr>
          <w:rFonts w:ascii="Century Gothic" w:eastAsia="Century Gothic" w:hAnsi="Century Gothic" w:cs="Century Gothic"/>
          <w:b/>
        </w:rPr>
        <w:t>Infraestructura física segura</w:t>
      </w:r>
      <w:r>
        <w:rPr>
          <w:rFonts w:ascii="Century Gothic" w:eastAsia="Century Gothic" w:hAnsi="Century Gothic" w:cs="Century Gothic"/>
        </w:rPr>
        <w:t>, accesible y adecuada, incluyendo iluminación pública, espacios de circulación, entornos escolares y servicios comunitarios.</w:t>
      </w:r>
    </w:p>
    <w:p w14:paraId="08A5DB6C" w14:textId="77777777" w:rsidR="00AA5550" w:rsidRDefault="00045FF4">
      <w:pPr>
        <w:numPr>
          <w:ilvl w:val="0"/>
          <w:numId w:val="9"/>
        </w:numPr>
        <w:jc w:val="both"/>
        <w:rPr>
          <w:rFonts w:ascii="Century Gothic" w:eastAsia="Century Gothic" w:hAnsi="Century Gothic" w:cs="Century Gothic"/>
        </w:rPr>
      </w:pPr>
      <w:r>
        <w:rPr>
          <w:rFonts w:ascii="Century Gothic" w:eastAsia="Century Gothic" w:hAnsi="Century Gothic" w:cs="Century Gothic"/>
          <w:b/>
        </w:rPr>
        <w:t>Presencia institucional coordinada</w:t>
      </w:r>
      <w:r>
        <w:rPr>
          <w:rFonts w:ascii="Century Gothic" w:eastAsia="Century Gothic" w:hAnsi="Century Gothic" w:cs="Century Gothic"/>
        </w:rPr>
        <w:t xml:space="preserve">, que incluya comisarías de familia, instituciones educativas, </w:t>
      </w:r>
      <w:r>
        <w:rPr>
          <w:rFonts w:ascii="Century Gothic" w:eastAsia="Century Gothic" w:hAnsi="Century Gothic" w:cs="Century Gothic"/>
        </w:rPr>
        <w:t>centros de salud, mecanismos de justicia y organismos de protección.</w:t>
      </w:r>
    </w:p>
    <w:p w14:paraId="5DDF6E43" w14:textId="77777777" w:rsidR="00AA5550" w:rsidRDefault="00045FF4">
      <w:pPr>
        <w:numPr>
          <w:ilvl w:val="0"/>
          <w:numId w:val="9"/>
        </w:numPr>
        <w:jc w:val="both"/>
        <w:rPr>
          <w:rFonts w:ascii="Century Gothic" w:eastAsia="Century Gothic" w:hAnsi="Century Gothic" w:cs="Century Gothic"/>
        </w:rPr>
      </w:pPr>
      <w:r>
        <w:rPr>
          <w:rFonts w:ascii="Century Gothic" w:eastAsia="Century Gothic" w:hAnsi="Century Gothic" w:cs="Century Gothic"/>
          <w:b/>
        </w:rPr>
        <w:t>Condiciones de convivencia y cohesión social</w:t>
      </w:r>
      <w:r>
        <w:rPr>
          <w:rFonts w:ascii="Century Gothic" w:eastAsia="Century Gothic" w:hAnsi="Century Gothic" w:cs="Century Gothic"/>
        </w:rPr>
        <w:t>, basadas en la prevención de violencias, resolución pacífica de conflictos y cultura del cuidado.</w:t>
      </w:r>
    </w:p>
    <w:p w14:paraId="5F95F91D" w14:textId="77777777" w:rsidR="00AA5550" w:rsidRDefault="00045FF4">
      <w:pPr>
        <w:numPr>
          <w:ilvl w:val="0"/>
          <w:numId w:val="9"/>
        </w:numPr>
        <w:jc w:val="both"/>
        <w:rPr>
          <w:rFonts w:ascii="Century Gothic" w:eastAsia="Century Gothic" w:hAnsi="Century Gothic" w:cs="Century Gothic"/>
        </w:rPr>
      </w:pPr>
      <w:r>
        <w:rPr>
          <w:rFonts w:ascii="Century Gothic" w:eastAsia="Century Gothic" w:hAnsi="Century Gothic" w:cs="Century Gothic"/>
          <w:b/>
        </w:rPr>
        <w:t>Participación ciudadana activa</w:t>
      </w:r>
      <w:r>
        <w:rPr>
          <w:rFonts w:ascii="Century Gothic" w:eastAsia="Century Gothic" w:hAnsi="Century Gothic" w:cs="Century Gothic"/>
        </w:rPr>
        <w:t>, especialmente de mujeres, niñas, niños, adolescentes y sus cuidadores, en el diseño, evaluación y seguimiento de las interven</w:t>
      </w:r>
      <w:r>
        <w:rPr>
          <w:rFonts w:ascii="Century Gothic" w:eastAsia="Century Gothic" w:hAnsi="Century Gothic" w:cs="Century Gothic"/>
        </w:rPr>
        <w:t>ciones.</w:t>
      </w:r>
    </w:p>
    <w:p w14:paraId="1782B6F6" w14:textId="77777777" w:rsidR="00AA5550" w:rsidRDefault="00045FF4">
      <w:pPr>
        <w:numPr>
          <w:ilvl w:val="0"/>
          <w:numId w:val="9"/>
        </w:numPr>
        <w:spacing w:after="240"/>
        <w:jc w:val="both"/>
        <w:rPr>
          <w:rFonts w:ascii="Century Gothic" w:eastAsia="Century Gothic" w:hAnsi="Century Gothic" w:cs="Century Gothic"/>
        </w:rPr>
      </w:pPr>
      <w:r>
        <w:rPr>
          <w:rFonts w:ascii="Century Gothic" w:eastAsia="Century Gothic" w:hAnsi="Century Gothic" w:cs="Century Gothic"/>
          <w:b/>
        </w:rPr>
        <w:t>Información pública disponible</w:t>
      </w:r>
      <w:r>
        <w:rPr>
          <w:rFonts w:ascii="Century Gothic" w:eastAsia="Century Gothic" w:hAnsi="Century Gothic" w:cs="Century Gothic"/>
        </w:rPr>
        <w:t>, para la identificación de riesgos, rendición de cuentas y trazabilidad de las acciones estatales.</w:t>
      </w:r>
    </w:p>
    <w:p w14:paraId="0CB1C4A7"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b/>
        </w:rPr>
        <w:t>Parágrafo</w:t>
      </w:r>
      <w:r>
        <w:rPr>
          <w:rFonts w:ascii="Century Gothic" w:eastAsia="Century Gothic" w:hAnsi="Century Gothic" w:cs="Century Gothic"/>
        </w:rPr>
        <w:t>. Los entornos seguros deberán ser diseñados, implementados y evaluados con enfoque de curso de vida, interse</w:t>
      </w:r>
      <w:r>
        <w:rPr>
          <w:rFonts w:ascii="Century Gothic" w:eastAsia="Century Gothic" w:hAnsi="Century Gothic" w:cs="Century Gothic"/>
        </w:rPr>
        <w:t>ccionalidad, género y justicia espacial.</w:t>
      </w:r>
    </w:p>
    <w:p w14:paraId="1AD1E082" w14:textId="77777777" w:rsidR="00AA5550" w:rsidRDefault="00045FF4">
      <w:pPr>
        <w:pStyle w:val="Ttulo4"/>
        <w:keepNext w:val="0"/>
        <w:keepLines w:val="0"/>
        <w:spacing w:before="240" w:after="40"/>
        <w:jc w:val="both"/>
        <w:rPr>
          <w:rFonts w:ascii="Century Gothic" w:eastAsia="Century Gothic" w:hAnsi="Century Gothic" w:cs="Century Gothic"/>
          <w:color w:val="000000"/>
          <w:sz w:val="22"/>
          <w:szCs w:val="22"/>
        </w:rPr>
      </w:pPr>
      <w:bookmarkStart w:id="1" w:name="_heading=h.uyg8q0tk7u3n" w:colFirst="0" w:colLast="0"/>
      <w:bookmarkEnd w:id="1"/>
      <w:r>
        <w:rPr>
          <w:rFonts w:ascii="Century Gothic" w:eastAsia="Century Gothic" w:hAnsi="Century Gothic" w:cs="Century Gothic"/>
          <w:b/>
          <w:color w:val="000000"/>
          <w:sz w:val="22"/>
          <w:szCs w:val="22"/>
        </w:rPr>
        <w:t xml:space="preserve">Artículo 6. Clasificación de los entornos para efectos de intervención. </w:t>
      </w:r>
      <w:r>
        <w:rPr>
          <w:rFonts w:ascii="Century Gothic" w:eastAsia="Century Gothic" w:hAnsi="Century Gothic" w:cs="Century Gothic"/>
          <w:color w:val="000000"/>
          <w:sz w:val="22"/>
          <w:szCs w:val="22"/>
        </w:rPr>
        <w:t>Para efectos de esta ley, los entornos objeto de transformación podrán clasificarse en:</w:t>
      </w:r>
    </w:p>
    <w:p w14:paraId="009EAAA8" w14:textId="77777777" w:rsidR="00AA5550" w:rsidRDefault="00045FF4">
      <w:pPr>
        <w:numPr>
          <w:ilvl w:val="0"/>
          <w:numId w:val="15"/>
        </w:numPr>
        <w:spacing w:before="240"/>
        <w:jc w:val="both"/>
        <w:rPr>
          <w:rFonts w:ascii="Century Gothic" w:eastAsia="Century Gothic" w:hAnsi="Century Gothic" w:cs="Century Gothic"/>
        </w:rPr>
      </w:pPr>
      <w:r>
        <w:rPr>
          <w:rFonts w:ascii="Century Gothic" w:eastAsia="Century Gothic" w:hAnsi="Century Gothic" w:cs="Century Gothic"/>
          <w:b/>
        </w:rPr>
        <w:t>Entornos urbanos</w:t>
      </w:r>
      <w:r>
        <w:rPr>
          <w:rFonts w:ascii="Century Gothic" w:eastAsia="Century Gothic" w:hAnsi="Century Gothic" w:cs="Century Gothic"/>
        </w:rPr>
        <w:t>: barrios, zonas residenciales, espacios públicos, equipamientos colectivos o sectores de ciudad con concentración de riesgos.</w:t>
      </w:r>
    </w:p>
    <w:p w14:paraId="620590D2" w14:textId="77777777" w:rsidR="00AA5550" w:rsidRDefault="00045FF4">
      <w:pPr>
        <w:numPr>
          <w:ilvl w:val="0"/>
          <w:numId w:val="15"/>
        </w:numPr>
        <w:jc w:val="both"/>
        <w:rPr>
          <w:rFonts w:ascii="Century Gothic" w:eastAsia="Century Gothic" w:hAnsi="Century Gothic" w:cs="Century Gothic"/>
        </w:rPr>
      </w:pPr>
      <w:r>
        <w:rPr>
          <w:rFonts w:ascii="Century Gothic" w:eastAsia="Century Gothic" w:hAnsi="Century Gothic" w:cs="Century Gothic"/>
          <w:b/>
        </w:rPr>
        <w:t>Entornos rurales</w:t>
      </w:r>
      <w:r>
        <w:rPr>
          <w:rFonts w:ascii="Century Gothic" w:eastAsia="Century Gothic" w:hAnsi="Century Gothic" w:cs="Century Gothic"/>
        </w:rPr>
        <w:t>: veredas</w:t>
      </w:r>
      <w:r>
        <w:rPr>
          <w:rFonts w:ascii="Century Gothic" w:eastAsia="Century Gothic" w:hAnsi="Century Gothic" w:cs="Century Gothic"/>
        </w:rPr>
        <w:t>, caseríos, corregimientos y zonas de dispersión con dificultades de acceso institucional y condiciones estructurales de riesgo.</w:t>
      </w:r>
    </w:p>
    <w:p w14:paraId="0A91C56D" w14:textId="77777777" w:rsidR="00AA5550" w:rsidRDefault="00045FF4">
      <w:pPr>
        <w:numPr>
          <w:ilvl w:val="0"/>
          <w:numId w:val="15"/>
        </w:numPr>
        <w:jc w:val="both"/>
        <w:rPr>
          <w:rFonts w:ascii="Century Gothic" w:eastAsia="Century Gothic" w:hAnsi="Century Gothic" w:cs="Century Gothic"/>
        </w:rPr>
      </w:pPr>
      <w:r>
        <w:rPr>
          <w:rFonts w:ascii="Century Gothic" w:eastAsia="Century Gothic" w:hAnsi="Century Gothic" w:cs="Century Gothic"/>
          <w:b/>
        </w:rPr>
        <w:t>Entornos escolares</w:t>
      </w:r>
      <w:r>
        <w:rPr>
          <w:rFonts w:ascii="Century Gothic" w:eastAsia="Century Gothic" w:hAnsi="Century Gothic" w:cs="Century Gothic"/>
        </w:rPr>
        <w:t>: planteles educativos, rutas escolares, entornos inmediatos a instituciones educativas y lugares de socializ</w:t>
      </w:r>
      <w:r>
        <w:rPr>
          <w:rFonts w:ascii="Century Gothic" w:eastAsia="Century Gothic" w:hAnsi="Century Gothic" w:cs="Century Gothic"/>
        </w:rPr>
        <w:t>ación de niñas, niños y adolescentes.</w:t>
      </w:r>
    </w:p>
    <w:p w14:paraId="154F8C37" w14:textId="77777777" w:rsidR="00AA5550" w:rsidRDefault="00045FF4">
      <w:pPr>
        <w:numPr>
          <w:ilvl w:val="0"/>
          <w:numId w:val="15"/>
        </w:numPr>
        <w:spacing w:after="240"/>
        <w:jc w:val="both"/>
        <w:rPr>
          <w:rFonts w:ascii="Century Gothic" w:eastAsia="Century Gothic" w:hAnsi="Century Gothic" w:cs="Century Gothic"/>
        </w:rPr>
      </w:pPr>
      <w:r>
        <w:rPr>
          <w:rFonts w:ascii="Century Gothic" w:eastAsia="Century Gothic" w:hAnsi="Century Gothic" w:cs="Century Gothic"/>
          <w:b/>
        </w:rPr>
        <w:t>Entornos comunitarios y familiares</w:t>
      </w:r>
      <w:r>
        <w:rPr>
          <w:rFonts w:ascii="Century Gothic" w:eastAsia="Century Gothic" w:hAnsi="Century Gothic" w:cs="Century Gothic"/>
        </w:rPr>
        <w:t>: hogares, unidades residenciales, redes de cuidado, organizaciones de base y demás espacios donde ocurran dinámicas cotidianas de convivencia.</w:t>
      </w:r>
    </w:p>
    <w:p w14:paraId="27C2D480"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b/>
        </w:rPr>
        <w:t xml:space="preserve">Parágrafo. </w:t>
      </w:r>
      <w:r>
        <w:rPr>
          <w:rFonts w:ascii="Century Gothic" w:eastAsia="Century Gothic" w:hAnsi="Century Gothic" w:cs="Century Gothic"/>
        </w:rPr>
        <w:t xml:space="preserve">La presente clasificación no </w:t>
      </w:r>
      <w:r>
        <w:rPr>
          <w:rFonts w:ascii="Century Gothic" w:eastAsia="Century Gothic" w:hAnsi="Century Gothic" w:cs="Century Gothic"/>
        </w:rPr>
        <w:t>es excluyente y podrá ser ajustada conforme al diagnóstico territorial.</w:t>
      </w:r>
    </w:p>
    <w:p w14:paraId="785F0704" w14:textId="77777777" w:rsidR="00AA5550" w:rsidRDefault="00045FF4">
      <w:pPr>
        <w:pStyle w:val="Ttulo4"/>
        <w:keepNext w:val="0"/>
        <w:keepLines w:val="0"/>
        <w:spacing w:before="240" w:after="40"/>
        <w:jc w:val="both"/>
        <w:rPr>
          <w:rFonts w:ascii="Century Gothic" w:eastAsia="Century Gothic" w:hAnsi="Century Gothic" w:cs="Century Gothic"/>
          <w:color w:val="000000"/>
          <w:sz w:val="22"/>
          <w:szCs w:val="22"/>
        </w:rPr>
      </w:pPr>
      <w:bookmarkStart w:id="2" w:name="_heading=h.gddiu53qf10d" w:colFirst="0" w:colLast="0"/>
      <w:bookmarkEnd w:id="2"/>
      <w:r>
        <w:rPr>
          <w:rFonts w:ascii="Century Gothic" w:eastAsia="Century Gothic" w:hAnsi="Century Gothic" w:cs="Century Gothic"/>
          <w:b/>
          <w:color w:val="000000"/>
          <w:sz w:val="22"/>
          <w:szCs w:val="22"/>
        </w:rPr>
        <w:t xml:space="preserve">Artículo 7. Diagnóstico territorial de riesgos y condiciones de exclusión. </w:t>
      </w:r>
      <w:r>
        <w:rPr>
          <w:rFonts w:ascii="Century Gothic" w:eastAsia="Century Gothic" w:hAnsi="Century Gothic" w:cs="Century Gothic"/>
          <w:color w:val="000000"/>
          <w:sz w:val="22"/>
          <w:szCs w:val="22"/>
        </w:rPr>
        <w:t>Las entidades territoriales, en coordinación con las autoridades competentes, deberán realizar un diagnóstico</w:t>
      </w:r>
      <w:r>
        <w:rPr>
          <w:rFonts w:ascii="Century Gothic" w:eastAsia="Century Gothic" w:hAnsi="Century Gothic" w:cs="Century Gothic"/>
          <w:color w:val="000000"/>
          <w:sz w:val="22"/>
          <w:szCs w:val="22"/>
        </w:rPr>
        <w:t xml:space="preserve"> técnico, participativo y actualizado de los riesgos estructurales, </w:t>
      </w:r>
      <w:r>
        <w:rPr>
          <w:rFonts w:ascii="Century Gothic" w:eastAsia="Century Gothic" w:hAnsi="Century Gothic" w:cs="Century Gothic"/>
          <w:color w:val="000000"/>
          <w:sz w:val="22"/>
          <w:szCs w:val="22"/>
        </w:rPr>
        <w:lastRenderedPageBreak/>
        <w:t>violencias prevalentes y condiciones de exclusión presentes en los entornos bajo su jurisdicción.</w:t>
      </w:r>
    </w:p>
    <w:p w14:paraId="709D2075"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Este diagnóstico servirá de base para:</w:t>
      </w:r>
    </w:p>
    <w:p w14:paraId="56F31A05" w14:textId="77777777" w:rsidR="00AA5550" w:rsidRDefault="00045FF4">
      <w:pPr>
        <w:numPr>
          <w:ilvl w:val="0"/>
          <w:numId w:val="21"/>
        </w:numPr>
        <w:spacing w:before="240"/>
        <w:jc w:val="both"/>
        <w:rPr>
          <w:rFonts w:ascii="Century Gothic" w:eastAsia="Century Gothic" w:hAnsi="Century Gothic" w:cs="Century Gothic"/>
        </w:rPr>
      </w:pPr>
      <w:r>
        <w:rPr>
          <w:rFonts w:ascii="Century Gothic" w:eastAsia="Century Gothic" w:hAnsi="Century Gothic" w:cs="Century Gothic"/>
        </w:rPr>
        <w:t>La priorización de intervenciones;</w:t>
      </w:r>
    </w:p>
    <w:p w14:paraId="473A12D9" w14:textId="77777777" w:rsidR="00AA5550" w:rsidRDefault="00045FF4">
      <w:pPr>
        <w:numPr>
          <w:ilvl w:val="0"/>
          <w:numId w:val="21"/>
        </w:numPr>
        <w:jc w:val="both"/>
        <w:rPr>
          <w:rFonts w:ascii="Century Gothic" w:eastAsia="Century Gothic" w:hAnsi="Century Gothic" w:cs="Century Gothic"/>
        </w:rPr>
      </w:pPr>
      <w:r>
        <w:rPr>
          <w:rFonts w:ascii="Century Gothic" w:eastAsia="Century Gothic" w:hAnsi="Century Gothic" w:cs="Century Gothic"/>
        </w:rPr>
        <w:t>La formulación d</w:t>
      </w:r>
      <w:r>
        <w:rPr>
          <w:rFonts w:ascii="Century Gothic" w:eastAsia="Century Gothic" w:hAnsi="Century Gothic" w:cs="Century Gothic"/>
        </w:rPr>
        <w:t>e estrategias integrales de transformación del entorno;</w:t>
      </w:r>
    </w:p>
    <w:p w14:paraId="19F1F14A" w14:textId="77777777" w:rsidR="00AA5550" w:rsidRDefault="00045FF4">
      <w:pPr>
        <w:numPr>
          <w:ilvl w:val="0"/>
          <w:numId w:val="21"/>
        </w:numPr>
        <w:spacing w:after="240"/>
        <w:jc w:val="both"/>
        <w:rPr>
          <w:rFonts w:ascii="Century Gothic" w:eastAsia="Century Gothic" w:hAnsi="Century Gothic" w:cs="Century Gothic"/>
        </w:rPr>
      </w:pPr>
      <w:r>
        <w:rPr>
          <w:rFonts w:ascii="Century Gothic" w:eastAsia="Century Gothic" w:hAnsi="Century Gothic" w:cs="Century Gothic"/>
        </w:rPr>
        <w:t>La articulación de actores institucionales, comunitarios y sectoriales.</w:t>
      </w:r>
    </w:p>
    <w:p w14:paraId="71C27148"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b/>
        </w:rPr>
        <w:t>Parágrafo.</w:t>
      </w:r>
      <w:r>
        <w:rPr>
          <w:rFonts w:ascii="Century Gothic" w:eastAsia="Century Gothic" w:hAnsi="Century Gothic" w:cs="Century Gothic"/>
        </w:rPr>
        <w:t xml:space="preserve"> El diagnóstico deberá incorporar variables de género, edad, pertenencia étnica, condición de discapacidad, situación </w:t>
      </w:r>
      <w:r>
        <w:rPr>
          <w:rFonts w:ascii="Century Gothic" w:eastAsia="Century Gothic" w:hAnsi="Century Gothic" w:cs="Century Gothic"/>
        </w:rPr>
        <w:t>de movilidad humana y pobreza multidimensional.</w:t>
      </w:r>
    </w:p>
    <w:p w14:paraId="4B80C959" w14:textId="77777777" w:rsidR="00AA5550" w:rsidRDefault="00045FF4">
      <w:pPr>
        <w:pStyle w:val="Ttulo4"/>
        <w:keepNext w:val="0"/>
        <w:keepLines w:val="0"/>
        <w:spacing w:before="240" w:after="40"/>
        <w:jc w:val="both"/>
        <w:rPr>
          <w:rFonts w:ascii="Century Gothic" w:eastAsia="Century Gothic" w:hAnsi="Century Gothic" w:cs="Century Gothic"/>
          <w:color w:val="000000"/>
          <w:sz w:val="22"/>
          <w:szCs w:val="22"/>
        </w:rPr>
      </w:pPr>
      <w:bookmarkStart w:id="3" w:name="_heading=h.362edjlpsaim" w:colFirst="0" w:colLast="0"/>
      <w:bookmarkEnd w:id="3"/>
      <w:r>
        <w:rPr>
          <w:rFonts w:ascii="Century Gothic" w:eastAsia="Century Gothic" w:hAnsi="Century Gothic" w:cs="Century Gothic"/>
          <w:b/>
          <w:color w:val="000000"/>
          <w:sz w:val="22"/>
          <w:szCs w:val="22"/>
        </w:rPr>
        <w:t xml:space="preserve">Artículo 8. Participación comunitaria y corresponsabilidad. </w:t>
      </w:r>
      <w:r>
        <w:rPr>
          <w:rFonts w:ascii="Century Gothic" w:eastAsia="Century Gothic" w:hAnsi="Century Gothic" w:cs="Century Gothic"/>
          <w:color w:val="000000"/>
          <w:sz w:val="22"/>
          <w:szCs w:val="22"/>
        </w:rPr>
        <w:t>La transformación de entornos inseguros requerirá la participación activa de las comunidades locales, en especial de las mujeres, niñas, niños, adol</w:t>
      </w:r>
      <w:r>
        <w:rPr>
          <w:rFonts w:ascii="Century Gothic" w:eastAsia="Century Gothic" w:hAnsi="Century Gothic" w:cs="Century Gothic"/>
          <w:color w:val="000000"/>
          <w:sz w:val="22"/>
          <w:szCs w:val="22"/>
        </w:rPr>
        <w:t>escentes y sus cuidadores, en todas las fases de diagnóstico, formulación, ejecución y evaluación de las intervenciones.</w:t>
      </w:r>
    </w:p>
    <w:p w14:paraId="26B92E48"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Las autoridades deberán:</w:t>
      </w:r>
    </w:p>
    <w:p w14:paraId="2931368E" w14:textId="77777777" w:rsidR="00AA5550" w:rsidRDefault="00045FF4">
      <w:pPr>
        <w:numPr>
          <w:ilvl w:val="0"/>
          <w:numId w:val="13"/>
        </w:numPr>
        <w:spacing w:before="240"/>
        <w:jc w:val="both"/>
        <w:rPr>
          <w:rFonts w:ascii="Century Gothic" w:eastAsia="Century Gothic" w:hAnsi="Century Gothic" w:cs="Century Gothic"/>
        </w:rPr>
      </w:pPr>
      <w:r>
        <w:rPr>
          <w:rFonts w:ascii="Century Gothic" w:eastAsia="Century Gothic" w:hAnsi="Century Gothic" w:cs="Century Gothic"/>
        </w:rPr>
        <w:t>Garantizar mecanismos de consulta y control ciudadano;</w:t>
      </w:r>
    </w:p>
    <w:p w14:paraId="6006BA7A" w14:textId="77777777" w:rsidR="00AA5550" w:rsidRDefault="00045FF4">
      <w:pPr>
        <w:numPr>
          <w:ilvl w:val="0"/>
          <w:numId w:val="13"/>
        </w:numPr>
        <w:jc w:val="both"/>
        <w:rPr>
          <w:rFonts w:ascii="Century Gothic" w:eastAsia="Century Gothic" w:hAnsi="Century Gothic" w:cs="Century Gothic"/>
        </w:rPr>
      </w:pPr>
      <w:r>
        <w:rPr>
          <w:rFonts w:ascii="Century Gothic" w:eastAsia="Century Gothic" w:hAnsi="Century Gothic" w:cs="Century Gothic"/>
        </w:rPr>
        <w:t>Fortalecer capacidades comunitarias para la protección y prevención de violencias;</w:t>
      </w:r>
    </w:p>
    <w:p w14:paraId="7D2CD2CD" w14:textId="77777777" w:rsidR="00AA5550" w:rsidRDefault="00045FF4">
      <w:pPr>
        <w:numPr>
          <w:ilvl w:val="0"/>
          <w:numId w:val="13"/>
        </w:numPr>
        <w:spacing w:after="240"/>
        <w:jc w:val="both"/>
        <w:rPr>
          <w:rFonts w:ascii="Century Gothic" w:eastAsia="Century Gothic" w:hAnsi="Century Gothic" w:cs="Century Gothic"/>
        </w:rPr>
      </w:pPr>
      <w:r>
        <w:rPr>
          <w:rFonts w:ascii="Century Gothic" w:eastAsia="Century Gothic" w:hAnsi="Century Gothic" w:cs="Century Gothic"/>
        </w:rPr>
        <w:t>Promover alianzas con organizaciones sociales, instituciones educativas, redes de cuidado y actores del territorio.</w:t>
      </w:r>
    </w:p>
    <w:p w14:paraId="3BA005AC" w14:textId="77777777" w:rsidR="00AA5550" w:rsidRDefault="00045FF4">
      <w:pPr>
        <w:pStyle w:val="Ttulo4"/>
        <w:keepNext w:val="0"/>
        <w:keepLines w:val="0"/>
        <w:spacing w:before="240" w:after="40"/>
        <w:jc w:val="both"/>
        <w:rPr>
          <w:rFonts w:ascii="Century Gothic" w:eastAsia="Century Gothic" w:hAnsi="Century Gothic" w:cs="Century Gothic"/>
          <w:color w:val="000000"/>
          <w:sz w:val="22"/>
          <w:szCs w:val="22"/>
        </w:rPr>
      </w:pPr>
      <w:bookmarkStart w:id="4" w:name="_heading=h.2h6qwhroofzf" w:colFirst="0" w:colLast="0"/>
      <w:bookmarkEnd w:id="4"/>
      <w:r>
        <w:rPr>
          <w:rFonts w:ascii="Century Gothic" w:eastAsia="Century Gothic" w:hAnsi="Century Gothic" w:cs="Century Gothic"/>
          <w:b/>
          <w:color w:val="000000"/>
          <w:sz w:val="22"/>
          <w:szCs w:val="22"/>
        </w:rPr>
        <w:t>Artículo 9. Corresponsabilidad y articulación interinstit</w:t>
      </w:r>
      <w:r>
        <w:rPr>
          <w:rFonts w:ascii="Century Gothic" w:eastAsia="Century Gothic" w:hAnsi="Century Gothic" w:cs="Century Gothic"/>
          <w:b/>
          <w:color w:val="000000"/>
          <w:sz w:val="22"/>
          <w:szCs w:val="22"/>
        </w:rPr>
        <w:t xml:space="preserve">ucional. </w:t>
      </w:r>
      <w:r>
        <w:rPr>
          <w:rFonts w:ascii="Century Gothic" w:eastAsia="Century Gothic" w:hAnsi="Century Gothic" w:cs="Century Gothic"/>
          <w:color w:val="000000"/>
          <w:sz w:val="22"/>
          <w:szCs w:val="22"/>
        </w:rPr>
        <w:t>La implementación de la presente ley se fundamenta en el principio de corresponsabilidad institucional, conforme al cual las entidades del orden nacional, departamental, distrital y municipal deberán actuar de manera coordinada, complementaria y s</w:t>
      </w:r>
      <w:r>
        <w:rPr>
          <w:rFonts w:ascii="Century Gothic" w:eastAsia="Century Gothic" w:hAnsi="Century Gothic" w:cs="Century Gothic"/>
          <w:color w:val="000000"/>
          <w:sz w:val="22"/>
          <w:szCs w:val="22"/>
        </w:rPr>
        <w:t>ostenida, según sus competencias, para garantizar la creación, consolidación y sostenibilidad de entornos seguros para mujeres, niñas, niños y adolescentes.</w:t>
      </w:r>
    </w:p>
    <w:p w14:paraId="0506736D" w14:textId="6BB9C00E"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b/>
        </w:rPr>
        <w:t>Parágrafo</w:t>
      </w:r>
      <w:r>
        <w:rPr>
          <w:rFonts w:ascii="Century Gothic" w:eastAsia="Century Gothic" w:hAnsi="Century Gothic" w:cs="Century Gothic"/>
        </w:rPr>
        <w:t>. Esta articulación no implica la creación de nuevas entidades ni el traslado de competenc</w:t>
      </w:r>
      <w:r>
        <w:rPr>
          <w:rFonts w:ascii="Century Gothic" w:eastAsia="Century Gothic" w:hAnsi="Century Gothic" w:cs="Century Gothic"/>
        </w:rPr>
        <w:t>ias, y deberá realizarse con los recursos humanos, técnicos y financieros existentes.</w:t>
      </w:r>
    </w:p>
    <w:p w14:paraId="5009BC37" w14:textId="20866FCF" w:rsidR="00C00F1B" w:rsidRDefault="00C00F1B">
      <w:pPr>
        <w:spacing w:before="240" w:after="240"/>
        <w:jc w:val="both"/>
        <w:rPr>
          <w:rFonts w:ascii="Century Gothic" w:eastAsia="Century Gothic" w:hAnsi="Century Gothic" w:cs="Century Gothic"/>
        </w:rPr>
      </w:pPr>
    </w:p>
    <w:p w14:paraId="607C2C44" w14:textId="16BB2544" w:rsidR="00C00F1B" w:rsidRDefault="00C00F1B">
      <w:pPr>
        <w:spacing w:before="240" w:after="240"/>
        <w:jc w:val="both"/>
        <w:rPr>
          <w:rFonts w:ascii="Century Gothic" w:eastAsia="Century Gothic" w:hAnsi="Century Gothic" w:cs="Century Gothic"/>
        </w:rPr>
      </w:pPr>
    </w:p>
    <w:p w14:paraId="24915F25" w14:textId="77777777" w:rsidR="00C00F1B" w:rsidRDefault="00C00F1B">
      <w:pPr>
        <w:spacing w:before="240" w:after="240"/>
        <w:jc w:val="both"/>
        <w:rPr>
          <w:rFonts w:ascii="Century Gothic" w:eastAsia="Century Gothic" w:hAnsi="Century Gothic" w:cs="Century Gothic"/>
        </w:rPr>
      </w:pPr>
    </w:p>
    <w:p w14:paraId="6386CB34" w14:textId="77777777" w:rsidR="00AA5550" w:rsidRDefault="00045FF4">
      <w:pPr>
        <w:jc w:val="center"/>
        <w:rPr>
          <w:rFonts w:ascii="Century Gothic" w:eastAsia="Century Gothic" w:hAnsi="Century Gothic" w:cs="Century Gothic"/>
          <w:b/>
          <w:color w:val="000000"/>
        </w:rPr>
      </w:pPr>
      <w:r>
        <w:rPr>
          <w:rFonts w:ascii="Century Gothic" w:eastAsia="Century Gothic" w:hAnsi="Century Gothic" w:cs="Century Gothic"/>
          <w:b/>
        </w:rPr>
        <w:lastRenderedPageBreak/>
        <w:t xml:space="preserve">Capítulo III. </w:t>
      </w:r>
      <w:r>
        <w:rPr>
          <w:rFonts w:ascii="Century Gothic" w:eastAsia="Century Gothic" w:hAnsi="Century Gothic" w:cs="Century Gothic"/>
          <w:b/>
        </w:rPr>
        <w:br/>
        <w:t xml:space="preserve">Articulación institucional </w:t>
      </w:r>
    </w:p>
    <w:p w14:paraId="452E62FB" w14:textId="77777777" w:rsidR="00AA5550" w:rsidRDefault="00045FF4">
      <w:pPr>
        <w:pStyle w:val="Ttulo4"/>
        <w:keepNext w:val="0"/>
        <w:keepLines w:val="0"/>
        <w:spacing w:before="240" w:after="40"/>
        <w:jc w:val="both"/>
        <w:rPr>
          <w:rFonts w:ascii="Century Gothic" w:eastAsia="Century Gothic" w:hAnsi="Century Gothic" w:cs="Century Gothic"/>
          <w:color w:val="000000"/>
          <w:sz w:val="22"/>
          <w:szCs w:val="22"/>
        </w:rPr>
      </w:pPr>
      <w:bookmarkStart w:id="5" w:name="_heading=h.3zruzloag165" w:colFirst="0" w:colLast="0"/>
      <w:bookmarkEnd w:id="5"/>
      <w:r>
        <w:rPr>
          <w:rFonts w:ascii="Century Gothic" w:eastAsia="Century Gothic" w:hAnsi="Century Gothic" w:cs="Century Gothic"/>
          <w:b/>
          <w:color w:val="000000"/>
          <w:sz w:val="22"/>
          <w:szCs w:val="22"/>
        </w:rPr>
        <w:t xml:space="preserve">Artículo 10. Competencias del nivel nacional en la garantía de entornos seguros. </w:t>
      </w:r>
      <w:r>
        <w:rPr>
          <w:rFonts w:ascii="Century Gothic" w:eastAsia="Century Gothic" w:hAnsi="Century Gothic" w:cs="Century Gothic"/>
          <w:color w:val="000000"/>
          <w:sz w:val="22"/>
          <w:szCs w:val="22"/>
        </w:rPr>
        <w:t>Corresponde al Gobierno Nacional:</w:t>
      </w:r>
    </w:p>
    <w:p w14:paraId="1F980FE7" w14:textId="77777777" w:rsidR="00AA5550" w:rsidRDefault="00045FF4">
      <w:pPr>
        <w:numPr>
          <w:ilvl w:val="0"/>
          <w:numId w:val="18"/>
        </w:numPr>
        <w:spacing w:before="240"/>
        <w:jc w:val="both"/>
        <w:rPr>
          <w:rFonts w:ascii="Century Gothic" w:eastAsia="Century Gothic" w:hAnsi="Century Gothic" w:cs="Century Gothic"/>
        </w:rPr>
      </w:pPr>
      <w:r>
        <w:rPr>
          <w:rFonts w:ascii="Century Gothic" w:eastAsia="Century Gothic" w:hAnsi="Century Gothic" w:cs="Century Gothic"/>
        </w:rPr>
        <w:t>Establecer l</w:t>
      </w:r>
      <w:r>
        <w:rPr>
          <w:rFonts w:ascii="Century Gothic" w:eastAsia="Century Gothic" w:hAnsi="Century Gothic" w:cs="Century Gothic"/>
        </w:rPr>
        <w:t>os lineamientos generales para la implementación de esta ley en el marco de las políticas públicas vigentes en materia de niñez, género, convivencia, seguridad y desarrollo territorial.</w:t>
      </w:r>
    </w:p>
    <w:p w14:paraId="27A6C6CB" w14:textId="77777777" w:rsidR="00AA5550" w:rsidRDefault="00045FF4">
      <w:pPr>
        <w:numPr>
          <w:ilvl w:val="0"/>
          <w:numId w:val="18"/>
        </w:numPr>
        <w:jc w:val="both"/>
        <w:rPr>
          <w:rFonts w:ascii="Century Gothic" w:eastAsia="Century Gothic" w:hAnsi="Century Gothic" w:cs="Century Gothic"/>
        </w:rPr>
      </w:pPr>
      <w:r>
        <w:rPr>
          <w:rFonts w:ascii="Century Gothic" w:eastAsia="Century Gothic" w:hAnsi="Century Gothic" w:cs="Century Gothic"/>
        </w:rPr>
        <w:t>Integrar los lineamientos en los planes, programas y estrategias nacionales, garantizando su incorporación en los instrumentos de planeación sectorial.</w:t>
      </w:r>
    </w:p>
    <w:p w14:paraId="4425243A" w14:textId="77777777" w:rsidR="00AA5550" w:rsidRDefault="00045FF4">
      <w:pPr>
        <w:numPr>
          <w:ilvl w:val="0"/>
          <w:numId w:val="18"/>
        </w:numPr>
        <w:jc w:val="both"/>
        <w:rPr>
          <w:rFonts w:ascii="Century Gothic" w:eastAsia="Century Gothic" w:hAnsi="Century Gothic" w:cs="Century Gothic"/>
        </w:rPr>
      </w:pPr>
      <w:r>
        <w:rPr>
          <w:rFonts w:ascii="Century Gothic" w:eastAsia="Century Gothic" w:hAnsi="Century Gothic" w:cs="Century Gothic"/>
        </w:rPr>
        <w:t>Coordinar, a través de las instancias existentes, la asistencia técnica y el acompañamiento a las entida</w:t>
      </w:r>
      <w:r>
        <w:rPr>
          <w:rFonts w:ascii="Century Gothic" w:eastAsia="Century Gothic" w:hAnsi="Century Gothic" w:cs="Century Gothic"/>
        </w:rPr>
        <w:t>des territoriales para la implementación de esta ley.</w:t>
      </w:r>
    </w:p>
    <w:p w14:paraId="5FEB8DAD" w14:textId="77777777" w:rsidR="00AA5550" w:rsidRDefault="00045FF4">
      <w:pPr>
        <w:numPr>
          <w:ilvl w:val="0"/>
          <w:numId w:val="18"/>
        </w:numPr>
        <w:jc w:val="both"/>
        <w:rPr>
          <w:rFonts w:ascii="Century Gothic" w:eastAsia="Century Gothic" w:hAnsi="Century Gothic" w:cs="Century Gothic"/>
        </w:rPr>
      </w:pPr>
      <w:r>
        <w:rPr>
          <w:rFonts w:ascii="Century Gothic" w:eastAsia="Century Gothic" w:hAnsi="Century Gothic" w:cs="Century Gothic"/>
        </w:rPr>
        <w:t>Fortalecer las capacidades institucionales mediante la oferta de herramientas metodológicas, protocolos y sistemas de información compartidos.</w:t>
      </w:r>
    </w:p>
    <w:p w14:paraId="6AA7000F" w14:textId="77777777" w:rsidR="00AA5550" w:rsidRDefault="00045FF4">
      <w:pPr>
        <w:numPr>
          <w:ilvl w:val="0"/>
          <w:numId w:val="18"/>
        </w:numPr>
        <w:spacing w:after="240"/>
        <w:jc w:val="both"/>
        <w:rPr>
          <w:rFonts w:ascii="Century Gothic" w:eastAsia="Century Gothic" w:hAnsi="Century Gothic" w:cs="Century Gothic"/>
        </w:rPr>
      </w:pPr>
      <w:r>
        <w:rPr>
          <w:rFonts w:ascii="Century Gothic" w:eastAsia="Century Gothic" w:hAnsi="Century Gothic" w:cs="Century Gothic"/>
        </w:rPr>
        <w:t>Articular el Sistema Nacional de Convivencia Escolar, el Si</w:t>
      </w:r>
      <w:r>
        <w:rPr>
          <w:rFonts w:ascii="Century Gothic" w:eastAsia="Century Gothic" w:hAnsi="Century Gothic" w:cs="Century Gothic"/>
        </w:rPr>
        <w:t>stema Nacional de Bienestar Familiar, el Sistema Nacional de Seguridad Ciudadana, el Sistema Nacional de Juventud y demás sistemas afines, con los fines de esta ley.</w:t>
      </w:r>
    </w:p>
    <w:p w14:paraId="23BA33F7" w14:textId="77777777" w:rsidR="00AA5550" w:rsidRDefault="00045FF4">
      <w:pPr>
        <w:pStyle w:val="Ttulo4"/>
        <w:keepNext w:val="0"/>
        <w:keepLines w:val="0"/>
        <w:spacing w:before="240" w:after="40"/>
        <w:jc w:val="both"/>
        <w:rPr>
          <w:rFonts w:ascii="Century Gothic" w:eastAsia="Century Gothic" w:hAnsi="Century Gothic" w:cs="Century Gothic"/>
          <w:color w:val="000000"/>
          <w:sz w:val="22"/>
          <w:szCs w:val="22"/>
        </w:rPr>
      </w:pPr>
      <w:bookmarkStart w:id="6" w:name="_heading=h.vy0pczomturw" w:colFirst="0" w:colLast="0"/>
      <w:bookmarkEnd w:id="6"/>
      <w:r>
        <w:rPr>
          <w:rFonts w:ascii="Century Gothic" w:eastAsia="Century Gothic" w:hAnsi="Century Gothic" w:cs="Century Gothic"/>
          <w:b/>
          <w:color w:val="000000"/>
          <w:sz w:val="22"/>
          <w:szCs w:val="22"/>
        </w:rPr>
        <w:t xml:space="preserve">Artículo 11. Competencias de Entidades territoriales. </w:t>
      </w:r>
      <w:r>
        <w:rPr>
          <w:rFonts w:ascii="Century Gothic" w:eastAsia="Century Gothic" w:hAnsi="Century Gothic" w:cs="Century Gothic"/>
          <w:color w:val="000000"/>
          <w:sz w:val="22"/>
          <w:szCs w:val="22"/>
        </w:rPr>
        <w:t>Las entidades territoriales, en el m</w:t>
      </w:r>
      <w:r>
        <w:rPr>
          <w:rFonts w:ascii="Century Gothic" w:eastAsia="Century Gothic" w:hAnsi="Century Gothic" w:cs="Century Gothic"/>
          <w:color w:val="000000"/>
          <w:sz w:val="22"/>
          <w:szCs w:val="22"/>
        </w:rPr>
        <w:t>arco de su autonomía y competencias constitucionales y legales, deberán:</w:t>
      </w:r>
    </w:p>
    <w:p w14:paraId="39684F84" w14:textId="77777777" w:rsidR="00AA5550" w:rsidRDefault="00045FF4">
      <w:pPr>
        <w:numPr>
          <w:ilvl w:val="0"/>
          <w:numId w:val="17"/>
        </w:numPr>
        <w:spacing w:before="240"/>
        <w:jc w:val="both"/>
        <w:rPr>
          <w:rFonts w:ascii="Century Gothic" w:eastAsia="Century Gothic" w:hAnsi="Century Gothic" w:cs="Century Gothic"/>
        </w:rPr>
      </w:pPr>
      <w:r>
        <w:rPr>
          <w:rFonts w:ascii="Century Gothic" w:eastAsia="Century Gothic" w:hAnsi="Century Gothic" w:cs="Century Gothic"/>
        </w:rPr>
        <w:t>Incorporar los lineamientos de esta ley en sus planes de desarrollo, políticas públicas locales y estrategias de seguridad, convivencia y protección.</w:t>
      </w:r>
    </w:p>
    <w:p w14:paraId="71BF4B0C" w14:textId="77777777" w:rsidR="00AA5550" w:rsidRDefault="00045FF4">
      <w:pPr>
        <w:numPr>
          <w:ilvl w:val="0"/>
          <w:numId w:val="17"/>
        </w:numPr>
        <w:jc w:val="both"/>
        <w:rPr>
          <w:rFonts w:ascii="Century Gothic" w:eastAsia="Century Gothic" w:hAnsi="Century Gothic" w:cs="Century Gothic"/>
        </w:rPr>
      </w:pPr>
      <w:r>
        <w:rPr>
          <w:rFonts w:ascii="Century Gothic" w:eastAsia="Century Gothic" w:hAnsi="Century Gothic" w:cs="Century Gothic"/>
        </w:rPr>
        <w:t>Realizar el diagnóstico territori</w:t>
      </w:r>
      <w:r>
        <w:rPr>
          <w:rFonts w:ascii="Century Gothic" w:eastAsia="Century Gothic" w:hAnsi="Century Gothic" w:cs="Century Gothic"/>
        </w:rPr>
        <w:t>al previsto en esta ley, en articulación con actores comunitarios e institucionales.</w:t>
      </w:r>
    </w:p>
    <w:p w14:paraId="52AF123B" w14:textId="77777777" w:rsidR="00AA5550" w:rsidRDefault="00045FF4">
      <w:pPr>
        <w:numPr>
          <w:ilvl w:val="0"/>
          <w:numId w:val="17"/>
        </w:numPr>
        <w:jc w:val="both"/>
        <w:rPr>
          <w:rFonts w:ascii="Century Gothic" w:eastAsia="Century Gothic" w:hAnsi="Century Gothic" w:cs="Century Gothic"/>
        </w:rPr>
      </w:pPr>
      <w:r>
        <w:rPr>
          <w:rFonts w:ascii="Century Gothic" w:eastAsia="Century Gothic" w:hAnsi="Century Gothic" w:cs="Century Gothic"/>
        </w:rPr>
        <w:t>Establecer mecanismos de coordinación intersectorial a nivel local, tales como comités técnicos, mesas territoriales o redes de protección, sin duplicar estructuras existe</w:t>
      </w:r>
      <w:r>
        <w:rPr>
          <w:rFonts w:ascii="Century Gothic" w:eastAsia="Century Gothic" w:hAnsi="Century Gothic" w:cs="Century Gothic"/>
        </w:rPr>
        <w:t>ntes.</w:t>
      </w:r>
    </w:p>
    <w:p w14:paraId="215B397A" w14:textId="77777777" w:rsidR="00AA5550" w:rsidRDefault="00045FF4">
      <w:pPr>
        <w:numPr>
          <w:ilvl w:val="0"/>
          <w:numId w:val="17"/>
        </w:numPr>
        <w:jc w:val="both"/>
        <w:rPr>
          <w:rFonts w:ascii="Century Gothic" w:eastAsia="Century Gothic" w:hAnsi="Century Gothic" w:cs="Century Gothic"/>
        </w:rPr>
      </w:pPr>
      <w:r>
        <w:rPr>
          <w:rFonts w:ascii="Century Gothic" w:eastAsia="Century Gothic" w:hAnsi="Century Gothic" w:cs="Century Gothic"/>
        </w:rPr>
        <w:t>Priorizar las intervenciones en entornos con mayores niveles de riesgo o exclusión, según el diagnóstico y criterios de focalización definidos.</w:t>
      </w:r>
    </w:p>
    <w:p w14:paraId="43B8C135" w14:textId="77777777" w:rsidR="00AA5550" w:rsidRDefault="00045FF4">
      <w:pPr>
        <w:numPr>
          <w:ilvl w:val="0"/>
          <w:numId w:val="17"/>
        </w:numPr>
        <w:spacing w:after="240"/>
        <w:jc w:val="both"/>
        <w:rPr>
          <w:rFonts w:ascii="Century Gothic" w:eastAsia="Century Gothic" w:hAnsi="Century Gothic" w:cs="Century Gothic"/>
        </w:rPr>
      </w:pPr>
      <w:r>
        <w:rPr>
          <w:rFonts w:ascii="Century Gothic" w:eastAsia="Century Gothic" w:hAnsi="Century Gothic" w:cs="Century Gothic"/>
        </w:rPr>
        <w:t>Promover la participación comunitaria y social en todas las fases del proceso de intervención.</w:t>
      </w:r>
    </w:p>
    <w:p w14:paraId="16CE8F1B" w14:textId="77FBE62E"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b/>
        </w:rPr>
        <w:t xml:space="preserve">Artículo 12. Fortalecimiento institucional territorial. </w:t>
      </w:r>
      <w:r>
        <w:rPr>
          <w:rFonts w:ascii="Century Gothic" w:eastAsia="Century Gothic" w:hAnsi="Century Gothic" w:cs="Century Gothic"/>
        </w:rPr>
        <w:t>Las autoridades departamentales, distritales y municipales deberán adoptar medidas integrales, sostenidas</w:t>
      </w:r>
      <w:r>
        <w:rPr>
          <w:rFonts w:ascii="Century Gothic" w:eastAsia="Century Gothic" w:hAnsi="Century Gothic" w:cs="Century Gothic"/>
        </w:rPr>
        <w:t xml:space="preserve"> y articuladas para garantizar entornos seguros en sus respectivos territorios, mediante el fortalecimiento de su capacidad institucional, técnica y operativa. Estas acciones deberán orientarse a prevenir las violencias estructurales, reducir los factores </w:t>
      </w:r>
      <w:r>
        <w:rPr>
          <w:rFonts w:ascii="Century Gothic" w:eastAsia="Century Gothic" w:hAnsi="Century Gothic" w:cs="Century Gothic"/>
        </w:rPr>
        <w:t xml:space="preserve">de riesgo y garantizar condiciones materiales de seguridad, dignidad y bienestar para mujeres, niñas, niños y adolescentes. Las intervenciones deberán desarrollarse con </w:t>
      </w:r>
      <w:r>
        <w:rPr>
          <w:rFonts w:ascii="Century Gothic" w:eastAsia="Century Gothic" w:hAnsi="Century Gothic" w:cs="Century Gothic"/>
        </w:rPr>
        <w:lastRenderedPageBreak/>
        <w:t>enfoque de curso de vida, justicia espacial, género y corresponsabilidad comunitaria, c</w:t>
      </w:r>
      <w:r>
        <w:rPr>
          <w:rFonts w:ascii="Century Gothic" w:eastAsia="Century Gothic" w:hAnsi="Century Gothic" w:cs="Century Gothic"/>
        </w:rPr>
        <w:t>onforme al diagnóstico territorial y en articulación con las políticas públicas vigentes.</w:t>
      </w:r>
    </w:p>
    <w:p w14:paraId="0D54ABFE" w14:textId="77777777" w:rsidR="00AA5550" w:rsidRDefault="00045FF4">
      <w:pPr>
        <w:jc w:val="center"/>
        <w:rPr>
          <w:rFonts w:ascii="Century Gothic" w:eastAsia="Century Gothic" w:hAnsi="Century Gothic" w:cs="Century Gothic"/>
          <w:b/>
        </w:rPr>
      </w:pPr>
      <w:r>
        <w:rPr>
          <w:rFonts w:ascii="Century Gothic" w:eastAsia="Century Gothic" w:hAnsi="Century Gothic" w:cs="Century Gothic"/>
          <w:b/>
        </w:rPr>
        <w:t xml:space="preserve">Capítulo IV. </w:t>
      </w:r>
      <w:r>
        <w:rPr>
          <w:rFonts w:ascii="Century Gothic" w:eastAsia="Century Gothic" w:hAnsi="Century Gothic" w:cs="Century Gothic"/>
          <w:b/>
        </w:rPr>
        <w:br/>
        <w:t>Medidas estructurales y preventivas</w:t>
      </w:r>
    </w:p>
    <w:p w14:paraId="0456F70F"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b/>
        </w:rPr>
        <w:t xml:space="preserve">Artículo 13. Planes territoriales de entornos seguros. </w:t>
      </w:r>
      <w:r>
        <w:rPr>
          <w:rFonts w:ascii="Century Gothic" w:eastAsia="Century Gothic" w:hAnsi="Century Gothic" w:cs="Century Gothic"/>
        </w:rPr>
        <w:t>Los departamentos, distritos y municipios deberán diseñar, a</w:t>
      </w:r>
      <w:r>
        <w:rPr>
          <w:rFonts w:ascii="Century Gothic" w:eastAsia="Century Gothic" w:hAnsi="Century Gothic" w:cs="Century Gothic"/>
        </w:rPr>
        <w:t>doptar, ejecutar y evaluar Planes Territoriales de Entornos Seguros, como instrumentos de planeación y gestión orientados a transformar los entornos urbanos, rurales, escolares, comunitarios y familiares en espacios protectores, inclusivos y libres de viol</w:t>
      </w:r>
      <w:r>
        <w:rPr>
          <w:rFonts w:ascii="Century Gothic" w:eastAsia="Century Gothic" w:hAnsi="Century Gothic" w:cs="Century Gothic"/>
        </w:rPr>
        <w:t>encias contra mujeres, niñas, niños y adolescentes.</w:t>
      </w:r>
    </w:p>
    <w:p w14:paraId="1750AE61"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Los Planes Territoriales deberán incorporar, como mínimo, los siguientes componentes:</w:t>
      </w:r>
    </w:p>
    <w:p w14:paraId="0D3E6DFF" w14:textId="77777777" w:rsidR="00AA5550" w:rsidRDefault="00045FF4">
      <w:pPr>
        <w:numPr>
          <w:ilvl w:val="0"/>
          <w:numId w:val="14"/>
        </w:numPr>
        <w:spacing w:before="240"/>
        <w:jc w:val="both"/>
        <w:rPr>
          <w:rFonts w:ascii="Century Gothic" w:eastAsia="Century Gothic" w:hAnsi="Century Gothic" w:cs="Century Gothic"/>
        </w:rPr>
      </w:pPr>
      <w:r>
        <w:rPr>
          <w:rFonts w:ascii="Century Gothic" w:eastAsia="Century Gothic" w:hAnsi="Century Gothic" w:cs="Century Gothic"/>
          <w:b/>
        </w:rPr>
        <w:t>Diagnóstico territorial participativo</w:t>
      </w:r>
      <w:r>
        <w:rPr>
          <w:rFonts w:ascii="Century Gothic" w:eastAsia="Century Gothic" w:hAnsi="Century Gothic" w:cs="Century Gothic"/>
        </w:rPr>
        <w:t>, que identifique los factores estructurales de riesgo, exclusión y violencia pre</w:t>
      </w:r>
      <w:r>
        <w:rPr>
          <w:rFonts w:ascii="Century Gothic" w:eastAsia="Century Gothic" w:hAnsi="Century Gothic" w:cs="Century Gothic"/>
        </w:rPr>
        <w:t>sentes en los distintos entornos del territorio, con enfoque diferencial y de justicia espacial.</w:t>
      </w:r>
    </w:p>
    <w:p w14:paraId="2F0E904D" w14:textId="77777777" w:rsidR="00AA5550" w:rsidRDefault="00045FF4">
      <w:pPr>
        <w:numPr>
          <w:ilvl w:val="0"/>
          <w:numId w:val="14"/>
        </w:numPr>
        <w:jc w:val="both"/>
        <w:rPr>
          <w:rFonts w:ascii="Century Gothic" w:eastAsia="Century Gothic" w:hAnsi="Century Gothic" w:cs="Century Gothic"/>
        </w:rPr>
      </w:pPr>
      <w:r>
        <w:rPr>
          <w:rFonts w:ascii="Century Gothic" w:eastAsia="Century Gothic" w:hAnsi="Century Gothic" w:cs="Century Gothic"/>
          <w:b/>
        </w:rPr>
        <w:t>Metas y objetivos verificables</w:t>
      </w:r>
      <w:r>
        <w:rPr>
          <w:rFonts w:ascii="Century Gothic" w:eastAsia="Century Gothic" w:hAnsi="Century Gothic" w:cs="Century Gothic"/>
        </w:rPr>
        <w:t>, orientados a reducir las violencias estructurales y fortalecer la prevención, la protección y la participación comunitaria en l</w:t>
      </w:r>
      <w:r>
        <w:rPr>
          <w:rFonts w:ascii="Century Gothic" w:eastAsia="Century Gothic" w:hAnsi="Century Gothic" w:cs="Century Gothic"/>
        </w:rPr>
        <w:t>os territorios priorizados.</w:t>
      </w:r>
    </w:p>
    <w:p w14:paraId="5CC2AA72" w14:textId="77777777" w:rsidR="00AA5550" w:rsidRDefault="00045FF4">
      <w:pPr>
        <w:numPr>
          <w:ilvl w:val="0"/>
          <w:numId w:val="14"/>
        </w:numPr>
        <w:jc w:val="both"/>
        <w:rPr>
          <w:rFonts w:ascii="Century Gothic" w:eastAsia="Century Gothic" w:hAnsi="Century Gothic" w:cs="Century Gothic"/>
        </w:rPr>
      </w:pPr>
      <w:r>
        <w:rPr>
          <w:rFonts w:ascii="Century Gothic" w:eastAsia="Century Gothic" w:hAnsi="Century Gothic" w:cs="Century Gothic"/>
          <w:b/>
        </w:rPr>
        <w:t>Estrategias intersectoriales sostenidas</w:t>
      </w:r>
      <w:r>
        <w:rPr>
          <w:rFonts w:ascii="Century Gothic" w:eastAsia="Century Gothic" w:hAnsi="Century Gothic" w:cs="Century Gothic"/>
        </w:rPr>
        <w:t>, que articulen acciones de infraestructura, convivencia, salud, educación, cultura, justicia, transporte e inclusión social, en coordinación con las entidades nacionales competentes.</w:t>
      </w:r>
    </w:p>
    <w:p w14:paraId="3311B467" w14:textId="77777777" w:rsidR="00AA5550" w:rsidRDefault="00045FF4">
      <w:pPr>
        <w:numPr>
          <w:ilvl w:val="0"/>
          <w:numId w:val="14"/>
        </w:numPr>
        <w:jc w:val="both"/>
        <w:rPr>
          <w:rFonts w:ascii="Century Gothic" w:eastAsia="Century Gothic" w:hAnsi="Century Gothic" w:cs="Century Gothic"/>
        </w:rPr>
      </w:pPr>
      <w:r>
        <w:rPr>
          <w:rFonts w:ascii="Century Gothic" w:eastAsia="Century Gothic" w:hAnsi="Century Gothic" w:cs="Century Gothic"/>
          <w:b/>
        </w:rPr>
        <w:t>Mecan</w:t>
      </w:r>
      <w:r>
        <w:rPr>
          <w:rFonts w:ascii="Century Gothic" w:eastAsia="Century Gothic" w:hAnsi="Century Gothic" w:cs="Century Gothic"/>
          <w:b/>
        </w:rPr>
        <w:t>ismos de participación efectiva</w:t>
      </w:r>
      <w:r>
        <w:rPr>
          <w:rFonts w:ascii="Century Gothic" w:eastAsia="Century Gothic" w:hAnsi="Century Gothic" w:cs="Century Gothic"/>
        </w:rPr>
        <w:t>, que garanticen la inclusión de mujeres, niñas, niños, adolescentes, redes de cuidado, organizaciones sociales y comunidades en la formulación, ejecución y evaluación de los planes.</w:t>
      </w:r>
    </w:p>
    <w:p w14:paraId="494296DA" w14:textId="77777777" w:rsidR="00AA5550" w:rsidRDefault="00045FF4">
      <w:pPr>
        <w:numPr>
          <w:ilvl w:val="0"/>
          <w:numId w:val="14"/>
        </w:numPr>
        <w:spacing w:after="240"/>
        <w:jc w:val="both"/>
        <w:rPr>
          <w:rFonts w:ascii="Century Gothic" w:eastAsia="Century Gothic" w:hAnsi="Century Gothic" w:cs="Century Gothic"/>
        </w:rPr>
      </w:pPr>
      <w:r>
        <w:rPr>
          <w:rFonts w:ascii="Century Gothic" w:eastAsia="Century Gothic" w:hAnsi="Century Gothic" w:cs="Century Gothic"/>
          <w:b/>
        </w:rPr>
        <w:t>Indicadores de seguimiento y evaluación</w:t>
      </w:r>
      <w:r>
        <w:rPr>
          <w:rFonts w:ascii="Century Gothic" w:eastAsia="Century Gothic" w:hAnsi="Century Gothic" w:cs="Century Gothic"/>
        </w:rPr>
        <w:t>, q</w:t>
      </w:r>
      <w:r>
        <w:rPr>
          <w:rFonts w:ascii="Century Gothic" w:eastAsia="Century Gothic" w:hAnsi="Century Gothic" w:cs="Century Gothic"/>
        </w:rPr>
        <w:t>ue permitan monitorear el cumplimiento de las metas, la calidad de la intervención, el uso de los recursos y el impacto de las acciones adoptadas.</w:t>
      </w:r>
    </w:p>
    <w:p w14:paraId="1AA21552"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Los Planes Territoriales de Entornos Seguros deberán armonizarse con los Planes de Desarrollo, los Planes de </w:t>
      </w:r>
      <w:r>
        <w:rPr>
          <w:rFonts w:ascii="Century Gothic" w:eastAsia="Century Gothic" w:hAnsi="Century Gothic" w:cs="Century Gothic"/>
        </w:rPr>
        <w:t>Ordenamiento Territorial y los instrumentos de planificación existentes, sin implicar la creación de nuevas estructuras ni cargas fiscales adicionales. Su implementación será responsabilidad de las autoridades territoriales, en coordinación con el Gobierno</w:t>
      </w:r>
      <w:r>
        <w:rPr>
          <w:rFonts w:ascii="Century Gothic" w:eastAsia="Century Gothic" w:hAnsi="Century Gothic" w:cs="Century Gothic"/>
        </w:rPr>
        <w:t xml:space="preserve"> nacional y en ejercicio de su autonomía administrativa y presupuestal.</w:t>
      </w:r>
    </w:p>
    <w:p w14:paraId="5718A263"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b/>
        </w:rPr>
        <w:t xml:space="preserve">Artículo 14. Intervenciones de infraestructura física y social. </w:t>
      </w:r>
      <w:r>
        <w:rPr>
          <w:rFonts w:ascii="Century Gothic" w:eastAsia="Century Gothic" w:hAnsi="Century Gothic" w:cs="Century Gothic"/>
        </w:rPr>
        <w:t>Las entidades territoriales, en articulación con los sectores de planeación, infraestructura, movilidad, seguridad, educ</w:t>
      </w:r>
      <w:r>
        <w:rPr>
          <w:rFonts w:ascii="Century Gothic" w:eastAsia="Century Gothic" w:hAnsi="Century Gothic" w:cs="Century Gothic"/>
        </w:rPr>
        <w:t xml:space="preserve">ación, cultura y desarrollo social, deberán adelantar intervenciones progresivas </w:t>
      </w:r>
      <w:r>
        <w:rPr>
          <w:rFonts w:ascii="Century Gothic" w:eastAsia="Century Gothic" w:hAnsi="Century Gothic" w:cs="Century Gothic"/>
        </w:rPr>
        <w:lastRenderedPageBreak/>
        <w:t>y sostenibles en los entornos priorizados, orientadas a garantizar condiciones materiales de seguridad, habitabilidad y dignidad para mujeres, niñas, niños y adolescentes.</w:t>
      </w:r>
    </w:p>
    <w:p w14:paraId="671A8143"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Est</w:t>
      </w:r>
      <w:r>
        <w:rPr>
          <w:rFonts w:ascii="Century Gothic" w:eastAsia="Century Gothic" w:hAnsi="Century Gothic" w:cs="Century Gothic"/>
        </w:rPr>
        <w:t>as intervenciones deberán comprender, como mínimo, las siguientes acciones:</w:t>
      </w:r>
    </w:p>
    <w:p w14:paraId="7EDDC43F" w14:textId="77777777" w:rsidR="00AA5550" w:rsidRDefault="00045FF4">
      <w:pPr>
        <w:numPr>
          <w:ilvl w:val="0"/>
          <w:numId w:val="20"/>
        </w:numPr>
        <w:spacing w:before="240"/>
        <w:jc w:val="both"/>
        <w:rPr>
          <w:rFonts w:ascii="Century Gothic" w:eastAsia="Century Gothic" w:hAnsi="Century Gothic" w:cs="Century Gothic"/>
        </w:rPr>
      </w:pPr>
      <w:r>
        <w:rPr>
          <w:rFonts w:ascii="Century Gothic" w:eastAsia="Century Gothic" w:hAnsi="Century Gothic" w:cs="Century Gothic"/>
          <w:b/>
        </w:rPr>
        <w:t>Mejoramiento y expansión del sistema de iluminación pública</w:t>
      </w:r>
      <w:r>
        <w:rPr>
          <w:rFonts w:ascii="Century Gothic" w:eastAsia="Century Gothic" w:hAnsi="Century Gothic" w:cs="Century Gothic"/>
        </w:rPr>
        <w:t>, con énfasis en calles, senderos peatonales, entornos escolares, parques, rutas seguras y zonas de alta percepción de ri</w:t>
      </w:r>
      <w:r>
        <w:rPr>
          <w:rFonts w:ascii="Century Gothic" w:eastAsia="Century Gothic" w:hAnsi="Century Gothic" w:cs="Century Gothic"/>
        </w:rPr>
        <w:t>esgo, conforme a los diagnósticos territoriales y las prioridades comunitarias.</w:t>
      </w:r>
    </w:p>
    <w:p w14:paraId="1CBEAE15" w14:textId="77777777" w:rsidR="00AA5550" w:rsidRDefault="00045FF4">
      <w:pPr>
        <w:numPr>
          <w:ilvl w:val="0"/>
          <w:numId w:val="20"/>
        </w:numPr>
        <w:jc w:val="both"/>
        <w:rPr>
          <w:rFonts w:ascii="Century Gothic" w:eastAsia="Century Gothic" w:hAnsi="Century Gothic" w:cs="Century Gothic"/>
        </w:rPr>
      </w:pPr>
      <w:r>
        <w:rPr>
          <w:rFonts w:ascii="Century Gothic" w:eastAsia="Century Gothic" w:hAnsi="Century Gothic" w:cs="Century Gothic"/>
          <w:b/>
        </w:rPr>
        <w:t>Implementación de urbanismo táctico y diseño participativo</w:t>
      </w:r>
      <w:r>
        <w:rPr>
          <w:rFonts w:ascii="Century Gothic" w:eastAsia="Century Gothic" w:hAnsi="Century Gothic" w:cs="Century Gothic"/>
        </w:rPr>
        <w:t>, mediante intervenciones de bajo costo y alto impacto, que promuevan la apropiación del espacio público, la convivencia pacífica, el arte comunitario, la seguridad ambiental y la inclusión de poblaciones diversas.</w:t>
      </w:r>
    </w:p>
    <w:p w14:paraId="5A292595" w14:textId="77777777" w:rsidR="00AA5550" w:rsidRDefault="00045FF4">
      <w:pPr>
        <w:numPr>
          <w:ilvl w:val="0"/>
          <w:numId w:val="20"/>
        </w:numPr>
        <w:jc w:val="both"/>
        <w:rPr>
          <w:rFonts w:ascii="Century Gothic" w:eastAsia="Century Gothic" w:hAnsi="Century Gothic" w:cs="Century Gothic"/>
        </w:rPr>
      </w:pPr>
      <w:r>
        <w:rPr>
          <w:rFonts w:ascii="Century Gothic" w:eastAsia="Century Gothic" w:hAnsi="Century Gothic" w:cs="Century Gothic"/>
          <w:b/>
        </w:rPr>
        <w:t xml:space="preserve">Adecuación y mantenimiento de mobiliario </w:t>
      </w:r>
      <w:r>
        <w:rPr>
          <w:rFonts w:ascii="Century Gothic" w:eastAsia="Century Gothic" w:hAnsi="Century Gothic" w:cs="Century Gothic"/>
          <w:b/>
        </w:rPr>
        <w:t>urbano seguro</w:t>
      </w:r>
      <w:r>
        <w:rPr>
          <w:rFonts w:ascii="Century Gothic" w:eastAsia="Century Gothic" w:hAnsi="Century Gothic" w:cs="Century Gothic"/>
        </w:rPr>
        <w:t xml:space="preserve">, accesible e incluyente, que favorezca el descanso, el encuentro intergeneracional, la movilidad activa y la permanencia segura en el espacio público. Esto incluye bancas, señalización, pasos peatonales, zonas de sombra, </w:t>
      </w:r>
      <w:proofErr w:type="spellStart"/>
      <w:r>
        <w:rPr>
          <w:rFonts w:ascii="Century Gothic" w:eastAsia="Century Gothic" w:hAnsi="Century Gothic" w:cs="Century Gothic"/>
        </w:rPr>
        <w:t>cicloparqueaderos</w:t>
      </w:r>
      <w:proofErr w:type="spellEnd"/>
      <w:r>
        <w:rPr>
          <w:rFonts w:ascii="Century Gothic" w:eastAsia="Century Gothic" w:hAnsi="Century Gothic" w:cs="Century Gothic"/>
        </w:rPr>
        <w:t>, ba</w:t>
      </w:r>
      <w:r>
        <w:rPr>
          <w:rFonts w:ascii="Century Gothic" w:eastAsia="Century Gothic" w:hAnsi="Century Gothic" w:cs="Century Gothic"/>
        </w:rPr>
        <w:t>ños públicos y dispositivos de emergencia.</w:t>
      </w:r>
    </w:p>
    <w:p w14:paraId="7793A9AE" w14:textId="77777777" w:rsidR="00AA5550" w:rsidRDefault="00045FF4">
      <w:pPr>
        <w:numPr>
          <w:ilvl w:val="0"/>
          <w:numId w:val="20"/>
        </w:numPr>
        <w:spacing w:after="240"/>
        <w:jc w:val="both"/>
        <w:rPr>
          <w:rFonts w:ascii="Century Gothic" w:eastAsia="Century Gothic" w:hAnsi="Century Gothic" w:cs="Century Gothic"/>
        </w:rPr>
      </w:pPr>
      <w:r>
        <w:rPr>
          <w:rFonts w:ascii="Century Gothic" w:eastAsia="Century Gothic" w:hAnsi="Century Gothic" w:cs="Century Gothic"/>
          <w:b/>
        </w:rPr>
        <w:t>Creación o fortalecimiento de entornos escolares y comunitarios protectores</w:t>
      </w:r>
      <w:r>
        <w:rPr>
          <w:rFonts w:ascii="Century Gothic" w:eastAsia="Century Gothic" w:hAnsi="Century Gothic" w:cs="Century Gothic"/>
        </w:rPr>
        <w:t>, mediante cercamientos adecuados, iluminación perimetral, señalización pedagógica, espacios de juego seguro, caminos escolares y zonas li</w:t>
      </w:r>
      <w:r>
        <w:rPr>
          <w:rFonts w:ascii="Century Gothic" w:eastAsia="Century Gothic" w:hAnsi="Century Gothic" w:cs="Century Gothic"/>
        </w:rPr>
        <w:t>bres de violencia.</w:t>
      </w:r>
    </w:p>
    <w:p w14:paraId="76E16F45"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Todas las intervenciones deberán incorporar los enfoques de curso de vida, género, discapacidad, accesibilidad universal, justicia espacial y participación ciudadana, priorizando las zonas más afectadas por condiciones estructurales de i</w:t>
      </w:r>
      <w:r>
        <w:rPr>
          <w:rFonts w:ascii="Century Gothic" w:eastAsia="Century Gothic" w:hAnsi="Century Gothic" w:cs="Century Gothic"/>
        </w:rPr>
        <w:t>nseguridad o exclusión.</w:t>
      </w:r>
    </w:p>
    <w:p w14:paraId="41769C08"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b/>
        </w:rPr>
        <w:t xml:space="preserve">Parágrafo. </w:t>
      </w:r>
      <w:r>
        <w:rPr>
          <w:rFonts w:ascii="Century Gothic" w:eastAsia="Century Gothic" w:hAnsi="Century Gothic" w:cs="Century Gothic"/>
        </w:rPr>
        <w:t>Estas medidas deberán integrarse a los instrumentos vigentes de planificación territorial y ejecutarse sin la creación de nuevas entidades, aprovechando los recursos, competencias y programas ya existentes en el nivel loc</w:t>
      </w:r>
      <w:r>
        <w:rPr>
          <w:rFonts w:ascii="Century Gothic" w:eastAsia="Century Gothic" w:hAnsi="Century Gothic" w:cs="Century Gothic"/>
        </w:rPr>
        <w:t>al, departamental y nacional.</w:t>
      </w:r>
    </w:p>
    <w:p w14:paraId="7E4CC362"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b/>
        </w:rPr>
        <w:t xml:space="preserve">Artículo 15. Mecanismos de alerta temprana y seguimiento comunitario. </w:t>
      </w:r>
      <w:r>
        <w:rPr>
          <w:rFonts w:ascii="Century Gothic" w:eastAsia="Century Gothic" w:hAnsi="Century Gothic" w:cs="Century Gothic"/>
        </w:rPr>
        <w:t>Las autoridades territoriales, en coordinación con los sectores de seguridad, protección, salud, educación, tecnologías de la información y participación ciudadana, deberán diseñar, implementar y mantener en funcionamiento mecanismos de alerta temprana y s</w:t>
      </w:r>
      <w:r>
        <w:rPr>
          <w:rFonts w:ascii="Century Gothic" w:eastAsia="Century Gothic" w:hAnsi="Century Gothic" w:cs="Century Gothic"/>
        </w:rPr>
        <w:t>eguimiento comunitario orientados a identificar, prevenir y responder de manera oportuna a riesgos de violencia o vulneración de derechos en los entornos priorizados.</w:t>
      </w:r>
    </w:p>
    <w:p w14:paraId="61F076B1"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Dichos mecanismos deberán contar, como mínimo, con los siguientes elementos:</w:t>
      </w:r>
    </w:p>
    <w:p w14:paraId="61065A50" w14:textId="77777777" w:rsidR="00AA5550" w:rsidRDefault="00045FF4">
      <w:pPr>
        <w:numPr>
          <w:ilvl w:val="0"/>
          <w:numId w:val="16"/>
        </w:numPr>
        <w:spacing w:before="240"/>
        <w:jc w:val="both"/>
        <w:rPr>
          <w:rFonts w:ascii="Century Gothic" w:eastAsia="Century Gothic" w:hAnsi="Century Gothic" w:cs="Century Gothic"/>
        </w:rPr>
      </w:pPr>
      <w:r>
        <w:rPr>
          <w:rFonts w:ascii="Century Gothic" w:eastAsia="Century Gothic" w:hAnsi="Century Gothic" w:cs="Century Gothic"/>
          <w:b/>
        </w:rPr>
        <w:lastRenderedPageBreak/>
        <w:t xml:space="preserve">Sistemas de </w:t>
      </w:r>
      <w:r>
        <w:rPr>
          <w:rFonts w:ascii="Century Gothic" w:eastAsia="Century Gothic" w:hAnsi="Century Gothic" w:cs="Century Gothic"/>
          <w:b/>
        </w:rPr>
        <w:t>reporte accesibles y descentralizados</w:t>
      </w:r>
      <w:r>
        <w:rPr>
          <w:rFonts w:ascii="Century Gothic" w:eastAsia="Century Gothic" w:hAnsi="Century Gothic" w:cs="Century Gothic"/>
        </w:rPr>
        <w:t>, que permitan a la ciudadanía —en especial a mujeres, niñas, niños y adolescentes— reportar situaciones de riesgo, violencia o inseguridad, a través de canales presenciales, digitales, telefónicos o comunitarios, garan</w:t>
      </w:r>
      <w:r>
        <w:rPr>
          <w:rFonts w:ascii="Century Gothic" w:eastAsia="Century Gothic" w:hAnsi="Century Gothic" w:cs="Century Gothic"/>
        </w:rPr>
        <w:t>tizando confidencialidad, atención inmediata y enfoque diferencial.</w:t>
      </w:r>
    </w:p>
    <w:p w14:paraId="4BC38C1F" w14:textId="77777777" w:rsidR="00AA5550" w:rsidRDefault="00045FF4">
      <w:pPr>
        <w:numPr>
          <w:ilvl w:val="0"/>
          <w:numId w:val="16"/>
        </w:numPr>
        <w:jc w:val="both"/>
        <w:rPr>
          <w:rFonts w:ascii="Century Gothic" w:eastAsia="Century Gothic" w:hAnsi="Century Gothic" w:cs="Century Gothic"/>
        </w:rPr>
      </w:pPr>
      <w:r>
        <w:rPr>
          <w:rFonts w:ascii="Century Gothic" w:eastAsia="Century Gothic" w:hAnsi="Century Gothic" w:cs="Century Gothic"/>
          <w:b/>
        </w:rPr>
        <w:t>Redes de protección y corresponsabilidad local</w:t>
      </w:r>
      <w:r>
        <w:rPr>
          <w:rFonts w:ascii="Century Gothic" w:eastAsia="Century Gothic" w:hAnsi="Century Gothic" w:cs="Century Gothic"/>
        </w:rPr>
        <w:t>, conformadas por liderazgos comunitarios, instituciones educativas, redes de cuidado, comisarías de familia, centros de salud, juntas de acci</w:t>
      </w:r>
      <w:r>
        <w:rPr>
          <w:rFonts w:ascii="Century Gothic" w:eastAsia="Century Gothic" w:hAnsi="Century Gothic" w:cs="Century Gothic"/>
        </w:rPr>
        <w:t>ón comunal, patrullas de policía comunitaria y otras instancias de apoyo local, debidamente capacitadas para activar rutas de atención y generar alertas preventivas.</w:t>
      </w:r>
    </w:p>
    <w:p w14:paraId="27E37208" w14:textId="77777777" w:rsidR="00AA5550" w:rsidRDefault="00045FF4">
      <w:pPr>
        <w:numPr>
          <w:ilvl w:val="0"/>
          <w:numId w:val="16"/>
        </w:numPr>
        <w:jc w:val="both"/>
        <w:rPr>
          <w:rFonts w:ascii="Century Gothic" w:eastAsia="Century Gothic" w:hAnsi="Century Gothic" w:cs="Century Gothic"/>
        </w:rPr>
      </w:pPr>
      <w:r>
        <w:rPr>
          <w:rFonts w:ascii="Century Gothic" w:eastAsia="Century Gothic" w:hAnsi="Century Gothic" w:cs="Century Gothic"/>
          <w:b/>
        </w:rPr>
        <w:t>Mapas comunitarios de riesgos y oportunidades</w:t>
      </w:r>
      <w:r>
        <w:rPr>
          <w:rFonts w:ascii="Century Gothic" w:eastAsia="Century Gothic" w:hAnsi="Century Gothic" w:cs="Century Gothic"/>
        </w:rPr>
        <w:t>, construidos participativamente y actualizad</w:t>
      </w:r>
      <w:r>
        <w:rPr>
          <w:rFonts w:ascii="Century Gothic" w:eastAsia="Century Gothic" w:hAnsi="Century Gothic" w:cs="Century Gothic"/>
        </w:rPr>
        <w:t>os de forma periódica, que identifiquen zonas críticas, factores de riesgo estructural, rutas inseguras, puntos de alta conflictividad y posibles soluciones desde el entorno, integrando saberes técnicos y locales.</w:t>
      </w:r>
    </w:p>
    <w:p w14:paraId="5B9A5E8B" w14:textId="77777777" w:rsidR="00AA5550" w:rsidRDefault="00045FF4">
      <w:pPr>
        <w:numPr>
          <w:ilvl w:val="0"/>
          <w:numId w:val="16"/>
        </w:numPr>
        <w:spacing w:after="240"/>
        <w:jc w:val="both"/>
        <w:rPr>
          <w:rFonts w:ascii="Century Gothic" w:eastAsia="Century Gothic" w:hAnsi="Century Gothic" w:cs="Century Gothic"/>
        </w:rPr>
      </w:pPr>
      <w:r>
        <w:rPr>
          <w:rFonts w:ascii="Century Gothic" w:eastAsia="Century Gothic" w:hAnsi="Century Gothic" w:cs="Century Gothic"/>
          <w:b/>
        </w:rPr>
        <w:t>Sistemas de seguimiento y evaluación local</w:t>
      </w:r>
      <w:r>
        <w:rPr>
          <w:rFonts w:ascii="Century Gothic" w:eastAsia="Century Gothic" w:hAnsi="Century Gothic" w:cs="Century Gothic"/>
        </w:rPr>
        <w:t>, que documenten las acciones desarrolladas, midan su efectividad y generen insumos para la toma de decisiones territoriales, garantizando transparencia, trazabilidad y rendición de cuentas a la comunidad.</w:t>
      </w:r>
    </w:p>
    <w:p w14:paraId="4C29D8D5" w14:textId="77777777" w:rsidR="00AA5550" w:rsidRDefault="00045FF4">
      <w:pPr>
        <w:spacing w:before="240" w:after="240"/>
        <w:jc w:val="both"/>
        <w:rPr>
          <w:rFonts w:ascii="Century Gothic" w:eastAsia="Century Gothic" w:hAnsi="Century Gothic" w:cs="Century Gothic"/>
          <w:b/>
        </w:rPr>
      </w:pPr>
      <w:r>
        <w:rPr>
          <w:rFonts w:ascii="Century Gothic" w:eastAsia="Century Gothic" w:hAnsi="Century Gothic" w:cs="Century Gothic"/>
          <w:b/>
        </w:rPr>
        <w:t>Parágrafo.</w:t>
      </w:r>
      <w:r>
        <w:rPr>
          <w:rFonts w:ascii="Century Gothic" w:eastAsia="Century Gothic" w:hAnsi="Century Gothic" w:cs="Century Gothic"/>
        </w:rPr>
        <w:t xml:space="preserve"> El funcionamiento de estos mecanismos n</w:t>
      </w:r>
      <w:r>
        <w:rPr>
          <w:rFonts w:ascii="Century Gothic" w:eastAsia="Century Gothic" w:hAnsi="Century Gothic" w:cs="Century Gothic"/>
        </w:rPr>
        <w:t>o implicará la creación de nuevas entidades, sino la articulación efectiva entre las existentes, el fortalecimiento de capacidades locales y el uso de tecnologías apropiadas al contexto territorial. Las niñas, niños, adolescentes y mujeres deberán particip</w:t>
      </w:r>
      <w:r>
        <w:rPr>
          <w:rFonts w:ascii="Century Gothic" w:eastAsia="Century Gothic" w:hAnsi="Century Gothic" w:cs="Century Gothic"/>
        </w:rPr>
        <w:t>ar en todas las fases de diseño, implementación y seguimiento, con garantías de escucha efectiva, representatividad y protección frente a eventuales represalias.</w:t>
      </w:r>
    </w:p>
    <w:p w14:paraId="7C703127" w14:textId="77777777" w:rsidR="00AA5550" w:rsidRDefault="00045FF4">
      <w:pPr>
        <w:jc w:val="center"/>
        <w:rPr>
          <w:rFonts w:ascii="Century Gothic" w:eastAsia="Century Gothic" w:hAnsi="Century Gothic" w:cs="Century Gothic"/>
          <w:b/>
        </w:rPr>
      </w:pPr>
      <w:r>
        <w:rPr>
          <w:rFonts w:ascii="Century Gothic" w:eastAsia="Century Gothic" w:hAnsi="Century Gothic" w:cs="Century Gothic"/>
          <w:b/>
        </w:rPr>
        <w:t xml:space="preserve">Capítulo V. </w:t>
      </w:r>
      <w:r>
        <w:rPr>
          <w:rFonts w:ascii="Century Gothic" w:eastAsia="Century Gothic" w:hAnsi="Century Gothic" w:cs="Century Gothic"/>
          <w:b/>
        </w:rPr>
        <w:br/>
        <w:t>Planeación, presupuesto y sostenibilidad</w:t>
      </w:r>
    </w:p>
    <w:p w14:paraId="771A93D6"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b/>
        </w:rPr>
        <w:t>Artículo 16. Integración en los planes d</w:t>
      </w:r>
      <w:r>
        <w:rPr>
          <w:rFonts w:ascii="Century Gothic" w:eastAsia="Century Gothic" w:hAnsi="Century Gothic" w:cs="Century Gothic"/>
          <w:b/>
        </w:rPr>
        <w:t xml:space="preserve">e desarrollo territorial. </w:t>
      </w:r>
      <w:r>
        <w:rPr>
          <w:rFonts w:ascii="Century Gothic" w:eastAsia="Century Gothic" w:hAnsi="Century Gothic" w:cs="Century Gothic"/>
        </w:rPr>
        <w:t>Los departamentos, distritos y municipios deberán incorporar en sus respectivos planes de desarrollo, planes de ordenamiento territorial (POT), planes integrales de seguridad y convivencia ciudadana, y demás instrumentos de planif</w:t>
      </w:r>
      <w:r>
        <w:rPr>
          <w:rFonts w:ascii="Century Gothic" w:eastAsia="Century Gothic" w:hAnsi="Century Gothic" w:cs="Century Gothic"/>
        </w:rPr>
        <w:t>icación, las estrategias, programas y acciones necesarias para garantizar la implementación de la presente ley, conforme al diagnóstico territorial de riesgos y exclusión previsto en el artículo 7 de esta ley.</w:t>
      </w:r>
    </w:p>
    <w:p w14:paraId="51A65D85"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 inclusión de estas acciones deberá ser cohe</w:t>
      </w:r>
      <w:r>
        <w:rPr>
          <w:rFonts w:ascii="Century Gothic" w:eastAsia="Century Gothic" w:hAnsi="Century Gothic" w:cs="Century Gothic"/>
        </w:rPr>
        <w:t>rente con los objetivos del plan nacional de desarrollo, las políticas públicas de infancia, género, equidad territorial, derechos humanos y seguridad ciudadana.</w:t>
      </w:r>
    </w:p>
    <w:p w14:paraId="765E9CFE"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b/>
        </w:rPr>
        <w:lastRenderedPageBreak/>
        <w:t xml:space="preserve">Artículo 17. Priorización en el gasto público territorial sin creación de nuevas partidas. </w:t>
      </w:r>
      <w:r>
        <w:rPr>
          <w:rFonts w:ascii="Century Gothic" w:eastAsia="Century Gothic" w:hAnsi="Century Gothic" w:cs="Century Gothic"/>
        </w:rPr>
        <w:t>Par</w:t>
      </w:r>
      <w:r>
        <w:rPr>
          <w:rFonts w:ascii="Century Gothic" w:eastAsia="Century Gothic" w:hAnsi="Century Gothic" w:cs="Century Gothic"/>
        </w:rPr>
        <w:t>a efectos de implementación de esta ley, las autoridades territoriales deberán destinar recursos del presupuesto ordinario, priorizando el gasto social en cumplimiento de los principios establecidos en el artículo 366 de la Constitución Política.</w:t>
      </w:r>
    </w:p>
    <w:p w14:paraId="26B9A8C5"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 ejecuc</w:t>
      </w:r>
      <w:r>
        <w:rPr>
          <w:rFonts w:ascii="Century Gothic" w:eastAsia="Century Gothic" w:hAnsi="Century Gothic" w:cs="Century Gothic"/>
        </w:rPr>
        <w:t>ión de las acciones previstas no implicará la creación de nuevas partidas presupuestales, ni estructuras institucionales adicionales, sino el uso eficiente, articulado y focalizado de los recursos disponibles en sectores como educación, salud, infraestruct</w:t>
      </w:r>
      <w:r>
        <w:rPr>
          <w:rFonts w:ascii="Century Gothic" w:eastAsia="Century Gothic" w:hAnsi="Century Gothic" w:cs="Century Gothic"/>
        </w:rPr>
        <w:t>ura, justicia, seguridad, cultura y desarrollo social.</w:t>
      </w:r>
    </w:p>
    <w:p w14:paraId="3B8C6801"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El Ministerio de Hacienda y Crédito Público, el Departamento Nacional de Planeación y los órganos de control deberán verificar que el cumplimiento de esta ley se enmarque dentro de la sostenibilidad fi</w:t>
      </w:r>
      <w:r>
        <w:rPr>
          <w:rFonts w:ascii="Century Gothic" w:eastAsia="Century Gothic" w:hAnsi="Century Gothic" w:cs="Century Gothic"/>
        </w:rPr>
        <w:t>scal y la eficiencia del gasto público.</w:t>
      </w:r>
    </w:p>
    <w:p w14:paraId="65CF0240" w14:textId="2B1F809E"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b/>
        </w:rPr>
        <w:t>Artículo 18. Incentivos a la gestión local eficaz.</w:t>
      </w:r>
      <w:r>
        <w:rPr>
          <w:rFonts w:ascii="Century Gothic" w:eastAsia="Century Gothic" w:hAnsi="Century Gothic" w:cs="Century Gothic"/>
        </w:rPr>
        <w:t xml:space="preserve"> El Gobierno nacional podrá establecer mecanismos de reconocimiento, asistencia técnica o incentivos no fiscales para las entidades territoriales que:</w:t>
      </w:r>
    </w:p>
    <w:p w14:paraId="0E2A278A" w14:textId="4323A3F0" w:rsidR="00AA5550" w:rsidRDefault="00045FF4" w:rsidP="00C00F1B">
      <w:pPr>
        <w:numPr>
          <w:ilvl w:val="0"/>
          <w:numId w:val="19"/>
        </w:numPr>
        <w:spacing w:before="240"/>
        <w:jc w:val="both"/>
        <w:rPr>
          <w:rFonts w:ascii="Century Gothic" w:eastAsia="Century Gothic" w:hAnsi="Century Gothic" w:cs="Century Gothic"/>
        </w:rPr>
      </w:pPr>
      <w:r>
        <w:rPr>
          <w:rFonts w:ascii="Century Gothic" w:eastAsia="Century Gothic" w:hAnsi="Century Gothic" w:cs="Century Gothic"/>
        </w:rPr>
        <w:t>Implementen d</w:t>
      </w:r>
      <w:r>
        <w:rPr>
          <w:rFonts w:ascii="Century Gothic" w:eastAsia="Century Gothic" w:hAnsi="Century Gothic" w:cs="Century Gothic"/>
        </w:rPr>
        <w:t>e manera efectiva los planes territoriales de entornos seguros;</w:t>
      </w:r>
    </w:p>
    <w:p w14:paraId="49551211" w14:textId="77777777" w:rsidR="00C00F1B" w:rsidRPr="00C00F1B" w:rsidRDefault="00C00F1B" w:rsidP="00C00F1B">
      <w:pPr>
        <w:spacing w:before="240"/>
        <w:jc w:val="both"/>
        <w:rPr>
          <w:rFonts w:ascii="Century Gothic" w:eastAsia="Century Gothic" w:hAnsi="Century Gothic" w:cs="Century Gothic"/>
        </w:rPr>
      </w:pPr>
    </w:p>
    <w:p w14:paraId="023BA2A4" w14:textId="77777777" w:rsidR="00AA5550" w:rsidRDefault="00045FF4">
      <w:pPr>
        <w:numPr>
          <w:ilvl w:val="0"/>
          <w:numId w:val="19"/>
        </w:numPr>
        <w:jc w:val="both"/>
        <w:rPr>
          <w:rFonts w:ascii="Century Gothic" w:eastAsia="Century Gothic" w:hAnsi="Century Gothic" w:cs="Century Gothic"/>
        </w:rPr>
      </w:pPr>
      <w:r>
        <w:rPr>
          <w:rFonts w:ascii="Century Gothic" w:eastAsia="Century Gothic" w:hAnsi="Century Gothic" w:cs="Century Gothic"/>
        </w:rPr>
        <w:t>Alcancen mejoras sostenidas en los indicadores de seguridad, convivencia, participación comunitaria y bienestar de mujeres, niñas, niños y adolescentes;</w:t>
      </w:r>
    </w:p>
    <w:p w14:paraId="44DB2852" w14:textId="77777777" w:rsidR="00AA5550" w:rsidRDefault="00AA5550">
      <w:pPr>
        <w:ind w:left="720"/>
        <w:jc w:val="both"/>
        <w:rPr>
          <w:rFonts w:ascii="Century Gothic" w:eastAsia="Century Gothic" w:hAnsi="Century Gothic" w:cs="Century Gothic"/>
        </w:rPr>
      </w:pPr>
    </w:p>
    <w:p w14:paraId="26A6BB38" w14:textId="77777777" w:rsidR="00AA5550" w:rsidRDefault="00045FF4">
      <w:pPr>
        <w:numPr>
          <w:ilvl w:val="0"/>
          <w:numId w:val="19"/>
        </w:numPr>
        <w:spacing w:after="240"/>
        <w:jc w:val="both"/>
        <w:rPr>
          <w:rFonts w:ascii="Century Gothic" w:eastAsia="Century Gothic" w:hAnsi="Century Gothic" w:cs="Century Gothic"/>
        </w:rPr>
      </w:pPr>
      <w:r>
        <w:rPr>
          <w:rFonts w:ascii="Century Gothic" w:eastAsia="Century Gothic" w:hAnsi="Century Gothic" w:cs="Century Gothic"/>
        </w:rPr>
        <w:t>Promuevan innovaciones en la transformación de entornos inseguros con enfoque territorial, de género y de curso de vida.</w:t>
      </w:r>
    </w:p>
    <w:p w14:paraId="65690D43"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Estos incentivos podrán incluir acceso preferente a convocatorias de cofinanciación, líneas de inversión prioritaria en programas inter</w:t>
      </w:r>
      <w:r>
        <w:rPr>
          <w:rFonts w:ascii="Century Gothic" w:eastAsia="Century Gothic" w:hAnsi="Century Gothic" w:cs="Century Gothic"/>
        </w:rPr>
        <w:t>sectoriales y asistencia técnica del orden nacional.</w:t>
      </w:r>
    </w:p>
    <w:p w14:paraId="0A2EACD8"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b/>
        </w:rPr>
        <w:t>Artículo 19. Evaluación participativa y rendición de cuentas.</w:t>
      </w:r>
      <w:r>
        <w:rPr>
          <w:rFonts w:ascii="Century Gothic" w:eastAsia="Century Gothic" w:hAnsi="Century Gothic" w:cs="Century Gothic"/>
        </w:rPr>
        <w:t xml:space="preserve"> Las autoridades nacionales y territoriales deberán establecer mecanismos periódicos y participativos de seguimiento, evaluación y rendición d</w:t>
      </w:r>
      <w:r>
        <w:rPr>
          <w:rFonts w:ascii="Century Gothic" w:eastAsia="Century Gothic" w:hAnsi="Century Gothic" w:cs="Century Gothic"/>
        </w:rPr>
        <w:t>e cuentas sobre la implementación de las medidas previstas en la presente ley.</w:t>
      </w:r>
    </w:p>
    <w:p w14:paraId="3BA9845B"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Dichos mecanismos deberán:</w:t>
      </w:r>
    </w:p>
    <w:p w14:paraId="71475F23" w14:textId="77777777" w:rsidR="00AA5550" w:rsidRDefault="00045FF4">
      <w:pPr>
        <w:numPr>
          <w:ilvl w:val="0"/>
          <w:numId w:val="11"/>
        </w:numPr>
        <w:spacing w:before="240"/>
        <w:jc w:val="both"/>
        <w:rPr>
          <w:rFonts w:ascii="Century Gothic" w:eastAsia="Century Gothic" w:hAnsi="Century Gothic" w:cs="Century Gothic"/>
        </w:rPr>
      </w:pPr>
      <w:r>
        <w:rPr>
          <w:rFonts w:ascii="Century Gothic" w:eastAsia="Century Gothic" w:hAnsi="Century Gothic" w:cs="Century Gothic"/>
        </w:rPr>
        <w:t>Recoger información cualitativa y cuantitativa sobre el impacto de las intervenciones.</w:t>
      </w:r>
    </w:p>
    <w:p w14:paraId="5A19B7E0" w14:textId="77777777" w:rsidR="00AA5550" w:rsidRDefault="00045FF4">
      <w:pPr>
        <w:numPr>
          <w:ilvl w:val="0"/>
          <w:numId w:val="11"/>
        </w:numPr>
        <w:jc w:val="both"/>
        <w:rPr>
          <w:rFonts w:ascii="Century Gothic" w:eastAsia="Century Gothic" w:hAnsi="Century Gothic" w:cs="Century Gothic"/>
        </w:rPr>
      </w:pPr>
      <w:r>
        <w:rPr>
          <w:rFonts w:ascii="Century Gothic" w:eastAsia="Century Gothic" w:hAnsi="Century Gothic" w:cs="Century Gothic"/>
        </w:rPr>
        <w:t>Incluir espacios deliberativos con participación activa de muje</w:t>
      </w:r>
      <w:r>
        <w:rPr>
          <w:rFonts w:ascii="Century Gothic" w:eastAsia="Century Gothic" w:hAnsi="Century Gothic" w:cs="Century Gothic"/>
        </w:rPr>
        <w:t>res, niñas, niños, adolescentes, organizaciones sociales, comunidades y actores locales.</w:t>
      </w:r>
    </w:p>
    <w:p w14:paraId="27AFF773" w14:textId="77777777" w:rsidR="00AA5550" w:rsidRDefault="00045FF4">
      <w:pPr>
        <w:numPr>
          <w:ilvl w:val="0"/>
          <w:numId w:val="11"/>
        </w:numPr>
        <w:jc w:val="both"/>
        <w:rPr>
          <w:rFonts w:ascii="Century Gothic" w:eastAsia="Century Gothic" w:hAnsi="Century Gothic" w:cs="Century Gothic"/>
        </w:rPr>
      </w:pPr>
      <w:r>
        <w:rPr>
          <w:rFonts w:ascii="Century Gothic" w:eastAsia="Century Gothic" w:hAnsi="Century Gothic" w:cs="Century Gothic"/>
        </w:rPr>
        <w:lastRenderedPageBreak/>
        <w:t>Publicar de manera accesible los avances, resultados y ajustes realizados.</w:t>
      </w:r>
    </w:p>
    <w:p w14:paraId="24B4BFE9" w14:textId="77777777" w:rsidR="00AA5550" w:rsidRDefault="00045FF4">
      <w:pPr>
        <w:numPr>
          <w:ilvl w:val="0"/>
          <w:numId w:val="11"/>
        </w:numPr>
        <w:spacing w:after="240"/>
        <w:jc w:val="both"/>
        <w:rPr>
          <w:rFonts w:ascii="Century Gothic" w:eastAsia="Century Gothic" w:hAnsi="Century Gothic" w:cs="Century Gothic"/>
        </w:rPr>
      </w:pPr>
      <w:r>
        <w:rPr>
          <w:rFonts w:ascii="Century Gothic" w:eastAsia="Century Gothic" w:hAnsi="Century Gothic" w:cs="Century Gothic"/>
        </w:rPr>
        <w:t>Garantizar auditoría social, control ciudadano y acompañamiento de los órganos de control co</w:t>
      </w:r>
      <w:r>
        <w:rPr>
          <w:rFonts w:ascii="Century Gothic" w:eastAsia="Century Gothic" w:hAnsi="Century Gothic" w:cs="Century Gothic"/>
        </w:rPr>
        <w:t>mpetentes.</w:t>
      </w:r>
    </w:p>
    <w:p w14:paraId="45330BE9" w14:textId="77777777" w:rsidR="00AA5550" w:rsidRDefault="00045FF4">
      <w:pPr>
        <w:jc w:val="center"/>
        <w:rPr>
          <w:rFonts w:ascii="Century Gothic" w:eastAsia="Century Gothic" w:hAnsi="Century Gothic" w:cs="Century Gothic"/>
          <w:b/>
        </w:rPr>
      </w:pPr>
      <w:r>
        <w:rPr>
          <w:rFonts w:ascii="Century Gothic" w:eastAsia="Century Gothic" w:hAnsi="Century Gothic" w:cs="Century Gothic"/>
          <w:b/>
        </w:rPr>
        <w:t xml:space="preserve">Capítulo VI. </w:t>
      </w:r>
      <w:r>
        <w:rPr>
          <w:rFonts w:ascii="Century Gothic" w:eastAsia="Century Gothic" w:hAnsi="Century Gothic" w:cs="Century Gothic"/>
          <w:b/>
        </w:rPr>
        <w:br/>
        <w:t>Disposiciones finales</w:t>
      </w:r>
    </w:p>
    <w:p w14:paraId="525CC14F"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b/>
        </w:rPr>
        <w:t xml:space="preserve">Artículo 20. Vigencia y derogatorias. </w:t>
      </w:r>
      <w:r>
        <w:rPr>
          <w:rFonts w:ascii="Century Gothic" w:eastAsia="Century Gothic" w:hAnsi="Century Gothic" w:cs="Century Gothic"/>
        </w:rPr>
        <w:t>La presente ley rige a partir de su promulgación y deroga todas las disposiciones que le sean contrarias.</w:t>
      </w:r>
    </w:p>
    <w:p w14:paraId="4B70E178"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Las disposiciones contenidas en esta ley deberán ser reglamentada</w:t>
      </w:r>
      <w:r>
        <w:rPr>
          <w:rFonts w:ascii="Century Gothic" w:eastAsia="Century Gothic" w:hAnsi="Century Gothic" w:cs="Century Gothic"/>
        </w:rPr>
        <w:t xml:space="preserve">s por el Gobierno nacional en un plazo máximo de seis (6) meses contados a partir de su entrada en vigencia, sin perjuicio de su aplicación directa por parte de las autoridades territoriales conforme a sus competencias. </w:t>
      </w:r>
    </w:p>
    <w:p w14:paraId="44869667"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De los honorables congresistas, </w:t>
      </w:r>
    </w:p>
    <w:p w14:paraId="7A44D723" w14:textId="77777777" w:rsidR="00AA5550" w:rsidRDefault="00045FF4">
      <w:pPr>
        <w:spacing w:before="240" w:after="240"/>
        <w:jc w:val="both"/>
        <w:rPr>
          <w:rFonts w:ascii="Century Gothic" w:eastAsia="Century Gothic" w:hAnsi="Century Gothic" w:cs="Century Gothic"/>
          <w:b/>
        </w:rPr>
      </w:pPr>
      <w:r>
        <w:rPr>
          <w:rFonts w:ascii="Century Gothic" w:eastAsia="Century Gothic" w:hAnsi="Century Gothic" w:cs="Century Gothic"/>
        </w:rPr>
        <w:t>lo</w:t>
      </w:r>
      <w:r>
        <w:rPr>
          <w:rFonts w:ascii="Century Gothic" w:eastAsia="Century Gothic" w:hAnsi="Century Gothic" w:cs="Century Gothic"/>
        </w:rPr>
        <w:t xml:space="preserve">s honorables congresistas, </w:t>
      </w:r>
    </w:p>
    <w:tbl>
      <w:tblPr>
        <w:tblStyle w:val="a4"/>
        <w:tblW w:w="94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25"/>
        <w:gridCol w:w="5040"/>
      </w:tblGrid>
      <w:tr w:rsidR="00AA5550" w14:paraId="2CC8FC63" w14:textId="77777777">
        <w:trPr>
          <w:trHeight w:val="1590"/>
        </w:trPr>
        <w:tc>
          <w:tcPr>
            <w:tcW w:w="4425" w:type="dxa"/>
            <w:tcBorders>
              <w:top w:val="single" w:sz="5" w:space="0" w:color="A6A6A6"/>
              <w:left w:val="single" w:sz="5" w:space="0" w:color="A6A6A6"/>
              <w:bottom w:val="single" w:sz="5" w:space="0" w:color="A6A6A6"/>
              <w:right w:val="single" w:sz="5" w:space="0" w:color="A6A6A6"/>
            </w:tcBorders>
            <w:tcMar>
              <w:top w:w="0" w:type="dxa"/>
              <w:left w:w="100" w:type="dxa"/>
              <w:bottom w:w="0" w:type="dxa"/>
              <w:right w:w="100" w:type="dxa"/>
            </w:tcMar>
          </w:tcPr>
          <w:p w14:paraId="3DFE653B" w14:textId="77777777" w:rsidR="00AA5550" w:rsidRDefault="00AA5550">
            <w:pPr>
              <w:rPr>
                <w:rFonts w:ascii="Century Gothic" w:eastAsia="Century Gothic" w:hAnsi="Century Gothic" w:cs="Century Gothic"/>
                <w:b/>
                <w:sz w:val="20"/>
                <w:szCs w:val="20"/>
              </w:rPr>
            </w:pPr>
          </w:p>
          <w:p w14:paraId="637E6AAA" w14:textId="77777777" w:rsidR="00AA5550" w:rsidRDefault="00045FF4">
            <w:pPr>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225F39BE" wp14:editId="3A36F5A8">
                  <wp:extent cx="1547813" cy="809995"/>
                  <wp:effectExtent l="0" t="0" r="0" b="0"/>
                  <wp:docPr id="4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1547813" cy="809995"/>
                          </a:xfrm>
                          <a:prstGeom prst="rect">
                            <a:avLst/>
                          </a:prstGeom>
                          <a:ln/>
                        </pic:spPr>
                      </pic:pic>
                    </a:graphicData>
                  </a:graphic>
                </wp:inline>
              </w:drawing>
            </w:r>
          </w:p>
          <w:p w14:paraId="03CEDA9F" w14:textId="77777777" w:rsidR="00AA5550" w:rsidRDefault="00045FF4">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JEZMI LIZETH BARRAZA ARRAUT</w:t>
            </w:r>
          </w:p>
          <w:p w14:paraId="31A5B797" w14:textId="77777777" w:rsidR="00AA5550" w:rsidRDefault="00045FF4">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Representante a la Cámara </w:t>
            </w:r>
          </w:p>
          <w:p w14:paraId="3D80EDAD" w14:textId="77777777" w:rsidR="00AA5550" w:rsidRDefault="00045FF4">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Departamento del Atlántico</w:t>
            </w:r>
          </w:p>
        </w:tc>
        <w:tc>
          <w:tcPr>
            <w:tcW w:w="5040" w:type="dxa"/>
            <w:tcBorders>
              <w:top w:val="single" w:sz="5" w:space="0" w:color="A6A6A6"/>
              <w:left w:val="nil"/>
              <w:bottom w:val="single" w:sz="5" w:space="0" w:color="A6A6A6"/>
              <w:right w:val="single" w:sz="5" w:space="0" w:color="A6A6A6"/>
            </w:tcBorders>
            <w:tcMar>
              <w:top w:w="0" w:type="dxa"/>
              <w:left w:w="100" w:type="dxa"/>
              <w:bottom w:w="0" w:type="dxa"/>
              <w:right w:w="100" w:type="dxa"/>
            </w:tcMar>
          </w:tcPr>
          <w:p w14:paraId="162AED2D" w14:textId="77777777" w:rsidR="00AA5550" w:rsidRDefault="00AA5550">
            <w:pPr>
              <w:widowControl w:val="0"/>
              <w:spacing w:line="240" w:lineRule="auto"/>
              <w:rPr>
                <w:rFonts w:ascii="Times New Roman" w:eastAsia="Times New Roman" w:hAnsi="Times New Roman" w:cs="Times New Roman"/>
                <w:sz w:val="24"/>
                <w:szCs w:val="24"/>
              </w:rPr>
            </w:pPr>
          </w:p>
          <w:p w14:paraId="07D99D56" w14:textId="77777777" w:rsidR="00AA5550" w:rsidRDefault="00045FF4">
            <w:pPr>
              <w:widowControl w:val="0"/>
              <w:spacing w:line="240" w:lineRule="auto"/>
              <w:jc w:val="center"/>
              <w:rPr>
                <w:sz w:val="24"/>
                <w:szCs w:val="24"/>
              </w:rPr>
            </w:pPr>
            <w:r>
              <w:rPr>
                <w:rFonts w:ascii="Times New Roman" w:eastAsia="Times New Roman" w:hAnsi="Times New Roman" w:cs="Times New Roman"/>
                <w:noProof/>
                <w:sz w:val="24"/>
                <w:szCs w:val="24"/>
              </w:rPr>
              <w:drawing>
                <wp:inline distT="114300" distB="114300" distL="114300" distR="114300" wp14:anchorId="697AFA62" wp14:editId="2DE45EF7">
                  <wp:extent cx="1975803" cy="588815"/>
                  <wp:effectExtent l="0" t="0" r="0" b="0"/>
                  <wp:docPr id="52"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9"/>
                          <a:srcRect/>
                          <a:stretch>
                            <a:fillRect/>
                          </a:stretch>
                        </pic:blipFill>
                        <pic:spPr>
                          <a:xfrm>
                            <a:off x="0" y="0"/>
                            <a:ext cx="1975803" cy="588815"/>
                          </a:xfrm>
                          <a:prstGeom prst="rect">
                            <a:avLst/>
                          </a:prstGeom>
                          <a:ln/>
                        </pic:spPr>
                      </pic:pic>
                    </a:graphicData>
                  </a:graphic>
                </wp:inline>
              </w:drawing>
            </w:r>
          </w:p>
          <w:p w14:paraId="42759262" w14:textId="77777777" w:rsidR="00AA5550" w:rsidRDefault="00045FF4">
            <w:pPr>
              <w:widowControl w:val="0"/>
              <w:spacing w:line="240" w:lineRule="auto"/>
              <w:jc w:val="center"/>
              <w:rPr>
                <w:b/>
                <w:sz w:val="24"/>
                <w:szCs w:val="24"/>
              </w:rPr>
            </w:pPr>
            <w:r>
              <w:rPr>
                <w:b/>
                <w:sz w:val="24"/>
                <w:szCs w:val="24"/>
              </w:rPr>
              <w:t xml:space="preserve">INGRID JOHANA AGUIRRE JUVINAO </w:t>
            </w:r>
          </w:p>
          <w:p w14:paraId="337D7E89" w14:textId="77777777" w:rsidR="00AA5550" w:rsidRDefault="00045FF4">
            <w:pPr>
              <w:widowControl w:val="0"/>
              <w:spacing w:line="240" w:lineRule="auto"/>
              <w:jc w:val="center"/>
              <w:rPr>
                <w:sz w:val="24"/>
                <w:szCs w:val="24"/>
              </w:rPr>
            </w:pPr>
            <w:r>
              <w:rPr>
                <w:sz w:val="24"/>
                <w:szCs w:val="24"/>
              </w:rPr>
              <w:t xml:space="preserve">Representante a la Cámara </w:t>
            </w:r>
          </w:p>
          <w:p w14:paraId="706C2BCD" w14:textId="77777777" w:rsidR="00AA5550" w:rsidRDefault="00045FF4">
            <w:pPr>
              <w:widowControl w:val="0"/>
              <w:spacing w:line="240" w:lineRule="auto"/>
              <w:jc w:val="center"/>
              <w:rPr>
                <w:sz w:val="24"/>
                <w:szCs w:val="24"/>
              </w:rPr>
            </w:pPr>
            <w:r>
              <w:rPr>
                <w:sz w:val="24"/>
                <w:szCs w:val="24"/>
              </w:rPr>
              <w:t xml:space="preserve">Departamento del Magdalena </w:t>
            </w:r>
          </w:p>
          <w:p w14:paraId="00D9561B" w14:textId="77777777" w:rsidR="00AA5550" w:rsidRDefault="00045FF4">
            <w:pPr>
              <w:widowControl w:val="0"/>
              <w:spacing w:line="240" w:lineRule="auto"/>
              <w:jc w:val="center"/>
              <w:rPr>
                <w:rFonts w:ascii="Century Gothic" w:eastAsia="Century Gothic" w:hAnsi="Century Gothic" w:cs="Century Gothic"/>
                <w:b/>
                <w:sz w:val="20"/>
                <w:szCs w:val="20"/>
              </w:rPr>
            </w:pPr>
            <w:r>
              <w:rPr>
                <w:sz w:val="24"/>
                <w:szCs w:val="24"/>
              </w:rPr>
              <w:t>Fuerza Ciudadana</w:t>
            </w:r>
          </w:p>
        </w:tc>
      </w:tr>
      <w:tr w:rsidR="00AA5550" w14:paraId="4DAB5363" w14:textId="77777777">
        <w:trPr>
          <w:trHeight w:val="1590"/>
        </w:trPr>
        <w:tc>
          <w:tcPr>
            <w:tcW w:w="4425" w:type="dxa"/>
            <w:tcBorders>
              <w:top w:val="single" w:sz="5" w:space="0" w:color="A6A6A6"/>
              <w:left w:val="single" w:sz="5" w:space="0" w:color="A6A6A6"/>
              <w:bottom w:val="single" w:sz="5" w:space="0" w:color="A6A6A6"/>
              <w:right w:val="single" w:sz="5" w:space="0" w:color="A6A6A6"/>
            </w:tcBorders>
            <w:tcMar>
              <w:top w:w="0" w:type="dxa"/>
              <w:left w:w="100" w:type="dxa"/>
              <w:bottom w:w="0" w:type="dxa"/>
              <w:right w:w="100" w:type="dxa"/>
            </w:tcMar>
          </w:tcPr>
          <w:p w14:paraId="35872CBF" w14:textId="77777777" w:rsidR="00AA5550" w:rsidRDefault="00045FF4">
            <w:pPr>
              <w:widowControl w:val="0"/>
              <w:spacing w:before="240" w:after="240" w:line="240" w:lineRule="auto"/>
              <w:jc w:val="center"/>
              <w:rPr>
                <w:b/>
              </w:rPr>
            </w:pPr>
            <w:r>
              <w:rPr>
                <w:b/>
                <w:noProof/>
              </w:rPr>
              <w:drawing>
                <wp:inline distT="114300" distB="114300" distL="114300" distR="114300" wp14:anchorId="2D1BE9A5" wp14:editId="22DF3676">
                  <wp:extent cx="1631142" cy="507091"/>
                  <wp:effectExtent l="0" t="0" r="0" b="0"/>
                  <wp:docPr id="2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1631142" cy="507091"/>
                          </a:xfrm>
                          <a:prstGeom prst="rect">
                            <a:avLst/>
                          </a:prstGeom>
                          <a:ln/>
                        </pic:spPr>
                      </pic:pic>
                    </a:graphicData>
                  </a:graphic>
                </wp:inline>
              </w:drawing>
            </w:r>
            <w:r>
              <w:rPr>
                <w:b/>
              </w:rPr>
              <w:t xml:space="preserve"> </w:t>
            </w:r>
          </w:p>
          <w:p w14:paraId="1DCC6502" w14:textId="77777777" w:rsidR="00AA5550" w:rsidRDefault="00045FF4">
            <w:pPr>
              <w:widowControl w:val="0"/>
              <w:spacing w:line="240" w:lineRule="auto"/>
              <w:jc w:val="center"/>
              <w:rPr>
                <w:b/>
                <w:sz w:val="20"/>
                <w:szCs w:val="20"/>
              </w:rPr>
            </w:pPr>
            <w:r>
              <w:rPr>
                <w:b/>
                <w:sz w:val="20"/>
                <w:szCs w:val="20"/>
              </w:rPr>
              <w:t>HÉCTOR DAVID CHAPARRO</w:t>
            </w:r>
          </w:p>
          <w:p w14:paraId="454BAFC7" w14:textId="77777777" w:rsidR="00AA5550" w:rsidRDefault="00045FF4">
            <w:pPr>
              <w:widowControl w:val="0"/>
              <w:spacing w:line="240" w:lineRule="auto"/>
              <w:jc w:val="center"/>
              <w:rPr>
                <w:b/>
                <w:sz w:val="20"/>
                <w:szCs w:val="20"/>
              </w:rPr>
            </w:pPr>
            <w:r>
              <w:rPr>
                <w:b/>
                <w:sz w:val="20"/>
                <w:szCs w:val="20"/>
              </w:rPr>
              <w:t>Representante a la Cámara</w:t>
            </w:r>
          </w:p>
          <w:p w14:paraId="03A34C06" w14:textId="77777777" w:rsidR="00AA5550" w:rsidRDefault="00045FF4">
            <w:pPr>
              <w:widowControl w:val="0"/>
              <w:spacing w:line="240" w:lineRule="auto"/>
              <w:jc w:val="center"/>
              <w:rPr>
                <w:rFonts w:ascii="Century Gothic" w:eastAsia="Century Gothic" w:hAnsi="Century Gothic" w:cs="Century Gothic"/>
                <w:b/>
                <w:sz w:val="18"/>
                <w:szCs w:val="18"/>
              </w:rPr>
            </w:pPr>
            <w:r>
              <w:rPr>
                <w:b/>
                <w:sz w:val="20"/>
                <w:szCs w:val="20"/>
              </w:rPr>
              <w:t>Partido Liberal</w:t>
            </w:r>
          </w:p>
        </w:tc>
        <w:tc>
          <w:tcPr>
            <w:tcW w:w="5040" w:type="dxa"/>
            <w:tcBorders>
              <w:top w:val="single" w:sz="5" w:space="0" w:color="A6A6A6"/>
              <w:left w:val="nil"/>
              <w:bottom w:val="single" w:sz="5" w:space="0" w:color="A6A6A6"/>
              <w:right w:val="single" w:sz="5" w:space="0" w:color="A6A6A6"/>
            </w:tcBorders>
            <w:tcMar>
              <w:top w:w="0" w:type="dxa"/>
              <w:left w:w="100" w:type="dxa"/>
              <w:bottom w:w="0" w:type="dxa"/>
              <w:right w:w="100" w:type="dxa"/>
            </w:tcMar>
          </w:tcPr>
          <w:p w14:paraId="2AA836C8"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68390656" wp14:editId="6EB4F74B">
                  <wp:extent cx="1552575" cy="838112"/>
                  <wp:effectExtent l="0" t="0" r="0" b="0"/>
                  <wp:docPr id="5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1"/>
                          <a:srcRect/>
                          <a:stretch>
                            <a:fillRect/>
                          </a:stretch>
                        </pic:blipFill>
                        <pic:spPr>
                          <a:xfrm>
                            <a:off x="0" y="0"/>
                            <a:ext cx="1552575" cy="838112"/>
                          </a:xfrm>
                          <a:prstGeom prst="rect">
                            <a:avLst/>
                          </a:prstGeom>
                          <a:ln/>
                        </pic:spPr>
                      </pic:pic>
                    </a:graphicData>
                  </a:graphic>
                </wp:inline>
              </w:drawing>
            </w:r>
          </w:p>
          <w:p w14:paraId="124A5DC4" w14:textId="77777777" w:rsidR="00AA5550" w:rsidRDefault="00045FF4">
            <w:pPr>
              <w:spacing w:before="240" w:after="24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JULIÁN PEINADO RAMÍREZ</w:t>
            </w:r>
          </w:p>
          <w:p w14:paraId="49FBEA24" w14:textId="77777777" w:rsidR="00AA5550" w:rsidRDefault="00045FF4">
            <w:pPr>
              <w:spacing w:before="240" w:after="24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Representante a la Cámara por Antioquia</w:t>
            </w:r>
          </w:p>
          <w:p w14:paraId="60523AEC" w14:textId="77777777" w:rsidR="00AA5550" w:rsidRDefault="00045FF4">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Partido Liberal</w:t>
            </w:r>
          </w:p>
        </w:tc>
      </w:tr>
      <w:tr w:rsidR="00AA5550" w14:paraId="2C2060A1" w14:textId="77777777">
        <w:trPr>
          <w:trHeight w:val="2819"/>
        </w:trPr>
        <w:tc>
          <w:tcPr>
            <w:tcW w:w="4425" w:type="dxa"/>
            <w:tcBorders>
              <w:top w:val="single" w:sz="5" w:space="0" w:color="A6A6A6"/>
              <w:left w:val="single" w:sz="5" w:space="0" w:color="A6A6A6"/>
              <w:bottom w:val="single" w:sz="5" w:space="0" w:color="A6A6A6"/>
              <w:right w:val="single" w:sz="5" w:space="0" w:color="A6A6A6"/>
            </w:tcBorders>
            <w:tcMar>
              <w:top w:w="0" w:type="dxa"/>
              <w:left w:w="100" w:type="dxa"/>
              <w:bottom w:w="0" w:type="dxa"/>
              <w:right w:w="100" w:type="dxa"/>
            </w:tcMar>
          </w:tcPr>
          <w:p w14:paraId="40AAED22" w14:textId="77777777" w:rsidR="00AA5550" w:rsidRDefault="00AA5550">
            <w:pPr>
              <w:jc w:val="center"/>
              <w:rPr>
                <w:rFonts w:ascii="Century Gothic" w:eastAsia="Century Gothic" w:hAnsi="Century Gothic" w:cs="Century Gothic"/>
                <w:b/>
                <w:sz w:val="20"/>
                <w:szCs w:val="20"/>
              </w:rPr>
            </w:pPr>
          </w:p>
          <w:p w14:paraId="785807F7" w14:textId="77777777" w:rsidR="00AA5550" w:rsidRDefault="00045FF4">
            <w:pPr>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2F7FE139" wp14:editId="57F00D9D">
                  <wp:extent cx="2571750" cy="1028700"/>
                  <wp:effectExtent l="0" t="0" r="0" b="0"/>
                  <wp:docPr id="1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2571750" cy="1028700"/>
                          </a:xfrm>
                          <a:prstGeom prst="rect">
                            <a:avLst/>
                          </a:prstGeom>
                          <a:ln/>
                        </pic:spPr>
                      </pic:pic>
                    </a:graphicData>
                  </a:graphic>
                </wp:inline>
              </w:drawing>
            </w:r>
          </w:p>
          <w:p w14:paraId="64368E08" w14:textId="77777777" w:rsidR="00AA5550" w:rsidRDefault="00AA5550">
            <w:pPr>
              <w:jc w:val="center"/>
              <w:rPr>
                <w:rFonts w:ascii="Century Gothic" w:eastAsia="Century Gothic" w:hAnsi="Century Gothic" w:cs="Century Gothic"/>
                <w:b/>
                <w:sz w:val="20"/>
                <w:szCs w:val="20"/>
              </w:rPr>
            </w:pPr>
          </w:p>
        </w:tc>
        <w:tc>
          <w:tcPr>
            <w:tcW w:w="5040" w:type="dxa"/>
            <w:tcBorders>
              <w:top w:val="single" w:sz="5" w:space="0" w:color="A6A6A6"/>
              <w:left w:val="nil"/>
              <w:bottom w:val="single" w:sz="5" w:space="0" w:color="A6A6A6"/>
              <w:right w:val="single" w:sz="5" w:space="0" w:color="A6A6A6"/>
            </w:tcBorders>
            <w:tcMar>
              <w:top w:w="0" w:type="dxa"/>
              <w:left w:w="100" w:type="dxa"/>
              <w:bottom w:w="0" w:type="dxa"/>
              <w:right w:w="100" w:type="dxa"/>
            </w:tcMar>
          </w:tcPr>
          <w:p w14:paraId="1BF3BA20"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2F472BEF" wp14:editId="586D38E1">
                  <wp:extent cx="1485900" cy="736735"/>
                  <wp:effectExtent l="0" t="0" r="0" b="0"/>
                  <wp:docPr id="2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1485900" cy="736735"/>
                          </a:xfrm>
                          <a:prstGeom prst="rect">
                            <a:avLst/>
                          </a:prstGeom>
                          <a:ln/>
                        </pic:spPr>
                      </pic:pic>
                    </a:graphicData>
                  </a:graphic>
                </wp:inline>
              </w:drawing>
            </w:r>
          </w:p>
          <w:p w14:paraId="703822B5" w14:textId="77777777" w:rsidR="00AA5550" w:rsidRDefault="00045FF4">
            <w:pPr>
              <w:shd w:val="clear" w:color="auto" w:fill="FFFFFF"/>
              <w:jc w:val="center"/>
              <w:rPr>
                <w:b/>
              </w:rPr>
            </w:pPr>
            <w:r>
              <w:rPr>
                <w:b/>
              </w:rPr>
              <w:t>GERARDO YEPES CARO</w:t>
            </w:r>
          </w:p>
          <w:p w14:paraId="349865BA" w14:textId="77777777" w:rsidR="00AA5550" w:rsidRDefault="00045FF4">
            <w:pPr>
              <w:shd w:val="clear" w:color="auto" w:fill="FFFFFF"/>
              <w:jc w:val="center"/>
              <w:rPr>
                <w:b/>
                <w:sz w:val="18"/>
                <w:szCs w:val="18"/>
              </w:rPr>
            </w:pPr>
            <w:r>
              <w:rPr>
                <w:b/>
                <w:sz w:val="18"/>
                <w:szCs w:val="18"/>
              </w:rPr>
              <w:t>Representante a la Cámara por el Tolima.</w:t>
            </w:r>
          </w:p>
          <w:p w14:paraId="558360AB" w14:textId="77777777" w:rsidR="00AA5550" w:rsidRDefault="00045FF4">
            <w:pPr>
              <w:shd w:val="clear" w:color="auto" w:fill="FFFFFF"/>
              <w:jc w:val="center"/>
              <w:rPr>
                <w:rFonts w:ascii="Century Gothic" w:eastAsia="Century Gothic" w:hAnsi="Century Gothic" w:cs="Century Gothic"/>
                <w:b/>
                <w:sz w:val="20"/>
                <w:szCs w:val="20"/>
              </w:rPr>
            </w:pPr>
            <w:r>
              <w:rPr>
                <w:b/>
                <w:sz w:val="18"/>
                <w:szCs w:val="18"/>
              </w:rPr>
              <w:t>Partido Conservador</w:t>
            </w:r>
          </w:p>
        </w:tc>
      </w:tr>
      <w:tr w:rsidR="00AA5550" w14:paraId="59B11F6C" w14:textId="77777777">
        <w:trPr>
          <w:trHeight w:val="1590"/>
        </w:trPr>
        <w:tc>
          <w:tcPr>
            <w:tcW w:w="4425" w:type="dxa"/>
            <w:tcBorders>
              <w:top w:val="single" w:sz="5" w:space="0" w:color="A6A6A6"/>
              <w:left w:val="single" w:sz="5" w:space="0" w:color="A6A6A6"/>
              <w:bottom w:val="single" w:sz="5" w:space="0" w:color="A6A6A6"/>
              <w:right w:val="single" w:sz="5" w:space="0" w:color="A6A6A6"/>
            </w:tcBorders>
            <w:tcMar>
              <w:top w:w="0" w:type="dxa"/>
              <w:left w:w="100" w:type="dxa"/>
              <w:bottom w:w="0" w:type="dxa"/>
              <w:right w:w="100" w:type="dxa"/>
            </w:tcMar>
          </w:tcPr>
          <w:p w14:paraId="7127D887" w14:textId="77777777" w:rsidR="00AA5550" w:rsidRDefault="00045FF4">
            <w:pPr>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712BED65" wp14:editId="3D3F3DD8">
                  <wp:extent cx="2676525" cy="1282700"/>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2676525" cy="1282700"/>
                          </a:xfrm>
                          <a:prstGeom prst="rect">
                            <a:avLst/>
                          </a:prstGeom>
                          <a:ln/>
                        </pic:spPr>
                      </pic:pic>
                    </a:graphicData>
                  </a:graphic>
                </wp:inline>
              </w:drawing>
            </w:r>
          </w:p>
        </w:tc>
        <w:tc>
          <w:tcPr>
            <w:tcW w:w="5040" w:type="dxa"/>
            <w:tcBorders>
              <w:top w:val="single" w:sz="5" w:space="0" w:color="A6A6A6"/>
              <w:left w:val="nil"/>
              <w:bottom w:val="single" w:sz="5" w:space="0" w:color="A6A6A6"/>
              <w:right w:val="single" w:sz="5" w:space="0" w:color="A6A6A6"/>
            </w:tcBorders>
            <w:tcMar>
              <w:top w:w="0" w:type="dxa"/>
              <w:left w:w="100" w:type="dxa"/>
              <w:bottom w:w="0" w:type="dxa"/>
              <w:right w:w="100" w:type="dxa"/>
            </w:tcMar>
          </w:tcPr>
          <w:p w14:paraId="20AA9D4B"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3E344E93" wp14:editId="77B745B3">
                  <wp:extent cx="1023938" cy="859962"/>
                  <wp:effectExtent l="0" t="0" r="0" b="0"/>
                  <wp:docPr id="3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1023938" cy="859962"/>
                          </a:xfrm>
                          <a:prstGeom prst="rect">
                            <a:avLst/>
                          </a:prstGeom>
                          <a:ln/>
                        </pic:spPr>
                      </pic:pic>
                    </a:graphicData>
                  </a:graphic>
                </wp:inline>
              </w:drawing>
            </w:r>
          </w:p>
          <w:p w14:paraId="4C610F9A"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ERIKA TATIANA SÁNCHEZ PINTO</w:t>
            </w:r>
          </w:p>
          <w:p w14:paraId="42A05A1E"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Representante a la Cámara </w:t>
            </w:r>
          </w:p>
          <w:p w14:paraId="1CADFC34"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Departamento de Santander</w:t>
            </w:r>
          </w:p>
        </w:tc>
      </w:tr>
      <w:tr w:rsidR="00AA5550" w14:paraId="62AC5B07" w14:textId="77777777">
        <w:trPr>
          <w:trHeight w:val="1845"/>
        </w:trPr>
        <w:tc>
          <w:tcPr>
            <w:tcW w:w="4425" w:type="dxa"/>
            <w:tcBorders>
              <w:top w:val="nil"/>
              <w:left w:val="single" w:sz="5" w:space="0" w:color="A6A6A6"/>
              <w:bottom w:val="single" w:sz="5" w:space="0" w:color="A6A6A6"/>
              <w:right w:val="single" w:sz="5" w:space="0" w:color="A6A6A6"/>
            </w:tcBorders>
            <w:tcMar>
              <w:top w:w="0" w:type="dxa"/>
              <w:left w:w="100" w:type="dxa"/>
              <w:bottom w:w="0" w:type="dxa"/>
              <w:right w:w="100" w:type="dxa"/>
            </w:tcMar>
          </w:tcPr>
          <w:p w14:paraId="7B0F457A"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4CF9DE3C" wp14:editId="28CF8787">
                  <wp:extent cx="1695450" cy="482445"/>
                  <wp:effectExtent l="0" t="0" r="0" b="0"/>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1695450" cy="482445"/>
                          </a:xfrm>
                          <a:prstGeom prst="rect">
                            <a:avLst/>
                          </a:prstGeom>
                          <a:ln/>
                        </pic:spPr>
                      </pic:pic>
                    </a:graphicData>
                  </a:graphic>
                </wp:inline>
              </w:drawing>
            </w:r>
          </w:p>
          <w:p w14:paraId="13E951F5"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BETSY JUDITH PEREZ</w:t>
            </w:r>
          </w:p>
          <w:p w14:paraId="78F9E88F"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Representante a la Cámara</w:t>
            </w:r>
          </w:p>
        </w:tc>
        <w:tc>
          <w:tcPr>
            <w:tcW w:w="5040" w:type="dxa"/>
            <w:tcBorders>
              <w:top w:val="nil"/>
              <w:left w:val="nil"/>
              <w:bottom w:val="single" w:sz="5" w:space="0" w:color="A6A6A6"/>
              <w:right w:val="single" w:sz="5" w:space="0" w:color="A6A6A6"/>
            </w:tcBorders>
            <w:tcMar>
              <w:top w:w="0" w:type="dxa"/>
              <w:left w:w="100" w:type="dxa"/>
              <w:bottom w:w="0" w:type="dxa"/>
              <w:right w:w="100" w:type="dxa"/>
            </w:tcMar>
          </w:tcPr>
          <w:p w14:paraId="265BBDDF"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3C8F16D1" wp14:editId="586B226C">
                  <wp:extent cx="2943225" cy="590550"/>
                  <wp:effectExtent l="0" t="0" r="0" b="0"/>
                  <wp:docPr id="4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a:stretch>
                            <a:fillRect/>
                          </a:stretch>
                        </pic:blipFill>
                        <pic:spPr>
                          <a:xfrm>
                            <a:off x="0" y="0"/>
                            <a:ext cx="2943225" cy="590550"/>
                          </a:xfrm>
                          <a:prstGeom prst="rect">
                            <a:avLst/>
                          </a:prstGeom>
                          <a:ln/>
                        </pic:spPr>
                      </pic:pic>
                    </a:graphicData>
                  </a:graphic>
                </wp:inline>
              </w:drawing>
            </w:r>
          </w:p>
          <w:p w14:paraId="288FDAAC" w14:textId="77777777" w:rsidR="00AA5550" w:rsidRDefault="00045FF4">
            <w:pPr>
              <w:jc w:val="center"/>
              <w:rPr>
                <w:b/>
                <w:sz w:val="20"/>
                <w:szCs w:val="20"/>
              </w:rPr>
            </w:pPr>
            <w:r>
              <w:rPr>
                <w:b/>
                <w:sz w:val="20"/>
                <w:szCs w:val="20"/>
              </w:rPr>
              <w:t>Representante a la Cámara</w:t>
            </w:r>
          </w:p>
          <w:p w14:paraId="31C4B6FA" w14:textId="77777777" w:rsidR="00AA5550" w:rsidRDefault="00045FF4">
            <w:pPr>
              <w:jc w:val="center"/>
              <w:rPr>
                <w:rFonts w:ascii="Century Gothic" w:eastAsia="Century Gothic" w:hAnsi="Century Gothic" w:cs="Century Gothic"/>
                <w:b/>
                <w:sz w:val="20"/>
                <w:szCs w:val="20"/>
              </w:rPr>
            </w:pPr>
            <w:r>
              <w:rPr>
                <w:b/>
                <w:sz w:val="20"/>
                <w:szCs w:val="20"/>
              </w:rPr>
              <w:t>Departamento de Antioquia</w:t>
            </w:r>
          </w:p>
        </w:tc>
      </w:tr>
      <w:tr w:rsidR="00AA5550" w14:paraId="6732018B" w14:textId="77777777">
        <w:trPr>
          <w:trHeight w:val="2508"/>
        </w:trPr>
        <w:tc>
          <w:tcPr>
            <w:tcW w:w="4425" w:type="dxa"/>
            <w:tcBorders>
              <w:top w:val="nil"/>
              <w:left w:val="single" w:sz="5" w:space="0" w:color="A6A6A6"/>
              <w:bottom w:val="single" w:sz="5" w:space="0" w:color="A6A6A6"/>
              <w:right w:val="single" w:sz="5" w:space="0" w:color="A6A6A6"/>
            </w:tcBorders>
            <w:tcMar>
              <w:top w:w="0" w:type="dxa"/>
              <w:left w:w="100" w:type="dxa"/>
              <w:bottom w:w="0" w:type="dxa"/>
              <w:right w:w="100" w:type="dxa"/>
            </w:tcMar>
          </w:tcPr>
          <w:p w14:paraId="092CFCF4" w14:textId="77777777" w:rsidR="00AA5550" w:rsidRDefault="00045FF4">
            <w:pPr>
              <w:jc w:val="center"/>
              <w:rPr>
                <w:b/>
                <w:sz w:val="24"/>
                <w:szCs w:val="24"/>
              </w:rPr>
            </w:pPr>
            <w:r>
              <w:rPr>
                <w:noProof/>
              </w:rPr>
              <w:drawing>
                <wp:anchor distT="114300" distB="114300" distL="114300" distR="114300" simplePos="0" relativeHeight="251661312" behindDoc="1" locked="0" layoutInCell="1" hidden="0" allowOverlap="1" wp14:anchorId="2114628D" wp14:editId="2615827B">
                  <wp:simplePos x="0" y="0"/>
                  <wp:positionH relativeFrom="column">
                    <wp:posOffset>742950</wp:posOffset>
                  </wp:positionH>
                  <wp:positionV relativeFrom="paragraph">
                    <wp:posOffset>219075</wp:posOffset>
                  </wp:positionV>
                  <wp:extent cx="1200150" cy="1200150"/>
                  <wp:effectExtent l="0" t="0" r="0" b="0"/>
                  <wp:wrapNone/>
                  <wp:docPr id="44"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8"/>
                          <a:srcRect/>
                          <a:stretch>
                            <a:fillRect/>
                          </a:stretch>
                        </pic:blipFill>
                        <pic:spPr>
                          <a:xfrm>
                            <a:off x="0" y="0"/>
                            <a:ext cx="1200150" cy="1200150"/>
                          </a:xfrm>
                          <a:prstGeom prst="rect">
                            <a:avLst/>
                          </a:prstGeom>
                          <a:ln/>
                        </pic:spPr>
                      </pic:pic>
                    </a:graphicData>
                  </a:graphic>
                </wp:anchor>
              </w:drawing>
            </w:r>
          </w:p>
          <w:p w14:paraId="1DF0D537" w14:textId="77777777" w:rsidR="00AA5550" w:rsidRDefault="00AA5550">
            <w:pPr>
              <w:jc w:val="center"/>
              <w:rPr>
                <w:b/>
                <w:sz w:val="24"/>
                <w:szCs w:val="24"/>
              </w:rPr>
            </w:pPr>
          </w:p>
          <w:p w14:paraId="3B3057C7" w14:textId="77777777" w:rsidR="00AA5550" w:rsidRDefault="00AA5550">
            <w:pPr>
              <w:jc w:val="center"/>
              <w:rPr>
                <w:b/>
                <w:sz w:val="24"/>
                <w:szCs w:val="24"/>
              </w:rPr>
            </w:pPr>
          </w:p>
          <w:p w14:paraId="48A43AFE" w14:textId="77777777" w:rsidR="00AA5550" w:rsidRDefault="00AA5550">
            <w:pPr>
              <w:jc w:val="center"/>
              <w:rPr>
                <w:b/>
                <w:sz w:val="24"/>
                <w:szCs w:val="24"/>
              </w:rPr>
            </w:pPr>
          </w:p>
          <w:p w14:paraId="5F7809F9" w14:textId="77777777" w:rsidR="00AA5550" w:rsidRDefault="00AA5550">
            <w:pPr>
              <w:jc w:val="center"/>
              <w:rPr>
                <w:b/>
                <w:sz w:val="24"/>
                <w:szCs w:val="24"/>
              </w:rPr>
            </w:pPr>
          </w:p>
          <w:p w14:paraId="1B237E49" w14:textId="77777777" w:rsidR="00AA5550" w:rsidRDefault="00045FF4">
            <w:pPr>
              <w:jc w:val="center"/>
              <w:rPr>
                <w:b/>
                <w:sz w:val="24"/>
                <w:szCs w:val="24"/>
              </w:rPr>
            </w:pPr>
            <w:r>
              <w:rPr>
                <w:b/>
                <w:sz w:val="24"/>
                <w:szCs w:val="24"/>
              </w:rPr>
              <w:t>AGMETH JOSÉ ESCAF TIJERINO</w:t>
            </w:r>
          </w:p>
          <w:p w14:paraId="3BB06E6B" w14:textId="77777777" w:rsidR="00AA5550" w:rsidRDefault="00045FF4">
            <w:pPr>
              <w:jc w:val="center"/>
              <w:rPr>
                <w:sz w:val="24"/>
                <w:szCs w:val="24"/>
              </w:rPr>
            </w:pPr>
            <w:r>
              <w:rPr>
                <w:sz w:val="24"/>
                <w:szCs w:val="24"/>
              </w:rPr>
              <w:t>Representante a la Cámara</w:t>
            </w:r>
          </w:p>
          <w:p w14:paraId="7A88C5AD" w14:textId="77777777" w:rsidR="00AA5550" w:rsidRDefault="00045FF4">
            <w:pPr>
              <w:jc w:val="center"/>
              <w:rPr>
                <w:rFonts w:ascii="Century Gothic" w:eastAsia="Century Gothic" w:hAnsi="Century Gothic" w:cs="Century Gothic"/>
                <w:b/>
                <w:sz w:val="20"/>
                <w:szCs w:val="20"/>
              </w:rPr>
            </w:pPr>
            <w:r>
              <w:rPr>
                <w:sz w:val="24"/>
                <w:szCs w:val="24"/>
              </w:rPr>
              <w:t>Pacto Histórico</w:t>
            </w:r>
          </w:p>
        </w:tc>
        <w:tc>
          <w:tcPr>
            <w:tcW w:w="5040" w:type="dxa"/>
            <w:tcBorders>
              <w:top w:val="nil"/>
              <w:left w:val="nil"/>
              <w:bottom w:val="single" w:sz="5" w:space="0" w:color="A6A6A6"/>
              <w:right w:val="single" w:sz="5" w:space="0" w:color="A6A6A6"/>
            </w:tcBorders>
            <w:tcMar>
              <w:top w:w="0" w:type="dxa"/>
              <w:left w:w="100" w:type="dxa"/>
              <w:bottom w:w="0" w:type="dxa"/>
              <w:right w:w="100" w:type="dxa"/>
            </w:tcMar>
          </w:tcPr>
          <w:p w14:paraId="6C1470A3"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223B788F" wp14:editId="5E8CD18D">
                  <wp:extent cx="3067050" cy="673100"/>
                  <wp:effectExtent l="0" t="0" r="0" b="0"/>
                  <wp:docPr id="3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3067050" cy="673100"/>
                          </a:xfrm>
                          <a:prstGeom prst="rect">
                            <a:avLst/>
                          </a:prstGeom>
                          <a:ln/>
                        </pic:spPr>
                      </pic:pic>
                    </a:graphicData>
                  </a:graphic>
                </wp:inline>
              </w:drawing>
            </w:r>
          </w:p>
        </w:tc>
      </w:tr>
      <w:tr w:rsidR="00AA5550" w14:paraId="5895F294" w14:textId="77777777">
        <w:trPr>
          <w:trHeight w:val="1845"/>
        </w:trPr>
        <w:tc>
          <w:tcPr>
            <w:tcW w:w="4425" w:type="dxa"/>
            <w:tcBorders>
              <w:top w:val="nil"/>
              <w:left w:val="single" w:sz="5" w:space="0" w:color="A6A6A6"/>
              <w:bottom w:val="single" w:sz="5" w:space="0" w:color="A6A6A6"/>
              <w:right w:val="single" w:sz="5" w:space="0" w:color="A6A6A6"/>
            </w:tcBorders>
            <w:tcMar>
              <w:top w:w="0" w:type="dxa"/>
              <w:left w:w="100" w:type="dxa"/>
              <w:bottom w:w="0" w:type="dxa"/>
              <w:right w:w="100" w:type="dxa"/>
            </w:tcMar>
          </w:tcPr>
          <w:p w14:paraId="047213BB" w14:textId="77777777" w:rsidR="00AA5550" w:rsidRDefault="00AA5550">
            <w:pPr>
              <w:jc w:val="center"/>
              <w:rPr>
                <w:sz w:val="24"/>
                <w:szCs w:val="24"/>
              </w:rPr>
            </w:pPr>
          </w:p>
          <w:p w14:paraId="276BA56E" w14:textId="77777777" w:rsidR="00AA5550" w:rsidRDefault="00AA5550">
            <w:pPr>
              <w:jc w:val="center"/>
              <w:rPr>
                <w:sz w:val="24"/>
                <w:szCs w:val="24"/>
              </w:rPr>
            </w:pPr>
          </w:p>
          <w:p w14:paraId="67B64526" w14:textId="77777777" w:rsidR="00AA5550" w:rsidRDefault="00045FF4">
            <w:pPr>
              <w:jc w:val="center"/>
              <w:rPr>
                <w:sz w:val="24"/>
                <w:szCs w:val="24"/>
              </w:rPr>
            </w:pPr>
            <w:r>
              <w:rPr>
                <w:noProof/>
                <w:sz w:val="24"/>
                <w:szCs w:val="24"/>
              </w:rPr>
              <w:drawing>
                <wp:inline distT="114300" distB="114300" distL="114300" distR="114300" wp14:anchorId="5B4FF2A0" wp14:editId="251BCD40">
                  <wp:extent cx="1362075" cy="739564"/>
                  <wp:effectExtent l="0" t="0" r="0" b="0"/>
                  <wp:docPr id="54"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0"/>
                          <a:srcRect/>
                          <a:stretch>
                            <a:fillRect/>
                          </a:stretch>
                        </pic:blipFill>
                        <pic:spPr>
                          <a:xfrm>
                            <a:off x="0" y="0"/>
                            <a:ext cx="1362075" cy="739564"/>
                          </a:xfrm>
                          <a:prstGeom prst="rect">
                            <a:avLst/>
                          </a:prstGeom>
                          <a:ln/>
                        </pic:spPr>
                      </pic:pic>
                    </a:graphicData>
                  </a:graphic>
                </wp:inline>
              </w:drawing>
            </w:r>
          </w:p>
          <w:p w14:paraId="5687BAFD" w14:textId="77777777" w:rsidR="00AA5550" w:rsidRDefault="00045FF4">
            <w:pPr>
              <w:jc w:val="center"/>
              <w:rPr>
                <w:b/>
                <w:sz w:val="24"/>
                <w:szCs w:val="24"/>
              </w:rPr>
            </w:pPr>
            <w:r>
              <w:rPr>
                <w:b/>
                <w:sz w:val="24"/>
                <w:szCs w:val="24"/>
              </w:rPr>
              <w:t>CAMILO ESTEBAN ÁVILA MORALES</w:t>
            </w:r>
          </w:p>
          <w:p w14:paraId="301D633D" w14:textId="77777777" w:rsidR="00AA5550" w:rsidRDefault="00045FF4">
            <w:pPr>
              <w:jc w:val="center"/>
              <w:rPr>
                <w:sz w:val="24"/>
                <w:szCs w:val="24"/>
              </w:rPr>
            </w:pPr>
            <w:r>
              <w:rPr>
                <w:sz w:val="24"/>
                <w:szCs w:val="24"/>
              </w:rPr>
              <w:t>Representante a la Cámara</w:t>
            </w:r>
          </w:p>
          <w:p w14:paraId="7274E124" w14:textId="77777777" w:rsidR="00AA5550" w:rsidRDefault="00045FF4">
            <w:pPr>
              <w:jc w:val="center"/>
              <w:rPr>
                <w:sz w:val="24"/>
                <w:szCs w:val="24"/>
              </w:rPr>
            </w:pPr>
            <w:r>
              <w:rPr>
                <w:sz w:val="24"/>
                <w:szCs w:val="24"/>
              </w:rPr>
              <w:t>Departamento del Vaupés</w:t>
            </w:r>
          </w:p>
        </w:tc>
        <w:tc>
          <w:tcPr>
            <w:tcW w:w="5040" w:type="dxa"/>
            <w:tcBorders>
              <w:top w:val="nil"/>
              <w:left w:val="nil"/>
              <w:bottom w:val="single" w:sz="5" w:space="0" w:color="A6A6A6"/>
              <w:right w:val="single" w:sz="5" w:space="0" w:color="A6A6A6"/>
            </w:tcBorders>
            <w:tcMar>
              <w:top w:w="0" w:type="dxa"/>
              <w:left w:w="100" w:type="dxa"/>
              <w:bottom w:w="0" w:type="dxa"/>
              <w:right w:w="100" w:type="dxa"/>
            </w:tcMar>
          </w:tcPr>
          <w:p w14:paraId="08EE14F2" w14:textId="77777777" w:rsidR="00AA5550" w:rsidRDefault="00045FF4">
            <w:pPr>
              <w:spacing w:before="240" w:after="240"/>
              <w:jc w:val="center"/>
              <w:rPr>
                <w:rFonts w:ascii="Century Gothic" w:eastAsia="Century Gothic" w:hAnsi="Century Gothic" w:cs="Century Gothic"/>
                <w:b/>
                <w:sz w:val="20"/>
                <w:szCs w:val="20"/>
              </w:rPr>
            </w:pPr>
            <w:r>
              <w:rPr>
                <w:noProof/>
              </w:rPr>
              <w:drawing>
                <wp:anchor distT="114300" distB="114300" distL="114300" distR="114300" simplePos="0" relativeHeight="251662336" behindDoc="0" locked="0" layoutInCell="1" hidden="0" allowOverlap="1" wp14:anchorId="369DE405" wp14:editId="62417080">
                  <wp:simplePos x="0" y="0"/>
                  <wp:positionH relativeFrom="column">
                    <wp:posOffset>752475</wp:posOffset>
                  </wp:positionH>
                  <wp:positionV relativeFrom="paragraph">
                    <wp:posOffset>161925</wp:posOffset>
                  </wp:positionV>
                  <wp:extent cx="1519238" cy="866775"/>
                  <wp:effectExtent l="0" t="0" r="0" b="0"/>
                  <wp:wrapNone/>
                  <wp:docPr id="4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1"/>
                          <a:srcRect t="-6593" b="6593"/>
                          <a:stretch>
                            <a:fillRect/>
                          </a:stretch>
                        </pic:blipFill>
                        <pic:spPr>
                          <a:xfrm>
                            <a:off x="0" y="0"/>
                            <a:ext cx="1519238" cy="866775"/>
                          </a:xfrm>
                          <a:prstGeom prst="rect">
                            <a:avLst/>
                          </a:prstGeom>
                          <a:ln/>
                        </pic:spPr>
                      </pic:pic>
                    </a:graphicData>
                  </a:graphic>
                </wp:anchor>
              </w:drawing>
            </w:r>
          </w:p>
          <w:p w14:paraId="30A64CED" w14:textId="77777777" w:rsidR="00AA5550" w:rsidRDefault="00AA5550">
            <w:pPr>
              <w:spacing w:before="240" w:after="240"/>
              <w:jc w:val="center"/>
              <w:rPr>
                <w:rFonts w:ascii="Century Gothic" w:eastAsia="Century Gothic" w:hAnsi="Century Gothic" w:cs="Century Gothic"/>
                <w:b/>
                <w:sz w:val="20"/>
                <w:szCs w:val="20"/>
              </w:rPr>
            </w:pPr>
          </w:p>
          <w:p w14:paraId="76E1DEBC" w14:textId="77777777" w:rsidR="00AA5550" w:rsidRDefault="00AA5550">
            <w:pPr>
              <w:spacing w:before="240" w:after="240"/>
              <w:jc w:val="center"/>
              <w:rPr>
                <w:rFonts w:ascii="Century Gothic" w:eastAsia="Century Gothic" w:hAnsi="Century Gothic" w:cs="Century Gothic"/>
                <w:b/>
                <w:sz w:val="20"/>
                <w:szCs w:val="20"/>
              </w:rPr>
            </w:pPr>
          </w:p>
          <w:p w14:paraId="522ACCCE" w14:textId="77777777" w:rsidR="00AA5550" w:rsidRDefault="00045FF4">
            <w:pPr>
              <w:jc w:val="center"/>
              <w:rPr>
                <w:b/>
              </w:rPr>
            </w:pPr>
            <w:r>
              <w:rPr>
                <w:b/>
              </w:rPr>
              <w:t>ANGELA MARIA VERGARA GONZALEZ</w:t>
            </w:r>
          </w:p>
          <w:p w14:paraId="4EFFD413" w14:textId="77777777" w:rsidR="00AA5550" w:rsidRDefault="00045FF4">
            <w:pPr>
              <w:jc w:val="center"/>
            </w:pPr>
            <w:r>
              <w:t>Representante a la Cámara</w:t>
            </w:r>
          </w:p>
          <w:p w14:paraId="4777C38E" w14:textId="77777777" w:rsidR="00AA5550" w:rsidRDefault="00045FF4">
            <w:pPr>
              <w:jc w:val="center"/>
              <w:rPr>
                <w:rFonts w:ascii="Century Gothic" w:eastAsia="Century Gothic" w:hAnsi="Century Gothic" w:cs="Century Gothic"/>
                <w:b/>
                <w:sz w:val="20"/>
                <w:szCs w:val="20"/>
              </w:rPr>
            </w:pPr>
            <w:r>
              <w:t>Departamento de Bolívar</w:t>
            </w:r>
          </w:p>
        </w:tc>
      </w:tr>
      <w:tr w:rsidR="00AA5550" w14:paraId="5065DC64" w14:textId="77777777">
        <w:trPr>
          <w:trHeight w:val="4578"/>
        </w:trPr>
        <w:tc>
          <w:tcPr>
            <w:tcW w:w="4425" w:type="dxa"/>
            <w:tcBorders>
              <w:top w:val="nil"/>
              <w:left w:val="single" w:sz="5" w:space="0" w:color="A6A6A6"/>
              <w:bottom w:val="single" w:sz="5" w:space="0" w:color="A6A6A6"/>
              <w:right w:val="single" w:sz="5" w:space="0" w:color="A6A6A6"/>
            </w:tcBorders>
            <w:tcMar>
              <w:top w:w="0" w:type="dxa"/>
              <w:left w:w="100" w:type="dxa"/>
              <w:bottom w:w="0" w:type="dxa"/>
              <w:right w:w="100" w:type="dxa"/>
            </w:tcMar>
          </w:tcPr>
          <w:p w14:paraId="0B88095C" w14:textId="77777777" w:rsidR="00AA5550" w:rsidRDefault="00AA5550">
            <w:pPr>
              <w:spacing w:before="240" w:after="240"/>
              <w:jc w:val="center"/>
              <w:rPr>
                <w:rFonts w:ascii="Arial Narrow" w:eastAsia="Arial Narrow" w:hAnsi="Arial Narrow" w:cs="Arial Narrow"/>
                <w:b/>
                <w:sz w:val="24"/>
                <w:szCs w:val="24"/>
              </w:rPr>
            </w:pPr>
          </w:p>
          <w:p w14:paraId="7CDBCFFB" w14:textId="77777777" w:rsidR="00AA5550" w:rsidRDefault="00045FF4">
            <w:pPr>
              <w:spacing w:before="240" w:after="240"/>
              <w:jc w:val="center"/>
              <w:rPr>
                <w:rFonts w:ascii="Arial Narrow" w:eastAsia="Arial Narrow" w:hAnsi="Arial Narrow" w:cs="Arial Narrow"/>
                <w:b/>
                <w:sz w:val="24"/>
                <w:szCs w:val="24"/>
              </w:rPr>
            </w:pPr>
            <w:r>
              <w:rPr>
                <w:rFonts w:ascii="Arial Narrow" w:eastAsia="Arial Narrow" w:hAnsi="Arial Narrow" w:cs="Arial Narrow"/>
                <w:b/>
                <w:noProof/>
                <w:sz w:val="24"/>
                <w:szCs w:val="24"/>
              </w:rPr>
              <w:drawing>
                <wp:inline distT="114300" distB="114300" distL="114300" distR="114300" wp14:anchorId="0385D2CB" wp14:editId="3FF465A0">
                  <wp:extent cx="2676525" cy="1016000"/>
                  <wp:effectExtent l="0" t="0" r="0" b="0"/>
                  <wp:docPr id="3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2"/>
                          <a:srcRect/>
                          <a:stretch>
                            <a:fillRect/>
                          </a:stretch>
                        </pic:blipFill>
                        <pic:spPr>
                          <a:xfrm>
                            <a:off x="0" y="0"/>
                            <a:ext cx="2676525" cy="1016000"/>
                          </a:xfrm>
                          <a:prstGeom prst="rect">
                            <a:avLst/>
                          </a:prstGeom>
                          <a:ln/>
                        </pic:spPr>
                      </pic:pic>
                    </a:graphicData>
                  </a:graphic>
                </wp:inline>
              </w:drawing>
            </w:r>
          </w:p>
          <w:p w14:paraId="17C6CDEB" w14:textId="77777777" w:rsidR="00AA5550" w:rsidRDefault="00045FF4">
            <w:pPr>
              <w:jc w:val="center"/>
              <w:rPr>
                <w:rFonts w:ascii="Arial Narrow" w:eastAsia="Arial Narrow" w:hAnsi="Arial Narrow" w:cs="Arial Narrow"/>
                <w:b/>
                <w:sz w:val="24"/>
                <w:szCs w:val="24"/>
              </w:rPr>
            </w:pPr>
            <w:r>
              <w:rPr>
                <w:rFonts w:ascii="Arial Narrow" w:eastAsia="Arial Narrow" w:hAnsi="Arial Narrow" w:cs="Arial Narrow"/>
                <w:b/>
                <w:sz w:val="24"/>
                <w:szCs w:val="24"/>
              </w:rPr>
              <w:t>CAROLINA GIRALDO BOTERO</w:t>
            </w:r>
          </w:p>
          <w:p w14:paraId="40D65C0E" w14:textId="77777777" w:rsidR="00AA5550" w:rsidRDefault="00045FF4">
            <w:pPr>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 por Risaralda</w:t>
            </w:r>
          </w:p>
        </w:tc>
        <w:tc>
          <w:tcPr>
            <w:tcW w:w="5040" w:type="dxa"/>
            <w:tcBorders>
              <w:top w:val="nil"/>
              <w:left w:val="nil"/>
              <w:bottom w:val="single" w:sz="5" w:space="0" w:color="A6A6A6"/>
              <w:right w:val="single" w:sz="5" w:space="0" w:color="A6A6A6"/>
            </w:tcBorders>
            <w:tcMar>
              <w:top w:w="0" w:type="dxa"/>
              <w:left w:w="100" w:type="dxa"/>
              <w:bottom w:w="0" w:type="dxa"/>
              <w:right w:w="100" w:type="dxa"/>
            </w:tcMar>
          </w:tcPr>
          <w:p w14:paraId="7A965AF3" w14:textId="77777777" w:rsidR="00AA5550" w:rsidRDefault="00045FF4">
            <w:pPr>
              <w:spacing w:before="240" w:after="240"/>
              <w:jc w:val="center"/>
              <w:rPr>
                <w:rFonts w:ascii="Arial Narrow" w:eastAsia="Arial Narrow" w:hAnsi="Arial Narrow" w:cs="Arial Narrow"/>
                <w:b/>
                <w:sz w:val="24"/>
                <w:szCs w:val="24"/>
              </w:rPr>
            </w:pPr>
            <w:r>
              <w:rPr>
                <w:rFonts w:ascii="Arial Narrow" w:eastAsia="Arial Narrow" w:hAnsi="Arial Narrow" w:cs="Arial Narrow"/>
                <w:b/>
                <w:noProof/>
                <w:sz w:val="24"/>
                <w:szCs w:val="24"/>
              </w:rPr>
              <w:drawing>
                <wp:inline distT="114300" distB="114300" distL="114300" distR="114300" wp14:anchorId="1DEB8797" wp14:editId="6FBD64E0">
                  <wp:extent cx="2876550" cy="817090"/>
                  <wp:effectExtent l="0" t="0" r="0" b="0"/>
                  <wp:docPr id="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3"/>
                          <a:srcRect/>
                          <a:stretch>
                            <a:fillRect/>
                          </a:stretch>
                        </pic:blipFill>
                        <pic:spPr>
                          <a:xfrm>
                            <a:off x="0" y="0"/>
                            <a:ext cx="2876550" cy="817090"/>
                          </a:xfrm>
                          <a:prstGeom prst="rect">
                            <a:avLst/>
                          </a:prstGeom>
                          <a:ln/>
                        </pic:spPr>
                      </pic:pic>
                    </a:graphicData>
                  </a:graphic>
                </wp:inline>
              </w:drawing>
            </w:r>
          </w:p>
          <w:p w14:paraId="752C229F" w14:textId="77777777" w:rsidR="00AA5550" w:rsidRDefault="00045FF4">
            <w:pPr>
              <w:spacing w:before="240" w:after="24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ÁLVARO LEONEL RUEDA CABALLERO </w:t>
            </w:r>
          </w:p>
          <w:p w14:paraId="393921D4" w14:textId="77777777" w:rsidR="00AA5550" w:rsidRDefault="00045FF4">
            <w:pPr>
              <w:spacing w:before="240" w:after="24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 xml:space="preserve">Representante a la Cámara </w:t>
            </w:r>
          </w:p>
          <w:p w14:paraId="5FD3836D" w14:textId="77777777" w:rsidR="00AA5550" w:rsidRDefault="00045FF4">
            <w:pPr>
              <w:spacing w:before="240" w:after="240" w:line="240" w:lineRule="auto"/>
              <w:jc w:val="center"/>
              <w:rPr>
                <w:rFonts w:ascii="Arial Narrow" w:eastAsia="Arial Narrow" w:hAnsi="Arial Narrow" w:cs="Arial Narrow"/>
                <w:b/>
                <w:sz w:val="24"/>
                <w:szCs w:val="24"/>
              </w:rPr>
            </w:pPr>
            <w:r>
              <w:rPr>
                <w:rFonts w:ascii="Arial Narrow" w:eastAsia="Arial Narrow" w:hAnsi="Arial Narrow" w:cs="Arial Narrow"/>
                <w:sz w:val="24"/>
                <w:szCs w:val="24"/>
              </w:rPr>
              <w:t>Departamento de Santander</w:t>
            </w:r>
            <w:r>
              <w:rPr>
                <w:rFonts w:ascii="Arial Narrow" w:eastAsia="Arial Narrow" w:hAnsi="Arial Narrow" w:cs="Arial Narrow"/>
                <w:b/>
                <w:sz w:val="24"/>
                <w:szCs w:val="24"/>
              </w:rPr>
              <w:t xml:space="preserve"> </w:t>
            </w:r>
          </w:p>
        </w:tc>
      </w:tr>
      <w:tr w:rsidR="00AA5550" w14:paraId="4C057400" w14:textId="77777777">
        <w:trPr>
          <w:trHeight w:val="1845"/>
        </w:trPr>
        <w:tc>
          <w:tcPr>
            <w:tcW w:w="4425" w:type="dxa"/>
            <w:tcBorders>
              <w:top w:val="nil"/>
              <w:left w:val="single" w:sz="5" w:space="0" w:color="A6A6A6"/>
              <w:bottom w:val="single" w:sz="5" w:space="0" w:color="A6A6A6"/>
              <w:right w:val="single" w:sz="5" w:space="0" w:color="A6A6A6"/>
            </w:tcBorders>
            <w:tcMar>
              <w:top w:w="0" w:type="dxa"/>
              <w:left w:w="100" w:type="dxa"/>
              <w:bottom w:w="0" w:type="dxa"/>
              <w:right w:w="100" w:type="dxa"/>
            </w:tcMar>
          </w:tcPr>
          <w:p w14:paraId="6EC4C277" w14:textId="77777777" w:rsidR="00AA5550" w:rsidRDefault="00045FF4">
            <w:pPr>
              <w:spacing w:before="240" w:after="240"/>
              <w:jc w:val="center"/>
              <w:rPr>
                <w:rFonts w:ascii="Century Gothic" w:eastAsia="Century Gothic" w:hAnsi="Century Gothic" w:cs="Century Gothic"/>
                <w:b/>
                <w:sz w:val="20"/>
                <w:szCs w:val="20"/>
              </w:rPr>
            </w:pPr>
            <w:r>
              <w:rPr>
                <w:noProof/>
              </w:rPr>
              <w:drawing>
                <wp:anchor distT="114300" distB="114300" distL="114300" distR="114300" simplePos="0" relativeHeight="251663360" behindDoc="1" locked="0" layoutInCell="1" hidden="0" allowOverlap="1" wp14:anchorId="4FD3C7FB" wp14:editId="0AABC386">
                  <wp:simplePos x="0" y="0"/>
                  <wp:positionH relativeFrom="column">
                    <wp:posOffset>166688</wp:posOffset>
                  </wp:positionH>
                  <wp:positionV relativeFrom="paragraph">
                    <wp:posOffset>171450</wp:posOffset>
                  </wp:positionV>
                  <wp:extent cx="2343150" cy="1657350"/>
                  <wp:effectExtent l="0" t="0" r="0" b="0"/>
                  <wp:wrapNone/>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2343150" cy="1657350"/>
                          </a:xfrm>
                          <a:prstGeom prst="rect">
                            <a:avLst/>
                          </a:prstGeom>
                          <a:ln/>
                        </pic:spPr>
                      </pic:pic>
                    </a:graphicData>
                  </a:graphic>
                </wp:anchor>
              </w:drawing>
            </w:r>
          </w:p>
          <w:p w14:paraId="0D653CC7" w14:textId="77777777" w:rsidR="00AA5550" w:rsidRDefault="00AA5550">
            <w:pPr>
              <w:spacing w:before="240" w:after="240"/>
              <w:jc w:val="center"/>
              <w:rPr>
                <w:rFonts w:ascii="Century Gothic" w:eastAsia="Century Gothic" w:hAnsi="Century Gothic" w:cs="Century Gothic"/>
                <w:b/>
                <w:sz w:val="20"/>
                <w:szCs w:val="20"/>
              </w:rPr>
            </w:pPr>
          </w:p>
          <w:p w14:paraId="7FD96758" w14:textId="77777777" w:rsidR="00AA5550" w:rsidRDefault="00AA5550">
            <w:pPr>
              <w:spacing w:before="240" w:after="240"/>
              <w:jc w:val="center"/>
              <w:rPr>
                <w:rFonts w:ascii="Century Gothic" w:eastAsia="Century Gothic" w:hAnsi="Century Gothic" w:cs="Century Gothic"/>
                <w:b/>
                <w:sz w:val="20"/>
                <w:szCs w:val="20"/>
              </w:rPr>
            </w:pPr>
          </w:p>
          <w:p w14:paraId="525E9EFE" w14:textId="77777777" w:rsidR="00AA5550" w:rsidRDefault="00045FF4">
            <w:pPr>
              <w:jc w:val="center"/>
              <w:rPr>
                <w:rFonts w:ascii="Arial Narrow" w:eastAsia="Arial Narrow" w:hAnsi="Arial Narrow" w:cs="Arial Narrow"/>
                <w:b/>
                <w:sz w:val="24"/>
                <w:szCs w:val="24"/>
              </w:rPr>
            </w:pPr>
            <w:r>
              <w:rPr>
                <w:rFonts w:ascii="Arial Narrow" w:eastAsia="Arial Narrow" w:hAnsi="Arial Narrow" w:cs="Arial Narrow"/>
                <w:b/>
                <w:sz w:val="24"/>
                <w:szCs w:val="24"/>
              </w:rPr>
              <w:t>LUIS CARLOS OCHOA TOBON</w:t>
            </w:r>
          </w:p>
          <w:p w14:paraId="13065237" w14:textId="77777777" w:rsidR="00AA5550" w:rsidRDefault="00045FF4">
            <w:pPr>
              <w:jc w:val="center"/>
              <w:rPr>
                <w:rFonts w:ascii="Century Gothic" w:eastAsia="Century Gothic" w:hAnsi="Century Gothic" w:cs="Century Gothic"/>
                <w:b/>
                <w:sz w:val="20"/>
                <w:szCs w:val="20"/>
              </w:rPr>
            </w:pPr>
            <w:r>
              <w:rPr>
                <w:rFonts w:ascii="Arial Narrow" w:eastAsia="Arial Narrow" w:hAnsi="Arial Narrow" w:cs="Arial Narrow"/>
                <w:sz w:val="24"/>
                <w:szCs w:val="24"/>
              </w:rPr>
              <w:t>Representante a la Cámara por Antioquia</w:t>
            </w:r>
          </w:p>
        </w:tc>
        <w:tc>
          <w:tcPr>
            <w:tcW w:w="5040" w:type="dxa"/>
            <w:tcBorders>
              <w:top w:val="nil"/>
              <w:left w:val="nil"/>
              <w:bottom w:val="single" w:sz="5" w:space="0" w:color="A6A6A6"/>
              <w:right w:val="single" w:sz="5" w:space="0" w:color="A6A6A6"/>
            </w:tcBorders>
            <w:tcMar>
              <w:top w:w="0" w:type="dxa"/>
              <w:left w:w="100" w:type="dxa"/>
              <w:bottom w:w="0" w:type="dxa"/>
              <w:right w:w="100" w:type="dxa"/>
            </w:tcMar>
          </w:tcPr>
          <w:p w14:paraId="748CB695" w14:textId="77777777" w:rsidR="00AA5550" w:rsidRDefault="00045FF4">
            <w:pPr>
              <w:spacing w:before="240" w:after="240"/>
              <w:jc w:val="center"/>
              <w:rPr>
                <w:rFonts w:ascii="Century Gothic" w:eastAsia="Century Gothic" w:hAnsi="Century Gothic" w:cs="Century Gothic"/>
                <w:b/>
                <w:sz w:val="20"/>
                <w:szCs w:val="20"/>
              </w:rPr>
            </w:pPr>
            <w:r>
              <w:rPr>
                <w:noProof/>
              </w:rPr>
              <w:drawing>
                <wp:anchor distT="114300" distB="114300" distL="114300" distR="114300" simplePos="0" relativeHeight="251664384" behindDoc="0" locked="0" layoutInCell="1" hidden="0" allowOverlap="1" wp14:anchorId="7A78AF43" wp14:editId="02E89767">
                  <wp:simplePos x="0" y="0"/>
                  <wp:positionH relativeFrom="column">
                    <wp:posOffset>495300</wp:posOffset>
                  </wp:positionH>
                  <wp:positionV relativeFrom="paragraph">
                    <wp:posOffset>285750</wp:posOffset>
                  </wp:positionV>
                  <wp:extent cx="1782852" cy="1039997"/>
                  <wp:effectExtent l="0" t="0" r="0" b="0"/>
                  <wp:wrapNone/>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a:srcRect/>
                          <a:stretch>
                            <a:fillRect/>
                          </a:stretch>
                        </pic:blipFill>
                        <pic:spPr>
                          <a:xfrm>
                            <a:off x="0" y="0"/>
                            <a:ext cx="1782852" cy="1039997"/>
                          </a:xfrm>
                          <a:prstGeom prst="rect">
                            <a:avLst/>
                          </a:prstGeom>
                          <a:ln/>
                        </pic:spPr>
                      </pic:pic>
                    </a:graphicData>
                  </a:graphic>
                </wp:anchor>
              </w:drawing>
            </w:r>
          </w:p>
          <w:p w14:paraId="55457195" w14:textId="77777777" w:rsidR="00AA5550" w:rsidRDefault="00AA5550">
            <w:pPr>
              <w:spacing w:before="240" w:after="240"/>
              <w:jc w:val="center"/>
              <w:rPr>
                <w:rFonts w:ascii="Century Gothic" w:eastAsia="Century Gothic" w:hAnsi="Century Gothic" w:cs="Century Gothic"/>
                <w:b/>
                <w:sz w:val="20"/>
                <w:szCs w:val="20"/>
              </w:rPr>
            </w:pPr>
          </w:p>
          <w:p w14:paraId="642339EB" w14:textId="77777777" w:rsidR="00AA5550" w:rsidRDefault="00AA5550">
            <w:pPr>
              <w:spacing w:before="240" w:after="240"/>
              <w:jc w:val="center"/>
              <w:rPr>
                <w:rFonts w:ascii="Century Gothic" w:eastAsia="Century Gothic" w:hAnsi="Century Gothic" w:cs="Century Gothic"/>
                <w:b/>
                <w:sz w:val="20"/>
                <w:szCs w:val="20"/>
              </w:rPr>
            </w:pPr>
          </w:p>
          <w:p w14:paraId="3671CF94" w14:textId="77777777" w:rsidR="00AA5550" w:rsidRDefault="00045F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JOSÉ JAIME USCÁTEGUI PASTRANA</w:t>
            </w:r>
          </w:p>
          <w:p w14:paraId="47352720" w14:textId="77777777" w:rsidR="00AA5550" w:rsidRDefault="00045F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Representante a la Cámara</w:t>
            </w:r>
          </w:p>
          <w:p w14:paraId="5D2ABF9B" w14:textId="77777777" w:rsidR="00AA5550" w:rsidRDefault="00AA5550">
            <w:pPr>
              <w:spacing w:before="240" w:after="240"/>
              <w:jc w:val="center"/>
              <w:rPr>
                <w:rFonts w:ascii="Century Gothic" w:eastAsia="Century Gothic" w:hAnsi="Century Gothic" w:cs="Century Gothic"/>
                <w:b/>
                <w:sz w:val="20"/>
                <w:szCs w:val="20"/>
              </w:rPr>
            </w:pPr>
          </w:p>
        </w:tc>
      </w:tr>
    </w:tbl>
    <w:p w14:paraId="084003E9" w14:textId="77777777" w:rsidR="00AA5550" w:rsidRDefault="00AA5550">
      <w:pPr>
        <w:rPr>
          <w:rFonts w:ascii="Century Gothic" w:eastAsia="Century Gothic" w:hAnsi="Century Gothic" w:cs="Century Gothic"/>
          <w:b/>
        </w:rPr>
      </w:pPr>
    </w:p>
    <w:p w14:paraId="1AE2C84E" w14:textId="77777777" w:rsidR="00AA5550" w:rsidRDefault="00AA5550">
      <w:pPr>
        <w:rPr>
          <w:rFonts w:ascii="Century Gothic" w:eastAsia="Century Gothic" w:hAnsi="Century Gothic" w:cs="Century Gothic"/>
          <w:b/>
        </w:rPr>
      </w:pPr>
    </w:p>
    <w:p w14:paraId="092B16D4" w14:textId="77777777" w:rsidR="00AA5550" w:rsidRDefault="00AA5550">
      <w:pPr>
        <w:rPr>
          <w:rFonts w:ascii="Century Gothic" w:eastAsia="Century Gothic" w:hAnsi="Century Gothic" w:cs="Century Gothic"/>
          <w:b/>
        </w:rPr>
      </w:pPr>
    </w:p>
    <w:p w14:paraId="55178939" w14:textId="77777777" w:rsidR="00AA5550" w:rsidRDefault="00AA5550">
      <w:pPr>
        <w:rPr>
          <w:rFonts w:ascii="Century Gothic" w:eastAsia="Century Gothic" w:hAnsi="Century Gothic" w:cs="Century Gothic"/>
          <w:b/>
        </w:rPr>
      </w:pPr>
    </w:p>
    <w:p w14:paraId="02F8311E" w14:textId="77777777" w:rsidR="00AA5550" w:rsidRDefault="00AA5550">
      <w:pPr>
        <w:rPr>
          <w:rFonts w:ascii="Century Gothic" w:eastAsia="Century Gothic" w:hAnsi="Century Gothic" w:cs="Century Gothic"/>
          <w:b/>
        </w:rPr>
      </w:pPr>
    </w:p>
    <w:p w14:paraId="06810479" w14:textId="77777777" w:rsidR="00AA5550" w:rsidRDefault="00AA5550">
      <w:pPr>
        <w:rPr>
          <w:rFonts w:ascii="Century Gothic" w:eastAsia="Century Gothic" w:hAnsi="Century Gothic" w:cs="Century Gothic"/>
          <w:b/>
        </w:rPr>
      </w:pPr>
    </w:p>
    <w:p w14:paraId="7E9EA80A" w14:textId="77777777" w:rsidR="00AA5550" w:rsidRDefault="00AA5550">
      <w:pPr>
        <w:rPr>
          <w:rFonts w:ascii="Century Gothic" w:eastAsia="Century Gothic" w:hAnsi="Century Gothic" w:cs="Century Gothic"/>
          <w:b/>
        </w:rPr>
      </w:pPr>
    </w:p>
    <w:p w14:paraId="27A18391" w14:textId="77777777" w:rsidR="00AA5550" w:rsidRDefault="00AA5550">
      <w:pPr>
        <w:rPr>
          <w:rFonts w:ascii="Century Gothic" w:eastAsia="Century Gothic" w:hAnsi="Century Gothic" w:cs="Century Gothic"/>
          <w:b/>
        </w:rPr>
      </w:pPr>
    </w:p>
    <w:p w14:paraId="7A4115EF" w14:textId="77777777" w:rsidR="00AA5550" w:rsidRDefault="00AA5550">
      <w:pPr>
        <w:rPr>
          <w:rFonts w:ascii="Century Gothic" w:eastAsia="Century Gothic" w:hAnsi="Century Gothic" w:cs="Century Gothic"/>
          <w:b/>
        </w:rPr>
      </w:pPr>
    </w:p>
    <w:p w14:paraId="2DF35DDF" w14:textId="77777777" w:rsidR="00AA5550" w:rsidRDefault="00AA5550">
      <w:pPr>
        <w:rPr>
          <w:rFonts w:ascii="Century Gothic" w:eastAsia="Century Gothic" w:hAnsi="Century Gothic" w:cs="Century Gothic"/>
          <w:b/>
        </w:rPr>
      </w:pPr>
    </w:p>
    <w:p w14:paraId="6C650B27" w14:textId="77777777" w:rsidR="00AA5550" w:rsidRDefault="00045FF4">
      <w:pPr>
        <w:jc w:val="center"/>
        <w:rPr>
          <w:rFonts w:ascii="Century Gothic" w:eastAsia="Century Gothic" w:hAnsi="Century Gothic" w:cs="Century Gothic"/>
          <w:b/>
        </w:rPr>
      </w:pPr>
      <w:r>
        <w:rPr>
          <w:rFonts w:ascii="Century Gothic" w:eastAsia="Century Gothic" w:hAnsi="Century Gothic" w:cs="Century Gothic"/>
          <w:b/>
        </w:rPr>
        <w:t>PROYECTO DE LEY No. _______ 2025</w:t>
      </w:r>
    </w:p>
    <w:p w14:paraId="7B69BA85" w14:textId="77777777" w:rsidR="00AA5550" w:rsidRDefault="00045FF4">
      <w:pPr>
        <w:jc w:val="center"/>
        <w:rPr>
          <w:rFonts w:ascii="Century Gothic" w:eastAsia="Century Gothic" w:hAnsi="Century Gothic" w:cs="Century Gothic"/>
          <w:b/>
        </w:rPr>
      </w:pPr>
      <w:r>
        <w:rPr>
          <w:rFonts w:ascii="Century Gothic" w:eastAsia="Century Gothic" w:hAnsi="Century Gothic" w:cs="Century Gothic"/>
          <w:b/>
        </w:rPr>
        <w:t>“Por medio de la cual se establecen lineamientos para la promoción y garantía de entornos seguros y protectores para mujeres, niñas, niños y adolescentes, y se dictan otras disposiciones.”</w:t>
      </w:r>
    </w:p>
    <w:p w14:paraId="22257B20" w14:textId="77777777" w:rsidR="00AA5550" w:rsidRDefault="00AA5550">
      <w:pPr>
        <w:rPr>
          <w:rFonts w:ascii="Century Gothic" w:eastAsia="Century Gothic" w:hAnsi="Century Gothic" w:cs="Century Gothic"/>
          <w:b/>
        </w:rPr>
      </w:pPr>
    </w:p>
    <w:p w14:paraId="12F14961" w14:textId="77777777" w:rsidR="00AA5550" w:rsidRDefault="00045FF4">
      <w:pPr>
        <w:widowControl w:val="0"/>
        <w:pBdr>
          <w:top w:val="nil"/>
          <w:left w:val="nil"/>
          <w:bottom w:val="nil"/>
          <w:right w:val="nil"/>
          <w:between w:val="nil"/>
        </w:pBdr>
        <w:rPr>
          <w:rFonts w:ascii="Century Gothic" w:eastAsia="Century Gothic" w:hAnsi="Century Gothic" w:cs="Century Gothic"/>
          <w:b/>
          <w:color w:val="000000"/>
        </w:rPr>
      </w:pPr>
      <w:r>
        <w:rPr>
          <w:rFonts w:ascii="Century Gothic" w:eastAsia="Century Gothic" w:hAnsi="Century Gothic" w:cs="Century Gothic"/>
          <w:b/>
          <w:color w:val="000000"/>
        </w:rPr>
        <w:t>CONTENIDO</w:t>
      </w:r>
    </w:p>
    <w:sdt>
      <w:sdtPr>
        <w:id w:val="-637735148"/>
        <w:docPartObj>
          <w:docPartGallery w:val="Table of Contents"/>
          <w:docPartUnique/>
        </w:docPartObj>
      </w:sdtPr>
      <w:sdtEndPr/>
      <w:sdtContent>
        <w:p w14:paraId="4D98BE0B" w14:textId="77777777" w:rsidR="00AA5550" w:rsidRDefault="00045FF4">
          <w:pPr>
            <w:widowControl w:val="0"/>
            <w:tabs>
              <w:tab w:val="right" w:pos="12000"/>
            </w:tabs>
            <w:spacing w:before="60" w:line="240" w:lineRule="auto"/>
            <w:rPr>
              <w:b/>
              <w:color w:val="000000"/>
            </w:rPr>
          </w:pPr>
          <w:r>
            <w:fldChar w:fldCharType="begin"/>
          </w:r>
          <w:r>
            <w:instrText xml:space="preserve"> TOC \h \u \z \t "Heading 1,1,Heading 2,2,Heading 3,3,"</w:instrText>
          </w:r>
          <w:r>
            <w:fldChar w:fldCharType="separate"/>
          </w:r>
          <w:hyperlink w:anchor="_heading=h.ucjfc7zc4wf2">
            <w:r>
              <w:rPr>
                <w:rFonts w:ascii="Century Gothic" w:eastAsia="Century Gothic" w:hAnsi="Century Gothic" w:cs="Century Gothic"/>
                <w:b/>
                <w:color w:val="000000"/>
              </w:rPr>
              <w:t>II. ANÁLISIS Y CONSIDERACIONES DEL PROYECTO DE LEY</w:t>
            </w:r>
            <w:r>
              <w:rPr>
                <w:rFonts w:ascii="Century Gothic" w:eastAsia="Century Gothic" w:hAnsi="Century Gothic" w:cs="Century Gothic"/>
                <w:b/>
                <w:color w:val="000000"/>
              </w:rPr>
              <w:tab/>
              <w:t>22</w:t>
            </w:r>
          </w:hyperlink>
        </w:p>
        <w:p w14:paraId="77BF817C" w14:textId="77777777" w:rsidR="00AA5550" w:rsidRDefault="00045FF4">
          <w:pPr>
            <w:widowControl w:val="0"/>
            <w:tabs>
              <w:tab w:val="right" w:pos="12000"/>
            </w:tabs>
            <w:spacing w:before="60" w:line="240" w:lineRule="auto"/>
            <w:rPr>
              <w:b/>
              <w:color w:val="000000"/>
            </w:rPr>
          </w:pPr>
          <w:hyperlink w:anchor="_heading=h.2qtsxovgjnx">
            <w:r>
              <w:rPr>
                <w:rFonts w:ascii="Century Gothic" w:eastAsia="Century Gothic" w:hAnsi="Century Gothic" w:cs="Century Gothic"/>
                <w:b/>
                <w:color w:val="000000"/>
              </w:rPr>
              <w:t>III. MARCO NORMATIVO VIGENTE Y SUS LIMITACIONES ESTRUCTU</w:t>
            </w:r>
            <w:r>
              <w:rPr>
                <w:rFonts w:ascii="Century Gothic" w:eastAsia="Century Gothic" w:hAnsi="Century Gothic" w:cs="Century Gothic"/>
                <w:b/>
                <w:color w:val="000000"/>
              </w:rPr>
              <w:t>RALES</w:t>
            </w:r>
            <w:r>
              <w:rPr>
                <w:rFonts w:ascii="Century Gothic" w:eastAsia="Century Gothic" w:hAnsi="Century Gothic" w:cs="Century Gothic"/>
                <w:b/>
                <w:color w:val="000000"/>
              </w:rPr>
              <w:tab/>
              <w:t>24</w:t>
            </w:r>
          </w:hyperlink>
        </w:p>
        <w:p w14:paraId="08D77BEB" w14:textId="77777777" w:rsidR="00AA5550" w:rsidRDefault="00045FF4">
          <w:pPr>
            <w:widowControl w:val="0"/>
            <w:tabs>
              <w:tab w:val="right" w:pos="12000"/>
            </w:tabs>
            <w:spacing w:before="60" w:line="240" w:lineRule="auto"/>
            <w:ind w:left="720"/>
            <w:rPr>
              <w:color w:val="000000"/>
            </w:rPr>
          </w:pPr>
          <w:hyperlink w:anchor="_heading=h.abw2irw1vops">
            <w:r>
              <w:rPr>
                <w:rFonts w:ascii="Century Gothic" w:eastAsia="Century Gothic" w:hAnsi="Century Gothic" w:cs="Century Gothic"/>
                <w:b/>
                <w:color w:val="000000"/>
              </w:rPr>
              <w:t>i. Fragmentación Normativa y desarticulación Institucional</w:t>
            </w:r>
            <w:r>
              <w:rPr>
                <w:rFonts w:ascii="Century Gothic" w:eastAsia="Century Gothic" w:hAnsi="Century Gothic" w:cs="Century Gothic"/>
                <w:b/>
                <w:color w:val="000000"/>
              </w:rPr>
              <w:tab/>
              <w:t>24</w:t>
            </w:r>
          </w:hyperlink>
        </w:p>
        <w:p w14:paraId="4DB9A23D" w14:textId="77777777" w:rsidR="00AA5550" w:rsidRDefault="00045FF4">
          <w:pPr>
            <w:widowControl w:val="0"/>
            <w:tabs>
              <w:tab w:val="right" w:pos="12000"/>
            </w:tabs>
            <w:spacing w:before="60" w:line="240" w:lineRule="auto"/>
            <w:ind w:left="720"/>
            <w:rPr>
              <w:color w:val="000000"/>
            </w:rPr>
          </w:pPr>
          <w:hyperlink w:anchor="_heading=h.jr30pgymlor2">
            <w:r>
              <w:rPr>
                <w:rFonts w:ascii="Century Gothic" w:eastAsia="Century Gothic" w:hAnsi="Century Gothic" w:cs="Century Gothic"/>
                <w:b/>
                <w:color w:val="000000"/>
              </w:rPr>
              <w:t>ii. Ausencia de estrategia jurídica territorial integral</w:t>
            </w:r>
            <w:r>
              <w:rPr>
                <w:rFonts w:ascii="Century Gothic" w:eastAsia="Century Gothic" w:hAnsi="Century Gothic" w:cs="Century Gothic"/>
                <w:b/>
                <w:color w:val="000000"/>
              </w:rPr>
              <w:tab/>
              <w:t>24</w:t>
            </w:r>
          </w:hyperlink>
        </w:p>
        <w:p w14:paraId="6591DD04" w14:textId="77777777" w:rsidR="00AA5550" w:rsidRDefault="00045FF4">
          <w:pPr>
            <w:widowControl w:val="0"/>
            <w:tabs>
              <w:tab w:val="right" w:pos="12000"/>
            </w:tabs>
            <w:spacing w:before="60" w:line="240" w:lineRule="auto"/>
            <w:ind w:left="720"/>
            <w:rPr>
              <w:color w:val="000000"/>
            </w:rPr>
          </w:pPr>
          <w:hyperlink w:anchor="_heading=h.7o8y3ucclh0k">
            <w:r>
              <w:rPr>
                <w:rFonts w:ascii="Century Gothic" w:eastAsia="Century Gothic" w:hAnsi="Century Gothic" w:cs="Century Gothic"/>
                <w:b/>
                <w:color w:val="000000"/>
              </w:rPr>
              <w:t>iii. Déficit en evaluación, seguimiento y rendición de cuentas</w:t>
            </w:r>
            <w:r>
              <w:rPr>
                <w:rFonts w:ascii="Century Gothic" w:eastAsia="Century Gothic" w:hAnsi="Century Gothic" w:cs="Century Gothic"/>
                <w:b/>
                <w:color w:val="000000"/>
              </w:rPr>
              <w:tab/>
              <w:t>25</w:t>
            </w:r>
          </w:hyperlink>
        </w:p>
        <w:p w14:paraId="27D8E102" w14:textId="77777777" w:rsidR="00AA5550" w:rsidRDefault="00045FF4">
          <w:pPr>
            <w:widowControl w:val="0"/>
            <w:tabs>
              <w:tab w:val="right" w:pos="12000"/>
            </w:tabs>
            <w:spacing w:before="60" w:line="240" w:lineRule="auto"/>
            <w:ind w:left="720"/>
            <w:rPr>
              <w:color w:val="000000"/>
            </w:rPr>
          </w:pPr>
          <w:hyperlink w:anchor="_heading=h.f5kus753teyx">
            <w:r>
              <w:rPr>
                <w:rFonts w:ascii="Century Gothic" w:eastAsia="Century Gothic" w:hAnsi="Century Gothic" w:cs="Century Gothic"/>
                <w:b/>
                <w:color w:val="000000"/>
              </w:rPr>
              <w:t>iv. Ausencia de enfoques transformadores transversales</w:t>
            </w:r>
            <w:r>
              <w:rPr>
                <w:rFonts w:ascii="Century Gothic" w:eastAsia="Century Gothic" w:hAnsi="Century Gothic" w:cs="Century Gothic"/>
                <w:b/>
                <w:color w:val="000000"/>
              </w:rPr>
              <w:tab/>
              <w:t>25</w:t>
            </w:r>
          </w:hyperlink>
        </w:p>
        <w:p w14:paraId="463CDB8C" w14:textId="77777777" w:rsidR="00AA5550" w:rsidRDefault="00045FF4">
          <w:pPr>
            <w:widowControl w:val="0"/>
            <w:tabs>
              <w:tab w:val="right" w:pos="12000"/>
            </w:tabs>
            <w:spacing w:before="60" w:line="240" w:lineRule="auto"/>
            <w:ind w:left="720"/>
            <w:rPr>
              <w:color w:val="000000"/>
            </w:rPr>
          </w:pPr>
          <w:hyperlink w:anchor="_heading=h.dkfvgafcjjry">
            <w:r>
              <w:rPr>
                <w:rFonts w:ascii="Century Gothic" w:eastAsia="Century Gothic" w:hAnsi="Century Gothic" w:cs="Century Gothic"/>
                <w:b/>
                <w:color w:val="000000"/>
              </w:rPr>
              <w:t>v. Compromisos Instituciona</w:t>
            </w:r>
            <w:r>
              <w:rPr>
                <w:rFonts w:ascii="Century Gothic" w:eastAsia="Century Gothic" w:hAnsi="Century Gothic" w:cs="Century Gothic"/>
                <w:b/>
                <w:color w:val="000000"/>
              </w:rPr>
              <w:t>les y Marco Internacional</w:t>
            </w:r>
            <w:r>
              <w:rPr>
                <w:rFonts w:ascii="Century Gothic" w:eastAsia="Century Gothic" w:hAnsi="Century Gothic" w:cs="Century Gothic"/>
                <w:b/>
                <w:color w:val="000000"/>
              </w:rPr>
              <w:tab/>
              <w:t>25</w:t>
            </w:r>
          </w:hyperlink>
        </w:p>
        <w:p w14:paraId="27BF7130" w14:textId="77777777" w:rsidR="00AA5550" w:rsidRDefault="00045FF4">
          <w:pPr>
            <w:widowControl w:val="0"/>
            <w:tabs>
              <w:tab w:val="right" w:pos="12000"/>
            </w:tabs>
            <w:spacing w:before="60" w:line="240" w:lineRule="auto"/>
            <w:ind w:left="720"/>
            <w:rPr>
              <w:color w:val="000000"/>
            </w:rPr>
          </w:pPr>
          <w:hyperlink w:anchor="_heading=h.cgp43qov897t">
            <w:r>
              <w:rPr>
                <w:rFonts w:ascii="Century Gothic" w:eastAsia="Century Gothic" w:hAnsi="Century Gothic" w:cs="Century Gothic"/>
                <w:b/>
                <w:color w:val="000000"/>
              </w:rPr>
              <w:t>vi. Marco Internacional y Objetivos de Desarrollo Sostenible</w:t>
            </w:r>
            <w:r>
              <w:rPr>
                <w:rFonts w:ascii="Century Gothic" w:eastAsia="Century Gothic" w:hAnsi="Century Gothic" w:cs="Century Gothic"/>
                <w:b/>
                <w:color w:val="000000"/>
              </w:rPr>
              <w:tab/>
              <w:t>26</w:t>
            </w:r>
          </w:hyperlink>
        </w:p>
        <w:p w14:paraId="7666046B" w14:textId="77777777" w:rsidR="00AA5550" w:rsidRDefault="00045FF4">
          <w:pPr>
            <w:widowControl w:val="0"/>
            <w:tabs>
              <w:tab w:val="right" w:pos="12000"/>
            </w:tabs>
            <w:spacing w:before="60" w:line="240" w:lineRule="auto"/>
            <w:ind w:left="720"/>
            <w:rPr>
              <w:color w:val="000000"/>
            </w:rPr>
          </w:pPr>
          <w:hyperlink w:anchor="_heading=h.xt80lo3tmd85">
            <w:r>
              <w:rPr>
                <w:rFonts w:ascii="Century Gothic" w:eastAsia="Century Gothic" w:hAnsi="Century Gothic" w:cs="Century Gothic"/>
                <w:b/>
                <w:color w:val="000000"/>
              </w:rPr>
              <w:t>vii. Enfoque Diferencial e Interseccionalidad</w:t>
            </w:r>
            <w:r>
              <w:rPr>
                <w:rFonts w:ascii="Century Gothic" w:eastAsia="Century Gothic" w:hAnsi="Century Gothic" w:cs="Century Gothic"/>
                <w:b/>
                <w:color w:val="000000"/>
              </w:rPr>
              <w:tab/>
              <w:t>26</w:t>
            </w:r>
          </w:hyperlink>
        </w:p>
        <w:p w14:paraId="42C46FBC" w14:textId="77777777" w:rsidR="00AA5550" w:rsidRDefault="00045FF4">
          <w:pPr>
            <w:widowControl w:val="0"/>
            <w:tabs>
              <w:tab w:val="right" w:pos="12000"/>
            </w:tabs>
            <w:spacing w:before="60" w:line="240" w:lineRule="auto"/>
            <w:ind w:left="720"/>
            <w:rPr>
              <w:color w:val="000000"/>
            </w:rPr>
          </w:pPr>
          <w:hyperlink w:anchor="_heading=h.ola1s22j46v9">
            <w:r>
              <w:rPr>
                <w:rFonts w:ascii="Century Gothic" w:eastAsia="Century Gothic" w:hAnsi="Century Gothic" w:cs="Century Gothic"/>
                <w:b/>
                <w:color w:val="000000"/>
              </w:rPr>
              <w:t>viii. Necesidad de Transformación Estructural y Cultural</w:t>
            </w:r>
            <w:r>
              <w:rPr>
                <w:rFonts w:ascii="Century Gothic" w:eastAsia="Century Gothic" w:hAnsi="Century Gothic" w:cs="Century Gothic"/>
                <w:b/>
                <w:color w:val="000000"/>
              </w:rPr>
              <w:tab/>
              <w:t>27</w:t>
            </w:r>
          </w:hyperlink>
        </w:p>
        <w:p w14:paraId="04FF6AAC" w14:textId="77777777" w:rsidR="00AA5550" w:rsidRDefault="00045FF4">
          <w:pPr>
            <w:widowControl w:val="0"/>
            <w:tabs>
              <w:tab w:val="right" w:pos="12000"/>
            </w:tabs>
            <w:spacing w:before="60" w:line="240" w:lineRule="auto"/>
            <w:rPr>
              <w:b/>
              <w:color w:val="000000"/>
            </w:rPr>
          </w:pPr>
          <w:hyperlink w:anchor="_heading=h.50q1ltrecupv">
            <w:r>
              <w:rPr>
                <w:rFonts w:ascii="Century Gothic" w:eastAsia="Century Gothic" w:hAnsi="Century Gothic" w:cs="Century Gothic"/>
                <w:b/>
                <w:color w:val="000000"/>
              </w:rPr>
              <w:t>III. DIAGNÓSTICO EN CIFRAS</w:t>
            </w:r>
            <w:r>
              <w:rPr>
                <w:rFonts w:ascii="Century Gothic" w:eastAsia="Century Gothic" w:hAnsi="Century Gothic" w:cs="Century Gothic"/>
                <w:b/>
                <w:color w:val="000000"/>
              </w:rPr>
              <w:tab/>
              <w:t>27</w:t>
            </w:r>
          </w:hyperlink>
        </w:p>
        <w:p w14:paraId="55AC0720" w14:textId="77777777" w:rsidR="00AA5550" w:rsidRDefault="00045FF4">
          <w:pPr>
            <w:widowControl w:val="0"/>
            <w:tabs>
              <w:tab w:val="right" w:pos="12000"/>
            </w:tabs>
            <w:spacing w:before="60" w:line="240" w:lineRule="auto"/>
            <w:rPr>
              <w:b/>
              <w:color w:val="000000"/>
            </w:rPr>
          </w:pPr>
          <w:hyperlink w:anchor="_heading=h.msmk3z632sxx">
            <w:r>
              <w:rPr>
                <w:rFonts w:ascii="Century Gothic" w:eastAsia="Century Gothic" w:hAnsi="Century Gothic" w:cs="Century Gothic"/>
                <w:b/>
                <w:color w:val="000000"/>
              </w:rPr>
              <w:t>IV. MARCO NORMATIVO</w:t>
            </w:r>
            <w:r>
              <w:rPr>
                <w:rFonts w:ascii="Century Gothic" w:eastAsia="Century Gothic" w:hAnsi="Century Gothic" w:cs="Century Gothic"/>
                <w:b/>
                <w:color w:val="000000"/>
              </w:rPr>
              <w:tab/>
              <w:t>35</w:t>
            </w:r>
          </w:hyperlink>
        </w:p>
        <w:p w14:paraId="439A2AC5" w14:textId="77777777" w:rsidR="00AA5550" w:rsidRDefault="00045FF4">
          <w:pPr>
            <w:widowControl w:val="0"/>
            <w:tabs>
              <w:tab w:val="right" w:pos="12000"/>
            </w:tabs>
            <w:spacing w:before="60" w:line="240" w:lineRule="auto"/>
            <w:rPr>
              <w:b/>
              <w:color w:val="000000"/>
            </w:rPr>
          </w:pPr>
          <w:hyperlink w:anchor="_heading=h.w50v029qhvaz">
            <w:r>
              <w:rPr>
                <w:rFonts w:ascii="Century Gothic" w:eastAsia="Century Gothic" w:hAnsi="Century Gothic" w:cs="Century Gothic"/>
                <w:b/>
                <w:color w:val="000000"/>
              </w:rPr>
              <w:t>V. FUNDAMENTO CONSTITUCIONAL DESARROLLADO</w:t>
            </w:r>
            <w:r>
              <w:rPr>
                <w:rFonts w:ascii="Century Gothic" w:eastAsia="Century Gothic" w:hAnsi="Century Gothic" w:cs="Century Gothic"/>
                <w:b/>
                <w:color w:val="000000"/>
              </w:rPr>
              <w:tab/>
              <w:t>35</w:t>
            </w:r>
          </w:hyperlink>
        </w:p>
        <w:p w14:paraId="0C67A0BC" w14:textId="77777777" w:rsidR="00AA5550" w:rsidRDefault="00045FF4">
          <w:pPr>
            <w:widowControl w:val="0"/>
            <w:tabs>
              <w:tab w:val="right" w:pos="12000"/>
            </w:tabs>
            <w:spacing w:before="60" w:line="240" w:lineRule="auto"/>
            <w:ind w:left="360"/>
            <w:rPr>
              <w:color w:val="000000"/>
            </w:rPr>
          </w:pPr>
          <w:hyperlink w:anchor="_heading=h.nrqwylg1stge">
            <w:r>
              <w:rPr>
                <w:rFonts w:ascii="Century Gothic" w:eastAsia="Century Gothic" w:hAnsi="Century Gothic" w:cs="Century Gothic"/>
                <w:b/>
                <w:color w:val="000000"/>
              </w:rPr>
              <w:t>A. Artículo 1. Estado Social de Derecho, dignidad humana, solidaridad e interés general</w:t>
            </w:r>
            <w:r>
              <w:rPr>
                <w:rFonts w:ascii="Century Gothic" w:eastAsia="Century Gothic" w:hAnsi="Century Gothic" w:cs="Century Gothic"/>
                <w:b/>
                <w:color w:val="000000"/>
              </w:rPr>
              <w:tab/>
              <w:t>35</w:t>
            </w:r>
          </w:hyperlink>
        </w:p>
        <w:p w14:paraId="7E8E059D" w14:textId="77777777" w:rsidR="00AA5550" w:rsidRDefault="00045FF4">
          <w:pPr>
            <w:widowControl w:val="0"/>
            <w:tabs>
              <w:tab w:val="right" w:pos="12000"/>
            </w:tabs>
            <w:spacing w:before="60" w:line="240" w:lineRule="auto"/>
            <w:ind w:left="360"/>
            <w:rPr>
              <w:color w:val="000000"/>
            </w:rPr>
          </w:pPr>
          <w:hyperlink w:anchor="_heading=h.at2uea4h15kf">
            <w:r>
              <w:rPr>
                <w:rFonts w:ascii="Century Gothic" w:eastAsia="Century Gothic" w:hAnsi="Century Gothic" w:cs="Century Gothic"/>
                <w:b/>
                <w:color w:val="000000"/>
              </w:rPr>
              <w:t>B. Artículo 2. Fines esenciales del Estado</w:t>
            </w:r>
            <w:r>
              <w:rPr>
                <w:rFonts w:ascii="Century Gothic" w:eastAsia="Century Gothic" w:hAnsi="Century Gothic" w:cs="Century Gothic"/>
                <w:b/>
                <w:color w:val="000000"/>
              </w:rPr>
              <w:tab/>
              <w:t>36</w:t>
            </w:r>
          </w:hyperlink>
        </w:p>
        <w:p w14:paraId="297A5684" w14:textId="77777777" w:rsidR="00AA5550" w:rsidRDefault="00045FF4">
          <w:pPr>
            <w:widowControl w:val="0"/>
            <w:tabs>
              <w:tab w:val="right" w:pos="12000"/>
            </w:tabs>
            <w:spacing w:before="60" w:line="240" w:lineRule="auto"/>
            <w:ind w:left="360"/>
            <w:rPr>
              <w:color w:val="000000"/>
            </w:rPr>
          </w:pPr>
          <w:hyperlink w:anchor="_heading=h.7nkq1pvaigdp">
            <w:r>
              <w:rPr>
                <w:rFonts w:ascii="Century Gothic" w:eastAsia="Century Gothic" w:hAnsi="Century Gothic" w:cs="Century Gothic"/>
                <w:b/>
                <w:color w:val="000000"/>
              </w:rPr>
              <w:t>C. Artículo 5. Reconocimiento de la familia, la mujer y el menor como instituciones básicas</w:t>
            </w:r>
            <w:r>
              <w:rPr>
                <w:rFonts w:ascii="Century Gothic" w:eastAsia="Century Gothic" w:hAnsi="Century Gothic" w:cs="Century Gothic"/>
                <w:b/>
                <w:color w:val="000000"/>
              </w:rPr>
              <w:tab/>
              <w:t>36</w:t>
            </w:r>
          </w:hyperlink>
        </w:p>
        <w:p w14:paraId="5555D0CE" w14:textId="77777777" w:rsidR="00AA5550" w:rsidRDefault="00045FF4">
          <w:pPr>
            <w:widowControl w:val="0"/>
            <w:tabs>
              <w:tab w:val="right" w:pos="12000"/>
            </w:tabs>
            <w:spacing w:before="60" w:line="240" w:lineRule="auto"/>
            <w:ind w:left="360"/>
            <w:rPr>
              <w:color w:val="000000"/>
            </w:rPr>
          </w:pPr>
          <w:hyperlink w:anchor="_heading=h.7hf6mgmrspzr">
            <w:r>
              <w:rPr>
                <w:rFonts w:ascii="Century Gothic" w:eastAsia="Century Gothic" w:hAnsi="Century Gothic" w:cs="Century Gothic"/>
                <w:b/>
                <w:color w:val="000000"/>
              </w:rPr>
              <w:t>D. Artículo 11. Derecho a la vida</w:t>
            </w:r>
            <w:r>
              <w:rPr>
                <w:rFonts w:ascii="Century Gothic" w:eastAsia="Century Gothic" w:hAnsi="Century Gothic" w:cs="Century Gothic"/>
                <w:b/>
                <w:color w:val="000000"/>
              </w:rPr>
              <w:tab/>
              <w:t>36</w:t>
            </w:r>
          </w:hyperlink>
        </w:p>
        <w:p w14:paraId="58385A48" w14:textId="77777777" w:rsidR="00AA5550" w:rsidRDefault="00045FF4">
          <w:pPr>
            <w:widowControl w:val="0"/>
            <w:tabs>
              <w:tab w:val="right" w:pos="12000"/>
            </w:tabs>
            <w:spacing w:before="60" w:line="240" w:lineRule="auto"/>
            <w:ind w:left="360"/>
            <w:rPr>
              <w:color w:val="000000"/>
            </w:rPr>
          </w:pPr>
          <w:hyperlink w:anchor="_heading=h.lhccntvozt1o">
            <w:r>
              <w:rPr>
                <w:rFonts w:ascii="Century Gothic" w:eastAsia="Century Gothic" w:hAnsi="Century Gothic" w:cs="Century Gothic"/>
                <w:b/>
                <w:color w:val="000000"/>
              </w:rPr>
              <w:t>E. Artículo 12. Prohibición de tratos crueles, inhumanos o degradantes</w:t>
            </w:r>
            <w:r>
              <w:rPr>
                <w:rFonts w:ascii="Century Gothic" w:eastAsia="Century Gothic" w:hAnsi="Century Gothic" w:cs="Century Gothic"/>
                <w:b/>
                <w:color w:val="000000"/>
              </w:rPr>
              <w:tab/>
              <w:t>37</w:t>
            </w:r>
          </w:hyperlink>
        </w:p>
        <w:p w14:paraId="04EC6822" w14:textId="77777777" w:rsidR="00AA5550" w:rsidRDefault="00045FF4">
          <w:pPr>
            <w:widowControl w:val="0"/>
            <w:tabs>
              <w:tab w:val="right" w:pos="12000"/>
            </w:tabs>
            <w:spacing w:before="60" w:line="240" w:lineRule="auto"/>
            <w:ind w:left="360"/>
            <w:rPr>
              <w:color w:val="000000"/>
            </w:rPr>
          </w:pPr>
          <w:hyperlink w:anchor="_heading=h.z31q8v3ysbgn">
            <w:r>
              <w:rPr>
                <w:rFonts w:ascii="Century Gothic" w:eastAsia="Century Gothic" w:hAnsi="Century Gothic" w:cs="Century Gothic"/>
                <w:b/>
                <w:color w:val="000000"/>
              </w:rPr>
              <w:t>F. Artícu</w:t>
            </w:r>
            <w:r>
              <w:rPr>
                <w:rFonts w:ascii="Century Gothic" w:eastAsia="Century Gothic" w:hAnsi="Century Gothic" w:cs="Century Gothic"/>
                <w:b/>
                <w:color w:val="000000"/>
              </w:rPr>
              <w:t>lo 13. Igualdad formal y material</w:t>
            </w:r>
            <w:r>
              <w:rPr>
                <w:rFonts w:ascii="Century Gothic" w:eastAsia="Century Gothic" w:hAnsi="Century Gothic" w:cs="Century Gothic"/>
                <w:b/>
                <w:color w:val="000000"/>
              </w:rPr>
              <w:tab/>
              <w:t>37</w:t>
            </w:r>
          </w:hyperlink>
        </w:p>
        <w:p w14:paraId="7C638A02" w14:textId="77777777" w:rsidR="00AA5550" w:rsidRDefault="00045FF4">
          <w:pPr>
            <w:widowControl w:val="0"/>
            <w:tabs>
              <w:tab w:val="right" w:pos="12000"/>
            </w:tabs>
            <w:spacing w:before="60" w:line="240" w:lineRule="auto"/>
            <w:ind w:left="360"/>
            <w:rPr>
              <w:color w:val="000000"/>
            </w:rPr>
          </w:pPr>
          <w:hyperlink w:anchor="_heading=h.6921ce7fj1x4">
            <w:r>
              <w:rPr>
                <w:rFonts w:ascii="Century Gothic" w:eastAsia="Century Gothic" w:hAnsi="Century Gothic" w:cs="Century Gothic"/>
                <w:b/>
                <w:color w:val="000000"/>
              </w:rPr>
              <w:t>G. Artículo 42. Protección integral de la familia</w:t>
            </w:r>
            <w:r>
              <w:rPr>
                <w:rFonts w:ascii="Century Gothic" w:eastAsia="Century Gothic" w:hAnsi="Century Gothic" w:cs="Century Gothic"/>
                <w:b/>
                <w:color w:val="000000"/>
              </w:rPr>
              <w:tab/>
              <w:t>38</w:t>
            </w:r>
          </w:hyperlink>
        </w:p>
        <w:p w14:paraId="11B26EA2" w14:textId="77777777" w:rsidR="00AA5550" w:rsidRDefault="00045FF4">
          <w:pPr>
            <w:widowControl w:val="0"/>
            <w:tabs>
              <w:tab w:val="right" w:pos="12000"/>
            </w:tabs>
            <w:spacing w:before="60" w:line="240" w:lineRule="auto"/>
            <w:ind w:left="360"/>
            <w:rPr>
              <w:color w:val="000000"/>
            </w:rPr>
          </w:pPr>
          <w:hyperlink w:anchor="_heading=h.wr2c6zxzgigk">
            <w:r>
              <w:rPr>
                <w:rFonts w:ascii="Century Gothic" w:eastAsia="Century Gothic" w:hAnsi="Century Gothic" w:cs="Century Gothic"/>
                <w:b/>
                <w:color w:val="000000"/>
              </w:rPr>
              <w:t>H. Artículo 44. Derechos fundamentales prevalentes de los niños, niñas y a</w:t>
            </w:r>
            <w:r>
              <w:rPr>
                <w:rFonts w:ascii="Century Gothic" w:eastAsia="Century Gothic" w:hAnsi="Century Gothic" w:cs="Century Gothic"/>
                <w:b/>
                <w:color w:val="000000"/>
              </w:rPr>
              <w:t>dolescentes</w:t>
            </w:r>
            <w:r>
              <w:rPr>
                <w:rFonts w:ascii="Century Gothic" w:eastAsia="Century Gothic" w:hAnsi="Century Gothic" w:cs="Century Gothic"/>
                <w:b/>
                <w:color w:val="000000"/>
              </w:rPr>
              <w:tab/>
              <w:t>38</w:t>
            </w:r>
          </w:hyperlink>
        </w:p>
        <w:p w14:paraId="054AF2BB" w14:textId="77777777" w:rsidR="00AA5550" w:rsidRDefault="00045FF4">
          <w:pPr>
            <w:widowControl w:val="0"/>
            <w:tabs>
              <w:tab w:val="right" w:pos="12000"/>
            </w:tabs>
            <w:spacing w:before="60" w:line="240" w:lineRule="auto"/>
            <w:ind w:left="360"/>
            <w:rPr>
              <w:color w:val="000000"/>
            </w:rPr>
          </w:pPr>
          <w:hyperlink w:anchor="_heading=h.71c4c9qdfmrn">
            <w:r>
              <w:rPr>
                <w:rFonts w:ascii="Century Gothic" w:eastAsia="Century Gothic" w:hAnsi="Century Gothic" w:cs="Century Gothic"/>
                <w:b/>
                <w:color w:val="000000"/>
              </w:rPr>
              <w:t>I. Artículo 93. Bloque de constitucionalidad</w:t>
            </w:r>
            <w:r>
              <w:rPr>
                <w:rFonts w:ascii="Century Gothic" w:eastAsia="Century Gothic" w:hAnsi="Century Gothic" w:cs="Century Gothic"/>
                <w:b/>
                <w:color w:val="000000"/>
              </w:rPr>
              <w:tab/>
              <w:t>38</w:t>
            </w:r>
          </w:hyperlink>
        </w:p>
        <w:p w14:paraId="274E940D" w14:textId="77777777" w:rsidR="00AA5550" w:rsidRDefault="00045FF4">
          <w:pPr>
            <w:widowControl w:val="0"/>
            <w:tabs>
              <w:tab w:val="right" w:pos="12000"/>
            </w:tabs>
            <w:spacing w:before="60" w:line="240" w:lineRule="auto"/>
            <w:ind w:left="360"/>
            <w:rPr>
              <w:color w:val="000000"/>
            </w:rPr>
          </w:pPr>
          <w:hyperlink w:anchor="_heading=h.3x8cw5pxhzxo">
            <w:r>
              <w:rPr>
                <w:rFonts w:ascii="Century Gothic" w:eastAsia="Century Gothic" w:hAnsi="Century Gothic" w:cs="Century Gothic"/>
                <w:b/>
                <w:color w:val="000000"/>
              </w:rPr>
              <w:t>J. Artículo 365. Servicios públicos esenciales</w:t>
            </w:r>
            <w:r>
              <w:rPr>
                <w:rFonts w:ascii="Century Gothic" w:eastAsia="Century Gothic" w:hAnsi="Century Gothic" w:cs="Century Gothic"/>
                <w:b/>
                <w:color w:val="000000"/>
              </w:rPr>
              <w:tab/>
              <w:t>39</w:t>
            </w:r>
          </w:hyperlink>
        </w:p>
        <w:p w14:paraId="0C927F55" w14:textId="77777777" w:rsidR="00AA5550" w:rsidRDefault="00045FF4">
          <w:pPr>
            <w:widowControl w:val="0"/>
            <w:tabs>
              <w:tab w:val="right" w:pos="12000"/>
            </w:tabs>
            <w:spacing w:before="60" w:line="240" w:lineRule="auto"/>
            <w:rPr>
              <w:b/>
              <w:color w:val="000000"/>
            </w:rPr>
          </w:pPr>
          <w:hyperlink w:anchor="_heading=h.85jpw4tpwscu">
            <w:r>
              <w:rPr>
                <w:rFonts w:ascii="Century Gothic" w:eastAsia="Century Gothic" w:hAnsi="Century Gothic" w:cs="Century Gothic"/>
                <w:b/>
                <w:color w:val="000000"/>
              </w:rPr>
              <w:t>VI. J</w:t>
            </w:r>
            <w:r>
              <w:rPr>
                <w:rFonts w:ascii="Century Gothic" w:eastAsia="Century Gothic" w:hAnsi="Century Gothic" w:cs="Century Gothic"/>
                <w:b/>
                <w:color w:val="000000"/>
              </w:rPr>
              <w:t>URISPRUDENCIA</w:t>
            </w:r>
            <w:r>
              <w:rPr>
                <w:rFonts w:ascii="Century Gothic" w:eastAsia="Century Gothic" w:hAnsi="Century Gothic" w:cs="Century Gothic"/>
                <w:b/>
                <w:color w:val="000000"/>
              </w:rPr>
              <w:tab/>
              <w:t>40</w:t>
            </w:r>
          </w:hyperlink>
        </w:p>
        <w:p w14:paraId="6B2B93BA" w14:textId="77777777" w:rsidR="00AA5550" w:rsidRDefault="00045FF4">
          <w:pPr>
            <w:widowControl w:val="0"/>
            <w:tabs>
              <w:tab w:val="right" w:pos="12000"/>
            </w:tabs>
            <w:spacing w:before="60" w:line="240" w:lineRule="auto"/>
            <w:ind w:left="360"/>
            <w:rPr>
              <w:color w:val="000000"/>
            </w:rPr>
          </w:pPr>
          <w:hyperlink w:anchor="_heading=h.q3ia71mm3sb1">
            <w:r>
              <w:rPr>
                <w:rFonts w:ascii="Century Gothic" w:eastAsia="Century Gothic" w:hAnsi="Century Gothic" w:cs="Century Gothic"/>
                <w:b/>
                <w:color w:val="000000"/>
              </w:rPr>
              <w:t>A. Sentencia T-104 de 2025</w:t>
            </w:r>
            <w:r>
              <w:rPr>
                <w:rFonts w:ascii="Century Gothic" w:eastAsia="Century Gothic" w:hAnsi="Century Gothic" w:cs="Century Gothic"/>
                <w:b/>
                <w:color w:val="000000"/>
              </w:rPr>
              <w:tab/>
              <w:t>40</w:t>
            </w:r>
          </w:hyperlink>
        </w:p>
        <w:p w14:paraId="01CF3B17" w14:textId="77777777" w:rsidR="00AA5550" w:rsidRDefault="00045FF4">
          <w:pPr>
            <w:widowControl w:val="0"/>
            <w:tabs>
              <w:tab w:val="right" w:pos="12000"/>
            </w:tabs>
            <w:spacing w:before="60" w:line="240" w:lineRule="auto"/>
            <w:ind w:left="360"/>
            <w:rPr>
              <w:color w:val="000000"/>
            </w:rPr>
          </w:pPr>
          <w:hyperlink w:anchor="_heading=h.hw5mn8hqa6hh">
            <w:r>
              <w:rPr>
                <w:rFonts w:ascii="Century Gothic" w:eastAsia="Century Gothic" w:hAnsi="Century Gothic" w:cs="Century Gothic"/>
                <w:b/>
                <w:color w:val="000000"/>
              </w:rPr>
              <w:t>B. Sentencia SU 047 de 2019</w:t>
            </w:r>
            <w:r>
              <w:rPr>
                <w:rFonts w:ascii="Century Gothic" w:eastAsia="Century Gothic" w:hAnsi="Century Gothic" w:cs="Century Gothic"/>
                <w:b/>
                <w:color w:val="000000"/>
              </w:rPr>
              <w:tab/>
              <w:t>41</w:t>
            </w:r>
          </w:hyperlink>
        </w:p>
        <w:p w14:paraId="061A7FDB" w14:textId="77777777" w:rsidR="00AA5550" w:rsidRDefault="00045FF4">
          <w:pPr>
            <w:widowControl w:val="0"/>
            <w:tabs>
              <w:tab w:val="right" w:pos="12000"/>
            </w:tabs>
            <w:spacing w:before="60" w:line="240" w:lineRule="auto"/>
            <w:ind w:left="360"/>
            <w:rPr>
              <w:color w:val="000000"/>
            </w:rPr>
          </w:pPr>
          <w:hyperlink w:anchor="_heading=h.ooadwdhd72gi">
            <w:r>
              <w:rPr>
                <w:rFonts w:ascii="Century Gothic" w:eastAsia="Century Gothic" w:hAnsi="Century Gothic" w:cs="Century Gothic"/>
                <w:b/>
                <w:color w:val="000000"/>
              </w:rPr>
              <w:t>C. Sentencia T-045 de 2010</w:t>
            </w:r>
            <w:r>
              <w:rPr>
                <w:rFonts w:ascii="Century Gothic" w:eastAsia="Century Gothic" w:hAnsi="Century Gothic" w:cs="Century Gothic"/>
                <w:b/>
                <w:color w:val="000000"/>
              </w:rPr>
              <w:tab/>
              <w:t>42</w:t>
            </w:r>
          </w:hyperlink>
        </w:p>
        <w:p w14:paraId="41A7A544" w14:textId="77777777" w:rsidR="00AA5550" w:rsidRDefault="00045FF4">
          <w:pPr>
            <w:widowControl w:val="0"/>
            <w:tabs>
              <w:tab w:val="right" w:pos="12000"/>
            </w:tabs>
            <w:spacing w:before="60" w:line="240" w:lineRule="auto"/>
            <w:ind w:left="360"/>
            <w:rPr>
              <w:color w:val="000000"/>
            </w:rPr>
          </w:pPr>
          <w:hyperlink w:anchor="_heading=h.hfez43rckmdn">
            <w:r>
              <w:rPr>
                <w:rFonts w:ascii="Century Gothic" w:eastAsia="Century Gothic" w:hAnsi="Century Gothic" w:cs="Century Gothic"/>
                <w:b/>
                <w:color w:val="000000"/>
              </w:rPr>
              <w:t>D. Sentencia C‑408 de 2009</w:t>
            </w:r>
            <w:r>
              <w:rPr>
                <w:rFonts w:ascii="Century Gothic" w:eastAsia="Century Gothic" w:hAnsi="Century Gothic" w:cs="Century Gothic"/>
                <w:b/>
                <w:color w:val="000000"/>
              </w:rPr>
              <w:tab/>
              <w:t>43</w:t>
            </w:r>
          </w:hyperlink>
        </w:p>
        <w:p w14:paraId="577BEEB8" w14:textId="77777777" w:rsidR="00AA5550" w:rsidRDefault="00045FF4">
          <w:pPr>
            <w:widowControl w:val="0"/>
            <w:tabs>
              <w:tab w:val="right" w:pos="12000"/>
            </w:tabs>
            <w:spacing w:before="60" w:line="240" w:lineRule="auto"/>
            <w:ind w:left="360"/>
            <w:rPr>
              <w:color w:val="000000"/>
            </w:rPr>
          </w:pPr>
          <w:hyperlink w:anchor="_heading=h.wi5r78d7h2zp">
            <w:r>
              <w:rPr>
                <w:rFonts w:ascii="Century Gothic" w:eastAsia="Century Gothic" w:hAnsi="Century Gothic" w:cs="Century Gothic"/>
                <w:b/>
                <w:color w:val="000000"/>
              </w:rPr>
              <w:t>E. Sentencia C‑820 de 2006</w:t>
            </w:r>
            <w:r>
              <w:rPr>
                <w:rFonts w:ascii="Century Gothic" w:eastAsia="Century Gothic" w:hAnsi="Century Gothic" w:cs="Century Gothic"/>
                <w:b/>
                <w:color w:val="000000"/>
              </w:rPr>
              <w:tab/>
              <w:t>44</w:t>
            </w:r>
          </w:hyperlink>
        </w:p>
        <w:p w14:paraId="4881EF45" w14:textId="77777777" w:rsidR="00AA5550" w:rsidRDefault="00045FF4">
          <w:pPr>
            <w:widowControl w:val="0"/>
            <w:tabs>
              <w:tab w:val="right" w:pos="12000"/>
            </w:tabs>
            <w:spacing w:before="60" w:line="240" w:lineRule="auto"/>
            <w:rPr>
              <w:b/>
              <w:color w:val="000000"/>
            </w:rPr>
          </w:pPr>
          <w:hyperlink w:anchor="_heading=h.t30k7bjtao9d">
            <w:r>
              <w:rPr>
                <w:rFonts w:ascii="Century Gothic" w:eastAsia="Century Gothic" w:hAnsi="Century Gothic" w:cs="Century Gothic"/>
                <w:b/>
                <w:color w:val="000000"/>
              </w:rPr>
              <w:t>VII. MARCO NORMATIVO INTERNO</w:t>
            </w:r>
            <w:r>
              <w:rPr>
                <w:rFonts w:ascii="Century Gothic" w:eastAsia="Century Gothic" w:hAnsi="Century Gothic" w:cs="Century Gothic"/>
                <w:b/>
                <w:color w:val="000000"/>
              </w:rPr>
              <w:tab/>
              <w:t>45</w:t>
            </w:r>
          </w:hyperlink>
        </w:p>
        <w:p w14:paraId="3BC50F85" w14:textId="77777777" w:rsidR="00AA5550" w:rsidRDefault="00045FF4">
          <w:pPr>
            <w:widowControl w:val="0"/>
            <w:tabs>
              <w:tab w:val="right" w:pos="12000"/>
            </w:tabs>
            <w:spacing w:before="60" w:line="240" w:lineRule="auto"/>
            <w:ind w:left="360"/>
            <w:rPr>
              <w:color w:val="000000"/>
            </w:rPr>
          </w:pPr>
          <w:hyperlink w:anchor="_heading=h.5wwsf4wu7qge">
            <w:r>
              <w:rPr>
                <w:rFonts w:ascii="Century Gothic" w:eastAsia="Century Gothic" w:hAnsi="Century Gothic" w:cs="Century Gothic"/>
                <w:b/>
                <w:color w:val="000000"/>
              </w:rPr>
              <w:t>a) LEY 1804 DE 2016</w:t>
            </w:r>
            <w:r>
              <w:rPr>
                <w:rFonts w:ascii="Century Gothic" w:eastAsia="Century Gothic" w:hAnsi="Century Gothic" w:cs="Century Gothic"/>
                <w:b/>
                <w:color w:val="000000"/>
              </w:rPr>
              <w:tab/>
              <w:t>45</w:t>
            </w:r>
          </w:hyperlink>
        </w:p>
        <w:p w14:paraId="11F138E9" w14:textId="77777777" w:rsidR="00AA5550" w:rsidRDefault="00045FF4">
          <w:pPr>
            <w:widowControl w:val="0"/>
            <w:tabs>
              <w:tab w:val="right" w:pos="12000"/>
            </w:tabs>
            <w:spacing w:before="60" w:line="240" w:lineRule="auto"/>
            <w:ind w:left="360"/>
            <w:rPr>
              <w:color w:val="000000"/>
            </w:rPr>
          </w:pPr>
          <w:hyperlink w:anchor="_heading=h.y7xmqnqtd4q5">
            <w:r>
              <w:rPr>
                <w:rFonts w:ascii="Century Gothic" w:eastAsia="Century Gothic" w:hAnsi="Century Gothic" w:cs="Century Gothic"/>
                <w:b/>
                <w:color w:val="000000"/>
              </w:rPr>
              <w:t>b) Ley 1801 de 2016</w:t>
            </w:r>
            <w:r>
              <w:rPr>
                <w:rFonts w:ascii="Century Gothic" w:eastAsia="Century Gothic" w:hAnsi="Century Gothic" w:cs="Century Gothic"/>
                <w:b/>
                <w:color w:val="000000"/>
              </w:rPr>
              <w:tab/>
              <w:t>48</w:t>
            </w:r>
          </w:hyperlink>
        </w:p>
        <w:p w14:paraId="6E210315" w14:textId="77777777" w:rsidR="00AA5550" w:rsidRDefault="00045FF4">
          <w:pPr>
            <w:widowControl w:val="0"/>
            <w:tabs>
              <w:tab w:val="right" w:pos="12000"/>
            </w:tabs>
            <w:spacing w:before="60" w:line="240" w:lineRule="auto"/>
            <w:ind w:left="360"/>
            <w:rPr>
              <w:color w:val="000000"/>
            </w:rPr>
          </w:pPr>
          <w:hyperlink w:anchor="_heading=h.28i01osu81o5">
            <w:r>
              <w:rPr>
                <w:rFonts w:ascii="Century Gothic" w:eastAsia="Century Gothic" w:hAnsi="Century Gothic" w:cs="Century Gothic"/>
                <w:b/>
                <w:color w:val="000000"/>
              </w:rPr>
              <w:t>c) LEY 1761 DE 2015</w:t>
            </w:r>
            <w:r>
              <w:rPr>
                <w:rFonts w:ascii="Century Gothic" w:eastAsia="Century Gothic" w:hAnsi="Century Gothic" w:cs="Century Gothic"/>
                <w:b/>
                <w:color w:val="000000"/>
              </w:rPr>
              <w:tab/>
              <w:t>50</w:t>
            </w:r>
          </w:hyperlink>
        </w:p>
        <w:p w14:paraId="03801E90" w14:textId="77777777" w:rsidR="00AA5550" w:rsidRDefault="00045FF4">
          <w:pPr>
            <w:widowControl w:val="0"/>
            <w:tabs>
              <w:tab w:val="right" w:pos="12000"/>
            </w:tabs>
            <w:spacing w:before="60" w:line="240" w:lineRule="auto"/>
            <w:ind w:left="360"/>
            <w:rPr>
              <w:color w:val="000000"/>
            </w:rPr>
          </w:pPr>
          <w:hyperlink w:anchor="_heading=h.6hq5jasdv8vv">
            <w:r>
              <w:rPr>
                <w:rFonts w:ascii="Century Gothic" w:eastAsia="Century Gothic" w:hAnsi="Century Gothic" w:cs="Century Gothic"/>
                <w:b/>
                <w:color w:val="000000"/>
              </w:rPr>
              <w:t>d) LEY 1257 DE 2008</w:t>
            </w:r>
            <w:r>
              <w:rPr>
                <w:rFonts w:ascii="Century Gothic" w:eastAsia="Century Gothic" w:hAnsi="Century Gothic" w:cs="Century Gothic"/>
                <w:b/>
                <w:color w:val="000000"/>
              </w:rPr>
              <w:tab/>
              <w:t>51</w:t>
            </w:r>
          </w:hyperlink>
        </w:p>
        <w:p w14:paraId="65213D5F" w14:textId="77777777" w:rsidR="00AA5550" w:rsidRDefault="00045FF4">
          <w:pPr>
            <w:widowControl w:val="0"/>
            <w:tabs>
              <w:tab w:val="right" w:pos="12000"/>
            </w:tabs>
            <w:spacing w:before="60" w:line="240" w:lineRule="auto"/>
            <w:ind w:left="360"/>
            <w:rPr>
              <w:color w:val="000000"/>
            </w:rPr>
          </w:pPr>
          <w:hyperlink w:anchor="_heading=h.it3dkhjm9a6f">
            <w:r>
              <w:rPr>
                <w:rFonts w:ascii="Century Gothic" w:eastAsia="Century Gothic" w:hAnsi="Century Gothic" w:cs="Century Gothic"/>
                <w:b/>
                <w:color w:val="000000"/>
              </w:rPr>
              <w:t>e) LEY 1098 DE 2006</w:t>
            </w:r>
            <w:r>
              <w:rPr>
                <w:rFonts w:ascii="Century Gothic" w:eastAsia="Century Gothic" w:hAnsi="Century Gothic" w:cs="Century Gothic"/>
                <w:b/>
                <w:color w:val="000000"/>
              </w:rPr>
              <w:tab/>
              <w:t>52</w:t>
            </w:r>
          </w:hyperlink>
        </w:p>
        <w:p w14:paraId="473C5528" w14:textId="77777777" w:rsidR="00AA5550" w:rsidRDefault="00045FF4">
          <w:pPr>
            <w:widowControl w:val="0"/>
            <w:tabs>
              <w:tab w:val="right" w:pos="12000"/>
            </w:tabs>
            <w:spacing w:before="60" w:line="240" w:lineRule="auto"/>
            <w:ind w:left="360"/>
            <w:rPr>
              <w:color w:val="000000"/>
            </w:rPr>
          </w:pPr>
          <w:hyperlink w:anchor="_heading=h.juxdea9qtsd4">
            <w:r>
              <w:rPr>
                <w:rFonts w:ascii="Century Gothic" w:eastAsia="Century Gothic" w:hAnsi="Century Gothic" w:cs="Century Gothic"/>
                <w:b/>
                <w:color w:val="000000"/>
              </w:rPr>
              <w:t>f) LEY 294 DE 1996</w:t>
            </w:r>
            <w:r>
              <w:rPr>
                <w:rFonts w:ascii="Century Gothic" w:eastAsia="Century Gothic" w:hAnsi="Century Gothic" w:cs="Century Gothic"/>
                <w:b/>
                <w:color w:val="000000"/>
              </w:rPr>
              <w:tab/>
              <w:t>54</w:t>
            </w:r>
          </w:hyperlink>
        </w:p>
        <w:p w14:paraId="709BABBB" w14:textId="77777777" w:rsidR="00AA5550" w:rsidRDefault="00045FF4">
          <w:pPr>
            <w:widowControl w:val="0"/>
            <w:tabs>
              <w:tab w:val="right" w:pos="12000"/>
            </w:tabs>
            <w:spacing w:before="60" w:line="240" w:lineRule="auto"/>
            <w:ind w:left="360"/>
            <w:rPr>
              <w:color w:val="000000"/>
            </w:rPr>
          </w:pPr>
          <w:hyperlink w:anchor="_heading=h.jh6iucqkbtwk">
            <w:r>
              <w:rPr>
                <w:rFonts w:ascii="Century Gothic" w:eastAsia="Century Gothic" w:hAnsi="Century Gothic" w:cs="Century Gothic"/>
                <w:b/>
                <w:color w:val="000000"/>
              </w:rPr>
              <w:t>g) Conclusión del Marco Normativo Interno</w:t>
            </w:r>
            <w:r>
              <w:rPr>
                <w:rFonts w:ascii="Century Gothic" w:eastAsia="Century Gothic" w:hAnsi="Century Gothic" w:cs="Century Gothic"/>
                <w:b/>
                <w:color w:val="000000"/>
              </w:rPr>
              <w:tab/>
              <w:t>55</w:t>
            </w:r>
          </w:hyperlink>
        </w:p>
        <w:p w14:paraId="1F181AB9" w14:textId="77777777" w:rsidR="00AA5550" w:rsidRDefault="00045FF4">
          <w:pPr>
            <w:widowControl w:val="0"/>
            <w:tabs>
              <w:tab w:val="right" w:pos="12000"/>
            </w:tabs>
            <w:spacing w:before="60" w:line="240" w:lineRule="auto"/>
            <w:rPr>
              <w:b/>
              <w:color w:val="000000"/>
            </w:rPr>
          </w:pPr>
          <w:hyperlink w:anchor="_heading=h.u1jq71julk21">
            <w:r>
              <w:rPr>
                <w:rFonts w:ascii="Century Gothic" w:eastAsia="Century Gothic" w:hAnsi="Century Gothic" w:cs="Century Gothic"/>
                <w:b/>
                <w:color w:val="000000"/>
              </w:rPr>
              <w:t>VIII. IMPACTO FISCAL</w:t>
            </w:r>
            <w:r>
              <w:rPr>
                <w:rFonts w:ascii="Century Gothic" w:eastAsia="Century Gothic" w:hAnsi="Century Gothic" w:cs="Century Gothic"/>
                <w:b/>
                <w:color w:val="000000"/>
              </w:rPr>
              <w:tab/>
              <w:t>57</w:t>
            </w:r>
          </w:hyperlink>
        </w:p>
        <w:p w14:paraId="7AC5F35C" w14:textId="77777777" w:rsidR="00AA5550" w:rsidRDefault="00045FF4">
          <w:pPr>
            <w:widowControl w:val="0"/>
            <w:tabs>
              <w:tab w:val="right" w:pos="12000"/>
            </w:tabs>
            <w:spacing w:before="60" w:line="240" w:lineRule="auto"/>
            <w:ind w:left="720"/>
            <w:rPr>
              <w:color w:val="000000"/>
            </w:rPr>
          </w:pPr>
          <w:hyperlink w:anchor="_heading=h.d5aiqtaekmpm">
            <w:r>
              <w:rPr>
                <w:rFonts w:ascii="Century Gothic" w:eastAsia="Century Gothic" w:hAnsi="Century Gothic" w:cs="Century Gothic"/>
                <w:b/>
                <w:color w:val="000000"/>
              </w:rPr>
              <w:t>i. Justificación Técnica y Financiera</w:t>
            </w:r>
            <w:r>
              <w:rPr>
                <w:rFonts w:ascii="Century Gothic" w:eastAsia="Century Gothic" w:hAnsi="Century Gothic" w:cs="Century Gothic"/>
                <w:b/>
                <w:color w:val="000000"/>
              </w:rPr>
              <w:tab/>
              <w:t>60</w:t>
            </w:r>
          </w:hyperlink>
        </w:p>
        <w:p w14:paraId="17160D8E" w14:textId="77777777" w:rsidR="00AA5550" w:rsidRDefault="00045FF4">
          <w:pPr>
            <w:widowControl w:val="0"/>
            <w:tabs>
              <w:tab w:val="right" w:pos="12000"/>
            </w:tabs>
            <w:spacing w:before="60" w:line="240" w:lineRule="auto"/>
            <w:rPr>
              <w:b/>
              <w:color w:val="000000"/>
            </w:rPr>
          </w:pPr>
          <w:hyperlink w:anchor="_heading=h.jtk586g5vp4p">
            <w:r>
              <w:rPr>
                <w:rFonts w:ascii="Century Gothic" w:eastAsia="Century Gothic" w:hAnsi="Century Gothic" w:cs="Century Gothic"/>
                <w:b/>
                <w:color w:val="000000"/>
              </w:rPr>
              <w:t>IX. CONFLICTO DE INTERÉS</w:t>
            </w:r>
            <w:r>
              <w:rPr>
                <w:rFonts w:ascii="Century Gothic" w:eastAsia="Century Gothic" w:hAnsi="Century Gothic" w:cs="Century Gothic"/>
                <w:b/>
                <w:color w:val="000000"/>
              </w:rPr>
              <w:tab/>
              <w:t>60</w:t>
            </w:r>
          </w:hyperlink>
        </w:p>
        <w:p w14:paraId="4412C140" w14:textId="77777777" w:rsidR="00AA5550" w:rsidRDefault="00045FF4">
          <w:pPr>
            <w:widowControl w:val="0"/>
            <w:tabs>
              <w:tab w:val="right" w:pos="12000"/>
            </w:tabs>
            <w:spacing w:before="60" w:line="240" w:lineRule="auto"/>
            <w:rPr>
              <w:b/>
              <w:color w:val="000000"/>
            </w:rPr>
          </w:pPr>
          <w:hyperlink w:anchor="_heading=h.kzw2xg8ub5u4">
            <w:r>
              <w:rPr>
                <w:b/>
                <w:color w:val="000000"/>
              </w:rPr>
              <w:t>X. Proposición</w:t>
            </w:r>
            <w:r>
              <w:rPr>
                <w:b/>
                <w:color w:val="000000"/>
              </w:rPr>
              <w:tab/>
              <w:t>61</w:t>
            </w:r>
          </w:hyperlink>
        </w:p>
        <w:p w14:paraId="1E8C84BA" w14:textId="77777777" w:rsidR="00AA5550" w:rsidRDefault="00045FF4">
          <w:pPr>
            <w:widowControl w:val="0"/>
            <w:tabs>
              <w:tab w:val="right" w:pos="12000"/>
            </w:tabs>
            <w:spacing w:before="60" w:line="240" w:lineRule="auto"/>
            <w:rPr>
              <w:b/>
              <w:color w:val="000000"/>
            </w:rPr>
          </w:pPr>
          <w:hyperlink w:anchor="_heading=h.5gm4aj5uy68s">
            <w:r>
              <w:rPr>
                <w:rFonts w:ascii="Century Gothic" w:eastAsia="Century Gothic" w:hAnsi="Century Gothic" w:cs="Century Gothic"/>
                <w:b/>
                <w:color w:val="000000"/>
              </w:rPr>
              <w:t>XI. BIBLIOGRAFÍA</w:t>
            </w:r>
            <w:r>
              <w:rPr>
                <w:rFonts w:ascii="Century Gothic" w:eastAsia="Century Gothic" w:hAnsi="Century Gothic" w:cs="Century Gothic"/>
                <w:b/>
                <w:color w:val="000000"/>
              </w:rPr>
              <w:tab/>
              <w:t>64</w:t>
            </w:r>
          </w:hyperlink>
          <w:r>
            <w:fldChar w:fldCharType="end"/>
          </w:r>
        </w:p>
      </w:sdtContent>
    </w:sdt>
    <w:p w14:paraId="0FCC8A32" w14:textId="77777777" w:rsidR="00AA5550" w:rsidRDefault="00AA5550">
      <w:pPr>
        <w:rPr>
          <w:rFonts w:ascii="Century Gothic" w:eastAsia="Century Gothic" w:hAnsi="Century Gothic" w:cs="Century Gothic"/>
          <w:b/>
        </w:rPr>
      </w:pPr>
    </w:p>
    <w:p w14:paraId="34DE639A" w14:textId="77777777" w:rsidR="00AA5550" w:rsidRDefault="00045FF4">
      <w:pPr>
        <w:pStyle w:val="Subttulo"/>
        <w:numPr>
          <w:ilvl w:val="0"/>
          <w:numId w:val="23"/>
        </w:numPr>
        <w:jc w:val="center"/>
        <w:rPr>
          <w:color w:val="000000"/>
        </w:rPr>
      </w:pPr>
      <w:bookmarkStart w:id="7" w:name="_heading=h.f9xaxzwqyoew" w:colFirst="0" w:colLast="0"/>
      <w:bookmarkEnd w:id="7"/>
      <w:r>
        <w:rPr>
          <w:color w:val="000000"/>
        </w:rPr>
        <w:t>OBJETO Y CONTENIDO DEL PROYECTO DE LEY</w:t>
      </w:r>
    </w:p>
    <w:p w14:paraId="529FD0B4" w14:textId="77777777" w:rsidR="00AA5550" w:rsidRDefault="00AA5550">
      <w:pPr>
        <w:jc w:val="both"/>
        <w:rPr>
          <w:rFonts w:ascii="Century Gothic" w:eastAsia="Century Gothic" w:hAnsi="Century Gothic" w:cs="Century Gothic"/>
          <w:b/>
        </w:rPr>
      </w:pPr>
    </w:p>
    <w:p w14:paraId="58166759"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La ausencia de un marco normativo integral ha dificultado la creación de entornos seguros para mujeres, niñas, niños y adolescentes en territorios marginados, con una implementación fragmentada de las normas existentes.</w:t>
      </w:r>
    </w:p>
    <w:p w14:paraId="6E87B8FD"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Se requiere una intervención legisla</w:t>
      </w:r>
      <w:r>
        <w:rPr>
          <w:rFonts w:ascii="Century Gothic" w:eastAsia="Century Gothic" w:hAnsi="Century Gothic" w:cs="Century Gothic"/>
        </w:rPr>
        <w:t>tiva que unifique y coordine las competencias estatales. El Proyecto de Ley de Entornos Seguros busca establecer un marco normativo que garantice seguridad y dignidad, facilitando la coordinación entre autoridades y priorizando su aplicación en áreas vulne</w:t>
      </w:r>
      <w:r>
        <w:rPr>
          <w:rFonts w:ascii="Century Gothic" w:eastAsia="Century Gothic" w:hAnsi="Century Gothic" w:cs="Century Gothic"/>
        </w:rPr>
        <w:t>rables.</w:t>
      </w:r>
    </w:p>
    <w:p w14:paraId="67D0C52F"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La ley se aplicará a nivel nacional, enfocándose en contextos con altos índices de violencia, y se estructurará en cinco ejes: prevención, protección, iluminación del espacio público, convivencia y participación comunitaria. Las entidades responsab</w:t>
      </w:r>
      <w:r>
        <w:rPr>
          <w:rFonts w:ascii="Century Gothic" w:eastAsia="Century Gothic" w:hAnsi="Century Gothic" w:cs="Century Gothic"/>
        </w:rPr>
        <w:t>les incluirán el Gobierno Nacional y ministerios relevantes, promoviendo la participación activa de comunidades y organizaciones sociales.</w:t>
      </w:r>
    </w:p>
    <w:p w14:paraId="4F297EE7"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Esta iniciativa busca reducir la violencia, mejorar la percepción de seguridad y fortalecer la cohesión social, aline</w:t>
      </w:r>
      <w:r>
        <w:rPr>
          <w:rFonts w:ascii="Century Gothic" w:eastAsia="Century Gothic" w:hAnsi="Century Gothic" w:cs="Century Gothic"/>
        </w:rPr>
        <w:t>ándose con la Constitución y compromisos internacionales en derechos humanos y en particular los ODS 5 (igualdad de género) y ODS 16 (paz, justicia e instituciones sólidas)</w:t>
      </w:r>
      <w:r>
        <w:rPr>
          <w:rFonts w:ascii="Century Gothic" w:eastAsia="Century Gothic" w:hAnsi="Century Gothic" w:cs="Century Gothic"/>
          <w:vertAlign w:val="superscript"/>
        </w:rPr>
        <w:footnoteReference w:id="1"/>
      </w:r>
      <w:r>
        <w:rPr>
          <w:rFonts w:ascii="Century Gothic" w:eastAsia="Century Gothic" w:hAnsi="Century Gothic" w:cs="Century Gothic"/>
        </w:rPr>
        <w:t>.</w:t>
      </w:r>
    </w:p>
    <w:p w14:paraId="05F6542A" w14:textId="5FA2F4E2" w:rsidR="00AA5550" w:rsidRDefault="00AA5550">
      <w:pPr>
        <w:jc w:val="both"/>
        <w:rPr>
          <w:rFonts w:ascii="Century Gothic" w:eastAsia="Century Gothic" w:hAnsi="Century Gothic" w:cs="Century Gothic"/>
        </w:rPr>
      </w:pPr>
    </w:p>
    <w:p w14:paraId="099972B9" w14:textId="5ED2D6E8" w:rsidR="00C00F1B" w:rsidRDefault="00C00F1B">
      <w:pPr>
        <w:jc w:val="both"/>
        <w:rPr>
          <w:rFonts w:ascii="Century Gothic" w:eastAsia="Century Gothic" w:hAnsi="Century Gothic" w:cs="Century Gothic"/>
        </w:rPr>
      </w:pPr>
    </w:p>
    <w:p w14:paraId="598B68DB" w14:textId="54428CF2" w:rsidR="00C00F1B" w:rsidRDefault="00C00F1B">
      <w:pPr>
        <w:jc w:val="both"/>
        <w:rPr>
          <w:rFonts w:ascii="Century Gothic" w:eastAsia="Century Gothic" w:hAnsi="Century Gothic" w:cs="Century Gothic"/>
        </w:rPr>
      </w:pPr>
    </w:p>
    <w:p w14:paraId="182615A1" w14:textId="081882AE" w:rsidR="00C00F1B" w:rsidRDefault="00C00F1B">
      <w:pPr>
        <w:jc w:val="both"/>
        <w:rPr>
          <w:rFonts w:ascii="Century Gothic" w:eastAsia="Century Gothic" w:hAnsi="Century Gothic" w:cs="Century Gothic"/>
        </w:rPr>
      </w:pPr>
    </w:p>
    <w:p w14:paraId="2F5A01BD" w14:textId="77777777" w:rsidR="00C00F1B" w:rsidRDefault="00C00F1B">
      <w:pPr>
        <w:jc w:val="both"/>
        <w:rPr>
          <w:rFonts w:ascii="Century Gothic" w:eastAsia="Century Gothic" w:hAnsi="Century Gothic" w:cs="Century Gothic"/>
        </w:rPr>
      </w:pPr>
    </w:p>
    <w:p w14:paraId="5607867B"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lastRenderedPageBreak/>
        <w:t>El proyecto de ley consta de veinte (20) artículos distribuidos de la siguiente</w:t>
      </w:r>
      <w:r>
        <w:rPr>
          <w:rFonts w:ascii="Century Gothic" w:eastAsia="Century Gothic" w:hAnsi="Century Gothic" w:cs="Century Gothic"/>
        </w:rPr>
        <w:t xml:space="preserve"> manera: </w:t>
      </w:r>
    </w:p>
    <w:p w14:paraId="79BEF180" w14:textId="77777777" w:rsidR="00AA5550" w:rsidRDefault="00AA5550">
      <w:pPr>
        <w:jc w:val="both"/>
        <w:rPr>
          <w:rFonts w:ascii="Century Gothic" w:eastAsia="Century Gothic" w:hAnsi="Century Gothic" w:cs="Century Gothic"/>
        </w:rPr>
      </w:pPr>
    </w:p>
    <w:p w14:paraId="2D43AD05" w14:textId="77777777" w:rsidR="00AA5550" w:rsidRDefault="00045FF4">
      <w:pPr>
        <w:rPr>
          <w:rFonts w:ascii="Century Gothic" w:eastAsia="Century Gothic" w:hAnsi="Century Gothic" w:cs="Century Gothic"/>
          <w:b/>
        </w:rPr>
      </w:pPr>
      <w:r>
        <w:rPr>
          <w:rFonts w:ascii="Century Gothic" w:eastAsia="Century Gothic" w:hAnsi="Century Gothic" w:cs="Century Gothic"/>
          <w:b/>
        </w:rPr>
        <w:t>Capítulo I. Disposiciones Generales.</w:t>
      </w:r>
    </w:p>
    <w:p w14:paraId="1851537D"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b/>
        </w:rPr>
        <w:t>Artículo 1.</w:t>
      </w:r>
      <w:r>
        <w:rPr>
          <w:rFonts w:ascii="Century Gothic" w:eastAsia="Century Gothic" w:hAnsi="Century Gothic" w:cs="Century Gothic"/>
        </w:rPr>
        <w:t xml:space="preserve"> Objeto. </w:t>
      </w:r>
    </w:p>
    <w:p w14:paraId="02FC9E82"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b/>
        </w:rPr>
        <w:t>Artículo 2.</w:t>
      </w:r>
      <w:r>
        <w:rPr>
          <w:rFonts w:ascii="Century Gothic" w:eastAsia="Century Gothic" w:hAnsi="Century Gothic" w:cs="Century Gothic"/>
        </w:rPr>
        <w:t xml:space="preserve"> Ámbito de aplicación. </w:t>
      </w:r>
    </w:p>
    <w:p w14:paraId="30598844"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b/>
        </w:rPr>
        <w:t>Artículo 3.</w:t>
      </w:r>
      <w:r>
        <w:rPr>
          <w:rFonts w:ascii="Century Gothic" w:eastAsia="Century Gothic" w:hAnsi="Century Gothic" w:cs="Century Gothic"/>
        </w:rPr>
        <w:t xml:space="preserve"> Definiciones.</w:t>
      </w:r>
    </w:p>
    <w:p w14:paraId="75CD6488"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b/>
        </w:rPr>
        <w:t>Artículo 4.</w:t>
      </w:r>
      <w:r>
        <w:rPr>
          <w:rFonts w:ascii="Century Gothic" w:eastAsia="Century Gothic" w:hAnsi="Century Gothic" w:cs="Century Gothic"/>
        </w:rPr>
        <w:t xml:space="preserve">  Principios Rectores. </w:t>
      </w:r>
    </w:p>
    <w:p w14:paraId="63969F5A" w14:textId="77777777" w:rsidR="00AA5550" w:rsidRDefault="00AA5550">
      <w:pPr>
        <w:jc w:val="both"/>
        <w:rPr>
          <w:rFonts w:ascii="Century Gothic" w:eastAsia="Century Gothic" w:hAnsi="Century Gothic" w:cs="Century Gothic"/>
        </w:rPr>
      </w:pPr>
    </w:p>
    <w:p w14:paraId="246C39E8" w14:textId="77777777" w:rsidR="00AA5550" w:rsidRDefault="00045FF4">
      <w:pPr>
        <w:jc w:val="both"/>
        <w:rPr>
          <w:rFonts w:ascii="Century Gothic" w:eastAsia="Century Gothic" w:hAnsi="Century Gothic" w:cs="Century Gothic"/>
          <w:b/>
        </w:rPr>
      </w:pPr>
      <w:r>
        <w:rPr>
          <w:rFonts w:ascii="Century Gothic" w:eastAsia="Century Gothic" w:hAnsi="Century Gothic" w:cs="Century Gothic"/>
          <w:b/>
        </w:rPr>
        <w:t xml:space="preserve">Capítulo II. De Los Entornos Seguros. </w:t>
      </w:r>
    </w:p>
    <w:p w14:paraId="66F63692"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b/>
        </w:rPr>
        <w:t xml:space="preserve">Artículo 5. </w:t>
      </w:r>
      <w:r>
        <w:rPr>
          <w:rFonts w:ascii="Century Gothic" w:eastAsia="Century Gothic" w:hAnsi="Century Gothic" w:cs="Century Gothic"/>
        </w:rPr>
        <w:t>Características de los entornos seguros.</w:t>
      </w:r>
    </w:p>
    <w:p w14:paraId="0E986F36" w14:textId="77777777" w:rsidR="00AA5550" w:rsidRDefault="00045FF4">
      <w:pPr>
        <w:jc w:val="both"/>
        <w:rPr>
          <w:rFonts w:ascii="Century Gothic" w:eastAsia="Century Gothic" w:hAnsi="Century Gothic" w:cs="Century Gothic"/>
          <w:color w:val="000000"/>
        </w:rPr>
      </w:pPr>
      <w:r>
        <w:rPr>
          <w:rFonts w:ascii="Century Gothic" w:eastAsia="Century Gothic" w:hAnsi="Century Gothic" w:cs="Century Gothic"/>
          <w:b/>
          <w:color w:val="000000"/>
        </w:rPr>
        <w:t>Artículo 6</w:t>
      </w:r>
      <w:r>
        <w:rPr>
          <w:rFonts w:ascii="Century Gothic" w:eastAsia="Century Gothic" w:hAnsi="Century Gothic" w:cs="Century Gothic"/>
          <w:color w:val="000000"/>
        </w:rPr>
        <w:t>. Clasificación de los entornos para efectos de intervención.</w:t>
      </w:r>
    </w:p>
    <w:p w14:paraId="08EF1AE0" w14:textId="77777777" w:rsidR="00AA5550" w:rsidRDefault="00045FF4">
      <w:pPr>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7. </w:t>
      </w:r>
      <w:r>
        <w:rPr>
          <w:rFonts w:ascii="Century Gothic" w:eastAsia="Century Gothic" w:hAnsi="Century Gothic" w:cs="Century Gothic"/>
          <w:color w:val="000000"/>
        </w:rPr>
        <w:t>Diagnóstico territorial de riesgos y condiciones de exclusión.</w:t>
      </w:r>
    </w:p>
    <w:p w14:paraId="57E6B5F3" w14:textId="77777777" w:rsidR="00AA5550" w:rsidRDefault="00045FF4">
      <w:pPr>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8. </w:t>
      </w:r>
      <w:r>
        <w:rPr>
          <w:rFonts w:ascii="Century Gothic" w:eastAsia="Century Gothic" w:hAnsi="Century Gothic" w:cs="Century Gothic"/>
          <w:color w:val="000000"/>
        </w:rPr>
        <w:t>Participación comunitaria y corresponsabilidad.</w:t>
      </w:r>
    </w:p>
    <w:p w14:paraId="48DF1C6B"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b/>
          <w:color w:val="000000"/>
        </w:rPr>
        <w:t>Artículo</w:t>
      </w:r>
      <w:r>
        <w:rPr>
          <w:rFonts w:ascii="Century Gothic" w:eastAsia="Century Gothic" w:hAnsi="Century Gothic" w:cs="Century Gothic"/>
          <w:b/>
          <w:color w:val="000000"/>
        </w:rPr>
        <w:t xml:space="preserve"> 9</w:t>
      </w:r>
      <w:r>
        <w:rPr>
          <w:rFonts w:ascii="Century Gothic" w:eastAsia="Century Gothic" w:hAnsi="Century Gothic" w:cs="Century Gothic"/>
          <w:color w:val="000000"/>
        </w:rPr>
        <w:t>. Corresponsabilidad y articulación interinstitucional.</w:t>
      </w:r>
    </w:p>
    <w:p w14:paraId="3252195A" w14:textId="77777777" w:rsidR="00AA5550" w:rsidRDefault="00AA5550">
      <w:pPr>
        <w:jc w:val="both"/>
        <w:rPr>
          <w:rFonts w:ascii="Century Gothic" w:eastAsia="Century Gothic" w:hAnsi="Century Gothic" w:cs="Century Gothic"/>
        </w:rPr>
      </w:pPr>
    </w:p>
    <w:p w14:paraId="12A35B6E" w14:textId="77777777" w:rsidR="00AA5550" w:rsidRDefault="00045FF4">
      <w:pPr>
        <w:rPr>
          <w:rFonts w:ascii="Century Gothic" w:eastAsia="Century Gothic" w:hAnsi="Century Gothic" w:cs="Century Gothic"/>
          <w:b/>
          <w:color w:val="000000"/>
        </w:rPr>
      </w:pPr>
      <w:r>
        <w:rPr>
          <w:rFonts w:ascii="Century Gothic" w:eastAsia="Century Gothic" w:hAnsi="Century Gothic" w:cs="Century Gothic"/>
          <w:b/>
        </w:rPr>
        <w:t xml:space="preserve">Capítulo III. Articulación institucional </w:t>
      </w:r>
    </w:p>
    <w:p w14:paraId="1FF73440" w14:textId="77777777" w:rsidR="00AA5550" w:rsidRDefault="00045FF4">
      <w:pPr>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10. </w:t>
      </w:r>
      <w:r>
        <w:rPr>
          <w:rFonts w:ascii="Century Gothic" w:eastAsia="Century Gothic" w:hAnsi="Century Gothic" w:cs="Century Gothic"/>
          <w:color w:val="000000"/>
        </w:rPr>
        <w:t>Competencias del nivel nacional en la garantía de entornos seguros.</w:t>
      </w:r>
    </w:p>
    <w:p w14:paraId="699C31F2" w14:textId="77777777" w:rsidR="00AA5550" w:rsidRDefault="00045FF4">
      <w:pPr>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11. </w:t>
      </w:r>
      <w:r>
        <w:rPr>
          <w:rFonts w:ascii="Century Gothic" w:eastAsia="Century Gothic" w:hAnsi="Century Gothic" w:cs="Century Gothic"/>
          <w:color w:val="000000"/>
        </w:rPr>
        <w:t>Competencias de Entidades territoriales.</w:t>
      </w:r>
    </w:p>
    <w:p w14:paraId="283501AF"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b/>
        </w:rPr>
        <w:t xml:space="preserve">Artículo 12. </w:t>
      </w:r>
      <w:r>
        <w:rPr>
          <w:rFonts w:ascii="Century Gothic" w:eastAsia="Century Gothic" w:hAnsi="Century Gothic" w:cs="Century Gothic"/>
        </w:rPr>
        <w:t>Fortalecimiento institucional territorial.</w:t>
      </w:r>
    </w:p>
    <w:p w14:paraId="148E5837" w14:textId="77777777" w:rsidR="00AA5550" w:rsidRDefault="00AA5550">
      <w:pPr>
        <w:jc w:val="both"/>
        <w:rPr>
          <w:rFonts w:ascii="Century Gothic" w:eastAsia="Century Gothic" w:hAnsi="Century Gothic" w:cs="Century Gothic"/>
          <w:b/>
        </w:rPr>
      </w:pPr>
    </w:p>
    <w:p w14:paraId="33DAEDF4" w14:textId="77777777" w:rsidR="00AA5550" w:rsidRDefault="00AA5550">
      <w:pPr>
        <w:jc w:val="both"/>
        <w:rPr>
          <w:rFonts w:ascii="Century Gothic" w:eastAsia="Century Gothic" w:hAnsi="Century Gothic" w:cs="Century Gothic"/>
          <w:b/>
        </w:rPr>
      </w:pPr>
    </w:p>
    <w:p w14:paraId="70E7776A" w14:textId="77777777" w:rsidR="00AA5550" w:rsidRDefault="00045FF4">
      <w:pPr>
        <w:jc w:val="both"/>
        <w:rPr>
          <w:rFonts w:ascii="Century Gothic" w:eastAsia="Century Gothic" w:hAnsi="Century Gothic" w:cs="Century Gothic"/>
          <w:color w:val="000000"/>
        </w:rPr>
      </w:pPr>
      <w:r>
        <w:rPr>
          <w:rFonts w:ascii="Century Gothic" w:eastAsia="Century Gothic" w:hAnsi="Century Gothic" w:cs="Century Gothic"/>
          <w:b/>
        </w:rPr>
        <w:t>Capítulo IV. Medidas estructurales y preventivas</w:t>
      </w:r>
    </w:p>
    <w:p w14:paraId="7ADD0C2C"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b/>
        </w:rPr>
        <w:t xml:space="preserve">Artículo 13. </w:t>
      </w:r>
      <w:r>
        <w:rPr>
          <w:rFonts w:ascii="Century Gothic" w:eastAsia="Century Gothic" w:hAnsi="Century Gothic" w:cs="Century Gothic"/>
        </w:rPr>
        <w:t>Planes territoriales de entornos seguros.</w:t>
      </w:r>
    </w:p>
    <w:p w14:paraId="0D28FF21"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b/>
        </w:rPr>
        <w:t xml:space="preserve">Artículo 14. </w:t>
      </w:r>
      <w:r>
        <w:rPr>
          <w:rFonts w:ascii="Century Gothic" w:eastAsia="Century Gothic" w:hAnsi="Century Gothic" w:cs="Century Gothic"/>
        </w:rPr>
        <w:t>Intervenciones de infraestructura física</w:t>
      </w:r>
      <w:r>
        <w:rPr>
          <w:rFonts w:ascii="Century Gothic" w:eastAsia="Century Gothic" w:hAnsi="Century Gothic" w:cs="Century Gothic"/>
        </w:rPr>
        <w:t xml:space="preserve"> y social.</w:t>
      </w:r>
    </w:p>
    <w:p w14:paraId="78D0544D"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b/>
        </w:rPr>
        <w:t xml:space="preserve">Artículo 15. </w:t>
      </w:r>
      <w:r>
        <w:rPr>
          <w:rFonts w:ascii="Century Gothic" w:eastAsia="Century Gothic" w:hAnsi="Century Gothic" w:cs="Century Gothic"/>
        </w:rPr>
        <w:t>Mecanismos de alerta temprana y seguimiento comunitario.</w:t>
      </w:r>
    </w:p>
    <w:p w14:paraId="6B3EFA77" w14:textId="77777777" w:rsidR="00AA5550" w:rsidRDefault="00AA5550">
      <w:pPr>
        <w:rPr>
          <w:rFonts w:ascii="Century Gothic" w:eastAsia="Century Gothic" w:hAnsi="Century Gothic" w:cs="Century Gothic"/>
          <w:b/>
        </w:rPr>
      </w:pPr>
    </w:p>
    <w:p w14:paraId="6A1BA808" w14:textId="77777777" w:rsidR="00AA5550" w:rsidRDefault="00045FF4">
      <w:pPr>
        <w:rPr>
          <w:rFonts w:ascii="Century Gothic" w:eastAsia="Century Gothic" w:hAnsi="Century Gothic" w:cs="Century Gothic"/>
          <w:b/>
        </w:rPr>
      </w:pPr>
      <w:r>
        <w:rPr>
          <w:rFonts w:ascii="Century Gothic" w:eastAsia="Century Gothic" w:hAnsi="Century Gothic" w:cs="Century Gothic"/>
          <w:b/>
        </w:rPr>
        <w:t>Capítulo V. Planeación, presupuesto y sostenibilidad</w:t>
      </w:r>
    </w:p>
    <w:p w14:paraId="420A1E09"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b/>
        </w:rPr>
        <w:t xml:space="preserve">Artículo 16. </w:t>
      </w:r>
      <w:r>
        <w:rPr>
          <w:rFonts w:ascii="Century Gothic" w:eastAsia="Century Gothic" w:hAnsi="Century Gothic" w:cs="Century Gothic"/>
        </w:rPr>
        <w:t>Integración en los planes de desarrollo territorial.</w:t>
      </w:r>
    </w:p>
    <w:p w14:paraId="192F2506"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b/>
        </w:rPr>
        <w:t xml:space="preserve">Artículo 17. </w:t>
      </w:r>
      <w:r>
        <w:rPr>
          <w:rFonts w:ascii="Century Gothic" w:eastAsia="Century Gothic" w:hAnsi="Century Gothic" w:cs="Century Gothic"/>
        </w:rPr>
        <w:t>Priorización en el gasto público territori</w:t>
      </w:r>
      <w:r>
        <w:rPr>
          <w:rFonts w:ascii="Century Gothic" w:eastAsia="Century Gothic" w:hAnsi="Century Gothic" w:cs="Century Gothic"/>
        </w:rPr>
        <w:t>al sin creación de nuevas partidas.</w:t>
      </w:r>
    </w:p>
    <w:p w14:paraId="40AC2448"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b/>
        </w:rPr>
        <w:t xml:space="preserve">Artículo 18. </w:t>
      </w:r>
      <w:r>
        <w:rPr>
          <w:rFonts w:ascii="Century Gothic" w:eastAsia="Century Gothic" w:hAnsi="Century Gothic" w:cs="Century Gothic"/>
        </w:rPr>
        <w:t>Incentivos a la gestión local eficaz.</w:t>
      </w:r>
    </w:p>
    <w:p w14:paraId="26F8B47A"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b/>
        </w:rPr>
        <w:t>Artículo 19.</w:t>
      </w:r>
      <w:r>
        <w:rPr>
          <w:rFonts w:ascii="Century Gothic" w:eastAsia="Century Gothic" w:hAnsi="Century Gothic" w:cs="Century Gothic"/>
        </w:rPr>
        <w:t xml:space="preserve"> Evaluación participativa y rendición de cuentas.</w:t>
      </w:r>
    </w:p>
    <w:p w14:paraId="2E306963" w14:textId="77777777" w:rsidR="00AA5550" w:rsidRDefault="00AA5550">
      <w:pPr>
        <w:jc w:val="both"/>
        <w:rPr>
          <w:rFonts w:ascii="Century Gothic" w:eastAsia="Century Gothic" w:hAnsi="Century Gothic" w:cs="Century Gothic"/>
        </w:rPr>
      </w:pPr>
    </w:p>
    <w:p w14:paraId="1247D63B" w14:textId="77777777" w:rsidR="00AA5550" w:rsidRDefault="00045FF4">
      <w:pPr>
        <w:rPr>
          <w:rFonts w:ascii="Century Gothic" w:eastAsia="Century Gothic" w:hAnsi="Century Gothic" w:cs="Century Gothic"/>
          <w:b/>
        </w:rPr>
      </w:pPr>
      <w:r>
        <w:rPr>
          <w:rFonts w:ascii="Century Gothic" w:eastAsia="Century Gothic" w:hAnsi="Century Gothic" w:cs="Century Gothic"/>
          <w:b/>
        </w:rPr>
        <w:t xml:space="preserve">Capítulo VI. Disposiciones finales </w:t>
      </w:r>
    </w:p>
    <w:p w14:paraId="68F2520C" w14:textId="2B016FCD" w:rsidR="00AA5550" w:rsidRDefault="00045FF4">
      <w:pPr>
        <w:jc w:val="both"/>
        <w:rPr>
          <w:rFonts w:ascii="Century Gothic" w:eastAsia="Century Gothic" w:hAnsi="Century Gothic" w:cs="Century Gothic"/>
        </w:rPr>
      </w:pPr>
      <w:r>
        <w:rPr>
          <w:rFonts w:ascii="Century Gothic" w:eastAsia="Century Gothic" w:hAnsi="Century Gothic" w:cs="Century Gothic"/>
          <w:b/>
        </w:rPr>
        <w:t xml:space="preserve">Artículo 20. </w:t>
      </w:r>
      <w:r>
        <w:rPr>
          <w:rFonts w:ascii="Century Gothic" w:eastAsia="Century Gothic" w:hAnsi="Century Gothic" w:cs="Century Gothic"/>
        </w:rPr>
        <w:t>Vigencia y derogatorias.</w:t>
      </w:r>
    </w:p>
    <w:p w14:paraId="712AD187" w14:textId="12B521E1" w:rsidR="00C00F1B" w:rsidRDefault="00C00F1B">
      <w:pPr>
        <w:jc w:val="both"/>
        <w:rPr>
          <w:rFonts w:ascii="Century Gothic" w:eastAsia="Century Gothic" w:hAnsi="Century Gothic" w:cs="Century Gothic"/>
        </w:rPr>
      </w:pPr>
    </w:p>
    <w:p w14:paraId="49E175B3" w14:textId="696D405F" w:rsidR="00C00F1B" w:rsidRDefault="00C00F1B">
      <w:pPr>
        <w:jc w:val="both"/>
        <w:rPr>
          <w:rFonts w:ascii="Century Gothic" w:eastAsia="Century Gothic" w:hAnsi="Century Gothic" w:cs="Century Gothic"/>
        </w:rPr>
      </w:pPr>
    </w:p>
    <w:p w14:paraId="1F4B6F61" w14:textId="77777777" w:rsidR="00C00F1B" w:rsidRDefault="00C00F1B">
      <w:pPr>
        <w:jc w:val="both"/>
        <w:rPr>
          <w:rFonts w:ascii="Century Gothic" w:eastAsia="Century Gothic" w:hAnsi="Century Gothic" w:cs="Century Gothic"/>
        </w:rPr>
      </w:pPr>
    </w:p>
    <w:p w14:paraId="3342948A" w14:textId="77777777" w:rsidR="00AA5550" w:rsidRDefault="00045FF4">
      <w:pPr>
        <w:pStyle w:val="Ttulo1"/>
        <w:numPr>
          <w:ilvl w:val="0"/>
          <w:numId w:val="23"/>
        </w:numPr>
        <w:jc w:val="center"/>
        <w:rPr>
          <w:rFonts w:ascii="Century Gothic" w:eastAsia="Century Gothic" w:hAnsi="Century Gothic" w:cs="Century Gothic"/>
          <w:b/>
          <w:sz w:val="22"/>
          <w:szCs w:val="22"/>
        </w:rPr>
      </w:pPr>
      <w:bookmarkStart w:id="8" w:name="_heading=h.ucjfc7zc4wf2" w:colFirst="0" w:colLast="0"/>
      <w:bookmarkEnd w:id="8"/>
      <w:r>
        <w:rPr>
          <w:rFonts w:ascii="Century Gothic" w:eastAsia="Century Gothic" w:hAnsi="Century Gothic" w:cs="Century Gothic"/>
          <w:b/>
          <w:sz w:val="22"/>
          <w:szCs w:val="22"/>
        </w:rPr>
        <w:lastRenderedPageBreak/>
        <w:t>ANÁLISIS Y CONSIDERACIONES DEL PROYECTO DE LEY</w:t>
      </w:r>
    </w:p>
    <w:p w14:paraId="1C49477B" w14:textId="77777777" w:rsidR="00AA5550" w:rsidRDefault="00045FF4">
      <w:pPr>
        <w:pStyle w:val="Subttulo"/>
        <w:tabs>
          <w:tab w:val="left" w:pos="5556"/>
        </w:tabs>
        <w:rPr>
          <w:color w:val="000000"/>
        </w:rPr>
      </w:pPr>
      <w:bookmarkStart w:id="9" w:name="_heading=h.me4gv68gwtn3" w:colFirst="0" w:colLast="0"/>
      <w:bookmarkEnd w:id="9"/>
      <w:r>
        <w:rPr>
          <w:color w:val="000000"/>
        </w:rPr>
        <w:tab/>
      </w:r>
    </w:p>
    <w:p w14:paraId="4247E8E3" w14:textId="77777777" w:rsidR="00AA5550" w:rsidRDefault="00045FF4">
      <w:pPr>
        <w:pStyle w:val="Subttulo"/>
        <w:numPr>
          <w:ilvl w:val="0"/>
          <w:numId w:val="12"/>
        </w:numPr>
        <w:rPr>
          <w:color w:val="000000"/>
        </w:rPr>
      </w:pPr>
      <w:bookmarkStart w:id="10" w:name="_heading=h.4visqkvm7aby" w:colFirst="0" w:colLast="0"/>
      <w:bookmarkEnd w:id="10"/>
      <w:r>
        <w:rPr>
          <w:color w:val="000000"/>
        </w:rPr>
        <w:t>ANTECEDENTES DE LA INICIATIVA</w:t>
      </w:r>
    </w:p>
    <w:p w14:paraId="5BBE36F0" w14:textId="77777777" w:rsidR="00AA5550" w:rsidRDefault="00045FF4">
      <w:pPr>
        <w:tabs>
          <w:tab w:val="left" w:pos="3274"/>
        </w:tabs>
        <w:jc w:val="both"/>
        <w:rPr>
          <w:rFonts w:ascii="Century Gothic" w:eastAsia="Century Gothic" w:hAnsi="Century Gothic" w:cs="Century Gothic"/>
          <w:b/>
        </w:rPr>
      </w:pPr>
      <w:bookmarkStart w:id="11" w:name="_heading=h.hmgs1zvdvdbf" w:colFirst="0" w:colLast="0"/>
      <w:bookmarkEnd w:id="11"/>
      <w:r>
        <w:rPr>
          <w:rFonts w:ascii="Century Gothic" w:eastAsia="Century Gothic" w:hAnsi="Century Gothic" w:cs="Century Gothic"/>
          <w:b/>
        </w:rPr>
        <w:tab/>
      </w:r>
    </w:p>
    <w:p w14:paraId="2B4E734D" w14:textId="77777777" w:rsidR="00AA5550" w:rsidRDefault="00045FF4">
      <w:pPr>
        <w:jc w:val="both"/>
        <w:rPr>
          <w:rFonts w:ascii="Century Gothic" w:eastAsia="Century Gothic" w:hAnsi="Century Gothic" w:cs="Century Gothic"/>
        </w:rPr>
      </w:pPr>
      <w:bookmarkStart w:id="12" w:name="_heading=h.s1zacr29syv7" w:colFirst="0" w:colLast="0"/>
      <w:bookmarkEnd w:id="12"/>
      <w:r>
        <w:rPr>
          <w:rFonts w:ascii="Century Gothic" w:eastAsia="Century Gothic" w:hAnsi="Century Gothic" w:cs="Century Gothic"/>
        </w:rPr>
        <w:t xml:space="preserve">En Colombia, la violencia contra mujeres, niñas y adolescentes es alarmante (2024-2025). INMLCF reportó 33.890 casos de violencia intrafamiliar (enero-octubre 2024), con 7.5% </w:t>
      </w:r>
      <w:r>
        <w:rPr>
          <w:rFonts w:ascii="Century Gothic" w:eastAsia="Century Gothic" w:hAnsi="Century Gothic" w:cs="Century Gothic"/>
        </w:rPr>
        <w:t>de aumento. La niñez es muy afectada (11.872 casos).</w:t>
      </w:r>
    </w:p>
    <w:p w14:paraId="7BAA09D7"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El INMLCF registró 10.847 exámenes por presunto abuso sexual a menores de 18 años (enero-octubre 2024). Esto confirma un riesgo estructural continuo para la niñez en sus entornos inmediatos.</w:t>
      </w:r>
    </w:p>
    <w:p w14:paraId="45487823"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En 2025 (enero-mayo), 81 líderes sociales fueron asesinados, según Defensoría. Esto expone a mujeres, niños y adolescentes rurales a grupos armados y economías ilegales, por falta de presencia estatal, aumentando riesgos de abuso.</w:t>
      </w:r>
    </w:p>
    <w:p w14:paraId="0835BA73"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La violencia feminicida e</w:t>
      </w:r>
      <w:r>
        <w:rPr>
          <w:rFonts w:ascii="Century Gothic" w:eastAsia="Century Gothic" w:hAnsi="Century Gothic" w:cs="Century Gothic"/>
        </w:rPr>
        <w:t>s crítica, la defensoría registró 745 feminicidios en 2024 (incluyendo niñas y mujeres trans). En 2025 (primeros 5 meses) hubo 338 nuevos casos, indicando que el fenómeno no decrece, pese a las normativas.</w:t>
      </w:r>
    </w:p>
    <w:p w14:paraId="103E7831"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En Bogotá, la Secretaría Distrital de la Mujer doc</w:t>
      </w:r>
      <w:r>
        <w:rPr>
          <w:rFonts w:ascii="Century Gothic" w:eastAsia="Century Gothic" w:hAnsi="Century Gothic" w:cs="Century Gothic"/>
        </w:rPr>
        <w:t>umentó 99 nuevos casos de violencia de género (enero-febrero 2025). Esto demuestra la persistencia de la violencia incluso en la capital, a pesar de los mayores recursos institucionales.</w:t>
      </w:r>
    </w:p>
    <w:p w14:paraId="47959BEF"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El ICBF reportó (abril 2025) que 27.421 niñas, niños y adolescentes f</w:t>
      </w:r>
      <w:r>
        <w:rPr>
          <w:rFonts w:ascii="Century Gothic" w:eastAsia="Century Gothic" w:hAnsi="Century Gothic" w:cs="Century Gothic"/>
        </w:rPr>
        <w:t>ueron atendidos por graves vulneraciones de derechos en lo que va del año. La violencia sexual fue la causa principal de ingreso al sistema de protección.</w:t>
      </w:r>
    </w:p>
    <w:p w14:paraId="518BF923"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La Procuraduría advirtió un aumento del 5.2% en violencia intrafamiliar (primeros cuatro meses de 202</w:t>
      </w:r>
      <w:r>
        <w:rPr>
          <w:rFonts w:ascii="Century Gothic" w:eastAsia="Century Gothic" w:hAnsi="Century Gothic" w:cs="Century Gothic"/>
        </w:rPr>
        <w:t>5 vs. 2024). Los departamentos más afectados son Atlántico, Antioquia y Valle del Cauca.</w:t>
      </w:r>
    </w:p>
    <w:p w14:paraId="01E1A157"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Internacionalmente, Colombia tiene una de las tasas más altas de violencia de pareja en Latinoamérica (OCDE: 32.3% de mujeres). Más del 80% de mujeres en Bogotá sufren</w:t>
      </w:r>
      <w:r>
        <w:rPr>
          <w:rFonts w:ascii="Century Gothic" w:eastAsia="Century Gothic" w:hAnsi="Century Gothic" w:cs="Century Gothic"/>
        </w:rPr>
        <w:t xml:space="preserve"> acoso sexual público. La región tiene leyes, pero la violencia persiste, urgiendo a Colombia a actuar.</w:t>
      </w:r>
    </w:p>
    <w:p w14:paraId="47F7301E"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El marco legal colombiano es robusto (Constitución, leyes como 1257/2008; instituciones como Min. Igualdad). Sin embargo, CEPAL y otros señalan vacíos e</w:t>
      </w:r>
      <w:r>
        <w:rPr>
          <w:rFonts w:ascii="Century Gothic" w:eastAsia="Century Gothic" w:hAnsi="Century Gothic" w:cs="Century Gothic"/>
        </w:rPr>
        <w:t>n la implementación, limitada capacidad preventiva y dispersión de información, explicando la persistencia de alta violencia.</w:t>
      </w:r>
    </w:p>
    <w:p w14:paraId="70FDBA80" w14:textId="77777777" w:rsidR="00AA5550" w:rsidRDefault="00AA5550">
      <w:pPr>
        <w:jc w:val="both"/>
        <w:rPr>
          <w:rFonts w:ascii="Century Gothic" w:eastAsia="Century Gothic" w:hAnsi="Century Gothic" w:cs="Century Gothic"/>
        </w:rPr>
      </w:pPr>
    </w:p>
    <w:p w14:paraId="50E8BBE8" w14:textId="77777777" w:rsidR="00AA5550" w:rsidRDefault="00045FF4">
      <w:pPr>
        <w:pStyle w:val="Subttulo"/>
        <w:numPr>
          <w:ilvl w:val="0"/>
          <w:numId w:val="35"/>
        </w:numPr>
        <w:rPr>
          <w:color w:val="000000"/>
        </w:rPr>
      </w:pPr>
      <w:bookmarkStart w:id="13" w:name="_heading=h.89cu9piwj4dx" w:colFirst="0" w:colLast="0"/>
      <w:bookmarkEnd w:id="13"/>
      <w:r>
        <w:rPr>
          <w:color w:val="000000"/>
        </w:rPr>
        <w:t xml:space="preserve">JUSTIFICACIÓN DEL PROYECTO DE LEY </w:t>
      </w:r>
    </w:p>
    <w:p w14:paraId="0B7D936B"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El Proyecto de Ley de Entornos Seguros para Mujeres y Niñez surge del reconocimiento de la gra</w:t>
      </w:r>
      <w:r>
        <w:rPr>
          <w:rFonts w:ascii="Century Gothic" w:eastAsia="Century Gothic" w:hAnsi="Century Gothic" w:cs="Century Gothic"/>
        </w:rPr>
        <w:t>ve situación de violencia estructural y sistemática que enfrentan mujeres, niñas, niños y adolescentes en Colombia, configurando una vulneración persistente de sus derechos fundamentales y un obstáculo directo al desarrollo de comunidades seguras, justas e</w:t>
      </w:r>
      <w:r>
        <w:rPr>
          <w:rFonts w:ascii="Century Gothic" w:eastAsia="Century Gothic" w:hAnsi="Century Gothic" w:cs="Century Gothic"/>
        </w:rPr>
        <w:t xml:space="preserve"> igualitarias. Esta realidad constituye no </w:t>
      </w:r>
      <w:r>
        <w:rPr>
          <w:rFonts w:ascii="Century Gothic" w:eastAsia="Century Gothic" w:hAnsi="Century Gothic" w:cs="Century Gothic"/>
        </w:rPr>
        <w:lastRenderedPageBreak/>
        <w:t>solo una crisis humanitaria, sino también un desafío estructural que requiere una respuesta legislativa integral, articulada y sostenible.</w:t>
      </w:r>
    </w:p>
    <w:p w14:paraId="6B8D2511"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Las cifras más recientes evidencian la magnitud alarmante del problema: en</w:t>
      </w:r>
      <w:r>
        <w:rPr>
          <w:rFonts w:ascii="Century Gothic" w:eastAsia="Century Gothic" w:hAnsi="Century Gothic" w:cs="Century Gothic"/>
        </w:rPr>
        <w:t xml:space="preserve"> 2024 se han presentado 745 feminicidios en Colombia, según la Defensoría, mientras que el 75,6% de los casos registrados por violencia de género en 2024 son contra mujeres. Paralelamente, la violencia contra los menores experimentó un preocupante aumento </w:t>
      </w:r>
      <w:r>
        <w:rPr>
          <w:rFonts w:ascii="Century Gothic" w:eastAsia="Century Gothic" w:hAnsi="Century Gothic" w:cs="Century Gothic"/>
        </w:rPr>
        <w:t>del 31% en 2024, de acuerdo con datos proporcionados por Unicef, reflejándose en el incremento de casos reportados que pasaron de 4.612 en 2023 a 6.053 en 2024. Adicionalmente, las cifras de denuncias por delitos contra niños, niñas y adolescentes en Colom</w:t>
      </w:r>
      <w:r>
        <w:rPr>
          <w:rFonts w:ascii="Century Gothic" w:eastAsia="Century Gothic" w:hAnsi="Century Gothic" w:cs="Century Gothic"/>
        </w:rPr>
        <w:t>bia han mostrado un preocupante aumento del 8% en lo que va de 2024, alcanzando un total de 78.124 reportes.</w:t>
      </w:r>
    </w:p>
    <w:p w14:paraId="20D3FC08"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Esta situación se enmarca en un contexto global preocupante, donde más de 640 millones de mujeres de 15 años o más (el 26 por ciento del total) han</w:t>
      </w:r>
      <w:r>
        <w:rPr>
          <w:rFonts w:ascii="Century Gothic" w:eastAsia="Century Gothic" w:hAnsi="Century Gothic" w:cs="Century Gothic"/>
        </w:rPr>
        <w:t xml:space="preserve"> sido objeto de violencia por parte de su pareja, y donde en 2023, unas 51.100 mujeres y niñas murieron a manos de sus parejas u otros familiares en todo el mundo.</w:t>
      </w:r>
    </w:p>
    <w:p w14:paraId="7F78864F" w14:textId="77777777" w:rsidR="00AA5550" w:rsidRDefault="00045FF4">
      <w:pPr>
        <w:pStyle w:val="Ttulo1"/>
        <w:jc w:val="center"/>
        <w:rPr>
          <w:rFonts w:ascii="Century Gothic" w:eastAsia="Century Gothic" w:hAnsi="Century Gothic" w:cs="Century Gothic"/>
          <w:b/>
          <w:sz w:val="22"/>
          <w:szCs w:val="22"/>
        </w:rPr>
      </w:pPr>
      <w:bookmarkStart w:id="14" w:name="_heading=h.2qtsxovgjnx" w:colFirst="0" w:colLast="0"/>
      <w:bookmarkEnd w:id="14"/>
      <w:r>
        <w:rPr>
          <w:rFonts w:ascii="Century Gothic" w:eastAsia="Century Gothic" w:hAnsi="Century Gothic" w:cs="Century Gothic"/>
          <w:b/>
          <w:sz w:val="22"/>
          <w:szCs w:val="22"/>
        </w:rPr>
        <w:t>III. MARCO NORMATIVO VIGENTE Y SUS LIMITACIONES ESTRUCTURALES</w:t>
      </w:r>
    </w:p>
    <w:p w14:paraId="4DC588DF"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Colombia ha adoptado important</w:t>
      </w:r>
      <w:r>
        <w:rPr>
          <w:rFonts w:ascii="Century Gothic" w:eastAsia="Century Gothic" w:hAnsi="Century Gothic" w:cs="Century Gothic"/>
        </w:rPr>
        <w:t xml:space="preserve">es avances normativos en materia de protección de los derechos de las mujeres, niñas, niños y adolescentes, incluyendo la Ley 1098 de 2006 (Código de Infancia y Adolescencia), la Ley 1257 de 2008 (prevención y sanción de violencia contra la mujer), la Ley </w:t>
      </w:r>
      <w:r>
        <w:rPr>
          <w:rFonts w:ascii="Century Gothic" w:eastAsia="Century Gothic" w:hAnsi="Century Gothic" w:cs="Century Gothic"/>
        </w:rPr>
        <w:t>1719 de 2014 (acceso a la justicia para víctimas de violencia sexual en conflicto armado), la Ley 1761 de 2015 (Rosa Elvira Cely), y más recientemente la Ley 2126 de 2021. Estos instrumentos se articulan con compromisos internacionales derivados de la Conv</w:t>
      </w:r>
      <w:r>
        <w:rPr>
          <w:rFonts w:ascii="Century Gothic" w:eastAsia="Century Gothic" w:hAnsi="Century Gothic" w:cs="Century Gothic"/>
        </w:rPr>
        <w:t>ención sobre la Eliminación de Todas las Formas de Discriminación contra la Mujer (CEDAW), la Convención sobre los Derechos del Niño y la Convención de Belém do Pará.</w:t>
      </w:r>
    </w:p>
    <w:p w14:paraId="2E20BCBD"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Sin embargo, el país continúa enfrentando limitaciones estructurales críticas que impiden</w:t>
      </w:r>
      <w:r>
        <w:rPr>
          <w:rFonts w:ascii="Century Gothic" w:eastAsia="Century Gothic" w:hAnsi="Century Gothic" w:cs="Century Gothic"/>
        </w:rPr>
        <w:t xml:space="preserve"> garantizar de manera efectiva entornos seguros y protectores:</w:t>
      </w:r>
    </w:p>
    <w:p w14:paraId="38F55D73" w14:textId="77777777" w:rsidR="00AA5550" w:rsidRDefault="00045FF4">
      <w:pPr>
        <w:pStyle w:val="Ttulo3"/>
        <w:numPr>
          <w:ilvl w:val="2"/>
          <w:numId w:val="34"/>
        </w:numPr>
        <w:rPr>
          <w:rFonts w:ascii="Century Gothic" w:eastAsia="Century Gothic" w:hAnsi="Century Gothic" w:cs="Century Gothic"/>
          <w:b/>
          <w:color w:val="000000"/>
          <w:sz w:val="22"/>
          <w:szCs w:val="22"/>
        </w:rPr>
      </w:pPr>
      <w:bookmarkStart w:id="15" w:name="_heading=h.abw2irw1vops" w:colFirst="0" w:colLast="0"/>
      <w:bookmarkEnd w:id="15"/>
      <w:r>
        <w:rPr>
          <w:rFonts w:ascii="Century Gothic" w:eastAsia="Century Gothic" w:hAnsi="Century Gothic" w:cs="Century Gothic"/>
          <w:b/>
          <w:color w:val="000000"/>
          <w:sz w:val="22"/>
          <w:szCs w:val="22"/>
        </w:rPr>
        <w:t>Fragmentación Normativa y desarticulación Institucional</w:t>
      </w:r>
    </w:p>
    <w:p w14:paraId="380EE6DC" w14:textId="77777777" w:rsidR="00AA5550" w:rsidRDefault="00AA5550">
      <w:pPr>
        <w:ind w:left="720"/>
        <w:jc w:val="both"/>
        <w:rPr>
          <w:rFonts w:ascii="Century Gothic" w:eastAsia="Century Gothic" w:hAnsi="Century Gothic" w:cs="Century Gothic"/>
          <w:b/>
        </w:rPr>
      </w:pPr>
    </w:p>
    <w:p w14:paraId="2EBB56D9"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El marco legal vigente está disperso en múltiples instrumentos, careciendo de mecanismos de articulación obligatorios entre niveles de gobierno. Esta fragmentación genera duplicidad, superposición y vacíos de ejecución, especialmente en territorios crítico</w:t>
      </w:r>
      <w:r>
        <w:rPr>
          <w:rFonts w:ascii="Century Gothic" w:eastAsia="Century Gothic" w:hAnsi="Century Gothic" w:cs="Century Gothic"/>
        </w:rPr>
        <w:t>s con baja capacidad institucional. La Corte Constitucional ha reconocido que esta desarticulación es una barrera para la garantía de derechos en la violencia contra mujeres, exigiendo un abordaje multinivel.</w:t>
      </w:r>
    </w:p>
    <w:p w14:paraId="63FF7CE6" w14:textId="77777777" w:rsidR="00AA5550" w:rsidRDefault="00045FF4">
      <w:pPr>
        <w:pStyle w:val="Ttulo3"/>
        <w:numPr>
          <w:ilvl w:val="2"/>
          <w:numId w:val="34"/>
        </w:numPr>
        <w:rPr>
          <w:rFonts w:ascii="Century Gothic" w:eastAsia="Century Gothic" w:hAnsi="Century Gothic" w:cs="Century Gothic"/>
          <w:b/>
          <w:color w:val="000000"/>
          <w:sz w:val="22"/>
          <w:szCs w:val="22"/>
        </w:rPr>
      </w:pPr>
      <w:bookmarkStart w:id="16" w:name="_heading=h.jr30pgymlor2" w:colFirst="0" w:colLast="0"/>
      <w:bookmarkEnd w:id="16"/>
      <w:r>
        <w:rPr>
          <w:rFonts w:ascii="Century Gothic" w:eastAsia="Century Gothic" w:hAnsi="Century Gothic" w:cs="Century Gothic"/>
          <w:b/>
          <w:color w:val="000000"/>
          <w:sz w:val="22"/>
          <w:szCs w:val="22"/>
        </w:rPr>
        <w:lastRenderedPageBreak/>
        <w:t>Ausencia de estrategia jurídica territorial int</w:t>
      </w:r>
      <w:r>
        <w:rPr>
          <w:rFonts w:ascii="Century Gothic" w:eastAsia="Century Gothic" w:hAnsi="Century Gothic" w:cs="Century Gothic"/>
          <w:b/>
          <w:color w:val="000000"/>
          <w:sz w:val="22"/>
          <w:szCs w:val="22"/>
        </w:rPr>
        <w:t>egral</w:t>
      </w:r>
    </w:p>
    <w:p w14:paraId="5B677AFD" w14:textId="77777777" w:rsidR="00AA5550" w:rsidRDefault="00AA5550">
      <w:pPr>
        <w:jc w:val="both"/>
        <w:rPr>
          <w:rFonts w:ascii="Century Gothic" w:eastAsia="Century Gothic" w:hAnsi="Century Gothic" w:cs="Century Gothic"/>
          <w:b/>
        </w:rPr>
      </w:pPr>
    </w:p>
    <w:p w14:paraId="2BE62A48"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No existe una estrategia legal que obligue a entidades de todos los niveles a implementar acciones conjuntas con enfoque territorial y diferencial. Esta carencia limita la respuesta estatal ante la violencia intrafamiliar, sexual, comunitaria y de g</w:t>
      </w:r>
      <w:r>
        <w:rPr>
          <w:rFonts w:ascii="Century Gothic" w:eastAsia="Century Gothic" w:hAnsi="Century Gothic" w:cs="Century Gothic"/>
        </w:rPr>
        <w:t>énero, impidiendo una acción oportuna y coordinada frente a los riesgos de mujeres y niñez.</w:t>
      </w:r>
    </w:p>
    <w:p w14:paraId="37F0D4FD" w14:textId="77777777" w:rsidR="00AA5550" w:rsidRDefault="00AA5550">
      <w:pPr>
        <w:jc w:val="both"/>
        <w:rPr>
          <w:rFonts w:ascii="Century Gothic" w:eastAsia="Century Gothic" w:hAnsi="Century Gothic" w:cs="Century Gothic"/>
        </w:rPr>
      </w:pPr>
    </w:p>
    <w:p w14:paraId="2D27B6AB" w14:textId="77777777" w:rsidR="00AA5550" w:rsidRDefault="00045FF4">
      <w:pPr>
        <w:pStyle w:val="Ttulo3"/>
        <w:numPr>
          <w:ilvl w:val="2"/>
          <w:numId w:val="34"/>
        </w:numPr>
        <w:rPr>
          <w:rFonts w:ascii="Century Gothic" w:eastAsia="Century Gothic" w:hAnsi="Century Gothic" w:cs="Century Gothic"/>
          <w:b/>
          <w:color w:val="000000"/>
          <w:sz w:val="22"/>
          <w:szCs w:val="22"/>
        </w:rPr>
      </w:pPr>
      <w:bookmarkStart w:id="17" w:name="_heading=h.7o8y3ucclh0k" w:colFirst="0" w:colLast="0"/>
      <w:bookmarkEnd w:id="17"/>
      <w:r>
        <w:rPr>
          <w:rFonts w:ascii="Century Gothic" w:eastAsia="Century Gothic" w:hAnsi="Century Gothic" w:cs="Century Gothic"/>
          <w:b/>
          <w:color w:val="000000"/>
          <w:sz w:val="22"/>
          <w:szCs w:val="22"/>
        </w:rPr>
        <w:t>Déficit en evaluación, seguimiento y rendición de cuentas</w:t>
      </w:r>
    </w:p>
    <w:p w14:paraId="67977FE8" w14:textId="77777777" w:rsidR="00AA5550" w:rsidRDefault="00AA5550">
      <w:pPr>
        <w:jc w:val="both"/>
        <w:rPr>
          <w:rFonts w:ascii="Century Gothic" w:eastAsia="Century Gothic" w:hAnsi="Century Gothic" w:cs="Century Gothic"/>
          <w:b/>
        </w:rPr>
      </w:pPr>
    </w:p>
    <w:p w14:paraId="3A12D38E"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Las normas existentes carecen de herramientas vinculantes de evaluación de impacto, seguimiento y rendic</w:t>
      </w:r>
      <w:r>
        <w:rPr>
          <w:rFonts w:ascii="Century Gothic" w:eastAsia="Century Gothic" w:hAnsi="Century Gothic" w:cs="Century Gothic"/>
        </w:rPr>
        <w:t>ión de cuentas, especialmente en el nivel local, lo cual perpetúa las brechas entre territorios. La implementación de planes y programas depende excesivamente de la voluntad política de turno, sin instrumentos normativos que aseguren continuidad, suficienc</w:t>
      </w:r>
      <w:r>
        <w:rPr>
          <w:rFonts w:ascii="Century Gothic" w:eastAsia="Century Gothic" w:hAnsi="Century Gothic" w:cs="Century Gothic"/>
        </w:rPr>
        <w:t xml:space="preserve">ia presupuestal o progresividad, contraviniendo el principio de sostenibilidad de las políticas públicas en materia de derechos humanos. </w:t>
      </w:r>
    </w:p>
    <w:p w14:paraId="7F4AB41E" w14:textId="77777777" w:rsidR="00AA5550" w:rsidRDefault="00045FF4">
      <w:pPr>
        <w:pStyle w:val="Ttulo3"/>
        <w:numPr>
          <w:ilvl w:val="2"/>
          <w:numId w:val="34"/>
        </w:numPr>
        <w:rPr>
          <w:rFonts w:ascii="Century Gothic" w:eastAsia="Century Gothic" w:hAnsi="Century Gothic" w:cs="Century Gothic"/>
          <w:b/>
          <w:color w:val="000000"/>
          <w:sz w:val="22"/>
          <w:szCs w:val="22"/>
        </w:rPr>
      </w:pPr>
      <w:bookmarkStart w:id="18" w:name="_heading=h.f5kus753teyx" w:colFirst="0" w:colLast="0"/>
      <w:bookmarkEnd w:id="18"/>
      <w:r>
        <w:rPr>
          <w:rFonts w:ascii="Century Gothic" w:eastAsia="Century Gothic" w:hAnsi="Century Gothic" w:cs="Century Gothic"/>
          <w:b/>
          <w:color w:val="000000"/>
          <w:sz w:val="22"/>
          <w:szCs w:val="22"/>
        </w:rPr>
        <w:t>Ausencia de enfoques transformadores transversales</w:t>
      </w:r>
    </w:p>
    <w:p w14:paraId="6FECD250"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El marco normativo actual en Colombia no integra enfoques transformadores como la interseccionalidad y la participación comunitaria, limitando su efectividad. Menos del 40% de los municipios tienen planes actualizados para prevenir la violencia de género, </w:t>
      </w:r>
      <w:r>
        <w:rPr>
          <w:rFonts w:ascii="Century Gothic" w:eastAsia="Century Gothic" w:hAnsi="Century Gothic" w:cs="Century Gothic"/>
        </w:rPr>
        <w:t>incumpliendo las obligaciones estatales. Además, más del 60% carece de estrategias de prevención comunitaria, perpetuando el riesgo en diversas zonas. Esta situación, considerada una emergencia nacional, requiere "políticas integrales, dirigidas y diferenc</w:t>
      </w:r>
      <w:r>
        <w:rPr>
          <w:rFonts w:ascii="Century Gothic" w:eastAsia="Century Gothic" w:hAnsi="Century Gothic" w:cs="Century Gothic"/>
        </w:rPr>
        <w:t>iadas" para abordar la creciente violencia de manera efectiva.</w:t>
      </w:r>
    </w:p>
    <w:p w14:paraId="6B4D4B29" w14:textId="77777777" w:rsidR="00AA5550" w:rsidRDefault="00AA5550">
      <w:pPr>
        <w:spacing w:before="240" w:after="240"/>
        <w:jc w:val="both"/>
        <w:rPr>
          <w:rFonts w:ascii="Century Gothic" w:eastAsia="Century Gothic" w:hAnsi="Century Gothic" w:cs="Century Gothic"/>
        </w:rPr>
      </w:pPr>
    </w:p>
    <w:p w14:paraId="0F4946BA" w14:textId="77777777" w:rsidR="00AA5550" w:rsidRDefault="00045FF4">
      <w:pPr>
        <w:pStyle w:val="Ttulo3"/>
        <w:numPr>
          <w:ilvl w:val="2"/>
          <w:numId w:val="34"/>
        </w:numPr>
        <w:rPr>
          <w:rFonts w:ascii="Century Gothic" w:eastAsia="Century Gothic" w:hAnsi="Century Gothic" w:cs="Century Gothic"/>
          <w:b/>
          <w:color w:val="000000"/>
          <w:sz w:val="22"/>
          <w:szCs w:val="22"/>
        </w:rPr>
      </w:pPr>
      <w:bookmarkStart w:id="19" w:name="_heading=h.dkfvgafcjjry" w:colFirst="0" w:colLast="0"/>
      <w:bookmarkEnd w:id="19"/>
      <w:r>
        <w:rPr>
          <w:rFonts w:ascii="Century Gothic" w:eastAsia="Century Gothic" w:hAnsi="Century Gothic" w:cs="Century Gothic"/>
          <w:b/>
          <w:color w:val="000000"/>
          <w:sz w:val="22"/>
          <w:szCs w:val="22"/>
        </w:rPr>
        <w:t xml:space="preserve">Compromisos Institucionales y Marco Internacional </w:t>
      </w:r>
    </w:p>
    <w:p w14:paraId="092B1787" w14:textId="77777777" w:rsidR="00AA5550" w:rsidRDefault="00AA5550">
      <w:pPr>
        <w:jc w:val="both"/>
        <w:rPr>
          <w:rFonts w:ascii="Century Gothic" w:eastAsia="Century Gothic" w:hAnsi="Century Gothic" w:cs="Century Gothic"/>
          <w:b/>
        </w:rPr>
      </w:pPr>
    </w:p>
    <w:p w14:paraId="5532543C"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El CONPES de 2022 estableció la "Política Pública de Equidad de Género para las Mujeres" con miras a aumentar las oportunidades de autonomía</w:t>
      </w:r>
      <w:r>
        <w:rPr>
          <w:rFonts w:ascii="Century Gothic" w:eastAsia="Century Gothic" w:hAnsi="Century Gothic" w:cs="Century Gothic"/>
        </w:rPr>
        <w:t xml:space="preserve"> económica y eliminar barreras, avanzar hacia la paridad en la participación de las mujeres en cargos públicos, mejorar la salud física y mental de las mujeres, prevenir y atender la violencia contra la mujer. Sin embargo, la implementación de estos lineam</w:t>
      </w:r>
      <w:r>
        <w:rPr>
          <w:rFonts w:ascii="Century Gothic" w:eastAsia="Century Gothic" w:hAnsi="Century Gothic" w:cs="Century Gothic"/>
        </w:rPr>
        <w:t>ientos requiere instrumentos normativos que garanticen su materialización efectiva en los territorios.</w:t>
      </w:r>
    </w:p>
    <w:p w14:paraId="06D65280"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lastRenderedPageBreak/>
        <w:t>El artículo 344 del Plan Nacional de Desarrollo "Colombia Potencia Mundial de la Vida" declaró la emergencia por violencia de género en todo el territori</w:t>
      </w:r>
      <w:r>
        <w:rPr>
          <w:rFonts w:ascii="Century Gothic" w:eastAsia="Century Gothic" w:hAnsi="Century Gothic" w:cs="Century Gothic"/>
        </w:rPr>
        <w:t>o nacional, estableciendo la necesidad de respuestas articuladas y sostenibles. Complementariamente, el nuevo Ministerio de la Igualdad y Equidad y el Sistema Nacional de Igualdad reconocen explícitamente la necesidad de coordinar acciones estatales para p</w:t>
      </w:r>
      <w:r>
        <w:rPr>
          <w:rFonts w:ascii="Century Gothic" w:eastAsia="Century Gothic" w:hAnsi="Century Gothic" w:cs="Century Gothic"/>
        </w:rPr>
        <w:t>roteger a poblaciones vulnerables.</w:t>
      </w:r>
    </w:p>
    <w:p w14:paraId="67279DAA" w14:textId="77777777" w:rsidR="00AA5550" w:rsidRDefault="00045FF4">
      <w:pPr>
        <w:pStyle w:val="Ttulo3"/>
        <w:numPr>
          <w:ilvl w:val="2"/>
          <w:numId w:val="34"/>
        </w:numPr>
        <w:rPr>
          <w:rFonts w:ascii="Century Gothic" w:eastAsia="Century Gothic" w:hAnsi="Century Gothic" w:cs="Century Gothic"/>
          <w:b/>
          <w:color w:val="000000"/>
          <w:sz w:val="22"/>
          <w:szCs w:val="22"/>
        </w:rPr>
      </w:pPr>
      <w:bookmarkStart w:id="20" w:name="_heading=h.cgp43qov897t" w:colFirst="0" w:colLast="0"/>
      <w:bookmarkEnd w:id="20"/>
      <w:r>
        <w:rPr>
          <w:rFonts w:ascii="Century Gothic" w:eastAsia="Century Gothic" w:hAnsi="Century Gothic" w:cs="Century Gothic"/>
          <w:b/>
          <w:color w:val="000000"/>
          <w:sz w:val="22"/>
          <w:szCs w:val="22"/>
        </w:rPr>
        <w:t>Marco Internacional y Objetivos de Desarrollo Sostenible</w:t>
      </w:r>
    </w:p>
    <w:p w14:paraId="75D86031"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A nivel internacional, la CEPAL reportó en 2024 que América Latina sigue siendo la región más letal para mujeres y niñas, con un promedio de 11 feminicidios diarios</w:t>
      </w:r>
      <w:r>
        <w:rPr>
          <w:rFonts w:ascii="Century Gothic" w:eastAsia="Century Gothic" w:hAnsi="Century Gothic" w:cs="Century Gothic"/>
        </w:rPr>
        <w:t>. Colombia, con 745 feminicidios en 2024, se mantiene en el grupo de países con tasas elevadas, pese a contar con normas avanzadas formalmente. Esta situación reafirma la urgencia de un marco normativo articulado que supere la dispersión institucional y ac</w:t>
      </w:r>
      <w:r>
        <w:rPr>
          <w:rFonts w:ascii="Century Gothic" w:eastAsia="Century Gothic" w:hAnsi="Century Gothic" w:cs="Century Gothic"/>
        </w:rPr>
        <w:t>túe de manera coordinada.</w:t>
      </w:r>
    </w:p>
    <w:p w14:paraId="08EF250D"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 agenda internacional establecida en los Objetivos de Desarrollo Sostenible, particularmente la meta 5.2 que exige eliminar todas las formas de violencia contra mujeres y niñas en los ámbitos público y privado, así como el Marco</w:t>
      </w:r>
      <w:r>
        <w:rPr>
          <w:rFonts w:ascii="Century Gothic" w:eastAsia="Century Gothic" w:hAnsi="Century Gothic" w:cs="Century Gothic"/>
        </w:rPr>
        <w:t xml:space="preserve"> de Acción de Beijing, demandan avances concretos hacia entornos seguros como vía para eliminar la violencia de género y proteger la infancia.</w:t>
      </w:r>
    </w:p>
    <w:p w14:paraId="596D10E7" w14:textId="77777777" w:rsidR="00AA5550" w:rsidRDefault="00045FF4">
      <w:pPr>
        <w:pStyle w:val="Ttulo3"/>
        <w:numPr>
          <w:ilvl w:val="2"/>
          <w:numId w:val="34"/>
        </w:numPr>
        <w:rPr>
          <w:rFonts w:ascii="Century Gothic" w:eastAsia="Century Gothic" w:hAnsi="Century Gothic" w:cs="Century Gothic"/>
          <w:b/>
          <w:color w:val="000000"/>
          <w:sz w:val="22"/>
          <w:szCs w:val="22"/>
        </w:rPr>
      </w:pPr>
      <w:bookmarkStart w:id="21" w:name="_heading=h.xt80lo3tmd85" w:colFirst="0" w:colLast="0"/>
      <w:bookmarkEnd w:id="21"/>
      <w:r>
        <w:rPr>
          <w:rFonts w:ascii="Century Gothic" w:eastAsia="Century Gothic" w:hAnsi="Century Gothic" w:cs="Century Gothic"/>
          <w:b/>
          <w:color w:val="000000"/>
          <w:sz w:val="22"/>
          <w:szCs w:val="22"/>
        </w:rPr>
        <w:t>Enfoque Diferencial e Interseccionalidad</w:t>
      </w:r>
    </w:p>
    <w:p w14:paraId="482E5C10"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 evidencia estadística demuestra que las afectaciones por violencia no</w:t>
      </w:r>
      <w:r>
        <w:rPr>
          <w:rFonts w:ascii="Century Gothic" w:eastAsia="Century Gothic" w:hAnsi="Century Gothic" w:cs="Century Gothic"/>
        </w:rPr>
        <w:t xml:space="preserve"> impactan de manera homogénea a todas las poblaciones. Las estadísticas del ICBF y el Ministerio de Igualdad muestran que las niñas afrocolombianas, indígenas y rurales presentan tasas de violencia hasta 2,5 veces más altas que las niñas urbanas mestizas. </w:t>
      </w:r>
      <w:r>
        <w:rPr>
          <w:rFonts w:ascii="Century Gothic" w:eastAsia="Century Gothic" w:hAnsi="Century Gothic" w:cs="Century Gothic"/>
        </w:rPr>
        <w:t>Adicionalmente, niños y adolescentes trans o LGBTIQ+ son víctimas frecuentes de violencia sexual y familiar, requiriendo enfoques específicos de protección.</w:t>
      </w:r>
    </w:p>
    <w:p w14:paraId="358EAC1A"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Se considera que más de 2 millones de mujeres y niñas corren el riesgo de sufrir violencia de géner</w:t>
      </w:r>
      <w:r>
        <w:rPr>
          <w:rFonts w:ascii="Century Gothic" w:eastAsia="Century Gothic" w:hAnsi="Century Gothic" w:cs="Century Gothic"/>
        </w:rPr>
        <w:t>o, siendo particularmente crítica la situación de 330.000 personas, predominantemente indígenas y afrodescendientes que viven en la región del Pacífico del país, donde los niveles de riesgo de violencia de género alcanzan dimensiones críticas.</w:t>
      </w:r>
    </w:p>
    <w:p w14:paraId="3D6D3690" w14:textId="77777777" w:rsidR="00AA5550" w:rsidRDefault="00045FF4">
      <w:pPr>
        <w:pStyle w:val="Ttulo3"/>
        <w:numPr>
          <w:ilvl w:val="2"/>
          <w:numId w:val="34"/>
        </w:numPr>
        <w:rPr>
          <w:rFonts w:ascii="Century Gothic" w:eastAsia="Century Gothic" w:hAnsi="Century Gothic" w:cs="Century Gothic"/>
          <w:b/>
          <w:color w:val="000000"/>
          <w:sz w:val="22"/>
          <w:szCs w:val="22"/>
        </w:rPr>
      </w:pPr>
      <w:bookmarkStart w:id="22" w:name="_heading=h.ola1s22j46v9" w:colFirst="0" w:colLast="0"/>
      <w:bookmarkEnd w:id="22"/>
      <w:r>
        <w:rPr>
          <w:rFonts w:ascii="Century Gothic" w:eastAsia="Century Gothic" w:hAnsi="Century Gothic" w:cs="Century Gothic"/>
          <w:b/>
          <w:color w:val="000000"/>
          <w:sz w:val="22"/>
          <w:szCs w:val="22"/>
        </w:rPr>
        <w:t>Necesidad de</w:t>
      </w:r>
      <w:r>
        <w:rPr>
          <w:rFonts w:ascii="Century Gothic" w:eastAsia="Century Gothic" w:hAnsi="Century Gothic" w:cs="Century Gothic"/>
          <w:b/>
          <w:color w:val="000000"/>
          <w:sz w:val="22"/>
          <w:szCs w:val="22"/>
        </w:rPr>
        <w:t xml:space="preserve"> Transformación Estructural y Cultural</w:t>
      </w:r>
    </w:p>
    <w:p w14:paraId="21D31957"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Los patrones de violencia están profundamente arraigados en imaginarios culturales patriarcales que, según la CEPAL, requieren transformaciones intersectoriales y </w:t>
      </w:r>
      <w:r>
        <w:rPr>
          <w:rFonts w:ascii="Century Gothic" w:eastAsia="Century Gothic" w:hAnsi="Century Gothic" w:cs="Century Gothic"/>
        </w:rPr>
        <w:lastRenderedPageBreak/>
        <w:t>educativas sostenibles. El proyecto de ley contribuirí</w:t>
      </w:r>
      <w:r>
        <w:rPr>
          <w:rFonts w:ascii="Century Gothic" w:eastAsia="Century Gothic" w:hAnsi="Century Gothic" w:cs="Century Gothic"/>
        </w:rPr>
        <w:t>a a esa transformación al establecer lineamientos claros que fortalezcan comisarías de familia y unidades de violencia de género, integren bases de datos superando la fragmentación informativa, y articulen los protocolos de ICBF, Policía, Fiscalía, Salud y</w:t>
      </w:r>
      <w:r>
        <w:rPr>
          <w:rFonts w:ascii="Century Gothic" w:eastAsia="Century Gothic" w:hAnsi="Century Gothic" w:cs="Century Gothic"/>
        </w:rPr>
        <w:t xml:space="preserve"> Educación para prevenir el abuso y atender integralmente a las víctimas.</w:t>
      </w:r>
    </w:p>
    <w:p w14:paraId="3A7FEF14"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 promoción de entornos seguros responde a una necesidad estructural y social que trasciende las medidas punitivas, apostando por la prevención, la educación transformadora, la part</w:t>
      </w:r>
      <w:r>
        <w:rPr>
          <w:rFonts w:ascii="Century Gothic" w:eastAsia="Century Gothic" w:hAnsi="Century Gothic" w:cs="Century Gothic"/>
        </w:rPr>
        <w:t>icipación comunitaria y el fortalecimiento de redes de protección territorial.</w:t>
      </w:r>
    </w:p>
    <w:p w14:paraId="5903AF40" w14:textId="77777777" w:rsidR="00AA5550" w:rsidRDefault="00045FF4">
      <w:pPr>
        <w:pStyle w:val="Ttulo1"/>
        <w:numPr>
          <w:ilvl w:val="0"/>
          <w:numId w:val="23"/>
        </w:numPr>
        <w:rPr>
          <w:rFonts w:ascii="Century Gothic" w:eastAsia="Century Gothic" w:hAnsi="Century Gothic" w:cs="Century Gothic"/>
          <w:b/>
          <w:sz w:val="22"/>
          <w:szCs w:val="22"/>
        </w:rPr>
      </w:pPr>
      <w:bookmarkStart w:id="23" w:name="_heading=h.50q1ltrecupv" w:colFirst="0" w:colLast="0"/>
      <w:bookmarkEnd w:id="23"/>
      <w:r>
        <w:rPr>
          <w:rFonts w:ascii="Century Gothic" w:eastAsia="Century Gothic" w:hAnsi="Century Gothic" w:cs="Century Gothic"/>
          <w:sz w:val="22"/>
          <w:szCs w:val="22"/>
        </w:rPr>
        <w:t xml:space="preserve">     </w:t>
      </w:r>
      <w:r>
        <w:rPr>
          <w:rFonts w:ascii="Century Gothic" w:eastAsia="Century Gothic" w:hAnsi="Century Gothic" w:cs="Century Gothic"/>
          <w:b/>
          <w:sz w:val="22"/>
          <w:szCs w:val="22"/>
        </w:rPr>
        <w:t>DIAGNÓSTICO EN CIFRAS</w:t>
      </w:r>
    </w:p>
    <w:p w14:paraId="7D67140C"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En lo corrido de 2025, si bien los datos disponibles hasta junio aún son parciales, evidencian una continuidad preocupante de la violencia estructural</w:t>
      </w:r>
      <w:r>
        <w:rPr>
          <w:rFonts w:ascii="Century Gothic" w:eastAsia="Century Gothic" w:hAnsi="Century Gothic" w:cs="Century Gothic"/>
        </w:rPr>
        <w:t xml:space="preserve"> y la vulneración de derechos fundamentales en contextos territoriales marginados, especialmente contra mujeres, niñas y niños. De acuerdo con la Defensoría del Pueblo, entre enero y mayo de 2025 se han registrado 81 asesinatos de líderes sociales y defens</w:t>
      </w:r>
      <w:r>
        <w:rPr>
          <w:rFonts w:ascii="Century Gothic" w:eastAsia="Century Gothic" w:hAnsi="Century Gothic" w:cs="Century Gothic"/>
        </w:rPr>
        <w:t>ores de derechos humanos, lo que constituye un patrón alarmante de inseguridad en zonas rurales y urbanas con débil presencia estatal</w:t>
      </w:r>
      <w:r>
        <w:rPr>
          <w:rFonts w:ascii="Century Gothic" w:eastAsia="Century Gothic" w:hAnsi="Century Gothic" w:cs="Century Gothic"/>
          <w:vertAlign w:val="superscript"/>
        </w:rPr>
        <w:footnoteReference w:id="2"/>
      </w:r>
      <w:r>
        <w:rPr>
          <w:rFonts w:ascii="Century Gothic" w:eastAsia="Century Gothic" w:hAnsi="Century Gothic" w:cs="Century Gothic"/>
        </w:rPr>
        <w:t>. Esta situación afecta de forma directa a las poblaciones vulnerables, ya que los líderes sociales suelen ser figuras esenciales en la garantía de derechos, el acompañamiento comunitario y la denuncia de violencias que afectan de manera diferencial a muje</w:t>
      </w:r>
      <w:r>
        <w:rPr>
          <w:rFonts w:ascii="Century Gothic" w:eastAsia="Century Gothic" w:hAnsi="Century Gothic" w:cs="Century Gothic"/>
        </w:rPr>
        <w:t>res y menores de edad. Su eliminación crea vacíos de protección colectiva, fragmenta el tejido social y expone a las comunidades a mayores riesgos de violencia, abuso sexual, reclutamiento forzado y explotación.</w:t>
      </w:r>
    </w:p>
    <w:p w14:paraId="7678FC7A"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El presente proyecto busca responder a esta </w:t>
      </w:r>
      <w:r>
        <w:rPr>
          <w:rFonts w:ascii="Century Gothic" w:eastAsia="Century Gothic" w:hAnsi="Century Gothic" w:cs="Century Gothic"/>
        </w:rPr>
        <w:t>crisis mediante la construcción de entornos seguros en coordinación con las autoridades locales, priorizando estrategias de prevención, participación comunitaria y corresponsabilidad institucional, especialmente en territorios históricamente desprotegidos.</w:t>
      </w:r>
    </w:p>
    <w:p w14:paraId="1A7AD8B9"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Esta situación de vulnerabilidad se agrava en entornos urbanos donde persisten múltiples formas de violencia de género que afectan de manera directa a mujeres y niñas. Por ejemplo, en Bogotá, la Secretaría Distrital de la Mujer documentó 99 nuevos casos d</w:t>
      </w:r>
      <w:r>
        <w:rPr>
          <w:rFonts w:ascii="Century Gothic" w:eastAsia="Century Gothic" w:hAnsi="Century Gothic" w:cs="Century Gothic"/>
        </w:rPr>
        <w:t>e violencia contra mujeres solo entre enero y febrero de 2025, lo que evidencia que la violencia basada en género no ha disminuido, sino que se mantiene como un fenómeno estructural y continuo</w:t>
      </w:r>
      <w:r>
        <w:rPr>
          <w:rFonts w:ascii="Century Gothic" w:eastAsia="Century Gothic" w:hAnsi="Century Gothic" w:cs="Century Gothic"/>
          <w:vertAlign w:val="superscript"/>
        </w:rPr>
        <w:footnoteReference w:id="3"/>
      </w:r>
      <w:r>
        <w:rPr>
          <w:rFonts w:ascii="Century Gothic" w:eastAsia="Century Gothic" w:hAnsi="Century Gothic" w:cs="Century Gothic"/>
        </w:rPr>
        <w:t>.</w:t>
      </w:r>
    </w:p>
    <w:p w14:paraId="75D8E32E"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lastRenderedPageBreak/>
        <w:t>En una perspectiva más amplia, la Defensoría del Pueblo repo</w:t>
      </w:r>
      <w:r>
        <w:rPr>
          <w:rFonts w:ascii="Century Gothic" w:eastAsia="Century Gothic" w:hAnsi="Century Gothic" w:cs="Century Gothic"/>
        </w:rPr>
        <w:t>rtó que en 2024 se registraron 745 feminicidios en Colombia, incluyendo 44 víctimas niñas y 11 personas trans, datos que reflejan la diversidad de afectaciones y la necesidad de respuestas con enfoque interseccional</w:t>
      </w:r>
      <w:r>
        <w:rPr>
          <w:rFonts w:ascii="Century Gothic" w:eastAsia="Century Gothic" w:hAnsi="Century Gothic" w:cs="Century Gothic"/>
          <w:vertAlign w:val="superscript"/>
        </w:rPr>
        <w:footnoteReference w:id="4"/>
      </w:r>
      <w:r>
        <w:rPr>
          <w:rFonts w:ascii="Century Gothic" w:eastAsia="Century Gothic" w:hAnsi="Century Gothic" w:cs="Century Gothic"/>
        </w:rPr>
        <w:t>. Asimismo, ese mismo año se reportaron</w:t>
      </w:r>
      <w:r>
        <w:rPr>
          <w:rFonts w:ascii="Century Gothic" w:eastAsia="Century Gothic" w:hAnsi="Century Gothic" w:cs="Century Gothic"/>
        </w:rPr>
        <w:t xml:space="preserve"> 26.605 casos de violencia de pareja y 33 casos de trata de personas, lo cual alimenta la percepción colectiva de inseguridad y desprotección institucional, especialmente en contextos urbanos y periurbanos con alta densidad poblacional.</w:t>
      </w:r>
    </w:p>
    <w:p w14:paraId="1C9061D6"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A ello se suman los</w:t>
      </w:r>
      <w:r>
        <w:rPr>
          <w:rFonts w:ascii="Century Gothic" w:eastAsia="Century Gothic" w:hAnsi="Century Gothic" w:cs="Century Gothic"/>
        </w:rPr>
        <w:t xml:space="preserve"> datos del Instituto Nacional de Medicina Legal y Ciencias Forenses, que indican que entre enero y octubre de 2022 se registraron aproximadamente 30.000 casos de violencia intrafamiliar y 9.900 casos de abuso doméstico contra mujeres y niñas, lo que repres</w:t>
      </w:r>
      <w:r>
        <w:rPr>
          <w:rFonts w:ascii="Century Gothic" w:eastAsia="Century Gothic" w:hAnsi="Century Gothic" w:cs="Century Gothic"/>
        </w:rPr>
        <w:t>entó un incremento significativo respecto al año anterior</w:t>
      </w:r>
      <w:r>
        <w:rPr>
          <w:rFonts w:ascii="Century Gothic" w:eastAsia="Century Gothic" w:hAnsi="Century Gothic" w:cs="Century Gothic"/>
          <w:vertAlign w:val="superscript"/>
        </w:rPr>
        <w:footnoteReference w:id="5"/>
      </w:r>
      <w:r>
        <w:rPr>
          <w:rFonts w:ascii="Century Gothic" w:eastAsia="Century Gothic" w:hAnsi="Century Gothic" w:cs="Century Gothic"/>
        </w:rPr>
        <w:t>. En 2023, el mismo instituto reportó 71.637 casos de violencia contra menores de edad, de los cuales el 45 % correspondieron a violencia sexual, 29 % a negligencia o abandono, 20 % a violencia fís</w:t>
      </w:r>
      <w:r>
        <w:rPr>
          <w:rFonts w:ascii="Century Gothic" w:eastAsia="Century Gothic" w:hAnsi="Century Gothic" w:cs="Century Gothic"/>
        </w:rPr>
        <w:t>ica y 6 % a violencia psicológica; estas cifras muestran un aumento del 11,4 % en comparación con 2022, lo que pone de relieve la urgencia de una acción estatal coherente y sostenida</w:t>
      </w:r>
      <w:r>
        <w:rPr>
          <w:rFonts w:ascii="Century Gothic" w:eastAsia="Century Gothic" w:hAnsi="Century Gothic" w:cs="Century Gothic"/>
          <w:vertAlign w:val="superscript"/>
        </w:rPr>
        <w:footnoteReference w:id="6"/>
      </w:r>
      <w:r>
        <w:rPr>
          <w:rFonts w:ascii="Century Gothic" w:eastAsia="Century Gothic" w:hAnsi="Century Gothic" w:cs="Century Gothic"/>
        </w:rPr>
        <w:t>.</w:t>
      </w:r>
    </w:p>
    <w:p w14:paraId="6A06079C"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Además, un estudio de ONU Mujeres reveló que durante la pandemia de COVID-19, el 63 % de las mujeres colombianas encuestadas reportaron haber sufrido alguna forma de violencia de género, frente al 33 % registrado en 2016, lo que demuestra cómo las crisis a</w:t>
      </w:r>
      <w:r>
        <w:rPr>
          <w:rFonts w:ascii="Century Gothic" w:eastAsia="Century Gothic" w:hAnsi="Century Gothic" w:cs="Century Gothic"/>
        </w:rPr>
        <w:t>gudizan las vulnerabilidades estructurales existentes</w:t>
      </w:r>
      <w:r>
        <w:rPr>
          <w:rFonts w:ascii="Century Gothic" w:eastAsia="Century Gothic" w:hAnsi="Century Gothic" w:cs="Century Gothic"/>
          <w:vertAlign w:val="superscript"/>
        </w:rPr>
        <w:footnoteReference w:id="7"/>
      </w:r>
      <w:r>
        <w:rPr>
          <w:rFonts w:ascii="Century Gothic" w:eastAsia="Century Gothic" w:hAnsi="Century Gothic" w:cs="Century Gothic"/>
        </w:rPr>
        <w:t>.</w:t>
      </w:r>
    </w:p>
    <w:p w14:paraId="045EE6B5"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Estos datos refuerzan la necesidad de establecer un marco normativo articulado que aborde la violencia desde una perspectiva integral, territorial y preventiva, superando la dispersión normativa actu</w:t>
      </w:r>
      <w:r>
        <w:rPr>
          <w:rFonts w:ascii="Century Gothic" w:eastAsia="Century Gothic" w:hAnsi="Century Gothic" w:cs="Century Gothic"/>
        </w:rPr>
        <w:t>al y promoviendo entornos seguros y protectores para mujeres, niñas, niños y adolescentes en todo el país.</w:t>
      </w:r>
    </w:p>
    <w:p w14:paraId="47C56AF8"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Además, la violencia que enfrentan mujeres, niñas y niños no puede entenderse únicamente desde los datos empíricos, sino que requiere ser situada den</w:t>
      </w:r>
      <w:r>
        <w:rPr>
          <w:rFonts w:ascii="Century Gothic" w:eastAsia="Century Gothic" w:hAnsi="Century Gothic" w:cs="Century Gothic"/>
        </w:rPr>
        <w:t>tro de las desigualdades de género estructurales y las asimetrías de poder que atraviesan el entramado social, económico y cultural colombiano. Estas condiciones perpetúan un sistema de dominación que reproduce relaciones de subordinación, exclusión y desp</w:t>
      </w:r>
      <w:r>
        <w:rPr>
          <w:rFonts w:ascii="Century Gothic" w:eastAsia="Century Gothic" w:hAnsi="Century Gothic" w:cs="Century Gothic"/>
        </w:rPr>
        <w:t>rotección.</w:t>
      </w:r>
    </w:p>
    <w:p w14:paraId="7BA5954A" w14:textId="77777777" w:rsidR="00AA5550" w:rsidRDefault="00AA5550">
      <w:pPr>
        <w:jc w:val="both"/>
        <w:rPr>
          <w:rFonts w:ascii="Century Gothic" w:eastAsia="Century Gothic" w:hAnsi="Century Gothic" w:cs="Century Gothic"/>
        </w:rPr>
      </w:pPr>
    </w:p>
    <w:p w14:paraId="1A5D38FD"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 xml:space="preserve">De acuerdo con un estudio publicado en la Revista de Estudios Sociales de SciELO, la violencia estructural de género se sostiene por patrones institucionales y culturales que naturalizan la desigualdad, siendo reforzada incluso por espacios de </w:t>
      </w:r>
      <w:r>
        <w:rPr>
          <w:rFonts w:ascii="Century Gothic" w:eastAsia="Century Gothic" w:hAnsi="Century Gothic" w:cs="Century Gothic"/>
        </w:rPr>
        <w:lastRenderedPageBreak/>
        <w:t>socialización como las escuelas, la familia o instituciones religiosas. Estas estructuras simbólicas y materiales reproducen estereotipos y roles que afectan de forma particular a mujeres y niñas, convirtiendo diferencias en disparidades</w:t>
      </w:r>
      <w:r>
        <w:rPr>
          <w:rFonts w:ascii="Century Gothic" w:eastAsia="Century Gothic" w:hAnsi="Century Gothic" w:cs="Century Gothic"/>
          <w:vertAlign w:val="superscript"/>
        </w:rPr>
        <w:footnoteReference w:id="8"/>
      </w:r>
      <w:r>
        <w:rPr>
          <w:rFonts w:ascii="Century Gothic" w:eastAsia="Century Gothic" w:hAnsi="Century Gothic" w:cs="Century Gothic"/>
        </w:rPr>
        <w:t>. Prácticas histó</w:t>
      </w:r>
      <w:r>
        <w:rPr>
          <w:rFonts w:ascii="Century Gothic" w:eastAsia="Century Gothic" w:hAnsi="Century Gothic" w:cs="Century Gothic"/>
        </w:rPr>
        <w:t>ricas como el aborto selectivo, la malnutrición infantil diferencial o la sobrecarga en el cuidado no remunerado reflejan una valoración desigual de la vida y los cuerpos femeninos, agravando los riesgos de violencia y exclusión.</w:t>
      </w:r>
    </w:p>
    <w:p w14:paraId="055FF431" w14:textId="77777777" w:rsidR="00AA5550" w:rsidRDefault="00AA5550">
      <w:pPr>
        <w:jc w:val="both"/>
        <w:rPr>
          <w:rFonts w:ascii="Century Gothic" w:eastAsia="Century Gothic" w:hAnsi="Century Gothic" w:cs="Century Gothic"/>
        </w:rPr>
      </w:pPr>
    </w:p>
    <w:p w14:paraId="4D27AAB5"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El proyecto de ley se fun</w:t>
      </w:r>
      <w:r>
        <w:rPr>
          <w:rFonts w:ascii="Century Gothic" w:eastAsia="Century Gothic" w:hAnsi="Century Gothic" w:cs="Century Gothic"/>
        </w:rPr>
        <w:t>damenta también en este análisis estructural, proponiendo una respuesta normativa que no solo actúe sobre los hechos violentos, sino que incida en sus causas profundas mediante la promoción de entornos protectores, corresponsables y transformadores, en art</w:t>
      </w:r>
      <w:r>
        <w:rPr>
          <w:rFonts w:ascii="Century Gothic" w:eastAsia="Century Gothic" w:hAnsi="Century Gothic" w:cs="Century Gothic"/>
        </w:rPr>
        <w:t>iculación con el enfoque de género y la justicia territorial.</w:t>
      </w:r>
    </w:p>
    <w:p w14:paraId="05CCB05C"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Asimismo, no puede desligarse el fenómeno de la violencia estructural de las afectaciones históricas derivadas del conflicto armado interno en Colombia, el cual ha sido un factor determinante en</w:t>
      </w:r>
      <w:r>
        <w:rPr>
          <w:rFonts w:ascii="Century Gothic" w:eastAsia="Century Gothic" w:hAnsi="Century Gothic" w:cs="Century Gothic"/>
        </w:rPr>
        <w:t xml:space="preserve"> la reproducción de violencias específicas contra mujeres, niñas y niños. Según la Comisión Interamericana de Derechos Humanos (CIDH), en su informe de 2006 titulado </w:t>
      </w:r>
      <w:r>
        <w:rPr>
          <w:rFonts w:ascii="Century Gothic" w:eastAsia="Century Gothic" w:hAnsi="Century Gothic" w:cs="Century Gothic"/>
          <w:i/>
        </w:rPr>
        <w:t>“Las mujeres frente a la violencia y la discriminación derivadas del conflicto armado en C</w:t>
      </w:r>
      <w:r>
        <w:rPr>
          <w:rFonts w:ascii="Century Gothic" w:eastAsia="Century Gothic" w:hAnsi="Century Gothic" w:cs="Century Gothic"/>
          <w:i/>
        </w:rPr>
        <w:t>olombia”</w:t>
      </w:r>
      <w:r>
        <w:rPr>
          <w:rFonts w:ascii="Century Gothic" w:eastAsia="Century Gothic" w:hAnsi="Century Gothic" w:cs="Century Gothic"/>
        </w:rPr>
        <w:t>, la violencia basada en género fue utilizada como mecanismo de control territorial y dominación social, expresada en agresiones físicas, psicológicas y sexuales, particularmente en contextos de disputa armada</w:t>
      </w:r>
      <w:r>
        <w:rPr>
          <w:rFonts w:ascii="Century Gothic" w:eastAsia="Century Gothic" w:hAnsi="Century Gothic" w:cs="Century Gothic"/>
          <w:vertAlign w:val="superscript"/>
        </w:rPr>
        <w:footnoteReference w:id="9"/>
      </w:r>
      <w:r>
        <w:rPr>
          <w:rFonts w:ascii="Century Gothic" w:eastAsia="Century Gothic" w:hAnsi="Century Gothic" w:cs="Century Gothic"/>
        </w:rPr>
        <w:t>. El informe señala que 43 de cada 10</w:t>
      </w:r>
      <w:r>
        <w:rPr>
          <w:rFonts w:ascii="Century Gothic" w:eastAsia="Century Gothic" w:hAnsi="Century Gothic" w:cs="Century Gothic"/>
        </w:rPr>
        <w:t>0 mujeres afectadas por el conflicto fueron víctimas de violencia de género, muchas de ellas sometidas a desplazamiento forzado, reclutamiento por parte de actores armados o a la imposición de códigos patriarcales de comportamiento que restringieron sus li</w:t>
      </w:r>
      <w:r>
        <w:rPr>
          <w:rFonts w:ascii="Century Gothic" w:eastAsia="Century Gothic" w:hAnsi="Century Gothic" w:cs="Century Gothic"/>
        </w:rPr>
        <w:t>bertades fundamentales.</w:t>
      </w:r>
    </w:p>
    <w:p w14:paraId="18965B4B"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Esta situación persiste en muchas regiones del país. De acuerdo con Amnistía Internacional, en zonas como Chocó, Cauca, Catatumbo y Nariño, la ausencia de presencia estatal efectiva ha perpetuado dinámicas de control armado, manteni</w:t>
      </w:r>
      <w:r>
        <w:rPr>
          <w:rFonts w:ascii="Century Gothic" w:eastAsia="Century Gothic" w:hAnsi="Century Gothic" w:cs="Century Gothic"/>
        </w:rPr>
        <w:t>endo a las comunidades en condiciones de violencia sistemática y riesgo permanente</w:t>
      </w:r>
      <w:r>
        <w:rPr>
          <w:rFonts w:ascii="Century Gothic" w:eastAsia="Century Gothic" w:hAnsi="Century Gothic" w:cs="Century Gothic"/>
          <w:vertAlign w:val="superscript"/>
        </w:rPr>
        <w:footnoteReference w:id="10"/>
      </w:r>
      <w:r>
        <w:rPr>
          <w:rFonts w:ascii="Century Gothic" w:eastAsia="Century Gothic" w:hAnsi="Century Gothic" w:cs="Century Gothic"/>
        </w:rPr>
        <w:t>. Solo entre enero de 2018 y 2023, se estima que al menos 150.000 personas han sido desplazadas, en muchos casos mujeres y menores de edad, lo cual constituye una grave vio</w:t>
      </w:r>
      <w:r>
        <w:rPr>
          <w:rFonts w:ascii="Century Gothic" w:eastAsia="Century Gothic" w:hAnsi="Century Gothic" w:cs="Century Gothic"/>
        </w:rPr>
        <w:t>lación al derecho internacional humanitario.</w:t>
      </w:r>
    </w:p>
    <w:p w14:paraId="5B39039E"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Frente a estos antecedentes, </w:t>
      </w:r>
      <w:proofErr w:type="gramStart"/>
      <w:r>
        <w:rPr>
          <w:rFonts w:ascii="Century Gothic" w:eastAsia="Century Gothic" w:hAnsi="Century Gothic" w:cs="Century Gothic"/>
        </w:rPr>
        <w:t>el  presente</w:t>
      </w:r>
      <w:proofErr w:type="gramEnd"/>
      <w:r>
        <w:rPr>
          <w:rFonts w:ascii="Century Gothic" w:eastAsia="Century Gothic" w:hAnsi="Century Gothic" w:cs="Century Gothic"/>
        </w:rPr>
        <w:t xml:space="preserve"> proyecto de ley propone una acción legislativa que aborde no solo los síntomas inmediatos de la inseguridad, sino las causas estructurales que la perpetúan, incorporando</w:t>
      </w:r>
      <w:r>
        <w:rPr>
          <w:rFonts w:ascii="Century Gothic" w:eastAsia="Century Gothic" w:hAnsi="Century Gothic" w:cs="Century Gothic"/>
        </w:rPr>
        <w:t xml:space="preserve"> medidas de articulación </w:t>
      </w:r>
      <w:r>
        <w:rPr>
          <w:rFonts w:ascii="Century Gothic" w:eastAsia="Century Gothic" w:hAnsi="Century Gothic" w:cs="Century Gothic"/>
        </w:rPr>
        <w:lastRenderedPageBreak/>
        <w:t>institucional y territorial con enfoque de reparación, protección y prevención, especialmente en las regiones más impactadas por el conflicto.</w:t>
      </w:r>
    </w:p>
    <w:tbl>
      <w:tblPr>
        <w:tblStyle w:val="a5"/>
        <w:tblW w:w="90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98"/>
        <w:gridCol w:w="2635"/>
        <w:gridCol w:w="2465"/>
        <w:gridCol w:w="1927"/>
      </w:tblGrid>
      <w:tr w:rsidR="00AA5550" w14:paraId="2A702669" w14:textId="77777777">
        <w:trPr>
          <w:trHeight w:val="806"/>
        </w:trPr>
        <w:tc>
          <w:tcPr>
            <w:tcW w:w="1998" w:type="dxa"/>
          </w:tcPr>
          <w:p w14:paraId="354CA728" w14:textId="77777777" w:rsidR="00AA5550" w:rsidRDefault="00045FF4">
            <w:pPr>
              <w:jc w:val="both"/>
              <w:rPr>
                <w:rFonts w:ascii="Century Gothic" w:eastAsia="Century Gothic" w:hAnsi="Century Gothic" w:cs="Century Gothic"/>
                <w:b/>
              </w:rPr>
            </w:pPr>
            <w:r>
              <w:rPr>
                <w:rFonts w:ascii="Century Gothic" w:eastAsia="Century Gothic" w:hAnsi="Century Gothic" w:cs="Century Gothic"/>
                <w:b/>
              </w:rPr>
              <w:t>Causa Estructural</w:t>
            </w:r>
          </w:p>
        </w:tc>
        <w:tc>
          <w:tcPr>
            <w:tcW w:w="2635" w:type="dxa"/>
          </w:tcPr>
          <w:p w14:paraId="58B56C71" w14:textId="77777777" w:rsidR="00AA5550" w:rsidRDefault="00045FF4">
            <w:pPr>
              <w:jc w:val="both"/>
              <w:rPr>
                <w:rFonts w:ascii="Century Gothic" w:eastAsia="Century Gothic" w:hAnsi="Century Gothic" w:cs="Century Gothic"/>
                <w:b/>
              </w:rPr>
            </w:pPr>
            <w:r>
              <w:rPr>
                <w:rFonts w:ascii="Century Gothic" w:eastAsia="Century Gothic" w:hAnsi="Century Gothic" w:cs="Century Gothic"/>
                <w:b/>
              </w:rPr>
              <w:t>Indicador</w:t>
            </w:r>
          </w:p>
        </w:tc>
        <w:tc>
          <w:tcPr>
            <w:tcW w:w="2465" w:type="dxa"/>
          </w:tcPr>
          <w:p w14:paraId="430E0CC2" w14:textId="77777777" w:rsidR="00AA5550" w:rsidRDefault="00045FF4">
            <w:pPr>
              <w:jc w:val="both"/>
              <w:rPr>
                <w:rFonts w:ascii="Century Gothic" w:eastAsia="Century Gothic" w:hAnsi="Century Gothic" w:cs="Century Gothic"/>
                <w:b/>
              </w:rPr>
            </w:pPr>
            <w:r>
              <w:rPr>
                <w:rFonts w:ascii="Century Gothic" w:eastAsia="Century Gothic" w:hAnsi="Century Gothic" w:cs="Century Gothic"/>
                <w:b/>
              </w:rPr>
              <w:t>Dato</w:t>
            </w:r>
          </w:p>
        </w:tc>
        <w:tc>
          <w:tcPr>
            <w:tcW w:w="1927" w:type="dxa"/>
          </w:tcPr>
          <w:p w14:paraId="0D0C42ED" w14:textId="77777777" w:rsidR="00AA5550" w:rsidRDefault="00045FF4">
            <w:pPr>
              <w:jc w:val="both"/>
              <w:rPr>
                <w:rFonts w:ascii="Century Gothic" w:eastAsia="Century Gothic" w:hAnsi="Century Gothic" w:cs="Century Gothic"/>
                <w:b/>
              </w:rPr>
            </w:pPr>
            <w:r>
              <w:rPr>
                <w:rFonts w:ascii="Century Gothic" w:eastAsia="Century Gothic" w:hAnsi="Century Gothic" w:cs="Century Gothic"/>
                <w:b/>
              </w:rPr>
              <w:t>Fuente</w:t>
            </w:r>
          </w:p>
        </w:tc>
      </w:tr>
      <w:tr w:rsidR="00AA5550" w14:paraId="3B5A7896" w14:textId="77777777">
        <w:trPr>
          <w:trHeight w:val="770"/>
        </w:trPr>
        <w:tc>
          <w:tcPr>
            <w:tcW w:w="1998" w:type="dxa"/>
          </w:tcPr>
          <w:p w14:paraId="2B7E5958"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Conflicto armado</w:t>
            </w:r>
          </w:p>
        </w:tc>
        <w:tc>
          <w:tcPr>
            <w:tcW w:w="2635" w:type="dxa"/>
          </w:tcPr>
          <w:p w14:paraId="29365E96"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Víctimas de violencia de género en conflicto</w:t>
            </w:r>
          </w:p>
        </w:tc>
        <w:tc>
          <w:tcPr>
            <w:tcW w:w="2465" w:type="dxa"/>
          </w:tcPr>
          <w:p w14:paraId="25D75D43"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43/100 mujeres afectadas</w:t>
            </w:r>
          </w:p>
        </w:tc>
        <w:tc>
          <w:tcPr>
            <w:tcW w:w="1927" w:type="dxa"/>
          </w:tcPr>
          <w:p w14:paraId="522192BA"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CIDH, 2006</w:t>
            </w:r>
          </w:p>
          <w:p w14:paraId="6D06DD08" w14:textId="77777777" w:rsidR="00AA5550" w:rsidRDefault="00AA5550">
            <w:pPr>
              <w:jc w:val="both"/>
              <w:rPr>
                <w:rFonts w:ascii="Century Gothic" w:eastAsia="Century Gothic" w:hAnsi="Century Gothic" w:cs="Century Gothic"/>
              </w:rPr>
            </w:pPr>
          </w:p>
        </w:tc>
      </w:tr>
      <w:tr w:rsidR="00AA5550" w14:paraId="6F872252" w14:textId="77777777">
        <w:trPr>
          <w:trHeight w:val="1040"/>
        </w:trPr>
        <w:tc>
          <w:tcPr>
            <w:tcW w:w="1998" w:type="dxa"/>
          </w:tcPr>
          <w:p w14:paraId="18D0F5ED"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Desplazamiento forzado</w:t>
            </w:r>
          </w:p>
        </w:tc>
        <w:tc>
          <w:tcPr>
            <w:tcW w:w="2635" w:type="dxa"/>
          </w:tcPr>
          <w:p w14:paraId="23773A00"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Porcentaje de mujeres desplazadas</w:t>
            </w:r>
          </w:p>
        </w:tc>
        <w:tc>
          <w:tcPr>
            <w:tcW w:w="2465" w:type="dxa"/>
          </w:tcPr>
          <w:p w14:paraId="2FF8CE9E"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50-52% de total desplazados (1985-2004)</w:t>
            </w:r>
          </w:p>
        </w:tc>
        <w:tc>
          <w:tcPr>
            <w:tcW w:w="1927" w:type="dxa"/>
          </w:tcPr>
          <w:p w14:paraId="771B5B36"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CIDH, 2006</w:t>
            </w:r>
          </w:p>
        </w:tc>
      </w:tr>
      <w:tr w:rsidR="00AA5550" w14:paraId="24AE969B" w14:textId="77777777">
        <w:trPr>
          <w:trHeight w:val="770"/>
        </w:trPr>
        <w:tc>
          <w:tcPr>
            <w:tcW w:w="1998" w:type="dxa"/>
          </w:tcPr>
          <w:p w14:paraId="2E3C9FCC"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Cultura machista</w:t>
            </w:r>
          </w:p>
        </w:tc>
        <w:tc>
          <w:tcPr>
            <w:tcW w:w="2635" w:type="dxa"/>
          </w:tcPr>
          <w:p w14:paraId="66CB2043"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Feminicidios (2023, ene-</w:t>
            </w:r>
            <w:proofErr w:type="spellStart"/>
            <w:r>
              <w:rPr>
                <w:rFonts w:ascii="Century Gothic" w:eastAsia="Century Gothic" w:hAnsi="Century Gothic" w:cs="Century Gothic"/>
              </w:rPr>
              <w:t>sep</w:t>
            </w:r>
            <w:proofErr w:type="spellEnd"/>
            <w:r>
              <w:rPr>
                <w:rFonts w:ascii="Century Gothic" w:eastAsia="Century Gothic" w:hAnsi="Century Gothic" w:cs="Century Gothic"/>
              </w:rPr>
              <w:t>)</w:t>
            </w:r>
          </w:p>
        </w:tc>
        <w:tc>
          <w:tcPr>
            <w:tcW w:w="2465" w:type="dxa"/>
          </w:tcPr>
          <w:p w14:paraId="19A18B4D"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410 casos, promedio 52 mensuales</w:t>
            </w:r>
          </w:p>
        </w:tc>
        <w:tc>
          <w:tcPr>
            <w:tcW w:w="1927" w:type="dxa"/>
          </w:tcPr>
          <w:p w14:paraId="6569BE18"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Procuraduría, 2023</w:t>
            </w:r>
          </w:p>
        </w:tc>
      </w:tr>
      <w:tr w:rsidR="00AA5550" w14:paraId="1BCE42BF" w14:textId="77777777">
        <w:trPr>
          <w:trHeight w:val="770"/>
        </w:trPr>
        <w:tc>
          <w:tcPr>
            <w:tcW w:w="1998" w:type="dxa"/>
          </w:tcPr>
          <w:p w14:paraId="58D483C3"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Violencia intrafamiliar</w:t>
            </w:r>
          </w:p>
        </w:tc>
        <w:tc>
          <w:tcPr>
            <w:tcW w:w="2635" w:type="dxa"/>
          </w:tcPr>
          <w:p w14:paraId="6BCFA64E"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Víctimas mujeres (2023, ene-</w:t>
            </w:r>
            <w:proofErr w:type="spellStart"/>
            <w:r>
              <w:rPr>
                <w:rFonts w:ascii="Century Gothic" w:eastAsia="Century Gothic" w:hAnsi="Century Gothic" w:cs="Century Gothic"/>
              </w:rPr>
              <w:t>sep</w:t>
            </w:r>
            <w:proofErr w:type="spellEnd"/>
            <w:r>
              <w:rPr>
                <w:rFonts w:ascii="Century Gothic" w:eastAsia="Century Gothic" w:hAnsi="Century Gothic" w:cs="Century Gothic"/>
              </w:rPr>
              <w:t>)</w:t>
            </w:r>
          </w:p>
        </w:tc>
        <w:tc>
          <w:tcPr>
            <w:tcW w:w="2465" w:type="dxa"/>
          </w:tcPr>
          <w:p w14:paraId="182BEFB5"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36,626 eventos, 27,626 por parejas</w:t>
            </w:r>
          </w:p>
        </w:tc>
        <w:tc>
          <w:tcPr>
            <w:tcW w:w="1927" w:type="dxa"/>
          </w:tcPr>
          <w:p w14:paraId="68979F7C"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Procuraduría, 2023</w:t>
            </w:r>
          </w:p>
        </w:tc>
      </w:tr>
      <w:tr w:rsidR="00AA5550" w14:paraId="351085FA" w14:textId="77777777">
        <w:trPr>
          <w:trHeight w:val="770"/>
        </w:trPr>
        <w:tc>
          <w:tcPr>
            <w:tcW w:w="1998" w:type="dxa"/>
          </w:tcPr>
          <w:p w14:paraId="52E3660A"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Impunidad</w:t>
            </w:r>
          </w:p>
        </w:tc>
        <w:tc>
          <w:tcPr>
            <w:tcW w:w="2635" w:type="dxa"/>
          </w:tcPr>
          <w:p w14:paraId="78CE6080"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Tasa de impunidad para feminicidios</w:t>
            </w:r>
          </w:p>
        </w:tc>
        <w:tc>
          <w:tcPr>
            <w:tcW w:w="2465" w:type="dxa"/>
          </w:tcPr>
          <w:p w14:paraId="20590AA9"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&gt;90%</w:t>
            </w:r>
          </w:p>
        </w:tc>
        <w:tc>
          <w:tcPr>
            <w:tcW w:w="1927" w:type="dxa"/>
          </w:tcPr>
          <w:p w14:paraId="12FAA820" w14:textId="77777777" w:rsidR="00AA5550" w:rsidRDefault="00045FF4">
            <w:pPr>
              <w:jc w:val="both"/>
              <w:rPr>
                <w:rFonts w:ascii="Century Gothic" w:eastAsia="Century Gothic" w:hAnsi="Century Gothic" w:cs="Century Gothic"/>
              </w:rPr>
            </w:pPr>
            <w:proofErr w:type="spellStart"/>
            <w:r>
              <w:rPr>
                <w:rFonts w:ascii="Century Gothic" w:eastAsia="Century Gothic" w:hAnsi="Century Gothic" w:cs="Century Gothic"/>
              </w:rPr>
              <w:t>The</w:t>
            </w:r>
            <w:proofErr w:type="spellEnd"/>
            <w:r>
              <w:rPr>
                <w:rFonts w:ascii="Century Gothic" w:eastAsia="Century Gothic" w:hAnsi="Century Gothic" w:cs="Century Gothic"/>
              </w:rPr>
              <w:t xml:space="preserve"> </w:t>
            </w:r>
            <w:proofErr w:type="spellStart"/>
            <w:r>
              <w:rPr>
                <w:rFonts w:ascii="Century Gothic" w:eastAsia="Century Gothic" w:hAnsi="Century Gothic" w:cs="Century Gothic"/>
              </w:rPr>
              <w:t>Bogota</w:t>
            </w:r>
            <w:proofErr w:type="spellEnd"/>
            <w:r>
              <w:rPr>
                <w:rFonts w:ascii="Century Gothic" w:eastAsia="Century Gothic" w:hAnsi="Century Gothic" w:cs="Century Gothic"/>
              </w:rPr>
              <w:t xml:space="preserve"> Post, 2022</w:t>
            </w:r>
          </w:p>
        </w:tc>
      </w:tr>
      <w:tr w:rsidR="00AA5550" w14:paraId="508E347A" w14:textId="77777777">
        <w:trPr>
          <w:trHeight w:val="770"/>
        </w:trPr>
        <w:tc>
          <w:tcPr>
            <w:tcW w:w="1998" w:type="dxa"/>
          </w:tcPr>
          <w:p w14:paraId="55F0A40E"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Violencia contra niños</w:t>
            </w:r>
          </w:p>
        </w:tc>
        <w:tc>
          <w:tcPr>
            <w:tcW w:w="2635" w:type="dxa"/>
          </w:tcPr>
          <w:p w14:paraId="0BD29DEE"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Experiencia de violencia sexual antes de 18</w:t>
            </w:r>
          </w:p>
        </w:tc>
        <w:tc>
          <w:tcPr>
            <w:tcW w:w="2465" w:type="dxa"/>
          </w:tcPr>
          <w:p w14:paraId="2A017C11"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15% niñas, 8% niños (18-24 años)</w:t>
            </w:r>
          </w:p>
        </w:tc>
        <w:tc>
          <w:tcPr>
            <w:tcW w:w="1927" w:type="dxa"/>
          </w:tcPr>
          <w:p w14:paraId="16017264"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PAHO/WHO, 2022</w:t>
            </w:r>
          </w:p>
        </w:tc>
      </w:tr>
    </w:tbl>
    <w:p w14:paraId="7A801777" w14:textId="77777777" w:rsidR="00AA5550" w:rsidRDefault="00AA5550">
      <w:pPr>
        <w:jc w:val="both"/>
        <w:rPr>
          <w:rFonts w:ascii="Century Gothic" w:eastAsia="Century Gothic" w:hAnsi="Century Gothic" w:cs="Century Gothic"/>
        </w:rPr>
      </w:pPr>
    </w:p>
    <w:p w14:paraId="1F1126B2"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 xml:space="preserve">Este proyecto de ley es relevante por su </w:t>
      </w:r>
      <w:r>
        <w:rPr>
          <w:rFonts w:ascii="Century Gothic" w:eastAsia="Century Gothic" w:hAnsi="Century Gothic" w:cs="Century Gothic"/>
          <w:b/>
        </w:rPr>
        <w:t>enfoque integral</w:t>
      </w:r>
      <w:r>
        <w:rPr>
          <w:rFonts w:ascii="Century Gothic" w:eastAsia="Century Gothic" w:hAnsi="Century Gothic" w:cs="Century Gothic"/>
        </w:rPr>
        <w:t xml:space="preserve"> para abordar las </w:t>
      </w:r>
      <w:r>
        <w:rPr>
          <w:rFonts w:ascii="Century Gothic" w:eastAsia="Century Gothic" w:hAnsi="Century Gothic" w:cs="Century Gothic"/>
        </w:rPr>
        <w:t xml:space="preserve">causas estructurales de la violencia contra mujeres, niñas, niños y adolescentes, como la falta de articulación, recursos y barreras socioculturales. Propone un modelo de intervención </w:t>
      </w:r>
      <w:r>
        <w:rPr>
          <w:rFonts w:ascii="Century Gothic" w:eastAsia="Century Gothic" w:hAnsi="Century Gothic" w:cs="Century Gothic"/>
          <w:b/>
        </w:rPr>
        <w:t>sin nuevas entidades ni cargas fiscales</w:t>
      </w:r>
      <w:r>
        <w:rPr>
          <w:rFonts w:ascii="Century Gothic" w:eastAsia="Century Gothic" w:hAnsi="Century Gothic" w:cs="Century Gothic"/>
        </w:rPr>
        <w:t>, optimizando recursos existentes</w:t>
      </w:r>
      <w:r>
        <w:rPr>
          <w:rFonts w:ascii="Century Gothic" w:eastAsia="Century Gothic" w:hAnsi="Century Gothic" w:cs="Century Gothic"/>
        </w:rPr>
        <w:t>, priorizando la coordinación territorial, participación comunitaria, entornos protectores y una cultura de paz. En este contexto, la implementación de la presente ley permitiría alcanzar los siguientes impactos positivos:</w:t>
      </w:r>
    </w:p>
    <w:p w14:paraId="700634E1" w14:textId="77777777" w:rsidR="00AA5550" w:rsidRDefault="00AA5550">
      <w:pPr>
        <w:jc w:val="both"/>
        <w:rPr>
          <w:rFonts w:ascii="Century Gothic" w:eastAsia="Century Gothic" w:hAnsi="Century Gothic" w:cs="Century Gothic"/>
        </w:rPr>
      </w:pPr>
    </w:p>
    <w:p w14:paraId="3927A11D" w14:textId="77777777" w:rsidR="00AA5550" w:rsidRDefault="00045FF4">
      <w:pPr>
        <w:numPr>
          <w:ilvl w:val="0"/>
          <w:numId w:val="22"/>
        </w:numPr>
        <w:jc w:val="both"/>
        <w:rPr>
          <w:rFonts w:ascii="Century Gothic" w:eastAsia="Century Gothic" w:hAnsi="Century Gothic" w:cs="Century Gothic"/>
        </w:rPr>
      </w:pPr>
      <w:r>
        <w:rPr>
          <w:rFonts w:ascii="Century Gothic" w:eastAsia="Century Gothic" w:hAnsi="Century Gothic" w:cs="Century Gothic"/>
          <w:b/>
        </w:rPr>
        <w:t>Reducción de los índices de viol</w:t>
      </w:r>
      <w:r>
        <w:rPr>
          <w:rFonts w:ascii="Century Gothic" w:eastAsia="Century Gothic" w:hAnsi="Century Gothic" w:cs="Century Gothic"/>
          <w:b/>
        </w:rPr>
        <w:t>encia:</w:t>
      </w:r>
      <w:r>
        <w:rPr>
          <w:rFonts w:ascii="Century Gothic" w:eastAsia="Century Gothic" w:hAnsi="Century Gothic" w:cs="Century Gothic"/>
        </w:rPr>
        <w:t xml:space="preserve"> En ciudades como Medellín y Bogotá, intervenciones territoriales focalizadas —como “Zonas Seguras para Mujeres” o los programas de “iluminación urbana segura”— han demostrado reducciones entre el 12 % y 20 % en los reportes de violencia sexual y aco</w:t>
      </w:r>
      <w:r>
        <w:rPr>
          <w:rFonts w:ascii="Century Gothic" w:eastAsia="Century Gothic" w:hAnsi="Century Gothic" w:cs="Century Gothic"/>
        </w:rPr>
        <w:t>so en espacio público</w:t>
      </w:r>
      <w:r>
        <w:rPr>
          <w:rFonts w:ascii="Century Gothic" w:eastAsia="Century Gothic" w:hAnsi="Century Gothic" w:cs="Century Gothic"/>
          <w:vertAlign w:val="superscript"/>
        </w:rPr>
        <w:footnoteReference w:id="11"/>
      </w:r>
      <w:r>
        <w:rPr>
          <w:rFonts w:ascii="Century Gothic" w:eastAsia="Century Gothic" w:hAnsi="Century Gothic" w:cs="Century Gothic"/>
        </w:rPr>
        <w:t>. Esto evidencia que la prevención articulada sí impacta de forma medible en los indicadores de violencia.</w:t>
      </w:r>
    </w:p>
    <w:p w14:paraId="405C954D" w14:textId="77777777" w:rsidR="00AA5550" w:rsidRDefault="00AA5550">
      <w:pPr>
        <w:jc w:val="both"/>
        <w:rPr>
          <w:rFonts w:ascii="Century Gothic" w:eastAsia="Century Gothic" w:hAnsi="Century Gothic" w:cs="Century Gothic"/>
        </w:rPr>
      </w:pPr>
    </w:p>
    <w:p w14:paraId="3AD8748E" w14:textId="77777777" w:rsidR="00AA5550" w:rsidRDefault="00045FF4">
      <w:pPr>
        <w:numPr>
          <w:ilvl w:val="0"/>
          <w:numId w:val="22"/>
        </w:numPr>
        <w:jc w:val="both"/>
        <w:rPr>
          <w:rFonts w:ascii="Century Gothic" w:eastAsia="Century Gothic" w:hAnsi="Century Gothic" w:cs="Century Gothic"/>
        </w:rPr>
      </w:pPr>
      <w:r>
        <w:rPr>
          <w:rFonts w:ascii="Century Gothic" w:eastAsia="Century Gothic" w:hAnsi="Century Gothic" w:cs="Century Gothic"/>
          <w:b/>
        </w:rPr>
        <w:t>Fortalecimiento del tejido social y la cohesión comunitaria:</w:t>
      </w:r>
      <w:r>
        <w:rPr>
          <w:rFonts w:ascii="Century Gothic" w:eastAsia="Century Gothic" w:hAnsi="Century Gothic" w:cs="Century Gothic"/>
        </w:rPr>
        <w:t xml:space="preserve"> Estudios del DANE y el PNUD han mostrado que la percepción de se</w:t>
      </w:r>
      <w:r>
        <w:rPr>
          <w:rFonts w:ascii="Century Gothic" w:eastAsia="Century Gothic" w:hAnsi="Century Gothic" w:cs="Century Gothic"/>
        </w:rPr>
        <w:t xml:space="preserve">guridad mejora </w:t>
      </w:r>
      <w:r>
        <w:rPr>
          <w:rFonts w:ascii="Century Gothic" w:eastAsia="Century Gothic" w:hAnsi="Century Gothic" w:cs="Century Gothic"/>
        </w:rPr>
        <w:lastRenderedPageBreak/>
        <w:t>sustancialmente cuando existen estrategias de convivencia y confianza vecinal sostenidas por las autoridades locales</w:t>
      </w:r>
      <w:r>
        <w:rPr>
          <w:rFonts w:ascii="Century Gothic" w:eastAsia="Century Gothic" w:hAnsi="Century Gothic" w:cs="Century Gothic"/>
          <w:vertAlign w:val="superscript"/>
        </w:rPr>
        <w:footnoteReference w:id="12"/>
      </w:r>
      <w:r>
        <w:rPr>
          <w:rFonts w:ascii="Century Gothic" w:eastAsia="Century Gothic" w:hAnsi="Century Gothic" w:cs="Century Gothic"/>
        </w:rPr>
        <w:t>.</w:t>
      </w:r>
    </w:p>
    <w:p w14:paraId="1CFC2D4D" w14:textId="77777777" w:rsidR="00AA5550" w:rsidRDefault="00AA5550">
      <w:pPr>
        <w:ind w:left="720"/>
        <w:jc w:val="both"/>
        <w:rPr>
          <w:rFonts w:ascii="Century Gothic" w:eastAsia="Century Gothic" w:hAnsi="Century Gothic" w:cs="Century Gothic"/>
        </w:rPr>
      </w:pPr>
    </w:p>
    <w:p w14:paraId="1162A1EA" w14:textId="77777777" w:rsidR="00AA5550" w:rsidRDefault="00045FF4">
      <w:pPr>
        <w:numPr>
          <w:ilvl w:val="0"/>
          <w:numId w:val="22"/>
        </w:numPr>
        <w:jc w:val="both"/>
        <w:rPr>
          <w:rFonts w:ascii="Century Gothic" w:eastAsia="Century Gothic" w:hAnsi="Century Gothic" w:cs="Century Gothic"/>
        </w:rPr>
      </w:pPr>
      <w:r>
        <w:rPr>
          <w:rFonts w:ascii="Century Gothic" w:eastAsia="Century Gothic" w:hAnsi="Century Gothic" w:cs="Century Gothic"/>
          <w:b/>
        </w:rPr>
        <w:t>Mejoramiento de la calidad de vida:</w:t>
      </w:r>
      <w:r>
        <w:rPr>
          <w:rFonts w:ascii="Century Gothic" w:eastAsia="Century Gothic" w:hAnsi="Century Gothic" w:cs="Century Gothic"/>
        </w:rPr>
        <w:t xml:space="preserve"> De acuerdo con ONU Mujeres, el acceso seguro al espacio público y a servicios básicos como salud, recreación y educación es una condición habilitante clave para la autonomía de las mujeres y el desarrollo integral de la niñez</w:t>
      </w:r>
      <w:r>
        <w:rPr>
          <w:rFonts w:ascii="Century Gothic" w:eastAsia="Century Gothic" w:hAnsi="Century Gothic" w:cs="Century Gothic"/>
          <w:vertAlign w:val="superscript"/>
        </w:rPr>
        <w:footnoteReference w:id="13"/>
      </w:r>
      <w:r>
        <w:rPr>
          <w:rFonts w:ascii="Century Gothic" w:eastAsia="Century Gothic" w:hAnsi="Century Gothic" w:cs="Century Gothic"/>
        </w:rPr>
        <w:t>.</w:t>
      </w:r>
    </w:p>
    <w:p w14:paraId="0FEA57AA" w14:textId="77777777" w:rsidR="00AA5550" w:rsidRDefault="00AA5550">
      <w:pPr>
        <w:ind w:left="720"/>
        <w:jc w:val="both"/>
        <w:rPr>
          <w:rFonts w:ascii="Century Gothic" w:eastAsia="Century Gothic" w:hAnsi="Century Gothic" w:cs="Century Gothic"/>
        </w:rPr>
      </w:pPr>
    </w:p>
    <w:p w14:paraId="2C31DD71" w14:textId="77777777" w:rsidR="00AA5550" w:rsidRDefault="00045FF4">
      <w:pPr>
        <w:numPr>
          <w:ilvl w:val="0"/>
          <w:numId w:val="22"/>
        </w:numPr>
        <w:jc w:val="both"/>
        <w:rPr>
          <w:rFonts w:ascii="Century Gothic" w:eastAsia="Century Gothic" w:hAnsi="Century Gothic" w:cs="Century Gothic"/>
        </w:rPr>
      </w:pPr>
      <w:r>
        <w:rPr>
          <w:rFonts w:ascii="Century Gothic" w:eastAsia="Century Gothic" w:hAnsi="Century Gothic" w:cs="Century Gothic"/>
          <w:b/>
        </w:rPr>
        <w:t>Impacto económico positiv</w:t>
      </w:r>
      <w:r>
        <w:rPr>
          <w:rFonts w:ascii="Century Gothic" w:eastAsia="Century Gothic" w:hAnsi="Century Gothic" w:cs="Century Gothic"/>
          <w:b/>
        </w:rPr>
        <w:t>o:</w:t>
      </w:r>
      <w:r>
        <w:rPr>
          <w:rFonts w:ascii="Century Gothic" w:eastAsia="Century Gothic" w:hAnsi="Century Gothic" w:cs="Century Gothic"/>
        </w:rPr>
        <w:t xml:space="preserve"> Según CEPAL, los costos asociados a la violencia de género equivalen a hasta el 2 % del PIB en América Latina, y su reducción genera ahorros fiscales, mayor participación laboral femenina y menor carga para el sistema judicial y de salud</w:t>
      </w:r>
      <w:r>
        <w:rPr>
          <w:rFonts w:ascii="Century Gothic" w:eastAsia="Century Gothic" w:hAnsi="Century Gothic" w:cs="Century Gothic"/>
          <w:vertAlign w:val="superscript"/>
        </w:rPr>
        <w:footnoteReference w:id="14"/>
      </w:r>
      <w:r>
        <w:rPr>
          <w:rFonts w:ascii="Century Gothic" w:eastAsia="Century Gothic" w:hAnsi="Century Gothic" w:cs="Century Gothic"/>
        </w:rPr>
        <w:t>.</w:t>
      </w:r>
    </w:p>
    <w:p w14:paraId="1008F2DF" w14:textId="77777777" w:rsidR="00AA5550" w:rsidRDefault="00AA5550">
      <w:pPr>
        <w:ind w:left="720"/>
        <w:jc w:val="both"/>
        <w:rPr>
          <w:rFonts w:ascii="Century Gothic" w:eastAsia="Century Gothic" w:hAnsi="Century Gothic" w:cs="Century Gothic"/>
        </w:rPr>
      </w:pPr>
    </w:p>
    <w:p w14:paraId="425A1F0B" w14:textId="77777777" w:rsidR="00AA5550" w:rsidRDefault="00045FF4">
      <w:pPr>
        <w:numPr>
          <w:ilvl w:val="0"/>
          <w:numId w:val="22"/>
        </w:numPr>
        <w:jc w:val="both"/>
        <w:rPr>
          <w:rFonts w:ascii="Century Gothic" w:eastAsia="Century Gothic" w:hAnsi="Century Gothic" w:cs="Century Gothic"/>
        </w:rPr>
      </w:pPr>
      <w:r>
        <w:rPr>
          <w:rFonts w:ascii="Century Gothic" w:eastAsia="Century Gothic" w:hAnsi="Century Gothic" w:cs="Century Gothic"/>
          <w:b/>
        </w:rPr>
        <w:t>Cumplimient</w:t>
      </w:r>
      <w:r>
        <w:rPr>
          <w:rFonts w:ascii="Century Gothic" w:eastAsia="Century Gothic" w:hAnsi="Century Gothic" w:cs="Century Gothic"/>
          <w:b/>
        </w:rPr>
        <w:t>o de compromisos internacionales:</w:t>
      </w:r>
      <w:r>
        <w:rPr>
          <w:rFonts w:ascii="Century Gothic" w:eastAsia="Century Gothic" w:hAnsi="Century Gothic" w:cs="Century Gothic"/>
        </w:rPr>
        <w:t xml:space="preserve"> Esta ley se alinea con las metas 5.2 y 5.5 del ODS 5, y con la meta 16.1 del ODS 16, así como con los estándares del Comité CEDAW, el Sistema Interamericano de Derechos Humanos y la Convención sobre los Derechos del Niño, </w:t>
      </w:r>
      <w:r>
        <w:rPr>
          <w:rFonts w:ascii="Century Gothic" w:eastAsia="Century Gothic" w:hAnsi="Century Gothic" w:cs="Century Gothic"/>
        </w:rPr>
        <w:t>que obligan a Colombia a adoptar medidas legislativas efectivas contra la violencia basada en género y edad.</w:t>
      </w:r>
    </w:p>
    <w:p w14:paraId="1665AE28" w14:textId="2BFCA12D" w:rsidR="00AA5550" w:rsidRDefault="00AA5550">
      <w:pPr>
        <w:jc w:val="both"/>
        <w:rPr>
          <w:rFonts w:ascii="Century Gothic" w:eastAsia="Century Gothic" w:hAnsi="Century Gothic" w:cs="Century Gothic"/>
        </w:rPr>
      </w:pPr>
    </w:p>
    <w:p w14:paraId="15BFF306" w14:textId="7FDADF14" w:rsidR="00C00F1B" w:rsidRDefault="00C00F1B">
      <w:pPr>
        <w:jc w:val="both"/>
        <w:rPr>
          <w:rFonts w:ascii="Century Gothic" w:eastAsia="Century Gothic" w:hAnsi="Century Gothic" w:cs="Century Gothic"/>
        </w:rPr>
      </w:pPr>
    </w:p>
    <w:p w14:paraId="0AAD016C" w14:textId="2A1C4927" w:rsidR="00C00F1B" w:rsidRDefault="00C00F1B">
      <w:pPr>
        <w:jc w:val="both"/>
        <w:rPr>
          <w:rFonts w:ascii="Century Gothic" w:eastAsia="Century Gothic" w:hAnsi="Century Gothic" w:cs="Century Gothic"/>
        </w:rPr>
      </w:pPr>
    </w:p>
    <w:p w14:paraId="1A2F2A7F" w14:textId="1E7E0F00" w:rsidR="00C00F1B" w:rsidRDefault="00C00F1B">
      <w:pPr>
        <w:jc w:val="both"/>
        <w:rPr>
          <w:rFonts w:ascii="Century Gothic" w:eastAsia="Century Gothic" w:hAnsi="Century Gothic" w:cs="Century Gothic"/>
        </w:rPr>
      </w:pPr>
    </w:p>
    <w:p w14:paraId="651223B4" w14:textId="03F08CC8" w:rsidR="00C00F1B" w:rsidRDefault="00C00F1B">
      <w:pPr>
        <w:jc w:val="both"/>
        <w:rPr>
          <w:rFonts w:ascii="Century Gothic" w:eastAsia="Century Gothic" w:hAnsi="Century Gothic" w:cs="Century Gothic"/>
        </w:rPr>
      </w:pPr>
    </w:p>
    <w:p w14:paraId="3E5586B5" w14:textId="721DB47A" w:rsidR="00C00F1B" w:rsidRDefault="00C00F1B">
      <w:pPr>
        <w:jc w:val="both"/>
        <w:rPr>
          <w:rFonts w:ascii="Century Gothic" w:eastAsia="Century Gothic" w:hAnsi="Century Gothic" w:cs="Century Gothic"/>
        </w:rPr>
      </w:pPr>
    </w:p>
    <w:p w14:paraId="78A1ADA5" w14:textId="6D8F808F" w:rsidR="00C00F1B" w:rsidRDefault="00C00F1B">
      <w:pPr>
        <w:jc w:val="both"/>
        <w:rPr>
          <w:rFonts w:ascii="Century Gothic" w:eastAsia="Century Gothic" w:hAnsi="Century Gothic" w:cs="Century Gothic"/>
        </w:rPr>
      </w:pPr>
    </w:p>
    <w:p w14:paraId="3543E443" w14:textId="0898B0FD" w:rsidR="00C00F1B" w:rsidRDefault="00C00F1B">
      <w:pPr>
        <w:jc w:val="both"/>
        <w:rPr>
          <w:rFonts w:ascii="Century Gothic" w:eastAsia="Century Gothic" w:hAnsi="Century Gothic" w:cs="Century Gothic"/>
        </w:rPr>
      </w:pPr>
    </w:p>
    <w:p w14:paraId="64CA9ACC" w14:textId="4BA1697D" w:rsidR="00C00F1B" w:rsidRDefault="00C00F1B">
      <w:pPr>
        <w:jc w:val="both"/>
        <w:rPr>
          <w:rFonts w:ascii="Century Gothic" w:eastAsia="Century Gothic" w:hAnsi="Century Gothic" w:cs="Century Gothic"/>
        </w:rPr>
      </w:pPr>
    </w:p>
    <w:p w14:paraId="0A58B109" w14:textId="078C6AD5" w:rsidR="00C00F1B" w:rsidRDefault="00C00F1B">
      <w:pPr>
        <w:jc w:val="both"/>
        <w:rPr>
          <w:rFonts w:ascii="Century Gothic" w:eastAsia="Century Gothic" w:hAnsi="Century Gothic" w:cs="Century Gothic"/>
        </w:rPr>
      </w:pPr>
    </w:p>
    <w:p w14:paraId="30EB2893" w14:textId="488055E9" w:rsidR="00C00F1B" w:rsidRDefault="00C00F1B">
      <w:pPr>
        <w:jc w:val="both"/>
        <w:rPr>
          <w:rFonts w:ascii="Century Gothic" w:eastAsia="Century Gothic" w:hAnsi="Century Gothic" w:cs="Century Gothic"/>
        </w:rPr>
      </w:pPr>
    </w:p>
    <w:p w14:paraId="7E6CA28F" w14:textId="28A53CC4" w:rsidR="00C00F1B" w:rsidRDefault="00C00F1B">
      <w:pPr>
        <w:jc w:val="both"/>
        <w:rPr>
          <w:rFonts w:ascii="Century Gothic" w:eastAsia="Century Gothic" w:hAnsi="Century Gothic" w:cs="Century Gothic"/>
        </w:rPr>
      </w:pPr>
    </w:p>
    <w:p w14:paraId="6618E592" w14:textId="642BFEFC" w:rsidR="00C00F1B" w:rsidRDefault="00C00F1B">
      <w:pPr>
        <w:jc w:val="both"/>
        <w:rPr>
          <w:rFonts w:ascii="Century Gothic" w:eastAsia="Century Gothic" w:hAnsi="Century Gothic" w:cs="Century Gothic"/>
        </w:rPr>
      </w:pPr>
    </w:p>
    <w:p w14:paraId="06E1E770" w14:textId="237857A8" w:rsidR="00C00F1B" w:rsidRDefault="00C00F1B">
      <w:pPr>
        <w:jc w:val="both"/>
        <w:rPr>
          <w:rFonts w:ascii="Century Gothic" w:eastAsia="Century Gothic" w:hAnsi="Century Gothic" w:cs="Century Gothic"/>
        </w:rPr>
      </w:pPr>
    </w:p>
    <w:p w14:paraId="5AC782B3" w14:textId="32EDEF7C" w:rsidR="00C00F1B" w:rsidRDefault="00C00F1B">
      <w:pPr>
        <w:jc w:val="both"/>
        <w:rPr>
          <w:rFonts w:ascii="Century Gothic" w:eastAsia="Century Gothic" w:hAnsi="Century Gothic" w:cs="Century Gothic"/>
        </w:rPr>
      </w:pPr>
    </w:p>
    <w:p w14:paraId="6D093572" w14:textId="1554489C" w:rsidR="00C00F1B" w:rsidRDefault="00C00F1B">
      <w:pPr>
        <w:jc w:val="both"/>
        <w:rPr>
          <w:rFonts w:ascii="Century Gothic" w:eastAsia="Century Gothic" w:hAnsi="Century Gothic" w:cs="Century Gothic"/>
        </w:rPr>
      </w:pPr>
    </w:p>
    <w:p w14:paraId="5D723541" w14:textId="0171DB61" w:rsidR="00C00F1B" w:rsidRDefault="00C00F1B">
      <w:pPr>
        <w:jc w:val="both"/>
        <w:rPr>
          <w:rFonts w:ascii="Century Gothic" w:eastAsia="Century Gothic" w:hAnsi="Century Gothic" w:cs="Century Gothic"/>
        </w:rPr>
      </w:pPr>
    </w:p>
    <w:p w14:paraId="07F9C6C6" w14:textId="77777777" w:rsidR="00C00F1B" w:rsidRDefault="00C00F1B">
      <w:pPr>
        <w:jc w:val="both"/>
        <w:rPr>
          <w:rFonts w:ascii="Century Gothic" w:eastAsia="Century Gothic" w:hAnsi="Century Gothic" w:cs="Century Gothic"/>
        </w:rPr>
      </w:pPr>
    </w:p>
    <w:p w14:paraId="55D7011B"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lastRenderedPageBreak/>
        <w:t xml:space="preserve">Por ejemplo, un boletín realizado por Medicina Legal muestra datos preocupantes relacionados a la infancia durante 2024. </w:t>
      </w:r>
    </w:p>
    <w:p w14:paraId="34525B13"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noProof/>
        </w:rPr>
        <w:drawing>
          <wp:inline distT="114300" distB="114300" distL="114300" distR="114300" wp14:anchorId="3004F9D9" wp14:editId="49F1D2D9">
            <wp:extent cx="5731200" cy="4254500"/>
            <wp:effectExtent l="0" t="0" r="0" b="0"/>
            <wp:docPr id="5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7"/>
                    <a:srcRect/>
                    <a:stretch>
                      <a:fillRect/>
                    </a:stretch>
                  </pic:blipFill>
                  <pic:spPr>
                    <a:xfrm>
                      <a:off x="0" y="0"/>
                      <a:ext cx="5731200" cy="4254500"/>
                    </a:xfrm>
                    <a:prstGeom prst="rect">
                      <a:avLst/>
                    </a:prstGeom>
                    <a:ln/>
                  </pic:spPr>
                </pic:pic>
              </a:graphicData>
            </a:graphic>
          </wp:inline>
        </w:drawing>
      </w:r>
    </w:p>
    <w:p w14:paraId="567CC1D1" w14:textId="77777777" w:rsidR="00AA5550" w:rsidRDefault="00AA5550">
      <w:pPr>
        <w:jc w:val="both"/>
        <w:rPr>
          <w:rFonts w:ascii="Century Gothic" w:eastAsia="Century Gothic" w:hAnsi="Century Gothic" w:cs="Century Gothic"/>
        </w:rPr>
      </w:pPr>
    </w:p>
    <w:p w14:paraId="0B244792"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 xml:space="preserve">La imagen presentada muestra las estadísticas de muertes violentas en Colombia durante el mes de enero de 2024, clasificadas por grupos de edad y ciclo vital, y segmentadas según la manera de muerte: homicidio, eventos de transporte, causas accidentales y </w:t>
      </w:r>
      <w:r>
        <w:rPr>
          <w:rFonts w:ascii="Century Gothic" w:eastAsia="Century Gothic" w:hAnsi="Century Gothic" w:cs="Century Gothic"/>
        </w:rPr>
        <w:t>suicidio. A partir de estos datos, es posible realizar un análisis con implicaciones tanto sociales como económicas.</w:t>
      </w:r>
    </w:p>
    <w:p w14:paraId="09DA5AF3" w14:textId="77777777" w:rsidR="00AA5550" w:rsidRDefault="00AA5550">
      <w:pPr>
        <w:jc w:val="both"/>
        <w:rPr>
          <w:rFonts w:ascii="Century Gothic" w:eastAsia="Century Gothic" w:hAnsi="Century Gothic" w:cs="Century Gothic"/>
        </w:rPr>
      </w:pPr>
    </w:p>
    <w:p w14:paraId="18DFC484"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Desde una perspectiva social, los datos revelan que la adolescencia (entre los 12 y 17 años) es el periodo más crítico en cuanto a muertes</w:t>
      </w:r>
      <w:r>
        <w:rPr>
          <w:rFonts w:ascii="Century Gothic" w:eastAsia="Century Gothic" w:hAnsi="Century Gothic" w:cs="Century Gothic"/>
        </w:rPr>
        <w:t xml:space="preserve"> violentas, concentrando 114 de los 169 casos totales, lo que representa el 67,4 %. En este grupo, los homicidios (40 casos) y los suicidios (25 casos) se destacan como causas predominantes, lo cual refleja entornos marcados por altos niveles de violencia,</w:t>
      </w:r>
      <w:r>
        <w:rPr>
          <w:rFonts w:ascii="Century Gothic" w:eastAsia="Century Gothic" w:hAnsi="Century Gothic" w:cs="Century Gothic"/>
        </w:rPr>
        <w:t xml:space="preserve"> conflictos sociales, desprotección institucional y carencia de mecanismos efectivos de atención psicosocial. Esta realidad no solo visibiliza un entorno hostil para los adolescentes, sino que también señala la necesidad urgente de reforzar los programas d</w:t>
      </w:r>
      <w:r>
        <w:rPr>
          <w:rFonts w:ascii="Century Gothic" w:eastAsia="Century Gothic" w:hAnsi="Century Gothic" w:cs="Century Gothic"/>
        </w:rPr>
        <w:t>e prevención de la violencia, salud mental y protección de derechos en esta etapa crítica del desarrollo humano.</w:t>
      </w:r>
    </w:p>
    <w:p w14:paraId="5B82C42F" w14:textId="77777777" w:rsidR="00AA5550" w:rsidRDefault="00AA5550">
      <w:pPr>
        <w:jc w:val="both"/>
        <w:rPr>
          <w:rFonts w:ascii="Century Gothic" w:eastAsia="Century Gothic" w:hAnsi="Century Gothic" w:cs="Century Gothic"/>
        </w:rPr>
      </w:pPr>
    </w:p>
    <w:p w14:paraId="42AD1CCF"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En la primera infancia (0 a 5 años) también se evidencia una alta exposición al riesgo, con 32 muertes registradas. La mayoría de estas fueron</w:t>
      </w:r>
      <w:r>
        <w:rPr>
          <w:rFonts w:ascii="Century Gothic" w:eastAsia="Century Gothic" w:hAnsi="Century Gothic" w:cs="Century Gothic"/>
        </w:rPr>
        <w:t xml:space="preserve"> por causas accidentales (22) y eventos de transporte (8), lo cual sugiere deficiencias en la seguridad del entorno inmediato de los niños, posiblemente relacionadas con condiciones precarias en el hogar, infraestructura urbana insegura o falta de supervis</w:t>
      </w:r>
      <w:r>
        <w:rPr>
          <w:rFonts w:ascii="Century Gothic" w:eastAsia="Century Gothic" w:hAnsi="Century Gothic" w:cs="Century Gothic"/>
        </w:rPr>
        <w:t>ión adecuada. Además, la presencia de dos homicidios en esta etapa revela un grave problema de violencia intrafamiliar o negligencia extrema, lo que demanda una acción decidida por parte del sistema de protección de infancia.</w:t>
      </w:r>
    </w:p>
    <w:p w14:paraId="063713F5" w14:textId="77777777" w:rsidR="00AA5550" w:rsidRDefault="00AA5550">
      <w:pPr>
        <w:jc w:val="both"/>
        <w:rPr>
          <w:rFonts w:ascii="Century Gothic" w:eastAsia="Century Gothic" w:hAnsi="Century Gothic" w:cs="Century Gothic"/>
        </w:rPr>
      </w:pPr>
    </w:p>
    <w:p w14:paraId="0A0560EB"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Una situación especialmente a</w:t>
      </w:r>
      <w:r>
        <w:rPr>
          <w:rFonts w:ascii="Century Gothic" w:eastAsia="Century Gothic" w:hAnsi="Century Gothic" w:cs="Century Gothic"/>
        </w:rPr>
        <w:t>larmante es el número total de suicidios (28 casos), de los cuales la mayoría se concentran entre los 10 y 17 años. Esto evidencia una creciente crisis de salud mental en la niñez y adolescencia colombiana. La ausencia de redes de apoyo emocional, la viole</w:t>
      </w:r>
      <w:r>
        <w:rPr>
          <w:rFonts w:ascii="Century Gothic" w:eastAsia="Century Gothic" w:hAnsi="Century Gothic" w:cs="Century Gothic"/>
        </w:rPr>
        <w:t>ncia estructural, la pobreza y el abandono institucional pueden estar contribuyendo a este fenómeno. La necesidad de políticas públicas enfocadas en el bienestar emocional, escolar y comunitario es imperativa para mitigar esta problemática.</w:t>
      </w:r>
    </w:p>
    <w:p w14:paraId="0B63D2B8" w14:textId="77777777" w:rsidR="00AA5550" w:rsidRDefault="00AA5550">
      <w:pPr>
        <w:jc w:val="both"/>
        <w:rPr>
          <w:rFonts w:ascii="Century Gothic" w:eastAsia="Century Gothic" w:hAnsi="Century Gothic" w:cs="Century Gothic"/>
        </w:rPr>
      </w:pPr>
    </w:p>
    <w:p w14:paraId="0F978AEE"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Desde el punto</w:t>
      </w:r>
      <w:r>
        <w:rPr>
          <w:rFonts w:ascii="Century Gothic" w:eastAsia="Century Gothic" w:hAnsi="Century Gothic" w:cs="Century Gothic"/>
        </w:rPr>
        <w:t xml:space="preserve"> de vista económico, estas muertes violentas representan un alto costo para el Estado. Cada caso implica gastos directos en salud, justicia, seguridad y servicios forenses, además de los costos indirectos relacionados con la pérdida de capital humano. En p</w:t>
      </w:r>
      <w:r>
        <w:rPr>
          <w:rFonts w:ascii="Century Gothic" w:eastAsia="Century Gothic" w:hAnsi="Century Gothic" w:cs="Century Gothic"/>
        </w:rPr>
        <w:t>articular, la pérdida de adolescentes —en etapa formativa y próximos a ingresar al mercado laboral— impacta de forma negativa la productividad futura del país, al reducir su potencial demográfico activo.</w:t>
      </w:r>
    </w:p>
    <w:p w14:paraId="43B974C6" w14:textId="77777777" w:rsidR="00AA5550" w:rsidRDefault="00AA5550">
      <w:pPr>
        <w:jc w:val="both"/>
        <w:rPr>
          <w:rFonts w:ascii="Century Gothic" w:eastAsia="Century Gothic" w:hAnsi="Century Gothic" w:cs="Century Gothic"/>
        </w:rPr>
      </w:pPr>
    </w:p>
    <w:p w14:paraId="3CC19F21"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Por otro lado, las muertes accidentales y por trans</w:t>
      </w:r>
      <w:r>
        <w:rPr>
          <w:rFonts w:ascii="Century Gothic" w:eastAsia="Century Gothic" w:hAnsi="Century Gothic" w:cs="Century Gothic"/>
        </w:rPr>
        <w:t xml:space="preserve">porte también reflejan una infraestructura deficiente y falta de inversión en prevención. Estas problemáticas implican mayores gastos en atención médica, reparación de vías, fortalecimiento del sistema de movilidad y campañas de seguridad. Igualmente, las </w:t>
      </w:r>
      <w:r>
        <w:rPr>
          <w:rFonts w:ascii="Century Gothic" w:eastAsia="Century Gothic" w:hAnsi="Century Gothic" w:cs="Century Gothic"/>
        </w:rPr>
        <w:t>consecuencias emocionales y sociales en las familias afectadas conllevan una carga adicional sobre los servicios sociales y el sistema de salud.</w:t>
      </w:r>
    </w:p>
    <w:p w14:paraId="6B028E9A" w14:textId="77777777" w:rsidR="00AA5550" w:rsidRDefault="00AA5550">
      <w:pPr>
        <w:jc w:val="both"/>
        <w:rPr>
          <w:rFonts w:ascii="Century Gothic" w:eastAsia="Century Gothic" w:hAnsi="Century Gothic" w:cs="Century Gothic"/>
        </w:rPr>
      </w:pPr>
    </w:p>
    <w:p w14:paraId="5C258D13"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 xml:space="preserve">La violencia infantil y adolescente genera un efecto multiplicador negativo: disminuye la calidad del capital </w:t>
      </w:r>
      <w:r>
        <w:rPr>
          <w:rFonts w:ascii="Century Gothic" w:eastAsia="Century Gothic" w:hAnsi="Century Gothic" w:cs="Century Gothic"/>
        </w:rPr>
        <w:t xml:space="preserve">humano, aumenta el gasto público en justicia y atención social, y desincentiva la inversión en zonas con altos niveles de conflictividad. En consecuencia, la prevención de estas muertes debería ser una prioridad estatal tanto por razones humanitarias como </w:t>
      </w:r>
      <w:r>
        <w:rPr>
          <w:rFonts w:ascii="Century Gothic" w:eastAsia="Century Gothic" w:hAnsi="Century Gothic" w:cs="Century Gothic"/>
        </w:rPr>
        <w:t>por racionalidad económica.</w:t>
      </w:r>
    </w:p>
    <w:p w14:paraId="27A1F7BB" w14:textId="77777777" w:rsidR="00AA5550" w:rsidRDefault="00AA5550">
      <w:pPr>
        <w:jc w:val="both"/>
        <w:rPr>
          <w:rFonts w:ascii="Century Gothic" w:eastAsia="Century Gothic" w:hAnsi="Century Gothic" w:cs="Century Gothic"/>
        </w:rPr>
      </w:pPr>
    </w:p>
    <w:p w14:paraId="0BA99502"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 xml:space="preserve">En conclusión, los datos reflejan un problema estructural que afecta profundamente el desarrollo social y económico del país. La elevada mortalidad violenta en niños y adolescentes en Colombia no solo es una tragedia humana, sino también un síntoma </w:t>
      </w:r>
      <w:r>
        <w:rPr>
          <w:rFonts w:ascii="Century Gothic" w:eastAsia="Century Gothic" w:hAnsi="Century Gothic" w:cs="Century Gothic"/>
        </w:rPr>
        <w:lastRenderedPageBreak/>
        <w:t>de fall</w:t>
      </w:r>
      <w:r>
        <w:rPr>
          <w:rFonts w:ascii="Century Gothic" w:eastAsia="Century Gothic" w:hAnsi="Century Gothic" w:cs="Century Gothic"/>
        </w:rPr>
        <w:t>as institucionales en la prevención, protección y atención integral de esta población. Es urgente que el Estado adopte una respuesta coordinada que refuerce la inversión en entornos seguros, amplíe la cobertura de salud mental, fortalezca los mecanismos de</w:t>
      </w:r>
      <w:r>
        <w:rPr>
          <w:rFonts w:ascii="Century Gothic" w:eastAsia="Century Gothic" w:hAnsi="Century Gothic" w:cs="Century Gothic"/>
        </w:rPr>
        <w:t xml:space="preserve"> protección a la infancia y adolescencia, y promueva políticas públicas orientadas a la prevención en los territorios más vulnerables. La inacción frente a esta realidad conllevará un deterioro progresivo del tejido social y un aumento insostenible de la c</w:t>
      </w:r>
      <w:r>
        <w:rPr>
          <w:rFonts w:ascii="Century Gothic" w:eastAsia="Century Gothic" w:hAnsi="Century Gothic" w:cs="Century Gothic"/>
        </w:rPr>
        <w:t>arga fiscal para la nación.</w:t>
      </w:r>
    </w:p>
    <w:p w14:paraId="03C61990" w14:textId="77777777" w:rsidR="00AA5550" w:rsidRDefault="00045FF4">
      <w:pPr>
        <w:pStyle w:val="Ttulo1"/>
        <w:numPr>
          <w:ilvl w:val="0"/>
          <w:numId w:val="23"/>
        </w:numPr>
        <w:jc w:val="center"/>
        <w:rPr>
          <w:rFonts w:ascii="Century Gothic" w:eastAsia="Century Gothic" w:hAnsi="Century Gothic" w:cs="Century Gothic"/>
          <w:b/>
          <w:sz w:val="22"/>
          <w:szCs w:val="22"/>
        </w:rPr>
      </w:pPr>
      <w:bookmarkStart w:id="24" w:name="_heading=h.msmk3z632sxx" w:colFirst="0" w:colLast="0"/>
      <w:bookmarkEnd w:id="24"/>
      <w:r>
        <w:rPr>
          <w:rFonts w:ascii="Century Gothic" w:eastAsia="Century Gothic" w:hAnsi="Century Gothic" w:cs="Century Gothic"/>
          <w:b/>
          <w:sz w:val="22"/>
          <w:szCs w:val="22"/>
        </w:rPr>
        <w:t>MARCO NORMATIVO</w:t>
      </w:r>
    </w:p>
    <w:p w14:paraId="61CF66C1" w14:textId="77777777" w:rsidR="00AA5550" w:rsidRDefault="00045FF4">
      <w:pPr>
        <w:jc w:val="both"/>
        <w:rPr>
          <w:rFonts w:ascii="Century Gothic" w:eastAsia="Century Gothic" w:hAnsi="Century Gothic" w:cs="Century Gothic"/>
        </w:rPr>
      </w:pPr>
      <w:bookmarkStart w:id="25" w:name="_heading=h.bi9ce8cj5cb3" w:colFirst="0" w:colLast="0"/>
      <w:bookmarkEnd w:id="25"/>
      <w:r>
        <w:rPr>
          <w:rFonts w:ascii="Century Gothic" w:eastAsia="Century Gothic" w:hAnsi="Century Gothic" w:cs="Century Gothic"/>
        </w:rPr>
        <w:t>Esta iniciativa legislativa se fundamenta en un robusto marco normativo (constitucional, legal, jurisprudencial e internacional) que obliga al Estado colombiano a garantizar vidas seguras y libres de violencia pa</w:t>
      </w:r>
      <w:r>
        <w:rPr>
          <w:rFonts w:ascii="Century Gothic" w:eastAsia="Century Gothic" w:hAnsi="Century Gothic" w:cs="Century Gothic"/>
        </w:rPr>
        <w:t>ra mujeres, niñas, niños y adolescentes, cumpliendo con los fines del Estado social de derecho y compromisos internacionales.</w:t>
      </w:r>
    </w:p>
    <w:p w14:paraId="6CA5D1DA"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 xml:space="preserve">A pesar de las normativas existentes, persisten brechas estructurales, sociales e institucionales que impiden el goce efectivo de </w:t>
      </w:r>
      <w:r>
        <w:rPr>
          <w:rFonts w:ascii="Century Gothic" w:eastAsia="Century Gothic" w:hAnsi="Century Gothic" w:cs="Century Gothic"/>
        </w:rPr>
        <w:t>derechos. Por ello, se propone un enfoque normativo articulado e intersectorial que aborde las causas estructurales de la violencia, supere la fragmentación institucional y asegure la igualdad en contextos excluidos.</w:t>
      </w:r>
    </w:p>
    <w:p w14:paraId="30708CEF"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La ley reconoce que la violencia es res</w:t>
      </w:r>
      <w:r>
        <w:rPr>
          <w:rFonts w:ascii="Century Gothic" w:eastAsia="Century Gothic" w:hAnsi="Century Gothic" w:cs="Century Gothic"/>
        </w:rPr>
        <w:t>ultado de desigualdades de poder, patrones culturales discriminatorios y déficits estatales. Se basa en principios de prevención, corresponsabilidad territorial, justicia intergeneracional y participación comunitaria, buscando entornos protectores y paz. E</w:t>
      </w:r>
      <w:r>
        <w:rPr>
          <w:rFonts w:ascii="Century Gothic" w:eastAsia="Century Gothic" w:hAnsi="Century Gothic" w:cs="Century Gothic"/>
        </w:rPr>
        <w:t>n esencia, es una propuesta integral para materializar la dignidad humana, igualdad y justicia social mediante intervención sinérgica y enfoque territorial.</w:t>
      </w:r>
    </w:p>
    <w:p w14:paraId="68DB86A9" w14:textId="77777777" w:rsidR="00AA5550" w:rsidRDefault="00045FF4">
      <w:pPr>
        <w:pStyle w:val="Ttulo1"/>
        <w:numPr>
          <w:ilvl w:val="0"/>
          <w:numId w:val="23"/>
        </w:numPr>
        <w:jc w:val="center"/>
        <w:rPr>
          <w:rFonts w:ascii="Century Gothic" w:eastAsia="Century Gothic" w:hAnsi="Century Gothic" w:cs="Century Gothic"/>
          <w:b/>
          <w:sz w:val="22"/>
          <w:szCs w:val="22"/>
        </w:rPr>
      </w:pPr>
      <w:bookmarkStart w:id="26" w:name="_heading=h.w50v029qhvaz" w:colFirst="0" w:colLast="0"/>
      <w:bookmarkEnd w:id="26"/>
      <w:r>
        <w:rPr>
          <w:rFonts w:ascii="Century Gothic" w:eastAsia="Century Gothic" w:hAnsi="Century Gothic" w:cs="Century Gothic"/>
          <w:b/>
          <w:sz w:val="22"/>
          <w:szCs w:val="22"/>
        </w:rPr>
        <w:t>FUNDAMENTO CONSTITUCIONAL DESARROLLADO</w:t>
      </w:r>
    </w:p>
    <w:p w14:paraId="48C9F96E"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La Constitución Política de 1991 no solo establece el marco </w:t>
      </w:r>
      <w:r>
        <w:rPr>
          <w:rFonts w:ascii="Century Gothic" w:eastAsia="Century Gothic" w:hAnsi="Century Gothic" w:cs="Century Gothic"/>
        </w:rPr>
        <w:t>general de los derechos fundamentales, sino que consagra un mandato categórico para el Estado colombiano: garantizar condiciones materiales de igualdad, libertad, seguridad y dignidad para todas las personas, con especial énfasis en mujeres, niñas, niños y</w:t>
      </w:r>
      <w:r>
        <w:rPr>
          <w:rFonts w:ascii="Century Gothic" w:eastAsia="Century Gothic" w:hAnsi="Century Gothic" w:cs="Century Gothic"/>
        </w:rPr>
        <w:t xml:space="preserve"> adolescentes como sujetos de protección reforzada. Este proyecto de ley se inscribe en ese mandato superior.</w:t>
      </w:r>
    </w:p>
    <w:p w14:paraId="0772CA5B" w14:textId="77777777" w:rsidR="00AA5550" w:rsidRDefault="00045FF4">
      <w:pPr>
        <w:pStyle w:val="Ttulo2"/>
        <w:numPr>
          <w:ilvl w:val="2"/>
          <w:numId w:val="23"/>
        </w:numPr>
        <w:rPr>
          <w:rFonts w:ascii="Century Gothic" w:eastAsia="Century Gothic" w:hAnsi="Century Gothic" w:cs="Century Gothic"/>
          <w:b/>
          <w:sz w:val="22"/>
          <w:szCs w:val="22"/>
        </w:rPr>
      </w:pPr>
      <w:bookmarkStart w:id="27" w:name="_heading=h.nrqwylg1stge" w:colFirst="0" w:colLast="0"/>
      <w:bookmarkEnd w:id="27"/>
      <w:r>
        <w:rPr>
          <w:rFonts w:ascii="Century Gothic" w:eastAsia="Century Gothic" w:hAnsi="Century Gothic" w:cs="Century Gothic"/>
          <w:b/>
          <w:sz w:val="22"/>
          <w:szCs w:val="22"/>
        </w:rPr>
        <w:t>Artículo 1. Estado Social de Derecho, dignidad humana, solidaridad e interés general</w:t>
      </w:r>
    </w:p>
    <w:p w14:paraId="59C9ACEB"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Este artículo constituye el núcleo axiológico del orden const</w:t>
      </w:r>
      <w:r>
        <w:rPr>
          <w:rFonts w:ascii="Century Gothic" w:eastAsia="Century Gothic" w:hAnsi="Century Gothic" w:cs="Century Gothic"/>
        </w:rPr>
        <w:t xml:space="preserve">itucional colombiano. El principio de dignidad humana exige que las políticas públicas —y, por tanto, las leyes que las enmarcan— estén orientadas a garantizar condiciones reales y efectivas </w:t>
      </w:r>
      <w:r>
        <w:rPr>
          <w:rFonts w:ascii="Century Gothic" w:eastAsia="Century Gothic" w:hAnsi="Century Gothic" w:cs="Century Gothic"/>
        </w:rPr>
        <w:lastRenderedPageBreak/>
        <w:t>para el libre desarrollo de la personalidad, la autonomía y la se</w:t>
      </w:r>
      <w:r>
        <w:rPr>
          <w:rFonts w:ascii="Century Gothic" w:eastAsia="Century Gothic" w:hAnsi="Century Gothic" w:cs="Century Gothic"/>
        </w:rPr>
        <w:t>guridad personal. En contextos donde las mujeres y la niñez enfrentan amenazas permanentes derivadas de violencia estructural, la intervención legislativa se convierte en una obligación constitucional para preservar su dignidad y proteger el interés genera</w:t>
      </w:r>
      <w:r>
        <w:rPr>
          <w:rFonts w:ascii="Century Gothic" w:eastAsia="Century Gothic" w:hAnsi="Century Gothic" w:cs="Century Gothic"/>
        </w:rPr>
        <w:t>l. La solidaridad impone, además, la corresponsabilidad entre Estado y sociedad civil para generar entornos seguros y protectores.</w:t>
      </w:r>
    </w:p>
    <w:p w14:paraId="28FBA57D" w14:textId="77777777" w:rsidR="00AA5550" w:rsidRDefault="00045FF4">
      <w:pPr>
        <w:pStyle w:val="Ttulo2"/>
        <w:numPr>
          <w:ilvl w:val="2"/>
          <w:numId w:val="23"/>
        </w:numPr>
        <w:rPr>
          <w:rFonts w:ascii="Century Gothic" w:eastAsia="Century Gothic" w:hAnsi="Century Gothic" w:cs="Century Gothic"/>
          <w:b/>
          <w:sz w:val="22"/>
          <w:szCs w:val="22"/>
        </w:rPr>
      </w:pPr>
      <w:bookmarkStart w:id="28" w:name="_heading=h.at2uea4h15kf" w:colFirst="0" w:colLast="0"/>
      <w:bookmarkEnd w:id="28"/>
      <w:r>
        <w:rPr>
          <w:rFonts w:ascii="Century Gothic" w:eastAsia="Century Gothic" w:hAnsi="Century Gothic" w:cs="Century Gothic"/>
          <w:b/>
          <w:sz w:val="22"/>
          <w:szCs w:val="22"/>
        </w:rPr>
        <w:t>Artículo 2. Fines esenciales del Estado</w:t>
      </w:r>
    </w:p>
    <w:p w14:paraId="59087863"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Este artículo establece como fin esencial del Estado la garantía efectiva de los dere</w:t>
      </w:r>
      <w:r>
        <w:rPr>
          <w:rFonts w:ascii="Century Gothic" w:eastAsia="Century Gothic" w:hAnsi="Century Gothic" w:cs="Century Gothic"/>
        </w:rPr>
        <w:t>chos, la convivencia pacífica y la protección de todas las personas residentes en Colombia. Esta disposición obliga al legislador a diseñar marcos jurídicos que aseguren la prevención de la violencia y la cohesión social, especialmente en territorios con a</w:t>
      </w:r>
      <w:r>
        <w:rPr>
          <w:rFonts w:ascii="Century Gothic" w:eastAsia="Century Gothic" w:hAnsi="Century Gothic" w:cs="Century Gothic"/>
        </w:rPr>
        <w:t>lta conflictividad. Este proyecto responde directamente a esa función del Estado al establecer un sistema de corresponsabilidad territorial que permita garantizar la seguridad y la integridad de las poblaciones más vulnerables.</w:t>
      </w:r>
    </w:p>
    <w:p w14:paraId="34FF4ED9" w14:textId="77777777" w:rsidR="00AA5550" w:rsidRDefault="00045FF4">
      <w:pPr>
        <w:pStyle w:val="Ttulo2"/>
        <w:numPr>
          <w:ilvl w:val="2"/>
          <w:numId w:val="23"/>
        </w:numPr>
        <w:rPr>
          <w:rFonts w:ascii="Century Gothic" w:eastAsia="Century Gothic" w:hAnsi="Century Gothic" w:cs="Century Gothic"/>
          <w:b/>
          <w:sz w:val="22"/>
          <w:szCs w:val="22"/>
        </w:rPr>
      </w:pPr>
      <w:bookmarkStart w:id="29" w:name="_heading=h.7nkq1pvaigdp" w:colFirst="0" w:colLast="0"/>
      <w:bookmarkEnd w:id="29"/>
      <w:r>
        <w:rPr>
          <w:rFonts w:ascii="Century Gothic" w:eastAsia="Century Gothic" w:hAnsi="Century Gothic" w:cs="Century Gothic"/>
          <w:b/>
          <w:sz w:val="22"/>
          <w:szCs w:val="22"/>
        </w:rPr>
        <w:t>Artículo 5. Reconocimiento d</w:t>
      </w:r>
      <w:r>
        <w:rPr>
          <w:rFonts w:ascii="Century Gothic" w:eastAsia="Century Gothic" w:hAnsi="Century Gothic" w:cs="Century Gothic"/>
          <w:b/>
          <w:sz w:val="22"/>
          <w:szCs w:val="22"/>
        </w:rPr>
        <w:t>e la familia, la mujer y el menor como instituciones básicas</w:t>
      </w:r>
    </w:p>
    <w:p w14:paraId="4180AF5A"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Aquí se reconoce la importancia central de la familia y los sujetos que la integran —con énfasis en la mujer y el menor— como instituciones sociales fundamentales. Por tanto, el deber del Estado </w:t>
      </w:r>
      <w:r>
        <w:rPr>
          <w:rFonts w:ascii="Century Gothic" w:eastAsia="Century Gothic" w:hAnsi="Century Gothic" w:cs="Century Gothic"/>
        </w:rPr>
        <w:t>de protegerlas se traduce en políticas y leyes concretas, como esta que se propone, cuyo objeto es asegurar su integridad frente a contextos de riesgo permanente, promoviendo entornos comunitarios libres de violencias y con enfoque diferencial.</w:t>
      </w:r>
    </w:p>
    <w:p w14:paraId="00D3E558" w14:textId="77777777" w:rsidR="00AA5550" w:rsidRDefault="00045FF4">
      <w:pPr>
        <w:pStyle w:val="Ttulo2"/>
        <w:numPr>
          <w:ilvl w:val="2"/>
          <w:numId w:val="23"/>
        </w:numPr>
        <w:rPr>
          <w:rFonts w:ascii="Century Gothic" w:eastAsia="Century Gothic" w:hAnsi="Century Gothic" w:cs="Century Gothic"/>
          <w:i/>
          <w:sz w:val="22"/>
          <w:szCs w:val="22"/>
        </w:rPr>
      </w:pPr>
      <w:bookmarkStart w:id="30" w:name="_heading=h.7hf6mgmrspzr" w:colFirst="0" w:colLast="0"/>
      <w:bookmarkEnd w:id="30"/>
      <w:r>
        <w:rPr>
          <w:rFonts w:ascii="Century Gothic" w:eastAsia="Century Gothic" w:hAnsi="Century Gothic" w:cs="Century Gothic"/>
          <w:b/>
          <w:sz w:val="22"/>
          <w:szCs w:val="22"/>
        </w:rPr>
        <w:t>Artículo 11</w:t>
      </w:r>
      <w:r>
        <w:rPr>
          <w:rFonts w:ascii="Century Gothic" w:eastAsia="Century Gothic" w:hAnsi="Century Gothic" w:cs="Century Gothic"/>
          <w:b/>
          <w:sz w:val="22"/>
          <w:szCs w:val="22"/>
        </w:rPr>
        <w:t>. Derecho a la vida</w:t>
      </w:r>
    </w:p>
    <w:p w14:paraId="5C1205AF"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Este artículo constituye el fundamento ontológico del orden constitucional colombiano y la base sobre la cual se construyen todos los demás derechos. La Corte Constitucional ha reiterado que el derecho a la vida debe interpretarse no so</w:t>
      </w:r>
      <w:r>
        <w:rPr>
          <w:rFonts w:ascii="Century Gothic" w:eastAsia="Century Gothic" w:hAnsi="Century Gothic" w:cs="Century Gothic"/>
        </w:rPr>
        <w:t>lo como una protección contra la muerte arbitraria, sino como el derecho a una vida digna, segura y libre de amenazas estructurales</w:t>
      </w:r>
      <w:r>
        <w:rPr>
          <w:rFonts w:ascii="Century Gothic" w:eastAsia="Century Gothic" w:hAnsi="Century Gothic" w:cs="Century Gothic"/>
          <w:vertAlign w:val="superscript"/>
        </w:rPr>
        <w:footnoteReference w:id="15"/>
      </w:r>
      <w:r>
        <w:rPr>
          <w:rFonts w:ascii="Century Gothic" w:eastAsia="Century Gothic" w:hAnsi="Century Gothic" w:cs="Century Gothic"/>
        </w:rPr>
        <w:t>.</w:t>
      </w:r>
    </w:p>
    <w:p w14:paraId="3A70E491"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En este sentido, el Estado tiene la obligación de adoptar medidas legislativas que prevengan riesgos previsibles y garant</w:t>
      </w:r>
      <w:r>
        <w:rPr>
          <w:rFonts w:ascii="Century Gothic" w:eastAsia="Century Gothic" w:hAnsi="Century Gothic" w:cs="Century Gothic"/>
        </w:rPr>
        <w:t>icen condiciones mínimas de seguridad para todos, especialmente para quienes enfrentan violencias letales como los feminicidios, el abuso sexual infantil y los asesinatos de menores en contextos de criminalidad urbana o desplazamiento. El proyecto de ley s</w:t>
      </w:r>
      <w:r>
        <w:rPr>
          <w:rFonts w:ascii="Century Gothic" w:eastAsia="Century Gothic" w:hAnsi="Century Gothic" w:cs="Century Gothic"/>
        </w:rPr>
        <w:t xml:space="preserve">e alinea con este deber, </w:t>
      </w:r>
      <w:r>
        <w:rPr>
          <w:rFonts w:ascii="Century Gothic" w:eastAsia="Century Gothic" w:hAnsi="Century Gothic" w:cs="Century Gothic"/>
        </w:rPr>
        <w:lastRenderedPageBreak/>
        <w:t xml:space="preserve">al proponer una respuesta institucional articulada para generar entornos seguros como requisito indispensable para proteger </w:t>
      </w:r>
      <w:proofErr w:type="gramStart"/>
      <w:r>
        <w:rPr>
          <w:rFonts w:ascii="Century Gothic" w:eastAsia="Century Gothic" w:hAnsi="Century Gothic" w:cs="Century Gothic"/>
        </w:rPr>
        <w:t>el bien jurídica vida</w:t>
      </w:r>
      <w:proofErr w:type="gramEnd"/>
      <w:r>
        <w:rPr>
          <w:rFonts w:ascii="Century Gothic" w:eastAsia="Century Gothic" w:hAnsi="Century Gothic" w:cs="Century Gothic"/>
        </w:rPr>
        <w:t>.</w:t>
      </w:r>
    </w:p>
    <w:p w14:paraId="17FD5363" w14:textId="77777777" w:rsidR="00AA5550" w:rsidRDefault="00045FF4">
      <w:pPr>
        <w:pStyle w:val="Ttulo2"/>
        <w:numPr>
          <w:ilvl w:val="2"/>
          <w:numId w:val="23"/>
        </w:numPr>
        <w:rPr>
          <w:rFonts w:ascii="Century Gothic" w:eastAsia="Century Gothic" w:hAnsi="Century Gothic" w:cs="Century Gothic"/>
          <w:b/>
          <w:sz w:val="22"/>
          <w:szCs w:val="22"/>
        </w:rPr>
      </w:pPr>
      <w:bookmarkStart w:id="31" w:name="_heading=h.lhccntvozt1o" w:colFirst="0" w:colLast="0"/>
      <w:bookmarkEnd w:id="31"/>
      <w:r>
        <w:rPr>
          <w:rFonts w:ascii="Century Gothic" w:eastAsia="Century Gothic" w:hAnsi="Century Gothic" w:cs="Century Gothic"/>
          <w:b/>
          <w:sz w:val="22"/>
          <w:szCs w:val="22"/>
        </w:rPr>
        <w:t>Artículo 12. Prohibición de tratos crueles, inhumanos o degradantes</w:t>
      </w:r>
    </w:p>
    <w:p w14:paraId="6C74C618"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En consonancia c</w:t>
      </w:r>
      <w:r>
        <w:rPr>
          <w:rFonts w:ascii="Century Gothic" w:eastAsia="Century Gothic" w:hAnsi="Century Gothic" w:cs="Century Gothic"/>
        </w:rPr>
        <w:t>on la Convención contra la Tortura</w:t>
      </w:r>
      <w:r>
        <w:rPr>
          <w:rFonts w:ascii="Century Gothic" w:eastAsia="Century Gothic" w:hAnsi="Century Gothic" w:cs="Century Gothic"/>
          <w:vertAlign w:val="superscript"/>
        </w:rPr>
        <w:footnoteReference w:id="16"/>
      </w:r>
      <w:r>
        <w:rPr>
          <w:rFonts w:ascii="Century Gothic" w:eastAsia="Century Gothic" w:hAnsi="Century Gothic" w:cs="Century Gothic"/>
        </w:rPr>
        <w:t>, impone al Estado una obligación de prevención y sanción frente a todas las formas de violencia extrema, especialmente aquellas que afectan la integridad física y psíquica de las mujeres y los niños.</w:t>
      </w:r>
    </w:p>
    <w:p w14:paraId="56E06B59"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En contextos como e</w:t>
      </w:r>
      <w:r>
        <w:rPr>
          <w:rFonts w:ascii="Century Gothic" w:eastAsia="Century Gothic" w:hAnsi="Century Gothic" w:cs="Century Gothic"/>
        </w:rPr>
        <w:t>l abuso sexual, la violencia doméstica, la revictimización institucional o el desplazamiento forzado, las mujeres y menores son sometidos a tratos que rebasan el umbral de la dignidad humana y constituyen formas de tortura o degradación, según reiterada ju</w:t>
      </w:r>
      <w:r>
        <w:rPr>
          <w:rFonts w:ascii="Century Gothic" w:eastAsia="Century Gothic" w:hAnsi="Century Gothic" w:cs="Century Gothic"/>
        </w:rPr>
        <w:t>risprudencia constitucional</w:t>
      </w:r>
      <w:r>
        <w:rPr>
          <w:rFonts w:ascii="Century Gothic" w:eastAsia="Century Gothic" w:hAnsi="Century Gothic" w:cs="Century Gothic"/>
          <w:vertAlign w:val="superscript"/>
        </w:rPr>
        <w:footnoteReference w:id="17"/>
      </w:r>
      <w:r>
        <w:rPr>
          <w:rFonts w:ascii="Century Gothic" w:eastAsia="Century Gothic" w:hAnsi="Century Gothic" w:cs="Century Gothic"/>
        </w:rPr>
        <w:t>. Este proyecto busca precisamente prevenir y erradicar tales tratos mediante intervenciones interinstitucionales tempranas, pedagógicas y restaurativas.</w:t>
      </w:r>
    </w:p>
    <w:p w14:paraId="7A830D12" w14:textId="77777777" w:rsidR="00AA5550" w:rsidRDefault="00045FF4">
      <w:pPr>
        <w:pStyle w:val="Ttulo2"/>
        <w:numPr>
          <w:ilvl w:val="2"/>
          <w:numId w:val="23"/>
        </w:numPr>
        <w:rPr>
          <w:rFonts w:ascii="Century Gothic" w:eastAsia="Century Gothic" w:hAnsi="Century Gothic" w:cs="Century Gothic"/>
          <w:b/>
          <w:sz w:val="22"/>
          <w:szCs w:val="22"/>
        </w:rPr>
      </w:pPr>
      <w:bookmarkStart w:id="32" w:name="_heading=h.z31q8v3ysbgn" w:colFirst="0" w:colLast="0"/>
      <w:bookmarkEnd w:id="32"/>
      <w:r>
        <w:rPr>
          <w:rFonts w:ascii="Century Gothic" w:eastAsia="Century Gothic" w:hAnsi="Century Gothic" w:cs="Century Gothic"/>
          <w:b/>
          <w:sz w:val="22"/>
          <w:szCs w:val="22"/>
        </w:rPr>
        <w:t>Artículo 13. Igualdad formal y material</w:t>
      </w:r>
    </w:p>
    <w:p w14:paraId="10996048"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El principio de igualdad contenido en este artículo exige no s</w:t>
      </w:r>
      <w:r>
        <w:rPr>
          <w:rFonts w:ascii="Century Gothic" w:eastAsia="Century Gothic" w:hAnsi="Century Gothic" w:cs="Century Gothic"/>
        </w:rPr>
        <w:t>ólo la eliminación de las discriminaciones directas, sino la adopción de acciones afirmativas y diferenciales para remover obstáculos de hecho y de derecho que impidan el acceso equitativo a los derechos fundamentales. Mujeres, niñas y niños en contextos d</w:t>
      </w:r>
      <w:r>
        <w:rPr>
          <w:rFonts w:ascii="Century Gothic" w:eastAsia="Century Gothic" w:hAnsi="Century Gothic" w:cs="Century Gothic"/>
        </w:rPr>
        <w:t>e exclusión territorial, pobreza y violencia enfrentan desventajas acumuladas. Por eso, el presente proyecto se justifica como una medida legislativa razonable y proporcional orientada a hacer efectiva la igualdad material</w:t>
      </w:r>
      <w:r>
        <w:rPr>
          <w:rFonts w:ascii="Century Gothic" w:eastAsia="Century Gothic" w:hAnsi="Century Gothic" w:cs="Century Gothic"/>
          <w:vertAlign w:val="superscript"/>
        </w:rPr>
        <w:footnoteReference w:id="18"/>
      </w:r>
      <w:r>
        <w:rPr>
          <w:rFonts w:ascii="Century Gothic" w:eastAsia="Century Gothic" w:hAnsi="Century Gothic" w:cs="Century Gothic"/>
        </w:rPr>
        <w:t>.</w:t>
      </w:r>
    </w:p>
    <w:p w14:paraId="670F5DA1" w14:textId="77777777" w:rsidR="00AA5550" w:rsidRDefault="00045FF4">
      <w:pPr>
        <w:pStyle w:val="Ttulo2"/>
        <w:numPr>
          <w:ilvl w:val="2"/>
          <w:numId w:val="23"/>
        </w:numPr>
        <w:jc w:val="both"/>
        <w:rPr>
          <w:rFonts w:ascii="Century Gothic" w:eastAsia="Century Gothic" w:hAnsi="Century Gothic" w:cs="Century Gothic"/>
          <w:i/>
          <w:sz w:val="22"/>
          <w:szCs w:val="22"/>
        </w:rPr>
      </w:pPr>
      <w:bookmarkStart w:id="33" w:name="_heading=h.6921ce7fj1x4" w:colFirst="0" w:colLast="0"/>
      <w:bookmarkEnd w:id="33"/>
      <w:r>
        <w:rPr>
          <w:rFonts w:ascii="Century Gothic" w:eastAsia="Century Gothic" w:hAnsi="Century Gothic" w:cs="Century Gothic"/>
          <w:b/>
          <w:sz w:val="22"/>
          <w:szCs w:val="22"/>
        </w:rPr>
        <w:t>Artículo 42. Protección integral de la familia</w:t>
      </w:r>
    </w:p>
    <w:p w14:paraId="5387E186"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 familia, como estructura de cuidado y socialización, debe constituirse en un entorno protector. No obstante, en muchos territorios la violencia intrafamiliar especialmente ejercida contra mujeres, niños y n</w:t>
      </w:r>
      <w:r>
        <w:rPr>
          <w:rFonts w:ascii="Century Gothic" w:eastAsia="Century Gothic" w:hAnsi="Century Gothic" w:cs="Century Gothic"/>
        </w:rPr>
        <w:t>iñas, subvierte esta función y convierte el entorno familiar en un espacio de riesgo y victimización.</w:t>
      </w:r>
    </w:p>
    <w:p w14:paraId="1EE3AB12"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 Corte Constitucional ha precisado que la protección de la familia implica no solo evitar su disolución, sino garantizar condiciones internas de respeto</w:t>
      </w:r>
      <w:r>
        <w:rPr>
          <w:rFonts w:ascii="Century Gothic" w:eastAsia="Century Gothic" w:hAnsi="Century Gothic" w:cs="Century Gothic"/>
        </w:rPr>
        <w:t xml:space="preserve">, dignidad y seguridad, particularmente frente a las formas de violencia basada en género o en </w:t>
      </w:r>
      <w:r>
        <w:rPr>
          <w:rFonts w:ascii="Century Gothic" w:eastAsia="Century Gothic" w:hAnsi="Century Gothic" w:cs="Century Gothic"/>
        </w:rPr>
        <w:lastRenderedPageBreak/>
        <w:t>relaciones de poder</w:t>
      </w:r>
      <w:r>
        <w:rPr>
          <w:rFonts w:ascii="Century Gothic" w:eastAsia="Century Gothic" w:hAnsi="Century Gothic" w:cs="Century Gothic"/>
          <w:vertAlign w:val="superscript"/>
        </w:rPr>
        <w:footnoteReference w:id="19"/>
      </w:r>
      <w:r>
        <w:rPr>
          <w:rFonts w:ascii="Century Gothic" w:eastAsia="Century Gothic" w:hAnsi="Century Gothic" w:cs="Century Gothic"/>
        </w:rPr>
        <w:t>. La presente ley busca responder a esta obligación, fortaleciendo entornos comunitarios y familiares mediante acciones preventivas y corres</w:t>
      </w:r>
      <w:r>
        <w:rPr>
          <w:rFonts w:ascii="Century Gothic" w:eastAsia="Century Gothic" w:hAnsi="Century Gothic" w:cs="Century Gothic"/>
        </w:rPr>
        <w:t>ponsabilidad social, sin invadir la autonomía familiar, pero garantizando la seguridad de sus miembros.</w:t>
      </w:r>
    </w:p>
    <w:p w14:paraId="1F269FC4" w14:textId="77777777" w:rsidR="00AA5550" w:rsidRDefault="00045FF4">
      <w:pPr>
        <w:pStyle w:val="Ttulo2"/>
        <w:numPr>
          <w:ilvl w:val="2"/>
          <w:numId w:val="23"/>
        </w:numPr>
        <w:rPr>
          <w:rFonts w:ascii="Century Gothic" w:eastAsia="Century Gothic" w:hAnsi="Century Gothic" w:cs="Century Gothic"/>
          <w:b/>
          <w:sz w:val="22"/>
          <w:szCs w:val="22"/>
        </w:rPr>
      </w:pPr>
      <w:bookmarkStart w:id="34" w:name="_heading=h.wr2c6zxzgigk" w:colFirst="0" w:colLast="0"/>
      <w:bookmarkEnd w:id="34"/>
      <w:r>
        <w:rPr>
          <w:rFonts w:ascii="Century Gothic" w:eastAsia="Century Gothic" w:hAnsi="Century Gothic" w:cs="Century Gothic"/>
          <w:b/>
          <w:sz w:val="22"/>
          <w:szCs w:val="22"/>
        </w:rPr>
        <w:t>Artículo 44. Derechos fundamentales prevalentes de los niños, niñas y adolescentes</w:t>
      </w:r>
    </w:p>
    <w:p w14:paraId="27CBEDF5"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 norma reconoce un catálogo específico de derechos prevalentes (vid</w:t>
      </w:r>
      <w:r>
        <w:rPr>
          <w:rFonts w:ascii="Century Gothic" w:eastAsia="Century Gothic" w:hAnsi="Century Gothic" w:cs="Century Gothic"/>
        </w:rPr>
        <w:t>a, integridad, salud, educación, seguridad, entre otros), cuyo goce efectivo debe ser garantizado con carácter prioritario y preferente por el Estado, la familia y la sociedad. En línea con la jurisprudencia</w:t>
      </w:r>
      <w:r>
        <w:rPr>
          <w:rFonts w:ascii="Century Gothic" w:eastAsia="Century Gothic" w:hAnsi="Century Gothic" w:cs="Century Gothic"/>
          <w:vertAlign w:val="superscript"/>
        </w:rPr>
        <w:footnoteReference w:id="20"/>
      </w:r>
      <w:r>
        <w:rPr>
          <w:rFonts w:ascii="Century Gothic" w:eastAsia="Century Gothic" w:hAnsi="Century Gothic" w:cs="Century Gothic"/>
        </w:rPr>
        <w:t>, esta disposición obliga a diseñar marcos norm</w:t>
      </w:r>
      <w:r>
        <w:rPr>
          <w:rFonts w:ascii="Century Gothic" w:eastAsia="Century Gothic" w:hAnsi="Century Gothic" w:cs="Century Gothic"/>
        </w:rPr>
        <w:t>ativos que generen entornos protectores con medidas estructurales, articuladas y participativas, que prevengan el maltrato, el abandono y toda forma de violencia. Esta ley responde a esa obligación mediante un enfoque interinstitucional que supera la actua</w:t>
      </w:r>
      <w:r>
        <w:rPr>
          <w:rFonts w:ascii="Century Gothic" w:eastAsia="Century Gothic" w:hAnsi="Century Gothic" w:cs="Century Gothic"/>
        </w:rPr>
        <w:t>l fragmentación de las políticas públicas.</w:t>
      </w:r>
    </w:p>
    <w:p w14:paraId="55749BFB" w14:textId="77777777" w:rsidR="00AA5550" w:rsidRDefault="00045FF4">
      <w:pPr>
        <w:pStyle w:val="Ttulo2"/>
        <w:numPr>
          <w:ilvl w:val="2"/>
          <w:numId w:val="23"/>
        </w:numPr>
        <w:rPr>
          <w:rFonts w:ascii="Century Gothic" w:eastAsia="Century Gothic" w:hAnsi="Century Gothic" w:cs="Century Gothic"/>
          <w:b/>
          <w:sz w:val="22"/>
          <w:szCs w:val="22"/>
        </w:rPr>
      </w:pPr>
      <w:bookmarkStart w:id="35" w:name="_heading=h.71c4c9qdfmrn" w:colFirst="0" w:colLast="0"/>
      <w:bookmarkEnd w:id="35"/>
      <w:r>
        <w:rPr>
          <w:rFonts w:ascii="Century Gothic" w:eastAsia="Century Gothic" w:hAnsi="Century Gothic" w:cs="Century Gothic"/>
          <w:b/>
          <w:sz w:val="22"/>
          <w:szCs w:val="22"/>
        </w:rPr>
        <w:t>Artículo 93. Bloque de constitucionalidad</w:t>
      </w:r>
    </w:p>
    <w:p w14:paraId="7590CD10"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Este artículo eleva al mismo rango constitucional los tratados internacionales de derechos humanos ratificados por Colombia. En ese sentido, esta ley encuentra fundamento </w:t>
      </w:r>
      <w:r>
        <w:rPr>
          <w:rFonts w:ascii="Century Gothic" w:eastAsia="Century Gothic" w:hAnsi="Century Gothic" w:cs="Century Gothic"/>
        </w:rPr>
        <w:t>en instrumentos como la CEDAW, la Convención sobre los Derechos del Niño, la Convención de Belém do Pará, entre otros, que obligan al Estado a adoptar medidas legislativas eficaces para prevenir la violencia contra mujeres y niños, garantizar su desarrollo</w:t>
      </w:r>
      <w:r>
        <w:rPr>
          <w:rFonts w:ascii="Century Gothic" w:eastAsia="Century Gothic" w:hAnsi="Century Gothic" w:cs="Century Gothic"/>
        </w:rPr>
        <w:t xml:space="preserve"> integral y asegurar su participación activa en la transformación de entornos sociales</w:t>
      </w:r>
      <w:r>
        <w:rPr>
          <w:rFonts w:ascii="Century Gothic" w:eastAsia="Century Gothic" w:hAnsi="Century Gothic" w:cs="Century Gothic"/>
          <w:vertAlign w:val="superscript"/>
        </w:rPr>
        <w:footnoteReference w:id="21"/>
      </w:r>
      <w:r>
        <w:rPr>
          <w:rFonts w:ascii="Century Gothic" w:eastAsia="Century Gothic" w:hAnsi="Century Gothic" w:cs="Century Gothic"/>
        </w:rPr>
        <w:t>. Su aplicación en este caso es directa y vinculante.</w:t>
      </w:r>
    </w:p>
    <w:p w14:paraId="4F17D9B2"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El desarrollo normativo expuesto evidencia que el presente proyecto de ley no solo es compatible con la Constituci</w:t>
      </w:r>
      <w:r>
        <w:rPr>
          <w:rFonts w:ascii="Century Gothic" w:eastAsia="Century Gothic" w:hAnsi="Century Gothic" w:cs="Century Gothic"/>
        </w:rPr>
        <w:t>ón Política de 1991, sino que constituye una instrumentalización legítima, necesaria y urgente de sus mandatos sustanciales, especialmente aquellos relacionados con la protección reforzada de sujetos históricamente vulnerados, como las mujeres y la niñez.</w:t>
      </w:r>
    </w:p>
    <w:p w14:paraId="6107574E"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 intervención legislativa propuesta se ajusta plenamente al modelo de Estado Social de Derecho, al materializar principios rectores como la dignidad humana (art. 1), la igualdad sustancial (art. 13), la prevalencia de los derechos de la niñez (art. 44) y</w:t>
      </w:r>
      <w:r>
        <w:rPr>
          <w:rFonts w:ascii="Century Gothic" w:eastAsia="Century Gothic" w:hAnsi="Century Gothic" w:cs="Century Gothic"/>
        </w:rPr>
        <w:t xml:space="preserve"> el derecho a vivir una vida libre de violencias (arts. 11 y 12). Asimismo, responde a </w:t>
      </w:r>
      <w:r>
        <w:rPr>
          <w:rFonts w:ascii="Century Gothic" w:eastAsia="Century Gothic" w:hAnsi="Century Gothic" w:cs="Century Gothic"/>
        </w:rPr>
        <w:lastRenderedPageBreak/>
        <w:t>la función esencial del Estado de garantizar los derechos, la convivencia y la protección integral (art. 2), mediante un enfoque que privilegia la prevención, la corresp</w:t>
      </w:r>
      <w:r>
        <w:rPr>
          <w:rFonts w:ascii="Century Gothic" w:eastAsia="Century Gothic" w:hAnsi="Century Gothic" w:cs="Century Gothic"/>
        </w:rPr>
        <w:t>onsabilidad interinstitucional y la intervención articulada sobre los factores estructurales de riesgo.</w:t>
      </w:r>
    </w:p>
    <w:p w14:paraId="71AD3CC6" w14:textId="77777777" w:rsidR="00AA5550" w:rsidRDefault="00045FF4">
      <w:pPr>
        <w:pStyle w:val="Ttulo2"/>
        <w:numPr>
          <w:ilvl w:val="2"/>
          <w:numId w:val="23"/>
        </w:numPr>
        <w:rPr>
          <w:rFonts w:ascii="Century Gothic" w:eastAsia="Century Gothic" w:hAnsi="Century Gothic" w:cs="Century Gothic"/>
          <w:b/>
          <w:sz w:val="22"/>
          <w:szCs w:val="22"/>
        </w:rPr>
      </w:pPr>
      <w:bookmarkStart w:id="36" w:name="_heading=h.3x8cw5pxhzxo" w:colFirst="0" w:colLast="0"/>
      <w:bookmarkEnd w:id="36"/>
      <w:r>
        <w:rPr>
          <w:rFonts w:ascii="Century Gothic" w:eastAsia="Century Gothic" w:hAnsi="Century Gothic" w:cs="Century Gothic"/>
          <w:b/>
          <w:sz w:val="22"/>
          <w:szCs w:val="22"/>
        </w:rPr>
        <w:t>Artículo 365. Servicios públicos esenciales</w:t>
      </w:r>
    </w:p>
    <w:p w14:paraId="1E017849"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El artículo establece que los servicios públicos son inherentes a la finalidad social del Estado, y que su p</w:t>
      </w:r>
      <w:r>
        <w:rPr>
          <w:rFonts w:ascii="Century Gothic" w:eastAsia="Century Gothic" w:hAnsi="Century Gothic" w:cs="Century Gothic"/>
        </w:rPr>
        <w:t>restación debe estar sujeta a principios de eficiencia, continuidad y universalidad. Esto incluye no solo servicios como agua o energía, sino también la seguridad pública, la iluminación urbana y otros elementos estructurales de convivencia segura. Este pr</w:t>
      </w:r>
      <w:r>
        <w:rPr>
          <w:rFonts w:ascii="Century Gothic" w:eastAsia="Century Gothic" w:hAnsi="Century Gothic" w:cs="Century Gothic"/>
        </w:rPr>
        <w:t>oyecto de ley promueve la intervención coordinada del Estado para garantizar dichos servicios en zonas vulnerables, reconociendo que su ausencia profundiza los riesgos para mujeres y niñez</w:t>
      </w:r>
    </w:p>
    <w:p w14:paraId="397041D7"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Este proyecto no introduce normas extrañas al ordenamiento jurídico</w:t>
      </w:r>
      <w:r>
        <w:rPr>
          <w:rFonts w:ascii="Century Gothic" w:eastAsia="Century Gothic" w:hAnsi="Century Gothic" w:cs="Century Gothic"/>
        </w:rPr>
        <w:t>, sino que profundiza los compromisos constitucionales ya adquiridos por el Estado colombiano, tanto en el plano interno como en el internacional (art. 93). En particular, da aplicación efectiva a la jurisprudencia constitucional que ha exigido la adopción</w:t>
      </w:r>
      <w:r>
        <w:rPr>
          <w:rFonts w:ascii="Century Gothic" w:eastAsia="Century Gothic" w:hAnsi="Century Gothic" w:cs="Century Gothic"/>
        </w:rPr>
        <w:t xml:space="preserve"> de marcos legislativos diferenciados y sostenibles para atender la violencia basada en género, la violencia intrafamiliar y la exclusión territorial como formas graves de vulneración de derechos humanos.</w:t>
      </w:r>
    </w:p>
    <w:p w14:paraId="229AAD39"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En conclusión, el contenido normativo de esta inici</w:t>
      </w:r>
      <w:r>
        <w:rPr>
          <w:rFonts w:ascii="Century Gothic" w:eastAsia="Century Gothic" w:hAnsi="Century Gothic" w:cs="Century Gothic"/>
        </w:rPr>
        <w:t>ativa constituye una expresión legítima de la función de desarrollo progresivo de los derechos fundamentales por parte del legislador, así como un mecanismo constitucionalmente válido para superar la dispersión, descoordinación e ineficiencia del marco jur</w:t>
      </w:r>
      <w:r>
        <w:rPr>
          <w:rFonts w:ascii="Century Gothic" w:eastAsia="Century Gothic" w:hAnsi="Century Gothic" w:cs="Century Gothic"/>
        </w:rPr>
        <w:t>ídico existente en materia de entornos seguros para mujeres y niñez. Su aprobación y ejecución permitirán avanzar hacia la realización plena del mandato constitucional de justicia material, equidad territorial y dignidad para todos y todas.</w:t>
      </w:r>
    </w:p>
    <w:p w14:paraId="22F42E90" w14:textId="77777777" w:rsidR="00AA5550" w:rsidRDefault="00045FF4">
      <w:pPr>
        <w:pStyle w:val="Ttulo1"/>
        <w:numPr>
          <w:ilvl w:val="0"/>
          <w:numId w:val="23"/>
        </w:numPr>
        <w:jc w:val="center"/>
        <w:rPr>
          <w:rFonts w:ascii="Century Gothic" w:eastAsia="Century Gothic" w:hAnsi="Century Gothic" w:cs="Century Gothic"/>
          <w:b/>
          <w:sz w:val="22"/>
          <w:szCs w:val="22"/>
        </w:rPr>
      </w:pPr>
      <w:bookmarkStart w:id="37" w:name="_heading=h.85jpw4tpwscu" w:colFirst="0" w:colLast="0"/>
      <w:bookmarkEnd w:id="37"/>
      <w:r>
        <w:rPr>
          <w:rFonts w:ascii="Century Gothic" w:eastAsia="Century Gothic" w:hAnsi="Century Gothic" w:cs="Century Gothic"/>
          <w:b/>
          <w:sz w:val="22"/>
          <w:szCs w:val="22"/>
        </w:rPr>
        <w:t>JURISPRUDENCIA</w:t>
      </w:r>
    </w:p>
    <w:p w14:paraId="0CAB0F66"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En concordancia con la alta corte, y en cumplimiento de sus providencias se analiza las sentencias fundamentales que son sustento y motivación para realizar el presente proyecto de ley en beneficio de las mujeres y niñez de nuestro territorio nacional: </w:t>
      </w:r>
    </w:p>
    <w:p w14:paraId="197A81AA" w14:textId="77777777" w:rsidR="00AA5550" w:rsidRDefault="00045FF4">
      <w:pPr>
        <w:pStyle w:val="Ttulo2"/>
        <w:numPr>
          <w:ilvl w:val="1"/>
          <w:numId w:val="23"/>
        </w:numPr>
        <w:rPr>
          <w:rFonts w:ascii="Century Gothic" w:eastAsia="Century Gothic" w:hAnsi="Century Gothic" w:cs="Century Gothic"/>
          <w:b/>
          <w:sz w:val="22"/>
          <w:szCs w:val="22"/>
        </w:rPr>
      </w:pPr>
      <w:bookmarkStart w:id="38" w:name="_heading=h.q3ia71mm3sb1" w:colFirst="0" w:colLast="0"/>
      <w:bookmarkEnd w:id="38"/>
      <w:r>
        <w:rPr>
          <w:rFonts w:ascii="Century Gothic" w:eastAsia="Century Gothic" w:hAnsi="Century Gothic" w:cs="Century Gothic"/>
          <w:b/>
          <w:sz w:val="22"/>
          <w:szCs w:val="22"/>
        </w:rPr>
        <w:lastRenderedPageBreak/>
        <w:t>Se</w:t>
      </w:r>
      <w:r>
        <w:rPr>
          <w:rFonts w:ascii="Century Gothic" w:eastAsia="Century Gothic" w:hAnsi="Century Gothic" w:cs="Century Gothic"/>
          <w:b/>
          <w:sz w:val="22"/>
          <w:szCs w:val="22"/>
        </w:rPr>
        <w:t>ntencia T-104 de 2025</w:t>
      </w:r>
      <w:r>
        <w:rPr>
          <w:rFonts w:ascii="Century Gothic" w:eastAsia="Century Gothic" w:hAnsi="Century Gothic" w:cs="Century Gothic"/>
          <w:b/>
          <w:sz w:val="22"/>
          <w:szCs w:val="22"/>
          <w:vertAlign w:val="superscript"/>
        </w:rPr>
        <w:footnoteReference w:id="22"/>
      </w:r>
    </w:p>
    <w:p w14:paraId="0BCD26C9"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 Sentencia T-104 de 2025 de la Corte Constitucional marca un avance significativo en la jurisprudencia sobre la obligación del Estado de implementar efectivas para erradicar la violencia contra las mujeres. La Corte examina una ac</w:t>
      </w:r>
      <w:r>
        <w:rPr>
          <w:rFonts w:ascii="Century Gothic" w:eastAsia="Century Gothic" w:hAnsi="Century Gothic" w:cs="Century Gothic"/>
        </w:rPr>
        <w:t>ción de tutela que denunciaba la falta de campañas públicas sostenidas para prevenir la violencia de género en áreas de alto riesgo, concluyendo que esta omisión vulneraba derechos fundamentales como la vida libre de violencia y la dignidad humana.</w:t>
      </w:r>
    </w:p>
    <w:p w14:paraId="5855A032"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 deci</w:t>
      </w:r>
      <w:r>
        <w:rPr>
          <w:rFonts w:ascii="Century Gothic" w:eastAsia="Century Gothic" w:hAnsi="Century Gothic" w:cs="Century Gothic"/>
        </w:rPr>
        <w:t>sión ordenó al Gobierno Nacional diseñar y ejecutar campañas pedagógicas interinstitucionales y territorialmente diferenciadas, con enfoques de género y derechos humanos, orientadas a la prevención y transformación cultural de los patrones que perpetúan la</w:t>
      </w:r>
      <w:r>
        <w:rPr>
          <w:rFonts w:ascii="Century Gothic" w:eastAsia="Century Gothic" w:hAnsi="Century Gothic" w:cs="Century Gothic"/>
        </w:rPr>
        <w:t xml:space="preserve"> violencia. Además, se enfatizó la necesidad de articular estas estrategias con autoridades locales y organizaciones sociales para garantizar su sostenibilidad.</w:t>
      </w:r>
    </w:p>
    <w:p w14:paraId="67EF7A53"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Este pronunciamiento refuerza los pilares del proyecto de ley en curso, destacando la correspon</w:t>
      </w:r>
      <w:r>
        <w:rPr>
          <w:rFonts w:ascii="Century Gothic" w:eastAsia="Century Gothic" w:hAnsi="Century Gothic" w:cs="Century Gothic"/>
        </w:rPr>
        <w:t>sabilidad territorial, la participación comunitaria y la necesidad de intervenciones sostenibles. La Corte subraya que la prevención no debe limitarse a aisladas, sino que debe integrarse en marcos normativos acciones que promuevan la acción coordinada del</w:t>
      </w:r>
      <w:r>
        <w:rPr>
          <w:rFonts w:ascii="Century Gothic" w:eastAsia="Century Gothic" w:hAnsi="Century Gothic" w:cs="Century Gothic"/>
        </w:rPr>
        <w:t xml:space="preserve"> Estado y la evaluación continua de su impacto.</w:t>
      </w:r>
    </w:p>
    <w:p w14:paraId="6934AC06"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 perspectiva de la Corte se alinea con el objetivo de la "Ley de Entornos Seguros para Mujeres y Niñez", que busca establecer condiciones estructurales para prevenir la violencia y garantizar la seguridad d</w:t>
      </w:r>
      <w:r>
        <w:rPr>
          <w:rFonts w:ascii="Century Gothic" w:eastAsia="Century Gothic" w:hAnsi="Century Gothic" w:cs="Century Gothic"/>
        </w:rPr>
        <w:t>e mujeres y niños. En resumen, la sentencia refuerza la necesidad de un enfoque integral y sostenido en la lucha contra la violencia de género, esta perspectiva se encuentra plenamente alineada con el objetivo central de la “Ley de Entornos Seguros para Mu</w:t>
      </w:r>
      <w:r>
        <w:rPr>
          <w:rFonts w:ascii="Century Gothic" w:eastAsia="Century Gothic" w:hAnsi="Century Gothic" w:cs="Century Gothic"/>
        </w:rPr>
        <w:t>jeres y Niñez”.</w:t>
      </w:r>
    </w:p>
    <w:p w14:paraId="24B85546" w14:textId="77777777" w:rsidR="00AA5550" w:rsidRDefault="00045FF4">
      <w:pPr>
        <w:pStyle w:val="Ttulo2"/>
        <w:numPr>
          <w:ilvl w:val="1"/>
          <w:numId w:val="23"/>
        </w:numPr>
        <w:rPr>
          <w:rFonts w:ascii="Century Gothic" w:eastAsia="Century Gothic" w:hAnsi="Century Gothic" w:cs="Century Gothic"/>
          <w:b/>
          <w:sz w:val="22"/>
          <w:szCs w:val="22"/>
        </w:rPr>
      </w:pPr>
      <w:bookmarkStart w:id="39" w:name="_heading=h.hw5mn8hqa6hh" w:colFirst="0" w:colLast="0"/>
      <w:bookmarkEnd w:id="39"/>
      <w:r>
        <w:rPr>
          <w:rFonts w:ascii="Century Gothic" w:eastAsia="Century Gothic" w:hAnsi="Century Gothic" w:cs="Century Gothic"/>
          <w:b/>
          <w:sz w:val="22"/>
          <w:szCs w:val="22"/>
        </w:rPr>
        <w:t>Sentencia SU 047 de 2019</w:t>
      </w:r>
      <w:r>
        <w:rPr>
          <w:rFonts w:ascii="Century Gothic" w:eastAsia="Century Gothic" w:hAnsi="Century Gothic" w:cs="Century Gothic"/>
          <w:b/>
          <w:sz w:val="22"/>
          <w:szCs w:val="22"/>
          <w:vertAlign w:val="superscript"/>
        </w:rPr>
        <w:footnoteReference w:id="23"/>
      </w:r>
    </w:p>
    <w:p w14:paraId="4EAC11E8" w14:textId="77777777" w:rsidR="00AA5550" w:rsidRDefault="00045FF4">
      <w:pPr>
        <w:spacing w:after="240"/>
        <w:jc w:val="both"/>
        <w:rPr>
          <w:rFonts w:ascii="Century Gothic" w:eastAsia="Century Gothic" w:hAnsi="Century Gothic" w:cs="Century Gothic"/>
        </w:rPr>
      </w:pPr>
      <w:r>
        <w:rPr>
          <w:rFonts w:ascii="Century Gothic" w:eastAsia="Century Gothic" w:hAnsi="Century Gothic" w:cs="Century Gothic"/>
        </w:rPr>
        <w:t>La Sentencia SU 047 de 2019 es un hito en la jurisprudencia sobre la protección de niños, niñas y adolescentes en contextos de violencia, pobreza y desplazamiento forzado. La Corte Constitucional reafirmó que el interés superior del niño es un principio qu</w:t>
      </w:r>
      <w:r>
        <w:rPr>
          <w:rFonts w:ascii="Century Gothic" w:eastAsia="Century Gothic" w:hAnsi="Century Gothic" w:cs="Century Gothic"/>
        </w:rPr>
        <w:t>e debe guiar todas las decisiones estatales, especialmente para aquellos en situación de vulnerabilidad. La Corte analizó casos de menores víctimas de violencia sexual, falta de acceso a educación y salud, y desplazamiento, destacando que:</w:t>
      </w:r>
    </w:p>
    <w:p w14:paraId="3A37C2F4" w14:textId="77777777" w:rsidR="00AA5550" w:rsidRDefault="00045FF4">
      <w:pPr>
        <w:numPr>
          <w:ilvl w:val="0"/>
          <w:numId w:val="25"/>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Los niños y niña</w:t>
      </w:r>
      <w:r>
        <w:rPr>
          <w:rFonts w:ascii="Century Gothic" w:eastAsia="Century Gothic" w:hAnsi="Century Gothic" w:cs="Century Gothic"/>
          <w:color w:val="000000"/>
        </w:rPr>
        <w:t>s son titulares de derechos prevalentes, lo que exige al Estado adoptar medidas urgentes y sostenibles para su protección.</w:t>
      </w:r>
    </w:p>
    <w:p w14:paraId="083EE409" w14:textId="77777777" w:rsidR="00AA5550" w:rsidRDefault="00045FF4">
      <w:pPr>
        <w:numPr>
          <w:ilvl w:val="0"/>
          <w:numId w:val="25"/>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El principio de prioridad absoluta implica que las acciones estatales deben ser preferentes, con adecuada asignación de recursos y co</w:t>
      </w:r>
      <w:r>
        <w:rPr>
          <w:rFonts w:ascii="Century Gothic" w:eastAsia="Century Gothic" w:hAnsi="Century Gothic" w:cs="Century Gothic"/>
          <w:color w:val="000000"/>
        </w:rPr>
        <w:t>ntinuidad.</w:t>
      </w:r>
    </w:p>
    <w:p w14:paraId="6FBED521" w14:textId="77777777" w:rsidR="00AA5550" w:rsidRDefault="00045FF4">
      <w:pPr>
        <w:numPr>
          <w:ilvl w:val="0"/>
          <w:numId w:val="25"/>
        </w:numPr>
        <w:pBdr>
          <w:top w:val="nil"/>
          <w:left w:val="nil"/>
          <w:bottom w:val="nil"/>
          <w:right w:val="nil"/>
          <w:between w:val="nil"/>
        </w:pBdr>
        <w:spacing w:after="240"/>
        <w:jc w:val="both"/>
        <w:rPr>
          <w:rFonts w:ascii="Century Gothic" w:eastAsia="Century Gothic" w:hAnsi="Century Gothic" w:cs="Century Gothic"/>
          <w:color w:val="000000"/>
        </w:rPr>
      </w:pPr>
      <w:r>
        <w:rPr>
          <w:rFonts w:ascii="Century Gothic" w:eastAsia="Century Gothic" w:hAnsi="Century Gothic" w:cs="Century Gothic"/>
          <w:color w:val="000000"/>
        </w:rPr>
        <w:t>La falta de medidas estructurales por parte del Estado es una omisión inconstitucional que perpetúa la vulnerabilidad.</w:t>
      </w:r>
    </w:p>
    <w:p w14:paraId="0703451C" w14:textId="77777777" w:rsidR="00AA5550" w:rsidRDefault="00045FF4">
      <w:pPr>
        <w:spacing w:after="240"/>
        <w:jc w:val="both"/>
        <w:rPr>
          <w:rFonts w:ascii="Century Gothic" w:eastAsia="Century Gothic" w:hAnsi="Century Gothic" w:cs="Century Gothic"/>
        </w:rPr>
      </w:pPr>
      <w:r>
        <w:rPr>
          <w:rFonts w:ascii="Century Gothic" w:eastAsia="Century Gothic" w:hAnsi="Century Gothic" w:cs="Century Gothic"/>
        </w:rPr>
        <w:t>Este pronunciamiento es relevante para el Proyecto de Ley de Entornos Seguros para Mujeres y Niñez, ya que:</w:t>
      </w:r>
    </w:p>
    <w:p w14:paraId="237EE8DD" w14:textId="77777777" w:rsidR="00AA5550" w:rsidRDefault="00045FF4">
      <w:pPr>
        <w:numPr>
          <w:ilvl w:val="0"/>
          <w:numId w:val="24"/>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Avala la creación </w:t>
      </w:r>
      <w:r>
        <w:rPr>
          <w:rFonts w:ascii="Century Gothic" w:eastAsia="Century Gothic" w:hAnsi="Century Gothic" w:cs="Century Gothic"/>
          <w:color w:val="000000"/>
        </w:rPr>
        <w:t>de una ley especial para abordar las omisiones en la política pública hacia la niñez en riesgo.</w:t>
      </w:r>
    </w:p>
    <w:p w14:paraId="56B827C5" w14:textId="77777777" w:rsidR="00AA5550" w:rsidRDefault="00045FF4">
      <w:pPr>
        <w:numPr>
          <w:ilvl w:val="0"/>
          <w:numId w:val="24"/>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Sustenta el enfoque del proyecto en el interés superior del niño, que es un principio constitucional y parte del bloque de constitucionalidad.</w:t>
      </w:r>
    </w:p>
    <w:p w14:paraId="71DAA753" w14:textId="77777777" w:rsidR="00AA5550" w:rsidRDefault="00045FF4">
      <w:pPr>
        <w:numPr>
          <w:ilvl w:val="0"/>
          <w:numId w:val="24"/>
        </w:numPr>
        <w:pBdr>
          <w:top w:val="nil"/>
          <w:left w:val="nil"/>
          <w:bottom w:val="nil"/>
          <w:right w:val="nil"/>
          <w:between w:val="nil"/>
        </w:pBdr>
        <w:spacing w:after="240"/>
        <w:jc w:val="both"/>
        <w:rPr>
          <w:rFonts w:ascii="Century Gothic" w:eastAsia="Century Gothic" w:hAnsi="Century Gothic" w:cs="Century Gothic"/>
          <w:color w:val="000000"/>
        </w:rPr>
      </w:pPr>
      <w:r>
        <w:rPr>
          <w:rFonts w:ascii="Century Gothic" w:eastAsia="Century Gothic" w:hAnsi="Century Gothic" w:cs="Century Gothic"/>
          <w:color w:val="000000"/>
        </w:rPr>
        <w:t>Refuerza la necesidad de acciones territoriales sostenidas y coordinadas para generar entornos seguros desde la primera infancia.</w:t>
      </w:r>
    </w:p>
    <w:p w14:paraId="6C521788" w14:textId="77777777" w:rsidR="00AA5550" w:rsidRDefault="00045FF4">
      <w:pPr>
        <w:spacing w:after="240"/>
        <w:jc w:val="both"/>
        <w:rPr>
          <w:rFonts w:ascii="Century Gothic" w:eastAsia="Century Gothic" w:hAnsi="Century Gothic" w:cs="Century Gothic"/>
        </w:rPr>
      </w:pPr>
      <w:r>
        <w:rPr>
          <w:rFonts w:ascii="Century Gothic" w:eastAsia="Century Gothic" w:hAnsi="Century Gothic" w:cs="Century Gothic"/>
        </w:rPr>
        <w:t>La Corte advirtió que la falta de respuestas institucionales efectivas perpetúa un ciclo de violencia y exclusión, justificand</w:t>
      </w:r>
      <w:r>
        <w:rPr>
          <w:rFonts w:ascii="Century Gothic" w:eastAsia="Century Gothic" w:hAnsi="Century Gothic" w:cs="Century Gothic"/>
        </w:rPr>
        <w:t>o la intervención legislativa para llenar estos vacíos.</w:t>
      </w:r>
    </w:p>
    <w:p w14:paraId="245DAA54" w14:textId="77777777" w:rsidR="00AA5550" w:rsidRDefault="00045FF4">
      <w:pPr>
        <w:pStyle w:val="Ttulo2"/>
        <w:numPr>
          <w:ilvl w:val="1"/>
          <w:numId w:val="23"/>
        </w:numPr>
        <w:rPr>
          <w:rFonts w:ascii="Century Gothic" w:eastAsia="Century Gothic" w:hAnsi="Century Gothic" w:cs="Century Gothic"/>
          <w:b/>
          <w:sz w:val="22"/>
          <w:szCs w:val="22"/>
        </w:rPr>
      </w:pPr>
      <w:bookmarkStart w:id="40" w:name="_heading=h.ooadwdhd72gi" w:colFirst="0" w:colLast="0"/>
      <w:bookmarkEnd w:id="40"/>
      <w:r>
        <w:rPr>
          <w:rFonts w:ascii="Century Gothic" w:eastAsia="Century Gothic" w:hAnsi="Century Gothic" w:cs="Century Gothic"/>
          <w:b/>
          <w:sz w:val="22"/>
          <w:szCs w:val="22"/>
        </w:rPr>
        <w:t>Sentencia T-045 de 2010</w:t>
      </w:r>
      <w:r>
        <w:rPr>
          <w:rFonts w:ascii="Century Gothic" w:eastAsia="Century Gothic" w:hAnsi="Century Gothic" w:cs="Century Gothic"/>
          <w:b/>
          <w:sz w:val="22"/>
          <w:szCs w:val="22"/>
          <w:vertAlign w:val="superscript"/>
        </w:rPr>
        <w:footnoteReference w:id="24"/>
      </w:r>
    </w:p>
    <w:p w14:paraId="385C1DFA"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 Sentencia T-045 de 2010 de la Corte Constitucional es fundamental para entender la intersección entre violencia estructural, género y vulnerabilidad territorial, especialm</w:t>
      </w:r>
      <w:r>
        <w:rPr>
          <w:rFonts w:ascii="Century Gothic" w:eastAsia="Century Gothic" w:hAnsi="Century Gothic" w:cs="Century Gothic"/>
        </w:rPr>
        <w:t>ente en el contexto de la población desplazada. La Corte analizó la situación de las mujeres desplazadas, concluyendo que enfrentan una doble y triple victimización debido al conflicto armado ya patrones de discriminación de género. Estas mujeres no solo p</w:t>
      </w:r>
      <w:r>
        <w:rPr>
          <w:rFonts w:ascii="Century Gothic" w:eastAsia="Century Gothic" w:hAnsi="Century Gothic" w:cs="Century Gothic"/>
        </w:rPr>
        <w:t>ierden su entorno y redes familiares, sino que también son sistemáticamente expuestas a violencias físicas, sexuales, psicológicas y económicas.</w:t>
      </w:r>
    </w:p>
    <w:p w14:paraId="40F6C1E8"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La Corte identificó esta realidad como una manifestación de violencia estructural de género, a menudo ignorada </w:t>
      </w:r>
      <w:r>
        <w:rPr>
          <w:rFonts w:ascii="Century Gothic" w:eastAsia="Century Gothic" w:hAnsi="Century Gothic" w:cs="Century Gothic"/>
        </w:rPr>
        <w:t>en las respuestas estatales. Por ello, ordenó al Gobierno Nacional diseñar rutas institucionales diferenciadas que atiendan las necesidades específicas de las mujeres desplazadas, respetando su vulnerabilidad y autonomía. Se exigió una respuesta institucio</w:t>
      </w:r>
      <w:r>
        <w:rPr>
          <w:rFonts w:ascii="Century Gothic" w:eastAsia="Century Gothic" w:hAnsi="Century Gothic" w:cs="Century Gothic"/>
        </w:rPr>
        <w:t>nal articulada a nivel nacional, departamental y municipal, involucrando a la sociedad civil en soluciones integrales y culturalmente apropiadas.</w:t>
      </w:r>
    </w:p>
    <w:p w14:paraId="5579C310"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Este fallo respalda el enfoque normativo del Proyecto de Ley de Entornos Seguros para Mujeres y Niñez, subraya</w:t>
      </w:r>
      <w:r>
        <w:rPr>
          <w:rFonts w:ascii="Century Gothic" w:eastAsia="Century Gothic" w:hAnsi="Century Gothic" w:cs="Century Gothic"/>
        </w:rPr>
        <w:t xml:space="preserve">ndo la necesidad de que el Estado implemente </w:t>
      </w:r>
      <w:r>
        <w:rPr>
          <w:rFonts w:ascii="Century Gothic" w:eastAsia="Century Gothic" w:hAnsi="Century Gothic" w:cs="Century Gothic"/>
        </w:rPr>
        <w:lastRenderedPageBreak/>
        <w:t>medidas estructurales y sostenibles contra la violencia de género en contextos vulnerables. También enfatiza la importancia de territorializar la acción institucional con una perspectiva interseccional y partici</w:t>
      </w:r>
      <w:r>
        <w:rPr>
          <w:rFonts w:ascii="Century Gothic" w:eastAsia="Century Gothic" w:hAnsi="Century Gothic" w:cs="Century Gothic"/>
        </w:rPr>
        <w:t>pativa, y de construir un marco normativo unificado que integre principios y responsabilidades en todos los niveles de gobierno. En resumen, la Sentencia T-045 reafirma la legitimidad constitucional del proyecto y proporciona criterios interpretativos esen</w:t>
      </w:r>
      <w:r>
        <w:rPr>
          <w:rFonts w:ascii="Century Gothic" w:eastAsia="Century Gothic" w:hAnsi="Century Gothic" w:cs="Century Gothic"/>
        </w:rPr>
        <w:t>ciales para su implementación, alineándose con varios artículos de la Constitución.</w:t>
      </w:r>
    </w:p>
    <w:p w14:paraId="3B3D183A"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Así, el contenido de la Sentencia T</w:t>
      </w:r>
      <w:r>
        <w:rPr>
          <w:rFonts w:ascii="Cambria Math" w:eastAsia="Cambria Math" w:hAnsi="Cambria Math" w:cs="Cambria Math"/>
        </w:rPr>
        <w:t>‑</w:t>
      </w:r>
      <w:r>
        <w:rPr>
          <w:rFonts w:ascii="Century Gothic" w:eastAsia="Century Gothic" w:hAnsi="Century Gothic" w:cs="Century Gothic"/>
        </w:rPr>
        <w:t>045 de 2010 reafirma la legitimidad constitucional del proyecto y proporciona criterios de interpretación obligatorios para su implement</w:t>
      </w:r>
      <w:r>
        <w:rPr>
          <w:rFonts w:ascii="Century Gothic" w:eastAsia="Century Gothic" w:hAnsi="Century Gothic" w:cs="Century Gothic"/>
        </w:rPr>
        <w:t>ación, en tanto desarrolla de forma concreta los artículos 1, 2, 5, 13, 42, 44 y 93 de la Constitución, en armonía con el bloque de constitucionalidad.</w:t>
      </w:r>
    </w:p>
    <w:p w14:paraId="31D733A0" w14:textId="77777777" w:rsidR="00AA5550" w:rsidRDefault="00045FF4">
      <w:pPr>
        <w:pStyle w:val="Ttulo2"/>
        <w:numPr>
          <w:ilvl w:val="1"/>
          <w:numId w:val="23"/>
        </w:numPr>
        <w:rPr>
          <w:rFonts w:ascii="Century Gothic" w:eastAsia="Century Gothic" w:hAnsi="Century Gothic" w:cs="Century Gothic"/>
          <w:b/>
          <w:sz w:val="22"/>
          <w:szCs w:val="22"/>
        </w:rPr>
      </w:pPr>
      <w:bookmarkStart w:id="41" w:name="_heading=h.hfez43rckmdn" w:colFirst="0" w:colLast="0"/>
      <w:bookmarkEnd w:id="41"/>
      <w:r>
        <w:rPr>
          <w:rFonts w:ascii="Century Gothic" w:eastAsia="Century Gothic" w:hAnsi="Century Gothic" w:cs="Century Gothic"/>
          <w:b/>
          <w:sz w:val="22"/>
          <w:szCs w:val="22"/>
        </w:rPr>
        <w:t>Sentencia C</w:t>
      </w:r>
      <w:r>
        <w:rPr>
          <w:rFonts w:ascii="Cambria Math" w:eastAsia="Cambria Math" w:hAnsi="Cambria Math" w:cs="Cambria Math"/>
          <w:b/>
          <w:sz w:val="22"/>
          <w:szCs w:val="22"/>
        </w:rPr>
        <w:t>‑</w:t>
      </w:r>
      <w:r>
        <w:rPr>
          <w:rFonts w:ascii="Century Gothic" w:eastAsia="Century Gothic" w:hAnsi="Century Gothic" w:cs="Century Gothic"/>
          <w:b/>
          <w:sz w:val="22"/>
          <w:szCs w:val="22"/>
        </w:rPr>
        <w:t>408 de 2009</w:t>
      </w:r>
      <w:r>
        <w:rPr>
          <w:rFonts w:ascii="Century Gothic" w:eastAsia="Century Gothic" w:hAnsi="Century Gothic" w:cs="Century Gothic"/>
          <w:b/>
          <w:sz w:val="22"/>
          <w:szCs w:val="22"/>
          <w:vertAlign w:val="superscript"/>
        </w:rPr>
        <w:footnoteReference w:id="25"/>
      </w:r>
    </w:p>
    <w:p w14:paraId="27E450B3"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La Sentencia C-408 de 2009 es un hito en el desarrollo del principio de igualdad sustantiva y la protección de los derechos de las mujeres en Colombia. La Corte Constitucional analizó la constitucionalidad de disposiciones del Código Penal que invisibiliza</w:t>
      </w:r>
      <w:r>
        <w:rPr>
          <w:rFonts w:ascii="Century Gothic" w:eastAsia="Century Gothic" w:hAnsi="Century Gothic" w:cs="Century Gothic"/>
        </w:rPr>
        <w:t>ban la violencia de género y sus impactos en las mujeres, declarando su inconstitucionalidad por omisión normativa. La Corte argumentó que la protección formal de la igualdad es insuficiente ante la discriminación histórica que enfrentan las mujeres en ent</w:t>
      </w:r>
      <w:r>
        <w:rPr>
          <w:rFonts w:ascii="Century Gothic" w:eastAsia="Century Gothic" w:hAnsi="Century Gothic" w:cs="Century Gothic"/>
        </w:rPr>
        <w:t>ornos inseguros y violentos.</w:t>
      </w:r>
    </w:p>
    <w:p w14:paraId="7CF8B91E"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La sentencia reafirmó la obligación del Estado de adoptar medidas legislativas específicas y vinculantes para erradicar las causas estructurales de la violencia de género, calculadas en la Constitución y en compromisos internac</w:t>
      </w:r>
      <w:r>
        <w:rPr>
          <w:rFonts w:ascii="Century Gothic" w:eastAsia="Century Gothic" w:hAnsi="Century Gothic" w:cs="Century Gothic"/>
        </w:rPr>
        <w:t>ionales como la CEDAW y la Convención de Belém do Pará. Este precedente es crucial para el Proyecto de Ley de Entornos Seguros para Mujeres y Niñez, ya que:</w:t>
      </w:r>
    </w:p>
    <w:p w14:paraId="6CE2A8C9" w14:textId="77777777" w:rsidR="00AA5550" w:rsidRDefault="00045FF4">
      <w:pPr>
        <w:numPr>
          <w:ilvl w:val="0"/>
          <w:numId w:val="37"/>
        </w:numPr>
        <w:jc w:val="both"/>
        <w:rPr>
          <w:rFonts w:ascii="Century Gothic" w:eastAsia="Century Gothic" w:hAnsi="Century Gothic" w:cs="Century Gothic"/>
        </w:rPr>
      </w:pPr>
      <w:r>
        <w:rPr>
          <w:rFonts w:ascii="Century Gothic" w:eastAsia="Century Gothic" w:hAnsi="Century Gothic" w:cs="Century Gothic"/>
        </w:rPr>
        <w:t>Refuerza que la violencia de género requiere respuestas jurídicas específicas, no normas neutras.</w:t>
      </w:r>
    </w:p>
    <w:p w14:paraId="4E720EA5" w14:textId="77777777" w:rsidR="00AA5550" w:rsidRDefault="00045FF4">
      <w:pPr>
        <w:numPr>
          <w:ilvl w:val="0"/>
          <w:numId w:val="37"/>
        </w:numPr>
        <w:jc w:val="both"/>
        <w:rPr>
          <w:rFonts w:ascii="Century Gothic" w:eastAsia="Century Gothic" w:hAnsi="Century Gothic" w:cs="Century Gothic"/>
        </w:rPr>
      </w:pPr>
      <w:r>
        <w:rPr>
          <w:rFonts w:ascii="Century Gothic" w:eastAsia="Century Gothic" w:hAnsi="Century Gothic" w:cs="Century Gothic"/>
        </w:rPr>
        <w:t>E</w:t>
      </w:r>
      <w:r>
        <w:rPr>
          <w:rFonts w:ascii="Century Gothic" w:eastAsia="Century Gothic" w:hAnsi="Century Gothic" w:cs="Century Gothic"/>
        </w:rPr>
        <w:t>stablece que el Congreso debe legislar con enfoque de género, garantizando igualdad real y material.</w:t>
      </w:r>
    </w:p>
    <w:p w14:paraId="08A8B1E0" w14:textId="77777777" w:rsidR="00AA5550" w:rsidRDefault="00045FF4">
      <w:pPr>
        <w:numPr>
          <w:ilvl w:val="0"/>
          <w:numId w:val="37"/>
        </w:numPr>
        <w:jc w:val="both"/>
        <w:rPr>
          <w:rFonts w:ascii="Century Gothic" w:eastAsia="Century Gothic" w:hAnsi="Century Gothic" w:cs="Century Gothic"/>
        </w:rPr>
      </w:pPr>
      <w:proofErr w:type="spellStart"/>
      <w:r>
        <w:rPr>
          <w:rFonts w:ascii="Century Gothic" w:eastAsia="Century Gothic" w:hAnsi="Century Gothic" w:cs="Century Gothic"/>
        </w:rPr>
        <w:t>Legitimiza</w:t>
      </w:r>
      <w:proofErr w:type="spellEnd"/>
      <w:r>
        <w:rPr>
          <w:rFonts w:ascii="Century Gothic" w:eastAsia="Century Gothic" w:hAnsi="Century Gothic" w:cs="Century Gothic"/>
        </w:rPr>
        <w:t xml:space="preserve"> intervenciones legislativas directas y vinculantes para superar vacíos de protección y garantizar derechos fundamentales.</w:t>
      </w:r>
    </w:p>
    <w:p w14:paraId="4ABCA15C" w14:textId="77777777" w:rsidR="00AA5550" w:rsidRDefault="00AA5550">
      <w:pPr>
        <w:jc w:val="both"/>
        <w:rPr>
          <w:rFonts w:ascii="Century Gothic" w:eastAsia="Century Gothic" w:hAnsi="Century Gothic" w:cs="Century Gothic"/>
        </w:rPr>
      </w:pPr>
    </w:p>
    <w:p w14:paraId="41872F19"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En suma, la Sentencia</w:t>
      </w:r>
      <w:r>
        <w:rPr>
          <w:rFonts w:ascii="Century Gothic" w:eastAsia="Century Gothic" w:hAnsi="Century Gothic" w:cs="Century Gothic"/>
        </w:rPr>
        <w:t xml:space="preserve"> C</w:t>
      </w:r>
      <w:r>
        <w:rPr>
          <w:rFonts w:ascii="Cambria Math" w:eastAsia="Cambria Math" w:hAnsi="Cambria Math" w:cs="Cambria Math"/>
        </w:rPr>
        <w:t>‑</w:t>
      </w:r>
      <w:r>
        <w:rPr>
          <w:rFonts w:ascii="Century Gothic" w:eastAsia="Century Gothic" w:hAnsi="Century Gothic" w:cs="Century Gothic"/>
        </w:rPr>
        <w:t xml:space="preserve">408 de 2009 constituye una base jurisprudencial sólida que avala la creación de una ley especial como la propuesta, orientada a garantizar entornos seguros mediante mecanismos normativos integrales, articulados y territorializados, tal como lo exige la </w:t>
      </w:r>
      <w:r>
        <w:rPr>
          <w:rFonts w:ascii="Century Gothic" w:eastAsia="Century Gothic" w:hAnsi="Century Gothic" w:cs="Century Gothic"/>
        </w:rPr>
        <w:t>justicia constitucional contemporánea.</w:t>
      </w:r>
    </w:p>
    <w:p w14:paraId="7A26A267" w14:textId="77777777" w:rsidR="00AA5550" w:rsidRDefault="00045FF4">
      <w:pPr>
        <w:pStyle w:val="Ttulo2"/>
        <w:numPr>
          <w:ilvl w:val="1"/>
          <w:numId w:val="23"/>
        </w:numPr>
        <w:rPr>
          <w:rFonts w:ascii="Century Gothic" w:eastAsia="Century Gothic" w:hAnsi="Century Gothic" w:cs="Century Gothic"/>
          <w:b/>
          <w:sz w:val="22"/>
          <w:szCs w:val="22"/>
        </w:rPr>
      </w:pPr>
      <w:bookmarkStart w:id="42" w:name="_heading=h.wi5r78d7h2zp" w:colFirst="0" w:colLast="0"/>
      <w:bookmarkEnd w:id="42"/>
      <w:r>
        <w:rPr>
          <w:rFonts w:ascii="Century Gothic" w:eastAsia="Century Gothic" w:hAnsi="Century Gothic" w:cs="Century Gothic"/>
          <w:b/>
          <w:sz w:val="22"/>
          <w:szCs w:val="22"/>
        </w:rPr>
        <w:lastRenderedPageBreak/>
        <w:t>Sentencia C</w:t>
      </w:r>
      <w:r>
        <w:rPr>
          <w:rFonts w:ascii="Cambria Math" w:eastAsia="Cambria Math" w:hAnsi="Cambria Math" w:cs="Cambria Math"/>
          <w:b/>
          <w:sz w:val="22"/>
          <w:szCs w:val="22"/>
        </w:rPr>
        <w:t>‑</w:t>
      </w:r>
      <w:r>
        <w:rPr>
          <w:rFonts w:ascii="Century Gothic" w:eastAsia="Century Gothic" w:hAnsi="Century Gothic" w:cs="Century Gothic"/>
          <w:b/>
          <w:sz w:val="22"/>
          <w:szCs w:val="22"/>
        </w:rPr>
        <w:t>820 de 2006</w:t>
      </w:r>
      <w:r>
        <w:rPr>
          <w:rFonts w:ascii="Century Gothic" w:eastAsia="Century Gothic" w:hAnsi="Century Gothic" w:cs="Century Gothic"/>
          <w:b/>
          <w:sz w:val="22"/>
          <w:szCs w:val="22"/>
          <w:vertAlign w:val="superscript"/>
        </w:rPr>
        <w:footnoteReference w:id="26"/>
      </w:r>
    </w:p>
    <w:p w14:paraId="37313ED5"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 Sentencia C</w:t>
      </w:r>
      <w:r>
        <w:rPr>
          <w:rFonts w:ascii="Cambria Math" w:eastAsia="Cambria Math" w:hAnsi="Cambria Math" w:cs="Cambria Math"/>
        </w:rPr>
        <w:t>‑</w:t>
      </w:r>
      <w:r>
        <w:rPr>
          <w:rFonts w:ascii="Century Gothic" w:eastAsia="Century Gothic" w:hAnsi="Century Gothic" w:cs="Century Gothic"/>
        </w:rPr>
        <w:t xml:space="preserve">820 de 2006 es un referente esencial en la jurisprudencia constitucional colombiana sobre el deber estatal de protección de la familia frente a la violencia intrafamiliar. En esta decisión, la Corte Constitucional revisó la </w:t>
      </w:r>
      <w:proofErr w:type="spellStart"/>
      <w:r>
        <w:rPr>
          <w:rFonts w:ascii="Century Gothic" w:eastAsia="Century Gothic" w:hAnsi="Century Gothic" w:cs="Century Gothic"/>
        </w:rPr>
        <w:t>exequibilidad</w:t>
      </w:r>
      <w:proofErr w:type="spellEnd"/>
      <w:r>
        <w:rPr>
          <w:rFonts w:ascii="Century Gothic" w:eastAsia="Century Gothic" w:hAnsi="Century Gothic" w:cs="Century Gothic"/>
        </w:rPr>
        <w:t xml:space="preserve"> de normas relacion</w:t>
      </w:r>
      <w:r>
        <w:rPr>
          <w:rFonts w:ascii="Century Gothic" w:eastAsia="Century Gothic" w:hAnsi="Century Gothic" w:cs="Century Gothic"/>
        </w:rPr>
        <w:t>adas con la Ley 575 de 2000 (modificatoria del Código Penal en materia de violencia intrafamiliar) y desarrolló principios fundamentales para la intervención del Estado en la prevención y sanción de estas conductas.</w:t>
      </w:r>
    </w:p>
    <w:p w14:paraId="77443D21"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 Corte sostuvo que:</w:t>
      </w:r>
    </w:p>
    <w:p w14:paraId="0FEA0D55" w14:textId="77777777" w:rsidR="00AA5550" w:rsidRDefault="00045FF4">
      <w:pPr>
        <w:numPr>
          <w:ilvl w:val="0"/>
          <w:numId w:val="26"/>
        </w:numPr>
        <w:pBdr>
          <w:top w:val="nil"/>
          <w:left w:val="nil"/>
          <w:bottom w:val="nil"/>
          <w:right w:val="nil"/>
          <w:between w:val="nil"/>
        </w:pBdr>
        <w:spacing w:before="240"/>
        <w:jc w:val="both"/>
        <w:rPr>
          <w:rFonts w:ascii="Century Gothic" w:eastAsia="Century Gothic" w:hAnsi="Century Gothic" w:cs="Century Gothic"/>
          <w:color w:val="000000"/>
        </w:rPr>
      </w:pPr>
      <w:r>
        <w:rPr>
          <w:rFonts w:ascii="Century Gothic" w:eastAsia="Century Gothic" w:hAnsi="Century Gothic" w:cs="Century Gothic"/>
          <w:color w:val="000000"/>
        </w:rPr>
        <w:t>El derecho a la vi</w:t>
      </w:r>
      <w:r>
        <w:rPr>
          <w:rFonts w:ascii="Century Gothic" w:eastAsia="Century Gothic" w:hAnsi="Century Gothic" w:cs="Century Gothic"/>
          <w:color w:val="000000"/>
        </w:rPr>
        <w:t>da, a la integridad personal y a la dignidad humana prevalecen sobre cualquier concepción de privacidad del ámbito doméstico.</w:t>
      </w:r>
      <w:r>
        <w:rPr>
          <w:rFonts w:ascii="Century Gothic" w:eastAsia="Century Gothic" w:hAnsi="Century Gothic" w:cs="Century Gothic"/>
          <w:color w:val="000000"/>
        </w:rPr>
        <w:br/>
      </w:r>
    </w:p>
    <w:p w14:paraId="210E308D" w14:textId="77777777" w:rsidR="00AA5550" w:rsidRDefault="00045FF4">
      <w:pPr>
        <w:numPr>
          <w:ilvl w:val="0"/>
          <w:numId w:val="26"/>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La violencia intrafamiliar no es un asunto privado, sino una problemática estructural de interés público que afecta gravemente el</w:t>
      </w:r>
      <w:r>
        <w:rPr>
          <w:rFonts w:ascii="Century Gothic" w:eastAsia="Century Gothic" w:hAnsi="Century Gothic" w:cs="Century Gothic"/>
          <w:color w:val="000000"/>
        </w:rPr>
        <w:t xml:space="preserve"> núcleo esencial de la familia como institución protegida por la Constitución (art. 42).</w:t>
      </w:r>
      <w:r>
        <w:rPr>
          <w:rFonts w:ascii="Century Gothic" w:eastAsia="Century Gothic" w:hAnsi="Century Gothic" w:cs="Century Gothic"/>
          <w:color w:val="000000"/>
        </w:rPr>
        <w:br/>
      </w:r>
    </w:p>
    <w:p w14:paraId="38694D51" w14:textId="77777777" w:rsidR="00AA5550" w:rsidRDefault="00045FF4">
      <w:pPr>
        <w:numPr>
          <w:ilvl w:val="0"/>
          <w:numId w:val="26"/>
        </w:numPr>
        <w:pBdr>
          <w:top w:val="nil"/>
          <w:left w:val="nil"/>
          <w:bottom w:val="nil"/>
          <w:right w:val="nil"/>
          <w:between w:val="nil"/>
        </w:pBdr>
        <w:spacing w:after="240"/>
        <w:jc w:val="both"/>
        <w:rPr>
          <w:rFonts w:ascii="Century Gothic" w:eastAsia="Century Gothic" w:hAnsi="Century Gothic" w:cs="Century Gothic"/>
          <w:color w:val="000000"/>
        </w:rPr>
      </w:pPr>
      <w:r>
        <w:rPr>
          <w:rFonts w:ascii="Century Gothic" w:eastAsia="Century Gothic" w:hAnsi="Century Gothic" w:cs="Century Gothic"/>
          <w:color w:val="000000"/>
        </w:rPr>
        <w:t>El Estado tiene la obligación constitucional de intervenir activamente para prevenir, sancionar y erradicar toda forma de violencia en el seno familiar, especialmente</w:t>
      </w:r>
      <w:r>
        <w:rPr>
          <w:rFonts w:ascii="Century Gothic" w:eastAsia="Century Gothic" w:hAnsi="Century Gothic" w:cs="Century Gothic"/>
          <w:color w:val="000000"/>
        </w:rPr>
        <w:t xml:space="preserve"> cuando afecta a mujeres, niñas y niños, quienes ostentan una condición de sujeto de especial protección.</w:t>
      </w:r>
    </w:p>
    <w:p w14:paraId="3AC7E9D4"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 Corte resaltó que la omisión estatal frente a estos fenómenos reproduce círculos de violencia y discriminación estructural, y perpetúa patrones soc</w:t>
      </w:r>
      <w:r>
        <w:rPr>
          <w:rFonts w:ascii="Century Gothic" w:eastAsia="Century Gothic" w:hAnsi="Century Gothic" w:cs="Century Gothic"/>
        </w:rPr>
        <w:t>ioculturales que subordinan a ciertos miembros de la familia. Además, advirtió que la tolerancia institucional frente a estas violencias equivale a una forma de violencia simbólica y estructural, incompatible con el mandato del Estado social de derecho.</w:t>
      </w:r>
    </w:p>
    <w:p w14:paraId="226235D8"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En</w:t>
      </w:r>
      <w:r>
        <w:rPr>
          <w:rFonts w:ascii="Century Gothic" w:eastAsia="Century Gothic" w:hAnsi="Century Gothic" w:cs="Century Gothic"/>
        </w:rPr>
        <w:t xml:space="preserve"> ese sentido, esta sentencia fortalece directamente los fundamentos del Proyecto de Ley de Entornos Seguros para Mujeres y Niñez, al:</w:t>
      </w:r>
    </w:p>
    <w:p w14:paraId="2CB8726A" w14:textId="77777777" w:rsidR="00AA5550" w:rsidRDefault="00045FF4">
      <w:pPr>
        <w:numPr>
          <w:ilvl w:val="0"/>
          <w:numId w:val="27"/>
        </w:numPr>
        <w:pBdr>
          <w:top w:val="nil"/>
          <w:left w:val="nil"/>
          <w:bottom w:val="nil"/>
          <w:right w:val="nil"/>
          <w:between w:val="nil"/>
        </w:pBdr>
        <w:spacing w:before="240"/>
        <w:jc w:val="both"/>
        <w:rPr>
          <w:rFonts w:ascii="Century Gothic" w:eastAsia="Century Gothic" w:hAnsi="Century Gothic" w:cs="Century Gothic"/>
          <w:color w:val="000000"/>
        </w:rPr>
      </w:pPr>
      <w:r>
        <w:rPr>
          <w:rFonts w:ascii="Century Gothic" w:eastAsia="Century Gothic" w:hAnsi="Century Gothic" w:cs="Century Gothic"/>
          <w:color w:val="000000"/>
        </w:rPr>
        <w:t>Respaldar la intervención estatal activa en la transformación de contextos familiares inseguros y violentos, bajo la premisa de que la seguridad en el entorno doméstico es un derecho fundamental y una condición básica para el desarrollo de niñas, niños y m</w:t>
      </w:r>
      <w:r>
        <w:rPr>
          <w:rFonts w:ascii="Century Gothic" w:eastAsia="Century Gothic" w:hAnsi="Century Gothic" w:cs="Century Gothic"/>
          <w:color w:val="000000"/>
        </w:rPr>
        <w:t>ujeres.</w:t>
      </w:r>
    </w:p>
    <w:p w14:paraId="3B0A2945" w14:textId="77777777" w:rsidR="00AA5550" w:rsidRDefault="00AA5550">
      <w:pPr>
        <w:pBdr>
          <w:top w:val="nil"/>
          <w:left w:val="nil"/>
          <w:bottom w:val="nil"/>
          <w:right w:val="nil"/>
          <w:between w:val="nil"/>
        </w:pBdr>
        <w:ind w:left="720"/>
        <w:jc w:val="both"/>
        <w:rPr>
          <w:rFonts w:ascii="Century Gothic" w:eastAsia="Century Gothic" w:hAnsi="Century Gothic" w:cs="Century Gothic"/>
          <w:color w:val="000000"/>
        </w:rPr>
      </w:pPr>
    </w:p>
    <w:p w14:paraId="0FDE10F7" w14:textId="77777777" w:rsidR="00AA5550" w:rsidRDefault="00045FF4">
      <w:pPr>
        <w:numPr>
          <w:ilvl w:val="0"/>
          <w:numId w:val="27"/>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Avalar el diseño de políticas públicas con enfoque preventivo, restaurativo y estructural, como las previstas en el proyecto, orientadas a la generación de entornos familiares protectores.</w:t>
      </w:r>
    </w:p>
    <w:p w14:paraId="553D7F7D" w14:textId="77777777" w:rsidR="00AA5550" w:rsidRDefault="00AA5550">
      <w:pPr>
        <w:pBdr>
          <w:top w:val="nil"/>
          <w:left w:val="nil"/>
          <w:bottom w:val="nil"/>
          <w:right w:val="nil"/>
          <w:between w:val="nil"/>
        </w:pBdr>
        <w:ind w:left="720"/>
        <w:jc w:val="both"/>
        <w:rPr>
          <w:rFonts w:ascii="Century Gothic" w:eastAsia="Century Gothic" w:hAnsi="Century Gothic" w:cs="Century Gothic"/>
          <w:color w:val="000000"/>
        </w:rPr>
      </w:pPr>
    </w:p>
    <w:p w14:paraId="3350BB3F" w14:textId="77777777" w:rsidR="00AA5550" w:rsidRDefault="00045FF4">
      <w:pPr>
        <w:numPr>
          <w:ilvl w:val="0"/>
          <w:numId w:val="27"/>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Refutar toda narrativa que pretenda justificar la violenc</w:t>
      </w:r>
      <w:r>
        <w:rPr>
          <w:rFonts w:ascii="Century Gothic" w:eastAsia="Century Gothic" w:hAnsi="Century Gothic" w:cs="Century Gothic"/>
          <w:color w:val="000000"/>
        </w:rPr>
        <w:t>ia intrafamiliar como asunto privado, reiterando que el interés superior del menor y la igualdad sustantiva de las mujeres imponen deberes positivos al Estado para eliminar todas las formas de violencia en el ámbito privado y comunitario.</w:t>
      </w:r>
      <w:r>
        <w:rPr>
          <w:rFonts w:ascii="Century Gothic" w:eastAsia="Century Gothic" w:hAnsi="Century Gothic" w:cs="Century Gothic"/>
          <w:color w:val="000000"/>
        </w:rPr>
        <w:br/>
      </w:r>
    </w:p>
    <w:p w14:paraId="3B2C3BC0"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 jurisprudencia de la Corte subraya que la garantía de los derechos fundamentales en el entorno familiar no se limita a la sanción posterior, sino que exige una arquitectura normativa y operativa que anticipe, prevenga y mitigue el riesgo estructural, en</w:t>
      </w:r>
      <w:r>
        <w:rPr>
          <w:rFonts w:ascii="Century Gothic" w:eastAsia="Century Gothic" w:hAnsi="Century Gothic" w:cs="Century Gothic"/>
        </w:rPr>
        <w:t>foque en el cual se inscribe el presente proyecto de ley.</w:t>
      </w:r>
    </w:p>
    <w:p w14:paraId="2AFD02C1" w14:textId="77777777" w:rsidR="00AA5550" w:rsidRDefault="00045FF4">
      <w:pPr>
        <w:pStyle w:val="Ttulo1"/>
        <w:numPr>
          <w:ilvl w:val="0"/>
          <w:numId w:val="23"/>
        </w:numPr>
        <w:jc w:val="center"/>
        <w:rPr>
          <w:rFonts w:ascii="Century Gothic" w:eastAsia="Century Gothic" w:hAnsi="Century Gothic" w:cs="Century Gothic"/>
          <w:sz w:val="22"/>
          <w:szCs w:val="22"/>
        </w:rPr>
      </w:pPr>
      <w:bookmarkStart w:id="43" w:name="_heading=h.t30k7bjtao9d" w:colFirst="0" w:colLast="0"/>
      <w:bookmarkEnd w:id="43"/>
      <w:r>
        <w:rPr>
          <w:rFonts w:ascii="Century Gothic" w:eastAsia="Century Gothic" w:hAnsi="Century Gothic" w:cs="Century Gothic"/>
          <w:b/>
          <w:sz w:val="22"/>
          <w:szCs w:val="22"/>
        </w:rPr>
        <w:t>MARCO NORMATIVO INTERNO</w:t>
      </w:r>
    </w:p>
    <w:p w14:paraId="475F5CF6"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 propuesta legislativa encuentra fundamento y articulación en un conjunto amplio de normas legales vigentes que abordan los derechos de las mujeres, la infancia y la adoles</w:t>
      </w:r>
      <w:r>
        <w:rPr>
          <w:rFonts w:ascii="Century Gothic" w:eastAsia="Century Gothic" w:hAnsi="Century Gothic" w:cs="Century Gothic"/>
        </w:rPr>
        <w:t>cencia, así como la prevención de la violencia, la corresponsabilidad territorial, la seguridad, y la cohesión social. A continuación, se sistematiza el marco normativo que debe considerarse para efectos de articulación, actualización o consolidación:</w:t>
      </w:r>
    </w:p>
    <w:p w14:paraId="307E21B5" w14:textId="77777777" w:rsidR="00AA5550" w:rsidRDefault="00045FF4">
      <w:pPr>
        <w:pStyle w:val="Ttulo2"/>
        <w:numPr>
          <w:ilvl w:val="0"/>
          <w:numId w:val="38"/>
        </w:numPr>
        <w:rPr>
          <w:rFonts w:ascii="Century Gothic" w:eastAsia="Century Gothic" w:hAnsi="Century Gothic" w:cs="Century Gothic"/>
          <w:b/>
          <w:sz w:val="22"/>
          <w:szCs w:val="22"/>
        </w:rPr>
      </w:pPr>
      <w:bookmarkStart w:id="44" w:name="_heading=h.5wwsf4wu7qge" w:colFirst="0" w:colLast="0"/>
      <w:bookmarkEnd w:id="44"/>
      <w:r>
        <w:rPr>
          <w:rFonts w:ascii="Century Gothic" w:eastAsia="Century Gothic" w:hAnsi="Century Gothic" w:cs="Century Gothic"/>
          <w:b/>
          <w:sz w:val="22"/>
          <w:szCs w:val="22"/>
        </w:rPr>
        <w:t xml:space="preserve">LEY 1804 DE 2016 </w:t>
      </w:r>
    </w:p>
    <w:p w14:paraId="71DFFC82"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Institucionaliza la Política Pública para el Desarrollo Integral de la Primera Infancia en Colombia, denominada “De Cero a Siempre”, cuyo eje central es el reconocimiento de los niños y niñas desde su gestación hasta los 6 años como sujet</w:t>
      </w:r>
      <w:r>
        <w:rPr>
          <w:rFonts w:ascii="Century Gothic" w:eastAsia="Century Gothic" w:hAnsi="Century Gothic" w:cs="Century Gothic"/>
        </w:rPr>
        <w:t>os de derechos que requieren protección especial, atención integral y condiciones que promuevan su desarrollo pleno.</w:t>
      </w:r>
    </w:p>
    <w:p w14:paraId="38E70CAD"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Esta ley articula a entidades del orden nacional y territorial para garantizar el acceso efectivo a servicios, entornos seguros, vínculos a</w:t>
      </w:r>
      <w:r>
        <w:rPr>
          <w:rFonts w:ascii="Century Gothic" w:eastAsia="Century Gothic" w:hAnsi="Century Gothic" w:cs="Century Gothic"/>
        </w:rPr>
        <w:t>fectivos y cuidados adecuados, conforme a los principios de interés superior del menor, corresponsabilidad, enfoque diferencial y no discriminación.</w:t>
      </w:r>
    </w:p>
    <w:p w14:paraId="12DE0FA8"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Relevancia para el Proyecto de Ley de Entornos Seguros para Mujeres y Niñez:</w:t>
      </w:r>
    </w:p>
    <w:p w14:paraId="6C0B6C75" w14:textId="77777777" w:rsidR="00AA5550" w:rsidRDefault="00045FF4">
      <w:pPr>
        <w:numPr>
          <w:ilvl w:val="0"/>
          <w:numId w:val="28"/>
        </w:numPr>
        <w:pBdr>
          <w:top w:val="nil"/>
          <w:left w:val="nil"/>
          <w:bottom w:val="nil"/>
          <w:right w:val="nil"/>
          <w:between w:val="nil"/>
        </w:pBdr>
        <w:spacing w:before="240"/>
        <w:jc w:val="both"/>
        <w:rPr>
          <w:rFonts w:ascii="Century Gothic" w:eastAsia="Century Gothic" w:hAnsi="Century Gothic" w:cs="Century Gothic"/>
          <w:color w:val="000000"/>
        </w:rPr>
      </w:pPr>
      <w:r>
        <w:rPr>
          <w:rFonts w:ascii="Century Gothic" w:eastAsia="Century Gothic" w:hAnsi="Century Gothic" w:cs="Century Gothic"/>
          <w:color w:val="000000"/>
        </w:rPr>
        <w:t>El proyecto de ley se fundamen</w:t>
      </w:r>
      <w:r>
        <w:rPr>
          <w:rFonts w:ascii="Century Gothic" w:eastAsia="Century Gothic" w:hAnsi="Century Gothic" w:cs="Century Gothic"/>
          <w:color w:val="000000"/>
        </w:rPr>
        <w:t>ta en los mismos principios de integralidad, intersectorialidad y desarrollo armónico, y busca complementar esta política pública con un componente robusto de intervención territorial, urbanística y social, que actualmente no se encuentra suficientemente d</w:t>
      </w:r>
      <w:r>
        <w:rPr>
          <w:rFonts w:ascii="Century Gothic" w:eastAsia="Century Gothic" w:hAnsi="Century Gothic" w:cs="Century Gothic"/>
          <w:color w:val="000000"/>
        </w:rPr>
        <w:t>esarrollado en la Ley 1804.</w:t>
      </w:r>
    </w:p>
    <w:p w14:paraId="0D4CA8D6" w14:textId="77777777" w:rsidR="00AA5550" w:rsidRDefault="00AA5550">
      <w:pPr>
        <w:pBdr>
          <w:top w:val="nil"/>
          <w:left w:val="nil"/>
          <w:bottom w:val="nil"/>
          <w:right w:val="nil"/>
          <w:between w:val="nil"/>
        </w:pBdr>
        <w:ind w:left="720"/>
        <w:jc w:val="both"/>
        <w:rPr>
          <w:rFonts w:ascii="Century Gothic" w:eastAsia="Century Gothic" w:hAnsi="Century Gothic" w:cs="Century Gothic"/>
          <w:color w:val="000000"/>
        </w:rPr>
      </w:pPr>
    </w:p>
    <w:p w14:paraId="50F5D59C" w14:textId="77777777" w:rsidR="00AA5550" w:rsidRDefault="00045FF4">
      <w:pPr>
        <w:numPr>
          <w:ilvl w:val="0"/>
          <w:numId w:val="28"/>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En coherencia con esta norma, el proyecto impulsa la creación y sostenibilidad de espacios físicos y simbólicos seguros para la niñez, incluyendo espacios comunitarios, educativos y urbanos libres de violencia y segregación.</w:t>
      </w:r>
      <w:r>
        <w:rPr>
          <w:rFonts w:ascii="Century Gothic" w:eastAsia="Century Gothic" w:hAnsi="Century Gothic" w:cs="Century Gothic"/>
          <w:color w:val="000000"/>
        </w:rPr>
        <w:br/>
      </w:r>
    </w:p>
    <w:p w14:paraId="0210A089" w14:textId="77777777" w:rsidR="00AA5550" w:rsidRDefault="00045FF4">
      <w:pPr>
        <w:numPr>
          <w:ilvl w:val="0"/>
          <w:numId w:val="28"/>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L</w:t>
      </w:r>
      <w:r>
        <w:rPr>
          <w:rFonts w:ascii="Century Gothic" w:eastAsia="Century Gothic" w:hAnsi="Century Gothic" w:cs="Century Gothic"/>
          <w:color w:val="000000"/>
        </w:rPr>
        <w:t xml:space="preserve">a Ley “De Cero a Siempre” se centra en el desarrollo integral, mientras que el proyecto de entornos seguros amplía el marco de acción hacia la prevención estructural de riesgos sociales, culturales y ambientales que afectan dicho desarrollo, especialmente </w:t>
      </w:r>
      <w:r>
        <w:rPr>
          <w:rFonts w:ascii="Century Gothic" w:eastAsia="Century Gothic" w:hAnsi="Century Gothic" w:cs="Century Gothic"/>
          <w:color w:val="000000"/>
        </w:rPr>
        <w:t>en territorios excluidos o violentos.</w:t>
      </w:r>
    </w:p>
    <w:p w14:paraId="52EB5999" w14:textId="77777777" w:rsidR="00AA5550" w:rsidRDefault="00AA5550">
      <w:pPr>
        <w:pBdr>
          <w:top w:val="nil"/>
          <w:left w:val="nil"/>
          <w:bottom w:val="nil"/>
          <w:right w:val="nil"/>
          <w:between w:val="nil"/>
        </w:pBdr>
        <w:ind w:left="720"/>
        <w:jc w:val="both"/>
        <w:rPr>
          <w:rFonts w:ascii="Century Gothic" w:eastAsia="Century Gothic" w:hAnsi="Century Gothic" w:cs="Century Gothic"/>
          <w:color w:val="000000"/>
        </w:rPr>
      </w:pPr>
    </w:p>
    <w:p w14:paraId="29D91468" w14:textId="77777777" w:rsidR="00AA5550" w:rsidRDefault="00045FF4">
      <w:pPr>
        <w:numPr>
          <w:ilvl w:val="0"/>
          <w:numId w:val="28"/>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Desarrolla los artículos 44 (derechos prevalentes de los niños), 45 (derecho de los adolescentes al libre desarrollo), 366 (prioridad del gasto público social) y 13 (igualdad material para grupos vulnerables).</w:t>
      </w:r>
    </w:p>
    <w:p w14:paraId="07F0B1C0" w14:textId="77777777" w:rsidR="00AA5550" w:rsidRDefault="00AA5550">
      <w:pPr>
        <w:pBdr>
          <w:top w:val="nil"/>
          <w:left w:val="nil"/>
          <w:bottom w:val="nil"/>
          <w:right w:val="nil"/>
          <w:between w:val="nil"/>
        </w:pBdr>
        <w:ind w:left="720"/>
        <w:jc w:val="both"/>
        <w:rPr>
          <w:rFonts w:ascii="Century Gothic" w:eastAsia="Century Gothic" w:hAnsi="Century Gothic" w:cs="Century Gothic"/>
          <w:color w:val="000000"/>
        </w:rPr>
      </w:pPr>
    </w:p>
    <w:p w14:paraId="37DFCFAB" w14:textId="77777777" w:rsidR="00AA5550" w:rsidRDefault="00045FF4">
      <w:pPr>
        <w:numPr>
          <w:ilvl w:val="0"/>
          <w:numId w:val="28"/>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Su implementación efectiva es una condición p</w:t>
      </w:r>
      <w:r>
        <w:rPr>
          <w:rFonts w:ascii="Century Gothic" w:eastAsia="Century Gothic" w:hAnsi="Century Gothic" w:cs="Century Gothic"/>
          <w:color w:val="000000"/>
        </w:rPr>
        <w:t>ara hacer real el derecho a la vida digna, la salud, la educación, la protección contra la violencia y la participación, que la Corte Constitucional ha identificado como derechos fundamentales interdependientes en la infancia (véanse, entre otras, las sent</w:t>
      </w:r>
      <w:r>
        <w:rPr>
          <w:rFonts w:ascii="Century Gothic" w:eastAsia="Century Gothic" w:hAnsi="Century Gothic" w:cs="Century Gothic"/>
          <w:color w:val="000000"/>
        </w:rPr>
        <w:t>encias T</w:t>
      </w:r>
      <w:r>
        <w:rPr>
          <w:rFonts w:ascii="Cambria Math" w:eastAsia="Cambria Math" w:hAnsi="Cambria Math" w:cs="Cambria Math"/>
          <w:color w:val="000000"/>
        </w:rPr>
        <w:t>‑</w:t>
      </w:r>
      <w:r>
        <w:rPr>
          <w:rFonts w:ascii="Century Gothic" w:eastAsia="Century Gothic" w:hAnsi="Century Gothic" w:cs="Century Gothic"/>
          <w:color w:val="000000"/>
        </w:rPr>
        <w:t>510 de 2003, C</w:t>
      </w:r>
      <w:r>
        <w:rPr>
          <w:rFonts w:ascii="Cambria Math" w:eastAsia="Cambria Math" w:hAnsi="Cambria Math" w:cs="Cambria Math"/>
          <w:color w:val="000000"/>
        </w:rPr>
        <w:t>‑</w:t>
      </w:r>
      <w:r>
        <w:rPr>
          <w:rFonts w:ascii="Century Gothic" w:eastAsia="Century Gothic" w:hAnsi="Century Gothic" w:cs="Century Gothic"/>
          <w:color w:val="000000"/>
        </w:rPr>
        <w:t>240 de 2009 y SU</w:t>
      </w:r>
      <w:r>
        <w:rPr>
          <w:rFonts w:ascii="Cambria Math" w:eastAsia="Cambria Math" w:hAnsi="Cambria Math" w:cs="Cambria Math"/>
          <w:color w:val="000000"/>
        </w:rPr>
        <w:t>‑</w:t>
      </w:r>
      <w:r>
        <w:rPr>
          <w:rFonts w:ascii="Century Gothic" w:eastAsia="Century Gothic" w:hAnsi="Century Gothic" w:cs="Century Gothic"/>
          <w:color w:val="000000"/>
        </w:rPr>
        <w:t>047 de 2019).</w:t>
      </w:r>
      <w:r>
        <w:rPr>
          <w:rFonts w:ascii="Century Gothic" w:eastAsia="Century Gothic" w:hAnsi="Century Gothic" w:cs="Century Gothic"/>
          <w:color w:val="000000"/>
        </w:rPr>
        <w:br/>
      </w:r>
    </w:p>
    <w:p w14:paraId="202EA073" w14:textId="77777777" w:rsidR="00AA5550" w:rsidRDefault="00045FF4">
      <w:pPr>
        <w:numPr>
          <w:ilvl w:val="0"/>
          <w:numId w:val="28"/>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Artículo 1: Establece el carácter vinculante de la política para todas las entidades del Estado.</w:t>
      </w:r>
    </w:p>
    <w:p w14:paraId="37CE20A3" w14:textId="77777777" w:rsidR="00AA5550" w:rsidRDefault="00AA5550">
      <w:pPr>
        <w:pBdr>
          <w:top w:val="nil"/>
          <w:left w:val="nil"/>
          <w:bottom w:val="nil"/>
          <w:right w:val="nil"/>
          <w:between w:val="nil"/>
        </w:pBdr>
        <w:ind w:left="720"/>
        <w:jc w:val="both"/>
        <w:rPr>
          <w:rFonts w:ascii="Century Gothic" w:eastAsia="Century Gothic" w:hAnsi="Century Gothic" w:cs="Century Gothic"/>
          <w:color w:val="000000"/>
        </w:rPr>
      </w:pPr>
    </w:p>
    <w:p w14:paraId="79C6E447" w14:textId="77777777" w:rsidR="00AA5550" w:rsidRDefault="00045FF4">
      <w:pPr>
        <w:numPr>
          <w:ilvl w:val="0"/>
          <w:numId w:val="28"/>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Artículo 4: Reconoce como componente esencial del desarrollo integral la existencia de entornos protec</w:t>
      </w:r>
      <w:r>
        <w:rPr>
          <w:rFonts w:ascii="Century Gothic" w:eastAsia="Century Gothic" w:hAnsi="Century Gothic" w:cs="Century Gothic"/>
          <w:color w:val="000000"/>
        </w:rPr>
        <w:t>tores y seguros.</w:t>
      </w:r>
    </w:p>
    <w:p w14:paraId="5E307A8B" w14:textId="77777777" w:rsidR="00AA5550" w:rsidRDefault="00AA5550">
      <w:pPr>
        <w:pBdr>
          <w:top w:val="nil"/>
          <w:left w:val="nil"/>
          <w:bottom w:val="nil"/>
          <w:right w:val="nil"/>
          <w:between w:val="nil"/>
        </w:pBdr>
        <w:ind w:left="720"/>
        <w:jc w:val="both"/>
        <w:rPr>
          <w:rFonts w:ascii="Century Gothic" w:eastAsia="Century Gothic" w:hAnsi="Century Gothic" w:cs="Century Gothic"/>
          <w:color w:val="000000"/>
        </w:rPr>
      </w:pPr>
    </w:p>
    <w:p w14:paraId="04D9FEFE" w14:textId="77777777" w:rsidR="00AA5550" w:rsidRDefault="00045FF4">
      <w:pPr>
        <w:numPr>
          <w:ilvl w:val="0"/>
          <w:numId w:val="28"/>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Artículo 7: Obliga a articular esfuerzos intersectoriales e interinstitucionales en todos los niveles territoriales.</w:t>
      </w:r>
    </w:p>
    <w:p w14:paraId="3A17F73E" w14:textId="77777777" w:rsidR="00AA5550" w:rsidRDefault="00AA5550">
      <w:pPr>
        <w:pBdr>
          <w:top w:val="nil"/>
          <w:left w:val="nil"/>
          <w:bottom w:val="nil"/>
          <w:right w:val="nil"/>
          <w:between w:val="nil"/>
        </w:pBdr>
        <w:ind w:left="720"/>
        <w:jc w:val="both"/>
        <w:rPr>
          <w:rFonts w:ascii="Century Gothic" w:eastAsia="Century Gothic" w:hAnsi="Century Gothic" w:cs="Century Gothic"/>
          <w:color w:val="000000"/>
        </w:rPr>
      </w:pPr>
    </w:p>
    <w:p w14:paraId="4474DC5E" w14:textId="77777777" w:rsidR="00AA5550" w:rsidRDefault="00045FF4">
      <w:pPr>
        <w:numPr>
          <w:ilvl w:val="0"/>
          <w:numId w:val="28"/>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Artículo 10: Determina que los programas para la primera infancia deben ajustarse a las condiciones culturales, territor</w:t>
      </w:r>
      <w:r>
        <w:rPr>
          <w:rFonts w:ascii="Century Gothic" w:eastAsia="Century Gothic" w:hAnsi="Century Gothic" w:cs="Century Gothic"/>
          <w:color w:val="000000"/>
        </w:rPr>
        <w:t>iales y socioeconómicas del contexto.</w:t>
      </w:r>
    </w:p>
    <w:p w14:paraId="5236C9A1" w14:textId="77777777" w:rsidR="00AA5550" w:rsidRDefault="00AA5550">
      <w:pPr>
        <w:pBdr>
          <w:top w:val="nil"/>
          <w:left w:val="nil"/>
          <w:bottom w:val="nil"/>
          <w:right w:val="nil"/>
          <w:between w:val="nil"/>
        </w:pBdr>
        <w:ind w:left="720"/>
        <w:jc w:val="both"/>
        <w:rPr>
          <w:rFonts w:ascii="Century Gothic" w:eastAsia="Century Gothic" w:hAnsi="Century Gothic" w:cs="Century Gothic"/>
          <w:color w:val="000000"/>
        </w:rPr>
      </w:pPr>
    </w:p>
    <w:p w14:paraId="1AE20A45" w14:textId="77777777" w:rsidR="00AA5550" w:rsidRDefault="00045FF4">
      <w:pPr>
        <w:numPr>
          <w:ilvl w:val="0"/>
          <w:numId w:val="28"/>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Aunque la Ley 1804 reconoce la importancia del entorno, no desarrolla mecanismos vinculantes ni instrumentos territoriales que aseguren su transformación estructural, especialmente en zonas de alta conflictividad o po</w:t>
      </w:r>
      <w:r>
        <w:rPr>
          <w:rFonts w:ascii="Century Gothic" w:eastAsia="Century Gothic" w:hAnsi="Century Gothic" w:cs="Century Gothic"/>
          <w:color w:val="000000"/>
        </w:rPr>
        <w:t>breza urbana.</w:t>
      </w:r>
    </w:p>
    <w:p w14:paraId="6CB0B84E" w14:textId="77777777" w:rsidR="00AA5550" w:rsidRDefault="00AA5550">
      <w:pPr>
        <w:pBdr>
          <w:top w:val="nil"/>
          <w:left w:val="nil"/>
          <w:bottom w:val="nil"/>
          <w:right w:val="nil"/>
          <w:between w:val="nil"/>
        </w:pBdr>
        <w:ind w:left="720"/>
        <w:rPr>
          <w:rFonts w:ascii="Century Gothic" w:eastAsia="Century Gothic" w:hAnsi="Century Gothic" w:cs="Century Gothic"/>
          <w:color w:val="000000"/>
        </w:rPr>
      </w:pPr>
    </w:p>
    <w:p w14:paraId="529B6DDD" w14:textId="77777777" w:rsidR="00AA5550" w:rsidRDefault="00AA5550">
      <w:pPr>
        <w:pBdr>
          <w:top w:val="nil"/>
          <w:left w:val="nil"/>
          <w:bottom w:val="nil"/>
          <w:right w:val="nil"/>
          <w:between w:val="nil"/>
        </w:pBdr>
        <w:ind w:left="720"/>
        <w:jc w:val="both"/>
        <w:rPr>
          <w:rFonts w:ascii="Century Gothic" w:eastAsia="Century Gothic" w:hAnsi="Century Gothic" w:cs="Century Gothic"/>
          <w:color w:val="000000"/>
        </w:rPr>
      </w:pPr>
    </w:p>
    <w:p w14:paraId="2FD295EC" w14:textId="77777777" w:rsidR="00AA5550" w:rsidRDefault="00045FF4">
      <w:pPr>
        <w:numPr>
          <w:ilvl w:val="0"/>
          <w:numId w:val="28"/>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El proyecto propone criterios normativos claros y operativos para crear entornos seguros desde un enfoque interseccional, diferencial y de justicia </w:t>
      </w:r>
      <w:r>
        <w:rPr>
          <w:rFonts w:ascii="Century Gothic" w:eastAsia="Century Gothic" w:hAnsi="Century Gothic" w:cs="Century Gothic"/>
          <w:color w:val="000000"/>
        </w:rPr>
        <w:lastRenderedPageBreak/>
        <w:t>espacial, en coherencia con lo planteado, pero no desarrollado por la Ley de Cero a Siempre.</w:t>
      </w:r>
    </w:p>
    <w:p w14:paraId="3CCE4205" w14:textId="77777777" w:rsidR="00AA5550" w:rsidRDefault="00AA5550">
      <w:pPr>
        <w:pBdr>
          <w:top w:val="nil"/>
          <w:left w:val="nil"/>
          <w:bottom w:val="nil"/>
          <w:right w:val="nil"/>
          <w:between w:val="nil"/>
        </w:pBdr>
        <w:ind w:left="720"/>
        <w:jc w:val="both"/>
        <w:rPr>
          <w:rFonts w:ascii="Century Gothic" w:eastAsia="Century Gothic" w:hAnsi="Century Gothic" w:cs="Century Gothic"/>
          <w:color w:val="000000"/>
        </w:rPr>
      </w:pPr>
    </w:p>
    <w:p w14:paraId="4FC79800" w14:textId="77777777" w:rsidR="00AA5550" w:rsidRDefault="00045FF4">
      <w:pPr>
        <w:numPr>
          <w:ilvl w:val="0"/>
          <w:numId w:val="28"/>
        </w:numPr>
        <w:pBdr>
          <w:top w:val="nil"/>
          <w:left w:val="nil"/>
          <w:bottom w:val="nil"/>
          <w:right w:val="nil"/>
          <w:between w:val="nil"/>
        </w:pBdr>
        <w:spacing w:after="240"/>
        <w:jc w:val="both"/>
        <w:rPr>
          <w:rFonts w:ascii="Century Gothic" w:eastAsia="Century Gothic" w:hAnsi="Century Gothic" w:cs="Century Gothic"/>
          <w:color w:val="000000"/>
        </w:rPr>
      </w:pPr>
      <w:r>
        <w:rPr>
          <w:rFonts w:ascii="Century Gothic" w:eastAsia="Century Gothic" w:hAnsi="Century Gothic" w:cs="Century Gothic"/>
          <w:color w:val="000000"/>
        </w:rPr>
        <w:t>Se fortalece e</w:t>
      </w:r>
      <w:r>
        <w:rPr>
          <w:rFonts w:ascii="Century Gothic" w:eastAsia="Century Gothic" w:hAnsi="Century Gothic" w:cs="Century Gothic"/>
          <w:color w:val="000000"/>
        </w:rPr>
        <w:t>l enfoque de corresponsabilidad, pero se integra con instrumentos de presupuestación local, planeación participativa, infraestructura social y pedagogía comunitaria, no regulados actualmente por la Ley 1804.</w:t>
      </w:r>
    </w:p>
    <w:p w14:paraId="371F1E34" w14:textId="77777777" w:rsidR="00AA5550" w:rsidRDefault="00045FF4">
      <w:pPr>
        <w:spacing w:before="240" w:after="240"/>
        <w:jc w:val="both"/>
        <w:rPr>
          <w:rFonts w:ascii="Century Gothic" w:eastAsia="Century Gothic" w:hAnsi="Century Gothic" w:cs="Century Gothic"/>
          <w:b/>
        </w:rPr>
      </w:pPr>
      <w:r>
        <w:rPr>
          <w:rFonts w:ascii="Century Gothic" w:eastAsia="Century Gothic" w:hAnsi="Century Gothic" w:cs="Century Gothic"/>
        </w:rPr>
        <w:t>La Ley 1804 de 2016 constituye un avance significativo en la protección normativa de la primera infancia, al consagrar la atención integral como política de Estado. Sin embargo, su implementación ha sido desigual y limitada en territorios con mayores riesg</w:t>
      </w:r>
      <w:r>
        <w:rPr>
          <w:rFonts w:ascii="Century Gothic" w:eastAsia="Century Gothic" w:hAnsi="Century Gothic" w:cs="Century Gothic"/>
        </w:rPr>
        <w:t>os estructurales para la niñez. El Proyecto de Ley de Entornos Seguros para Mujeres y Niñez complementa esta ley al establecer un régimen jurídico robusto y obligatorio para transformar los entornos físicos y sociales de riesgo, y así asegurar el desarroll</w:t>
      </w:r>
      <w:r>
        <w:rPr>
          <w:rFonts w:ascii="Century Gothic" w:eastAsia="Century Gothic" w:hAnsi="Century Gothic" w:cs="Century Gothic"/>
        </w:rPr>
        <w:t>o pleno, equitativo y digno de la primera infancia en Colombia</w:t>
      </w:r>
      <w:r>
        <w:rPr>
          <w:rFonts w:ascii="Century Gothic" w:eastAsia="Century Gothic" w:hAnsi="Century Gothic" w:cs="Century Gothic"/>
          <w:b/>
        </w:rPr>
        <w:t>.</w:t>
      </w:r>
    </w:p>
    <w:p w14:paraId="3FD68170" w14:textId="77777777" w:rsidR="00AA5550" w:rsidRDefault="00045FF4">
      <w:pPr>
        <w:pStyle w:val="Ttulo2"/>
        <w:numPr>
          <w:ilvl w:val="0"/>
          <w:numId w:val="38"/>
        </w:numPr>
        <w:rPr>
          <w:rFonts w:ascii="Century Gothic" w:eastAsia="Century Gothic" w:hAnsi="Century Gothic" w:cs="Century Gothic"/>
          <w:sz w:val="22"/>
          <w:szCs w:val="22"/>
        </w:rPr>
      </w:pPr>
      <w:bookmarkStart w:id="45" w:name="_heading=h.y7xmqnqtd4q5" w:colFirst="0" w:colLast="0"/>
      <w:bookmarkEnd w:id="45"/>
      <w:r>
        <w:rPr>
          <w:rFonts w:ascii="Century Gothic" w:eastAsia="Century Gothic" w:hAnsi="Century Gothic" w:cs="Century Gothic"/>
          <w:b/>
          <w:sz w:val="22"/>
          <w:szCs w:val="22"/>
        </w:rPr>
        <w:t xml:space="preserve"> Ley 1801 de 2016</w:t>
      </w:r>
    </w:p>
    <w:p w14:paraId="233089A5"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Esta Ley redefine el papel de la policía y de las autoridades locales en la construcción de entornos seguros, al establecer reglas claras de comportamiento en el espacio públ</w:t>
      </w:r>
      <w:r>
        <w:rPr>
          <w:rFonts w:ascii="Century Gothic" w:eastAsia="Century Gothic" w:hAnsi="Century Gothic" w:cs="Century Gothic"/>
        </w:rPr>
        <w:t>ico, mecanismos de resolución de conflictos y facultades preventivas para mantener el orden y la convivencia pacífica.</w:t>
      </w:r>
    </w:p>
    <w:p w14:paraId="181D3E42"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Este Código no solo es un instrumento de control del orden público, sino un instrumento de política pública preventiva, con enfoque comun</w:t>
      </w:r>
      <w:r>
        <w:rPr>
          <w:rFonts w:ascii="Century Gothic" w:eastAsia="Century Gothic" w:hAnsi="Century Gothic" w:cs="Century Gothic"/>
        </w:rPr>
        <w:t>itario. Establece el concepto de “entornos seguros y protectores”, especialmente relevantes para niñas, niños, adolescentes y mujeres, como condición para el ejercicio de los derechos fundamentales en el espacio urbano y comunitario.</w:t>
      </w:r>
    </w:p>
    <w:p w14:paraId="34EA301C"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Relevancia directa par</w:t>
      </w:r>
      <w:r>
        <w:rPr>
          <w:rFonts w:ascii="Century Gothic" w:eastAsia="Century Gothic" w:hAnsi="Century Gothic" w:cs="Century Gothic"/>
        </w:rPr>
        <w:t>a el Proyecto de Ley de Entornos Seguros:</w:t>
      </w:r>
    </w:p>
    <w:p w14:paraId="17447C9D" w14:textId="77777777" w:rsidR="00AA5550" w:rsidRDefault="00045FF4">
      <w:pPr>
        <w:numPr>
          <w:ilvl w:val="0"/>
          <w:numId w:val="29"/>
        </w:numPr>
        <w:pBdr>
          <w:top w:val="nil"/>
          <w:left w:val="nil"/>
          <w:bottom w:val="nil"/>
          <w:right w:val="nil"/>
          <w:between w:val="nil"/>
        </w:pBdr>
        <w:spacing w:before="240"/>
        <w:jc w:val="both"/>
        <w:rPr>
          <w:rFonts w:ascii="Century Gothic" w:eastAsia="Century Gothic" w:hAnsi="Century Gothic" w:cs="Century Gothic"/>
          <w:color w:val="000000"/>
        </w:rPr>
      </w:pPr>
      <w:r>
        <w:rPr>
          <w:rFonts w:ascii="Century Gothic" w:eastAsia="Century Gothic" w:hAnsi="Century Gothic" w:cs="Century Gothic"/>
          <w:color w:val="000000"/>
        </w:rPr>
        <w:t>Brinda el andamiaje legal para actuar preventivamente en el territorio y permite a las autoridades locales intervenir en problemas estructurales que afectan la seguridad de mujeres y niñez, como la violencia intraf</w:t>
      </w:r>
      <w:r>
        <w:rPr>
          <w:rFonts w:ascii="Century Gothic" w:eastAsia="Century Gothic" w:hAnsi="Century Gothic" w:cs="Century Gothic"/>
          <w:color w:val="000000"/>
        </w:rPr>
        <w:t>amiliar, la ocupación de espacio público por redes de trata o explotación sexual, y la inseguridad en zonas escolares.</w:t>
      </w:r>
    </w:p>
    <w:p w14:paraId="396D4FBA" w14:textId="77777777" w:rsidR="00AA5550" w:rsidRDefault="00AA5550">
      <w:pPr>
        <w:pBdr>
          <w:top w:val="nil"/>
          <w:left w:val="nil"/>
          <w:bottom w:val="nil"/>
          <w:right w:val="nil"/>
          <w:between w:val="nil"/>
        </w:pBdr>
        <w:ind w:left="720"/>
        <w:jc w:val="both"/>
        <w:rPr>
          <w:rFonts w:ascii="Century Gothic" w:eastAsia="Century Gothic" w:hAnsi="Century Gothic" w:cs="Century Gothic"/>
          <w:color w:val="000000"/>
        </w:rPr>
      </w:pPr>
    </w:p>
    <w:p w14:paraId="3198715B" w14:textId="77777777" w:rsidR="00AA5550" w:rsidRDefault="00045FF4">
      <w:pPr>
        <w:numPr>
          <w:ilvl w:val="0"/>
          <w:numId w:val="29"/>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El proyecto de ley integra y fortalece este marco al priorizar la generación de entornos seguros desde una perspectiva de derechos, géne</w:t>
      </w:r>
      <w:r>
        <w:rPr>
          <w:rFonts w:ascii="Century Gothic" w:eastAsia="Century Gothic" w:hAnsi="Century Gothic" w:cs="Century Gothic"/>
          <w:color w:val="000000"/>
        </w:rPr>
        <w:t xml:space="preserve">ro, curso de vida e interseccionalidad. </w:t>
      </w:r>
    </w:p>
    <w:p w14:paraId="40418148" w14:textId="77777777" w:rsidR="00AA5550" w:rsidRDefault="00045FF4">
      <w:pPr>
        <w:numPr>
          <w:ilvl w:val="0"/>
          <w:numId w:val="29"/>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Permite articular competencias municipales y distritales en coordinación con comisarías de familia, ICBF, instituciones educativas, salud pública y comunidad organizada.</w:t>
      </w:r>
    </w:p>
    <w:p w14:paraId="2C097D1A" w14:textId="77777777" w:rsidR="00AA5550" w:rsidRDefault="00AA5550">
      <w:pPr>
        <w:pBdr>
          <w:top w:val="nil"/>
          <w:left w:val="nil"/>
          <w:bottom w:val="nil"/>
          <w:right w:val="nil"/>
          <w:between w:val="nil"/>
        </w:pBdr>
        <w:ind w:left="720"/>
        <w:jc w:val="both"/>
        <w:rPr>
          <w:rFonts w:ascii="Century Gothic" w:eastAsia="Century Gothic" w:hAnsi="Century Gothic" w:cs="Century Gothic"/>
          <w:color w:val="000000"/>
        </w:rPr>
      </w:pPr>
    </w:p>
    <w:p w14:paraId="03110F0A" w14:textId="77777777" w:rsidR="00AA5550" w:rsidRDefault="00045FF4">
      <w:pPr>
        <w:numPr>
          <w:ilvl w:val="0"/>
          <w:numId w:val="29"/>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Artículo 9: Define los principios de la actuación policial, entre ellos el principio de prevención, proporcionalidad y respeto por los derechos humanos, fundamentales para no criminalizar la pobreza ni la protesta social, y evitar actuaciones discriminator</w:t>
      </w:r>
      <w:r>
        <w:rPr>
          <w:rFonts w:ascii="Century Gothic" w:eastAsia="Century Gothic" w:hAnsi="Century Gothic" w:cs="Century Gothic"/>
          <w:color w:val="000000"/>
        </w:rPr>
        <w:t>ias.</w:t>
      </w:r>
    </w:p>
    <w:p w14:paraId="407A95C6" w14:textId="77777777" w:rsidR="00AA5550" w:rsidRDefault="00AA5550">
      <w:pPr>
        <w:pBdr>
          <w:top w:val="nil"/>
          <w:left w:val="nil"/>
          <w:bottom w:val="nil"/>
          <w:right w:val="nil"/>
          <w:between w:val="nil"/>
        </w:pBdr>
        <w:ind w:left="720"/>
        <w:jc w:val="both"/>
        <w:rPr>
          <w:rFonts w:ascii="Century Gothic" w:eastAsia="Century Gothic" w:hAnsi="Century Gothic" w:cs="Century Gothic"/>
          <w:color w:val="000000"/>
        </w:rPr>
      </w:pPr>
    </w:p>
    <w:p w14:paraId="39D0AE0A" w14:textId="77777777" w:rsidR="00AA5550" w:rsidRDefault="00045FF4">
      <w:pPr>
        <w:numPr>
          <w:ilvl w:val="0"/>
          <w:numId w:val="29"/>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Artículo 10: Establece los fines del Código, entre los cuales se incluye la protección de la vida e integridad personal, la convivencia pacífica, y la prevención de riesgos, todos alineados con los objetivos del proyecto.</w:t>
      </w:r>
      <w:r>
        <w:rPr>
          <w:rFonts w:ascii="Century Gothic" w:eastAsia="Century Gothic" w:hAnsi="Century Gothic" w:cs="Century Gothic"/>
          <w:color w:val="000000"/>
        </w:rPr>
        <w:br/>
      </w:r>
    </w:p>
    <w:p w14:paraId="15B18FB3" w14:textId="77777777" w:rsidR="00AA5550" w:rsidRDefault="00045FF4">
      <w:pPr>
        <w:numPr>
          <w:ilvl w:val="0"/>
          <w:numId w:val="29"/>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Artículo 12: Define los com</w:t>
      </w:r>
      <w:r>
        <w:rPr>
          <w:rFonts w:ascii="Century Gothic" w:eastAsia="Century Gothic" w:hAnsi="Century Gothic" w:cs="Century Gothic"/>
          <w:color w:val="000000"/>
        </w:rPr>
        <w:t>portamientos que afectan la convivencia, incluyendo aquellos que ponen en riesgo la integridad de personas en situación de vulnerabilidad (mujeres, niños y niñas), como el acoso callejero, el consumo de sustancias psicoactivas en espacios escolares, y el a</w:t>
      </w:r>
      <w:r>
        <w:rPr>
          <w:rFonts w:ascii="Century Gothic" w:eastAsia="Century Gothic" w:hAnsi="Century Gothic" w:cs="Century Gothic"/>
          <w:color w:val="000000"/>
        </w:rPr>
        <w:t>bandono de menores.</w:t>
      </w:r>
    </w:p>
    <w:p w14:paraId="57E2863D" w14:textId="77777777" w:rsidR="00AA5550" w:rsidRDefault="00AA5550">
      <w:pPr>
        <w:pBdr>
          <w:top w:val="nil"/>
          <w:left w:val="nil"/>
          <w:bottom w:val="nil"/>
          <w:right w:val="nil"/>
          <w:between w:val="nil"/>
        </w:pBdr>
        <w:ind w:left="720"/>
        <w:jc w:val="both"/>
        <w:rPr>
          <w:rFonts w:ascii="Century Gothic" w:eastAsia="Century Gothic" w:hAnsi="Century Gothic" w:cs="Century Gothic"/>
          <w:color w:val="000000"/>
        </w:rPr>
      </w:pPr>
    </w:p>
    <w:p w14:paraId="2844C58D" w14:textId="77777777" w:rsidR="00AA5550" w:rsidRDefault="00045FF4">
      <w:pPr>
        <w:numPr>
          <w:ilvl w:val="0"/>
          <w:numId w:val="29"/>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Artículo 15 y siguientes: Regulan el uso y control del espacio público, los entornos escolares, las zonas de alto riesgo, y las competencias para prevenir el reclutamiento, la explotación o el abuso en contextos comunitarios.</w:t>
      </w:r>
      <w:r>
        <w:rPr>
          <w:rFonts w:ascii="Century Gothic" w:eastAsia="Century Gothic" w:hAnsi="Century Gothic" w:cs="Century Gothic"/>
          <w:color w:val="000000"/>
        </w:rPr>
        <w:br/>
      </w:r>
    </w:p>
    <w:p w14:paraId="715B8192" w14:textId="77777777" w:rsidR="00AA5550" w:rsidRDefault="00045FF4">
      <w:pPr>
        <w:numPr>
          <w:ilvl w:val="0"/>
          <w:numId w:val="29"/>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Aunque l</w:t>
      </w:r>
      <w:r>
        <w:rPr>
          <w:rFonts w:ascii="Century Gothic" w:eastAsia="Century Gothic" w:hAnsi="Century Gothic" w:cs="Century Gothic"/>
          <w:color w:val="000000"/>
        </w:rPr>
        <w:t>a Ley 1801 menciona la seguridad y convivencia en espacios comunitarios, carece de un enfoque integral y diferencial que atienda las múltiples violencias que afectan a mujeres y niñez en esos entornos.</w:t>
      </w:r>
      <w:r>
        <w:rPr>
          <w:rFonts w:ascii="Century Gothic" w:eastAsia="Century Gothic" w:hAnsi="Century Gothic" w:cs="Century Gothic"/>
          <w:color w:val="000000"/>
        </w:rPr>
        <w:br/>
      </w:r>
    </w:p>
    <w:p w14:paraId="5E86A597" w14:textId="77777777" w:rsidR="00AA5550" w:rsidRDefault="00045FF4">
      <w:pPr>
        <w:numPr>
          <w:ilvl w:val="0"/>
          <w:numId w:val="29"/>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No existe un sistema articulado de intervención inter</w:t>
      </w:r>
      <w:r>
        <w:rPr>
          <w:rFonts w:ascii="Century Gothic" w:eastAsia="Century Gothic" w:hAnsi="Century Gothic" w:cs="Century Gothic"/>
          <w:color w:val="000000"/>
        </w:rPr>
        <w:t>sectorial, lo que impide responder de forma sostenida, con enfoque preventivo, a los factores estructurales de inseguridad.</w:t>
      </w:r>
    </w:p>
    <w:p w14:paraId="6E8B6CE4" w14:textId="77777777" w:rsidR="00AA5550" w:rsidRDefault="00AA5550">
      <w:pPr>
        <w:pBdr>
          <w:top w:val="nil"/>
          <w:left w:val="nil"/>
          <w:bottom w:val="nil"/>
          <w:right w:val="nil"/>
          <w:between w:val="nil"/>
        </w:pBdr>
        <w:ind w:left="720"/>
        <w:jc w:val="both"/>
        <w:rPr>
          <w:rFonts w:ascii="Century Gothic" w:eastAsia="Century Gothic" w:hAnsi="Century Gothic" w:cs="Century Gothic"/>
          <w:color w:val="000000"/>
        </w:rPr>
      </w:pPr>
    </w:p>
    <w:p w14:paraId="75DD5B44" w14:textId="77777777" w:rsidR="00AA5550" w:rsidRDefault="00045FF4">
      <w:pPr>
        <w:numPr>
          <w:ilvl w:val="0"/>
          <w:numId w:val="29"/>
        </w:numPr>
        <w:pBdr>
          <w:top w:val="nil"/>
          <w:left w:val="nil"/>
          <w:bottom w:val="nil"/>
          <w:right w:val="nil"/>
          <w:between w:val="nil"/>
        </w:pBdr>
        <w:spacing w:after="240"/>
        <w:jc w:val="both"/>
        <w:rPr>
          <w:rFonts w:ascii="Century Gothic" w:eastAsia="Century Gothic" w:hAnsi="Century Gothic" w:cs="Century Gothic"/>
          <w:color w:val="000000"/>
        </w:rPr>
      </w:pPr>
      <w:r>
        <w:rPr>
          <w:rFonts w:ascii="Century Gothic" w:eastAsia="Century Gothic" w:hAnsi="Century Gothic" w:cs="Century Gothic"/>
          <w:color w:val="000000"/>
        </w:rPr>
        <w:t>Las herramientas existentes son predominantemente policiales o coercitivas, sin integrar la pedagogía, la corresponsabilidad comuni</w:t>
      </w:r>
      <w:r>
        <w:rPr>
          <w:rFonts w:ascii="Century Gothic" w:eastAsia="Century Gothic" w:hAnsi="Century Gothic" w:cs="Century Gothic"/>
          <w:color w:val="000000"/>
        </w:rPr>
        <w:t>taria o la promoción de capacidades locales.</w:t>
      </w:r>
    </w:p>
    <w:p w14:paraId="48032408"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El Proyecto de Ley propone justamente superar estas limitaciones al articular la seguridad con el enfoque de género, la participación ciudadana y la intervención social.</w:t>
      </w:r>
    </w:p>
    <w:p w14:paraId="3B8A2923"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Articulación constitucional:</w:t>
      </w:r>
    </w:p>
    <w:p w14:paraId="3E590293" w14:textId="77777777" w:rsidR="00AA5550" w:rsidRDefault="00045FF4">
      <w:pPr>
        <w:numPr>
          <w:ilvl w:val="0"/>
          <w:numId w:val="30"/>
        </w:numPr>
        <w:pBdr>
          <w:top w:val="nil"/>
          <w:left w:val="nil"/>
          <w:bottom w:val="nil"/>
          <w:right w:val="nil"/>
          <w:between w:val="nil"/>
        </w:pBdr>
        <w:spacing w:before="240"/>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Se alinea con los artículos 1, 2, 13, 42, 44, 365 y 366 d</w:t>
      </w:r>
      <w:r>
        <w:rPr>
          <w:rFonts w:ascii="Century Gothic" w:eastAsia="Century Gothic" w:hAnsi="Century Gothic" w:cs="Century Gothic"/>
          <w:color w:val="000000"/>
        </w:rPr>
        <w:t>e la Constitución, que imponen al Estado el deber de garantizar condiciones de seguridad, dignidad e igualdad, especialmente en los espacios que rodean a las personas más vulnerables.</w:t>
      </w:r>
      <w:r>
        <w:rPr>
          <w:rFonts w:ascii="Century Gothic" w:eastAsia="Century Gothic" w:hAnsi="Century Gothic" w:cs="Century Gothic"/>
          <w:color w:val="000000"/>
        </w:rPr>
        <w:br/>
      </w:r>
    </w:p>
    <w:p w14:paraId="77C49997" w14:textId="77777777" w:rsidR="00AA5550" w:rsidRDefault="00045FF4">
      <w:pPr>
        <w:numPr>
          <w:ilvl w:val="0"/>
          <w:numId w:val="30"/>
        </w:numPr>
        <w:pBdr>
          <w:top w:val="nil"/>
          <w:left w:val="nil"/>
          <w:bottom w:val="nil"/>
          <w:right w:val="nil"/>
          <w:between w:val="nil"/>
        </w:pBdr>
        <w:spacing w:after="240"/>
        <w:jc w:val="both"/>
        <w:rPr>
          <w:rFonts w:ascii="Century Gothic" w:eastAsia="Century Gothic" w:hAnsi="Century Gothic" w:cs="Century Gothic"/>
          <w:color w:val="000000"/>
        </w:rPr>
      </w:pPr>
      <w:r>
        <w:rPr>
          <w:rFonts w:ascii="Century Gothic" w:eastAsia="Century Gothic" w:hAnsi="Century Gothic" w:cs="Century Gothic"/>
          <w:color w:val="000000"/>
        </w:rPr>
        <w:t>La Corte Constitucional, en sentencias como C-223 de 2017 y C-223 de 20</w:t>
      </w:r>
      <w:r>
        <w:rPr>
          <w:rFonts w:ascii="Century Gothic" w:eastAsia="Century Gothic" w:hAnsi="Century Gothic" w:cs="Century Gothic"/>
          <w:color w:val="000000"/>
        </w:rPr>
        <w:t>22, ha subrayado que el Código debe interpretarse conforme a los derechos fundamentales, y que no puede ser un instrumento de represión sino de garantía efectiva de derechos, lo que refuerza el enfoque garantista del proyecto.</w:t>
      </w:r>
    </w:p>
    <w:p w14:paraId="4C452E0A"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 Ley 1801 de 2016 constituy</w:t>
      </w:r>
      <w:r>
        <w:rPr>
          <w:rFonts w:ascii="Century Gothic" w:eastAsia="Century Gothic" w:hAnsi="Century Gothic" w:cs="Century Gothic"/>
        </w:rPr>
        <w:t>e el instrumento operativo territorial por excelencia para construir entornos seguros. Sin embargo, su implementación carece de un marco normativo integral, coordinado y diferencial que asegure su aplicación coherente con la protección reforzada de mujeres</w:t>
      </w:r>
      <w:r>
        <w:rPr>
          <w:rFonts w:ascii="Century Gothic" w:eastAsia="Century Gothic" w:hAnsi="Century Gothic" w:cs="Century Gothic"/>
        </w:rPr>
        <w:t>, niñas, niños y adolescentes. El Proyecto de Ley de Entornos Seguros permite cumplir ese mandato al articular competencias locales, enfoques de derechos y prevención estructural de violencias, dando vida efectiva a las herramientas previstas en el Código.</w:t>
      </w:r>
    </w:p>
    <w:p w14:paraId="15041CF6" w14:textId="77777777" w:rsidR="00AA5550" w:rsidRDefault="00045FF4">
      <w:pPr>
        <w:pStyle w:val="Ttulo2"/>
        <w:numPr>
          <w:ilvl w:val="0"/>
          <w:numId w:val="38"/>
        </w:numPr>
        <w:jc w:val="both"/>
        <w:rPr>
          <w:rFonts w:ascii="Century Gothic" w:eastAsia="Century Gothic" w:hAnsi="Century Gothic" w:cs="Century Gothic"/>
          <w:b/>
          <w:sz w:val="22"/>
          <w:szCs w:val="22"/>
        </w:rPr>
      </w:pPr>
      <w:bookmarkStart w:id="46" w:name="_heading=h.28i01osu81o5" w:colFirst="0" w:colLast="0"/>
      <w:bookmarkEnd w:id="46"/>
      <w:r>
        <w:rPr>
          <w:rFonts w:ascii="Century Gothic" w:eastAsia="Century Gothic" w:hAnsi="Century Gothic" w:cs="Century Gothic"/>
          <w:b/>
          <w:sz w:val="22"/>
          <w:szCs w:val="22"/>
        </w:rPr>
        <w:t xml:space="preserve"> LEY 1761 DE 2015</w:t>
      </w:r>
    </w:p>
    <w:p w14:paraId="59D7CF59"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 Ley 1761 de 2015, también conocida como la Ley Rosa Elvira Cely, surgió para abordar la omisión del ordenamiento penal colombiano en el reconocimiento del feminicidio como un delito autónomo. Esta ley tipifica el feminicidio en el artículo 104A del Códi</w:t>
      </w:r>
      <w:r>
        <w:rPr>
          <w:rFonts w:ascii="Century Gothic" w:eastAsia="Century Gothic" w:hAnsi="Century Gothic" w:cs="Century Gothic"/>
        </w:rPr>
        <w:t>go Penal, definiéndolo como el asesinato de una mujer por razones de género, con penas de 20 a 41 años de prisión y agravantes en ciertos casos, como cuando la víctima es menor de edad o está embarazada. Su promulgación fue una respuesta directa al caso de</w:t>
      </w:r>
      <w:r>
        <w:rPr>
          <w:rFonts w:ascii="Century Gothic" w:eastAsia="Century Gothic" w:hAnsi="Century Gothic" w:cs="Century Gothic"/>
        </w:rPr>
        <w:t xml:space="preserve"> Rosa Elvira Cely, víctima de un crimen misógino en 2012.</w:t>
      </w:r>
    </w:p>
    <w:p w14:paraId="473A7C32"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 Ley 1761 es importante para el Proyecto de Ley de Entornos Seguros para Mujeres y Niñez por varias razones:</w:t>
      </w:r>
    </w:p>
    <w:p w14:paraId="29BB7577" w14:textId="77777777" w:rsidR="00AA5550" w:rsidRDefault="00045FF4">
      <w:pPr>
        <w:numPr>
          <w:ilvl w:val="0"/>
          <w:numId w:val="31"/>
        </w:numPr>
        <w:pBdr>
          <w:top w:val="nil"/>
          <w:left w:val="nil"/>
          <w:bottom w:val="nil"/>
          <w:right w:val="nil"/>
          <w:between w:val="nil"/>
        </w:pBdr>
        <w:spacing w:before="240"/>
        <w:jc w:val="both"/>
        <w:rPr>
          <w:rFonts w:ascii="Century Gothic" w:eastAsia="Century Gothic" w:hAnsi="Century Gothic" w:cs="Century Gothic"/>
          <w:color w:val="000000"/>
        </w:rPr>
      </w:pPr>
      <w:r>
        <w:rPr>
          <w:rFonts w:ascii="Century Gothic" w:eastAsia="Century Gothic" w:hAnsi="Century Gothic" w:cs="Century Gothic"/>
          <w:color w:val="000000"/>
        </w:rPr>
        <w:t>Refuerza la idea de que la violencia contra las mujeres tiene raíces estructurales y cu</w:t>
      </w:r>
      <w:r>
        <w:rPr>
          <w:rFonts w:ascii="Century Gothic" w:eastAsia="Century Gothic" w:hAnsi="Century Gothic" w:cs="Century Gothic"/>
          <w:color w:val="000000"/>
        </w:rPr>
        <w:t>lturales que deben ser prevenidas antes de llegar al feminicidio.</w:t>
      </w:r>
    </w:p>
    <w:p w14:paraId="17960DE8" w14:textId="77777777" w:rsidR="00AA5550" w:rsidRDefault="00045FF4">
      <w:pPr>
        <w:numPr>
          <w:ilvl w:val="0"/>
          <w:numId w:val="31"/>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Proponer una estrategia preventiva que va más allá del castigo penal, abordando las condiciones que permiten la violencia feminicida.</w:t>
      </w:r>
    </w:p>
    <w:p w14:paraId="72A02F2E" w14:textId="77777777" w:rsidR="00AA5550" w:rsidRDefault="00045FF4">
      <w:pPr>
        <w:numPr>
          <w:ilvl w:val="0"/>
          <w:numId w:val="31"/>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Reconoce que la prevención del feminicidio requiere un enfoque integral que incluya iluminación urbana, educación en igual</w:t>
      </w:r>
      <w:r>
        <w:rPr>
          <w:rFonts w:ascii="Century Gothic" w:eastAsia="Century Gothic" w:hAnsi="Century Gothic" w:cs="Century Gothic"/>
          <w:color w:val="000000"/>
        </w:rPr>
        <w:t>dad y fortalecimiento comunitario, aspectos que la Ley 1761 no contempla.</w:t>
      </w:r>
    </w:p>
    <w:p w14:paraId="063EF6DE" w14:textId="77777777" w:rsidR="00AA5550" w:rsidRDefault="00045FF4">
      <w:pPr>
        <w:numPr>
          <w:ilvl w:val="0"/>
          <w:numId w:val="31"/>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La Ley carece de herramientas preventivas y mecanismos de coordinación entre entidades para actuar en zonas de alto riesgo.</w:t>
      </w:r>
    </w:p>
    <w:p w14:paraId="38915F91" w14:textId="77777777" w:rsidR="00AA5550" w:rsidRDefault="00045FF4">
      <w:pPr>
        <w:numPr>
          <w:ilvl w:val="0"/>
          <w:numId w:val="31"/>
        </w:numPr>
        <w:pBdr>
          <w:top w:val="nil"/>
          <w:left w:val="nil"/>
          <w:bottom w:val="nil"/>
          <w:right w:val="nil"/>
          <w:between w:val="nil"/>
        </w:pBdr>
        <w:spacing w:after="240"/>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El proyecto actual complementa la Ley 1761 al ofrecer una </w:t>
      </w:r>
      <w:r>
        <w:rPr>
          <w:rFonts w:ascii="Century Gothic" w:eastAsia="Century Gothic" w:hAnsi="Century Gothic" w:cs="Century Gothic"/>
          <w:color w:val="000000"/>
        </w:rPr>
        <w:t>plataforma estructural que interviene antes del delito, promoviendo entornos protectores y políticas de corresponsabilidad.</w:t>
      </w:r>
    </w:p>
    <w:p w14:paraId="3C0C0B01"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 Ley 1761 de 2015 representa un hito legislativo en la lucha contra la violencia feminicida. Sin embargo, su eficacia ha estado li</w:t>
      </w:r>
      <w:r>
        <w:rPr>
          <w:rFonts w:ascii="Century Gothic" w:eastAsia="Century Gothic" w:hAnsi="Century Gothic" w:cs="Century Gothic"/>
        </w:rPr>
        <w:t>mitada por la ausencia de un marco normativo integral que actúe sobre los factores de riesgo previos al delito. En consecuencia, el proyecto de Ley de Entornos Seguros para Mujeres y Niñez se posiciona como el complemento necesario para traducir el reconoc</w:t>
      </w:r>
      <w:r>
        <w:rPr>
          <w:rFonts w:ascii="Century Gothic" w:eastAsia="Century Gothic" w:hAnsi="Century Gothic" w:cs="Century Gothic"/>
        </w:rPr>
        <w:t>imiento penal del feminicidio en una política pública sostenida de prevención, en cumplimiento del artículo 11 (vida), 12 (tratos crueles), 13 (igualdad) y 93 (bloque de constitucionalidad) de la Constitución Política de Colombia.</w:t>
      </w:r>
    </w:p>
    <w:p w14:paraId="350EEA39" w14:textId="77777777" w:rsidR="00AA5550" w:rsidRDefault="00045FF4">
      <w:pPr>
        <w:pStyle w:val="Ttulo2"/>
        <w:numPr>
          <w:ilvl w:val="0"/>
          <w:numId w:val="38"/>
        </w:numPr>
        <w:jc w:val="both"/>
        <w:rPr>
          <w:rFonts w:ascii="Century Gothic" w:eastAsia="Century Gothic" w:hAnsi="Century Gothic" w:cs="Century Gothic"/>
          <w:b/>
          <w:sz w:val="22"/>
          <w:szCs w:val="22"/>
        </w:rPr>
      </w:pPr>
      <w:bookmarkStart w:id="47" w:name="_heading=h.6hq5jasdv8vv" w:colFirst="0" w:colLast="0"/>
      <w:bookmarkEnd w:id="47"/>
      <w:r>
        <w:rPr>
          <w:rFonts w:ascii="Century Gothic" w:eastAsia="Century Gothic" w:hAnsi="Century Gothic" w:cs="Century Gothic"/>
          <w:b/>
          <w:sz w:val="22"/>
          <w:szCs w:val="22"/>
        </w:rPr>
        <w:t>LEY 1257 DE 2008</w:t>
      </w:r>
    </w:p>
    <w:p w14:paraId="183C63C7" w14:textId="77777777" w:rsidR="00AA5550" w:rsidRDefault="00045FF4">
      <w:pPr>
        <w:pBdr>
          <w:top w:val="nil"/>
          <w:left w:val="nil"/>
          <w:bottom w:val="nil"/>
          <w:right w:val="nil"/>
          <w:between w:val="nil"/>
        </w:pBdr>
        <w:spacing w:before="280" w:after="280"/>
        <w:jc w:val="both"/>
        <w:rPr>
          <w:rFonts w:ascii="Century Gothic" w:eastAsia="Century Gothic" w:hAnsi="Century Gothic" w:cs="Century Gothic"/>
          <w:color w:val="000000"/>
        </w:rPr>
      </w:pPr>
      <w:r>
        <w:rPr>
          <w:rFonts w:ascii="Century Gothic" w:eastAsia="Century Gothic" w:hAnsi="Century Gothic" w:cs="Century Gothic"/>
          <w:color w:val="000000"/>
        </w:rPr>
        <w:t>La Ley 1</w:t>
      </w:r>
      <w:r>
        <w:rPr>
          <w:rFonts w:ascii="Century Gothic" w:eastAsia="Century Gothic" w:hAnsi="Century Gothic" w:cs="Century Gothic"/>
          <w:color w:val="000000"/>
        </w:rPr>
        <w:t>257 de 2008 es un instrumento normativo clave en Colombia para erradicar la violencia contra la mujer, cumpliendo compromisos internacionales como la CEDAW y la Convención de Belém do Pará.</w:t>
      </w:r>
    </w:p>
    <w:p w14:paraId="5FCC7F51" w14:textId="77777777" w:rsidR="00AA5550" w:rsidRDefault="00045FF4">
      <w:pPr>
        <w:pBdr>
          <w:top w:val="nil"/>
          <w:left w:val="nil"/>
          <w:bottom w:val="nil"/>
          <w:right w:val="nil"/>
          <w:between w:val="nil"/>
        </w:pBdr>
        <w:spacing w:before="280" w:after="280"/>
        <w:jc w:val="both"/>
        <w:rPr>
          <w:rFonts w:ascii="Century Gothic" w:eastAsia="Century Gothic" w:hAnsi="Century Gothic" w:cs="Century Gothic"/>
          <w:color w:val="000000"/>
        </w:rPr>
      </w:pPr>
      <w:r>
        <w:rPr>
          <w:rFonts w:ascii="Century Gothic" w:eastAsia="Century Gothic" w:hAnsi="Century Gothic" w:cs="Century Gothic"/>
          <w:color w:val="000000"/>
        </w:rPr>
        <w:t>Su objeto es garantizar una vida libre de violencias para las muje</w:t>
      </w:r>
      <w:r>
        <w:rPr>
          <w:rFonts w:ascii="Century Gothic" w:eastAsia="Century Gothic" w:hAnsi="Century Gothic" w:cs="Century Gothic"/>
          <w:color w:val="000000"/>
        </w:rPr>
        <w:t>res, a través de cuatro ejes: sensibilización, prevención, protección y atención.</w:t>
      </w:r>
    </w:p>
    <w:p w14:paraId="433D1ED7" w14:textId="77777777" w:rsidR="00AA5550" w:rsidRDefault="00045FF4">
      <w:pPr>
        <w:pBdr>
          <w:top w:val="nil"/>
          <w:left w:val="nil"/>
          <w:bottom w:val="nil"/>
          <w:right w:val="nil"/>
          <w:between w:val="nil"/>
        </w:pBdr>
        <w:spacing w:before="280" w:after="28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La ley introduce el principio de </w:t>
      </w:r>
      <w:r>
        <w:rPr>
          <w:rFonts w:ascii="Century Gothic" w:eastAsia="Century Gothic" w:hAnsi="Century Gothic" w:cs="Century Gothic"/>
          <w:b/>
          <w:color w:val="000000"/>
        </w:rPr>
        <w:t>debida diligencia del Estado</w:t>
      </w:r>
      <w:r>
        <w:rPr>
          <w:rFonts w:ascii="Century Gothic" w:eastAsia="Century Gothic" w:hAnsi="Century Gothic" w:cs="Century Gothic"/>
          <w:color w:val="000000"/>
        </w:rPr>
        <w:t xml:space="preserve"> para prevenir, investigar, sancionar y reparar las violencias basadas en género, un principio que la Corte Const</w:t>
      </w:r>
      <w:r>
        <w:rPr>
          <w:rFonts w:ascii="Century Gothic" w:eastAsia="Century Gothic" w:hAnsi="Century Gothic" w:cs="Century Gothic"/>
          <w:color w:val="000000"/>
        </w:rPr>
        <w:t>itucional ha reiterado como vinculante (Sentencia C-052 de 2021).</w:t>
      </w:r>
    </w:p>
    <w:p w14:paraId="1AD504D6" w14:textId="77777777" w:rsidR="00AA5550" w:rsidRDefault="00045FF4">
      <w:pPr>
        <w:pBdr>
          <w:top w:val="nil"/>
          <w:left w:val="nil"/>
          <w:bottom w:val="nil"/>
          <w:right w:val="nil"/>
          <w:between w:val="nil"/>
        </w:pBdr>
        <w:spacing w:before="280" w:after="28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Reconoce la </w:t>
      </w:r>
      <w:r>
        <w:rPr>
          <w:rFonts w:ascii="Century Gothic" w:eastAsia="Century Gothic" w:hAnsi="Century Gothic" w:cs="Century Gothic"/>
          <w:b/>
          <w:color w:val="000000"/>
        </w:rPr>
        <w:t>violencia estructural y cultural</w:t>
      </w:r>
      <w:r>
        <w:rPr>
          <w:rFonts w:ascii="Century Gothic" w:eastAsia="Century Gothic" w:hAnsi="Century Gothic" w:cs="Century Gothic"/>
          <w:color w:val="000000"/>
        </w:rPr>
        <w:t xml:space="preserve"> como perpetuadores de la discriminación, lo que se alinea con la nueva ley propuesta que busca intervenir territorios, transformar riesgos e instaurar corresponsabilidad.</w:t>
      </w:r>
    </w:p>
    <w:p w14:paraId="79273A57" w14:textId="77777777" w:rsidR="00AA5550" w:rsidRDefault="00045FF4">
      <w:pPr>
        <w:pBdr>
          <w:top w:val="nil"/>
          <w:left w:val="nil"/>
          <w:bottom w:val="nil"/>
          <w:right w:val="nil"/>
          <w:between w:val="nil"/>
        </w:pBdr>
        <w:spacing w:before="280" w:after="28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Su Artículo 7 exige </w:t>
      </w:r>
      <w:r>
        <w:rPr>
          <w:rFonts w:ascii="Century Gothic" w:eastAsia="Century Gothic" w:hAnsi="Century Gothic" w:cs="Century Gothic"/>
          <w:b/>
          <w:color w:val="000000"/>
        </w:rPr>
        <w:t>campañas educativas</w:t>
      </w:r>
      <w:r>
        <w:rPr>
          <w:rFonts w:ascii="Century Gothic" w:eastAsia="Century Gothic" w:hAnsi="Century Gothic" w:cs="Century Gothic"/>
          <w:color w:val="000000"/>
        </w:rPr>
        <w:t xml:space="preserve"> para cambiar patrones socioculturales sexist</w:t>
      </w:r>
      <w:r>
        <w:rPr>
          <w:rFonts w:ascii="Century Gothic" w:eastAsia="Century Gothic" w:hAnsi="Century Gothic" w:cs="Century Gothic"/>
          <w:color w:val="000000"/>
        </w:rPr>
        <w:t>as, lo cual se relaciona con la Sentencia T-104 de 2025 de la Corte Constitucional y las medidas de prevención territorial que se buscan fortalecer.</w:t>
      </w:r>
    </w:p>
    <w:p w14:paraId="70F60913" w14:textId="77777777" w:rsidR="00AA5550" w:rsidRDefault="00045FF4">
      <w:pPr>
        <w:pBdr>
          <w:top w:val="nil"/>
          <w:left w:val="nil"/>
          <w:bottom w:val="nil"/>
          <w:right w:val="nil"/>
          <w:between w:val="nil"/>
        </w:pBdr>
        <w:spacing w:before="280" w:after="28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El Título IV promueve la </w:t>
      </w:r>
      <w:r>
        <w:rPr>
          <w:rFonts w:ascii="Century Gothic" w:eastAsia="Century Gothic" w:hAnsi="Century Gothic" w:cs="Century Gothic"/>
          <w:b/>
          <w:color w:val="000000"/>
        </w:rPr>
        <w:t>articulación intersectorial</w:t>
      </w:r>
      <w:r>
        <w:rPr>
          <w:rFonts w:ascii="Century Gothic" w:eastAsia="Century Gothic" w:hAnsi="Century Gothic" w:cs="Century Gothic"/>
          <w:color w:val="000000"/>
        </w:rPr>
        <w:t xml:space="preserve"> entre entidades nacionales, departamentales y municipa</w:t>
      </w:r>
      <w:r>
        <w:rPr>
          <w:rFonts w:ascii="Century Gothic" w:eastAsia="Century Gothic" w:hAnsi="Century Gothic" w:cs="Century Gothic"/>
          <w:color w:val="000000"/>
        </w:rPr>
        <w:t>les para proteger los derechos de las mujeres, pero carece de mecanismos operativos vinculantes para asegurar esa coordinación. El nuevo proyecto de ley de entornos seguros busca llenar este vacío con una arquitectura normativa integral y articulada, sin c</w:t>
      </w:r>
      <w:r>
        <w:rPr>
          <w:rFonts w:ascii="Century Gothic" w:eastAsia="Century Gothic" w:hAnsi="Century Gothic" w:cs="Century Gothic"/>
          <w:color w:val="000000"/>
        </w:rPr>
        <w:t>rear nuevas entidades ni cargas fiscales.</w:t>
      </w:r>
    </w:p>
    <w:p w14:paraId="29C70647" w14:textId="77777777" w:rsidR="00AA5550" w:rsidRDefault="00045FF4">
      <w:pPr>
        <w:pBdr>
          <w:top w:val="nil"/>
          <w:left w:val="nil"/>
          <w:bottom w:val="nil"/>
          <w:right w:val="nil"/>
          <w:between w:val="nil"/>
        </w:pBdr>
        <w:spacing w:before="280" w:after="280"/>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 xml:space="preserve">Esta ley es el referente básico para la protección de mujeres, pero </w:t>
      </w:r>
      <w:r>
        <w:rPr>
          <w:rFonts w:ascii="Century Gothic" w:eastAsia="Century Gothic" w:hAnsi="Century Gothic" w:cs="Century Gothic"/>
          <w:b/>
          <w:color w:val="000000"/>
        </w:rPr>
        <w:t>no abarca suficientemente el enfoque territorial ni incluye explícitamente a la niñez</w:t>
      </w:r>
      <w:r>
        <w:rPr>
          <w:rFonts w:ascii="Century Gothic" w:eastAsia="Century Gothic" w:hAnsi="Century Gothic" w:cs="Century Gothic"/>
          <w:color w:val="000000"/>
        </w:rPr>
        <w:t xml:space="preserve"> como sujeto prioritario en entornos seguros.</w:t>
      </w:r>
    </w:p>
    <w:p w14:paraId="5348ACAE" w14:textId="77777777" w:rsidR="00AA5550" w:rsidRDefault="00045FF4">
      <w:pPr>
        <w:pBdr>
          <w:top w:val="nil"/>
          <w:left w:val="nil"/>
          <w:bottom w:val="nil"/>
          <w:right w:val="nil"/>
          <w:between w:val="nil"/>
        </w:pBdr>
        <w:spacing w:before="280" w:after="280"/>
        <w:jc w:val="both"/>
        <w:rPr>
          <w:rFonts w:ascii="Century Gothic" w:eastAsia="Century Gothic" w:hAnsi="Century Gothic" w:cs="Century Gothic"/>
          <w:color w:val="000000"/>
        </w:rPr>
      </w:pPr>
      <w:r>
        <w:rPr>
          <w:rFonts w:ascii="Century Gothic" w:eastAsia="Century Gothic" w:hAnsi="Century Gothic" w:cs="Century Gothic"/>
          <w:color w:val="000000"/>
        </w:rPr>
        <w:t>Por lo tanto, e</w:t>
      </w:r>
      <w:r>
        <w:rPr>
          <w:rFonts w:ascii="Century Gothic" w:eastAsia="Century Gothic" w:hAnsi="Century Gothic" w:cs="Century Gothic"/>
          <w:color w:val="000000"/>
        </w:rPr>
        <w:t xml:space="preserve">l Proyecto de Ley de Entornos Seguros no deroga la Ley 1257 de 2008, sino que la </w:t>
      </w:r>
      <w:r>
        <w:rPr>
          <w:rFonts w:ascii="Century Gothic" w:eastAsia="Century Gothic" w:hAnsi="Century Gothic" w:cs="Century Gothic"/>
          <w:b/>
          <w:color w:val="000000"/>
        </w:rPr>
        <w:t>complementa y desarrolla</w:t>
      </w:r>
      <w:r>
        <w:rPr>
          <w:rFonts w:ascii="Century Gothic" w:eastAsia="Century Gothic" w:hAnsi="Century Gothic" w:cs="Century Gothic"/>
          <w:color w:val="000000"/>
        </w:rPr>
        <w:t xml:space="preserve"> en sus aspectos más débiles: coordinación territorial, iluminación y seguridad del espacio público, prevención comunitaria, enfoque de curso de vida y participación ciudadana.</w:t>
      </w:r>
    </w:p>
    <w:p w14:paraId="261575B7" w14:textId="77777777" w:rsidR="00AA5550" w:rsidRDefault="00045FF4">
      <w:pPr>
        <w:pStyle w:val="Ttulo2"/>
        <w:numPr>
          <w:ilvl w:val="0"/>
          <w:numId w:val="38"/>
        </w:numPr>
        <w:jc w:val="both"/>
        <w:rPr>
          <w:rFonts w:ascii="Century Gothic" w:eastAsia="Century Gothic" w:hAnsi="Century Gothic" w:cs="Century Gothic"/>
          <w:b/>
          <w:sz w:val="22"/>
          <w:szCs w:val="22"/>
        </w:rPr>
      </w:pPr>
      <w:bookmarkStart w:id="48" w:name="_heading=h.it3dkhjm9a6f" w:colFirst="0" w:colLast="0"/>
      <w:bookmarkEnd w:id="48"/>
      <w:r>
        <w:rPr>
          <w:rFonts w:ascii="Century Gothic" w:eastAsia="Century Gothic" w:hAnsi="Century Gothic" w:cs="Century Gothic"/>
          <w:b/>
          <w:sz w:val="22"/>
          <w:szCs w:val="22"/>
        </w:rPr>
        <w:t>LEY 1098 DE 2006</w:t>
      </w:r>
    </w:p>
    <w:p w14:paraId="2051B38A"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Constituye el desarrollo normativo más robusto en Colombia en </w:t>
      </w:r>
      <w:r>
        <w:rPr>
          <w:rFonts w:ascii="Century Gothic" w:eastAsia="Century Gothic" w:hAnsi="Century Gothic" w:cs="Century Gothic"/>
        </w:rPr>
        <w:t>materia de derechos de los niños, niñas y adolescentes. Sustituye la doctrina de la situación irregular por el enfoque de protección integral, en línea con la Convención sobre los Derechos del Niño (CDN, 1989) y los estándares del Sistema Interamericano de</w:t>
      </w:r>
      <w:r>
        <w:rPr>
          <w:rFonts w:ascii="Century Gothic" w:eastAsia="Century Gothic" w:hAnsi="Century Gothic" w:cs="Century Gothic"/>
        </w:rPr>
        <w:t xml:space="preserve"> Derechos Humanos.</w:t>
      </w:r>
    </w:p>
    <w:p w14:paraId="7961889A"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Este código establece que la niñez es sujeto de derechos prevalentes, e impone al Estado, la sociedad y la familia el deber corresponsable de garantizar su desarrollo integral, protección contra toda forma de violencia, acceso a la justi</w:t>
      </w:r>
      <w:r>
        <w:rPr>
          <w:rFonts w:ascii="Century Gothic" w:eastAsia="Century Gothic" w:hAnsi="Century Gothic" w:cs="Century Gothic"/>
        </w:rPr>
        <w:t>cia y participación activa en decisiones que los afecten.</w:t>
      </w:r>
    </w:p>
    <w:p w14:paraId="2DC2631F"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Relevancia para el Proyecto de Ley de Entornos Seguros para Mujeres y Niñez:</w:t>
      </w:r>
    </w:p>
    <w:p w14:paraId="15617AC0" w14:textId="77777777" w:rsidR="00AA5550" w:rsidRDefault="00045FF4">
      <w:pPr>
        <w:numPr>
          <w:ilvl w:val="0"/>
          <w:numId w:val="32"/>
        </w:numPr>
        <w:pBdr>
          <w:top w:val="nil"/>
          <w:left w:val="nil"/>
          <w:bottom w:val="nil"/>
          <w:right w:val="nil"/>
          <w:between w:val="nil"/>
        </w:pBdr>
        <w:spacing w:before="240"/>
        <w:jc w:val="both"/>
        <w:rPr>
          <w:rFonts w:ascii="Century Gothic" w:eastAsia="Century Gothic" w:hAnsi="Century Gothic" w:cs="Century Gothic"/>
          <w:color w:val="000000"/>
        </w:rPr>
      </w:pPr>
      <w:r>
        <w:rPr>
          <w:rFonts w:ascii="Century Gothic" w:eastAsia="Century Gothic" w:hAnsi="Century Gothic" w:cs="Century Gothic"/>
          <w:color w:val="000000"/>
        </w:rPr>
        <w:t>El proyecto se articula directamente con el enfoque de protección integral, pero va más allá del plano institucional: pro</w:t>
      </w:r>
      <w:r>
        <w:rPr>
          <w:rFonts w:ascii="Century Gothic" w:eastAsia="Century Gothic" w:hAnsi="Century Gothic" w:cs="Century Gothic"/>
          <w:color w:val="000000"/>
        </w:rPr>
        <w:t>pone acciones territoriales, urbanas y comunitarias para transformar los entornos inseguros donde viven miles de niñas, niños y adolescentes, con un enfoque preventivo y de justicia espacial.</w:t>
      </w:r>
      <w:r>
        <w:rPr>
          <w:rFonts w:ascii="Century Gothic" w:eastAsia="Century Gothic" w:hAnsi="Century Gothic" w:cs="Century Gothic"/>
          <w:color w:val="000000"/>
        </w:rPr>
        <w:br/>
      </w:r>
    </w:p>
    <w:p w14:paraId="57AECD19" w14:textId="77777777" w:rsidR="00AA5550" w:rsidRDefault="00045FF4">
      <w:pPr>
        <w:numPr>
          <w:ilvl w:val="0"/>
          <w:numId w:val="32"/>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La Ley 1098 ya contempla medidas administrativas, judiciales y de restablecimiento de derechos, pero no regula ni coordina de manera suficiente los aspectos estructurales del entorno físico y social en el que ocurren las vulneraciones. Por ello, el proyect</w:t>
      </w:r>
      <w:r>
        <w:rPr>
          <w:rFonts w:ascii="Century Gothic" w:eastAsia="Century Gothic" w:hAnsi="Century Gothic" w:cs="Century Gothic"/>
          <w:color w:val="000000"/>
        </w:rPr>
        <w:t>o de ley se plantea como complementario, no sustitutivo, y busca consolidar una política territorializada de entornos protectores.</w:t>
      </w:r>
    </w:p>
    <w:p w14:paraId="67FF1E82" w14:textId="77777777" w:rsidR="00AA5550" w:rsidRDefault="00AA5550">
      <w:pPr>
        <w:pBdr>
          <w:top w:val="nil"/>
          <w:left w:val="nil"/>
          <w:bottom w:val="nil"/>
          <w:right w:val="nil"/>
          <w:between w:val="nil"/>
        </w:pBdr>
        <w:ind w:left="720"/>
        <w:jc w:val="both"/>
        <w:rPr>
          <w:rFonts w:ascii="Century Gothic" w:eastAsia="Century Gothic" w:hAnsi="Century Gothic" w:cs="Century Gothic"/>
          <w:color w:val="000000"/>
        </w:rPr>
      </w:pPr>
    </w:p>
    <w:p w14:paraId="414246AE" w14:textId="77777777" w:rsidR="00AA5550" w:rsidRDefault="00045FF4">
      <w:pPr>
        <w:numPr>
          <w:ilvl w:val="0"/>
          <w:numId w:val="32"/>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Desarrolla el artículo 44 de la Constitución, que consagra los derechos fundamentales de los niños como prevalentes sobre lo</w:t>
      </w:r>
      <w:r>
        <w:rPr>
          <w:rFonts w:ascii="Century Gothic" w:eastAsia="Century Gothic" w:hAnsi="Century Gothic" w:cs="Century Gothic"/>
          <w:color w:val="000000"/>
        </w:rPr>
        <w:t>s de los demás, y exige su protección frente al maltrato, la explotación, el abandono, el abuso sexual y cualquier forma de violencia.</w:t>
      </w:r>
    </w:p>
    <w:p w14:paraId="269E58CE" w14:textId="77777777" w:rsidR="00AA5550" w:rsidRDefault="00AA5550">
      <w:pPr>
        <w:pBdr>
          <w:top w:val="nil"/>
          <w:left w:val="nil"/>
          <w:bottom w:val="nil"/>
          <w:right w:val="nil"/>
          <w:between w:val="nil"/>
        </w:pBdr>
        <w:ind w:left="720"/>
        <w:rPr>
          <w:rFonts w:ascii="Century Gothic" w:eastAsia="Century Gothic" w:hAnsi="Century Gothic" w:cs="Century Gothic"/>
          <w:color w:val="000000"/>
        </w:rPr>
      </w:pPr>
    </w:p>
    <w:p w14:paraId="23C19747" w14:textId="77777777" w:rsidR="00AA5550" w:rsidRDefault="00AA5550">
      <w:pPr>
        <w:pBdr>
          <w:top w:val="nil"/>
          <w:left w:val="nil"/>
          <w:bottom w:val="nil"/>
          <w:right w:val="nil"/>
          <w:between w:val="nil"/>
        </w:pBdr>
        <w:ind w:left="720"/>
        <w:jc w:val="both"/>
        <w:rPr>
          <w:rFonts w:ascii="Century Gothic" w:eastAsia="Century Gothic" w:hAnsi="Century Gothic" w:cs="Century Gothic"/>
          <w:color w:val="000000"/>
        </w:rPr>
      </w:pPr>
    </w:p>
    <w:p w14:paraId="54D53A5C" w14:textId="77777777" w:rsidR="00AA5550" w:rsidRDefault="00045FF4">
      <w:pPr>
        <w:numPr>
          <w:ilvl w:val="0"/>
          <w:numId w:val="32"/>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Alineado con los artículos 13 (igualdad material) y 366 (gasto público prioritario en infancia), establece como imperat</w:t>
      </w:r>
      <w:r>
        <w:rPr>
          <w:rFonts w:ascii="Century Gothic" w:eastAsia="Century Gothic" w:hAnsi="Century Gothic" w:cs="Century Gothic"/>
          <w:color w:val="000000"/>
        </w:rPr>
        <w:t>ivo el diseño de políticas públicas sostenidas, diferenciales y con enfoque territorial.</w:t>
      </w:r>
    </w:p>
    <w:p w14:paraId="132CC4C6" w14:textId="77777777" w:rsidR="00AA5550" w:rsidRDefault="00AA5550">
      <w:pPr>
        <w:pBdr>
          <w:top w:val="nil"/>
          <w:left w:val="nil"/>
          <w:bottom w:val="nil"/>
          <w:right w:val="nil"/>
          <w:between w:val="nil"/>
        </w:pBdr>
        <w:ind w:left="720"/>
        <w:jc w:val="both"/>
        <w:rPr>
          <w:rFonts w:ascii="Century Gothic" w:eastAsia="Century Gothic" w:hAnsi="Century Gothic" w:cs="Century Gothic"/>
          <w:color w:val="000000"/>
        </w:rPr>
      </w:pPr>
    </w:p>
    <w:p w14:paraId="3785A23E" w14:textId="77777777" w:rsidR="00AA5550" w:rsidRDefault="00045FF4">
      <w:pPr>
        <w:numPr>
          <w:ilvl w:val="0"/>
          <w:numId w:val="32"/>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En la Sentencia T-510 de 2003, la Corte reconoció que el derecho de los niños a un entorno seguro y afectivo es esencial para su desarrollo integral, y que el Estado </w:t>
      </w:r>
      <w:r>
        <w:rPr>
          <w:rFonts w:ascii="Century Gothic" w:eastAsia="Century Gothic" w:hAnsi="Century Gothic" w:cs="Century Gothic"/>
          <w:color w:val="000000"/>
        </w:rPr>
        <w:t>debe intervenir de forma temprana y coordinada para prevenir riesgos previsibles.</w:t>
      </w:r>
      <w:r>
        <w:rPr>
          <w:rFonts w:ascii="Century Gothic" w:eastAsia="Century Gothic" w:hAnsi="Century Gothic" w:cs="Century Gothic"/>
          <w:color w:val="000000"/>
        </w:rPr>
        <w:br/>
      </w:r>
    </w:p>
    <w:p w14:paraId="1CADF4D9" w14:textId="77777777" w:rsidR="00AA5550" w:rsidRDefault="00045FF4">
      <w:pPr>
        <w:numPr>
          <w:ilvl w:val="0"/>
          <w:numId w:val="32"/>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En la Sentencia SU-047 de 2019, la Corte reafirmó la protección reforzada de niños y niñas en condiciones de violencia estructural, pobreza o desplazamiento, destacando que </w:t>
      </w:r>
      <w:r>
        <w:rPr>
          <w:rFonts w:ascii="Century Gothic" w:eastAsia="Century Gothic" w:hAnsi="Century Gothic" w:cs="Century Gothic"/>
          <w:color w:val="000000"/>
        </w:rPr>
        <w:t>el interés superior del menor debe ser criterio rector en todas las políticas públicas, lo cual coincide con el propósito central del proyecto de ley.</w:t>
      </w:r>
    </w:p>
    <w:p w14:paraId="5896F7E1" w14:textId="77777777" w:rsidR="00AA5550" w:rsidRDefault="00AA5550">
      <w:pPr>
        <w:pBdr>
          <w:top w:val="nil"/>
          <w:left w:val="nil"/>
          <w:bottom w:val="nil"/>
          <w:right w:val="nil"/>
          <w:between w:val="nil"/>
        </w:pBdr>
        <w:ind w:left="720"/>
        <w:jc w:val="both"/>
        <w:rPr>
          <w:rFonts w:ascii="Century Gothic" w:eastAsia="Century Gothic" w:hAnsi="Century Gothic" w:cs="Century Gothic"/>
          <w:color w:val="000000"/>
        </w:rPr>
      </w:pPr>
    </w:p>
    <w:p w14:paraId="32B064C8" w14:textId="77777777" w:rsidR="00AA5550" w:rsidRDefault="00045FF4">
      <w:pPr>
        <w:numPr>
          <w:ilvl w:val="0"/>
          <w:numId w:val="32"/>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Artículo 18: Prevención integral de riesgos y factores de vulneración.</w:t>
      </w:r>
      <w:r>
        <w:rPr>
          <w:rFonts w:ascii="Century Gothic" w:eastAsia="Century Gothic" w:hAnsi="Century Gothic" w:cs="Century Gothic"/>
          <w:color w:val="000000"/>
        </w:rPr>
        <w:br/>
      </w:r>
    </w:p>
    <w:p w14:paraId="341711AB" w14:textId="77777777" w:rsidR="00AA5550" w:rsidRDefault="00045FF4">
      <w:pPr>
        <w:numPr>
          <w:ilvl w:val="0"/>
          <w:numId w:val="32"/>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Artículo 41: Obligación de las a</w:t>
      </w:r>
      <w:r>
        <w:rPr>
          <w:rFonts w:ascii="Century Gothic" w:eastAsia="Century Gothic" w:hAnsi="Century Gothic" w:cs="Century Gothic"/>
          <w:color w:val="000000"/>
        </w:rPr>
        <w:t>utoridades territoriales de garantizar condiciones para la protección de la niñez.</w:t>
      </w:r>
    </w:p>
    <w:p w14:paraId="740D8BC2" w14:textId="77777777" w:rsidR="00AA5550" w:rsidRDefault="00AA5550">
      <w:pPr>
        <w:pBdr>
          <w:top w:val="nil"/>
          <w:left w:val="nil"/>
          <w:bottom w:val="nil"/>
          <w:right w:val="nil"/>
          <w:between w:val="nil"/>
        </w:pBdr>
        <w:ind w:left="720"/>
        <w:jc w:val="both"/>
        <w:rPr>
          <w:rFonts w:ascii="Century Gothic" w:eastAsia="Century Gothic" w:hAnsi="Century Gothic" w:cs="Century Gothic"/>
          <w:color w:val="000000"/>
        </w:rPr>
      </w:pPr>
    </w:p>
    <w:p w14:paraId="46B78BFC" w14:textId="77777777" w:rsidR="00AA5550" w:rsidRDefault="00045FF4">
      <w:pPr>
        <w:numPr>
          <w:ilvl w:val="0"/>
          <w:numId w:val="32"/>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Artículo 47: Responsabilidad del Estado de generar entornos seguros y protectores para niños y adolescentes.</w:t>
      </w:r>
    </w:p>
    <w:p w14:paraId="0A821BCA" w14:textId="77777777" w:rsidR="00AA5550" w:rsidRDefault="00AA5550">
      <w:pPr>
        <w:pBdr>
          <w:top w:val="nil"/>
          <w:left w:val="nil"/>
          <w:bottom w:val="nil"/>
          <w:right w:val="nil"/>
          <w:between w:val="nil"/>
        </w:pBdr>
        <w:ind w:left="720"/>
        <w:jc w:val="both"/>
        <w:rPr>
          <w:rFonts w:ascii="Century Gothic" w:eastAsia="Century Gothic" w:hAnsi="Century Gothic" w:cs="Century Gothic"/>
          <w:color w:val="000000"/>
        </w:rPr>
      </w:pPr>
    </w:p>
    <w:p w14:paraId="3C70D4AC" w14:textId="77777777" w:rsidR="00AA5550" w:rsidRDefault="00045FF4">
      <w:pPr>
        <w:numPr>
          <w:ilvl w:val="0"/>
          <w:numId w:val="32"/>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Artículo 70: Enfoque de participación en políticas públicas locales de infancia.</w:t>
      </w:r>
      <w:r>
        <w:rPr>
          <w:rFonts w:ascii="Century Gothic" w:eastAsia="Century Gothic" w:hAnsi="Century Gothic" w:cs="Century Gothic"/>
          <w:color w:val="000000"/>
        </w:rPr>
        <w:br/>
      </w:r>
    </w:p>
    <w:p w14:paraId="4F9B9E7A" w14:textId="77777777" w:rsidR="00AA5550" w:rsidRDefault="00045FF4">
      <w:pPr>
        <w:numPr>
          <w:ilvl w:val="0"/>
          <w:numId w:val="32"/>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Artículo 204: Articulación intersectorial para la garantía de de</w:t>
      </w:r>
      <w:r>
        <w:rPr>
          <w:rFonts w:ascii="Century Gothic" w:eastAsia="Century Gothic" w:hAnsi="Century Gothic" w:cs="Century Gothic"/>
          <w:color w:val="000000"/>
        </w:rPr>
        <w:t>rechos.</w:t>
      </w:r>
      <w:r>
        <w:rPr>
          <w:rFonts w:ascii="Century Gothic" w:eastAsia="Century Gothic" w:hAnsi="Century Gothic" w:cs="Century Gothic"/>
          <w:color w:val="000000"/>
        </w:rPr>
        <w:br/>
      </w:r>
    </w:p>
    <w:p w14:paraId="201B9FEA" w14:textId="77777777" w:rsidR="00AA5550" w:rsidRDefault="00045FF4">
      <w:pPr>
        <w:numPr>
          <w:ilvl w:val="0"/>
          <w:numId w:val="32"/>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La falta de transversalización del urbanismo, la seguridad comunitaria, el alumbrado público, el espacio público seguro y la infraestructura social como componentes esenciales de la protección integral.</w:t>
      </w:r>
    </w:p>
    <w:p w14:paraId="5ED29592" w14:textId="77777777" w:rsidR="00AA5550" w:rsidRDefault="00AA5550">
      <w:pPr>
        <w:pBdr>
          <w:top w:val="nil"/>
          <w:left w:val="nil"/>
          <w:bottom w:val="nil"/>
          <w:right w:val="nil"/>
          <w:between w:val="nil"/>
        </w:pBdr>
        <w:ind w:left="720"/>
        <w:jc w:val="both"/>
        <w:rPr>
          <w:rFonts w:ascii="Century Gothic" w:eastAsia="Century Gothic" w:hAnsi="Century Gothic" w:cs="Century Gothic"/>
          <w:color w:val="000000"/>
        </w:rPr>
      </w:pPr>
    </w:p>
    <w:p w14:paraId="4FC0D968" w14:textId="77777777" w:rsidR="00AA5550" w:rsidRDefault="00045FF4">
      <w:pPr>
        <w:numPr>
          <w:ilvl w:val="0"/>
          <w:numId w:val="32"/>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La debilidad en la articulación interinstit</w:t>
      </w:r>
      <w:r>
        <w:rPr>
          <w:rFonts w:ascii="Century Gothic" w:eastAsia="Century Gothic" w:hAnsi="Century Gothic" w:cs="Century Gothic"/>
          <w:color w:val="000000"/>
        </w:rPr>
        <w:t>ucional entre actores locales, nacionales y comunitarios, lo cual ha perpetuado la fragmentación de las respuestas estatales y la desprotección efectiva de la niñez en contextos de riesgo.</w:t>
      </w:r>
      <w:r>
        <w:rPr>
          <w:rFonts w:ascii="Century Gothic" w:eastAsia="Century Gothic" w:hAnsi="Century Gothic" w:cs="Century Gothic"/>
          <w:color w:val="000000"/>
        </w:rPr>
        <w:br/>
      </w:r>
    </w:p>
    <w:p w14:paraId="34613CAE" w14:textId="77777777" w:rsidR="00AA5550" w:rsidRDefault="00045FF4">
      <w:pPr>
        <w:numPr>
          <w:ilvl w:val="0"/>
          <w:numId w:val="32"/>
        </w:numPr>
        <w:pBdr>
          <w:top w:val="nil"/>
          <w:left w:val="nil"/>
          <w:bottom w:val="nil"/>
          <w:right w:val="nil"/>
          <w:between w:val="nil"/>
        </w:pBdr>
        <w:spacing w:after="240"/>
        <w:jc w:val="both"/>
        <w:rPr>
          <w:rFonts w:ascii="Century Gothic" w:eastAsia="Century Gothic" w:hAnsi="Century Gothic" w:cs="Century Gothic"/>
          <w:color w:val="000000"/>
        </w:rPr>
      </w:pPr>
      <w:r>
        <w:rPr>
          <w:rFonts w:ascii="Century Gothic" w:eastAsia="Century Gothic" w:hAnsi="Century Gothic" w:cs="Century Gothic"/>
          <w:color w:val="000000"/>
        </w:rPr>
        <w:t>La ausencia de mecanismos obligatorios de participación territoria</w:t>
      </w:r>
      <w:r>
        <w:rPr>
          <w:rFonts w:ascii="Century Gothic" w:eastAsia="Century Gothic" w:hAnsi="Century Gothic" w:cs="Century Gothic"/>
          <w:color w:val="000000"/>
        </w:rPr>
        <w:t>l vinculante para la formulación de estrategias de prevención estructural y transformación de entornos, especialmente en barrios marginados.</w:t>
      </w:r>
    </w:p>
    <w:p w14:paraId="1161A725"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lastRenderedPageBreak/>
        <w:t>El Código de Infancia y Adolescencia establece los principios, garantías y deberes generales del Estado en relación</w:t>
      </w:r>
      <w:r>
        <w:rPr>
          <w:rFonts w:ascii="Century Gothic" w:eastAsia="Century Gothic" w:hAnsi="Century Gothic" w:cs="Century Gothic"/>
        </w:rPr>
        <w:t xml:space="preserve"> con los derechos de la niñez. Sin embargo, la persistencia de entornos violentos y excluyentes en múltiples territorios del país revela que sus postulados no se han concretado plenamente. El proyecto de Ley de Entornos Seguros para Mujeres y Niñez represe</w:t>
      </w:r>
      <w:r>
        <w:rPr>
          <w:rFonts w:ascii="Century Gothic" w:eastAsia="Century Gothic" w:hAnsi="Century Gothic" w:cs="Century Gothic"/>
        </w:rPr>
        <w:t>nta un paso necesario para territorializar esos principios, corregir vacíos estructurales y avanzar hacia una protección efectiva y multisectorial de la infancia y la adolescencia en Colombia.</w:t>
      </w:r>
    </w:p>
    <w:p w14:paraId="6A55F84D" w14:textId="77777777" w:rsidR="00AA5550" w:rsidRDefault="00045FF4">
      <w:pPr>
        <w:pStyle w:val="Ttulo2"/>
        <w:numPr>
          <w:ilvl w:val="0"/>
          <w:numId w:val="38"/>
        </w:numPr>
        <w:jc w:val="both"/>
        <w:rPr>
          <w:rFonts w:ascii="Century Gothic" w:eastAsia="Century Gothic" w:hAnsi="Century Gothic" w:cs="Century Gothic"/>
          <w:b/>
          <w:sz w:val="22"/>
          <w:szCs w:val="22"/>
        </w:rPr>
      </w:pPr>
      <w:bookmarkStart w:id="49" w:name="_heading=h.juxdea9qtsd4" w:colFirst="0" w:colLast="0"/>
      <w:bookmarkEnd w:id="49"/>
      <w:r>
        <w:rPr>
          <w:rFonts w:ascii="Century Gothic" w:eastAsia="Century Gothic" w:hAnsi="Century Gothic" w:cs="Century Gothic"/>
          <w:b/>
          <w:sz w:val="22"/>
          <w:szCs w:val="22"/>
        </w:rPr>
        <w:t>LEY 294 DE 1996</w:t>
      </w:r>
    </w:p>
    <w:p w14:paraId="7F239535"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 Fue la primera norma de carácter general que reconoció la violencia intrafamiliar como un problema de interés público, no privado, y estableció mecanismos judiciales, administrativos y sociales para prevenirla, remediarla y sancionarla. Constituyó un paso</w:t>
      </w:r>
      <w:r>
        <w:rPr>
          <w:rFonts w:ascii="Century Gothic" w:eastAsia="Century Gothic" w:hAnsi="Century Gothic" w:cs="Century Gothic"/>
        </w:rPr>
        <w:t xml:space="preserve"> trascendental en la materialización del artículo 42 de la Constitución Política, que impone al Estado el deber de proteger a la familia como núcleo fundamental de la sociedad.</w:t>
      </w:r>
    </w:p>
    <w:p w14:paraId="13202065" w14:textId="77777777" w:rsidR="00AA5550" w:rsidRDefault="00045FF4">
      <w:pPr>
        <w:spacing w:after="240"/>
        <w:jc w:val="both"/>
        <w:rPr>
          <w:rFonts w:ascii="Century Gothic" w:eastAsia="Century Gothic" w:hAnsi="Century Gothic" w:cs="Century Gothic"/>
        </w:rPr>
      </w:pPr>
      <w:r>
        <w:rPr>
          <w:rFonts w:ascii="Century Gothic" w:eastAsia="Century Gothic" w:hAnsi="Century Gothic" w:cs="Century Gothic"/>
        </w:rPr>
        <w:t>La importancia de estas leyes para el Proyecto de Ley de Entornos Seguros para Mujeres y Niñez radica en que:</w:t>
      </w:r>
    </w:p>
    <w:p w14:paraId="52878C32" w14:textId="77777777" w:rsidR="00AA5550" w:rsidRDefault="00045FF4">
      <w:pPr>
        <w:numPr>
          <w:ilvl w:val="0"/>
          <w:numId w:val="33"/>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Reconocen el deber estatal de intervenir en dinámicas de violencia que afectan el entorno doméstico, especialmente a mujeres y niños.</w:t>
      </w:r>
    </w:p>
    <w:p w14:paraId="351A3B46" w14:textId="77777777" w:rsidR="00AA5550" w:rsidRDefault="00045FF4">
      <w:pPr>
        <w:numPr>
          <w:ilvl w:val="0"/>
          <w:numId w:val="33"/>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Su enfoque e</w:t>
      </w:r>
      <w:r>
        <w:rPr>
          <w:rFonts w:ascii="Century Gothic" w:eastAsia="Century Gothic" w:hAnsi="Century Gothic" w:cs="Century Gothic"/>
          <w:color w:val="000000"/>
        </w:rPr>
        <w:t>s principalmente jurídico-reactivo, sin incorporar herramientas preventivas o comunitarias que abordan las causas estructurales de la violencia.</w:t>
      </w:r>
    </w:p>
    <w:p w14:paraId="4A60AF7D" w14:textId="77777777" w:rsidR="00AA5550" w:rsidRDefault="00045FF4">
      <w:pPr>
        <w:numPr>
          <w:ilvl w:val="0"/>
          <w:numId w:val="33"/>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El proyecto de Ley de Entornos Seguros complementa estas leyes al proponer un enfoque preventivo que incluye ur</w:t>
      </w:r>
      <w:r>
        <w:rPr>
          <w:rFonts w:ascii="Century Gothic" w:eastAsia="Century Gothic" w:hAnsi="Century Gothic" w:cs="Century Gothic"/>
          <w:color w:val="000000"/>
        </w:rPr>
        <w:t>banismo, infraestructura social y participación comunitaria.</w:t>
      </w:r>
    </w:p>
    <w:p w14:paraId="7A393E0D" w14:textId="77777777" w:rsidR="00AA5550" w:rsidRDefault="00045FF4">
      <w:pPr>
        <w:numPr>
          <w:ilvl w:val="0"/>
          <w:numId w:val="33"/>
        </w:num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La Ley 294 desarrolla el artículo 42 de la Constitución, que establece la intervención del Estado en casos de violencia intrafamiliar.</w:t>
      </w:r>
    </w:p>
    <w:p w14:paraId="010E6B4B" w14:textId="77777777" w:rsidR="00AA5550" w:rsidRDefault="00045FF4">
      <w:pPr>
        <w:numPr>
          <w:ilvl w:val="0"/>
          <w:numId w:val="33"/>
        </w:numPr>
        <w:pBdr>
          <w:top w:val="nil"/>
          <w:left w:val="nil"/>
          <w:bottom w:val="nil"/>
          <w:right w:val="nil"/>
          <w:between w:val="nil"/>
        </w:pBdr>
        <w:spacing w:after="240"/>
        <w:jc w:val="both"/>
        <w:rPr>
          <w:rFonts w:ascii="Century Gothic" w:eastAsia="Century Gothic" w:hAnsi="Century Gothic" w:cs="Century Gothic"/>
          <w:color w:val="000000"/>
        </w:rPr>
      </w:pPr>
      <w:r>
        <w:rPr>
          <w:rFonts w:ascii="Century Gothic" w:eastAsia="Century Gothic" w:hAnsi="Century Gothic" w:cs="Century Gothic"/>
          <w:color w:val="000000"/>
        </w:rPr>
        <w:t>La Corte Constitucional ha reiterado que la violencia domést</w:t>
      </w:r>
      <w:r>
        <w:rPr>
          <w:rFonts w:ascii="Century Gothic" w:eastAsia="Century Gothic" w:hAnsi="Century Gothic" w:cs="Century Gothic"/>
          <w:color w:val="000000"/>
        </w:rPr>
        <w:t>ica vulnera principios fundamentales como la dignidad humana y la igualdad.</w:t>
      </w:r>
    </w:p>
    <w:p w14:paraId="2136C562" w14:textId="77777777" w:rsidR="00AA5550" w:rsidRDefault="00045FF4">
      <w:pPr>
        <w:spacing w:after="240"/>
        <w:jc w:val="both"/>
        <w:rPr>
          <w:rFonts w:ascii="Century Gothic" w:eastAsia="Century Gothic" w:hAnsi="Century Gothic" w:cs="Century Gothic"/>
        </w:rPr>
      </w:pPr>
      <w:r>
        <w:rPr>
          <w:rFonts w:ascii="Century Gothic" w:eastAsia="Century Gothic" w:hAnsi="Century Gothic" w:cs="Century Gothic"/>
        </w:rPr>
        <w:t>A pesar de los avances, la Ley 294 y su modificación carecen de un enfoque preventivo estructural, lo que justifica la necesidad de una respuesta legislativa más integral. El Proye</w:t>
      </w:r>
      <w:r>
        <w:rPr>
          <w:rFonts w:ascii="Century Gothic" w:eastAsia="Century Gothic" w:hAnsi="Century Gothic" w:cs="Century Gothic"/>
        </w:rPr>
        <w:t>cto de Ley de Entornos Seguros busca ir más allá del enfoque reactivo, proponiendo un modelo de intervención que aborde las causas de la violencia y garantice la dignidad humana en todos los espacios familiares y comunitarios.</w:t>
      </w:r>
    </w:p>
    <w:p w14:paraId="4D3F0FBA"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 Ley 294 de 1996 constituye</w:t>
      </w:r>
      <w:r>
        <w:rPr>
          <w:rFonts w:ascii="Century Gothic" w:eastAsia="Century Gothic" w:hAnsi="Century Gothic" w:cs="Century Gothic"/>
        </w:rPr>
        <w:t xml:space="preserve"> un avance fundamental en la visibilizarían y sanción de la violencia intrafamiliar. No obstante, su enfoque debe ser actualizado y fortalecido </w:t>
      </w:r>
      <w:r>
        <w:rPr>
          <w:rFonts w:ascii="Century Gothic" w:eastAsia="Century Gothic" w:hAnsi="Century Gothic" w:cs="Century Gothic"/>
        </w:rPr>
        <w:lastRenderedPageBreak/>
        <w:t>mediante herramientas estructurales de intervención, como las que plantea el Proyecto de Ley de Entornos Seguros</w:t>
      </w:r>
      <w:r>
        <w:rPr>
          <w:rFonts w:ascii="Century Gothic" w:eastAsia="Century Gothic" w:hAnsi="Century Gothic" w:cs="Century Gothic"/>
        </w:rPr>
        <w:t xml:space="preserve"> para Mujeres y Niñez. La articulación de esta ley con una estrategia nacional de entornos protectores es imprescindible para cerrar brechas de impunidad, fortalecer la prevención y garantizar la dignidad humana en todos los espacios de vida familiar y com</w:t>
      </w:r>
      <w:r>
        <w:rPr>
          <w:rFonts w:ascii="Century Gothic" w:eastAsia="Century Gothic" w:hAnsi="Century Gothic" w:cs="Century Gothic"/>
        </w:rPr>
        <w:t>unitaria.</w:t>
      </w:r>
    </w:p>
    <w:p w14:paraId="074B30B9" w14:textId="77777777" w:rsidR="00AA5550" w:rsidRDefault="00045FF4">
      <w:pPr>
        <w:pStyle w:val="Ttulo2"/>
        <w:numPr>
          <w:ilvl w:val="0"/>
          <w:numId w:val="38"/>
        </w:numPr>
        <w:rPr>
          <w:rFonts w:ascii="Century Gothic" w:eastAsia="Century Gothic" w:hAnsi="Century Gothic" w:cs="Century Gothic"/>
          <w:b/>
          <w:sz w:val="22"/>
          <w:szCs w:val="22"/>
        </w:rPr>
      </w:pPr>
      <w:bookmarkStart w:id="50" w:name="_heading=h.jh6iucqkbtwk" w:colFirst="0" w:colLast="0"/>
      <w:bookmarkEnd w:id="50"/>
      <w:r>
        <w:rPr>
          <w:rFonts w:ascii="Century Gothic" w:eastAsia="Century Gothic" w:hAnsi="Century Gothic" w:cs="Century Gothic"/>
          <w:b/>
          <w:sz w:val="22"/>
          <w:szCs w:val="22"/>
        </w:rPr>
        <w:t xml:space="preserve">Conclusión del Marco Normativo Interno </w:t>
      </w:r>
    </w:p>
    <w:p w14:paraId="6A98D26A"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El análisis exhaustivo del marco normativo vigente en Colombia demuestra que el país cuenta con un andamiaje jurídico significativo en materia de protección de mujeres, niñas, niños y adolescentes frente a </w:t>
      </w:r>
      <w:r>
        <w:rPr>
          <w:rFonts w:ascii="Century Gothic" w:eastAsia="Century Gothic" w:hAnsi="Century Gothic" w:cs="Century Gothic"/>
        </w:rPr>
        <w:t>las distintas manifestaciones de violencia. Sin embargo, estas normas —aunque valiosas en sus respectivos ámbitos— presentan limitaciones estructurales cuando se enfrentan a fenómenos complejos y territoriales de violencia persistente, especialmente en con</w:t>
      </w:r>
      <w:r>
        <w:rPr>
          <w:rFonts w:ascii="Century Gothic" w:eastAsia="Century Gothic" w:hAnsi="Century Gothic" w:cs="Century Gothic"/>
        </w:rPr>
        <w:t>textos urbanos marginales, zonas rurales en abandono institucional o entornos comunitarios de riesgo.</w:t>
      </w:r>
    </w:p>
    <w:p w14:paraId="03CD28F8"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Las leyes revisadas, comparten el propósito de garantizar los derechos fundamentales de mujeres y niñez, pero adolecen de fragmentación normativa, falta d</w:t>
      </w:r>
      <w:r>
        <w:rPr>
          <w:rFonts w:ascii="Century Gothic" w:eastAsia="Century Gothic" w:hAnsi="Century Gothic" w:cs="Century Gothic"/>
        </w:rPr>
        <w:t>e articulación intersectorial operativa, ausencia de enfoque territorial con perspectiva de género y curso de vida, y limitada capacidad de prevención estructural.</w:t>
      </w:r>
    </w:p>
    <w:p w14:paraId="70A95A41"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Este diagnóstico revela la urgencia de una ley integradora, complementaria y articuladora, q</w:t>
      </w:r>
      <w:r>
        <w:rPr>
          <w:rFonts w:ascii="Century Gothic" w:eastAsia="Century Gothic" w:hAnsi="Century Gothic" w:cs="Century Gothic"/>
        </w:rPr>
        <w:t>ue no derogue ni sustituya las normas existentes, sino que las fortalezca en sus vacíos estructurales. El Proyecto de Ley de Entornos Seguros para Mujeres y Niñez cumple esa función de manera coherente con la Constitución Política, con el bloque de constit</w:t>
      </w:r>
      <w:r>
        <w:rPr>
          <w:rFonts w:ascii="Century Gothic" w:eastAsia="Century Gothic" w:hAnsi="Century Gothic" w:cs="Century Gothic"/>
        </w:rPr>
        <w:t>ucionalidad (CEDAW, Convención de Belém do Pará, Convención sobre los Derechos del Niño, entre otros) y con la jurisprudencia constitucional consolidada en las últimas dos décadas.</w:t>
      </w:r>
    </w:p>
    <w:p w14:paraId="2BF8573E"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En particular, la propuesta legislativa avanza en tres direcciones que el marco actual no ha logrado consolidar:</w:t>
      </w:r>
    </w:p>
    <w:p w14:paraId="7137A117" w14:textId="77777777" w:rsidR="00AA5550" w:rsidRDefault="00045FF4">
      <w:pPr>
        <w:numPr>
          <w:ilvl w:val="0"/>
          <w:numId w:val="1"/>
        </w:numPr>
        <w:spacing w:before="240"/>
        <w:jc w:val="both"/>
        <w:rPr>
          <w:rFonts w:ascii="Century Gothic" w:eastAsia="Century Gothic" w:hAnsi="Century Gothic" w:cs="Century Gothic"/>
        </w:rPr>
      </w:pPr>
      <w:r>
        <w:rPr>
          <w:rFonts w:ascii="Century Gothic" w:eastAsia="Century Gothic" w:hAnsi="Century Gothic" w:cs="Century Gothic"/>
          <w:b/>
        </w:rPr>
        <w:t>Territorialización de la prevención y la protección</w:t>
      </w:r>
      <w:r>
        <w:rPr>
          <w:rFonts w:ascii="Century Gothic" w:eastAsia="Century Gothic" w:hAnsi="Century Gothic" w:cs="Century Gothic"/>
        </w:rPr>
        <w:t>: Aporta herramientas para intervenir estructuralmente los entornos físicos, simbólicos y co</w:t>
      </w:r>
      <w:r>
        <w:rPr>
          <w:rFonts w:ascii="Century Gothic" w:eastAsia="Century Gothic" w:hAnsi="Century Gothic" w:cs="Century Gothic"/>
        </w:rPr>
        <w:t>munitarios donde se reproducen las violencias, mediante criterios normativos claros, competencias locales definidas, instrumentos presupuestales y pedagogía para la transformación social.</w:t>
      </w:r>
    </w:p>
    <w:p w14:paraId="7E2BD8B4" w14:textId="77777777" w:rsidR="00AA5550" w:rsidRDefault="00045FF4">
      <w:pPr>
        <w:numPr>
          <w:ilvl w:val="0"/>
          <w:numId w:val="1"/>
        </w:numPr>
        <w:jc w:val="both"/>
        <w:rPr>
          <w:rFonts w:ascii="Century Gothic" w:eastAsia="Century Gothic" w:hAnsi="Century Gothic" w:cs="Century Gothic"/>
        </w:rPr>
      </w:pPr>
      <w:r>
        <w:rPr>
          <w:rFonts w:ascii="Century Gothic" w:eastAsia="Century Gothic" w:hAnsi="Century Gothic" w:cs="Century Gothic"/>
          <w:b/>
        </w:rPr>
        <w:t>Corresponsabilidad institucional y comunitaria</w:t>
      </w:r>
      <w:r>
        <w:rPr>
          <w:rFonts w:ascii="Century Gothic" w:eastAsia="Century Gothic" w:hAnsi="Century Gothic" w:cs="Century Gothic"/>
        </w:rPr>
        <w:t>: Fortalece la actuaci</w:t>
      </w:r>
      <w:r>
        <w:rPr>
          <w:rFonts w:ascii="Century Gothic" w:eastAsia="Century Gothic" w:hAnsi="Century Gothic" w:cs="Century Gothic"/>
        </w:rPr>
        <w:t>ón articulada entre Estado, sociedad civil y comunidad, superando la lógica institucional fragmentada y promoviendo una gobernanza efectiva desde lo local.</w:t>
      </w:r>
    </w:p>
    <w:p w14:paraId="73255A36" w14:textId="77777777" w:rsidR="00AA5550" w:rsidRDefault="00045FF4">
      <w:pPr>
        <w:numPr>
          <w:ilvl w:val="0"/>
          <w:numId w:val="1"/>
        </w:numPr>
        <w:spacing w:after="240"/>
        <w:jc w:val="both"/>
        <w:rPr>
          <w:rFonts w:ascii="Century Gothic" w:eastAsia="Century Gothic" w:hAnsi="Century Gothic" w:cs="Century Gothic"/>
        </w:rPr>
      </w:pPr>
      <w:r>
        <w:rPr>
          <w:rFonts w:ascii="Century Gothic" w:eastAsia="Century Gothic" w:hAnsi="Century Gothic" w:cs="Century Gothic"/>
          <w:b/>
        </w:rPr>
        <w:lastRenderedPageBreak/>
        <w:t>Integración de derechos y enfoques diferenciales</w:t>
      </w:r>
      <w:r>
        <w:rPr>
          <w:rFonts w:ascii="Century Gothic" w:eastAsia="Century Gothic" w:hAnsi="Century Gothic" w:cs="Century Gothic"/>
        </w:rPr>
        <w:t xml:space="preserve">: Permite transversalizar los derechos de mujeres y </w:t>
      </w:r>
      <w:r>
        <w:rPr>
          <w:rFonts w:ascii="Century Gothic" w:eastAsia="Century Gothic" w:hAnsi="Century Gothic" w:cs="Century Gothic"/>
        </w:rPr>
        <w:t>niñez con una visión de justicia espacial, inclusión social y enfoque interseccional, superando modelos reactivos centrados exclusivamente en sanción o asistencia institucional.</w:t>
      </w:r>
    </w:p>
    <w:p w14:paraId="7B02CE50"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En suma, este proyecto no solo recoge el espíritu de las leyes vigentes, sino </w:t>
      </w:r>
      <w:r>
        <w:rPr>
          <w:rFonts w:ascii="Century Gothic" w:eastAsia="Century Gothic" w:hAnsi="Century Gothic" w:cs="Century Gothic"/>
        </w:rPr>
        <w:t>que las convierte en una plataforma real y aplicable de transformación de los territorios inseguros en entornos protectores, cumpliendo así con el mandato constitucional de garantizar la dignidad, la igualdad y la prevalencia de los derechos de quienes his</w:t>
      </w:r>
      <w:r>
        <w:rPr>
          <w:rFonts w:ascii="Century Gothic" w:eastAsia="Century Gothic" w:hAnsi="Century Gothic" w:cs="Century Gothic"/>
        </w:rPr>
        <w:t>tóricamente han sido más vulnerados.</w:t>
      </w:r>
    </w:p>
    <w:p w14:paraId="35B1C747" w14:textId="77777777" w:rsidR="00AA5550" w:rsidRDefault="00045FF4">
      <w:pPr>
        <w:pStyle w:val="Ttulo1"/>
        <w:numPr>
          <w:ilvl w:val="0"/>
          <w:numId w:val="23"/>
        </w:numPr>
        <w:jc w:val="center"/>
        <w:rPr>
          <w:rFonts w:ascii="Century Gothic" w:eastAsia="Century Gothic" w:hAnsi="Century Gothic" w:cs="Century Gothic"/>
          <w:sz w:val="22"/>
          <w:szCs w:val="22"/>
        </w:rPr>
      </w:pPr>
      <w:bookmarkStart w:id="51" w:name="_heading=h.u1jq71julk21" w:colFirst="0" w:colLast="0"/>
      <w:bookmarkEnd w:id="51"/>
      <w:r>
        <w:rPr>
          <w:rFonts w:ascii="Century Gothic" w:eastAsia="Century Gothic" w:hAnsi="Century Gothic" w:cs="Century Gothic"/>
          <w:b/>
          <w:sz w:val="22"/>
          <w:szCs w:val="22"/>
        </w:rPr>
        <w:t>IMPACTO FISCAL</w:t>
      </w:r>
    </w:p>
    <w:p w14:paraId="0036BE25" w14:textId="77777777" w:rsidR="00AA5550" w:rsidRDefault="00AA5550">
      <w:pPr>
        <w:jc w:val="both"/>
        <w:rPr>
          <w:rFonts w:ascii="Century Gothic" w:eastAsia="Century Gothic" w:hAnsi="Century Gothic" w:cs="Century Gothic"/>
          <w:b/>
        </w:rPr>
      </w:pPr>
    </w:p>
    <w:p w14:paraId="4F2952A1"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La Ley 819 de 2003 “Por la cual se dictan normas orgánicas en materia de presupuesto, responsabilidad y transparencia fiscal y se dictan otras disposiciones”, en el artículo 7 establece el análisis del i</w:t>
      </w:r>
      <w:r>
        <w:rPr>
          <w:rFonts w:ascii="Century Gothic" w:eastAsia="Century Gothic" w:hAnsi="Century Gothic" w:cs="Century Gothic"/>
        </w:rPr>
        <w:t xml:space="preserve">mpacto fiscal de las normas, de la siguiente manera: </w:t>
      </w:r>
      <w:r>
        <w:rPr>
          <w:rFonts w:ascii="Century Gothic" w:eastAsia="Century Gothic" w:hAnsi="Century Gothic" w:cs="Century Gothic"/>
        </w:rPr>
        <w:br/>
      </w:r>
    </w:p>
    <w:p w14:paraId="7F53C560" w14:textId="77777777" w:rsidR="00AA5550" w:rsidRDefault="00045FF4">
      <w:pPr>
        <w:ind w:left="720"/>
        <w:jc w:val="both"/>
        <w:rPr>
          <w:rFonts w:ascii="Century Gothic" w:eastAsia="Century Gothic" w:hAnsi="Century Gothic" w:cs="Century Gothic"/>
          <w:i/>
        </w:rPr>
      </w:pPr>
      <w:r>
        <w:rPr>
          <w:rFonts w:ascii="Century Gothic" w:eastAsia="Century Gothic" w:hAnsi="Century Gothic" w:cs="Century Gothic"/>
        </w:rPr>
        <w:t>“</w:t>
      </w:r>
      <w:r>
        <w:rPr>
          <w:rFonts w:ascii="Century Gothic" w:eastAsia="Century Gothic" w:hAnsi="Century Gothic" w:cs="Century Gothic"/>
          <w:i/>
        </w:rPr>
        <w:t>ARTÍCULO 7o. ANÁLISIS DEL IMPACTO FISCAL DE LAS NORMAS. En todo momento, el impacto fiscal de cualquier proyecto de ley, ordenanza o acuerdo, que ordene gasto o que otorgue beneficios tributarios, deberá hacerse explícito y deberá ser compatible con el Mar</w:t>
      </w:r>
      <w:r>
        <w:rPr>
          <w:rFonts w:ascii="Century Gothic" w:eastAsia="Century Gothic" w:hAnsi="Century Gothic" w:cs="Century Gothic"/>
          <w:i/>
        </w:rPr>
        <w:t xml:space="preserve">co Fiscal de Mediano Plazo. Para estos propósitos, deberá incluirse expresamente en la exposición de motivos y en las ponencias de trámite respectivas los costos fiscales de la iniciativa y la fuente de ingreso adicional generada para el financiamiento de </w:t>
      </w:r>
      <w:r>
        <w:rPr>
          <w:rFonts w:ascii="Century Gothic" w:eastAsia="Century Gothic" w:hAnsi="Century Gothic" w:cs="Century Gothic"/>
          <w:i/>
        </w:rPr>
        <w:t xml:space="preserve">dicho costo. </w:t>
      </w:r>
    </w:p>
    <w:p w14:paraId="4BC7E8C3" w14:textId="77777777" w:rsidR="00AA5550" w:rsidRDefault="00AA5550">
      <w:pPr>
        <w:ind w:left="720"/>
        <w:jc w:val="both"/>
        <w:rPr>
          <w:rFonts w:ascii="Century Gothic" w:eastAsia="Century Gothic" w:hAnsi="Century Gothic" w:cs="Century Gothic"/>
          <w:i/>
        </w:rPr>
      </w:pPr>
    </w:p>
    <w:p w14:paraId="4F396877" w14:textId="77777777" w:rsidR="00AA5550" w:rsidRDefault="00045FF4">
      <w:pPr>
        <w:ind w:left="720"/>
        <w:jc w:val="both"/>
        <w:rPr>
          <w:rFonts w:ascii="Century Gothic" w:eastAsia="Century Gothic" w:hAnsi="Century Gothic" w:cs="Century Gothic"/>
          <w:i/>
        </w:rPr>
      </w:pPr>
      <w:r>
        <w:rPr>
          <w:rFonts w:ascii="Century Gothic" w:eastAsia="Century Gothic" w:hAnsi="Century Gothic" w:cs="Century Gothic"/>
          <w:i/>
        </w:rPr>
        <w:t>El Ministerio de Hacienda y Crédito Público, en cualquier tiempo durante el respectivo trámite en el Congreso de la República, deberá rendir su concepto frente a la consistencia de lo dispuesto en el inciso anterior. En ningún caso este conc</w:t>
      </w:r>
      <w:r>
        <w:rPr>
          <w:rFonts w:ascii="Century Gothic" w:eastAsia="Century Gothic" w:hAnsi="Century Gothic" w:cs="Century Gothic"/>
          <w:i/>
        </w:rPr>
        <w:t>epto podrá ir en contravía del Marco Fiscal de Mediano Plazo. Este informe será publicado en la Gaceta del Congreso.</w:t>
      </w:r>
    </w:p>
    <w:p w14:paraId="68697F16" w14:textId="77777777" w:rsidR="00AA5550" w:rsidRDefault="00AA5550">
      <w:pPr>
        <w:ind w:left="720"/>
        <w:jc w:val="both"/>
        <w:rPr>
          <w:rFonts w:ascii="Century Gothic" w:eastAsia="Century Gothic" w:hAnsi="Century Gothic" w:cs="Century Gothic"/>
          <w:i/>
        </w:rPr>
      </w:pPr>
    </w:p>
    <w:p w14:paraId="323D5160" w14:textId="77777777" w:rsidR="00AA5550" w:rsidRDefault="00045FF4">
      <w:pPr>
        <w:ind w:left="720"/>
        <w:jc w:val="both"/>
        <w:rPr>
          <w:rFonts w:ascii="Century Gothic" w:eastAsia="Century Gothic" w:hAnsi="Century Gothic" w:cs="Century Gothic"/>
          <w:i/>
        </w:rPr>
      </w:pPr>
      <w:r>
        <w:rPr>
          <w:rFonts w:ascii="Century Gothic" w:eastAsia="Century Gothic" w:hAnsi="Century Gothic" w:cs="Century Gothic"/>
          <w:i/>
        </w:rPr>
        <w:t>Los proyectos de ley de iniciativa gubernamental, que planteen un gasto adicional o una reducción de ingresos, deberán contener la corresp</w:t>
      </w:r>
      <w:r>
        <w:rPr>
          <w:rFonts w:ascii="Century Gothic" w:eastAsia="Century Gothic" w:hAnsi="Century Gothic" w:cs="Century Gothic"/>
          <w:i/>
        </w:rPr>
        <w:t xml:space="preserve">ondiente fuente sustitutiva por disminución de gasto o aumentos de ingresos, lo cual deberá ser analizado y aprobado por el Ministerio de Hacienda y Crédito Público. </w:t>
      </w:r>
    </w:p>
    <w:p w14:paraId="7567964E" w14:textId="77777777" w:rsidR="00AA5550" w:rsidRDefault="00AA5550">
      <w:pPr>
        <w:ind w:left="720"/>
        <w:jc w:val="both"/>
        <w:rPr>
          <w:rFonts w:ascii="Century Gothic" w:eastAsia="Century Gothic" w:hAnsi="Century Gothic" w:cs="Century Gothic"/>
          <w:i/>
        </w:rPr>
      </w:pPr>
    </w:p>
    <w:p w14:paraId="21FE24A6" w14:textId="77777777" w:rsidR="00AA5550" w:rsidRDefault="00045FF4">
      <w:pPr>
        <w:ind w:left="720"/>
        <w:jc w:val="both"/>
        <w:rPr>
          <w:rFonts w:ascii="Century Gothic" w:eastAsia="Century Gothic" w:hAnsi="Century Gothic" w:cs="Century Gothic"/>
          <w:i/>
        </w:rPr>
      </w:pPr>
      <w:r>
        <w:rPr>
          <w:rFonts w:ascii="Century Gothic" w:eastAsia="Century Gothic" w:hAnsi="Century Gothic" w:cs="Century Gothic"/>
          <w:i/>
        </w:rPr>
        <w:t>En las entidades territoriales, el trámite previsto en el inciso anterior será surtido a</w:t>
      </w:r>
      <w:r>
        <w:rPr>
          <w:rFonts w:ascii="Century Gothic" w:eastAsia="Century Gothic" w:hAnsi="Century Gothic" w:cs="Century Gothic"/>
          <w:i/>
        </w:rPr>
        <w:t xml:space="preserve">nte la respectiva Secretaría de Hacienda o quien haga sus veces.” </w:t>
      </w:r>
    </w:p>
    <w:p w14:paraId="2DD0C6F4" w14:textId="77777777" w:rsidR="00AA5550" w:rsidRDefault="00AA5550">
      <w:pPr>
        <w:jc w:val="both"/>
        <w:rPr>
          <w:rFonts w:ascii="Century Gothic" w:eastAsia="Century Gothic" w:hAnsi="Century Gothic" w:cs="Century Gothic"/>
        </w:rPr>
      </w:pPr>
    </w:p>
    <w:p w14:paraId="3D6D3F87"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Es así como la Corte Constitucional considera que el estudio del impacto fiscal para un proyecto de ley no puede considerarse como un obstáculo insuperable para la actividad legislativa; e</w:t>
      </w:r>
      <w:r>
        <w:rPr>
          <w:rFonts w:ascii="Century Gothic" w:eastAsia="Century Gothic" w:hAnsi="Century Gothic" w:cs="Century Gothic"/>
        </w:rPr>
        <w:t xml:space="preserve">s el Ministerio de Hacienda, la entidad competente y con las herramientas suficientes para adelantar este tipo de estudios, que complementen las exposiciones de motivos de las iniciativas legislativas, como entidad de apoyo: </w:t>
      </w:r>
    </w:p>
    <w:p w14:paraId="232B036C" w14:textId="77777777" w:rsidR="00AA5550" w:rsidRDefault="00AA5550">
      <w:pPr>
        <w:jc w:val="both"/>
        <w:rPr>
          <w:rFonts w:ascii="Century Gothic" w:eastAsia="Century Gothic" w:hAnsi="Century Gothic" w:cs="Century Gothic"/>
        </w:rPr>
      </w:pPr>
    </w:p>
    <w:p w14:paraId="442F16DB"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“Precisamente, los obstáculos</w:t>
      </w:r>
      <w:r>
        <w:rPr>
          <w:rFonts w:ascii="Century Gothic" w:eastAsia="Century Gothic" w:hAnsi="Century Gothic" w:cs="Century Gothic"/>
        </w:rPr>
        <w:t xml:space="preserve"> casi insuperables que se generarían para la actividad legislativa del Congreso de la República conducirían a concederle una forma de poder de veto al ministro de Hacienda sobre las iniciativas de ley en el Parlamento. El Ministerio de Hacienda es quien cu</w:t>
      </w:r>
      <w:r>
        <w:rPr>
          <w:rFonts w:ascii="Century Gothic" w:eastAsia="Century Gothic" w:hAnsi="Century Gothic" w:cs="Century Gothic"/>
        </w:rPr>
        <w:t>enta con los elementos necesarios para poder efectuar estimativos de los costos fiscales, para establecer de dónde pueden surgir los recursos necesarios para asumir los costos de un proyecto y para determinar la compatibilidad de los proyectos con el Marco</w:t>
      </w:r>
      <w:r>
        <w:rPr>
          <w:rFonts w:ascii="Century Gothic" w:eastAsia="Century Gothic" w:hAnsi="Century Gothic" w:cs="Century Gothic"/>
        </w:rPr>
        <w:t xml:space="preserve"> Fiscal de Mediano Plazo. A él tendrían que acudir los congresistas o las bancadas que quieren presentar un proyecto de ley que implique gastos. De esta manera, el Ministerio decidiría qué peticiones atiende y el orden de prioridad para hacerlo. Con ello a</w:t>
      </w:r>
      <w:r>
        <w:rPr>
          <w:rFonts w:ascii="Century Gothic" w:eastAsia="Century Gothic" w:hAnsi="Century Gothic" w:cs="Century Gothic"/>
        </w:rPr>
        <w:t xml:space="preserve">dquiriría el poder de determinar la agenda legislativa, en desmedro de la autonomía del Congreso” </w:t>
      </w:r>
    </w:p>
    <w:p w14:paraId="5D8CBA7B" w14:textId="77777777" w:rsidR="00AA5550" w:rsidRDefault="00AA5550">
      <w:pPr>
        <w:jc w:val="both"/>
        <w:rPr>
          <w:rFonts w:ascii="Century Gothic" w:eastAsia="Century Gothic" w:hAnsi="Century Gothic" w:cs="Century Gothic"/>
        </w:rPr>
      </w:pPr>
    </w:p>
    <w:p w14:paraId="7ADAE23D"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 xml:space="preserve">La Corte Constitucional ha establecido las subreglas respecto al análisis del impacto fiscal de las iniciativas legislativas, de la siguiente forma: </w:t>
      </w:r>
    </w:p>
    <w:p w14:paraId="3A262B08" w14:textId="77777777" w:rsidR="00AA5550" w:rsidRDefault="00AA5550">
      <w:pPr>
        <w:jc w:val="both"/>
        <w:rPr>
          <w:rFonts w:ascii="Century Gothic" w:eastAsia="Century Gothic" w:hAnsi="Century Gothic" w:cs="Century Gothic"/>
        </w:rPr>
      </w:pPr>
    </w:p>
    <w:p w14:paraId="654DA8E5"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“En hilo de lo expuesto, es posible deducir las siguientes subreglas sobre el alcance del artículo 7º de la Ley 819 de 2003: (i) las obligaciones previstas en el artículo 7º de la Ley 819 de 2003 constituyen un parámetro de racionalidad legislativa, que cu</w:t>
      </w:r>
      <w:r>
        <w:rPr>
          <w:rFonts w:ascii="Century Gothic" w:eastAsia="Century Gothic" w:hAnsi="Century Gothic" w:cs="Century Gothic"/>
        </w:rPr>
        <w:t>mple fines constitucionalmente relevantes como el orden de las finanzas públicas y la estabilidad macroeconómica; (</w:t>
      </w:r>
      <w:proofErr w:type="spellStart"/>
      <w:r>
        <w:rPr>
          <w:rFonts w:ascii="Century Gothic" w:eastAsia="Century Gothic" w:hAnsi="Century Gothic" w:cs="Century Gothic"/>
        </w:rPr>
        <w:t>ii</w:t>
      </w:r>
      <w:proofErr w:type="spellEnd"/>
      <w:r>
        <w:rPr>
          <w:rFonts w:ascii="Century Gothic" w:eastAsia="Century Gothic" w:hAnsi="Century Gothic" w:cs="Century Gothic"/>
        </w:rPr>
        <w:t>) el cumplimiento de lo dispuesto en el artículo 7º de la Ley 819 de 2003 corresponde al Congreso, pero principalmente al Ministro de Hacie</w:t>
      </w:r>
      <w:r>
        <w:rPr>
          <w:rFonts w:ascii="Century Gothic" w:eastAsia="Century Gothic" w:hAnsi="Century Gothic" w:cs="Century Gothic"/>
        </w:rPr>
        <w:t xml:space="preserve">nda y Crédito Público, en tanto que “es el que cuenta con los datos, los equipos de funcionarios y la experticia en materia económica. Por lo tanto, en el caso de que los congresistas tramiten un proyecto incorporando estimativos erróneos sobre el impacto </w:t>
      </w:r>
      <w:r>
        <w:rPr>
          <w:rFonts w:ascii="Century Gothic" w:eastAsia="Century Gothic" w:hAnsi="Century Gothic" w:cs="Century Gothic"/>
        </w:rPr>
        <w:t>fiscal, sobre la manera de atender esos nuevos gastos o sobre la compatibilidad del proyecto con el Marco Fiscal de Mediano Plazo, le corresponde al Ministro de Hacienda intervenir en el proceso legislativo para ilustrar al Congreso acerca de las consecuen</w:t>
      </w:r>
      <w:r>
        <w:rPr>
          <w:rFonts w:ascii="Century Gothic" w:eastAsia="Century Gothic" w:hAnsi="Century Gothic" w:cs="Century Gothic"/>
        </w:rPr>
        <w:t>cias económicas del proyecto”; (</w:t>
      </w:r>
      <w:proofErr w:type="spellStart"/>
      <w:r>
        <w:rPr>
          <w:rFonts w:ascii="Century Gothic" w:eastAsia="Century Gothic" w:hAnsi="Century Gothic" w:cs="Century Gothic"/>
        </w:rPr>
        <w:t>iii</w:t>
      </w:r>
      <w:proofErr w:type="spellEnd"/>
      <w:r>
        <w:rPr>
          <w:rFonts w:ascii="Century Gothic" w:eastAsia="Century Gothic" w:hAnsi="Century Gothic" w:cs="Century Gothic"/>
        </w:rPr>
        <w:t>) en caso de que el Ministro de Hacienda y Crédito Público no intervenga en el proceso legislativo u omita conceptuar sobre la viabilidad económica del proyecto no lo vicia de inconstitucionalidad, puesto que este requisi</w:t>
      </w:r>
      <w:r>
        <w:rPr>
          <w:rFonts w:ascii="Century Gothic" w:eastAsia="Century Gothic" w:hAnsi="Century Gothic" w:cs="Century Gothic"/>
        </w:rPr>
        <w:t>to no puede entenderse como un poder de veto sobre la actuación del Congreso o una barrera para que el Legislador ejerza su función legislativa, lo cual “se muestra incompatible con el balance entre los poderes públicos y el principio democrático”; y (</w:t>
      </w:r>
      <w:proofErr w:type="spellStart"/>
      <w:r>
        <w:rPr>
          <w:rFonts w:ascii="Century Gothic" w:eastAsia="Century Gothic" w:hAnsi="Century Gothic" w:cs="Century Gothic"/>
        </w:rPr>
        <w:t>iv</w:t>
      </w:r>
      <w:proofErr w:type="spellEnd"/>
      <w:r>
        <w:rPr>
          <w:rFonts w:ascii="Century Gothic" w:eastAsia="Century Gothic" w:hAnsi="Century Gothic" w:cs="Century Gothic"/>
        </w:rPr>
        <w:t xml:space="preserve">) </w:t>
      </w:r>
      <w:r>
        <w:rPr>
          <w:rFonts w:ascii="Century Gothic" w:eastAsia="Century Gothic" w:hAnsi="Century Gothic" w:cs="Century Gothic"/>
        </w:rPr>
        <w:t xml:space="preserve">el informe presentado por el </w:t>
      </w:r>
      <w:r>
        <w:rPr>
          <w:rFonts w:ascii="Century Gothic" w:eastAsia="Century Gothic" w:hAnsi="Century Gothic" w:cs="Century Gothic"/>
        </w:rPr>
        <w:lastRenderedPageBreak/>
        <w:t>Ministro de Hacienda y Crédito Público no obliga a las células legislativas a acoger su posición, sin embargo, sí genera una obligación en cabeza del Congreso de valorarlo y analizarlo. Sólo así se garantiza una debida colabora</w:t>
      </w:r>
      <w:r>
        <w:rPr>
          <w:rFonts w:ascii="Century Gothic" w:eastAsia="Century Gothic" w:hAnsi="Century Gothic" w:cs="Century Gothic"/>
        </w:rPr>
        <w:t xml:space="preserve">ción entre las ramas del poder público y se armoniza el principio democrático con la estabilidad macroeconómica”. </w:t>
      </w:r>
    </w:p>
    <w:p w14:paraId="6F5554F8" w14:textId="77777777" w:rsidR="00AA5550" w:rsidRDefault="00AA5550">
      <w:pPr>
        <w:jc w:val="both"/>
        <w:rPr>
          <w:rFonts w:ascii="Century Gothic" w:eastAsia="Century Gothic" w:hAnsi="Century Gothic" w:cs="Century Gothic"/>
        </w:rPr>
      </w:pPr>
    </w:p>
    <w:p w14:paraId="37A9B0FF"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La Corte Constitucional ha reiterado que la carga principal del estudio del impacto fiscal de la norma se encuentra en cabeza del Ministerio</w:t>
      </w:r>
      <w:r>
        <w:rPr>
          <w:rFonts w:ascii="Century Gothic" w:eastAsia="Century Gothic" w:hAnsi="Century Gothic" w:cs="Century Gothic"/>
        </w:rPr>
        <w:t xml:space="preserve"> de Hacienda y Crédito Público, por tener los conocimientos técnicos y condición principal de ejecutor del gasto público:</w:t>
      </w:r>
    </w:p>
    <w:p w14:paraId="03F7E6B4" w14:textId="77777777" w:rsidR="00AA5550" w:rsidRDefault="00AA5550">
      <w:pPr>
        <w:jc w:val="both"/>
        <w:rPr>
          <w:rFonts w:ascii="Century Gothic" w:eastAsia="Century Gothic" w:hAnsi="Century Gothic" w:cs="Century Gothic"/>
        </w:rPr>
      </w:pPr>
    </w:p>
    <w:p w14:paraId="585A467B" w14:textId="77777777" w:rsidR="00AA5550" w:rsidRDefault="00045FF4">
      <w:pPr>
        <w:ind w:left="720"/>
        <w:jc w:val="both"/>
        <w:rPr>
          <w:rFonts w:ascii="Century Gothic" w:eastAsia="Century Gothic" w:hAnsi="Century Gothic" w:cs="Century Gothic"/>
          <w:i/>
        </w:rPr>
      </w:pPr>
      <w:r>
        <w:rPr>
          <w:rFonts w:ascii="Century Gothic" w:eastAsia="Century Gothic" w:hAnsi="Century Gothic" w:cs="Century Gothic"/>
          <w:i/>
        </w:rPr>
        <w:t>“80.3. Con el propósito de unificar la interpretación en esta materia, la Corte estima necesario precisar (i) que el Congreso tiene l</w:t>
      </w:r>
      <w:r>
        <w:rPr>
          <w:rFonts w:ascii="Century Gothic" w:eastAsia="Century Gothic" w:hAnsi="Century Gothic" w:cs="Century Gothic"/>
          <w:i/>
        </w:rPr>
        <w:t>a responsabilidad -como lo dejó dicho la sentencia C-502 de 2007 y con fundamento en el artículo 7 de la ley 819 de 2003- de valorar las incidencias fiscales del proyecto de ley. Tal carga (</w:t>
      </w:r>
      <w:proofErr w:type="spellStart"/>
      <w:r>
        <w:rPr>
          <w:rFonts w:ascii="Century Gothic" w:eastAsia="Century Gothic" w:hAnsi="Century Gothic" w:cs="Century Gothic"/>
          <w:i/>
        </w:rPr>
        <w:t>ii</w:t>
      </w:r>
      <w:proofErr w:type="spellEnd"/>
      <w:r>
        <w:rPr>
          <w:rFonts w:ascii="Century Gothic" w:eastAsia="Century Gothic" w:hAnsi="Century Gothic" w:cs="Century Gothic"/>
          <w:i/>
        </w:rPr>
        <w:t>) no exige un análisis detallado o exhaustivo del costo fiscal y</w:t>
      </w:r>
      <w:r>
        <w:rPr>
          <w:rFonts w:ascii="Century Gothic" w:eastAsia="Century Gothic" w:hAnsi="Century Gothic" w:cs="Century Gothic"/>
          <w:i/>
        </w:rPr>
        <w:t xml:space="preserve"> las fuentes de financiamiento. Sin embargo, (</w:t>
      </w:r>
      <w:proofErr w:type="spellStart"/>
      <w:r>
        <w:rPr>
          <w:rFonts w:ascii="Century Gothic" w:eastAsia="Century Gothic" w:hAnsi="Century Gothic" w:cs="Century Gothic"/>
          <w:i/>
        </w:rPr>
        <w:t>iii</w:t>
      </w:r>
      <w:proofErr w:type="spellEnd"/>
      <w:r>
        <w:rPr>
          <w:rFonts w:ascii="Century Gothic" w:eastAsia="Century Gothic" w:hAnsi="Century Gothic" w:cs="Century Gothic"/>
          <w:i/>
        </w:rPr>
        <w:t>) sí demanda una mínima consideración al respecto, de modo que sea posible establecer los referentes básicos para analizar los efectos fiscales del proyecto de ley. En todo caso (</w:t>
      </w:r>
      <w:proofErr w:type="spellStart"/>
      <w:r>
        <w:rPr>
          <w:rFonts w:ascii="Century Gothic" w:eastAsia="Century Gothic" w:hAnsi="Century Gothic" w:cs="Century Gothic"/>
          <w:i/>
        </w:rPr>
        <w:t>iv</w:t>
      </w:r>
      <w:proofErr w:type="spellEnd"/>
      <w:r>
        <w:rPr>
          <w:rFonts w:ascii="Century Gothic" w:eastAsia="Century Gothic" w:hAnsi="Century Gothic" w:cs="Century Gothic"/>
          <w:i/>
        </w:rPr>
        <w:t>) la carga principal se en</w:t>
      </w:r>
      <w:r>
        <w:rPr>
          <w:rFonts w:ascii="Century Gothic" w:eastAsia="Century Gothic" w:hAnsi="Century Gothic" w:cs="Century Gothic"/>
          <w:i/>
        </w:rPr>
        <w:t>cuentra radicada en el MHCP por sus conocimientos técnicos y por su condición de principal ejecutor del gasto público. En consecuencia, (v) el incumplimiento del Gobierno no afecta la decisión del Congreso cuando este ha cumplido su deber. A su vez (vi) si</w:t>
      </w:r>
      <w:r>
        <w:rPr>
          <w:rFonts w:ascii="Century Gothic" w:eastAsia="Century Gothic" w:hAnsi="Century Gothic" w:cs="Century Gothic"/>
          <w:i/>
        </w:rPr>
        <w:t xml:space="preserve"> el Gobierno atiende su obligación de emitir su concepto, se radica en el Congreso el deber de estudiarlo y discutirlo–ver núm. 79.3 y 90-”</w:t>
      </w:r>
    </w:p>
    <w:p w14:paraId="1A4EB447" w14:textId="77777777" w:rsidR="00AA5550" w:rsidRDefault="00AA5550">
      <w:pPr>
        <w:jc w:val="both"/>
        <w:rPr>
          <w:rFonts w:ascii="Century Gothic" w:eastAsia="Century Gothic" w:hAnsi="Century Gothic" w:cs="Century Gothic"/>
        </w:rPr>
      </w:pPr>
    </w:p>
    <w:p w14:paraId="5866C83B"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El proyecto de ley se encuentra orientado a promover entornos seguros para mujeres y niños, este no representa un i</w:t>
      </w:r>
      <w:r>
        <w:rPr>
          <w:rFonts w:ascii="Century Gothic" w:eastAsia="Century Gothic" w:hAnsi="Century Gothic" w:cs="Century Gothic"/>
        </w:rPr>
        <w:t>mpacto fiscal adicional o un gasto específico proveniente de recursos del Presupuesto General de la Nación, en la medida en que su implementación se puede realizar mediante la optimización y articulación de los recursos ya existentes dentro de las entidade</w:t>
      </w:r>
      <w:r>
        <w:rPr>
          <w:rFonts w:ascii="Century Gothic" w:eastAsia="Century Gothic" w:hAnsi="Century Gothic" w:cs="Century Gothic"/>
        </w:rPr>
        <w:t xml:space="preserve">s competentes. Instituciones como la Policía Nacional, la </w:t>
      </w:r>
      <w:proofErr w:type="gramStart"/>
      <w:r>
        <w:rPr>
          <w:rFonts w:ascii="Century Gothic" w:eastAsia="Century Gothic" w:hAnsi="Century Gothic" w:cs="Century Gothic"/>
        </w:rPr>
        <w:t>Fiscalía General</w:t>
      </w:r>
      <w:proofErr w:type="gramEnd"/>
      <w:r>
        <w:rPr>
          <w:rFonts w:ascii="Century Gothic" w:eastAsia="Century Gothic" w:hAnsi="Century Gothic" w:cs="Century Gothic"/>
        </w:rPr>
        <w:t xml:space="preserve"> de la Nación y diversos ministerios, incluyendo el Ministerio del Interior, el Ministerio de Justicia y el Ministerio de Igualdad, ya cuentan con presupuestos asignados para desarro</w:t>
      </w:r>
      <w:r>
        <w:rPr>
          <w:rFonts w:ascii="Century Gothic" w:eastAsia="Century Gothic" w:hAnsi="Century Gothic" w:cs="Century Gothic"/>
        </w:rPr>
        <w:t>llar planes y programas enfocados en la protección de derechos, la prevención de violencias y la atención a poblaciones vulnerables. En este sentido, la ejecución de acciones dirigidas a garantizar entornos seguros para mujeres y niños no implica la creaci</w:t>
      </w:r>
      <w:r>
        <w:rPr>
          <w:rFonts w:ascii="Century Gothic" w:eastAsia="Century Gothic" w:hAnsi="Century Gothic" w:cs="Century Gothic"/>
        </w:rPr>
        <w:t>ón de nuevas estructuras presupuestales, sino una mejor focalización del gasto público hacia objetivos ya contemplados en las funciones misionales de dichas entidades. Por lo tanto, este proyecto se enmarca dentro de los compromisos institucionales vigente</w:t>
      </w:r>
      <w:r>
        <w:rPr>
          <w:rFonts w:ascii="Century Gothic" w:eastAsia="Century Gothic" w:hAnsi="Century Gothic" w:cs="Century Gothic"/>
        </w:rPr>
        <w:t xml:space="preserve">s y puede </w:t>
      </w:r>
      <w:r>
        <w:rPr>
          <w:rFonts w:ascii="Century Gothic" w:eastAsia="Century Gothic" w:hAnsi="Century Gothic" w:cs="Century Gothic"/>
        </w:rPr>
        <w:lastRenderedPageBreak/>
        <w:t>desarrollarse a través de una reasignación estratégica de los recursos disponibles, sin que ello genere una presión fiscal adicional para el Estado.</w:t>
      </w:r>
    </w:p>
    <w:p w14:paraId="7A1C615D" w14:textId="77777777" w:rsidR="00AA5550" w:rsidRDefault="00045FF4">
      <w:pPr>
        <w:pStyle w:val="Ttulo3"/>
        <w:numPr>
          <w:ilvl w:val="0"/>
          <w:numId w:val="36"/>
        </w:numPr>
        <w:rPr>
          <w:rFonts w:ascii="Century Gothic" w:eastAsia="Century Gothic" w:hAnsi="Century Gothic" w:cs="Century Gothic"/>
          <w:b/>
          <w:color w:val="000000"/>
          <w:sz w:val="22"/>
          <w:szCs w:val="22"/>
        </w:rPr>
      </w:pPr>
      <w:bookmarkStart w:id="52" w:name="_heading=h.d5aiqtaekmpm" w:colFirst="0" w:colLast="0"/>
      <w:bookmarkEnd w:id="52"/>
      <w:r>
        <w:rPr>
          <w:rFonts w:ascii="Century Gothic" w:eastAsia="Century Gothic" w:hAnsi="Century Gothic" w:cs="Century Gothic"/>
          <w:b/>
          <w:color w:val="000000"/>
          <w:sz w:val="22"/>
          <w:szCs w:val="22"/>
        </w:rPr>
        <w:t>Justificación Técnica y Financiera</w:t>
      </w:r>
    </w:p>
    <w:p w14:paraId="2DD01623"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El proyecto de ley propuesto se estructura como respuesta legi</w:t>
      </w:r>
      <w:r>
        <w:rPr>
          <w:rFonts w:ascii="Century Gothic" w:eastAsia="Century Gothic" w:hAnsi="Century Gothic" w:cs="Century Gothic"/>
        </w:rPr>
        <w:t xml:space="preserve">slativa integral capaz de consolidar lineamientos claros para prevenir y enfrentar la violencia de forma articulada, participativa, con enfoque territorial y diferencial, fortaleciendo la corresponsabilidad institucional sin generar nuevas cargas fiscales </w:t>
      </w:r>
      <w:r>
        <w:rPr>
          <w:rFonts w:ascii="Century Gothic" w:eastAsia="Century Gothic" w:hAnsi="Century Gothic" w:cs="Century Gothic"/>
        </w:rPr>
        <w:t>desproporcionadas ni requerir la creación de entidades adicionales.</w:t>
      </w:r>
    </w:p>
    <w:p w14:paraId="22EDFF2E"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La propuesta optimiza recursos existentes mediante la articulación de competencias actuales, estableciendo mecanismos obligatorios de coordinación que superen la fragmentación presente. Es</w:t>
      </w:r>
      <w:r>
        <w:rPr>
          <w:rFonts w:ascii="Century Gothic" w:eastAsia="Century Gothic" w:hAnsi="Century Gothic" w:cs="Century Gothic"/>
        </w:rPr>
        <w:t>to representa una inversión eficiente en prevención que, a mediano plazo, reduce los costos sociales, económicos y humanos asociados a la violencia.</w:t>
      </w:r>
    </w:p>
    <w:p w14:paraId="1F633F9C" w14:textId="77777777" w:rsidR="00AA5550" w:rsidRDefault="00045FF4">
      <w:pPr>
        <w:pStyle w:val="Ttulo1"/>
        <w:numPr>
          <w:ilvl w:val="0"/>
          <w:numId w:val="23"/>
        </w:numPr>
        <w:rPr>
          <w:rFonts w:ascii="Century Gothic" w:eastAsia="Century Gothic" w:hAnsi="Century Gothic" w:cs="Century Gothic"/>
          <w:b/>
          <w:sz w:val="22"/>
          <w:szCs w:val="22"/>
        </w:rPr>
      </w:pPr>
      <w:bookmarkStart w:id="53" w:name="_heading=h.jtk586g5vp4p" w:colFirst="0" w:colLast="0"/>
      <w:bookmarkEnd w:id="53"/>
      <w:r>
        <w:rPr>
          <w:rFonts w:ascii="Century Gothic" w:eastAsia="Century Gothic" w:hAnsi="Century Gothic" w:cs="Century Gothic"/>
          <w:b/>
          <w:sz w:val="22"/>
          <w:szCs w:val="22"/>
        </w:rPr>
        <w:t xml:space="preserve">CONFLICTO DE INTERÉS </w:t>
      </w:r>
    </w:p>
    <w:p w14:paraId="3D8C0A7B" w14:textId="77777777" w:rsidR="00AA5550" w:rsidRDefault="00045FF4">
      <w:pPr>
        <w:spacing w:before="240" w:after="240"/>
        <w:jc w:val="both"/>
        <w:rPr>
          <w:rFonts w:ascii="Century Gothic" w:eastAsia="Century Gothic" w:hAnsi="Century Gothic" w:cs="Century Gothic"/>
        </w:rPr>
      </w:pPr>
      <w:bookmarkStart w:id="54" w:name="_heading=h.lkydpeh9jyje" w:colFirst="0" w:colLast="0"/>
      <w:bookmarkEnd w:id="54"/>
      <w:r>
        <w:rPr>
          <w:rFonts w:ascii="Century Gothic" w:eastAsia="Century Gothic" w:hAnsi="Century Gothic" w:cs="Century Gothic"/>
        </w:rPr>
        <w:t>El artículo 286 de la Ley 5 de 1992 establece el régimen de conflicto de interés para</w:t>
      </w:r>
      <w:r>
        <w:rPr>
          <w:rFonts w:ascii="Century Gothic" w:eastAsia="Century Gothic" w:hAnsi="Century Gothic" w:cs="Century Gothic"/>
        </w:rPr>
        <w:t xml:space="preserve"> los congresistas.  De conformidad con la jurisprudencia del Consejo de Estado y la Corte Constitucional, para que se configure el conflicto de intereses como causal de pérdida de investidura deben presentarse las siguientes condiciones o supuestos: (i) Qu</w:t>
      </w:r>
      <w:r>
        <w:rPr>
          <w:rFonts w:ascii="Century Gothic" w:eastAsia="Century Gothic" w:hAnsi="Century Gothic" w:cs="Century Gothic"/>
        </w:rPr>
        <w:t>e exista un interés directo, particular y actual: moral o económico.  (</w:t>
      </w:r>
      <w:proofErr w:type="spellStart"/>
      <w:r>
        <w:rPr>
          <w:rFonts w:ascii="Century Gothic" w:eastAsia="Century Gothic" w:hAnsi="Century Gothic" w:cs="Century Gothic"/>
        </w:rPr>
        <w:t>ii</w:t>
      </w:r>
      <w:proofErr w:type="spellEnd"/>
      <w:r>
        <w:rPr>
          <w:rFonts w:ascii="Century Gothic" w:eastAsia="Century Gothic" w:hAnsi="Century Gothic" w:cs="Century Gothic"/>
        </w:rPr>
        <w:t>) Que el congresista no manifieste su impedimento a pesar de que exista un interés directo en la decisión que se ha de tomar.  (</w:t>
      </w:r>
      <w:proofErr w:type="spellStart"/>
      <w:r>
        <w:rPr>
          <w:rFonts w:ascii="Century Gothic" w:eastAsia="Century Gothic" w:hAnsi="Century Gothic" w:cs="Century Gothic"/>
        </w:rPr>
        <w:t>iii</w:t>
      </w:r>
      <w:proofErr w:type="spellEnd"/>
      <w:r>
        <w:rPr>
          <w:rFonts w:ascii="Century Gothic" w:eastAsia="Century Gothic" w:hAnsi="Century Gothic" w:cs="Century Gothic"/>
        </w:rPr>
        <w:t>) Que el congresista no haya sido separado del asunt</w:t>
      </w:r>
      <w:r>
        <w:rPr>
          <w:rFonts w:ascii="Century Gothic" w:eastAsia="Century Gothic" w:hAnsi="Century Gothic" w:cs="Century Gothic"/>
        </w:rPr>
        <w:t>o mediante recusación.  (</w:t>
      </w:r>
      <w:proofErr w:type="spellStart"/>
      <w:r>
        <w:rPr>
          <w:rFonts w:ascii="Century Gothic" w:eastAsia="Century Gothic" w:hAnsi="Century Gothic" w:cs="Century Gothic"/>
        </w:rPr>
        <w:t>iv</w:t>
      </w:r>
      <w:proofErr w:type="spellEnd"/>
      <w:r>
        <w:rPr>
          <w:rFonts w:ascii="Century Gothic" w:eastAsia="Century Gothic" w:hAnsi="Century Gothic" w:cs="Century Gothic"/>
        </w:rPr>
        <w:t xml:space="preserve">) Que el congresista haya participado en los debates y/o haya votado.  (v) Que la participación del congresista se haya producido en relación con el trámite de leyes o de cualquier otro asunto sometido a su conocimiento.  </w:t>
      </w:r>
    </w:p>
    <w:p w14:paraId="407ADD1C"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t>En vir</w:t>
      </w:r>
      <w:r>
        <w:rPr>
          <w:rFonts w:ascii="Century Gothic" w:eastAsia="Century Gothic" w:hAnsi="Century Gothic" w:cs="Century Gothic"/>
        </w:rPr>
        <w:t>tud de lo estipulado en el artículo 3 de la Ley 2003 de 2019, que modificó el artículo 291 de la Ley 5a de 1992, señala:</w:t>
      </w:r>
    </w:p>
    <w:p w14:paraId="44815F80" w14:textId="77777777" w:rsidR="00AA5550" w:rsidRDefault="00045FF4">
      <w:pPr>
        <w:spacing w:after="200"/>
        <w:ind w:left="720" w:right="720"/>
        <w:jc w:val="both"/>
        <w:rPr>
          <w:rFonts w:ascii="Century Gothic" w:eastAsia="Century Gothic" w:hAnsi="Century Gothic" w:cs="Century Gothic"/>
        </w:rPr>
      </w:pPr>
      <w:r>
        <w:rPr>
          <w:rFonts w:ascii="Century Gothic" w:eastAsia="Century Gothic" w:hAnsi="Century Gothic" w:cs="Century Gothic"/>
        </w:rPr>
        <w:t>El autor del proyecto y el ponente presentarán en el cuerpo de la exposición de motivos un acápite que describa las circunstancias o ev</w:t>
      </w:r>
      <w:r>
        <w:rPr>
          <w:rFonts w:ascii="Century Gothic" w:eastAsia="Century Gothic" w:hAnsi="Century Gothic" w:cs="Century Gothic"/>
        </w:rPr>
        <w:t>entos que podrían generar un conflicto de interés para la discusión y votación del proyecto, de acuerdo con el artículo 286.  Estos serán criterios guías para que los otros congresistas tomen una decisión en torno a si se encuentran en una causal de impedi</w:t>
      </w:r>
      <w:r>
        <w:rPr>
          <w:rFonts w:ascii="Century Gothic" w:eastAsia="Century Gothic" w:hAnsi="Century Gothic" w:cs="Century Gothic"/>
        </w:rPr>
        <w:t>mento, no obstante, otras causales que el Congresista pueda encontrar.</w:t>
      </w:r>
    </w:p>
    <w:p w14:paraId="323993A8" w14:textId="77777777" w:rsidR="00AA5550" w:rsidRDefault="00045FF4">
      <w:pPr>
        <w:spacing w:before="240" w:after="240"/>
        <w:jc w:val="both"/>
        <w:rPr>
          <w:rFonts w:ascii="Century Gothic" w:eastAsia="Century Gothic" w:hAnsi="Century Gothic" w:cs="Century Gothic"/>
        </w:rPr>
      </w:pPr>
      <w:r>
        <w:rPr>
          <w:rFonts w:ascii="Century Gothic" w:eastAsia="Century Gothic" w:hAnsi="Century Gothic" w:cs="Century Gothic"/>
        </w:rPr>
        <w:lastRenderedPageBreak/>
        <w:t xml:space="preserve">Por lo cual, en cumplimiento de lo dispuesto en el marco normativo citado, nos permitimos señalar que en el trámite de este Proyecto podrían incurrir en conflicto de interés cuando los </w:t>
      </w:r>
      <w:r>
        <w:rPr>
          <w:rFonts w:ascii="Century Gothic" w:eastAsia="Century Gothic" w:hAnsi="Century Gothic" w:cs="Century Gothic"/>
        </w:rPr>
        <w:t>congresistas o su cónyuge, compañero o compañera permanente, o parientes dentro del segundo grado de consanguinidad, segundo de afinidad o primero civil puedan obtener beneficios directos o actuales del presente proyecto. Además, en cumplimiento de lo disp</w:t>
      </w:r>
      <w:r>
        <w:rPr>
          <w:rFonts w:ascii="Century Gothic" w:eastAsia="Century Gothic" w:hAnsi="Century Gothic" w:cs="Century Gothic"/>
        </w:rPr>
        <w:t xml:space="preserve">uesto en el marco normativo citado, nos permitimos señalar que no existe conflicto de intereses para la discusión y aprobación del presente proyecto de ley por parte de quienes suscriben esta ponencia. </w:t>
      </w:r>
    </w:p>
    <w:p w14:paraId="65E26BEC" w14:textId="77777777" w:rsidR="00AA5550" w:rsidRDefault="00045FF4">
      <w:pPr>
        <w:pStyle w:val="Ttulo1"/>
        <w:numPr>
          <w:ilvl w:val="0"/>
          <w:numId w:val="23"/>
        </w:numPr>
        <w:jc w:val="center"/>
        <w:rPr>
          <w:rFonts w:ascii="Century Gothic" w:eastAsia="Century Gothic" w:hAnsi="Century Gothic" w:cs="Century Gothic"/>
          <w:sz w:val="22"/>
          <w:szCs w:val="22"/>
        </w:rPr>
      </w:pPr>
      <w:bookmarkStart w:id="55" w:name="_heading=h.kzw2xg8ub5u4" w:colFirst="0" w:colLast="0"/>
      <w:bookmarkEnd w:id="55"/>
      <w:r>
        <w:rPr>
          <w:rFonts w:ascii="Century Gothic" w:eastAsia="Century Gothic" w:hAnsi="Century Gothic" w:cs="Century Gothic"/>
          <w:b/>
          <w:sz w:val="22"/>
          <w:szCs w:val="22"/>
        </w:rPr>
        <w:t>Proposición</w:t>
      </w:r>
    </w:p>
    <w:p w14:paraId="3A53190C"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Con fundamento en las razones anteriormen</w:t>
      </w:r>
      <w:r>
        <w:rPr>
          <w:rFonts w:ascii="Century Gothic" w:eastAsia="Century Gothic" w:hAnsi="Century Gothic" w:cs="Century Gothic"/>
        </w:rPr>
        <w:t>te expuestas, y conforme a lo establecido en la ley 5 de 1992, nos permitimos rendir ante la Cámara de Representantes, el texto de este Proyecto de Ley “Por medio de la cual se establecen lineamientos para la promoción y garantía de entornos seguros y prot</w:t>
      </w:r>
      <w:r>
        <w:rPr>
          <w:rFonts w:ascii="Century Gothic" w:eastAsia="Century Gothic" w:hAnsi="Century Gothic" w:cs="Century Gothic"/>
        </w:rPr>
        <w:t>ectores para mujeres, niñas, niños y adolescentes, y se dictan otras disposiciones.”</w:t>
      </w:r>
    </w:p>
    <w:p w14:paraId="20F4B2CF" w14:textId="77777777" w:rsidR="00AA5550" w:rsidRDefault="00AA5550">
      <w:pPr>
        <w:widowControl w:val="0"/>
        <w:spacing w:line="240" w:lineRule="auto"/>
        <w:jc w:val="both"/>
        <w:rPr>
          <w:rFonts w:ascii="Century Gothic" w:eastAsia="Century Gothic" w:hAnsi="Century Gothic" w:cs="Century Gothic"/>
        </w:rPr>
      </w:pPr>
    </w:p>
    <w:p w14:paraId="667C73AF" w14:textId="77777777" w:rsidR="00AA5550" w:rsidRDefault="00045FF4">
      <w:pPr>
        <w:jc w:val="both"/>
        <w:rPr>
          <w:rFonts w:ascii="Century Gothic" w:eastAsia="Century Gothic" w:hAnsi="Century Gothic" w:cs="Century Gothic"/>
        </w:rPr>
      </w:pPr>
      <w:r>
        <w:rPr>
          <w:rFonts w:ascii="Century Gothic" w:eastAsia="Century Gothic" w:hAnsi="Century Gothic" w:cs="Century Gothic"/>
        </w:rPr>
        <w:t xml:space="preserve">Atentamente, </w:t>
      </w:r>
    </w:p>
    <w:p w14:paraId="4F6EDB29" w14:textId="77777777" w:rsidR="00AA5550" w:rsidRDefault="00045FF4">
      <w:pPr>
        <w:spacing w:before="240" w:after="240"/>
        <w:jc w:val="both"/>
        <w:rPr>
          <w:rFonts w:ascii="Century Gothic" w:eastAsia="Century Gothic" w:hAnsi="Century Gothic" w:cs="Century Gothic"/>
          <w:b/>
        </w:rPr>
      </w:pPr>
      <w:r>
        <w:rPr>
          <w:rFonts w:ascii="Century Gothic" w:eastAsia="Century Gothic" w:hAnsi="Century Gothic" w:cs="Century Gothic"/>
        </w:rPr>
        <w:t xml:space="preserve">los honorables congresistas, </w:t>
      </w:r>
    </w:p>
    <w:tbl>
      <w:tblPr>
        <w:tblStyle w:val="a6"/>
        <w:tblW w:w="94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25"/>
        <w:gridCol w:w="5040"/>
      </w:tblGrid>
      <w:tr w:rsidR="00AA5550" w14:paraId="1F0800DF" w14:textId="77777777">
        <w:trPr>
          <w:trHeight w:val="1590"/>
        </w:trPr>
        <w:tc>
          <w:tcPr>
            <w:tcW w:w="4425" w:type="dxa"/>
            <w:tcBorders>
              <w:top w:val="single" w:sz="5" w:space="0" w:color="A6A6A6"/>
              <w:left w:val="single" w:sz="5" w:space="0" w:color="A6A6A6"/>
              <w:bottom w:val="single" w:sz="5" w:space="0" w:color="A6A6A6"/>
              <w:right w:val="single" w:sz="5" w:space="0" w:color="A6A6A6"/>
            </w:tcBorders>
            <w:tcMar>
              <w:top w:w="0" w:type="dxa"/>
              <w:left w:w="100" w:type="dxa"/>
              <w:bottom w:w="0" w:type="dxa"/>
              <w:right w:w="100" w:type="dxa"/>
            </w:tcMar>
          </w:tcPr>
          <w:p w14:paraId="6ADAA4E2" w14:textId="77777777" w:rsidR="00AA5550" w:rsidRDefault="00AA5550">
            <w:pPr>
              <w:rPr>
                <w:rFonts w:ascii="Century Gothic" w:eastAsia="Century Gothic" w:hAnsi="Century Gothic" w:cs="Century Gothic"/>
                <w:b/>
                <w:sz w:val="20"/>
                <w:szCs w:val="20"/>
              </w:rPr>
            </w:pPr>
          </w:p>
          <w:p w14:paraId="60F46F01" w14:textId="77777777" w:rsidR="00AA5550" w:rsidRDefault="00045FF4">
            <w:pPr>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5D32B795" wp14:editId="7DB9A66B">
                  <wp:extent cx="1547813" cy="809995"/>
                  <wp:effectExtent l="0" t="0" r="0" b="0"/>
                  <wp:docPr id="3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1547813" cy="809995"/>
                          </a:xfrm>
                          <a:prstGeom prst="rect">
                            <a:avLst/>
                          </a:prstGeom>
                          <a:ln/>
                        </pic:spPr>
                      </pic:pic>
                    </a:graphicData>
                  </a:graphic>
                </wp:inline>
              </w:drawing>
            </w:r>
          </w:p>
          <w:p w14:paraId="1C5371C7" w14:textId="77777777" w:rsidR="00AA5550" w:rsidRDefault="00045FF4">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JEZMI LIZETH BARRAZA ARRAUT</w:t>
            </w:r>
          </w:p>
          <w:p w14:paraId="48408ECC" w14:textId="77777777" w:rsidR="00AA5550" w:rsidRDefault="00045FF4">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Representante a la Cámara </w:t>
            </w:r>
          </w:p>
          <w:p w14:paraId="6FB30817" w14:textId="77777777" w:rsidR="00AA5550" w:rsidRDefault="00045FF4">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Departamento del Atlántico</w:t>
            </w:r>
          </w:p>
        </w:tc>
        <w:tc>
          <w:tcPr>
            <w:tcW w:w="5040" w:type="dxa"/>
            <w:tcBorders>
              <w:top w:val="single" w:sz="5" w:space="0" w:color="A6A6A6"/>
              <w:left w:val="nil"/>
              <w:bottom w:val="single" w:sz="5" w:space="0" w:color="A6A6A6"/>
              <w:right w:val="single" w:sz="5" w:space="0" w:color="A6A6A6"/>
            </w:tcBorders>
            <w:tcMar>
              <w:top w:w="0" w:type="dxa"/>
              <w:left w:w="100" w:type="dxa"/>
              <w:bottom w:w="0" w:type="dxa"/>
              <w:right w:w="100" w:type="dxa"/>
            </w:tcMar>
          </w:tcPr>
          <w:p w14:paraId="424A4E58" w14:textId="77777777" w:rsidR="00AA5550" w:rsidRDefault="00AA5550">
            <w:pPr>
              <w:widowControl w:val="0"/>
              <w:spacing w:line="240" w:lineRule="auto"/>
              <w:rPr>
                <w:rFonts w:ascii="Times New Roman" w:eastAsia="Times New Roman" w:hAnsi="Times New Roman" w:cs="Times New Roman"/>
                <w:sz w:val="24"/>
                <w:szCs w:val="24"/>
              </w:rPr>
            </w:pPr>
          </w:p>
          <w:p w14:paraId="37AC66B4" w14:textId="77777777" w:rsidR="00AA5550" w:rsidRDefault="00045FF4">
            <w:pPr>
              <w:widowControl w:val="0"/>
              <w:spacing w:line="240" w:lineRule="auto"/>
              <w:jc w:val="center"/>
              <w:rPr>
                <w:sz w:val="24"/>
                <w:szCs w:val="24"/>
              </w:rPr>
            </w:pPr>
            <w:r>
              <w:rPr>
                <w:rFonts w:ascii="Times New Roman" w:eastAsia="Times New Roman" w:hAnsi="Times New Roman" w:cs="Times New Roman"/>
                <w:noProof/>
                <w:sz w:val="24"/>
                <w:szCs w:val="24"/>
              </w:rPr>
              <w:drawing>
                <wp:inline distT="114300" distB="114300" distL="114300" distR="114300" wp14:anchorId="56324829" wp14:editId="62073F4F">
                  <wp:extent cx="1975803" cy="588815"/>
                  <wp:effectExtent l="0" t="0" r="0" b="0"/>
                  <wp:docPr id="56"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9"/>
                          <a:srcRect/>
                          <a:stretch>
                            <a:fillRect/>
                          </a:stretch>
                        </pic:blipFill>
                        <pic:spPr>
                          <a:xfrm>
                            <a:off x="0" y="0"/>
                            <a:ext cx="1975803" cy="588815"/>
                          </a:xfrm>
                          <a:prstGeom prst="rect">
                            <a:avLst/>
                          </a:prstGeom>
                          <a:ln/>
                        </pic:spPr>
                      </pic:pic>
                    </a:graphicData>
                  </a:graphic>
                </wp:inline>
              </w:drawing>
            </w:r>
          </w:p>
          <w:p w14:paraId="6BECCDF9" w14:textId="77777777" w:rsidR="00AA5550" w:rsidRDefault="00045FF4">
            <w:pPr>
              <w:widowControl w:val="0"/>
              <w:spacing w:line="240" w:lineRule="auto"/>
              <w:jc w:val="center"/>
              <w:rPr>
                <w:b/>
                <w:sz w:val="24"/>
                <w:szCs w:val="24"/>
              </w:rPr>
            </w:pPr>
            <w:r>
              <w:rPr>
                <w:b/>
                <w:sz w:val="24"/>
                <w:szCs w:val="24"/>
              </w:rPr>
              <w:t xml:space="preserve">INGRID JOHANA AGUIRRE JUVINAO </w:t>
            </w:r>
          </w:p>
          <w:p w14:paraId="76A6A757" w14:textId="77777777" w:rsidR="00AA5550" w:rsidRDefault="00045FF4">
            <w:pPr>
              <w:widowControl w:val="0"/>
              <w:spacing w:line="240" w:lineRule="auto"/>
              <w:jc w:val="center"/>
              <w:rPr>
                <w:sz w:val="24"/>
                <w:szCs w:val="24"/>
              </w:rPr>
            </w:pPr>
            <w:r>
              <w:rPr>
                <w:sz w:val="24"/>
                <w:szCs w:val="24"/>
              </w:rPr>
              <w:t xml:space="preserve">Representante a la Cámara </w:t>
            </w:r>
          </w:p>
          <w:p w14:paraId="726EA55F" w14:textId="77777777" w:rsidR="00AA5550" w:rsidRDefault="00045FF4">
            <w:pPr>
              <w:widowControl w:val="0"/>
              <w:spacing w:line="240" w:lineRule="auto"/>
              <w:jc w:val="center"/>
              <w:rPr>
                <w:sz w:val="24"/>
                <w:szCs w:val="24"/>
              </w:rPr>
            </w:pPr>
            <w:r>
              <w:rPr>
                <w:sz w:val="24"/>
                <w:szCs w:val="24"/>
              </w:rPr>
              <w:t xml:space="preserve">Departamento del Magdalena </w:t>
            </w:r>
          </w:p>
          <w:p w14:paraId="19CB1597" w14:textId="77777777" w:rsidR="00AA5550" w:rsidRDefault="00045FF4">
            <w:pPr>
              <w:widowControl w:val="0"/>
              <w:spacing w:line="240" w:lineRule="auto"/>
              <w:jc w:val="center"/>
              <w:rPr>
                <w:rFonts w:ascii="Century Gothic" w:eastAsia="Century Gothic" w:hAnsi="Century Gothic" w:cs="Century Gothic"/>
                <w:b/>
                <w:sz w:val="20"/>
                <w:szCs w:val="20"/>
              </w:rPr>
            </w:pPr>
            <w:r>
              <w:rPr>
                <w:sz w:val="24"/>
                <w:szCs w:val="24"/>
              </w:rPr>
              <w:t>Fuerza Ciudadana</w:t>
            </w:r>
          </w:p>
        </w:tc>
      </w:tr>
      <w:tr w:rsidR="00AA5550" w14:paraId="184B9865" w14:textId="77777777">
        <w:trPr>
          <w:trHeight w:val="1590"/>
        </w:trPr>
        <w:tc>
          <w:tcPr>
            <w:tcW w:w="4425" w:type="dxa"/>
            <w:tcBorders>
              <w:top w:val="single" w:sz="5" w:space="0" w:color="A6A6A6"/>
              <w:left w:val="single" w:sz="5" w:space="0" w:color="A6A6A6"/>
              <w:bottom w:val="single" w:sz="5" w:space="0" w:color="A6A6A6"/>
              <w:right w:val="single" w:sz="5" w:space="0" w:color="A6A6A6"/>
            </w:tcBorders>
            <w:tcMar>
              <w:top w:w="0" w:type="dxa"/>
              <w:left w:w="100" w:type="dxa"/>
              <w:bottom w:w="0" w:type="dxa"/>
              <w:right w:w="100" w:type="dxa"/>
            </w:tcMar>
          </w:tcPr>
          <w:p w14:paraId="11163BA3" w14:textId="77777777" w:rsidR="00AA5550" w:rsidRDefault="00045FF4">
            <w:pPr>
              <w:widowControl w:val="0"/>
              <w:spacing w:before="240" w:after="240" w:line="240" w:lineRule="auto"/>
              <w:jc w:val="center"/>
              <w:rPr>
                <w:b/>
              </w:rPr>
            </w:pPr>
            <w:r>
              <w:rPr>
                <w:b/>
                <w:noProof/>
              </w:rPr>
              <w:drawing>
                <wp:inline distT="114300" distB="114300" distL="114300" distR="114300" wp14:anchorId="4B14A18D" wp14:editId="71866E9E">
                  <wp:extent cx="1631142" cy="507091"/>
                  <wp:effectExtent l="0" t="0" r="0" b="0"/>
                  <wp:docPr id="3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1631142" cy="507091"/>
                          </a:xfrm>
                          <a:prstGeom prst="rect">
                            <a:avLst/>
                          </a:prstGeom>
                          <a:ln/>
                        </pic:spPr>
                      </pic:pic>
                    </a:graphicData>
                  </a:graphic>
                </wp:inline>
              </w:drawing>
            </w:r>
            <w:r>
              <w:rPr>
                <w:b/>
              </w:rPr>
              <w:t xml:space="preserve"> </w:t>
            </w:r>
          </w:p>
          <w:p w14:paraId="1CFAA0C7" w14:textId="77777777" w:rsidR="00AA5550" w:rsidRDefault="00045FF4">
            <w:pPr>
              <w:widowControl w:val="0"/>
              <w:spacing w:line="240" w:lineRule="auto"/>
              <w:jc w:val="center"/>
              <w:rPr>
                <w:b/>
                <w:sz w:val="20"/>
                <w:szCs w:val="20"/>
              </w:rPr>
            </w:pPr>
            <w:r>
              <w:rPr>
                <w:b/>
                <w:sz w:val="20"/>
                <w:szCs w:val="20"/>
              </w:rPr>
              <w:t>HÉCTOR DAVID CHAPARRO</w:t>
            </w:r>
          </w:p>
          <w:p w14:paraId="55F6AD7C" w14:textId="77777777" w:rsidR="00AA5550" w:rsidRDefault="00045FF4">
            <w:pPr>
              <w:widowControl w:val="0"/>
              <w:spacing w:line="240" w:lineRule="auto"/>
              <w:jc w:val="center"/>
              <w:rPr>
                <w:b/>
                <w:sz w:val="20"/>
                <w:szCs w:val="20"/>
              </w:rPr>
            </w:pPr>
            <w:r>
              <w:rPr>
                <w:b/>
                <w:sz w:val="20"/>
                <w:szCs w:val="20"/>
              </w:rPr>
              <w:t>Representante a la Cámara</w:t>
            </w:r>
          </w:p>
          <w:p w14:paraId="736A5AEA" w14:textId="77777777" w:rsidR="00AA5550" w:rsidRDefault="00045FF4">
            <w:pPr>
              <w:widowControl w:val="0"/>
              <w:spacing w:line="240" w:lineRule="auto"/>
              <w:jc w:val="center"/>
              <w:rPr>
                <w:rFonts w:ascii="Century Gothic" w:eastAsia="Century Gothic" w:hAnsi="Century Gothic" w:cs="Century Gothic"/>
                <w:b/>
                <w:sz w:val="18"/>
                <w:szCs w:val="18"/>
              </w:rPr>
            </w:pPr>
            <w:r>
              <w:rPr>
                <w:b/>
                <w:sz w:val="20"/>
                <w:szCs w:val="20"/>
              </w:rPr>
              <w:t>Partido Liberal</w:t>
            </w:r>
          </w:p>
        </w:tc>
        <w:tc>
          <w:tcPr>
            <w:tcW w:w="5040" w:type="dxa"/>
            <w:tcBorders>
              <w:top w:val="single" w:sz="5" w:space="0" w:color="A6A6A6"/>
              <w:left w:val="nil"/>
              <w:bottom w:val="single" w:sz="5" w:space="0" w:color="A6A6A6"/>
              <w:right w:val="single" w:sz="5" w:space="0" w:color="A6A6A6"/>
            </w:tcBorders>
            <w:tcMar>
              <w:top w:w="0" w:type="dxa"/>
              <w:left w:w="100" w:type="dxa"/>
              <w:bottom w:w="0" w:type="dxa"/>
              <w:right w:w="100" w:type="dxa"/>
            </w:tcMar>
          </w:tcPr>
          <w:p w14:paraId="522EC04A"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4D4E9FC7" wp14:editId="5C548336">
                  <wp:extent cx="1552575" cy="838112"/>
                  <wp:effectExtent l="0" t="0" r="0" b="0"/>
                  <wp:docPr id="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1"/>
                          <a:srcRect/>
                          <a:stretch>
                            <a:fillRect/>
                          </a:stretch>
                        </pic:blipFill>
                        <pic:spPr>
                          <a:xfrm>
                            <a:off x="0" y="0"/>
                            <a:ext cx="1552575" cy="838112"/>
                          </a:xfrm>
                          <a:prstGeom prst="rect">
                            <a:avLst/>
                          </a:prstGeom>
                          <a:ln/>
                        </pic:spPr>
                      </pic:pic>
                    </a:graphicData>
                  </a:graphic>
                </wp:inline>
              </w:drawing>
            </w:r>
          </w:p>
          <w:p w14:paraId="6693A555" w14:textId="77777777" w:rsidR="00AA5550" w:rsidRDefault="00045FF4">
            <w:pPr>
              <w:spacing w:before="240" w:after="24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JULIÁN PEINADO RAMÍREZ</w:t>
            </w:r>
          </w:p>
          <w:p w14:paraId="493A8E89" w14:textId="77777777" w:rsidR="00AA5550" w:rsidRDefault="00045FF4">
            <w:pPr>
              <w:spacing w:before="240" w:after="240"/>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Representante a la Cámara por Antioquia</w:t>
            </w:r>
          </w:p>
          <w:p w14:paraId="667B03BF" w14:textId="77777777" w:rsidR="00AA5550" w:rsidRDefault="00045FF4">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Partido Liberal</w:t>
            </w:r>
          </w:p>
        </w:tc>
      </w:tr>
      <w:tr w:rsidR="00AA5550" w14:paraId="00FF00AF" w14:textId="77777777">
        <w:trPr>
          <w:trHeight w:val="2819"/>
        </w:trPr>
        <w:tc>
          <w:tcPr>
            <w:tcW w:w="4425" w:type="dxa"/>
            <w:tcBorders>
              <w:top w:val="single" w:sz="5" w:space="0" w:color="A6A6A6"/>
              <w:left w:val="single" w:sz="5" w:space="0" w:color="A6A6A6"/>
              <w:bottom w:val="single" w:sz="5" w:space="0" w:color="A6A6A6"/>
              <w:right w:val="single" w:sz="5" w:space="0" w:color="A6A6A6"/>
            </w:tcBorders>
            <w:tcMar>
              <w:top w:w="0" w:type="dxa"/>
              <w:left w:w="100" w:type="dxa"/>
              <w:bottom w:w="0" w:type="dxa"/>
              <w:right w:w="100" w:type="dxa"/>
            </w:tcMar>
          </w:tcPr>
          <w:p w14:paraId="272224A6" w14:textId="77777777" w:rsidR="00AA5550" w:rsidRDefault="00AA5550">
            <w:pPr>
              <w:jc w:val="center"/>
              <w:rPr>
                <w:rFonts w:ascii="Century Gothic" w:eastAsia="Century Gothic" w:hAnsi="Century Gothic" w:cs="Century Gothic"/>
                <w:b/>
                <w:sz w:val="20"/>
                <w:szCs w:val="20"/>
              </w:rPr>
            </w:pPr>
          </w:p>
          <w:p w14:paraId="63E4B27E" w14:textId="77777777" w:rsidR="00AA5550" w:rsidRDefault="00045FF4">
            <w:pPr>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313A9A5E" wp14:editId="3040C345">
                  <wp:extent cx="2571750" cy="1028700"/>
                  <wp:effectExtent l="0" t="0" r="0" b="0"/>
                  <wp:docPr id="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2571750" cy="1028700"/>
                          </a:xfrm>
                          <a:prstGeom prst="rect">
                            <a:avLst/>
                          </a:prstGeom>
                          <a:ln/>
                        </pic:spPr>
                      </pic:pic>
                    </a:graphicData>
                  </a:graphic>
                </wp:inline>
              </w:drawing>
            </w:r>
          </w:p>
          <w:p w14:paraId="57A082D5" w14:textId="77777777" w:rsidR="00AA5550" w:rsidRDefault="00AA5550">
            <w:pPr>
              <w:jc w:val="center"/>
              <w:rPr>
                <w:rFonts w:ascii="Century Gothic" w:eastAsia="Century Gothic" w:hAnsi="Century Gothic" w:cs="Century Gothic"/>
                <w:b/>
                <w:sz w:val="20"/>
                <w:szCs w:val="20"/>
              </w:rPr>
            </w:pPr>
          </w:p>
        </w:tc>
        <w:tc>
          <w:tcPr>
            <w:tcW w:w="5040" w:type="dxa"/>
            <w:tcBorders>
              <w:top w:val="single" w:sz="5" w:space="0" w:color="A6A6A6"/>
              <w:left w:val="nil"/>
              <w:bottom w:val="single" w:sz="5" w:space="0" w:color="A6A6A6"/>
              <w:right w:val="single" w:sz="5" w:space="0" w:color="A6A6A6"/>
            </w:tcBorders>
            <w:tcMar>
              <w:top w:w="0" w:type="dxa"/>
              <w:left w:w="100" w:type="dxa"/>
              <w:bottom w:w="0" w:type="dxa"/>
              <w:right w:w="100" w:type="dxa"/>
            </w:tcMar>
          </w:tcPr>
          <w:p w14:paraId="43C81745"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3F8FED9B" wp14:editId="0F9B2E5A">
                  <wp:extent cx="1485900" cy="736735"/>
                  <wp:effectExtent l="0" t="0" r="0" b="0"/>
                  <wp:docPr id="1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1485900" cy="736735"/>
                          </a:xfrm>
                          <a:prstGeom prst="rect">
                            <a:avLst/>
                          </a:prstGeom>
                          <a:ln/>
                        </pic:spPr>
                      </pic:pic>
                    </a:graphicData>
                  </a:graphic>
                </wp:inline>
              </w:drawing>
            </w:r>
          </w:p>
          <w:p w14:paraId="6E318F80" w14:textId="77777777" w:rsidR="00AA5550" w:rsidRDefault="00045FF4">
            <w:pPr>
              <w:shd w:val="clear" w:color="auto" w:fill="FFFFFF"/>
              <w:jc w:val="center"/>
              <w:rPr>
                <w:b/>
              </w:rPr>
            </w:pPr>
            <w:r>
              <w:rPr>
                <w:b/>
              </w:rPr>
              <w:t>GERARDO YEPES CARO</w:t>
            </w:r>
          </w:p>
          <w:p w14:paraId="7E5B0EBE" w14:textId="77777777" w:rsidR="00AA5550" w:rsidRDefault="00045FF4">
            <w:pPr>
              <w:shd w:val="clear" w:color="auto" w:fill="FFFFFF"/>
              <w:jc w:val="center"/>
              <w:rPr>
                <w:b/>
                <w:sz w:val="18"/>
                <w:szCs w:val="18"/>
              </w:rPr>
            </w:pPr>
            <w:r>
              <w:rPr>
                <w:b/>
                <w:sz w:val="18"/>
                <w:szCs w:val="18"/>
              </w:rPr>
              <w:t>Representante a la Cámara por el Tolima.</w:t>
            </w:r>
          </w:p>
          <w:p w14:paraId="065188F0" w14:textId="77777777" w:rsidR="00AA5550" w:rsidRDefault="00045FF4">
            <w:pPr>
              <w:shd w:val="clear" w:color="auto" w:fill="FFFFFF"/>
              <w:jc w:val="center"/>
              <w:rPr>
                <w:rFonts w:ascii="Century Gothic" w:eastAsia="Century Gothic" w:hAnsi="Century Gothic" w:cs="Century Gothic"/>
                <w:b/>
                <w:sz w:val="20"/>
                <w:szCs w:val="20"/>
              </w:rPr>
            </w:pPr>
            <w:r>
              <w:rPr>
                <w:b/>
                <w:sz w:val="18"/>
                <w:szCs w:val="18"/>
              </w:rPr>
              <w:t>Partido Conservador</w:t>
            </w:r>
          </w:p>
        </w:tc>
      </w:tr>
      <w:tr w:rsidR="00AA5550" w14:paraId="435FC4E0" w14:textId="77777777">
        <w:trPr>
          <w:trHeight w:val="1590"/>
        </w:trPr>
        <w:tc>
          <w:tcPr>
            <w:tcW w:w="4425" w:type="dxa"/>
            <w:tcBorders>
              <w:top w:val="single" w:sz="5" w:space="0" w:color="A6A6A6"/>
              <w:left w:val="single" w:sz="5" w:space="0" w:color="A6A6A6"/>
              <w:bottom w:val="single" w:sz="5" w:space="0" w:color="A6A6A6"/>
              <w:right w:val="single" w:sz="5" w:space="0" w:color="A6A6A6"/>
            </w:tcBorders>
            <w:tcMar>
              <w:top w:w="0" w:type="dxa"/>
              <w:left w:w="100" w:type="dxa"/>
              <w:bottom w:w="0" w:type="dxa"/>
              <w:right w:w="100" w:type="dxa"/>
            </w:tcMar>
          </w:tcPr>
          <w:p w14:paraId="51C9F478" w14:textId="77777777" w:rsidR="00AA5550" w:rsidRDefault="00045FF4">
            <w:pPr>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4F4DDA68" wp14:editId="78C0ABF5">
                  <wp:extent cx="2676525" cy="1282700"/>
                  <wp:effectExtent l="0" t="0" r="0" b="0"/>
                  <wp:docPr id="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2676525" cy="1282700"/>
                          </a:xfrm>
                          <a:prstGeom prst="rect">
                            <a:avLst/>
                          </a:prstGeom>
                          <a:ln/>
                        </pic:spPr>
                      </pic:pic>
                    </a:graphicData>
                  </a:graphic>
                </wp:inline>
              </w:drawing>
            </w:r>
          </w:p>
        </w:tc>
        <w:tc>
          <w:tcPr>
            <w:tcW w:w="5040" w:type="dxa"/>
            <w:tcBorders>
              <w:top w:val="single" w:sz="5" w:space="0" w:color="A6A6A6"/>
              <w:left w:val="nil"/>
              <w:bottom w:val="single" w:sz="5" w:space="0" w:color="A6A6A6"/>
              <w:right w:val="single" w:sz="5" w:space="0" w:color="A6A6A6"/>
            </w:tcBorders>
            <w:tcMar>
              <w:top w:w="0" w:type="dxa"/>
              <w:left w:w="100" w:type="dxa"/>
              <w:bottom w:w="0" w:type="dxa"/>
              <w:right w:w="100" w:type="dxa"/>
            </w:tcMar>
          </w:tcPr>
          <w:p w14:paraId="4BB47098"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1291D097" wp14:editId="7EFBEA9F">
                  <wp:extent cx="1023938" cy="859962"/>
                  <wp:effectExtent l="0" t="0" r="0" b="0"/>
                  <wp:docPr id="4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1023938" cy="859962"/>
                          </a:xfrm>
                          <a:prstGeom prst="rect">
                            <a:avLst/>
                          </a:prstGeom>
                          <a:ln/>
                        </pic:spPr>
                      </pic:pic>
                    </a:graphicData>
                  </a:graphic>
                </wp:inline>
              </w:drawing>
            </w:r>
          </w:p>
          <w:p w14:paraId="645043B8"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ERIKA TATIANA SÁNCHEZ PINTO</w:t>
            </w:r>
          </w:p>
          <w:p w14:paraId="7642D523"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Representante a la Cámara </w:t>
            </w:r>
          </w:p>
          <w:p w14:paraId="7CF7A41C"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Departamento de Santander</w:t>
            </w:r>
          </w:p>
        </w:tc>
      </w:tr>
      <w:tr w:rsidR="00AA5550" w14:paraId="1CDE50FA" w14:textId="77777777">
        <w:trPr>
          <w:trHeight w:val="1845"/>
        </w:trPr>
        <w:tc>
          <w:tcPr>
            <w:tcW w:w="4425" w:type="dxa"/>
            <w:tcBorders>
              <w:top w:val="nil"/>
              <w:left w:val="single" w:sz="5" w:space="0" w:color="A6A6A6"/>
              <w:bottom w:val="single" w:sz="5" w:space="0" w:color="A6A6A6"/>
              <w:right w:val="single" w:sz="5" w:space="0" w:color="A6A6A6"/>
            </w:tcBorders>
            <w:tcMar>
              <w:top w:w="0" w:type="dxa"/>
              <w:left w:w="100" w:type="dxa"/>
              <w:bottom w:w="0" w:type="dxa"/>
              <w:right w:w="100" w:type="dxa"/>
            </w:tcMar>
          </w:tcPr>
          <w:p w14:paraId="4C10A535"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2164D7B1" wp14:editId="34B35394">
                  <wp:extent cx="1695450" cy="482445"/>
                  <wp:effectExtent l="0" t="0" r="0" b="0"/>
                  <wp:docPr id="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1695450" cy="482445"/>
                          </a:xfrm>
                          <a:prstGeom prst="rect">
                            <a:avLst/>
                          </a:prstGeom>
                          <a:ln/>
                        </pic:spPr>
                      </pic:pic>
                    </a:graphicData>
                  </a:graphic>
                </wp:inline>
              </w:drawing>
            </w:r>
          </w:p>
          <w:p w14:paraId="359EC84F"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BETSY JUDITH PEREZ</w:t>
            </w:r>
          </w:p>
          <w:p w14:paraId="27774150"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Representante a la Cámara</w:t>
            </w:r>
          </w:p>
        </w:tc>
        <w:tc>
          <w:tcPr>
            <w:tcW w:w="5040" w:type="dxa"/>
            <w:tcBorders>
              <w:top w:val="nil"/>
              <w:left w:val="nil"/>
              <w:bottom w:val="single" w:sz="5" w:space="0" w:color="A6A6A6"/>
              <w:right w:val="single" w:sz="5" w:space="0" w:color="A6A6A6"/>
            </w:tcBorders>
            <w:tcMar>
              <w:top w:w="0" w:type="dxa"/>
              <w:left w:w="100" w:type="dxa"/>
              <w:bottom w:w="0" w:type="dxa"/>
              <w:right w:w="100" w:type="dxa"/>
            </w:tcMar>
          </w:tcPr>
          <w:p w14:paraId="25115FE6"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5E9A2A08" wp14:editId="5B4B69DE">
                  <wp:extent cx="2943225" cy="590550"/>
                  <wp:effectExtent l="0" t="0" r="0" b="0"/>
                  <wp:docPr id="3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7"/>
                          <a:srcRect/>
                          <a:stretch>
                            <a:fillRect/>
                          </a:stretch>
                        </pic:blipFill>
                        <pic:spPr>
                          <a:xfrm>
                            <a:off x="0" y="0"/>
                            <a:ext cx="2943225" cy="590550"/>
                          </a:xfrm>
                          <a:prstGeom prst="rect">
                            <a:avLst/>
                          </a:prstGeom>
                          <a:ln/>
                        </pic:spPr>
                      </pic:pic>
                    </a:graphicData>
                  </a:graphic>
                </wp:inline>
              </w:drawing>
            </w:r>
          </w:p>
          <w:p w14:paraId="2698B91F" w14:textId="77777777" w:rsidR="00AA5550" w:rsidRDefault="00045FF4">
            <w:pPr>
              <w:jc w:val="center"/>
              <w:rPr>
                <w:b/>
                <w:sz w:val="20"/>
                <w:szCs w:val="20"/>
              </w:rPr>
            </w:pPr>
            <w:r>
              <w:rPr>
                <w:b/>
                <w:sz w:val="20"/>
                <w:szCs w:val="20"/>
              </w:rPr>
              <w:t>Representante a la Cámara</w:t>
            </w:r>
          </w:p>
          <w:p w14:paraId="4C02A770" w14:textId="77777777" w:rsidR="00AA5550" w:rsidRDefault="00045FF4">
            <w:pPr>
              <w:jc w:val="center"/>
              <w:rPr>
                <w:rFonts w:ascii="Century Gothic" w:eastAsia="Century Gothic" w:hAnsi="Century Gothic" w:cs="Century Gothic"/>
                <w:b/>
                <w:sz w:val="20"/>
                <w:szCs w:val="20"/>
              </w:rPr>
            </w:pPr>
            <w:r>
              <w:rPr>
                <w:b/>
                <w:sz w:val="20"/>
                <w:szCs w:val="20"/>
              </w:rPr>
              <w:t>Departamento de Antioquia</w:t>
            </w:r>
          </w:p>
        </w:tc>
      </w:tr>
      <w:tr w:rsidR="00AA5550" w14:paraId="2BC23D52" w14:textId="77777777">
        <w:trPr>
          <w:trHeight w:val="2508"/>
        </w:trPr>
        <w:tc>
          <w:tcPr>
            <w:tcW w:w="4425" w:type="dxa"/>
            <w:tcBorders>
              <w:top w:val="nil"/>
              <w:left w:val="single" w:sz="5" w:space="0" w:color="A6A6A6"/>
              <w:bottom w:val="single" w:sz="5" w:space="0" w:color="A6A6A6"/>
              <w:right w:val="single" w:sz="5" w:space="0" w:color="A6A6A6"/>
            </w:tcBorders>
            <w:tcMar>
              <w:top w:w="0" w:type="dxa"/>
              <w:left w:w="100" w:type="dxa"/>
              <w:bottom w:w="0" w:type="dxa"/>
              <w:right w:w="100" w:type="dxa"/>
            </w:tcMar>
          </w:tcPr>
          <w:p w14:paraId="17D53FC5" w14:textId="77777777" w:rsidR="00AA5550" w:rsidRDefault="00045FF4">
            <w:pPr>
              <w:jc w:val="center"/>
              <w:rPr>
                <w:b/>
                <w:sz w:val="24"/>
                <w:szCs w:val="24"/>
              </w:rPr>
            </w:pPr>
            <w:r>
              <w:rPr>
                <w:noProof/>
              </w:rPr>
              <w:drawing>
                <wp:anchor distT="114300" distB="114300" distL="114300" distR="114300" simplePos="0" relativeHeight="251665408" behindDoc="1" locked="0" layoutInCell="1" hidden="0" allowOverlap="1" wp14:anchorId="7729583D" wp14:editId="082B2043">
                  <wp:simplePos x="0" y="0"/>
                  <wp:positionH relativeFrom="column">
                    <wp:posOffset>742950</wp:posOffset>
                  </wp:positionH>
                  <wp:positionV relativeFrom="paragraph">
                    <wp:posOffset>219075</wp:posOffset>
                  </wp:positionV>
                  <wp:extent cx="1200150" cy="1200150"/>
                  <wp:effectExtent l="0" t="0" r="0" b="0"/>
                  <wp:wrapNone/>
                  <wp:docPr id="45"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8"/>
                          <a:srcRect/>
                          <a:stretch>
                            <a:fillRect/>
                          </a:stretch>
                        </pic:blipFill>
                        <pic:spPr>
                          <a:xfrm>
                            <a:off x="0" y="0"/>
                            <a:ext cx="1200150" cy="1200150"/>
                          </a:xfrm>
                          <a:prstGeom prst="rect">
                            <a:avLst/>
                          </a:prstGeom>
                          <a:ln/>
                        </pic:spPr>
                      </pic:pic>
                    </a:graphicData>
                  </a:graphic>
                </wp:anchor>
              </w:drawing>
            </w:r>
          </w:p>
          <w:p w14:paraId="6AFC1DD7" w14:textId="77777777" w:rsidR="00AA5550" w:rsidRDefault="00AA5550">
            <w:pPr>
              <w:jc w:val="center"/>
              <w:rPr>
                <w:b/>
                <w:sz w:val="24"/>
                <w:szCs w:val="24"/>
              </w:rPr>
            </w:pPr>
          </w:p>
          <w:p w14:paraId="6511A090" w14:textId="77777777" w:rsidR="00AA5550" w:rsidRDefault="00AA5550">
            <w:pPr>
              <w:jc w:val="center"/>
              <w:rPr>
                <w:b/>
                <w:sz w:val="24"/>
                <w:szCs w:val="24"/>
              </w:rPr>
            </w:pPr>
          </w:p>
          <w:p w14:paraId="70499E09" w14:textId="77777777" w:rsidR="00AA5550" w:rsidRDefault="00AA5550">
            <w:pPr>
              <w:jc w:val="center"/>
              <w:rPr>
                <w:b/>
                <w:sz w:val="24"/>
                <w:szCs w:val="24"/>
              </w:rPr>
            </w:pPr>
          </w:p>
          <w:p w14:paraId="5340A46C" w14:textId="77777777" w:rsidR="00AA5550" w:rsidRDefault="00AA5550">
            <w:pPr>
              <w:jc w:val="center"/>
              <w:rPr>
                <w:b/>
                <w:sz w:val="24"/>
                <w:szCs w:val="24"/>
              </w:rPr>
            </w:pPr>
          </w:p>
          <w:p w14:paraId="71F0A576" w14:textId="77777777" w:rsidR="00AA5550" w:rsidRDefault="00045FF4">
            <w:pPr>
              <w:jc w:val="center"/>
              <w:rPr>
                <w:b/>
                <w:sz w:val="24"/>
                <w:szCs w:val="24"/>
              </w:rPr>
            </w:pPr>
            <w:r>
              <w:rPr>
                <w:b/>
                <w:sz w:val="24"/>
                <w:szCs w:val="24"/>
              </w:rPr>
              <w:t>AGMETH JOSÉ ESCAF TIJERINO</w:t>
            </w:r>
          </w:p>
          <w:p w14:paraId="3808A517" w14:textId="77777777" w:rsidR="00AA5550" w:rsidRDefault="00045FF4">
            <w:pPr>
              <w:jc w:val="center"/>
              <w:rPr>
                <w:sz w:val="24"/>
                <w:szCs w:val="24"/>
              </w:rPr>
            </w:pPr>
            <w:r>
              <w:rPr>
                <w:sz w:val="24"/>
                <w:szCs w:val="24"/>
              </w:rPr>
              <w:t>Representante a la Cámara</w:t>
            </w:r>
          </w:p>
          <w:p w14:paraId="3EB23BB2" w14:textId="77777777" w:rsidR="00AA5550" w:rsidRDefault="00045FF4">
            <w:pPr>
              <w:jc w:val="center"/>
              <w:rPr>
                <w:rFonts w:ascii="Century Gothic" w:eastAsia="Century Gothic" w:hAnsi="Century Gothic" w:cs="Century Gothic"/>
                <w:b/>
                <w:sz w:val="20"/>
                <w:szCs w:val="20"/>
              </w:rPr>
            </w:pPr>
            <w:r>
              <w:rPr>
                <w:sz w:val="24"/>
                <w:szCs w:val="24"/>
              </w:rPr>
              <w:t>Pacto Histórico</w:t>
            </w:r>
          </w:p>
        </w:tc>
        <w:tc>
          <w:tcPr>
            <w:tcW w:w="5040" w:type="dxa"/>
            <w:tcBorders>
              <w:top w:val="nil"/>
              <w:left w:val="nil"/>
              <w:bottom w:val="single" w:sz="5" w:space="0" w:color="A6A6A6"/>
              <w:right w:val="single" w:sz="5" w:space="0" w:color="A6A6A6"/>
            </w:tcBorders>
            <w:tcMar>
              <w:top w:w="0" w:type="dxa"/>
              <w:left w:w="100" w:type="dxa"/>
              <w:bottom w:w="0" w:type="dxa"/>
              <w:right w:w="100" w:type="dxa"/>
            </w:tcMar>
          </w:tcPr>
          <w:p w14:paraId="56A8FB6C" w14:textId="77777777" w:rsidR="00AA5550" w:rsidRDefault="00045FF4">
            <w:pPr>
              <w:spacing w:before="240" w:after="240"/>
              <w:jc w:val="center"/>
              <w:rPr>
                <w:rFonts w:ascii="Century Gothic" w:eastAsia="Century Gothic" w:hAnsi="Century Gothic" w:cs="Century Gothic"/>
                <w:b/>
                <w:sz w:val="20"/>
                <w:szCs w:val="20"/>
              </w:rPr>
            </w:pPr>
            <w:r>
              <w:rPr>
                <w:rFonts w:ascii="Century Gothic" w:eastAsia="Century Gothic" w:hAnsi="Century Gothic" w:cs="Century Gothic"/>
                <w:b/>
                <w:noProof/>
                <w:sz w:val="20"/>
                <w:szCs w:val="20"/>
              </w:rPr>
              <w:drawing>
                <wp:inline distT="114300" distB="114300" distL="114300" distR="114300" wp14:anchorId="798166CE" wp14:editId="7451DD13">
                  <wp:extent cx="3067050" cy="673100"/>
                  <wp:effectExtent l="0" t="0" r="0" b="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3067050" cy="673100"/>
                          </a:xfrm>
                          <a:prstGeom prst="rect">
                            <a:avLst/>
                          </a:prstGeom>
                          <a:ln/>
                        </pic:spPr>
                      </pic:pic>
                    </a:graphicData>
                  </a:graphic>
                </wp:inline>
              </w:drawing>
            </w:r>
          </w:p>
        </w:tc>
      </w:tr>
      <w:tr w:rsidR="00AA5550" w14:paraId="0FABFC50" w14:textId="77777777">
        <w:trPr>
          <w:trHeight w:val="1845"/>
        </w:trPr>
        <w:tc>
          <w:tcPr>
            <w:tcW w:w="4425" w:type="dxa"/>
            <w:tcBorders>
              <w:top w:val="nil"/>
              <w:left w:val="single" w:sz="5" w:space="0" w:color="A6A6A6"/>
              <w:bottom w:val="single" w:sz="5" w:space="0" w:color="A6A6A6"/>
              <w:right w:val="single" w:sz="5" w:space="0" w:color="A6A6A6"/>
            </w:tcBorders>
            <w:tcMar>
              <w:top w:w="0" w:type="dxa"/>
              <w:left w:w="100" w:type="dxa"/>
              <w:bottom w:w="0" w:type="dxa"/>
              <w:right w:w="100" w:type="dxa"/>
            </w:tcMar>
          </w:tcPr>
          <w:p w14:paraId="55B73985" w14:textId="77777777" w:rsidR="00AA5550" w:rsidRDefault="00AA5550">
            <w:pPr>
              <w:jc w:val="center"/>
              <w:rPr>
                <w:sz w:val="24"/>
                <w:szCs w:val="24"/>
              </w:rPr>
            </w:pPr>
          </w:p>
          <w:p w14:paraId="71268F23" w14:textId="77777777" w:rsidR="00AA5550" w:rsidRDefault="00AA5550">
            <w:pPr>
              <w:jc w:val="center"/>
              <w:rPr>
                <w:sz w:val="24"/>
                <w:szCs w:val="24"/>
              </w:rPr>
            </w:pPr>
          </w:p>
          <w:p w14:paraId="6F4E1A2A" w14:textId="77777777" w:rsidR="00AA5550" w:rsidRDefault="00045FF4">
            <w:pPr>
              <w:jc w:val="center"/>
              <w:rPr>
                <w:sz w:val="24"/>
                <w:szCs w:val="24"/>
              </w:rPr>
            </w:pPr>
            <w:r>
              <w:rPr>
                <w:noProof/>
                <w:sz w:val="24"/>
                <w:szCs w:val="24"/>
              </w:rPr>
              <w:drawing>
                <wp:inline distT="114300" distB="114300" distL="114300" distR="114300" wp14:anchorId="039B2601" wp14:editId="720DB0D4">
                  <wp:extent cx="1362075" cy="739564"/>
                  <wp:effectExtent l="0" t="0" r="0" b="0"/>
                  <wp:docPr id="1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0"/>
                          <a:srcRect/>
                          <a:stretch>
                            <a:fillRect/>
                          </a:stretch>
                        </pic:blipFill>
                        <pic:spPr>
                          <a:xfrm>
                            <a:off x="0" y="0"/>
                            <a:ext cx="1362075" cy="739564"/>
                          </a:xfrm>
                          <a:prstGeom prst="rect">
                            <a:avLst/>
                          </a:prstGeom>
                          <a:ln/>
                        </pic:spPr>
                      </pic:pic>
                    </a:graphicData>
                  </a:graphic>
                </wp:inline>
              </w:drawing>
            </w:r>
          </w:p>
          <w:p w14:paraId="224E9F31" w14:textId="77777777" w:rsidR="00AA5550" w:rsidRDefault="00045FF4">
            <w:pPr>
              <w:jc w:val="center"/>
              <w:rPr>
                <w:b/>
                <w:sz w:val="24"/>
                <w:szCs w:val="24"/>
              </w:rPr>
            </w:pPr>
            <w:r>
              <w:rPr>
                <w:b/>
                <w:sz w:val="24"/>
                <w:szCs w:val="24"/>
              </w:rPr>
              <w:t>CAMILO ESTEBAN ÁVILA MORALES</w:t>
            </w:r>
          </w:p>
          <w:p w14:paraId="3D3DDDDD" w14:textId="77777777" w:rsidR="00AA5550" w:rsidRDefault="00045FF4">
            <w:pPr>
              <w:jc w:val="center"/>
              <w:rPr>
                <w:sz w:val="24"/>
                <w:szCs w:val="24"/>
              </w:rPr>
            </w:pPr>
            <w:r>
              <w:rPr>
                <w:sz w:val="24"/>
                <w:szCs w:val="24"/>
              </w:rPr>
              <w:t>Representante a la Cámara</w:t>
            </w:r>
          </w:p>
          <w:p w14:paraId="09753092" w14:textId="77777777" w:rsidR="00AA5550" w:rsidRDefault="00045FF4">
            <w:pPr>
              <w:jc w:val="center"/>
              <w:rPr>
                <w:sz w:val="24"/>
                <w:szCs w:val="24"/>
              </w:rPr>
            </w:pPr>
            <w:r>
              <w:rPr>
                <w:sz w:val="24"/>
                <w:szCs w:val="24"/>
              </w:rPr>
              <w:t>Departamento del Vaupés</w:t>
            </w:r>
          </w:p>
        </w:tc>
        <w:tc>
          <w:tcPr>
            <w:tcW w:w="5040" w:type="dxa"/>
            <w:tcBorders>
              <w:top w:val="nil"/>
              <w:left w:val="nil"/>
              <w:bottom w:val="single" w:sz="5" w:space="0" w:color="A6A6A6"/>
              <w:right w:val="single" w:sz="5" w:space="0" w:color="A6A6A6"/>
            </w:tcBorders>
            <w:tcMar>
              <w:top w:w="0" w:type="dxa"/>
              <w:left w:w="100" w:type="dxa"/>
              <w:bottom w:w="0" w:type="dxa"/>
              <w:right w:w="100" w:type="dxa"/>
            </w:tcMar>
          </w:tcPr>
          <w:p w14:paraId="6FD4F6E0" w14:textId="77777777" w:rsidR="00AA5550" w:rsidRDefault="00045FF4">
            <w:pPr>
              <w:spacing w:before="240" w:after="240"/>
              <w:jc w:val="center"/>
              <w:rPr>
                <w:rFonts w:ascii="Century Gothic" w:eastAsia="Century Gothic" w:hAnsi="Century Gothic" w:cs="Century Gothic"/>
                <w:b/>
                <w:sz w:val="20"/>
                <w:szCs w:val="20"/>
              </w:rPr>
            </w:pPr>
            <w:r>
              <w:rPr>
                <w:noProof/>
              </w:rPr>
              <w:drawing>
                <wp:anchor distT="114300" distB="114300" distL="114300" distR="114300" simplePos="0" relativeHeight="251666432" behindDoc="0" locked="0" layoutInCell="1" hidden="0" allowOverlap="1" wp14:anchorId="1245A543" wp14:editId="14E1B2B7">
                  <wp:simplePos x="0" y="0"/>
                  <wp:positionH relativeFrom="column">
                    <wp:posOffset>752475</wp:posOffset>
                  </wp:positionH>
                  <wp:positionV relativeFrom="paragraph">
                    <wp:posOffset>161925</wp:posOffset>
                  </wp:positionV>
                  <wp:extent cx="1519238" cy="866775"/>
                  <wp:effectExtent l="0" t="0" r="0" b="0"/>
                  <wp:wrapNone/>
                  <wp:docPr id="3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1"/>
                          <a:srcRect t="-6593" b="6593"/>
                          <a:stretch>
                            <a:fillRect/>
                          </a:stretch>
                        </pic:blipFill>
                        <pic:spPr>
                          <a:xfrm>
                            <a:off x="0" y="0"/>
                            <a:ext cx="1519238" cy="866775"/>
                          </a:xfrm>
                          <a:prstGeom prst="rect">
                            <a:avLst/>
                          </a:prstGeom>
                          <a:ln/>
                        </pic:spPr>
                      </pic:pic>
                    </a:graphicData>
                  </a:graphic>
                </wp:anchor>
              </w:drawing>
            </w:r>
          </w:p>
          <w:p w14:paraId="580FE529" w14:textId="77777777" w:rsidR="00AA5550" w:rsidRDefault="00AA5550">
            <w:pPr>
              <w:spacing w:before="240" w:after="240"/>
              <w:jc w:val="center"/>
              <w:rPr>
                <w:rFonts w:ascii="Century Gothic" w:eastAsia="Century Gothic" w:hAnsi="Century Gothic" w:cs="Century Gothic"/>
                <w:b/>
                <w:sz w:val="20"/>
                <w:szCs w:val="20"/>
              </w:rPr>
            </w:pPr>
          </w:p>
          <w:p w14:paraId="74D74469" w14:textId="77777777" w:rsidR="00AA5550" w:rsidRDefault="00AA5550">
            <w:pPr>
              <w:spacing w:before="240" w:after="240"/>
              <w:jc w:val="center"/>
              <w:rPr>
                <w:rFonts w:ascii="Century Gothic" w:eastAsia="Century Gothic" w:hAnsi="Century Gothic" w:cs="Century Gothic"/>
                <w:b/>
                <w:sz w:val="20"/>
                <w:szCs w:val="20"/>
              </w:rPr>
            </w:pPr>
          </w:p>
          <w:p w14:paraId="01686D47" w14:textId="77777777" w:rsidR="00AA5550" w:rsidRDefault="00045FF4">
            <w:pPr>
              <w:jc w:val="center"/>
              <w:rPr>
                <w:b/>
              </w:rPr>
            </w:pPr>
            <w:r>
              <w:rPr>
                <w:b/>
              </w:rPr>
              <w:t>ANGELA MARIA VERGARA GONZALEZ</w:t>
            </w:r>
          </w:p>
          <w:p w14:paraId="1E34FD75" w14:textId="77777777" w:rsidR="00AA5550" w:rsidRDefault="00045FF4">
            <w:pPr>
              <w:jc w:val="center"/>
            </w:pPr>
            <w:r>
              <w:t>Representante a la Cámara</w:t>
            </w:r>
          </w:p>
          <w:p w14:paraId="71EC41FA" w14:textId="77777777" w:rsidR="00AA5550" w:rsidRDefault="00045FF4">
            <w:pPr>
              <w:jc w:val="center"/>
              <w:rPr>
                <w:rFonts w:ascii="Century Gothic" w:eastAsia="Century Gothic" w:hAnsi="Century Gothic" w:cs="Century Gothic"/>
                <w:b/>
                <w:sz w:val="20"/>
                <w:szCs w:val="20"/>
              </w:rPr>
            </w:pPr>
            <w:r>
              <w:t>Departamento de Bolívar</w:t>
            </w:r>
          </w:p>
        </w:tc>
      </w:tr>
      <w:tr w:rsidR="00AA5550" w14:paraId="471997B5" w14:textId="77777777">
        <w:trPr>
          <w:trHeight w:val="4578"/>
        </w:trPr>
        <w:tc>
          <w:tcPr>
            <w:tcW w:w="4425" w:type="dxa"/>
            <w:tcBorders>
              <w:top w:val="nil"/>
              <w:left w:val="single" w:sz="5" w:space="0" w:color="A6A6A6"/>
              <w:bottom w:val="single" w:sz="5" w:space="0" w:color="A6A6A6"/>
              <w:right w:val="single" w:sz="5" w:space="0" w:color="A6A6A6"/>
            </w:tcBorders>
            <w:tcMar>
              <w:top w:w="0" w:type="dxa"/>
              <w:left w:w="100" w:type="dxa"/>
              <w:bottom w:w="0" w:type="dxa"/>
              <w:right w:w="100" w:type="dxa"/>
            </w:tcMar>
          </w:tcPr>
          <w:p w14:paraId="53FB34E5" w14:textId="77777777" w:rsidR="00AA5550" w:rsidRDefault="00AA5550">
            <w:pPr>
              <w:spacing w:before="240" w:after="240"/>
              <w:jc w:val="center"/>
              <w:rPr>
                <w:rFonts w:ascii="Arial Narrow" w:eastAsia="Arial Narrow" w:hAnsi="Arial Narrow" w:cs="Arial Narrow"/>
                <w:b/>
                <w:sz w:val="24"/>
                <w:szCs w:val="24"/>
              </w:rPr>
            </w:pPr>
          </w:p>
          <w:p w14:paraId="672918FE" w14:textId="77777777" w:rsidR="00AA5550" w:rsidRDefault="00045FF4">
            <w:pPr>
              <w:spacing w:before="240" w:after="240"/>
              <w:jc w:val="center"/>
              <w:rPr>
                <w:rFonts w:ascii="Arial Narrow" w:eastAsia="Arial Narrow" w:hAnsi="Arial Narrow" w:cs="Arial Narrow"/>
                <w:b/>
                <w:sz w:val="24"/>
                <w:szCs w:val="24"/>
              </w:rPr>
            </w:pPr>
            <w:r>
              <w:rPr>
                <w:rFonts w:ascii="Arial Narrow" w:eastAsia="Arial Narrow" w:hAnsi="Arial Narrow" w:cs="Arial Narrow"/>
                <w:b/>
                <w:noProof/>
                <w:sz w:val="24"/>
                <w:szCs w:val="24"/>
              </w:rPr>
              <w:drawing>
                <wp:inline distT="114300" distB="114300" distL="114300" distR="114300" wp14:anchorId="3191D2E0" wp14:editId="42539E49">
                  <wp:extent cx="2676525" cy="1016000"/>
                  <wp:effectExtent l="0" t="0" r="0" b="0"/>
                  <wp:docPr id="1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2"/>
                          <a:srcRect/>
                          <a:stretch>
                            <a:fillRect/>
                          </a:stretch>
                        </pic:blipFill>
                        <pic:spPr>
                          <a:xfrm>
                            <a:off x="0" y="0"/>
                            <a:ext cx="2676525" cy="1016000"/>
                          </a:xfrm>
                          <a:prstGeom prst="rect">
                            <a:avLst/>
                          </a:prstGeom>
                          <a:ln/>
                        </pic:spPr>
                      </pic:pic>
                    </a:graphicData>
                  </a:graphic>
                </wp:inline>
              </w:drawing>
            </w:r>
          </w:p>
          <w:p w14:paraId="2EB0C661" w14:textId="77777777" w:rsidR="00AA5550" w:rsidRDefault="00045FF4">
            <w:pPr>
              <w:jc w:val="center"/>
              <w:rPr>
                <w:rFonts w:ascii="Arial Narrow" w:eastAsia="Arial Narrow" w:hAnsi="Arial Narrow" w:cs="Arial Narrow"/>
                <w:b/>
                <w:sz w:val="24"/>
                <w:szCs w:val="24"/>
              </w:rPr>
            </w:pPr>
            <w:r>
              <w:rPr>
                <w:rFonts w:ascii="Arial Narrow" w:eastAsia="Arial Narrow" w:hAnsi="Arial Narrow" w:cs="Arial Narrow"/>
                <w:b/>
                <w:sz w:val="24"/>
                <w:szCs w:val="24"/>
              </w:rPr>
              <w:t>CAROLINA GIRALDO BOTERO</w:t>
            </w:r>
          </w:p>
          <w:p w14:paraId="4EB7459D" w14:textId="77777777" w:rsidR="00AA5550" w:rsidRDefault="00045FF4">
            <w:pPr>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 por Risaralda</w:t>
            </w:r>
          </w:p>
        </w:tc>
        <w:tc>
          <w:tcPr>
            <w:tcW w:w="5040" w:type="dxa"/>
            <w:tcBorders>
              <w:top w:val="nil"/>
              <w:left w:val="nil"/>
              <w:bottom w:val="single" w:sz="5" w:space="0" w:color="A6A6A6"/>
              <w:right w:val="single" w:sz="5" w:space="0" w:color="A6A6A6"/>
            </w:tcBorders>
            <w:tcMar>
              <w:top w:w="0" w:type="dxa"/>
              <w:left w:w="100" w:type="dxa"/>
              <w:bottom w:w="0" w:type="dxa"/>
              <w:right w:w="100" w:type="dxa"/>
            </w:tcMar>
          </w:tcPr>
          <w:p w14:paraId="67F671B9" w14:textId="77777777" w:rsidR="00AA5550" w:rsidRDefault="00045FF4">
            <w:pPr>
              <w:spacing w:before="240" w:after="240"/>
              <w:jc w:val="center"/>
              <w:rPr>
                <w:rFonts w:ascii="Arial Narrow" w:eastAsia="Arial Narrow" w:hAnsi="Arial Narrow" w:cs="Arial Narrow"/>
                <w:b/>
                <w:sz w:val="24"/>
                <w:szCs w:val="24"/>
              </w:rPr>
            </w:pPr>
            <w:r>
              <w:rPr>
                <w:rFonts w:ascii="Arial Narrow" w:eastAsia="Arial Narrow" w:hAnsi="Arial Narrow" w:cs="Arial Narrow"/>
                <w:b/>
                <w:noProof/>
                <w:sz w:val="24"/>
                <w:szCs w:val="24"/>
              </w:rPr>
              <w:drawing>
                <wp:inline distT="114300" distB="114300" distL="114300" distR="114300" wp14:anchorId="1CEC383A" wp14:editId="2D35DD84">
                  <wp:extent cx="2876550" cy="817090"/>
                  <wp:effectExtent l="0" t="0" r="0" b="0"/>
                  <wp:docPr id="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3"/>
                          <a:srcRect/>
                          <a:stretch>
                            <a:fillRect/>
                          </a:stretch>
                        </pic:blipFill>
                        <pic:spPr>
                          <a:xfrm>
                            <a:off x="0" y="0"/>
                            <a:ext cx="2876550" cy="817090"/>
                          </a:xfrm>
                          <a:prstGeom prst="rect">
                            <a:avLst/>
                          </a:prstGeom>
                          <a:ln/>
                        </pic:spPr>
                      </pic:pic>
                    </a:graphicData>
                  </a:graphic>
                </wp:inline>
              </w:drawing>
            </w:r>
          </w:p>
          <w:p w14:paraId="7475B04D" w14:textId="77777777" w:rsidR="00AA5550" w:rsidRDefault="00045FF4">
            <w:pPr>
              <w:spacing w:before="240" w:after="24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ÁLVARO LEONEL RUEDA CABALLERO </w:t>
            </w:r>
          </w:p>
          <w:p w14:paraId="61F981F7" w14:textId="77777777" w:rsidR="00AA5550" w:rsidRDefault="00045FF4">
            <w:pPr>
              <w:spacing w:before="240" w:after="240" w:line="240" w:lineRule="auto"/>
              <w:jc w:val="center"/>
              <w:rPr>
                <w:rFonts w:ascii="Arial Narrow" w:eastAsia="Arial Narrow" w:hAnsi="Arial Narrow" w:cs="Arial Narrow"/>
                <w:sz w:val="24"/>
                <w:szCs w:val="24"/>
              </w:rPr>
            </w:pPr>
            <w:r>
              <w:rPr>
                <w:rFonts w:ascii="Arial Narrow" w:eastAsia="Arial Narrow" w:hAnsi="Arial Narrow" w:cs="Arial Narrow"/>
                <w:sz w:val="24"/>
                <w:szCs w:val="24"/>
              </w:rPr>
              <w:t xml:space="preserve">Representante a la Cámara </w:t>
            </w:r>
          </w:p>
          <w:p w14:paraId="3BFBD4A5" w14:textId="77777777" w:rsidR="00AA5550" w:rsidRDefault="00045FF4">
            <w:pPr>
              <w:spacing w:before="240" w:after="240" w:line="240" w:lineRule="auto"/>
              <w:jc w:val="center"/>
              <w:rPr>
                <w:rFonts w:ascii="Arial Narrow" w:eastAsia="Arial Narrow" w:hAnsi="Arial Narrow" w:cs="Arial Narrow"/>
                <w:b/>
                <w:sz w:val="24"/>
                <w:szCs w:val="24"/>
              </w:rPr>
            </w:pPr>
            <w:r>
              <w:rPr>
                <w:rFonts w:ascii="Arial Narrow" w:eastAsia="Arial Narrow" w:hAnsi="Arial Narrow" w:cs="Arial Narrow"/>
                <w:sz w:val="24"/>
                <w:szCs w:val="24"/>
              </w:rPr>
              <w:t>Departamento de Santander</w:t>
            </w:r>
            <w:r>
              <w:rPr>
                <w:rFonts w:ascii="Arial Narrow" w:eastAsia="Arial Narrow" w:hAnsi="Arial Narrow" w:cs="Arial Narrow"/>
                <w:b/>
                <w:sz w:val="24"/>
                <w:szCs w:val="24"/>
              </w:rPr>
              <w:t xml:space="preserve"> </w:t>
            </w:r>
          </w:p>
        </w:tc>
      </w:tr>
      <w:tr w:rsidR="00AA5550" w14:paraId="5AE3AB3B" w14:textId="77777777">
        <w:trPr>
          <w:trHeight w:val="1845"/>
        </w:trPr>
        <w:tc>
          <w:tcPr>
            <w:tcW w:w="4425" w:type="dxa"/>
            <w:tcBorders>
              <w:top w:val="nil"/>
              <w:left w:val="single" w:sz="5" w:space="0" w:color="A6A6A6"/>
              <w:bottom w:val="single" w:sz="5" w:space="0" w:color="A6A6A6"/>
              <w:right w:val="single" w:sz="5" w:space="0" w:color="A6A6A6"/>
            </w:tcBorders>
            <w:tcMar>
              <w:top w:w="0" w:type="dxa"/>
              <w:left w:w="100" w:type="dxa"/>
              <w:bottom w:w="0" w:type="dxa"/>
              <w:right w:w="100" w:type="dxa"/>
            </w:tcMar>
          </w:tcPr>
          <w:p w14:paraId="3BDDC575" w14:textId="77777777" w:rsidR="00AA5550" w:rsidRDefault="00045FF4">
            <w:pPr>
              <w:spacing w:before="240" w:after="240"/>
              <w:jc w:val="center"/>
              <w:rPr>
                <w:rFonts w:ascii="Century Gothic" w:eastAsia="Century Gothic" w:hAnsi="Century Gothic" w:cs="Century Gothic"/>
                <w:b/>
                <w:sz w:val="20"/>
                <w:szCs w:val="20"/>
              </w:rPr>
            </w:pPr>
            <w:r>
              <w:rPr>
                <w:noProof/>
              </w:rPr>
              <w:drawing>
                <wp:anchor distT="114300" distB="114300" distL="114300" distR="114300" simplePos="0" relativeHeight="251667456" behindDoc="1" locked="0" layoutInCell="1" hidden="0" allowOverlap="1" wp14:anchorId="067FDFA2" wp14:editId="72B2F2AF">
                  <wp:simplePos x="0" y="0"/>
                  <wp:positionH relativeFrom="column">
                    <wp:posOffset>166688</wp:posOffset>
                  </wp:positionH>
                  <wp:positionV relativeFrom="paragraph">
                    <wp:posOffset>171450</wp:posOffset>
                  </wp:positionV>
                  <wp:extent cx="2343150" cy="165735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2343150" cy="1657350"/>
                          </a:xfrm>
                          <a:prstGeom prst="rect">
                            <a:avLst/>
                          </a:prstGeom>
                          <a:ln/>
                        </pic:spPr>
                      </pic:pic>
                    </a:graphicData>
                  </a:graphic>
                </wp:anchor>
              </w:drawing>
            </w:r>
          </w:p>
          <w:p w14:paraId="45ECF704" w14:textId="77777777" w:rsidR="00AA5550" w:rsidRDefault="00AA5550">
            <w:pPr>
              <w:spacing w:before="240" w:after="240"/>
              <w:jc w:val="center"/>
              <w:rPr>
                <w:rFonts w:ascii="Century Gothic" w:eastAsia="Century Gothic" w:hAnsi="Century Gothic" w:cs="Century Gothic"/>
                <w:b/>
                <w:sz w:val="20"/>
                <w:szCs w:val="20"/>
              </w:rPr>
            </w:pPr>
          </w:p>
          <w:p w14:paraId="2ECD224E" w14:textId="77777777" w:rsidR="00AA5550" w:rsidRDefault="00AA5550">
            <w:pPr>
              <w:spacing w:before="240" w:after="240"/>
              <w:jc w:val="center"/>
              <w:rPr>
                <w:rFonts w:ascii="Century Gothic" w:eastAsia="Century Gothic" w:hAnsi="Century Gothic" w:cs="Century Gothic"/>
                <w:b/>
                <w:sz w:val="20"/>
                <w:szCs w:val="20"/>
              </w:rPr>
            </w:pPr>
          </w:p>
          <w:p w14:paraId="0EA9D99D" w14:textId="77777777" w:rsidR="00AA5550" w:rsidRDefault="00045FF4">
            <w:pPr>
              <w:jc w:val="center"/>
              <w:rPr>
                <w:rFonts w:ascii="Arial Narrow" w:eastAsia="Arial Narrow" w:hAnsi="Arial Narrow" w:cs="Arial Narrow"/>
                <w:b/>
                <w:sz w:val="24"/>
                <w:szCs w:val="24"/>
              </w:rPr>
            </w:pPr>
            <w:r>
              <w:rPr>
                <w:rFonts w:ascii="Arial Narrow" w:eastAsia="Arial Narrow" w:hAnsi="Arial Narrow" w:cs="Arial Narrow"/>
                <w:b/>
                <w:sz w:val="24"/>
                <w:szCs w:val="24"/>
              </w:rPr>
              <w:t>LUIS CARLOS OCHOA TOBON</w:t>
            </w:r>
          </w:p>
          <w:p w14:paraId="250E1642" w14:textId="77777777" w:rsidR="00AA5550" w:rsidRDefault="00045FF4">
            <w:pPr>
              <w:jc w:val="center"/>
              <w:rPr>
                <w:rFonts w:ascii="Century Gothic" w:eastAsia="Century Gothic" w:hAnsi="Century Gothic" w:cs="Century Gothic"/>
                <w:b/>
                <w:sz w:val="20"/>
                <w:szCs w:val="20"/>
              </w:rPr>
            </w:pPr>
            <w:r>
              <w:rPr>
                <w:rFonts w:ascii="Arial Narrow" w:eastAsia="Arial Narrow" w:hAnsi="Arial Narrow" w:cs="Arial Narrow"/>
                <w:sz w:val="24"/>
                <w:szCs w:val="24"/>
              </w:rPr>
              <w:t>Representante a la Cámara por Antioquia</w:t>
            </w:r>
          </w:p>
        </w:tc>
        <w:tc>
          <w:tcPr>
            <w:tcW w:w="5040" w:type="dxa"/>
            <w:tcBorders>
              <w:top w:val="nil"/>
              <w:left w:val="nil"/>
              <w:bottom w:val="single" w:sz="5" w:space="0" w:color="A6A6A6"/>
              <w:right w:val="single" w:sz="5" w:space="0" w:color="A6A6A6"/>
            </w:tcBorders>
            <w:tcMar>
              <w:top w:w="0" w:type="dxa"/>
              <w:left w:w="100" w:type="dxa"/>
              <w:bottom w:w="0" w:type="dxa"/>
              <w:right w:w="100" w:type="dxa"/>
            </w:tcMar>
          </w:tcPr>
          <w:p w14:paraId="28789AA0" w14:textId="77777777" w:rsidR="00AA5550" w:rsidRDefault="00045FF4">
            <w:pPr>
              <w:spacing w:before="240" w:after="240"/>
              <w:jc w:val="center"/>
              <w:rPr>
                <w:rFonts w:ascii="Century Gothic" w:eastAsia="Century Gothic" w:hAnsi="Century Gothic" w:cs="Century Gothic"/>
                <w:b/>
                <w:sz w:val="20"/>
                <w:szCs w:val="20"/>
              </w:rPr>
            </w:pPr>
            <w:r>
              <w:rPr>
                <w:noProof/>
              </w:rPr>
              <w:drawing>
                <wp:anchor distT="114300" distB="114300" distL="114300" distR="114300" simplePos="0" relativeHeight="251668480" behindDoc="0" locked="0" layoutInCell="1" hidden="0" allowOverlap="1" wp14:anchorId="5615238D" wp14:editId="0401BB5B">
                  <wp:simplePos x="0" y="0"/>
                  <wp:positionH relativeFrom="column">
                    <wp:posOffset>776288</wp:posOffset>
                  </wp:positionH>
                  <wp:positionV relativeFrom="paragraph">
                    <wp:posOffset>171450</wp:posOffset>
                  </wp:positionV>
                  <wp:extent cx="1475667" cy="866775"/>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a:srcRect/>
                          <a:stretch>
                            <a:fillRect/>
                          </a:stretch>
                        </pic:blipFill>
                        <pic:spPr>
                          <a:xfrm>
                            <a:off x="0" y="0"/>
                            <a:ext cx="1475667" cy="866775"/>
                          </a:xfrm>
                          <a:prstGeom prst="rect">
                            <a:avLst/>
                          </a:prstGeom>
                          <a:ln/>
                        </pic:spPr>
                      </pic:pic>
                    </a:graphicData>
                  </a:graphic>
                </wp:anchor>
              </w:drawing>
            </w:r>
          </w:p>
          <w:p w14:paraId="35D0ABE4" w14:textId="77777777" w:rsidR="00AA5550" w:rsidRDefault="00AA5550">
            <w:pPr>
              <w:rPr>
                <w:rFonts w:ascii="Century Gothic" w:eastAsia="Century Gothic" w:hAnsi="Century Gothic" w:cs="Century Gothic"/>
                <w:b/>
                <w:sz w:val="20"/>
                <w:szCs w:val="20"/>
              </w:rPr>
            </w:pPr>
          </w:p>
          <w:p w14:paraId="215F1369" w14:textId="77777777" w:rsidR="00AA5550" w:rsidRDefault="00AA5550">
            <w:pPr>
              <w:rPr>
                <w:rFonts w:ascii="Century Gothic" w:eastAsia="Century Gothic" w:hAnsi="Century Gothic" w:cs="Century Gothic"/>
                <w:b/>
                <w:sz w:val="20"/>
                <w:szCs w:val="20"/>
              </w:rPr>
            </w:pPr>
          </w:p>
          <w:p w14:paraId="577864DB" w14:textId="77777777" w:rsidR="00AA5550" w:rsidRDefault="00045FF4">
            <w:pPr>
              <w:jc w:val="center"/>
              <w:rPr>
                <w:rFonts w:ascii="Times New Roman" w:eastAsia="Times New Roman" w:hAnsi="Times New Roman" w:cs="Times New Roman"/>
                <w:b/>
                <w:sz w:val="20"/>
                <w:szCs w:val="20"/>
              </w:rPr>
            </w:pPr>
            <w:r>
              <w:rPr>
                <w:rFonts w:ascii="Century Gothic" w:eastAsia="Century Gothic" w:hAnsi="Century Gothic" w:cs="Century Gothic"/>
                <w:b/>
                <w:sz w:val="20"/>
                <w:szCs w:val="20"/>
              </w:rPr>
              <w:t xml:space="preserve"> </w:t>
            </w:r>
            <w:r>
              <w:rPr>
                <w:rFonts w:ascii="Times New Roman" w:eastAsia="Times New Roman" w:hAnsi="Times New Roman" w:cs="Times New Roman"/>
                <w:b/>
                <w:sz w:val="20"/>
                <w:szCs w:val="20"/>
              </w:rPr>
              <w:t>JOSÉ JAIME USCÁTEGUI PASTRANA</w:t>
            </w:r>
          </w:p>
          <w:p w14:paraId="40C20ADD" w14:textId="77777777" w:rsidR="00AA5550" w:rsidRDefault="00045FF4">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Representante a la Cámara</w:t>
            </w:r>
          </w:p>
          <w:p w14:paraId="6F2789F0" w14:textId="77777777" w:rsidR="00AA5550" w:rsidRDefault="00AA5550">
            <w:pPr>
              <w:spacing w:before="240" w:after="240"/>
              <w:rPr>
                <w:rFonts w:ascii="Century Gothic" w:eastAsia="Century Gothic" w:hAnsi="Century Gothic" w:cs="Century Gothic"/>
                <w:b/>
                <w:sz w:val="20"/>
                <w:szCs w:val="20"/>
              </w:rPr>
            </w:pPr>
          </w:p>
        </w:tc>
      </w:tr>
    </w:tbl>
    <w:p w14:paraId="6B2CD7C3" w14:textId="50E8A5FF" w:rsidR="00AA5550" w:rsidRDefault="00AA5550"/>
    <w:p w14:paraId="08351A95" w14:textId="78496BAA" w:rsidR="00C00F1B" w:rsidRDefault="00C00F1B"/>
    <w:p w14:paraId="33B45909" w14:textId="28C886E9" w:rsidR="00C00F1B" w:rsidRDefault="00C00F1B"/>
    <w:p w14:paraId="2FEC6DEA" w14:textId="1C41789C" w:rsidR="00C00F1B" w:rsidRDefault="00C00F1B"/>
    <w:p w14:paraId="16BCC0E8" w14:textId="62413BA7" w:rsidR="00C00F1B" w:rsidRDefault="00C00F1B"/>
    <w:p w14:paraId="7B9A586C" w14:textId="6B3F1082" w:rsidR="00C00F1B" w:rsidRDefault="00C00F1B"/>
    <w:p w14:paraId="6D692D01" w14:textId="77777777" w:rsidR="00C00F1B" w:rsidRDefault="00C00F1B"/>
    <w:p w14:paraId="325E522C" w14:textId="77777777" w:rsidR="00AA5550" w:rsidRDefault="00045FF4">
      <w:pPr>
        <w:pStyle w:val="Ttulo1"/>
        <w:numPr>
          <w:ilvl w:val="0"/>
          <w:numId w:val="23"/>
        </w:numPr>
        <w:jc w:val="center"/>
        <w:rPr>
          <w:rFonts w:ascii="Century Gothic" w:eastAsia="Century Gothic" w:hAnsi="Century Gothic" w:cs="Century Gothic"/>
          <w:b/>
          <w:sz w:val="22"/>
          <w:szCs w:val="22"/>
        </w:rPr>
      </w:pPr>
      <w:bookmarkStart w:id="56" w:name="_heading=h.5gm4aj5uy68s" w:colFirst="0" w:colLast="0"/>
      <w:bookmarkEnd w:id="56"/>
      <w:r>
        <w:rPr>
          <w:rFonts w:ascii="Century Gothic" w:eastAsia="Century Gothic" w:hAnsi="Century Gothic" w:cs="Century Gothic"/>
          <w:b/>
          <w:sz w:val="22"/>
          <w:szCs w:val="22"/>
        </w:rPr>
        <w:lastRenderedPageBreak/>
        <w:t>BIB</w:t>
      </w:r>
      <w:r>
        <w:rPr>
          <w:rFonts w:ascii="Century Gothic" w:eastAsia="Century Gothic" w:hAnsi="Century Gothic" w:cs="Century Gothic"/>
          <w:b/>
          <w:sz w:val="22"/>
          <w:szCs w:val="22"/>
        </w:rPr>
        <w:t>LIOGRAFÍA</w:t>
      </w:r>
    </w:p>
    <w:p w14:paraId="67831F0D" w14:textId="77777777" w:rsidR="00AA5550" w:rsidRDefault="00045FF4">
      <w:pPr>
        <w:jc w:val="both"/>
        <w:rPr>
          <w:rFonts w:ascii="Century Gothic" w:eastAsia="Century Gothic" w:hAnsi="Century Gothic" w:cs="Century Gothic"/>
          <w:b/>
        </w:rPr>
      </w:pPr>
      <w:r>
        <w:rPr>
          <w:rFonts w:ascii="Century Gothic" w:eastAsia="Century Gothic" w:hAnsi="Century Gothic" w:cs="Century Gothic"/>
          <w:b/>
        </w:rPr>
        <w:t>Leyes y Normativa Nacional</w:t>
      </w:r>
    </w:p>
    <w:p w14:paraId="2C4B10FD" w14:textId="77777777" w:rsidR="00AA5550" w:rsidRDefault="00045FF4">
      <w:pPr>
        <w:numPr>
          <w:ilvl w:val="0"/>
          <w:numId w:val="39"/>
        </w:numPr>
        <w:jc w:val="both"/>
        <w:rPr>
          <w:rFonts w:ascii="Century Gothic" w:eastAsia="Century Gothic" w:hAnsi="Century Gothic" w:cs="Century Gothic"/>
        </w:rPr>
      </w:pPr>
      <w:r>
        <w:rPr>
          <w:rFonts w:ascii="Century Gothic" w:eastAsia="Century Gothic" w:hAnsi="Century Gothic" w:cs="Century Gothic"/>
        </w:rPr>
        <w:t xml:space="preserve">Justicia Colombia. (2008). </w:t>
      </w:r>
      <w:hyperlink r:id="rId28">
        <w:r>
          <w:rPr>
            <w:rFonts w:ascii="Century Gothic" w:eastAsia="Century Gothic" w:hAnsi="Century Gothic" w:cs="Century Gothic"/>
            <w:color w:val="000000"/>
          </w:rPr>
          <w:t>Ley 1257 de 2008</w:t>
        </w:r>
      </w:hyperlink>
      <w:r>
        <w:rPr>
          <w:rFonts w:ascii="Century Gothic" w:eastAsia="Century Gothic" w:hAnsi="Century Gothic" w:cs="Century Gothic"/>
        </w:rPr>
        <w:t>.</w:t>
      </w:r>
    </w:p>
    <w:p w14:paraId="56D77687" w14:textId="77777777" w:rsidR="00AA5550" w:rsidRDefault="00045FF4">
      <w:pPr>
        <w:numPr>
          <w:ilvl w:val="0"/>
          <w:numId w:val="39"/>
        </w:numPr>
        <w:jc w:val="both"/>
        <w:rPr>
          <w:rFonts w:ascii="Century Gothic" w:eastAsia="Century Gothic" w:hAnsi="Century Gothic" w:cs="Century Gothic"/>
        </w:rPr>
      </w:pPr>
      <w:r>
        <w:rPr>
          <w:rFonts w:ascii="Century Gothic" w:eastAsia="Century Gothic" w:hAnsi="Century Gothic" w:cs="Century Gothic"/>
        </w:rPr>
        <w:t xml:space="preserve">Ministerio de Justicia y del Derecho. (2023). </w:t>
      </w:r>
      <w:hyperlink r:id="rId29" w:anchor=":~:text=Entrando%20en%20detalle%2C%20el%20an%C3%A1lisis,en%20este%20tipo%20de%20comportamientos">
        <w:proofErr w:type="spellStart"/>
        <w:r>
          <w:rPr>
            <w:rFonts w:ascii="Century Gothic" w:eastAsia="Century Gothic" w:hAnsi="Century Gothic" w:cs="Century Gothic"/>
            <w:color w:val="000000"/>
          </w:rPr>
          <w:t>MinJusticia</w:t>
        </w:r>
        <w:proofErr w:type="spellEnd"/>
        <w:r>
          <w:rPr>
            <w:rFonts w:ascii="Century Gothic" w:eastAsia="Century Gothic" w:hAnsi="Century Gothic" w:cs="Century Gothic"/>
            <w:color w:val="000000"/>
          </w:rPr>
          <w:t xml:space="preserve"> presenta re</w:t>
        </w:r>
        <w:r>
          <w:rPr>
            <w:rFonts w:ascii="Century Gothic" w:eastAsia="Century Gothic" w:hAnsi="Century Gothic" w:cs="Century Gothic"/>
            <w:color w:val="000000"/>
          </w:rPr>
          <w:t>levante informe sobre fenómeno de violencia intrafamiliar en Colombia (2016-2023)</w:t>
        </w:r>
      </w:hyperlink>
      <w:r>
        <w:rPr>
          <w:rFonts w:ascii="Century Gothic" w:eastAsia="Century Gothic" w:hAnsi="Century Gothic" w:cs="Century Gothic"/>
        </w:rPr>
        <w:t>.</w:t>
      </w:r>
    </w:p>
    <w:p w14:paraId="22EAF0DC" w14:textId="77777777" w:rsidR="00AA5550" w:rsidRDefault="00045FF4">
      <w:pPr>
        <w:numPr>
          <w:ilvl w:val="0"/>
          <w:numId w:val="39"/>
        </w:numPr>
        <w:jc w:val="both"/>
        <w:rPr>
          <w:rFonts w:ascii="Century Gothic" w:eastAsia="Century Gothic" w:hAnsi="Century Gothic" w:cs="Century Gothic"/>
        </w:rPr>
      </w:pPr>
      <w:r>
        <w:rPr>
          <w:rFonts w:ascii="Century Gothic" w:eastAsia="Century Gothic" w:hAnsi="Century Gothic" w:cs="Century Gothic"/>
        </w:rPr>
        <w:t xml:space="preserve">Sistema de Información de la Comisión Nacional de Crédito Agropecuario (SISCONPES - DNP). </w:t>
      </w:r>
      <w:hyperlink r:id="rId30" w:anchor=":~:text=De%20igual%20manera%2C%20el%20art%C3%ADculo,se%20sintetiza%20el%20contenido%20del">
        <w:r>
          <w:rPr>
            <w:rFonts w:ascii="Century Gothic" w:eastAsia="Century Gothic" w:hAnsi="Century Gothic" w:cs="Century Gothic"/>
            <w:color w:val="000000"/>
          </w:rPr>
          <w:t>Documento CONPES GENTE 4080</w:t>
        </w:r>
      </w:hyperlink>
      <w:r>
        <w:rPr>
          <w:rFonts w:ascii="Century Gothic" w:eastAsia="Century Gothic" w:hAnsi="Century Gothic" w:cs="Century Gothic"/>
        </w:rPr>
        <w:t>.</w:t>
      </w:r>
    </w:p>
    <w:p w14:paraId="2A26FD44" w14:textId="77777777" w:rsidR="00AA5550" w:rsidRDefault="00AA5550">
      <w:pPr>
        <w:ind w:left="720"/>
        <w:jc w:val="both"/>
        <w:rPr>
          <w:rFonts w:ascii="Century Gothic" w:eastAsia="Century Gothic" w:hAnsi="Century Gothic" w:cs="Century Gothic"/>
        </w:rPr>
      </w:pPr>
    </w:p>
    <w:p w14:paraId="34CEEF46" w14:textId="77777777" w:rsidR="00AA5550" w:rsidRDefault="00045FF4">
      <w:pPr>
        <w:jc w:val="both"/>
        <w:rPr>
          <w:rFonts w:ascii="Century Gothic" w:eastAsia="Century Gothic" w:hAnsi="Century Gothic" w:cs="Century Gothic"/>
          <w:b/>
        </w:rPr>
      </w:pPr>
      <w:r>
        <w:rPr>
          <w:rFonts w:ascii="Century Gothic" w:eastAsia="Century Gothic" w:hAnsi="Century Gothic" w:cs="Century Gothic"/>
          <w:b/>
        </w:rPr>
        <w:t xml:space="preserve"> Organismos y Reportes Nacionales Oficiales</w:t>
      </w:r>
    </w:p>
    <w:p w14:paraId="01BE148B" w14:textId="77777777" w:rsidR="00AA5550" w:rsidRDefault="00045FF4">
      <w:pPr>
        <w:numPr>
          <w:ilvl w:val="0"/>
          <w:numId w:val="2"/>
        </w:numPr>
        <w:jc w:val="both"/>
        <w:rPr>
          <w:rFonts w:ascii="Century Gothic" w:eastAsia="Century Gothic" w:hAnsi="Century Gothic" w:cs="Century Gothic"/>
        </w:rPr>
      </w:pPr>
      <w:r>
        <w:rPr>
          <w:rFonts w:ascii="Century Gothic" w:eastAsia="Century Gothic" w:hAnsi="Century Gothic" w:cs="Century Gothic"/>
        </w:rPr>
        <w:t xml:space="preserve">Defensoría del Pueblo. (2024). </w:t>
      </w:r>
      <w:hyperlink r:id="rId31">
        <w:r>
          <w:rPr>
            <w:rFonts w:ascii="Century Gothic" w:eastAsia="Century Gothic" w:hAnsi="Century Gothic" w:cs="Century Gothic"/>
            <w:color w:val="000000"/>
          </w:rPr>
          <w:t>En 2024 se han presentado 745 feminicidios en Colombia</w:t>
        </w:r>
      </w:hyperlink>
      <w:r>
        <w:rPr>
          <w:rFonts w:ascii="Century Gothic" w:eastAsia="Century Gothic" w:hAnsi="Century Gothic" w:cs="Century Gothic"/>
        </w:rPr>
        <w:t>.</w:t>
      </w:r>
    </w:p>
    <w:p w14:paraId="7426D03D" w14:textId="77777777" w:rsidR="00AA5550" w:rsidRDefault="00045FF4">
      <w:pPr>
        <w:numPr>
          <w:ilvl w:val="0"/>
          <w:numId w:val="2"/>
        </w:numPr>
        <w:jc w:val="both"/>
        <w:rPr>
          <w:rFonts w:ascii="Century Gothic" w:eastAsia="Century Gothic" w:hAnsi="Century Gothic" w:cs="Century Gothic"/>
        </w:rPr>
      </w:pPr>
      <w:r>
        <w:rPr>
          <w:rFonts w:ascii="Century Gothic" w:eastAsia="Century Gothic" w:hAnsi="Century Gothic" w:cs="Century Gothic"/>
        </w:rPr>
        <w:t xml:space="preserve">Defensoría del Pueblo. (2025). </w:t>
      </w:r>
      <w:hyperlink r:id="rId32">
        <w:r>
          <w:rPr>
            <w:rFonts w:ascii="Century Gothic" w:eastAsia="Century Gothic" w:hAnsi="Century Gothic" w:cs="Century Gothic"/>
            <w:color w:val="000000"/>
          </w:rPr>
          <w:t>Ascienden a 81 los asesinatos de personas defensoras de derechos humanos y liderazgos sociales</w:t>
        </w:r>
        <w:r>
          <w:rPr>
            <w:rFonts w:ascii="Century Gothic" w:eastAsia="Century Gothic" w:hAnsi="Century Gothic" w:cs="Century Gothic"/>
            <w:color w:val="000000"/>
          </w:rPr>
          <w:t xml:space="preserve"> en 2025</w:t>
        </w:r>
      </w:hyperlink>
      <w:r>
        <w:rPr>
          <w:rFonts w:ascii="Century Gothic" w:eastAsia="Century Gothic" w:hAnsi="Century Gothic" w:cs="Century Gothic"/>
        </w:rPr>
        <w:t>.</w:t>
      </w:r>
    </w:p>
    <w:p w14:paraId="100FB9C3" w14:textId="77777777" w:rsidR="00AA5550" w:rsidRDefault="00045FF4">
      <w:pPr>
        <w:numPr>
          <w:ilvl w:val="0"/>
          <w:numId w:val="2"/>
        </w:numPr>
        <w:jc w:val="both"/>
        <w:rPr>
          <w:rFonts w:ascii="Century Gothic" w:eastAsia="Century Gothic" w:hAnsi="Century Gothic" w:cs="Century Gothic"/>
        </w:rPr>
      </w:pPr>
      <w:r>
        <w:rPr>
          <w:rFonts w:ascii="Century Gothic" w:eastAsia="Century Gothic" w:hAnsi="Century Gothic" w:cs="Century Gothic"/>
        </w:rPr>
        <w:t xml:space="preserve">Instituto Colombiano de Bienestar Familiar (ICBF). (2023). </w:t>
      </w:r>
      <w:hyperlink r:id="rId33">
        <w:r>
          <w:rPr>
            <w:rFonts w:ascii="Century Gothic" w:eastAsia="Century Gothic" w:hAnsi="Century Gothic" w:cs="Century Gothic"/>
            <w:color w:val="000000"/>
          </w:rPr>
          <w:t>Datos para el cambio: Violencias</w:t>
        </w:r>
      </w:hyperlink>
      <w:r>
        <w:rPr>
          <w:rFonts w:ascii="Century Gothic" w:eastAsia="Century Gothic" w:hAnsi="Century Gothic" w:cs="Century Gothic"/>
        </w:rPr>
        <w:t>.</w:t>
      </w:r>
    </w:p>
    <w:p w14:paraId="46563326" w14:textId="77777777" w:rsidR="00AA5550" w:rsidRDefault="00045FF4">
      <w:pPr>
        <w:numPr>
          <w:ilvl w:val="0"/>
          <w:numId w:val="2"/>
        </w:numPr>
        <w:jc w:val="both"/>
        <w:rPr>
          <w:rFonts w:ascii="Century Gothic" w:eastAsia="Century Gothic" w:hAnsi="Century Gothic" w:cs="Century Gothic"/>
        </w:rPr>
      </w:pPr>
      <w:r>
        <w:rPr>
          <w:rFonts w:ascii="Century Gothic" w:eastAsia="Century Gothic" w:hAnsi="Century Gothic" w:cs="Century Gothic"/>
        </w:rPr>
        <w:t xml:space="preserve">Instituto Nacional de Medicina Legal y Ciencias Forenses (INMLCF). (2023). </w:t>
      </w:r>
      <w:hyperlink r:id="rId34">
        <w:r>
          <w:rPr>
            <w:rFonts w:ascii="Century Gothic" w:eastAsia="Century Gothic" w:hAnsi="Century Gothic" w:cs="Century Gothic"/>
            <w:color w:val="000000"/>
          </w:rPr>
          <w:t>Cifras de lesiones de causa externa</w:t>
        </w:r>
      </w:hyperlink>
      <w:r>
        <w:rPr>
          <w:rFonts w:ascii="Century Gothic" w:eastAsia="Century Gothic" w:hAnsi="Century Gothic" w:cs="Century Gothic"/>
        </w:rPr>
        <w:t>.</w:t>
      </w:r>
    </w:p>
    <w:p w14:paraId="73F51351" w14:textId="77777777" w:rsidR="00AA5550" w:rsidRDefault="00045FF4">
      <w:pPr>
        <w:numPr>
          <w:ilvl w:val="0"/>
          <w:numId w:val="2"/>
        </w:numPr>
        <w:jc w:val="both"/>
        <w:rPr>
          <w:rFonts w:ascii="Century Gothic" w:eastAsia="Century Gothic" w:hAnsi="Century Gothic" w:cs="Century Gothic"/>
        </w:rPr>
      </w:pPr>
      <w:r>
        <w:rPr>
          <w:rFonts w:ascii="Century Gothic" w:eastAsia="Century Gothic" w:hAnsi="Century Gothic" w:cs="Century Gothic"/>
        </w:rPr>
        <w:t>Instituto</w:t>
      </w:r>
      <w:r>
        <w:rPr>
          <w:rFonts w:ascii="Century Gothic" w:eastAsia="Century Gothic" w:hAnsi="Century Gothic" w:cs="Century Gothic"/>
        </w:rPr>
        <w:t xml:space="preserve"> Nacional de Salud (INS). </w:t>
      </w:r>
      <w:hyperlink r:id="rId35" w:anchor=":~:text=%E2%80%9CLas%20cifras%20lo%20confirman%2C%20a,se%20han%20presentado%20en">
        <w:r>
          <w:rPr>
            <w:rFonts w:ascii="Century Gothic" w:eastAsia="Century Gothic" w:hAnsi="Century Gothic" w:cs="Century Gothic"/>
            <w:color w:val="000000"/>
          </w:rPr>
          <w:t>75,6% de los casos registrados por violencia de género en 2024 son contra mujeres</w:t>
        </w:r>
      </w:hyperlink>
      <w:r>
        <w:rPr>
          <w:rFonts w:ascii="Century Gothic" w:eastAsia="Century Gothic" w:hAnsi="Century Gothic" w:cs="Century Gothic"/>
        </w:rPr>
        <w:t>.</w:t>
      </w:r>
    </w:p>
    <w:p w14:paraId="1BF2F474" w14:textId="77777777" w:rsidR="00AA5550" w:rsidRDefault="00045FF4">
      <w:pPr>
        <w:numPr>
          <w:ilvl w:val="0"/>
          <w:numId w:val="2"/>
        </w:numPr>
        <w:jc w:val="both"/>
        <w:rPr>
          <w:rFonts w:ascii="Century Gothic" w:eastAsia="Century Gothic" w:hAnsi="Century Gothic" w:cs="Century Gothic"/>
        </w:rPr>
      </w:pPr>
      <w:r>
        <w:rPr>
          <w:rFonts w:ascii="Century Gothic" w:eastAsia="Century Gothic" w:hAnsi="Century Gothic" w:cs="Century Gothic"/>
        </w:rPr>
        <w:t xml:space="preserve">Procuraduría General de la Nación. (2023). </w:t>
      </w:r>
      <w:hyperlink r:id="rId36">
        <w:r>
          <w:rPr>
            <w:rFonts w:ascii="Century Gothic" w:eastAsia="Century Gothic" w:hAnsi="Century Gothic" w:cs="Century Gothic"/>
            <w:color w:val="000000"/>
          </w:rPr>
          <w:t>Preocupante radiografía de violencia contra la mujer advierte Procuraduría</w:t>
        </w:r>
      </w:hyperlink>
      <w:r>
        <w:rPr>
          <w:rFonts w:ascii="Century Gothic" w:eastAsia="Century Gothic" w:hAnsi="Century Gothic" w:cs="Century Gothic"/>
        </w:rPr>
        <w:t>.</w:t>
      </w:r>
    </w:p>
    <w:p w14:paraId="5298BA84" w14:textId="77777777" w:rsidR="00AA5550" w:rsidRDefault="00045FF4">
      <w:pPr>
        <w:numPr>
          <w:ilvl w:val="0"/>
          <w:numId w:val="2"/>
        </w:numPr>
        <w:jc w:val="both"/>
        <w:rPr>
          <w:rFonts w:ascii="Century Gothic" w:eastAsia="Century Gothic" w:hAnsi="Century Gothic" w:cs="Century Gothic"/>
        </w:rPr>
      </w:pPr>
      <w:r>
        <w:rPr>
          <w:rFonts w:ascii="Century Gothic" w:eastAsia="Century Gothic" w:hAnsi="Century Gothic" w:cs="Century Gothic"/>
        </w:rPr>
        <w:t xml:space="preserve">Secretaría Distrital de la Mujer. (2025). </w:t>
      </w:r>
      <w:hyperlink r:id="rId37">
        <w:r>
          <w:rPr>
            <w:rFonts w:ascii="Century Gothic" w:eastAsia="Century Gothic" w:hAnsi="Century Gothic" w:cs="Century Gothic"/>
            <w:color w:val="000000"/>
          </w:rPr>
          <w:t>Boletín de marzo con últimas cifras sobre violencias contra mujeres</w:t>
        </w:r>
      </w:hyperlink>
      <w:r>
        <w:rPr>
          <w:rFonts w:ascii="Century Gothic" w:eastAsia="Century Gothic" w:hAnsi="Century Gothic" w:cs="Century Gothic"/>
        </w:rPr>
        <w:t>.</w:t>
      </w:r>
    </w:p>
    <w:p w14:paraId="48383285" w14:textId="77777777" w:rsidR="00AA5550" w:rsidRDefault="00AA5550">
      <w:pPr>
        <w:ind w:left="720"/>
        <w:jc w:val="both"/>
        <w:rPr>
          <w:rFonts w:ascii="Century Gothic" w:eastAsia="Century Gothic" w:hAnsi="Century Gothic" w:cs="Century Gothic"/>
        </w:rPr>
      </w:pPr>
    </w:p>
    <w:p w14:paraId="2EF6E69E" w14:textId="77777777" w:rsidR="00AA5550" w:rsidRDefault="00045FF4">
      <w:pPr>
        <w:jc w:val="both"/>
        <w:rPr>
          <w:rFonts w:ascii="Century Gothic" w:eastAsia="Century Gothic" w:hAnsi="Century Gothic" w:cs="Century Gothic"/>
          <w:b/>
        </w:rPr>
      </w:pPr>
      <w:r>
        <w:rPr>
          <w:rFonts w:ascii="Century Gothic" w:eastAsia="Century Gothic" w:hAnsi="Century Gothic" w:cs="Century Gothic"/>
          <w:b/>
        </w:rPr>
        <w:t>Organismos Internacionales y Convenciones</w:t>
      </w:r>
    </w:p>
    <w:p w14:paraId="50FA0E1E" w14:textId="77777777" w:rsidR="00AA5550" w:rsidRDefault="00045FF4">
      <w:pPr>
        <w:numPr>
          <w:ilvl w:val="0"/>
          <w:numId w:val="3"/>
        </w:numPr>
        <w:jc w:val="both"/>
        <w:rPr>
          <w:rFonts w:ascii="Century Gothic" w:eastAsia="Century Gothic" w:hAnsi="Century Gothic" w:cs="Century Gothic"/>
        </w:rPr>
      </w:pPr>
      <w:r>
        <w:rPr>
          <w:rFonts w:ascii="Century Gothic" w:eastAsia="Century Gothic" w:hAnsi="Century Gothic" w:cs="Century Gothic"/>
        </w:rPr>
        <w:t>Co</w:t>
      </w:r>
      <w:r>
        <w:rPr>
          <w:rFonts w:ascii="Century Gothic" w:eastAsia="Century Gothic" w:hAnsi="Century Gothic" w:cs="Century Gothic"/>
        </w:rPr>
        <w:t xml:space="preserve">misión Económica para América Latina y el Caribe (CEPAL). </w:t>
      </w:r>
      <w:hyperlink r:id="rId38" w:anchor=":~:text=de%20especial%20preocupaci%C3%B3n%20la%20violencia,General%20de%20la%20Naci%C3%B3n%2C%202024">
        <w:r>
          <w:rPr>
            <w:rFonts w:ascii="Century Gothic" w:eastAsia="Century Gothic" w:hAnsi="Century Gothic" w:cs="Century Gothic"/>
            <w:color w:val="000000"/>
          </w:rPr>
          <w:t>Colombia - Informe Nacional</w:t>
        </w:r>
      </w:hyperlink>
      <w:r>
        <w:rPr>
          <w:rFonts w:ascii="Century Gothic" w:eastAsia="Century Gothic" w:hAnsi="Century Gothic" w:cs="Century Gothic"/>
        </w:rPr>
        <w:t>.</w:t>
      </w:r>
    </w:p>
    <w:p w14:paraId="23FC831F" w14:textId="77777777" w:rsidR="00AA5550" w:rsidRDefault="00045FF4">
      <w:pPr>
        <w:numPr>
          <w:ilvl w:val="0"/>
          <w:numId w:val="3"/>
        </w:numPr>
        <w:jc w:val="both"/>
        <w:rPr>
          <w:rFonts w:ascii="Century Gothic" w:eastAsia="Century Gothic" w:hAnsi="Century Gothic" w:cs="Century Gothic"/>
        </w:rPr>
      </w:pPr>
      <w:r>
        <w:rPr>
          <w:rFonts w:ascii="Century Gothic" w:eastAsia="Century Gothic" w:hAnsi="Century Gothic" w:cs="Century Gothic"/>
        </w:rPr>
        <w:t xml:space="preserve">Organización de las Naciones Unidas. (1979). </w:t>
      </w:r>
      <w:hyperlink r:id="rId39">
        <w:r>
          <w:rPr>
            <w:rFonts w:ascii="Century Gothic" w:eastAsia="Century Gothic" w:hAnsi="Century Gothic" w:cs="Century Gothic"/>
            <w:color w:val="000000"/>
          </w:rPr>
          <w:t>Convención sobre la Elimina</w:t>
        </w:r>
        <w:r>
          <w:rPr>
            <w:rFonts w:ascii="Century Gothic" w:eastAsia="Century Gothic" w:hAnsi="Century Gothic" w:cs="Century Gothic"/>
            <w:color w:val="000000"/>
          </w:rPr>
          <w:t>ción de Todas las Formas de Discriminación contra la Mujer (CEDAW)</w:t>
        </w:r>
      </w:hyperlink>
      <w:r>
        <w:rPr>
          <w:rFonts w:ascii="Century Gothic" w:eastAsia="Century Gothic" w:hAnsi="Century Gothic" w:cs="Century Gothic"/>
        </w:rPr>
        <w:t>.</w:t>
      </w:r>
    </w:p>
    <w:p w14:paraId="293EF728" w14:textId="77777777" w:rsidR="00AA5550" w:rsidRDefault="00045FF4">
      <w:pPr>
        <w:numPr>
          <w:ilvl w:val="0"/>
          <w:numId w:val="3"/>
        </w:numPr>
        <w:jc w:val="both"/>
        <w:rPr>
          <w:rFonts w:ascii="Century Gothic" w:eastAsia="Century Gothic" w:hAnsi="Century Gothic" w:cs="Century Gothic"/>
        </w:rPr>
      </w:pPr>
      <w:r>
        <w:rPr>
          <w:rFonts w:ascii="Century Gothic" w:eastAsia="Century Gothic" w:hAnsi="Century Gothic" w:cs="Century Gothic"/>
        </w:rPr>
        <w:t xml:space="preserve">Organización de los Estados Americanos (OAS). (1994). </w:t>
      </w:r>
      <w:hyperlink r:id="rId40">
        <w:r>
          <w:rPr>
            <w:rFonts w:ascii="Century Gothic" w:eastAsia="Century Gothic" w:hAnsi="Century Gothic" w:cs="Century Gothic"/>
            <w:color w:val="000000"/>
          </w:rPr>
          <w:t>Convención Interamericana para Prevenir, Sancionar y Erradic</w:t>
        </w:r>
        <w:r>
          <w:rPr>
            <w:rFonts w:ascii="Century Gothic" w:eastAsia="Century Gothic" w:hAnsi="Century Gothic" w:cs="Century Gothic"/>
            <w:color w:val="000000"/>
          </w:rPr>
          <w:t>ar la Violencia contra la Mujer (Belém do Pará)</w:t>
        </w:r>
      </w:hyperlink>
      <w:r>
        <w:rPr>
          <w:rFonts w:ascii="Century Gothic" w:eastAsia="Century Gothic" w:hAnsi="Century Gothic" w:cs="Century Gothic"/>
        </w:rPr>
        <w:t>.</w:t>
      </w:r>
    </w:p>
    <w:p w14:paraId="6F9C8A87" w14:textId="77777777" w:rsidR="00AA5550" w:rsidRPr="00C00F1B" w:rsidRDefault="00045FF4">
      <w:pPr>
        <w:numPr>
          <w:ilvl w:val="0"/>
          <w:numId w:val="3"/>
        </w:numPr>
        <w:jc w:val="both"/>
        <w:rPr>
          <w:rFonts w:ascii="Century Gothic" w:eastAsia="Century Gothic" w:hAnsi="Century Gothic" w:cs="Century Gothic"/>
          <w:lang w:val="en-US"/>
        </w:rPr>
      </w:pPr>
      <w:r w:rsidRPr="00C00F1B">
        <w:rPr>
          <w:rFonts w:ascii="Century Gothic" w:eastAsia="Century Gothic" w:hAnsi="Century Gothic" w:cs="Century Gothic"/>
          <w:lang w:val="en-US"/>
        </w:rPr>
        <w:t xml:space="preserve">ONU </w:t>
      </w:r>
      <w:proofErr w:type="spellStart"/>
      <w:r w:rsidRPr="00C00F1B">
        <w:rPr>
          <w:rFonts w:ascii="Century Gothic" w:eastAsia="Century Gothic" w:hAnsi="Century Gothic" w:cs="Century Gothic"/>
          <w:lang w:val="en-US"/>
        </w:rPr>
        <w:t>Mujeres</w:t>
      </w:r>
      <w:proofErr w:type="spellEnd"/>
      <w:r w:rsidRPr="00C00F1B">
        <w:rPr>
          <w:rFonts w:ascii="Century Gothic" w:eastAsia="Century Gothic" w:hAnsi="Century Gothic" w:cs="Century Gothic"/>
          <w:lang w:val="en-US"/>
        </w:rPr>
        <w:t xml:space="preserve">. (2021). </w:t>
      </w:r>
      <w:hyperlink r:id="rId41">
        <w:r w:rsidRPr="00C00F1B">
          <w:rPr>
            <w:rFonts w:ascii="Century Gothic" w:eastAsia="Century Gothic" w:hAnsi="Century Gothic" w:cs="Century Gothic"/>
            <w:color w:val="000000"/>
            <w:lang w:val="en-US"/>
          </w:rPr>
          <w:t>Driving data-based progress: Violence response and preventi</w:t>
        </w:r>
        <w:r w:rsidRPr="00C00F1B">
          <w:rPr>
            <w:rFonts w:ascii="Century Gothic" w:eastAsia="Century Gothic" w:hAnsi="Century Gothic" w:cs="Century Gothic"/>
            <w:color w:val="000000"/>
            <w:lang w:val="en-US"/>
          </w:rPr>
          <w:t>on in Colombia</w:t>
        </w:r>
      </w:hyperlink>
      <w:r w:rsidRPr="00C00F1B">
        <w:rPr>
          <w:rFonts w:ascii="Century Gothic" w:eastAsia="Century Gothic" w:hAnsi="Century Gothic" w:cs="Century Gothic"/>
          <w:lang w:val="en-US"/>
        </w:rPr>
        <w:t>.</w:t>
      </w:r>
    </w:p>
    <w:p w14:paraId="637B4471" w14:textId="77777777" w:rsidR="00AA5550" w:rsidRDefault="00045FF4">
      <w:pPr>
        <w:numPr>
          <w:ilvl w:val="0"/>
          <w:numId w:val="3"/>
        </w:numPr>
        <w:jc w:val="both"/>
        <w:rPr>
          <w:rFonts w:ascii="Century Gothic" w:eastAsia="Century Gothic" w:hAnsi="Century Gothic" w:cs="Century Gothic"/>
        </w:rPr>
      </w:pPr>
      <w:r>
        <w:rPr>
          <w:rFonts w:ascii="Century Gothic" w:eastAsia="Century Gothic" w:hAnsi="Century Gothic" w:cs="Century Gothic"/>
        </w:rPr>
        <w:t xml:space="preserve">Organización para la Cooperación y el Desarrollo Económicos (OCDE). (2023). </w:t>
      </w:r>
      <w:hyperlink r:id="rId42" w:anchor=":~:text=%28Bott%20et%20al.%2C%202022,the%20workplace%20women%20are%20also">
        <w:proofErr w:type="spellStart"/>
        <w:r>
          <w:rPr>
            <w:rFonts w:ascii="Century Gothic" w:eastAsia="Century Gothic" w:hAnsi="Century Gothic" w:cs="Century Gothic"/>
            <w:color w:val="000000"/>
          </w:rPr>
          <w:t>Gender</w:t>
        </w:r>
        <w:proofErr w:type="spellEnd"/>
        <w:r>
          <w:rPr>
            <w:rFonts w:ascii="Century Gothic" w:eastAsia="Century Gothic" w:hAnsi="Century Gothic" w:cs="Century Gothic"/>
            <w:color w:val="000000"/>
          </w:rPr>
          <w:t xml:space="preserve"> </w:t>
        </w:r>
        <w:proofErr w:type="spellStart"/>
        <w:r>
          <w:rPr>
            <w:rFonts w:ascii="Century Gothic" w:eastAsia="Century Gothic" w:hAnsi="Century Gothic" w:cs="Century Gothic"/>
            <w:color w:val="000000"/>
          </w:rPr>
          <w:t>equality</w:t>
        </w:r>
        <w:proofErr w:type="spellEnd"/>
        <w:r>
          <w:rPr>
            <w:rFonts w:ascii="Century Gothic" w:eastAsia="Century Gothic" w:hAnsi="Century Gothic" w:cs="Century Gothic"/>
            <w:color w:val="000000"/>
          </w:rPr>
          <w:t xml:space="preserve"> in Colombia</w:t>
        </w:r>
      </w:hyperlink>
      <w:r>
        <w:rPr>
          <w:rFonts w:ascii="Century Gothic" w:eastAsia="Century Gothic" w:hAnsi="Century Gothic" w:cs="Century Gothic"/>
        </w:rPr>
        <w:t xml:space="preserve">. </w:t>
      </w:r>
    </w:p>
    <w:p w14:paraId="0AFD965E" w14:textId="77777777" w:rsidR="00AA5550" w:rsidRDefault="00045FF4">
      <w:pPr>
        <w:numPr>
          <w:ilvl w:val="0"/>
          <w:numId w:val="3"/>
        </w:numPr>
        <w:jc w:val="both"/>
        <w:rPr>
          <w:rFonts w:ascii="Century Gothic" w:eastAsia="Century Gothic" w:hAnsi="Century Gothic" w:cs="Century Gothic"/>
        </w:rPr>
      </w:pPr>
      <w:r>
        <w:rPr>
          <w:rFonts w:ascii="Century Gothic" w:eastAsia="Century Gothic" w:hAnsi="Century Gothic" w:cs="Century Gothic"/>
        </w:rPr>
        <w:t xml:space="preserve">UNICEF. (1989). </w:t>
      </w:r>
      <w:hyperlink r:id="rId43">
        <w:r>
          <w:rPr>
            <w:rFonts w:ascii="Century Gothic" w:eastAsia="Century Gothic" w:hAnsi="Century Gothic" w:cs="Century Gothic"/>
            <w:color w:val="000000"/>
          </w:rPr>
          <w:t>Convención sobre los Derechos del Niño</w:t>
        </w:r>
      </w:hyperlink>
      <w:r>
        <w:rPr>
          <w:rFonts w:ascii="Century Gothic" w:eastAsia="Century Gothic" w:hAnsi="Century Gothic" w:cs="Century Gothic"/>
        </w:rPr>
        <w:t>.</w:t>
      </w:r>
    </w:p>
    <w:p w14:paraId="3D7E5C88" w14:textId="77777777" w:rsidR="00AA5550" w:rsidRDefault="00AA5550">
      <w:pPr>
        <w:ind w:left="720"/>
        <w:jc w:val="both"/>
        <w:rPr>
          <w:rFonts w:ascii="Century Gothic" w:eastAsia="Century Gothic" w:hAnsi="Century Gothic" w:cs="Century Gothic"/>
        </w:rPr>
      </w:pPr>
    </w:p>
    <w:p w14:paraId="33B092B7" w14:textId="77777777" w:rsidR="00AA5550" w:rsidRDefault="00045FF4">
      <w:pPr>
        <w:jc w:val="both"/>
        <w:rPr>
          <w:rFonts w:ascii="Century Gothic" w:eastAsia="Century Gothic" w:hAnsi="Century Gothic" w:cs="Century Gothic"/>
          <w:b/>
        </w:rPr>
      </w:pPr>
      <w:r>
        <w:rPr>
          <w:rFonts w:ascii="Century Gothic" w:eastAsia="Century Gothic" w:hAnsi="Century Gothic" w:cs="Century Gothic"/>
          <w:b/>
        </w:rPr>
        <w:t>Artículos Académicos y Revistas</w:t>
      </w:r>
    </w:p>
    <w:p w14:paraId="17F950FF" w14:textId="77777777" w:rsidR="00AA5550" w:rsidRDefault="00045FF4">
      <w:pPr>
        <w:numPr>
          <w:ilvl w:val="0"/>
          <w:numId w:val="4"/>
        </w:numPr>
        <w:jc w:val="both"/>
        <w:rPr>
          <w:rFonts w:ascii="Century Gothic" w:eastAsia="Century Gothic" w:hAnsi="Century Gothic" w:cs="Century Gothic"/>
        </w:rPr>
      </w:pPr>
      <w:r>
        <w:rPr>
          <w:rFonts w:ascii="Century Gothic" w:eastAsia="Century Gothic" w:hAnsi="Century Gothic" w:cs="Century Gothic"/>
        </w:rPr>
        <w:t>Giraldo, C. L.</w:t>
      </w:r>
      <w:r>
        <w:rPr>
          <w:rFonts w:ascii="Century Gothic" w:eastAsia="Century Gothic" w:hAnsi="Century Gothic" w:cs="Century Gothic"/>
        </w:rPr>
        <w:t xml:space="preserve"> (2009). </w:t>
      </w:r>
      <w:hyperlink r:id="rId44">
        <w:r>
          <w:rPr>
            <w:rFonts w:ascii="Century Gothic" w:eastAsia="Century Gothic" w:hAnsi="Century Gothic" w:cs="Century Gothic"/>
            <w:color w:val="000000"/>
          </w:rPr>
          <w:t>Violencia estructural de género. Revista Colombiana de Sociología, 32</w:t>
        </w:r>
      </w:hyperlink>
      <w:r>
        <w:rPr>
          <w:rFonts w:ascii="Century Gothic" w:eastAsia="Century Gothic" w:hAnsi="Century Gothic" w:cs="Century Gothic"/>
        </w:rPr>
        <w:t>(2), 171-189.</w:t>
      </w:r>
    </w:p>
    <w:p w14:paraId="52A50A4C" w14:textId="77777777" w:rsidR="00AA5550" w:rsidRDefault="00AA5550">
      <w:pPr>
        <w:ind w:left="720"/>
        <w:jc w:val="both"/>
        <w:rPr>
          <w:rFonts w:ascii="Century Gothic" w:eastAsia="Century Gothic" w:hAnsi="Century Gothic" w:cs="Century Gothic"/>
        </w:rPr>
      </w:pPr>
    </w:p>
    <w:p w14:paraId="2088E046" w14:textId="77777777" w:rsidR="00AA5550" w:rsidRDefault="00045FF4">
      <w:pPr>
        <w:jc w:val="both"/>
        <w:rPr>
          <w:rFonts w:ascii="Century Gothic" w:eastAsia="Century Gothic" w:hAnsi="Century Gothic" w:cs="Century Gothic"/>
          <w:b/>
        </w:rPr>
      </w:pPr>
      <w:r>
        <w:rPr>
          <w:rFonts w:ascii="Century Gothic" w:eastAsia="Century Gothic" w:hAnsi="Century Gothic" w:cs="Century Gothic"/>
          <w:b/>
        </w:rPr>
        <w:t>Noticias y Medios de Comunicación</w:t>
      </w:r>
    </w:p>
    <w:p w14:paraId="3E10AF07" w14:textId="77777777" w:rsidR="00AA5550" w:rsidRPr="00C00F1B" w:rsidRDefault="00045FF4">
      <w:pPr>
        <w:numPr>
          <w:ilvl w:val="0"/>
          <w:numId w:val="5"/>
        </w:numPr>
        <w:jc w:val="both"/>
        <w:rPr>
          <w:rFonts w:ascii="Century Gothic" w:eastAsia="Century Gothic" w:hAnsi="Century Gothic" w:cs="Century Gothic"/>
          <w:lang w:val="en-US"/>
        </w:rPr>
      </w:pPr>
      <w:r w:rsidRPr="00C00F1B">
        <w:rPr>
          <w:rFonts w:ascii="Century Gothic" w:eastAsia="Century Gothic" w:hAnsi="Century Gothic" w:cs="Century Gothic"/>
          <w:lang w:val="en-US"/>
        </w:rPr>
        <w:t xml:space="preserve">Colombia Reports. (2022). </w:t>
      </w:r>
      <w:hyperlink r:id="rId45">
        <w:r w:rsidRPr="00C00F1B">
          <w:rPr>
            <w:rFonts w:ascii="Century Gothic" w:eastAsia="Century Gothic" w:hAnsi="Century Gothic" w:cs="Century Gothic"/>
            <w:color w:val="000000"/>
            <w:lang w:val="en-US"/>
          </w:rPr>
          <w:t>Violence against women in Colombia saw sharp increase in 2022</w:t>
        </w:r>
      </w:hyperlink>
      <w:r w:rsidRPr="00C00F1B">
        <w:rPr>
          <w:rFonts w:ascii="Century Gothic" w:eastAsia="Century Gothic" w:hAnsi="Century Gothic" w:cs="Century Gothic"/>
          <w:lang w:val="en-US"/>
        </w:rPr>
        <w:t>.</w:t>
      </w:r>
    </w:p>
    <w:p w14:paraId="211771F7" w14:textId="77777777" w:rsidR="00AA5550" w:rsidRDefault="00045FF4">
      <w:pPr>
        <w:numPr>
          <w:ilvl w:val="0"/>
          <w:numId w:val="5"/>
        </w:numPr>
        <w:jc w:val="both"/>
        <w:rPr>
          <w:rFonts w:ascii="Century Gothic" w:eastAsia="Century Gothic" w:hAnsi="Century Gothic" w:cs="Century Gothic"/>
        </w:rPr>
      </w:pPr>
      <w:r>
        <w:rPr>
          <w:rFonts w:ascii="Century Gothic" w:eastAsia="Century Gothic" w:hAnsi="Century Gothic" w:cs="Century Gothic"/>
        </w:rPr>
        <w:t xml:space="preserve">El Heraldo. (2024). </w:t>
      </w:r>
      <w:hyperlink r:id="rId46" w:anchor=":~:text=%27Entre%20enero%20y%20abril%20de,etapa%20de%20adolescencia%27%2C%20se%20lee">
        <w:r>
          <w:rPr>
            <w:rFonts w:ascii="Century Gothic" w:eastAsia="Century Gothic" w:hAnsi="Century Gothic" w:cs="Century Gothic"/>
            <w:color w:val="000000"/>
          </w:rPr>
          <w:t xml:space="preserve">PGN alerta por cifras de maltrato infantil, feminicidios y </w:t>
        </w:r>
        <w:proofErr w:type="spellStart"/>
        <w:r>
          <w:rPr>
            <w:rFonts w:ascii="Century Gothic" w:eastAsia="Century Gothic" w:hAnsi="Century Gothic" w:cs="Century Gothic"/>
            <w:color w:val="000000"/>
          </w:rPr>
          <w:t>tra</w:t>
        </w:r>
        <w:r>
          <w:rPr>
            <w:rFonts w:ascii="Century Gothic" w:eastAsia="Century Gothic" w:hAnsi="Century Gothic" w:cs="Century Gothic"/>
            <w:color w:val="000000"/>
          </w:rPr>
          <w:t>nsfeminicidios</w:t>
        </w:r>
        <w:proofErr w:type="spellEnd"/>
      </w:hyperlink>
      <w:r>
        <w:rPr>
          <w:rFonts w:ascii="Century Gothic" w:eastAsia="Century Gothic" w:hAnsi="Century Gothic" w:cs="Century Gothic"/>
        </w:rPr>
        <w:t>.</w:t>
      </w:r>
    </w:p>
    <w:p w14:paraId="1B7BE314" w14:textId="77777777" w:rsidR="00AA5550" w:rsidRPr="00C00F1B" w:rsidRDefault="00045FF4">
      <w:pPr>
        <w:numPr>
          <w:ilvl w:val="0"/>
          <w:numId w:val="5"/>
        </w:numPr>
        <w:jc w:val="both"/>
        <w:rPr>
          <w:rFonts w:ascii="Century Gothic" w:eastAsia="Century Gothic" w:hAnsi="Century Gothic" w:cs="Century Gothic"/>
          <w:lang w:val="en-US"/>
        </w:rPr>
      </w:pPr>
      <w:r w:rsidRPr="00C00F1B">
        <w:rPr>
          <w:rFonts w:ascii="Century Gothic" w:eastAsia="Century Gothic" w:hAnsi="Century Gothic" w:cs="Century Gothic"/>
          <w:lang w:val="en-US"/>
        </w:rPr>
        <w:t xml:space="preserve">The Bogota Post. (2022). </w:t>
      </w:r>
      <w:hyperlink r:id="rId47">
        <w:r w:rsidRPr="00C00F1B">
          <w:rPr>
            <w:rFonts w:ascii="Century Gothic" w:eastAsia="Century Gothic" w:hAnsi="Century Gothic" w:cs="Century Gothic"/>
            <w:color w:val="000000"/>
            <w:lang w:val="en-US"/>
          </w:rPr>
          <w:t>Impunity for femicide in Colombia is still above 90%</w:t>
        </w:r>
      </w:hyperlink>
      <w:r w:rsidRPr="00C00F1B">
        <w:rPr>
          <w:rFonts w:ascii="Century Gothic" w:eastAsia="Century Gothic" w:hAnsi="Century Gothic" w:cs="Century Gothic"/>
          <w:lang w:val="en-US"/>
        </w:rPr>
        <w:t>.</w:t>
      </w:r>
    </w:p>
    <w:p w14:paraId="7AC341A4" w14:textId="77777777" w:rsidR="00AA5550" w:rsidRDefault="00045FF4">
      <w:pPr>
        <w:numPr>
          <w:ilvl w:val="0"/>
          <w:numId w:val="5"/>
        </w:numPr>
        <w:jc w:val="both"/>
        <w:rPr>
          <w:rFonts w:ascii="Century Gothic" w:eastAsia="Century Gothic" w:hAnsi="Century Gothic" w:cs="Century Gothic"/>
        </w:rPr>
      </w:pPr>
      <w:r>
        <w:rPr>
          <w:rFonts w:ascii="Century Gothic" w:eastAsia="Century Gothic" w:hAnsi="Century Gothic" w:cs="Century Gothic"/>
        </w:rPr>
        <w:t xml:space="preserve">W Radio. (2024). </w:t>
      </w:r>
      <w:hyperlink r:id="rId48" w:anchor=":~:text=En%202023%2C%20607%20menores%20de,porque%20sus%20derechos%20fueron%20vulnerados">
        <w:r>
          <w:rPr>
            <w:rFonts w:ascii="Century Gothic" w:eastAsia="Century Gothic" w:hAnsi="Century Gothic" w:cs="Century Gothic"/>
            <w:color w:val="000000"/>
          </w:rPr>
          <w:t>Procuraduría advierte sobre situación de violencia contra los n</w:t>
        </w:r>
        <w:r>
          <w:rPr>
            <w:rFonts w:ascii="Century Gothic" w:eastAsia="Century Gothic" w:hAnsi="Century Gothic" w:cs="Century Gothic"/>
            <w:color w:val="000000"/>
          </w:rPr>
          <w:t>iños en el país</w:t>
        </w:r>
      </w:hyperlink>
      <w:r>
        <w:rPr>
          <w:rFonts w:ascii="Century Gothic" w:eastAsia="Century Gothic" w:hAnsi="Century Gothic" w:cs="Century Gothic"/>
        </w:rPr>
        <w:t>.</w:t>
      </w:r>
    </w:p>
    <w:p w14:paraId="2FBA2671" w14:textId="77777777" w:rsidR="00AA5550" w:rsidRDefault="00AA5550">
      <w:pPr>
        <w:ind w:left="720"/>
        <w:jc w:val="both"/>
        <w:rPr>
          <w:rFonts w:ascii="Century Gothic" w:eastAsia="Century Gothic" w:hAnsi="Century Gothic" w:cs="Century Gothic"/>
        </w:rPr>
      </w:pPr>
    </w:p>
    <w:p w14:paraId="13618C41" w14:textId="77777777" w:rsidR="00AA5550" w:rsidRDefault="00045FF4">
      <w:pPr>
        <w:jc w:val="both"/>
        <w:rPr>
          <w:rFonts w:ascii="Century Gothic" w:eastAsia="Century Gothic" w:hAnsi="Century Gothic" w:cs="Century Gothic"/>
          <w:b/>
        </w:rPr>
      </w:pPr>
      <w:r>
        <w:rPr>
          <w:rFonts w:ascii="Century Gothic" w:eastAsia="Century Gothic" w:hAnsi="Century Gothic" w:cs="Century Gothic"/>
          <w:b/>
        </w:rPr>
        <w:t>Jurisprudencia (Sentencias de la Corte Constitucional)</w:t>
      </w:r>
    </w:p>
    <w:p w14:paraId="204E4CDE" w14:textId="77777777" w:rsidR="00AA5550" w:rsidRDefault="00045FF4">
      <w:pPr>
        <w:numPr>
          <w:ilvl w:val="0"/>
          <w:numId w:val="6"/>
        </w:numPr>
        <w:jc w:val="both"/>
        <w:rPr>
          <w:rFonts w:ascii="Century Gothic" w:eastAsia="Century Gothic" w:hAnsi="Century Gothic" w:cs="Century Gothic"/>
        </w:rPr>
      </w:pPr>
      <w:r>
        <w:rPr>
          <w:rFonts w:ascii="Century Gothic" w:eastAsia="Century Gothic" w:hAnsi="Century Gothic" w:cs="Century Gothic"/>
        </w:rPr>
        <w:t>Sentencia C-355 de 2006</w:t>
      </w:r>
    </w:p>
    <w:p w14:paraId="76E79D6A" w14:textId="77777777" w:rsidR="00AA5550" w:rsidRDefault="00045FF4">
      <w:pPr>
        <w:numPr>
          <w:ilvl w:val="0"/>
          <w:numId w:val="6"/>
        </w:numPr>
        <w:jc w:val="both"/>
        <w:rPr>
          <w:rFonts w:ascii="Century Gothic" w:eastAsia="Century Gothic" w:hAnsi="Century Gothic" w:cs="Century Gothic"/>
        </w:rPr>
      </w:pPr>
      <w:r>
        <w:rPr>
          <w:rFonts w:ascii="Century Gothic" w:eastAsia="Century Gothic" w:hAnsi="Century Gothic" w:cs="Century Gothic"/>
        </w:rPr>
        <w:t>Sentencia C-740 de 2011</w:t>
      </w:r>
    </w:p>
    <w:p w14:paraId="2E8ED143" w14:textId="77777777" w:rsidR="00AA5550" w:rsidRDefault="00045FF4">
      <w:pPr>
        <w:numPr>
          <w:ilvl w:val="0"/>
          <w:numId w:val="6"/>
        </w:numPr>
        <w:jc w:val="both"/>
        <w:rPr>
          <w:rFonts w:ascii="Century Gothic" w:eastAsia="Century Gothic" w:hAnsi="Century Gothic" w:cs="Century Gothic"/>
        </w:rPr>
      </w:pPr>
      <w:r>
        <w:rPr>
          <w:rFonts w:ascii="Century Gothic" w:eastAsia="Century Gothic" w:hAnsi="Century Gothic" w:cs="Century Gothic"/>
        </w:rPr>
        <w:t>Sentencia T-025 de 2004</w:t>
      </w:r>
    </w:p>
    <w:p w14:paraId="37FEC497" w14:textId="77777777" w:rsidR="00AA5550" w:rsidRDefault="00AA5550">
      <w:pPr>
        <w:ind w:left="720"/>
        <w:jc w:val="both"/>
        <w:rPr>
          <w:rFonts w:ascii="Century Gothic" w:eastAsia="Century Gothic" w:hAnsi="Century Gothic" w:cs="Century Gothic"/>
        </w:rPr>
      </w:pPr>
    </w:p>
    <w:p w14:paraId="43C8B91C" w14:textId="77777777" w:rsidR="00AA5550" w:rsidRDefault="00045FF4">
      <w:pPr>
        <w:jc w:val="both"/>
        <w:rPr>
          <w:rFonts w:ascii="Century Gothic" w:eastAsia="Century Gothic" w:hAnsi="Century Gothic" w:cs="Century Gothic"/>
          <w:b/>
        </w:rPr>
      </w:pPr>
      <w:r>
        <w:rPr>
          <w:rFonts w:ascii="Century Gothic" w:eastAsia="Century Gothic" w:hAnsi="Century Gothic" w:cs="Century Gothic"/>
          <w:b/>
        </w:rPr>
        <w:t>Otros Recursos Legales/Institucionales</w:t>
      </w:r>
    </w:p>
    <w:p w14:paraId="0672425D" w14:textId="77777777" w:rsidR="00AA5550" w:rsidRPr="00C00F1B" w:rsidRDefault="00045FF4">
      <w:pPr>
        <w:numPr>
          <w:ilvl w:val="0"/>
          <w:numId w:val="7"/>
        </w:numPr>
        <w:jc w:val="both"/>
        <w:rPr>
          <w:rFonts w:ascii="Century Gothic" w:eastAsia="Century Gothic" w:hAnsi="Century Gothic" w:cs="Century Gothic"/>
          <w:lang w:val="en-US"/>
        </w:rPr>
      </w:pPr>
      <w:r w:rsidRPr="00C00F1B">
        <w:rPr>
          <w:rFonts w:ascii="Century Gothic" w:eastAsia="Century Gothic" w:hAnsi="Century Gothic" w:cs="Century Gothic"/>
          <w:lang w:val="en-US"/>
        </w:rPr>
        <w:t xml:space="preserve">Legal Information Institute (LII). (2014). </w:t>
      </w:r>
      <w:hyperlink r:id="rId49">
        <w:r w:rsidRPr="00C00F1B">
          <w:rPr>
            <w:rFonts w:ascii="Century Gothic" w:eastAsia="Century Gothic" w:hAnsi="Century Gothic" w:cs="Century Gothic"/>
            <w:color w:val="000000"/>
            <w:lang w:val="en-US"/>
          </w:rPr>
          <w:t>Women and justice in Colombia</w:t>
        </w:r>
      </w:hyperlink>
      <w:r w:rsidRPr="00C00F1B">
        <w:rPr>
          <w:rFonts w:ascii="Century Gothic" w:eastAsia="Century Gothic" w:hAnsi="Century Gothic" w:cs="Century Gothic"/>
          <w:lang w:val="en-US"/>
        </w:rPr>
        <w:t>.</w:t>
      </w:r>
    </w:p>
    <w:p w14:paraId="68689F6F" w14:textId="77777777" w:rsidR="00AA5550" w:rsidRPr="00C00F1B" w:rsidRDefault="00AA5550">
      <w:pPr>
        <w:jc w:val="both"/>
        <w:rPr>
          <w:rFonts w:ascii="Century Gothic" w:eastAsia="Century Gothic" w:hAnsi="Century Gothic" w:cs="Century Gothic"/>
          <w:lang w:val="en-US"/>
        </w:rPr>
      </w:pPr>
    </w:p>
    <w:p w14:paraId="10B94144" w14:textId="77777777" w:rsidR="00AA5550" w:rsidRPr="00C00F1B" w:rsidRDefault="00AA5550">
      <w:pPr>
        <w:jc w:val="both"/>
        <w:rPr>
          <w:rFonts w:ascii="Century Gothic" w:eastAsia="Century Gothic" w:hAnsi="Century Gothic" w:cs="Century Gothic"/>
          <w:lang w:val="en-US"/>
        </w:rPr>
      </w:pPr>
    </w:p>
    <w:p w14:paraId="2E097C4F" w14:textId="77777777" w:rsidR="00AA5550" w:rsidRPr="00C00F1B" w:rsidRDefault="00AA5550">
      <w:pPr>
        <w:jc w:val="both"/>
        <w:rPr>
          <w:rFonts w:ascii="Century Gothic" w:eastAsia="Century Gothic" w:hAnsi="Century Gothic" w:cs="Century Gothic"/>
          <w:lang w:val="en-US"/>
        </w:rPr>
      </w:pPr>
    </w:p>
    <w:p w14:paraId="3CF2BBCA" w14:textId="77777777" w:rsidR="00AA5550" w:rsidRPr="00C00F1B" w:rsidRDefault="00AA5550">
      <w:pPr>
        <w:jc w:val="both"/>
        <w:rPr>
          <w:rFonts w:ascii="Century Gothic" w:eastAsia="Century Gothic" w:hAnsi="Century Gothic" w:cs="Century Gothic"/>
          <w:lang w:val="en-US"/>
        </w:rPr>
      </w:pPr>
    </w:p>
    <w:p w14:paraId="471B0D19" w14:textId="77777777" w:rsidR="00AA5550" w:rsidRPr="00C00F1B" w:rsidRDefault="00AA5550">
      <w:pPr>
        <w:jc w:val="both"/>
        <w:rPr>
          <w:rFonts w:ascii="Century Gothic" w:eastAsia="Century Gothic" w:hAnsi="Century Gothic" w:cs="Century Gothic"/>
          <w:lang w:val="en-US"/>
        </w:rPr>
      </w:pPr>
    </w:p>
    <w:p w14:paraId="73D25451" w14:textId="77777777" w:rsidR="00AA5550" w:rsidRPr="00C00F1B" w:rsidRDefault="00AA5550">
      <w:pPr>
        <w:jc w:val="both"/>
        <w:rPr>
          <w:rFonts w:ascii="Century Gothic" w:eastAsia="Century Gothic" w:hAnsi="Century Gothic" w:cs="Century Gothic"/>
          <w:lang w:val="en-US"/>
        </w:rPr>
      </w:pPr>
    </w:p>
    <w:sectPr w:rsidR="00AA5550" w:rsidRPr="00C00F1B">
      <w:headerReference w:type="default" r:id="rId5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898DD" w14:textId="77777777" w:rsidR="00045FF4" w:rsidRDefault="00045FF4">
      <w:pPr>
        <w:spacing w:line="240" w:lineRule="auto"/>
      </w:pPr>
      <w:r>
        <w:separator/>
      </w:r>
    </w:p>
  </w:endnote>
  <w:endnote w:type="continuationSeparator" w:id="0">
    <w:p w14:paraId="552C4789" w14:textId="77777777" w:rsidR="00045FF4" w:rsidRDefault="00045F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pleSystemUIFont">
    <w:panose1 w:val="00000000000000000000"/>
    <w:charset w:val="00"/>
    <w:family w:val="roman"/>
    <w:notTrueType/>
    <w:pitch w:val="default"/>
  </w:font>
  <w:font w:name="UICTFontTextStyleEmphasizedBod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EB14" w14:textId="77777777" w:rsidR="00045FF4" w:rsidRDefault="00045FF4">
      <w:pPr>
        <w:spacing w:line="240" w:lineRule="auto"/>
      </w:pPr>
      <w:r>
        <w:separator/>
      </w:r>
    </w:p>
  </w:footnote>
  <w:footnote w:type="continuationSeparator" w:id="0">
    <w:p w14:paraId="6D76833E" w14:textId="77777777" w:rsidR="00045FF4" w:rsidRDefault="00045FF4">
      <w:pPr>
        <w:spacing w:line="240" w:lineRule="auto"/>
      </w:pPr>
      <w:r>
        <w:continuationSeparator/>
      </w:r>
    </w:p>
  </w:footnote>
  <w:footnote w:id="1">
    <w:p w14:paraId="433234CE" w14:textId="77777777" w:rsidR="00AA5550" w:rsidRDefault="00045FF4">
      <w:pPr>
        <w:spacing w:line="240" w:lineRule="auto"/>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Naciones Unidas. Objetivos de Desarrollo Sostenible. Disponible en: https://www.un.org/sustainabledevelopment/es/</w:t>
      </w:r>
    </w:p>
  </w:footnote>
  <w:footnote w:id="2">
    <w:p w14:paraId="78208A50" w14:textId="77777777" w:rsidR="00AA5550" w:rsidRDefault="00045FF4">
      <w:pPr>
        <w:spacing w:line="240" w:lineRule="auto"/>
        <w:jc w:val="both"/>
        <w:rPr>
          <w:rFonts w:ascii="Century Gothic" w:eastAsia="Century Gothic" w:hAnsi="Century Gothic" w:cs="Century Gothic"/>
          <w:sz w:val="16"/>
          <w:szCs w:val="16"/>
          <w:vertAlign w:val="superscript"/>
        </w:rPr>
      </w:pPr>
      <w:r>
        <w:rPr>
          <w:vertAlign w:val="superscript"/>
        </w:rPr>
        <w:footnoteRef/>
      </w:r>
      <w:r>
        <w:rPr>
          <w:rFonts w:ascii="Century Gothic" w:eastAsia="Century Gothic" w:hAnsi="Century Gothic" w:cs="Century Gothic"/>
          <w:sz w:val="16"/>
          <w:szCs w:val="16"/>
          <w:vertAlign w:val="superscript"/>
        </w:rPr>
        <w:t xml:space="preserve"> Defensoría del Pueblo. </w:t>
      </w:r>
      <w:r>
        <w:rPr>
          <w:rFonts w:ascii="Century Gothic" w:eastAsia="Century Gothic" w:hAnsi="Century Gothic" w:cs="Century Gothic"/>
          <w:i/>
          <w:sz w:val="16"/>
          <w:szCs w:val="16"/>
          <w:vertAlign w:val="superscript"/>
        </w:rPr>
        <w:t>Informe sobre situación de derechos humanos, enero–mayo de 2025</w:t>
      </w:r>
      <w:r>
        <w:rPr>
          <w:rFonts w:ascii="Century Gothic" w:eastAsia="Century Gothic" w:hAnsi="Century Gothic" w:cs="Century Gothic"/>
          <w:sz w:val="16"/>
          <w:szCs w:val="16"/>
          <w:vertAlign w:val="superscript"/>
        </w:rPr>
        <w:t xml:space="preserve">. Bogotá: Defensoría del Pueblo, junio de 2025. </w:t>
      </w:r>
    </w:p>
  </w:footnote>
  <w:footnote w:id="3">
    <w:p w14:paraId="13672A35" w14:textId="77777777" w:rsidR="00AA5550" w:rsidRDefault="00045FF4">
      <w:pPr>
        <w:spacing w:line="240" w:lineRule="auto"/>
        <w:jc w:val="both"/>
        <w:rPr>
          <w:rFonts w:ascii="Century Gothic" w:eastAsia="Century Gothic" w:hAnsi="Century Gothic" w:cs="Century Gothic"/>
          <w:sz w:val="16"/>
          <w:szCs w:val="16"/>
          <w:vertAlign w:val="superscript"/>
        </w:rPr>
      </w:pPr>
      <w:r>
        <w:rPr>
          <w:vertAlign w:val="superscript"/>
        </w:rPr>
        <w:footnoteRef/>
      </w:r>
      <w:r>
        <w:rPr>
          <w:rFonts w:ascii="Century Gothic" w:eastAsia="Century Gothic" w:hAnsi="Century Gothic" w:cs="Century Gothic"/>
          <w:sz w:val="16"/>
          <w:szCs w:val="16"/>
          <w:vertAlign w:val="superscript"/>
        </w:rPr>
        <w:t xml:space="preserve"> Secretaría Distrital de la Mujer. Boletín mensual de casos atendidos – febrero 2025. Bogotá D.C., 2025</w:t>
      </w:r>
    </w:p>
  </w:footnote>
  <w:footnote w:id="4">
    <w:p w14:paraId="77CAF291" w14:textId="77777777" w:rsidR="00AA5550" w:rsidRDefault="00045FF4">
      <w:pPr>
        <w:spacing w:line="240" w:lineRule="auto"/>
        <w:jc w:val="both"/>
        <w:rPr>
          <w:rFonts w:ascii="Century Gothic" w:eastAsia="Century Gothic" w:hAnsi="Century Gothic" w:cs="Century Gothic"/>
          <w:sz w:val="16"/>
          <w:szCs w:val="16"/>
          <w:vertAlign w:val="superscript"/>
        </w:rPr>
      </w:pPr>
      <w:r>
        <w:rPr>
          <w:vertAlign w:val="superscript"/>
        </w:rPr>
        <w:footnoteRef/>
      </w:r>
      <w:r>
        <w:rPr>
          <w:rFonts w:ascii="Century Gothic" w:eastAsia="Century Gothic" w:hAnsi="Century Gothic" w:cs="Century Gothic"/>
          <w:sz w:val="16"/>
          <w:szCs w:val="16"/>
          <w:vertAlign w:val="superscript"/>
        </w:rPr>
        <w:t xml:space="preserve"> Defensoría del Pueblo. </w:t>
      </w:r>
      <w:r>
        <w:rPr>
          <w:rFonts w:ascii="Century Gothic" w:eastAsia="Century Gothic" w:hAnsi="Century Gothic" w:cs="Century Gothic"/>
          <w:i/>
          <w:sz w:val="16"/>
          <w:szCs w:val="16"/>
          <w:vertAlign w:val="superscript"/>
        </w:rPr>
        <w:t>Informe Anual de Derechos Humanos 2024</w:t>
      </w:r>
      <w:r>
        <w:rPr>
          <w:rFonts w:ascii="Century Gothic" w:eastAsia="Century Gothic" w:hAnsi="Century Gothic" w:cs="Century Gothic"/>
          <w:sz w:val="16"/>
          <w:szCs w:val="16"/>
          <w:vertAlign w:val="superscript"/>
        </w:rPr>
        <w:t>. Bogotá: Defensoría del Pueblo, enero de 2025</w:t>
      </w:r>
    </w:p>
  </w:footnote>
  <w:footnote w:id="5">
    <w:p w14:paraId="3FC8912C" w14:textId="77777777" w:rsidR="00AA5550" w:rsidRDefault="00045FF4">
      <w:pPr>
        <w:spacing w:line="240" w:lineRule="auto"/>
        <w:jc w:val="both"/>
        <w:rPr>
          <w:rFonts w:ascii="Century Gothic" w:eastAsia="Century Gothic" w:hAnsi="Century Gothic" w:cs="Century Gothic"/>
          <w:sz w:val="16"/>
          <w:szCs w:val="16"/>
          <w:vertAlign w:val="superscript"/>
        </w:rPr>
      </w:pPr>
      <w:r>
        <w:rPr>
          <w:vertAlign w:val="superscript"/>
        </w:rPr>
        <w:footnoteRef/>
      </w:r>
      <w:r>
        <w:rPr>
          <w:rFonts w:ascii="Century Gothic" w:eastAsia="Century Gothic" w:hAnsi="Century Gothic" w:cs="Century Gothic"/>
          <w:sz w:val="16"/>
          <w:szCs w:val="16"/>
          <w:vertAlign w:val="superscript"/>
        </w:rPr>
        <w:t xml:space="preserve"> Instituto Nacional de Medicina Legal y C</w:t>
      </w:r>
      <w:r>
        <w:rPr>
          <w:rFonts w:ascii="Century Gothic" w:eastAsia="Century Gothic" w:hAnsi="Century Gothic" w:cs="Century Gothic"/>
          <w:sz w:val="16"/>
          <w:szCs w:val="16"/>
          <w:vertAlign w:val="superscript"/>
        </w:rPr>
        <w:t xml:space="preserve">iencias Forenses (INMLCF). </w:t>
      </w:r>
      <w:proofErr w:type="spellStart"/>
      <w:r>
        <w:rPr>
          <w:rFonts w:ascii="Century Gothic" w:eastAsia="Century Gothic" w:hAnsi="Century Gothic" w:cs="Century Gothic"/>
          <w:sz w:val="16"/>
          <w:szCs w:val="16"/>
          <w:vertAlign w:val="superscript"/>
        </w:rPr>
        <w:t>Forensis</w:t>
      </w:r>
      <w:proofErr w:type="spellEnd"/>
      <w:r>
        <w:rPr>
          <w:rFonts w:ascii="Century Gothic" w:eastAsia="Century Gothic" w:hAnsi="Century Gothic" w:cs="Century Gothic"/>
          <w:sz w:val="16"/>
          <w:szCs w:val="16"/>
          <w:vertAlign w:val="superscript"/>
        </w:rPr>
        <w:t xml:space="preserve"> 2022: Datos para la vida. Bogotá: INMLCF, 2023</w:t>
      </w:r>
    </w:p>
  </w:footnote>
  <w:footnote w:id="6">
    <w:p w14:paraId="0C761F6D" w14:textId="77777777" w:rsidR="00AA5550" w:rsidRDefault="00045FF4">
      <w:pPr>
        <w:spacing w:line="240" w:lineRule="auto"/>
        <w:jc w:val="both"/>
        <w:rPr>
          <w:rFonts w:ascii="Century Gothic" w:eastAsia="Century Gothic" w:hAnsi="Century Gothic" w:cs="Century Gothic"/>
          <w:sz w:val="16"/>
          <w:szCs w:val="16"/>
          <w:vertAlign w:val="superscript"/>
        </w:rPr>
      </w:pPr>
      <w:r>
        <w:rPr>
          <w:vertAlign w:val="superscript"/>
        </w:rPr>
        <w:footnoteRef/>
      </w:r>
      <w:r>
        <w:rPr>
          <w:rFonts w:ascii="Century Gothic" w:eastAsia="Century Gothic" w:hAnsi="Century Gothic" w:cs="Century Gothic"/>
          <w:sz w:val="16"/>
          <w:szCs w:val="16"/>
          <w:vertAlign w:val="superscript"/>
        </w:rPr>
        <w:t xml:space="preserve"> INMLCF. </w:t>
      </w:r>
      <w:proofErr w:type="spellStart"/>
      <w:r>
        <w:rPr>
          <w:rFonts w:ascii="Century Gothic" w:eastAsia="Century Gothic" w:hAnsi="Century Gothic" w:cs="Century Gothic"/>
          <w:sz w:val="16"/>
          <w:szCs w:val="16"/>
          <w:vertAlign w:val="superscript"/>
        </w:rPr>
        <w:t>Forensis</w:t>
      </w:r>
      <w:proofErr w:type="spellEnd"/>
      <w:r>
        <w:rPr>
          <w:rFonts w:ascii="Century Gothic" w:eastAsia="Century Gothic" w:hAnsi="Century Gothic" w:cs="Century Gothic"/>
          <w:sz w:val="16"/>
          <w:szCs w:val="16"/>
          <w:vertAlign w:val="superscript"/>
        </w:rPr>
        <w:t xml:space="preserve"> 2023: Datos para la vida. Bogotá: INMLCF, 2024.</w:t>
      </w:r>
    </w:p>
  </w:footnote>
  <w:footnote w:id="7">
    <w:p w14:paraId="2AA0554B" w14:textId="77777777" w:rsidR="00AA5550" w:rsidRDefault="00045FF4">
      <w:pPr>
        <w:spacing w:line="240" w:lineRule="auto"/>
        <w:jc w:val="both"/>
        <w:rPr>
          <w:rFonts w:ascii="Century Gothic" w:eastAsia="Century Gothic" w:hAnsi="Century Gothic" w:cs="Century Gothic"/>
          <w:sz w:val="16"/>
          <w:szCs w:val="16"/>
          <w:vertAlign w:val="superscript"/>
        </w:rPr>
      </w:pPr>
      <w:r>
        <w:rPr>
          <w:vertAlign w:val="superscript"/>
        </w:rPr>
        <w:footnoteRef/>
      </w:r>
      <w:r>
        <w:rPr>
          <w:rFonts w:ascii="Century Gothic" w:eastAsia="Century Gothic" w:hAnsi="Century Gothic" w:cs="Century Gothic"/>
          <w:sz w:val="16"/>
          <w:szCs w:val="16"/>
          <w:vertAlign w:val="superscript"/>
        </w:rPr>
        <w:t xml:space="preserve"> ONU Mujeres. Violencia de género en Colombia durante la pandemia por COVID-19. Estudio de percepción, 20</w:t>
      </w:r>
      <w:r>
        <w:rPr>
          <w:rFonts w:ascii="Century Gothic" w:eastAsia="Century Gothic" w:hAnsi="Century Gothic" w:cs="Century Gothic"/>
          <w:sz w:val="16"/>
          <w:szCs w:val="16"/>
          <w:vertAlign w:val="superscript"/>
        </w:rPr>
        <w:t>21</w:t>
      </w:r>
    </w:p>
  </w:footnote>
  <w:footnote w:id="8">
    <w:p w14:paraId="63F4D6AA" w14:textId="77777777" w:rsidR="00AA5550" w:rsidRDefault="00045FF4">
      <w:pPr>
        <w:spacing w:line="240" w:lineRule="auto"/>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w:t>
      </w:r>
      <w:r>
        <w:rPr>
          <w:rFonts w:ascii="Century Gothic" w:eastAsia="Century Gothic" w:hAnsi="Century Gothic" w:cs="Century Gothic"/>
          <w:sz w:val="16"/>
          <w:szCs w:val="16"/>
          <w:vertAlign w:val="superscript"/>
        </w:rPr>
        <w:t xml:space="preserve">Salazar, Ligia. </w:t>
      </w:r>
      <w:r>
        <w:rPr>
          <w:rFonts w:ascii="Century Gothic" w:eastAsia="Century Gothic" w:hAnsi="Century Gothic" w:cs="Century Gothic"/>
          <w:i/>
          <w:sz w:val="16"/>
          <w:szCs w:val="16"/>
          <w:vertAlign w:val="superscript"/>
        </w:rPr>
        <w:t>Violencia estructural de género</w:t>
      </w:r>
      <w:r>
        <w:rPr>
          <w:rFonts w:ascii="Century Gothic" w:eastAsia="Century Gothic" w:hAnsi="Century Gothic" w:cs="Century Gothic"/>
          <w:sz w:val="16"/>
          <w:szCs w:val="16"/>
          <w:vertAlign w:val="superscript"/>
        </w:rPr>
        <w:t>. Revista de Estudios Sociales, n.º 33, Universidad de los Andes, Bogotá, 2009, pp. 20–35. Disponible en SciELO:</w:t>
      </w:r>
      <w:hyperlink r:id="rId1">
        <w:r>
          <w:rPr>
            <w:rFonts w:ascii="Century Gothic" w:eastAsia="Century Gothic" w:hAnsi="Century Gothic" w:cs="Century Gothic"/>
            <w:sz w:val="16"/>
            <w:szCs w:val="16"/>
            <w:vertAlign w:val="superscript"/>
          </w:rPr>
          <w:t xml:space="preserve"> </w:t>
        </w:r>
      </w:hyperlink>
      <w:hyperlink r:id="rId2">
        <w:r>
          <w:rPr>
            <w:rFonts w:ascii="Century Gothic" w:eastAsia="Century Gothic" w:hAnsi="Century Gothic" w:cs="Century Gothic"/>
            <w:color w:val="1155CC"/>
            <w:sz w:val="16"/>
            <w:szCs w:val="16"/>
            <w:u w:val="single"/>
            <w:vertAlign w:val="superscript"/>
          </w:rPr>
          <w:t>https://www.scielo.org.co</w:t>
        </w:r>
      </w:hyperlink>
    </w:p>
  </w:footnote>
  <w:footnote w:id="9">
    <w:p w14:paraId="42DC2F58" w14:textId="77777777" w:rsidR="00AA5550" w:rsidRDefault="00045FF4">
      <w:pPr>
        <w:spacing w:line="240" w:lineRule="auto"/>
        <w:jc w:val="both"/>
        <w:rPr>
          <w:rFonts w:ascii="Century Gothic" w:eastAsia="Century Gothic" w:hAnsi="Century Gothic" w:cs="Century Gothic"/>
          <w:sz w:val="16"/>
          <w:szCs w:val="16"/>
          <w:vertAlign w:val="superscript"/>
        </w:rPr>
      </w:pPr>
      <w:r>
        <w:rPr>
          <w:vertAlign w:val="superscript"/>
        </w:rPr>
        <w:footnoteRef/>
      </w:r>
      <w:r>
        <w:rPr>
          <w:rFonts w:ascii="Century Gothic" w:eastAsia="Century Gothic" w:hAnsi="Century Gothic" w:cs="Century Gothic"/>
          <w:sz w:val="16"/>
          <w:szCs w:val="16"/>
          <w:vertAlign w:val="superscript"/>
        </w:rPr>
        <w:t xml:space="preserve"> Comisión Interamericana de Derechos Humanos (CIDH). </w:t>
      </w:r>
      <w:r>
        <w:rPr>
          <w:rFonts w:ascii="Century Gothic" w:eastAsia="Century Gothic" w:hAnsi="Century Gothic" w:cs="Century Gothic"/>
          <w:i/>
          <w:sz w:val="16"/>
          <w:szCs w:val="16"/>
          <w:vertAlign w:val="superscript"/>
        </w:rPr>
        <w:t>Las mujeres frente a la violencia y la discriminación derivadas del conflicto armado en Colombia</w:t>
      </w:r>
      <w:r>
        <w:rPr>
          <w:rFonts w:ascii="Century Gothic" w:eastAsia="Century Gothic" w:hAnsi="Century Gothic" w:cs="Century Gothic"/>
          <w:sz w:val="16"/>
          <w:szCs w:val="16"/>
          <w:vertAlign w:val="superscript"/>
        </w:rPr>
        <w:t>. Washington, D.C.: OEA, 2006</w:t>
      </w:r>
    </w:p>
  </w:footnote>
  <w:footnote w:id="10">
    <w:p w14:paraId="141118EA" w14:textId="77777777" w:rsidR="00AA5550" w:rsidRDefault="00045FF4">
      <w:pPr>
        <w:spacing w:line="240" w:lineRule="auto"/>
        <w:jc w:val="both"/>
        <w:rPr>
          <w:rFonts w:ascii="Century Gothic" w:eastAsia="Century Gothic" w:hAnsi="Century Gothic" w:cs="Century Gothic"/>
          <w:sz w:val="16"/>
          <w:szCs w:val="16"/>
          <w:vertAlign w:val="superscript"/>
        </w:rPr>
      </w:pPr>
      <w:r>
        <w:rPr>
          <w:vertAlign w:val="superscript"/>
        </w:rPr>
        <w:footnoteRef/>
      </w:r>
      <w:r>
        <w:rPr>
          <w:rFonts w:ascii="Century Gothic" w:eastAsia="Century Gothic" w:hAnsi="Century Gothic" w:cs="Century Gothic"/>
          <w:sz w:val="16"/>
          <w:szCs w:val="16"/>
          <w:vertAlign w:val="superscript"/>
        </w:rPr>
        <w:t xml:space="preserve"> Amnistía Internacional. </w:t>
      </w:r>
      <w:r>
        <w:rPr>
          <w:rFonts w:ascii="Century Gothic" w:eastAsia="Century Gothic" w:hAnsi="Century Gothic" w:cs="Century Gothic"/>
          <w:i/>
          <w:sz w:val="16"/>
          <w:szCs w:val="16"/>
          <w:vertAlign w:val="superscript"/>
        </w:rPr>
        <w:t>El Estado colombiano de</w:t>
      </w:r>
      <w:r>
        <w:rPr>
          <w:rFonts w:ascii="Century Gothic" w:eastAsia="Century Gothic" w:hAnsi="Century Gothic" w:cs="Century Gothic"/>
          <w:i/>
          <w:sz w:val="16"/>
          <w:szCs w:val="16"/>
          <w:vertAlign w:val="superscript"/>
        </w:rPr>
        <w:t>be abordar las causas estructurales de la violencia</w:t>
      </w:r>
      <w:r>
        <w:rPr>
          <w:rFonts w:ascii="Century Gothic" w:eastAsia="Century Gothic" w:hAnsi="Century Gothic" w:cs="Century Gothic"/>
          <w:sz w:val="16"/>
          <w:szCs w:val="16"/>
          <w:vertAlign w:val="superscript"/>
        </w:rPr>
        <w:t>. 2018. Disponible en: https://www.amnesty.org/es/latest/news/2018/07/el-estado-colombiano-debe-abordar-las-causas-estructurales-de-la-violencia/</w:t>
      </w:r>
    </w:p>
  </w:footnote>
  <w:footnote w:id="11">
    <w:p w14:paraId="6EF58998" w14:textId="77777777" w:rsidR="00AA5550" w:rsidRDefault="00045FF4">
      <w:pPr>
        <w:spacing w:line="240" w:lineRule="auto"/>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Secretaría de la Mujer de Bogotá. Informe de evaluación d</w:t>
      </w:r>
      <w:r>
        <w:rPr>
          <w:rFonts w:ascii="Century Gothic" w:eastAsia="Century Gothic" w:hAnsi="Century Gothic" w:cs="Century Gothic"/>
          <w:sz w:val="16"/>
          <w:szCs w:val="16"/>
        </w:rPr>
        <w:t>el programa “Entornos Seguros”, 2023</w:t>
      </w:r>
    </w:p>
  </w:footnote>
  <w:footnote w:id="12">
    <w:p w14:paraId="5CAC7C16" w14:textId="77777777" w:rsidR="00AA5550" w:rsidRDefault="00045FF4">
      <w:pPr>
        <w:spacing w:line="240" w:lineRule="auto"/>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DANE-PNUD. </w:t>
      </w:r>
      <w:r>
        <w:rPr>
          <w:rFonts w:ascii="Century Gothic" w:eastAsia="Century Gothic" w:hAnsi="Century Gothic" w:cs="Century Gothic"/>
          <w:i/>
          <w:sz w:val="16"/>
          <w:szCs w:val="16"/>
        </w:rPr>
        <w:t>Encuesta de percepción de seguridad y convivencia ciudadana</w:t>
      </w:r>
      <w:r>
        <w:rPr>
          <w:rFonts w:ascii="Century Gothic" w:eastAsia="Century Gothic" w:hAnsi="Century Gothic" w:cs="Century Gothic"/>
          <w:sz w:val="16"/>
          <w:szCs w:val="16"/>
        </w:rPr>
        <w:t>, 2022</w:t>
      </w:r>
    </w:p>
  </w:footnote>
  <w:footnote w:id="13">
    <w:p w14:paraId="6021392C" w14:textId="77777777" w:rsidR="00AA5550" w:rsidRDefault="00045FF4">
      <w:pPr>
        <w:spacing w:line="240" w:lineRule="auto"/>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ONU Mujeres. </w:t>
      </w:r>
      <w:r>
        <w:rPr>
          <w:rFonts w:ascii="Century Gothic" w:eastAsia="Century Gothic" w:hAnsi="Century Gothic" w:cs="Century Gothic"/>
          <w:i/>
          <w:sz w:val="16"/>
          <w:szCs w:val="16"/>
        </w:rPr>
        <w:t>Ciudades seguras para mujeres y niñas: Guía de buenas prácticas</w:t>
      </w:r>
      <w:r>
        <w:rPr>
          <w:rFonts w:ascii="Century Gothic" w:eastAsia="Century Gothic" w:hAnsi="Century Gothic" w:cs="Century Gothic"/>
          <w:sz w:val="16"/>
          <w:szCs w:val="16"/>
        </w:rPr>
        <w:t>, 2021</w:t>
      </w:r>
    </w:p>
  </w:footnote>
  <w:footnote w:id="14">
    <w:p w14:paraId="759B3D60" w14:textId="77777777" w:rsidR="00AA5550" w:rsidRDefault="00045FF4">
      <w:pPr>
        <w:spacing w:line="240" w:lineRule="auto"/>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CEPAL. </w:t>
      </w:r>
      <w:r>
        <w:rPr>
          <w:rFonts w:ascii="Century Gothic" w:eastAsia="Century Gothic" w:hAnsi="Century Gothic" w:cs="Century Gothic"/>
          <w:i/>
          <w:sz w:val="16"/>
          <w:szCs w:val="16"/>
        </w:rPr>
        <w:t>Los costos de la violencia contra las mujeres en América Latina y el Caribe</w:t>
      </w:r>
      <w:r>
        <w:rPr>
          <w:rFonts w:ascii="Century Gothic" w:eastAsia="Century Gothic" w:hAnsi="Century Gothic" w:cs="Century Gothic"/>
          <w:sz w:val="16"/>
          <w:szCs w:val="16"/>
        </w:rPr>
        <w:t>, 2020.</w:t>
      </w:r>
    </w:p>
  </w:footnote>
  <w:footnote w:id="15">
    <w:p w14:paraId="5F8E7765" w14:textId="77777777" w:rsidR="00AA5550" w:rsidRDefault="00045FF4">
      <w:pPr>
        <w:spacing w:line="240" w:lineRule="auto"/>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Corte Constitucional, Sentencia T-881 de 2002, M.P. Rodrigo Escobar Gil</w:t>
      </w:r>
    </w:p>
  </w:footnote>
  <w:footnote w:id="16">
    <w:p w14:paraId="778750B4" w14:textId="77777777" w:rsidR="00AA5550" w:rsidRDefault="00045FF4">
      <w:pPr>
        <w:spacing w:line="240" w:lineRule="auto"/>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Convención contra </w:t>
      </w:r>
      <w:r>
        <w:rPr>
          <w:rFonts w:ascii="Century Gothic" w:eastAsia="Century Gothic" w:hAnsi="Century Gothic" w:cs="Century Gothic"/>
          <w:sz w:val="16"/>
          <w:szCs w:val="16"/>
        </w:rPr>
        <w:t>la Tortura y Otros Tratos o Penas Crueles, Inhumanos o Degradantes, aprobada por Colombia mediante Ley 65 de 1988</w:t>
      </w:r>
    </w:p>
  </w:footnote>
  <w:footnote w:id="17">
    <w:p w14:paraId="1D3002A1" w14:textId="77777777" w:rsidR="00AA5550" w:rsidRDefault="00045FF4">
      <w:pPr>
        <w:spacing w:line="240" w:lineRule="auto"/>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Corte Constitucional, Sentencias C-408 de 2009 (M.P. Luis Ernesto Vargas) y T-045 de 2010 (M.P. Juan Carlos Henao)</w:t>
      </w:r>
    </w:p>
  </w:footnote>
  <w:footnote w:id="18">
    <w:p w14:paraId="55E18A11" w14:textId="77777777" w:rsidR="00AA5550" w:rsidRDefault="00045FF4">
      <w:pPr>
        <w:spacing w:line="240" w:lineRule="auto"/>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Corte Constitucional, S</w:t>
      </w:r>
      <w:r>
        <w:rPr>
          <w:rFonts w:ascii="Century Gothic" w:eastAsia="Century Gothic" w:hAnsi="Century Gothic" w:cs="Century Gothic"/>
          <w:sz w:val="16"/>
          <w:szCs w:val="16"/>
        </w:rPr>
        <w:t>entencias C-371 de 2010, C-983 de 2002.</w:t>
      </w:r>
    </w:p>
  </w:footnote>
  <w:footnote w:id="19">
    <w:p w14:paraId="487A9521" w14:textId="77777777" w:rsidR="00AA5550" w:rsidRDefault="00045FF4">
      <w:pPr>
        <w:spacing w:line="240" w:lineRule="auto"/>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Corte Constitucional, Sentencias T-510 de 2003, C-820 de 2006. </w:t>
      </w:r>
    </w:p>
  </w:footnote>
  <w:footnote w:id="20">
    <w:p w14:paraId="21B7DC7F" w14:textId="77777777" w:rsidR="00AA5550" w:rsidRDefault="00045FF4">
      <w:pPr>
        <w:spacing w:line="240" w:lineRule="auto"/>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Corte Constitucional, Sentencias T-787 de 2004, C-240 de 2009.</w:t>
      </w:r>
    </w:p>
  </w:footnote>
  <w:footnote w:id="21">
    <w:p w14:paraId="2592AEE2" w14:textId="77777777" w:rsidR="00AA5550" w:rsidRDefault="00045FF4">
      <w:pPr>
        <w:spacing w:line="240" w:lineRule="auto"/>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Convención sobre la Eliminación de Todas las Formas de Discriminación contra la Muj</w:t>
      </w:r>
      <w:r>
        <w:rPr>
          <w:rFonts w:ascii="Century Gothic" w:eastAsia="Century Gothic" w:hAnsi="Century Gothic" w:cs="Century Gothic"/>
          <w:sz w:val="16"/>
          <w:szCs w:val="16"/>
        </w:rPr>
        <w:t>er (CEDAW), Ley 51 de 1981; Convención sobre los Derechos del Niño, Ley 12 de 1991; Convención de Belém do Pará, Ley 248 de 1995.</w:t>
      </w:r>
    </w:p>
  </w:footnote>
  <w:footnote w:id="22">
    <w:p w14:paraId="074BD72B" w14:textId="77777777" w:rsidR="00AA5550" w:rsidRDefault="00045FF4">
      <w:pPr>
        <w:spacing w:line="240" w:lineRule="auto"/>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Corte Constitucional, Sentencia T</w:t>
      </w:r>
      <w:r>
        <w:rPr>
          <w:rFonts w:ascii="Cambria Math" w:eastAsia="Cambria Math" w:hAnsi="Cambria Math" w:cs="Cambria Math"/>
          <w:sz w:val="16"/>
          <w:szCs w:val="16"/>
        </w:rPr>
        <w:t>‑</w:t>
      </w:r>
      <w:r>
        <w:rPr>
          <w:rFonts w:ascii="Century Gothic" w:eastAsia="Century Gothic" w:hAnsi="Century Gothic" w:cs="Century Gothic"/>
          <w:sz w:val="16"/>
          <w:szCs w:val="16"/>
        </w:rPr>
        <w:t xml:space="preserve">104 de 2025. Magistrada ponente: Diana Fajardo Rivera. Providencia proferida el 5 de mayo </w:t>
      </w:r>
      <w:r>
        <w:rPr>
          <w:rFonts w:ascii="Century Gothic" w:eastAsia="Century Gothic" w:hAnsi="Century Gothic" w:cs="Century Gothic"/>
          <w:sz w:val="16"/>
          <w:szCs w:val="16"/>
        </w:rPr>
        <w:t>de 2025.</w:t>
      </w:r>
    </w:p>
  </w:footnote>
  <w:footnote w:id="23">
    <w:p w14:paraId="038A2F8B" w14:textId="77777777" w:rsidR="00AA5550" w:rsidRDefault="00045FF4">
      <w:pPr>
        <w:spacing w:line="240" w:lineRule="auto"/>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Corte Constitucional, Sentencia SU</w:t>
      </w:r>
      <w:r>
        <w:rPr>
          <w:rFonts w:ascii="Cambria Math" w:eastAsia="Cambria Math" w:hAnsi="Cambria Math" w:cs="Cambria Math"/>
          <w:sz w:val="16"/>
          <w:szCs w:val="16"/>
        </w:rPr>
        <w:t>‑</w:t>
      </w:r>
      <w:r>
        <w:rPr>
          <w:rFonts w:ascii="Century Gothic" w:eastAsia="Century Gothic" w:hAnsi="Century Gothic" w:cs="Century Gothic"/>
          <w:sz w:val="16"/>
          <w:szCs w:val="16"/>
        </w:rPr>
        <w:t>047 de 2019. Magistrado ponente: Antonio José Lizarazo Ocampo</w:t>
      </w:r>
    </w:p>
  </w:footnote>
  <w:footnote w:id="24">
    <w:p w14:paraId="674E8D55" w14:textId="77777777" w:rsidR="00AA5550" w:rsidRDefault="00045FF4">
      <w:pPr>
        <w:spacing w:line="240" w:lineRule="auto"/>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Corte Constitucional, Sentencia T</w:t>
      </w:r>
      <w:r>
        <w:rPr>
          <w:rFonts w:ascii="Cambria Math" w:eastAsia="Cambria Math" w:hAnsi="Cambria Math" w:cs="Cambria Math"/>
          <w:sz w:val="16"/>
          <w:szCs w:val="16"/>
        </w:rPr>
        <w:t>‑</w:t>
      </w:r>
      <w:r>
        <w:rPr>
          <w:rFonts w:ascii="Century Gothic" w:eastAsia="Century Gothic" w:hAnsi="Century Gothic" w:cs="Century Gothic"/>
          <w:sz w:val="16"/>
          <w:szCs w:val="16"/>
        </w:rPr>
        <w:t>045 de 2010. Magistrada ponente: María Victoria Calle Correa.</w:t>
      </w:r>
    </w:p>
  </w:footnote>
  <w:footnote w:id="25">
    <w:p w14:paraId="4B90EBAA" w14:textId="77777777" w:rsidR="00AA5550" w:rsidRDefault="00045FF4">
      <w:pPr>
        <w:spacing w:line="240" w:lineRule="auto"/>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Corte Constitucional, Sentencia C</w:t>
      </w:r>
      <w:r>
        <w:rPr>
          <w:rFonts w:ascii="Cambria Math" w:eastAsia="Cambria Math" w:hAnsi="Cambria Math" w:cs="Cambria Math"/>
          <w:sz w:val="16"/>
          <w:szCs w:val="16"/>
        </w:rPr>
        <w:t>‑</w:t>
      </w:r>
      <w:r>
        <w:rPr>
          <w:rFonts w:ascii="Century Gothic" w:eastAsia="Century Gothic" w:hAnsi="Century Gothic" w:cs="Century Gothic"/>
          <w:sz w:val="16"/>
          <w:szCs w:val="16"/>
        </w:rPr>
        <w:t xml:space="preserve">408 de 2009. </w:t>
      </w:r>
      <w:r>
        <w:rPr>
          <w:rFonts w:ascii="Century Gothic" w:eastAsia="Century Gothic" w:hAnsi="Century Gothic" w:cs="Century Gothic"/>
          <w:sz w:val="16"/>
          <w:szCs w:val="16"/>
        </w:rPr>
        <w:t>Magistrada ponente: Clara Inés Vargas Hernández</w:t>
      </w:r>
    </w:p>
  </w:footnote>
  <w:footnote w:id="26">
    <w:p w14:paraId="11ADC748" w14:textId="77777777" w:rsidR="00AA5550" w:rsidRDefault="00045FF4">
      <w:pPr>
        <w:spacing w:line="240" w:lineRule="auto"/>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Corte Constitucional, Sentencia C</w:t>
      </w:r>
      <w:r>
        <w:rPr>
          <w:rFonts w:ascii="Cambria Math" w:eastAsia="Cambria Math" w:hAnsi="Cambria Math" w:cs="Cambria Math"/>
          <w:sz w:val="16"/>
          <w:szCs w:val="16"/>
        </w:rPr>
        <w:t>‑</w:t>
      </w:r>
      <w:r>
        <w:rPr>
          <w:rFonts w:ascii="Century Gothic" w:eastAsia="Century Gothic" w:hAnsi="Century Gothic" w:cs="Century Gothic"/>
          <w:sz w:val="16"/>
          <w:szCs w:val="16"/>
        </w:rPr>
        <w:t>820 de 2006. Magistrado ponente: Rodrigo Escobar Gil.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3B55" w14:textId="77777777" w:rsidR="00AA5550" w:rsidRDefault="00AA5550">
    <w:pPr>
      <w:widowControl w:val="0"/>
      <w:rPr>
        <w:rFonts w:ascii="Century Gothic" w:eastAsia="Century Gothic" w:hAnsi="Century Gothic" w:cs="Century Gothic"/>
      </w:rPr>
    </w:pPr>
  </w:p>
  <w:tbl>
    <w:tblPr>
      <w:tblStyle w:val="a7"/>
      <w:tblW w:w="857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134"/>
      <w:gridCol w:w="3402"/>
      <w:gridCol w:w="4034"/>
    </w:tblGrid>
    <w:tr w:rsidR="00AA5550" w14:paraId="128D2B46" w14:textId="77777777">
      <w:trPr>
        <w:jc w:val="center"/>
      </w:trPr>
      <w:tc>
        <w:tcPr>
          <w:tcW w:w="1134" w:type="dxa"/>
          <w:shd w:val="clear" w:color="auto" w:fill="A6A6A6"/>
          <w:vAlign w:val="center"/>
        </w:tcPr>
        <w:p w14:paraId="4705F05D" w14:textId="77777777" w:rsidR="00AA5550" w:rsidRDefault="00045FF4">
          <w:pPr>
            <w:tabs>
              <w:tab w:val="center" w:pos="4419"/>
              <w:tab w:val="right" w:pos="8838"/>
              <w:tab w:val="left" w:pos="2644"/>
              <w:tab w:val="right" w:pos="8998"/>
            </w:tabs>
            <w:jc w:val="both"/>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Proyecto</w:t>
          </w:r>
        </w:p>
        <w:p w14:paraId="49E2FA60" w14:textId="77777777" w:rsidR="00AA5550" w:rsidRDefault="00045FF4">
          <w:pPr>
            <w:tabs>
              <w:tab w:val="center" w:pos="4419"/>
              <w:tab w:val="right" w:pos="8838"/>
              <w:tab w:val="left" w:pos="2644"/>
              <w:tab w:val="right" w:pos="8998"/>
            </w:tabs>
            <w:jc w:val="both"/>
            <w:rPr>
              <w:rFonts w:ascii="Century Gothic" w:eastAsia="Century Gothic" w:hAnsi="Century Gothic" w:cs="Century Gothic"/>
              <w:b/>
              <w:color w:val="FFFFFF"/>
              <w:sz w:val="16"/>
              <w:szCs w:val="16"/>
            </w:rPr>
          </w:pPr>
          <w:r>
            <w:rPr>
              <w:rFonts w:ascii="Century Gothic" w:eastAsia="Century Gothic" w:hAnsi="Century Gothic" w:cs="Century Gothic"/>
              <w:b/>
              <w:color w:val="FFFFFF"/>
              <w:sz w:val="16"/>
              <w:szCs w:val="16"/>
            </w:rPr>
            <w:t xml:space="preserve">De Ley </w:t>
          </w:r>
        </w:p>
      </w:tc>
      <w:tc>
        <w:tcPr>
          <w:tcW w:w="3402" w:type="dxa"/>
          <w:vAlign w:val="center"/>
        </w:tcPr>
        <w:p w14:paraId="23ABFF81" w14:textId="77777777" w:rsidR="00AA5550" w:rsidRDefault="00045FF4">
          <w:pPr>
            <w:tabs>
              <w:tab w:val="center" w:pos="4419"/>
              <w:tab w:val="right" w:pos="8838"/>
              <w:tab w:val="left" w:pos="2644"/>
              <w:tab w:val="right" w:pos="8998"/>
            </w:tabs>
            <w:rPr>
              <w:rFonts w:ascii="Century Gothic" w:eastAsia="Century Gothic" w:hAnsi="Century Gothic" w:cs="Century Gothic"/>
              <w:b/>
              <w:i/>
              <w:sz w:val="18"/>
              <w:szCs w:val="18"/>
            </w:rPr>
          </w:pPr>
          <w:r>
            <w:rPr>
              <w:rFonts w:ascii="Century Gothic" w:eastAsia="Century Gothic" w:hAnsi="Century Gothic" w:cs="Century Gothic"/>
              <w:b/>
              <w:i/>
              <w:sz w:val="18"/>
              <w:szCs w:val="18"/>
            </w:rPr>
            <w:t>Proyecto de Ley:</w:t>
          </w:r>
        </w:p>
        <w:p w14:paraId="1875CE68" w14:textId="77777777" w:rsidR="00AA5550" w:rsidRDefault="00045FF4">
          <w:pPr>
            <w:tabs>
              <w:tab w:val="center" w:pos="4419"/>
              <w:tab w:val="right" w:pos="8838"/>
              <w:tab w:val="left" w:pos="2644"/>
              <w:tab w:val="right" w:pos="8998"/>
            </w:tabs>
            <w:rPr>
              <w:rFonts w:ascii="Century Gothic" w:eastAsia="Century Gothic" w:hAnsi="Century Gothic" w:cs="Century Gothic"/>
              <w:sz w:val="18"/>
              <w:szCs w:val="18"/>
            </w:rPr>
          </w:pPr>
          <w:r>
            <w:rPr>
              <w:rFonts w:ascii="Century Gothic" w:eastAsia="Century Gothic" w:hAnsi="Century Gothic" w:cs="Century Gothic"/>
              <w:sz w:val="18"/>
              <w:szCs w:val="18"/>
            </w:rPr>
            <w:t>Entornos seguros y protectores para mujeres, niños y adolescentes</w:t>
          </w:r>
        </w:p>
        <w:p w14:paraId="7A7C3DC0" w14:textId="77777777" w:rsidR="00AA5550" w:rsidRDefault="00AA5550">
          <w:pPr>
            <w:tabs>
              <w:tab w:val="center" w:pos="4419"/>
              <w:tab w:val="right" w:pos="8838"/>
              <w:tab w:val="left" w:pos="2644"/>
              <w:tab w:val="right" w:pos="8998"/>
            </w:tabs>
            <w:rPr>
              <w:rFonts w:ascii="Century Gothic" w:eastAsia="Century Gothic" w:hAnsi="Century Gothic" w:cs="Century Gothic"/>
              <w:sz w:val="18"/>
              <w:szCs w:val="18"/>
            </w:rPr>
          </w:pPr>
        </w:p>
      </w:tc>
      <w:tc>
        <w:tcPr>
          <w:tcW w:w="4034" w:type="dxa"/>
          <w:vAlign w:val="center"/>
        </w:tcPr>
        <w:p w14:paraId="0B59E404" w14:textId="77777777" w:rsidR="00AA5550" w:rsidRDefault="00045FF4">
          <w:pPr>
            <w:tabs>
              <w:tab w:val="center" w:pos="4419"/>
              <w:tab w:val="right" w:pos="8838"/>
              <w:tab w:val="left" w:pos="2644"/>
              <w:tab w:val="right" w:pos="8998"/>
            </w:tabs>
            <w:jc w:val="right"/>
            <w:rPr>
              <w:rFonts w:ascii="Century Gothic" w:eastAsia="Century Gothic" w:hAnsi="Century Gothic" w:cs="Century Gothic"/>
            </w:rPr>
          </w:pPr>
          <w:r>
            <w:rPr>
              <w:rFonts w:ascii="Century Gothic" w:eastAsia="Century Gothic" w:hAnsi="Century Gothic" w:cs="Century Gothic"/>
              <w:noProof/>
            </w:rPr>
            <w:drawing>
              <wp:inline distT="0" distB="0" distL="0" distR="0" wp14:anchorId="05400BEE" wp14:editId="05164A6F">
                <wp:extent cx="2424430" cy="565785"/>
                <wp:effectExtent l="0" t="0" r="0" b="0"/>
                <wp:docPr id="53"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2424430" cy="565785"/>
                        </a:xfrm>
                        <a:prstGeom prst="rect">
                          <a:avLst/>
                        </a:prstGeom>
                        <a:ln/>
                      </pic:spPr>
                    </pic:pic>
                  </a:graphicData>
                </a:graphic>
              </wp:inline>
            </w:drawing>
          </w:r>
        </w:p>
      </w:tc>
    </w:tr>
  </w:tbl>
  <w:p w14:paraId="4CC1CA49" w14:textId="77777777" w:rsidR="00AA5550" w:rsidRDefault="00AA5550">
    <w:pPr>
      <w:tabs>
        <w:tab w:val="center" w:pos="4419"/>
        <w:tab w:val="right" w:pos="8838"/>
      </w:tabs>
      <w:spacing w:before="120" w:line="240" w:lineRule="aut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6014"/>
    <w:multiLevelType w:val="multilevel"/>
    <w:tmpl w:val="3DA09F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77826F7"/>
    <w:multiLevelType w:val="multilevel"/>
    <w:tmpl w:val="31A85C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8E31D76"/>
    <w:multiLevelType w:val="multilevel"/>
    <w:tmpl w:val="E4F8B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401198"/>
    <w:multiLevelType w:val="multilevel"/>
    <w:tmpl w:val="2E745DF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980C56"/>
    <w:multiLevelType w:val="multilevel"/>
    <w:tmpl w:val="DFF67CA2"/>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FA3798"/>
    <w:multiLevelType w:val="multilevel"/>
    <w:tmpl w:val="E7683B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06C1F7A"/>
    <w:multiLevelType w:val="multilevel"/>
    <w:tmpl w:val="78469A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14373BA"/>
    <w:multiLevelType w:val="multilevel"/>
    <w:tmpl w:val="13EA4B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6A44D8A"/>
    <w:multiLevelType w:val="multilevel"/>
    <w:tmpl w:val="EDC403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6C827A9"/>
    <w:multiLevelType w:val="multilevel"/>
    <w:tmpl w:val="64CC7428"/>
    <w:lvl w:ilvl="0">
      <w:start w:val="1"/>
      <w:numFmt w:val="upperRoman"/>
      <w:lvlText w:val="%1."/>
      <w:lvlJc w:val="right"/>
      <w:pPr>
        <w:ind w:left="720" w:hanging="360"/>
      </w:pPr>
      <w:rPr>
        <w:b/>
        <w:u w:val="none"/>
      </w:rPr>
    </w:lvl>
    <w:lvl w:ilvl="1">
      <w:start w:val="1"/>
      <w:numFmt w:val="upperLetter"/>
      <w:lvlText w:val="%2."/>
      <w:lvlJc w:val="left"/>
      <w:pPr>
        <w:ind w:left="1440" w:hanging="360"/>
      </w:pPr>
      <w:rPr>
        <w:u w:val="none"/>
      </w:rPr>
    </w:lvl>
    <w:lvl w:ilvl="2">
      <w:start w:val="1"/>
      <w:numFmt w:val="upperLetter"/>
      <w:lvlText w:val="%3."/>
      <w:lvlJc w:val="left"/>
      <w:pPr>
        <w:ind w:left="2160" w:hanging="360"/>
      </w:pPr>
      <w:rPr>
        <w:b/>
        <w:i w:val="0"/>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F5C36E9"/>
    <w:multiLevelType w:val="multilevel"/>
    <w:tmpl w:val="B3C2C5D6"/>
    <w:lvl w:ilvl="0">
      <w:start w:val="1"/>
      <w:numFmt w:val="upp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26331C18"/>
    <w:multiLevelType w:val="multilevel"/>
    <w:tmpl w:val="FF1EE886"/>
    <w:lvl w:ilvl="0">
      <w:start w:val="1"/>
      <w:numFmt w:val="bullet"/>
      <w:lvlText w:val="●"/>
      <w:lvlJc w:val="left"/>
      <w:pPr>
        <w:ind w:left="720" w:hanging="360"/>
      </w:pPr>
      <w:rPr>
        <w:rFonts w:ascii="Noto Sans Symbols" w:eastAsia="Noto Sans Symbols" w:hAnsi="Noto Sans Symbols" w:cs="Noto Sans Symbols"/>
        <w:sz w:val="20"/>
        <w:szCs w:val="20"/>
      </w:rPr>
    </w:lvl>
    <w:lvl w:ilvl="1">
      <w:start w:val="2"/>
      <w:numFmt w:val="upp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6B52287"/>
    <w:multiLevelType w:val="multilevel"/>
    <w:tmpl w:val="79CABB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28935C46"/>
    <w:multiLevelType w:val="multilevel"/>
    <w:tmpl w:val="512C7FA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B3F4404"/>
    <w:multiLevelType w:val="multilevel"/>
    <w:tmpl w:val="322AC16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D9E3D76"/>
    <w:multiLevelType w:val="multilevel"/>
    <w:tmpl w:val="12D49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E633E9F"/>
    <w:multiLevelType w:val="multilevel"/>
    <w:tmpl w:val="45D20A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31704044"/>
    <w:multiLevelType w:val="multilevel"/>
    <w:tmpl w:val="4266CAF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40740C5"/>
    <w:multiLevelType w:val="multilevel"/>
    <w:tmpl w:val="09EE2F6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D6D30E1"/>
    <w:multiLevelType w:val="multilevel"/>
    <w:tmpl w:val="B99654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2EC24B0"/>
    <w:multiLevelType w:val="multilevel"/>
    <w:tmpl w:val="55BC91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C052C32"/>
    <w:multiLevelType w:val="multilevel"/>
    <w:tmpl w:val="4C6632F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FE2601C"/>
    <w:multiLevelType w:val="multilevel"/>
    <w:tmpl w:val="A07E7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52D7484"/>
    <w:multiLevelType w:val="multilevel"/>
    <w:tmpl w:val="67382B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73269B2"/>
    <w:multiLevelType w:val="multilevel"/>
    <w:tmpl w:val="5CF0E0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59142DDE"/>
    <w:multiLevelType w:val="multilevel"/>
    <w:tmpl w:val="D1AC299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9F41D90"/>
    <w:multiLevelType w:val="multilevel"/>
    <w:tmpl w:val="8604EB1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0D51C8"/>
    <w:multiLevelType w:val="multilevel"/>
    <w:tmpl w:val="5D8C3FAE"/>
    <w:lvl w:ilvl="0">
      <w:start w:val="1"/>
      <w:numFmt w:val="lowerRoman"/>
      <w:lvlText w:val="%1."/>
      <w:lvlJc w:val="righ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28" w15:restartNumberingAfterBreak="0">
    <w:nsid w:val="5C2D0359"/>
    <w:multiLevelType w:val="multilevel"/>
    <w:tmpl w:val="56AA1C5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0265CDC"/>
    <w:multiLevelType w:val="multilevel"/>
    <w:tmpl w:val="6538878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B990BD5"/>
    <w:multiLevelType w:val="multilevel"/>
    <w:tmpl w:val="1E82DA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717E353C"/>
    <w:multiLevelType w:val="multilevel"/>
    <w:tmpl w:val="0D060E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73DD28D9"/>
    <w:multiLevelType w:val="multilevel"/>
    <w:tmpl w:val="AE9AE4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74FB0F3E"/>
    <w:multiLevelType w:val="multilevel"/>
    <w:tmpl w:val="C4C0995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9382605"/>
    <w:multiLevelType w:val="multilevel"/>
    <w:tmpl w:val="AEDA6B9E"/>
    <w:lvl w:ilvl="0">
      <w:start w:val="14"/>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586340"/>
    <w:multiLevelType w:val="multilevel"/>
    <w:tmpl w:val="99FCE2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7B5F4725"/>
    <w:multiLevelType w:val="multilevel"/>
    <w:tmpl w:val="3C9C86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CE70238"/>
    <w:multiLevelType w:val="multilevel"/>
    <w:tmpl w:val="84761A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7E3339B0"/>
    <w:multiLevelType w:val="multilevel"/>
    <w:tmpl w:val="98C8DE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30"/>
  </w:num>
  <w:num w:numId="3">
    <w:abstractNumId w:val="23"/>
  </w:num>
  <w:num w:numId="4">
    <w:abstractNumId w:val="35"/>
  </w:num>
  <w:num w:numId="5">
    <w:abstractNumId w:val="19"/>
  </w:num>
  <w:num w:numId="6">
    <w:abstractNumId w:val="38"/>
  </w:num>
  <w:num w:numId="7">
    <w:abstractNumId w:val="36"/>
  </w:num>
  <w:num w:numId="8">
    <w:abstractNumId w:val="12"/>
  </w:num>
  <w:num w:numId="9">
    <w:abstractNumId w:val="31"/>
  </w:num>
  <w:num w:numId="10">
    <w:abstractNumId w:val="8"/>
  </w:num>
  <w:num w:numId="11">
    <w:abstractNumId w:val="7"/>
  </w:num>
  <w:num w:numId="12">
    <w:abstractNumId w:val="10"/>
  </w:num>
  <w:num w:numId="13">
    <w:abstractNumId w:val="5"/>
  </w:num>
  <w:num w:numId="14">
    <w:abstractNumId w:val="24"/>
  </w:num>
  <w:num w:numId="15">
    <w:abstractNumId w:val="2"/>
  </w:num>
  <w:num w:numId="16">
    <w:abstractNumId w:val="32"/>
  </w:num>
  <w:num w:numId="17">
    <w:abstractNumId w:val="37"/>
  </w:num>
  <w:num w:numId="18">
    <w:abstractNumId w:val="6"/>
  </w:num>
  <w:num w:numId="19">
    <w:abstractNumId w:val="15"/>
  </w:num>
  <w:num w:numId="20">
    <w:abstractNumId w:val="20"/>
  </w:num>
  <w:num w:numId="21">
    <w:abstractNumId w:val="1"/>
  </w:num>
  <w:num w:numId="22">
    <w:abstractNumId w:val="22"/>
  </w:num>
  <w:num w:numId="23">
    <w:abstractNumId w:val="9"/>
  </w:num>
  <w:num w:numId="24">
    <w:abstractNumId w:val="29"/>
  </w:num>
  <w:num w:numId="25">
    <w:abstractNumId w:val="25"/>
  </w:num>
  <w:num w:numId="26">
    <w:abstractNumId w:val="13"/>
  </w:num>
  <w:num w:numId="27">
    <w:abstractNumId w:val="21"/>
  </w:num>
  <w:num w:numId="28">
    <w:abstractNumId w:val="17"/>
  </w:num>
  <w:num w:numId="29">
    <w:abstractNumId w:val="14"/>
  </w:num>
  <w:num w:numId="30">
    <w:abstractNumId w:val="33"/>
  </w:num>
  <w:num w:numId="31">
    <w:abstractNumId w:val="28"/>
  </w:num>
  <w:num w:numId="32">
    <w:abstractNumId w:val="3"/>
  </w:num>
  <w:num w:numId="33">
    <w:abstractNumId w:val="18"/>
  </w:num>
  <w:num w:numId="34">
    <w:abstractNumId w:val="34"/>
  </w:num>
  <w:num w:numId="35">
    <w:abstractNumId w:val="4"/>
  </w:num>
  <w:num w:numId="36">
    <w:abstractNumId w:val="27"/>
  </w:num>
  <w:num w:numId="37">
    <w:abstractNumId w:val="16"/>
  </w:num>
  <w:num w:numId="38">
    <w:abstractNumId w:val="26"/>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550"/>
    <w:rsid w:val="00045FF4"/>
    <w:rsid w:val="00AA5550"/>
    <w:rsid w:val="00C00F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B88D"/>
  <w15:docId w15:val="{75BFE015-2866-4B97-844B-2851AD3D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jc w:val="center"/>
    </w:pPr>
    <w:rPr>
      <w:rFonts w:ascii="Century Gothic" w:eastAsia="Century Gothic" w:hAnsi="Century Gothic" w:cs="Century Gothic"/>
      <w:b/>
      <w:color w:val="931C81"/>
      <w:sz w:val="32"/>
      <w:szCs w:val="3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E1501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1501A"/>
  </w:style>
  <w:style w:type="paragraph" w:styleId="Piedepgina">
    <w:name w:val="footer"/>
    <w:basedOn w:val="Normal"/>
    <w:link w:val="PiedepginaCar"/>
    <w:uiPriority w:val="99"/>
    <w:unhideWhenUsed/>
    <w:rsid w:val="00E1501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1501A"/>
  </w:style>
  <w:style w:type="paragraph" w:customStyle="1" w:styleId="p1">
    <w:name w:val="p1"/>
    <w:basedOn w:val="Normal"/>
    <w:rsid w:val="00D64282"/>
    <w:pPr>
      <w:spacing w:line="240" w:lineRule="auto"/>
      <w:ind w:left="1080"/>
    </w:pPr>
    <w:rPr>
      <w:rFonts w:ascii=".AppleSystemUIFont" w:eastAsiaTheme="minorEastAsia" w:hAnsi=".AppleSystemUIFont" w:cs="Times New Roman"/>
      <w:sz w:val="26"/>
      <w:szCs w:val="26"/>
      <w:lang w:val="es-CO"/>
    </w:rPr>
  </w:style>
  <w:style w:type="character" w:customStyle="1" w:styleId="s1">
    <w:name w:val="s1"/>
    <w:basedOn w:val="Fuentedeprrafopredeter"/>
    <w:rsid w:val="00D64282"/>
    <w:rPr>
      <w:rFonts w:ascii="UICTFontTextStyleEmphasizedBody" w:hAnsi="UICTFontTextStyleEmphasizedBody" w:hint="default"/>
      <w:b/>
      <w:bCs/>
      <w:i w:val="0"/>
      <w:iCs w:val="0"/>
      <w:sz w:val="26"/>
      <w:szCs w:val="26"/>
    </w:rPr>
  </w:style>
  <w:style w:type="character" w:customStyle="1" w:styleId="s2">
    <w:name w:val="s2"/>
    <w:basedOn w:val="Fuentedeprrafopredeter"/>
    <w:rsid w:val="00D64282"/>
    <w:rPr>
      <w:b/>
      <w:bCs/>
      <w:i/>
      <w:iCs/>
      <w:sz w:val="26"/>
      <w:szCs w:val="26"/>
    </w:rPr>
  </w:style>
  <w:style w:type="character" w:styleId="Hipervnculo">
    <w:name w:val="Hyperlink"/>
    <w:basedOn w:val="Fuentedeprrafopredeter"/>
    <w:uiPriority w:val="99"/>
    <w:unhideWhenUsed/>
    <w:rsid w:val="00E03A47"/>
    <w:rPr>
      <w:color w:val="0000FF" w:themeColor="hyperlink"/>
      <w:u w:val="single"/>
    </w:rPr>
  </w:style>
  <w:style w:type="table" w:styleId="Tablaconcuadrcula">
    <w:name w:val="Table Grid"/>
    <w:basedOn w:val="Tablanormal"/>
    <w:uiPriority w:val="39"/>
    <w:rsid w:val="00743CC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43CC8"/>
    <w:pPr>
      <w:ind w:left="720"/>
      <w:contextualSpacing/>
    </w:p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table" w:customStyle="1" w:styleId="a2">
    <w:basedOn w:val="TableNormal1"/>
    <w:pPr>
      <w:spacing w:line="240" w:lineRule="auto"/>
    </w:pPr>
    <w:tblPr>
      <w:tblStyleRowBandSize w:val="1"/>
      <w:tblStyleColBandSize w:val="1"/>
      <w:tblCellMar>
        <w:top w:w="100" w:type="dxa"/>
        <w:left w:w="108" w:type="dxa"/>
        <w:bottom w:w="100"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tuloTDC">
    <w:name w:val="TOC Heading"/>
    <w:next w:val="Normal"/>
    <w:uiPriority w:val="39"/>
    <w:unhideWhenUsed/>
    <w:qFormat/>
    <w:rsid w:val="008C0045"/>
    <w:pPr>
      <w:spacing w:before="240" w:line="259" w:lineRule="auto"/>
    </w:pPr>
    <w:rPr>
      <w:rFonts w:asciiTheme="majorHAnsi" w:eastAsiaTheme="majorEastAsia" w:hAnsiTheme="majorHAnsi" w:cstheme="majorBidi"/>
      <w:color w:val="365F91" w:themeColor="accent1" w:themeShade="BF"/>
      <w:sz w:val="32"/>
      <w:szCs w:val="32"/>
      <w:lang w:val="es-CO"/>
    </w:rPr>
  </w:style>
  <w:style w:type="paragraph" w:styleId="TDC2">
    <w:name w:val="toc 2"/>
    <w:basedOn w:val="Normal"/>
    <w:next w:val="Normal"/>
    <w:autoRedefine/>
    <w:uiPriority w:val="39"/>
    <w:unhideWhenUsed/>
    <w:rsid w:val="008C0045"/>
    <w:pPr>
      <w:spacing w:after="100"/>
      <w:ind w:left="220"/>
    </w:pPr>
  </w:style>
  <w:style w:type="paragraph" w:styleId="TDC3">
    <w:name w:val="toc 3"/>
    <w:basedOn w:val="Normal"/>
    <w:next w:val="Normal"/>
    <w:autoRedefine/>
    <w:uiPriority w:val="39"/>
    <w:unhideWhenUsed/>
    <w:rsid w:val="008C0045"/>
    <w:pPr>
      <w:spacing w:after="100"/>
      <w:ind w:left="440"/>
    </w:pPr>
  </w:style>
  <w:style w:type="paragraph" w:styleId="TDC1">
    <w:name w:val="toc 1"/>
    <w:basedOn w:val="Normal"/>
    <w:next w:val="Normal"/>
    <w:autoRedefine/>
    <w:uiPriority w:val="39"/>
    <w:unhideWhenUsed/>
    <w:rsid w:val="00474503"/>
    <w:pPr>
      <w:tabs>
        <w:tab w:val="left" w:pos="720"/>
        <w:tab w:val="right" w:leader="dot" w:pos="9019"/>
      </w:tabs>
      <w:spacing w:after="100"/>
    </w:pPr>
    <w:rPr>
      <w:rFonts w:ascii="Century Gothic" w:eastAsia="Century Gothic" w:hAnsi="Century Gothic" w:cs="Century Gothic"/>
      <w:b/>
      <w:bCs/>
      <w:noProof/>
    </w:rPr>
  </w:style>
  <w:style w:type="paragraph" w:styleId="NormalWeb">
    <w:name w:val="Normal (Web)"/>
    <w:basedOn w:val="Normal"/>
    <w:uiPriority w:val="99"/>
    <w:semiHidden/>
    <w:unhideWhenUsed/>
    <w:rsid w:val="00B605A1"/>
    <w:pPr>
      <w:spacing w:before="100" w:beforeAutospacing="1" w:after="100" w:afterAutospacing="1" w:line="240" w:lineRule="auto"/>
    </w:pPr>
    <w:rPr>
      <w:rFonts w:ascii="Times New Roman" w:eastAsia="Times New Roman" w:hAnsi="Times New Roman" w:cs="Times New Roman"/>
      <w:sz w:val="24"/>
      <w:szCs w:val="24"/>
      <w:lang w:val="es-CO"/>
    </w:rPr>
  </w:style>
  <w:style w:type="character" w:styleId="Mencinsinresolver">
    <w:name w:val="Unresolved Mention"/>
    <w:basedOn w:val="Fuentedeprrafopredeter"/>
    <w:uiPriority w:val="99"/>
    <w:semiHidden/>
    <w:unhideWhenUsed/>
    <w:rsid w:val="002264FD"/>
    <w:rPr>
      <w:color w:val="605E5C"/>
      <w:shd w:val="clear" w:color="auto" w:fill="E1DFDD"/>
    </w:rPr>
  </w:style>
  <w:style w:type="paragraph" w:styleId="Subttulo">
    <w:name w:val="Subtitle"/>
    <w:basedOn w:val="Normal"/>
    <w:next w:val="Normal"/>
    <w:uiPriority w:val="11"/>
    <w:qFormat/>
    <w:pPr>
      <w:keepNext/>
      <w:keepLines/>
      <w:jc w:val="both"/>
    </w:pPr>
    <w:rPr>
      <w:rFonts w:ascii="Century Gothic" w:eastAsia="Century Gothic" w:hAnsi="Century Gothic" w:cs="Century Gothic"/>
      <w:b/>
      <w:color w:val="E10918"/>
    </w:r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pPr>
      <w:spacing w:line="240" w:lineRule="auto"/>
    </w:pPr>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yperlink" Target="https://www.ohchr.org/en/instruments-mechanisms/instruments/convention-elimination-all-forms-discrimination-against-women" TargetMode="External"/><Relationship Id="rId21" Type="http://schemas.openxmlformats.org/officeDocument/2006/relationships/image" Target="media/image14.png"/><Relationship Id="rId34" Type="http://schemas.openxmlformats.org/officeDocument/2006/relationships/hyperlink" Target="https://www.medicinalegal.gov.co/cifras-de-lesiones-de-causa-externa" TargetMode="External"/><Relationship Id="rId42" Type="http://schemas.openxmlformats.org/officeDocument/2006/relationships/hyperlink" Target="https://www.oecd.org/content/dam/oecd/en/publications/reports/2023/09/gender-equality-in-colombia_3b4e5573/9f829821-en.pdf" TargetMode="External"/><Relationship Id="rId47" Type="http://schemas.openxmlformats.org/officeDocument/2006/relationships/hyperlink" Target="https://www.thebogotapost.com/impunity-for-femicide-in-colombia-is-still-above-90/49317/"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www.minjusticia.gov.co/Sala-de-prensa/Paginas/MinJusticia-presenta-relevante-informe-sobre-fenomeno-de-violencia-intrafamiliar-en-Colombia-(2016-2023).aspx" TargetMode="Externa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www.defensoria.gov.co/web/guest/-/ascienden-a-81-los-asesinatos-de-personas-defensoras-de-derechos-humanos-y-liderazgos-sociales-en-2025" TargetMode="External"/><Relationship Id="rId37" Type="http://schemas.openxmlformats.org/officeDocument/2006/relationships/hyperlink" Target="https://www.sdmujer.gov.co/noticias/news/sdmujer-publico-boletin-de-marzo-con-ultimas-cifras-sobre-violencias-contra-mujeres" TargetMode="External"/><Relationship Id="rId40" Type="http://schemas.openxmlformats.org/officeDocument/2006/relationships/hyperlink" Target="http://www.oas.org/juridico/english/treaties/a-61.html" TargetMode="External"/><Relationship Id="rId45" Type="http://schemas.openxmlformats.org/officeDocument/2006/relationships/hyperlink" Target="https://colombiareports.com/violence-against-women-in-colombia-saw-sharp-increase-in-2022/"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g"/><Relationship Id="rId28" Type="http://schemas.openxmlformats.org/officeDocument/2006/relationships/hyperlink" Target="https://colombia.justia.com/nacionales/leyes/ley-1257-de-2008/gdoc/" TargetMode="External"/><Relationship Id="rId36" Type="http://schemas.openxmlformats.org/officeDocument/2006/relationships/hyperlink" Target="https://www.procuraduria.gov.co/portal/Preocupante-radiografia-de-violencia-contra-la-mujer-advierte-Procuraduria.news" TargetMode="External"/><Relationship Id="rId49" Type="http://schemas.openxmlformats.org/officeDocument/2006/relationships/hyperlink" Target="https://www.law.cornell.edu/women-and-justice/location/colombia"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www.defensoria.gov.co/-/en-2024-se-han-presentado-745-feminicidios-en-colombia-seg%25C3%25BAn-la-defensor%25C3%25ADa" TargetMode="External"/><Relationship Id="rId44" Type="http://schemas.openxmlformats.org/officeDocument/2006/relationships/hyperlink" Target="http://www.scielo.org.co/scielo.php?script=sci_arttext&amp;pid=S0120-00112009000400008"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s://sisconpes.dnp.gov.co/SisCONPESWeb/ctmp/ConpesGente/CONPES_GENTE_4080.pdf" TargetMode="External"/><Relationship Id="rId35" Type="http://schemas.openxmlformats.org/officeDocument/2006/relationships/hyperlink" Target="https://www.ins.gov.co/Noticias/Paginas/75,6-de-los-casos-registrados-por-violencia-de-g%C3%A9nero-en-2024-son-contra-mujeres.aspx" TargetMode="External"/><Relationship Id="rId43" Type="http://schemas.openxmlformats.org/officeDocument/2006/relationships/hyperlink" Target="https://www.unicef.org/child-rights-convention" TargetMode="External"/><Relationship Id="rId48" Type="http://schemas.openxmlformats.org/officeDocument/2006/relationships/hyperlink" Target="https://www.wradio.com.co/2024/04/07/procuraduria-advierte-sobre-situacion-de-violencia-contra-los-ninos-en-el-pais/"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portalsuin.icbf.gov.co/sites/suin/Documents/Boletines%2520Datos%2520para%2520la%2520acci%25C3%25B3n/Datos%2520para%2520el%2520cambio%2520violencias%2520-%2520VF_OBNSUIN.pdf" TargetMode="External"/><Relationship Id="rId38" Type="http://schemas.openxmlformats.org/officeDocument/2006/relationships/hyperlink" Target="https://www.cepal.org/sites/default/files/static/files/colombia_-_informe_nacional.pdf" TargetMode="External"/><Relationship Id="rId46" Type="http://schemas.openxmlformats.org/officeDocument/2006/relationships/hyperlink" Target="https://www.elheraldo.co/nacional/2024/07/10/pgn-alerta-por-cifras-de-maltrato-infantil-feminicidios-y-transfeminicidios/" TargetMode="External"/><Relationship Id="rId20" Type="http://schemas.openxmlformats.org/officeDocument/2006/relationships/image" Target="media/image13.png"/><Relationship Id="rId41" Type="http://schemas.openxmlformats.org/officeDocument/2006/relationships/hyperlink" Target="https://reliefweb.int/report/colombia/driving-data-based-progress-violence-response-and-prevention-colombia"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scielo.org.co/" TargetMode="External"/><Relationship Id="rId1" Type="http://schemas.openxmlformats.org/officeDocument/2006/relationships/hyperlink" Target="https://www.scielo.org.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KyPfbGt1ZhT2B+yKkRSLWUYg0A==">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18373</Words>
  <Characters>101055</Characters>
  <Application>Microsoft Office Word</Application>
  <DocSecurity>0</DocSecurity>
  <Lines>842</Lines>
  <Paragraphs>238</Paragraphs>
  <ScaleCrop>false</ScaleCrop>
  <Company/>
  <LinksUpToDate>false</LinksUpToDate>
  <CharactersWithSpaces>119190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Andres Mauricio Forero Ardila</cp:lastModifiedBy>
  <cp:revision>2</cp:revision>
  <dcterms:created xsi:type="dcterms:W3CDTF">2025-06-21T02:14:00Z</dcterms:created>
  <dcterms:modified xsi:type="dcterms:W3CDTF">2025-09-04T16:39:00Z</dcterms:modified>
</cp:coreProperties>
</file>