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F0" w:rsidRPr="002418F0" w:rsidRDefault="002418F0" w:rsidP="002418F0">
      <w:pPr>
        <w:pStyle w:val="Sinespaciado"/>
        <w:jc w:val="center"/>
        <w:rPr>
          <w:rFonts w:ascii="Arial" w:hAnsi="Arial" w:cs="Arial"/>
        </w:rPr>
      </w:pPr>
      <w:bookmarkStart w:id="0" w:name="_GoBack"/>
      <w:bookmarkEnd w:id="0"/>
      <w:r w:rsidRPr="002418F0">
        <w:rPr>
          <w:rFonts w:ascii="Arial" w:hAnsi="Arial" w:cs="Arial"/>
        </w:rPr>
        <w:t>Proyecto de Ley No</w:t>
      </w:r>
      <w:r w:rsidR="00EA0E74">
        <w:rPr>
          <w:rFonts w:ascii="Arial" w:hAnsi="Arial" w:cs="Arial"/>
        </w:rPr>
        <w:t xml:space="preserve">. </w:t>
      </w:r>
      <w:r w:rsidRPr="002418F0">
        <w:rPr>
          <w:rFonts w:ascii="Arial" w:hAnsi="Arial" w:cs="Arial"/>
        </w:rPr>
        <w:t>___</w:t>
      </w:r>
      <w:r w:rsidR="00EA0E74">
        <w:rPr>
          <w:rFonts w:ascii="Arial" w:hAnsi="Arial" w:cs="Arial"/>
        </w:rPr>
        <w:t xml:space="preserve">___ </w:t>
      </w:r>
      <w:r w:rsidRPr="002418F0">
        <w:rPr>
          <w:rFonts w:ascii="Arial" w:hAnsi="Arial" w:cs="Arial"/>
        </w:rPr>
        <w:t>de 201</w:t>
      </w:r>
      <w:r w:rsidR="00EA0E74">
        <w:rPr>
          <w:rFonts w:ascii="Arial" w:hAnsi="Arial" w:cs="Arial"/>
        </w:rPr>
        <w:t>8</w:t>
      </w:r>
    </w:p>
    <w:p w:rsidR="002418F0" w:rsidRPr="002418F0" w:rsidRDefault="002418F0" w:rsidP="002418F0">
      <w:pPr>
        <w:pStyle w:val="Sinespaciado"/>
        <w:jc w:val="center"/>
        <w:rPr>
          <w:rFonts w:ascii="Arial" w:hAnsi="Arial" w:cs="Arial"/>
        </w:rPr>
      </w:pPr>
    </w:p>
    <w:p w:rsidR="002418F0" w:rsidRPr="002418F0" w:rsidRDefault="002418F0" w:rsidP="002418F0">
      <w:pPr>
        <w:pStyle w:val="Sinespaciado"/>
        <w:jc w:val="center"/>
        <w:rPr>
          <w:rFonts w:ascii="Arial" w:hAnsi="Arial" w:cs="Arial"/>
        </w:rPr>
      </w:pPr>
    </w:p>
    <w:p w:rsidR="002418F0" w:rsidRPr="002418F0" w:rsidRDefault="002418F0" w:rsidP="002418F0">
      <w:pPr>
        <w:pStyle w:val="Sinespaciado"/>
        <w:jc w:val="center"/>
        <w:rPr>
          <w:rFonts w:ascii="Arial" w:hAnsi="Arial" w:cs="Arial"/>
        </w:rPr>
      </w:pPr>
      <w:r w:rsidRPr="002418F0">
        <w:rPr>
          <w:rFonts w:ascii="Arial" w:hAnsi="Arial" w:cs="Arial"/>
        </w:rPr>
        <w:t>“</w:t>
      </w:r>
      <w:r w:rsidRPr="002418F0">
        <w:rPr>
          <w:rFonts w:ascii="Arial" w:hAnsi="Arial" w:cs="Arial"/>
          <w:b/>
        </w:rPr>
        <w:t>Por medio del cual</w:t>
      </w:r>
      <w:r>
        <w:rPr>
          <w:rFonts w:ascii="Arial" w:hAnsi="Arial" w:cs="Arial"/>
          <w:b/>
          <w:i/>
        </w:rPr>
        <w:t xml:space="preserve"> </w:t>
      </w:r>
      <w:r w:rsidRPr="002418F0">
        <w:rPr>
          <w:rFonts w:ascii="Arial" w:hAnsi="Arial" w:cs="Arial"/>
          <w:b/>
        </w:rPr>
        <w:t xml:space="preserve"> se deroga </w:t>
      </w:r>
      <w:r w:rsidR="00524AFC">
        <w:rPr>
          <w:rFonts w:ascii="Arial" w:hAnsi="Arial" w:cs="Arial"/>
          <w:b/>
        </w:rPr>
        <w:t>el artículo 84</w:t>
      </w:r>
      <w:r w:rsidRPr="002418F0">
        <w:rPr>
          <w:rFonts w:ascii="Arial" w:hAnsi="Arial" w:cs="Arial"/>
          <w:b/>
        </w:rPr>
        <w:t xml:space="preserve"> de la ley 100 de 1993</w:t>
      </w:r>
      <w:r w:rsidR="00E62C83">
        <w:rPr>
          <w:rFonts w:ascii="Arial" w:hAnsi="Arial" w:cs="Arial"/>
          <w:b/>
        </w:rPr>
        <w:t>”</w:t>
      </w:r>
    </w:p>
    <w:p w:rsidR="002418F0" w:rsidRPr="002418F0" w:rsidRDefault="002418F0" w:rsidP="002418F0">
      <w:pPr>
        <w:pStyle w:val="Sinespaciado"/>
        <w:jc w:val="center"/>
        <w:rPr>
          <w:rFonts w:ascii="Arial" w:hAnsi="Arial" w:cs="Arial"/>
        </w:rPr>
      </w:pPr>
    </w:p>
    <w:p w:rsidR="002418F0" w:rsidRPr="002418F0" w:rsidRDefault="002418F0" w:rsidP="002418F0">
      <w:pPr>
        <w:pStyle w:val="Sinespaciado"/>
        <w:jc w:val="center"/>
        <w:rPr>
          <w:rFonts w:ascii="Arial" w:hAnsi="Arial" w:cs="Arial"/>
        </w:rPr>
      </w:pPr>
      <w:r w:rsidRPr="002418F0">
        <w:rPr>
          <w:rFonts w:ascii="Arial" w:hAnsi="Arial" w:cs="Arial"/>
        </w:rPr>
        <w:t>El Congreso de Colombia</w:t>
      </w:r>
    </w:p>
    <w:p w:rsidR="002418F0" w:rsidRPr="002418F0" w:rsidRDefault="002418F0" w:rsidP="002418F0">
      <w:pPr>
        <w:pStyle w:val="Sinespaciado"/>
        <w:jc w:val="center"/>
        <w:rPr>
          <w:rFonts w:ascii="Arial" w:hAnsi="Arial" w:cs="Arial"/>
        </w:rPr>
      </w:pPr>
    </w:p>
    <w:p w:rsidR="002418F0" w:rsidRPr="002418F0" w:rsidRDefault="002418F0" w:rsidP="002418F0">
      <w:pPr>
        <w:pStyle w:val="Sinespaciado"/>
        <w:jc w:val="center"/>
        <w:rPr>
          <w:rFonts w:ascii="Arial" w:hAnsi="Arial" w:cs="Arial"/>
        </w:rPr>
      </w:pPr>
      <w:r w:rsidRPr="002418F0">
        <w:rPr>
          <w:rFonts w:ascii="Arial" w:hAnsi="Arial" w:cs="Arial"/>
        </w:rPr>
        <w:t>DECRETA:</w:t>
      </w:r>
    </w:p>
    <w:p w:rsidR="00DA395F" w:rsidRDefault="00DA395F" w:rsidP="002418F0">
      <w:pPr>
        <w:jc w:val="center"/>
        <w:rPr>
          <w:rFonts w:ascii="Arial" w:hAnsi="Arial" w:cs="Arial"/>
          <w:b/>
        </w:rPr>
      </w:pPr>
    </w:p>
    <w:p w:rsidR="002418F0" w:rsidRPr="002418F0" w:rsidRDefault="002418F0">
      <w:pPr>
        <w:rPr>
          <w:rFonts w:ascii="Arial" w:hAnsi="Arial" w:cs="Arial"/>
          <w:b/>
        </w:rPr>
      </w:pPr>
      <w:r w:rsidRPr="002418F0">
        <w:rPr>
          <w:rFonts w:ascii="Arial" w:hAnsi="Arial" w:cs="Arial"/>
          <w:b/>
        </w:rPr>
        <w:t>ARTÍCULO 1</w:t>
      </w:r>
      <w:r w:rsidR="00DA395F">
        <w:rPr>
          <w:rFonts w:ascii="Arial" w:hAnsi="Arial" w:cs="Arial"/>
          <w:b/>
        </w:rPr>
        <w:t>:</w:t>
      </w:r>
      <w:r w:rsidRPr="002418F0">
        <w:rPr>
          <w:rFonts w:ascii="Arial" w:hAnsi="Arial" w:cs="Arial"/>
          <w:b/>
        </w:rPr>
        <w:t xml:space="preserve"> </w:t>
      </w:r>
    </w:p>
    <w:p w:rsidR="00DA395F" w:rsidRDefault="002418F0" w:rsidP="00524AFC">
      <w:pPr>
        <w:jc w:val="both"/>
        <w:rPr>
          <w:rFonts w:ascii="Arial" w:hAnsi="Arial" w:cs="Arial"/>
        </w:rPr>
      </w:pPr>
      <w:r w:rsidRPr="002418F0">
        <w:rPr>
          <w:rFonts w:ascii="Arial" w:hAnsi="Arial" w:cs="Arial"/>
        </w:rPr>
        <w:t>Deróguese el ar</w:t>
      </w:r>
      <w:r w:rsidR="00DA395F">
        <w:rPr>
          <w:rFonts w:ascii="Arial" w:hAnsi="Arial" w:cs="Arial"/>
        </w:rPr>
        <w:t xml:space="preserve">tículo 84 de la ley 100 de 1993 sobre la </w:t>
      </w:r>
      <w:r w:rsidR="00DA395F" w:rsidRPr="00DA395F">
        <w:rPr>
          <w:rFonts w:ascii="Arial" w:hAnsi="Arial" w:cs="Arial"/>
          <w:bCs/>
          <w:color w:val="000000"/>
          <w:shd w:val="clear" w:color="auto" w:fill="FFFFFF"/>
        </w:rPr>
        <w:t>excepción a la garantía de pensión mínima</w:t>
      </w:r>
      <w:r w:rsidR="00DA395F">
        <w:rPr>
          <w:rFonts w:ascii="Arial" w:hAnsi="Arial" w:cs="Arial"/>
        </w:rPr>
        <w:t>.</w:t>
      </w:r>
    </w:p>
    <w:p w:rsidR="002418F0" w:rsidRPr="002418F0" w:rsidRDefault="002418F0" w:rsidP="00524AFC">
      <w:pPr>
        <w:jc w:val="both"/>
        <w:rPr>
          <w:rFonts w:ascii="Arial" w:hAnsi="Arial" w:cs="Arial"/>
          <w:b/>
        </w:rPr>
      </w:pPr>
      <w:r w:rsidRPr="002418F0">
        <w:rPr>
          <w:rFonts w:ascii="Arial" w:hAnsi="Arial" w:cs="Arial"/>
          <w:b/>
        </w:rPr>
        <w:t>ARTÍCULO 2</w:t>
      </w:r>
      <w:r w:rsidR="00DA395F">
        <w:rPr>
          <w:rFonts w:ascii="Arial" w:hAnsi="Arial" w:cs="Arial"/>
          <w:b/>
        </w:rPr>
        <w:t>:</w:t>
      </w:r>
    </w:p>
    <w:p w:rsidR="002418F0" w:rsidRDefault="002418F0" w:rsidP="00524AFC">
      <w:pPr>
        <w:jc w:val="both"/>
        <w:rPr>
          <w:rFonts w:ascii="Arial" w:hAnsi="Arial" w:cs="Arial"/>
        </w:rPr>
      </w:pPr>
      <w:r w:rsidRPr="002418F0">
        <w:rPr>
          <w:rFonts w:ascii="Arial" w:hAnsi="Arial" w:cs="Arial"/>
        </w:rPr>
        <w:t xml:space="preserve">La presente ley rige a partir de su </w:t>
      </w:r>
      <w:r w:rsidR="00E62C83">
        <w:rPr>
          <w:rFonts w:ascii="Arial" w:hAnsi="Arial" w:cs="Arial"/>
        </w:rPr>
        <w:t>publicación en el Diario O</w:t>
      </w:r>
      <w:r w:rsidRPr="002418F0">
        <w:rPr>
          <w:rFonts w:ascii="Arial" w:hAnsi="Arial" w:cs="Arial"/>
        </w:rPr>
        <w:t>ficial y deroga</w:t>
      </w:r>
      <w:r w:rsidR="00E62C83">
        <w:rPr>
          <w:rFonts w:ascii="Arial" w:hAnsi="Arial" w:cs="Arial"/>
        </w:rPr>
        <w:t xml:space="preserve"> todas las disposiciones</w:t>
      </w:r>
      <w:r w:rsidRPr="002418F0">
        <w:rPr>
          <w:rFonts w:ascii="Arial" w:hAnsi="Arial" w:cs="Arial"/>
        </w:rPr>
        <w:t xml:space="preserve"> que le sean contrarias.</w:t>
      </w:r>
    </w:p>
    <w:p w:rsidR="002418F0" w:rsidRDefault="002418F0">
      <w:pPr>
        <w:rPr>
          <w:rFonts w:ascii="Arial" w:hAnsi="Arial" w:cs="Arial"/>
        </w:rPr>
      </w:pPr>
    </w:p>
    <w:p w:rsidR="00E62C83" w:rsidRDefault="00E62C83">
      <w:pPr>
        <w:rPr>
          <w:rFonts w:ascii="Arial" w:hAnsi="Arial" w:cs="Arial"/>
        </w:rPr>
      </w:pPr>
    </w:p>
    <w:p w:rsidR="00B10589" w:rsidRDefault="00B10589">
      <w:pPr>
        <w:rPr>
          <w:rFonts w:ascii="Arial" w:hAnsi="Arial" w:cs="Arial"/>
        </w:rPr>
      </w:pPr>
    </w:p>
    <w:p w:rsidR="002418F0" w:rsidRDefault="002418F0" w:rsidP="00DA395F">
      <w:pPr>
        <w:spacing w:after="0" w:line="240" w:lineRule="auto"/>
        <w:jc w:val="center"/>
        <w:rPr>
          <w:rFonts w:ascii="Arial" w:hAnsi="Arial" w:cs="Arial"/>
          <w:b/>
        </w:rPr>
      </w:pPr>
      <w:r w:rsidRPr="002418F0">
        <w:rPr>
          <w:rFonts w:ascii="Arial" w:hAnsi="Arial" w:cs="Arial"/>
          <w:b/>
        </w:rPr>
        <w:t>MARGARITA MARÍA RESTREPO ARANGO</w:t>
      </w:r>
    </w:p>
    <w:p w:rsidR="00DA395F" w:rsidRDefault="00DA395F" w:rsidP="00DA395F">
      <w:pPr>
        <w:spacing w:after="0" w:line="240" w:lineRule="auto"/>
        <w:jc w:val="center"/>
        <w:rPr>
          <w:rFonts w:ascii="Arial" w:hAnsi="Arial" w:cs="Arial"/>
          <w:b/>
        </w:rPr>
      </w:pPr>
      <w:r>
        <w:rPr>
          <w:rFonts w:ascii="Arial" w:hAnsi="Arial" w:cs="Arial"/>
          <w:b/>
        </w:rPr>
        <w:t>REPRESENTANTE A LA CÁMARA</w:t>
      </w:r>
    </w:p>
    <w:p w:rsidR="00B10589" w:rsidRDefault="00B10589" w:rsidP="00DA395F">
      <w:pPr>
        <w:spacing w:after="0" w:line="240" w:lineRule="auto"/>
        <w:jc w:val="center"/>
        <w:rPr>
          <w:rFonts w:ascii="Arial" w:hAnsi="Arial" w:cs="Arial"/>
          <w:b/>
        </w:rPr>
      </w:pPr>
    </w:p>
    <w:p w:rsidR="00B10589" w:rsidRDefault="00B10589" w:rsidP="00DA395F">
      <w:pPr>
        <w:spacing w:after="0" w:line="240" w:lineRule="auto"/>
        <w:jc w:val="center"/>
        <w:rPr>
          <w:rFonts w:ascii="Arial" w:hAnsi="Arial" w:cs="Arial"/>
          <w:b/>
        </w:rPr>
      </w:pPr>
    </w:p>
    <w:p w:rsidR="00B10589" w:rsidRDefault="00B10589" w:rsidP="00DA395F">
      <w:pPr>
        <w:spacing w:after="0" w:line="240" w:lineRule="auto"/>
        <w:jc w:val="center"/>
        <w:rPr>
          <w:rFonts w:ascii="Arial" w:hAnsi="Arial" w:cs="Arial"/>
          <w:b/>
        </w:rPr>
      </w:pPr>
    </w:p>
    <w:p w:rsidR="00B10589" w:rsidRDefault="00B10589" w:rsidP="00DA395F">
      <w:pPr>
        <w:spacing w:after="0" w:line="240" w:lineRule="auto"/>
        <w:jc w:val="center"/>
        <w:rPr>
          <w:rFonts w:ascii="Arial" w:hAnsi="Arial" w:cs="Arial"/>
          <w:b/>
        </w:rPr>
      </w:pPr>
    </w:p>
    <w:p w:rsidR="00BB34CE" w:rsidRDefault="00BB34CE" w:rsidP="00DA395F">
      <w:pPr>
        <w:spacing w:after="0" w:line="240" w:lineRule="auto"/>
        <w:jc w:val="center"/>
        <w:rPr>
          <w:rFonts w:ascii="Arial" w:hAnsi="Arial" w:cs="Arial"/>
          <w:b/>
        </w:rPr>
      </w:pPr>
    </w:p>
    <w:p w:rsidR="00BB34CE" w:rsidRDefault="00BB34CE" w:rsidP="00DA395F">
      <w:pPr>
        <w:spacing w:after="0" w:line="240" w:lineRule="auto"/>
        <w:jc w:val="center"/>
        <w:rPr>
          <w:rFonts w:ascii="Arial" w:hAnsi="Arial" w:cs="Arial"/>
          <w:b/>
        </w:rPr>
      </w:pPr>
    </w:p>
    <w:p w:rsidR="00BB34CE" w:rsidRDefault="00BB34CE" w:rsidP="00DA395F">
      <w:pPr>
        <w:spacing w:after="0" w:line="240" w:lineRule="auto"/>
        <w:jc w:val="center"/>
        <w:rPr>
          <w:rFonts w:ascii="Arial" w:hAnsi="Arial" w:cs="Arial"/>
          <w:b/>
        </w:rPr>
      </w:pPr>
    </w:p>
    <w:p w:rsidR="00BB34CE" w:rsidRDefault="00BB34CE" w:rsidP="00DA395F">
      <w:pPr>
        <w:spacing w:after="0" w:line="240" w:lineRule="auto"/>
        <w:jc w:val="center"/>
        <w:rPr>
          <w:rFonts w:ascii="Arial" w:hAnsi="Arial" w:cs="Arial"/>
          <w:b/>
        </w:rPr>
      </w:pPr>
    </w:p>
    <w:p w:rsidR="00E62C83" w:rsidRDefault="00E62C83" w:rsidP="00B10589">
      <w:pPr>
        <w:jc w:val="center"/>
        <w:rPr>
          <w:rFonts w:ascii="Arial" w:hAnsi="Arial" w:cs="Arial"/>
          <w:b/>
        </w:rPr>
      </w:pPr>
    </w:p>
    <w:p w:rsidR="00E62C83" w:rsidRDefault="00E62C83" w:rsidP="00B10589">
      <w:pPr>
        <w:jc w:val="center"/>
        <w:rPr>
          <w:rFonts w:ascii="Arial" w:hAnsi="Arial" w:cs="Arial"/>
          <w:b/>
        </w:rPr>
      </w:pPr>
    </w:p>
    <w:p w:rsidR="00E62C83" w:rsidRDefault="00E62C83" w:rsidP="00B10589">
      <w:pPr>
        <w:jc w:val="center"/>
        <w:rPr>
          <w:rFonts w:ascii="Arial" w:hAnsi="Arial" w:cs="Arial"/>
          <w:b/>
        </w:rPr>
      </w:pPr>
    </w:p>
    <w:p w:rsidR="00BB34CE" w:rsidRDefault="00BB34CE" w:rsidP="00B10589">
      <w:pPr>
        <w:jc w:val="center"/>
        <w:rPr>
          <w:rFonts w:ascii="Arial" w:hAnsi="Arial" w:cs="Arial"/>
          <w:b/>
        </w:rPr>
      </w:pPr>
    </w:p>
    <w:p w:rsidR="00BB34CE" w:rsidRDefault="00BB34CE" w:rsidP="00B10589">
      <w:pPr>
        <w:jc w:val="center"/>
        <w:rPr>
          <w:rFonts w:ascii="Arial" w:hAnsi="Arial" w:cs="Arial"/>
          <w:b/>
        </w:rPr>
      </w:pPr>
    </w:p>
    <w:p w:rsidR="00E62C83" w:rsidRDefault="00E62C83" w:rsidP="00B10589">
      <w:pPr>
        <w:jc w:val="center"/>
        <w:rPr>
          <w:rFonts w:ascii="Arial" w:hAnsi="Arial" w:cs="Arial"/>
          <w:b/>
        </w:rPr>
      </w:pPr>
    </w:p>
    <w:p w:rsidR="00E62C83" w:rsidRDefault="00E62C83" w:rsidP="00B10589">
      <w:pPr>
        <w:jc w:val="center"/>
        <w:rPr>
          <w:rFonts w:ascii="Arial" w:hAnsi="Arial" w:cs="Arial"/>
          <w:b/>
        </w:rPr>
      </w:pPr>
    </w:p>
    <w:p w:rsidR="00E62C83" w:rsidRDefault="00E62C83" w:rsidP="00B10589">
      <w:pPr>
        <w:jc w:val="center"/>
        <w:rPr>
          <w:rFonts w:ascii="Arial" w:hAnsi="Arial" w:cs="Arial"/>
          <w:b/>
        </w:rPr>
      </w:pPr>
    </w:p>
    <w:p w:rsidR="00B10589" w:rsidRPr="00AA17B5" w:rsidRDefault="00B10589" w:rsidP="00B10589">
      <w:pPr>
        <w:jc w:val="center"/>
        <w:rPr>
          <w:rFonts w:ascii="Arial" w:hAnsi="Arial" w:cs="Arial"/>
          <w:b/>
        </w:rPr>
      </w:pPr>
      <w:r w:rsidRPr="00AA17B5">
        <w:rPr>
          <w:rFonts w:ascii="Arial" w:hAnsi="Arial" w:cs="Arial"/>
          <w:b/>
        </w:rPr>
        <w:lastRenderedPageBreak/>
        <w:t>EXPOSICIÓN DE MOTIVOS</w:t>
      </w:r>
    </w:p>
    <w:p w:rsidR="00B10589" w:rsidRDefault="00B10589" w:rsidP="00B10589">
      <w:pPr>
        <w:jc w:val="both"/>
        <w:rPr>
          <w:rFonts w:ascii="Arial" w:hAnsi="Arial" w:cs="Arial"/>
        </w:rPr>
      </w:pPr>
      <w:r w:rsidRPr="00AA17B5">
        <w:rPr>
          <w:rFonts w:ascii="Arial" w:hAnsi="Arial" w:cs="Arial"/>
        </w:rPr>
        <w:t xml:space="preserve">La ley 100 </w:t>
      </w:r>
      <w:r>
        <w:rPr>
          <w:rFonts w:ascii="Arial" w:hAnsi="Arial" w:cs="Arial"/>
        </w:rPr>
        <w:t>estableció dos regímenes para que los colomb</w:t>
      </w:r>
      <w:r w:rsidR="00637344">
        <w:rPr>
          <w:rFonts w:ascii="Arial" w:hAnsi="Arial" w:cs="Arial"/>
        </w:rPr>
        <w:t>ianos accedieran a su pensión: e</w:t>
      </w:r>
      <w:r>
        <w:rPr>
          <w:rFonts w:ascii="Arial" w:hAnsi="Arial" w:cs="Arial"/>
        </w:rPr>
        <w:t>l Régimen de Prima Media con  prestación Definida</w:t>
      </w:r>
      <w:r w:rsidR="00637344">
        <w:rPr>
          <w:rFonts w:ascii="Arial" w:hAnsi="Arial" w:cs="Arial"/>
        </w:rPr>
        <w:t>,</w:t>
      </w:r>
      <w:r>
        <w:rPr>
          <w:rFonts w:ascii="Arial" w:hAnsi="Arial" w:cs="Arial"/>
        </w:rPr>
        <w:t xml:space="preserve"> anteriormente administrado por el Seguro Social</w:t>
      </w:r>
      <w:r w:rsidR="00637344">
        <w:rPr>
          <w:rFonts w:ascii="Arial" w:hAnsi="Arial" w:cs="Arial"/>
        </w:rPr>
        <w:t>,</w:t>
      </w:r>
      <w:r>
        <w:rPr>
          <w:rFonts w:ascii="Arial" w:hAnsi="Arial" w:cs="Arial"/>
        </w:rPr>
        <w:t xml:space="preserve"> hoy Colpensiones</w:t>
      </w:r>
      <w:r w:rsidR="00637344">
        <w:rPr>
          <w:rFonts w:ascii="Arial" w:hAnsi="Arial" w:cs="Arial"/>
        </w:rPr>
        <w:t>;</w:t>
      </w:r>
      <w:r>
        <w:rPr>
          <w:rFonts w:ascii="Arial" w:hAnsi="Arial" w:cs="Arial"/>
        </w:rPr>
        <w:t xml:space="preserve"> y el Régimen de Ahorro Individual con solidaridad. </w:t>
      </w:r>
      <w:r w:rsidRPr="00DA6853">
        <w:rPr>
          <w:rFonts w:ascii="Arial" w:hAnsi="Arial" w:cs="Arial"/>
        </w:rPr>
        <w:t>La dualidad de regímenes imprim</w:t>
      </w:r>
      <w:r>
        <w:rPr>
          <w:rFonts w:ascii="Arial" w:hAnsi="Arial" w:cs="Arial"/>
        </w:rPr>
        <w:t>ió</w:t>
      </w:r>
      <w:r w:rsidRPr="00DA6853">
        <w:rPr>
          <w:rFonts w:ascii="Arial" w:hAnsi="Arial" w:cs="Arial"/>
        </w:rPr>
        <w:t xml:space="preserve"> una</w:t>
      </w:r>
      <w:r>
        <w:rPr>
          <w:rFonts w:ascii="Arial" w:hAnsi="Arial" w:cs="Arial"/>
        </w:rPr>
        <w:t xml:space="preserve"> sana</w:t>
      </w:r>
      <w:r w:rsidRPr="00DA6853">
        <w:rPr>
          <w:rFonts w:ascii="Arial" w:hAnsi="Arial" w:cs="Arial"/>
        </w:rPr>
        <w:t xml:space="preserve"> competencia entre </w:t>
      </w:r>
      <w:r>
        <w:rPr>
          <w:rFonts w:ascii="Arial" w:hAnsi="Arial" w:cs="Arial"/>
        </w:rPr>
        <w:t>los</w:t>
      </w:r>
      <w:r w:rsidRPr="00DA6853">
        <w:rPr>
          <w:rFonts w:ascii="Arial" w:hAnsi="Arial" w:cs="Arial"/>
        </w:rPr>
        <w:t xml:space="preserve"> sector</w:t>
      </w:r>
      <w:r>
        <w:rPr>
          <w:rFonts w:ascii="Arial" w:hAnsi="Arial" w:cs="Arial"/>
        </w:rPr>
        <w:t>es</w:t>
      </w:r>
      <w:r w:rsidRPr="00DA6853">
        <w:rPr>
          <w:rFonts w:ascii="Arial" w:hAnsi="Arial" w:cs="Arial"/>
        </w:rPr>
        <w:t xml:space="preserve"> público y privado, que se reflej</w:t>
      </w:r>
      <w:r>
        <w:rPr>
          <w:rFonts w:ascii="Arial" w:hAnsi="Arial" w:cs="Arial"/>
        </w:rPr>
        <w:t>a</w:t>
      </w:r>
      <w:r w:rsidRPr="00DA6853">
        <w:rPr>
          <w:rFonts w:ascii="Arial" w:hAnsi="Arial" w:cs="Arial"/>
        </w:rPr>
        <w:t>ría en la eficacia y eficiencia de los servicios de seguridad social.</w:t>
      </w:r>
    </w:p>
    <w:p w:rsidR="00B10589" w:rsidRDefault="00B10589" w:rsidP="00B10589">
      <w:pPr>
        <w:jc w:val="both"/>
        <w:rPr>
          <w:rFonts w:ascii="Arial" w:hAnsi="Arial" w:cs="Arial"/>
        </w:rPr>
      </w:pPr>
      <w:r w:rsidRPr="00DA6853">
        <w:rPr>
          <w:rFonts w:ascii="Arial" w:hAnsi="Arial" w:cs="Arial"/>
        </w:rPr>
        <w:t>En el primero</w:t>
      </w:r>
      <w:r w:rsidR="00637344">
        <w:rPr>
          <w:rFonts w:ascii="Arial" w:hAnsi="Arial" w:cs="Arial"/>
        </w:rPr>
        <w:t>,</w:t>
      </w:r>
      <w:r w:rsidRPr="00DA6853">
        <w:rPr>
          <w:rFonts w:ascii="Arial" w:hAnsi="Arial" w:cs="Arial"/>
        </w:rPr>
        <w:t xml:space="preserve"> los afiliados o sus beneficiarios obtienen una pensión de vejez, invalidez o de sobrevivientes</w:t>
      </w:r>
      <w:r w:rsidR="00637344">
        <w:rPr>
          <w:rFonts w:ascii="Arial" w:hAnsi="Arial" w:cs="Arial"/>
        </w:rPr>
        <w:t>,</w:t>
      </w:r>
      <w:r w:rsidRPr="00DA6853">
        <w:rPr>
          <w:rFonts w:ascii="Arial" w:hAnsi="Arial" w:cs="Arial"/>
        </w:rPr>
        <w:t xml:space="preserve"> o</w:t>
      </w:r>
      <w:r w:rsidR="00637344">
        <w:rPr>
          <w:rFonts w:ascii="Arial" w:hAnsi="Arial" w:cs="Arial"/>
        </w:rPr>
        <w:t xml:space="preserve"> en su defecto</w:t>
      </w:r>
      <w:r w:rsidRPr="00DA6853">
        <w:rPr>
          <w:rFonts w:ascii="Arial" w:hAnsi="Arial" w:cs="Arial"/>
        </w:rPr>
        <w:t xml:space="preserve"> una indemnización</w:t>
      </w:r>
      <w:r w:rsidR="00637344">
        <w:rPr>
          <w:rFonts w:ascii="Arial" w:hAnsi="Arial" w:cs="Arial"/>
        </w:rPr>
        <w:t>;</w:t>
      </w:r>
      <w:r w:rsidRPr="00DA6853">
        <w:rPr>
          <w:rFonts w:ascii="Arial" w:hAnsi="Arial" w:cs="Arial"/>
        </w:rPr>
        <w:t xml:space="preserve"> y los aportes de los afiliados y empleadores y sus rendimientos </w:t>
      </w:r>
      <w:r w:rsidR="004B2593">
        <w:rPr>
          <w:rFonts w:ascii="Arial" w:hAnsi="Arial" w:cs="Arial"/>
        </w:rPr>
        <w:t xml:space="preserve">forman una </w:t>
      </w:r>
      <w:r w:rsidRPr="00DA6853">
        <w:rPr>
          <w:rFonts w:ascii="Arial" w:hAnsi="Arial" w:cs="Arial"/>
        </w:rPr>
        <w:t>bolsa común pública desde la que  se realiza el pago de las pensiones, las indemnizaciones, los gastos administrativos y las reservas de ley.</w:t>
      </w:r>
      <w:r>
        <w:rPr>
          <w:rFonts w:ascii="Arial" w:hAnsi="Arial" w:cs="Arial"/>
        </w:rPr>
        <w:t xml:space="preserve"> </w:t>
      </w:r>
      <w:r w:rsidRPr="008E061B">
        <w:rPr>
          <w:rFonts w:ascii="Arial" w:hAnsi="Arial" w:cs="Arial"/>
        </w:rPr>
        <w:t xml:space="preserve">En el </w:t>
      </w:r>
      <w:r>
        <w:rPr>
          <w:rFonts w:ascii="Arial" w:hAnsi="Arial" w:cs="Arial"/>
        </w:rPr>
        <w:t>Régimen de Ahorro Individual con S</w:t>
      </w:r>
      <w:r w:rsidRPr="008E061B">
        <w:rPr>
          <w:rFonts w:ascii="Arial" w:hAnsi="Arial" w:cs="Arial"/>
        </w:rPr>
        <w:t>olidaridad se incorporan y administran recursos privados y públicos destinados a pagar las pensiones y prestaciones que de</w:t>
      </w:r>
      <w:r w:rsidR="004B2593">
        <w:rPr>
          <w:rFonts w:ascii="Arial" w:hAnsi="Arial" w:cs="Arial"/>
        </w:rPr>
        <w:t>ban reconocerse a sus afiliados. E</w:t>
      </w:r>
      <w:r w:rsidRPr="008E061B">
        <w:rPr>
          <w:rFonts w:ascii="Arial" w:hAnsi="Arial" w:cs="Arial"/>
        </w:rPr>
        <w:t>stá basado en los recursos del ahorro, administrados en cuentas de propied</w:t>
      </w:r>
      <w:r>
        <w:rPr>
          <w:rFonts w:ascii="Arial" w:hAnsi="Arial" w:cs="Arial"/>
        </w:rPr>
        <w:t xml:space="preserve">ad individual de los afiliados </w:t>
      </w:r>
      <w:r w:rsidRPr="008E061B">
        <w:rPr>
          <w:rFonts w:ascii="Arial" w:hAnsi="Arial" w:cs="Arial"/>
        </w:rPr>
        <w:t>proveniente</w:t>
      </w:r>
      <w:r>
        <w:rPr>
          <w:rFonts w:ascii="Arial" w:hAnsi="Arial" w:cs="Arial"/>
        </w:rPr>
        <w:t>s</w:t>
      </w:r>
      <w:r w:rsidRPr="008E061B">
        <w:rPr>
          <w:rFonts w:ascii="Arial" w:hAnsi="Arial" w:cs="Arial"/>
        </w:rPr>
        <w:t xml:space="preserve"> de las cotizaciones hechas por los empleadores y trabajadores, más los rendimientos financieros generados por su inversión y, eventualmente, de los subsidios del Estado.</w:t>
      </w:r>
      <w:r>
        <w:rPr>
          <w:rStyle w:val="Refdenotaalpie"/>
          <w:rFonts w:ascii="Arial" w:hAnsi="Arial" w:cs="Arial"/>
        </w:rPr>
        <w:footnoteReference w:id="1"/>
      </w:r>
    </w:p>
    <w:p w:rsidR="00B10589" w:rsidRDefault="00B10589" w:rsidP="00B10589">
      <w:pPr>
        <w:shd w:val="clear" w:color="auto" w:fill="FFFFFF"/>
        <w:spacing w:line="293" w:lineRule="atLeast"/>
        <w:ind w:right="-92"/>
        <w:jc w:val="both"/>
        <w:textAlignment w:val="baseline"/>
        <w:rPr>
          <w:rFonts w:ascii="Arial" w:hAnsi="Arial" w:cs="Arial"/>
        </w:rPr>
      </w:pPr>
      <w:r>
        <w:rPr>
          <w:rFonts w:ascii="Arial" w:hAnsi="Arial" w:cs="Arial"/>
        </w:rPr>
        <w:t>El ar</w:t>
      </w:r>
      <w:r w:rsidR="004B2593">
        <w:rPr>
          <w:rFonts w:ascii="Arial" w:hAnsi="Arial" w:cs="Arial"/>
        </w:rPr>
        <w:t>tículo 65 de la ley 100 de 1993</w:t>
      </w:r>
      <w:r>
        <w:rPr>
          <w:rFonts w:ascii="Arial" w:hAnsi="Arial" w:cs="Arial"/>
        </w:rPr>
        <w:t xml:space="preserve"> definió la </w:t>
      </w:r>
      <w:r w:rsidRPr="008B0A71">
        <w:rPr>
          <w:rFonts w:ascii="Arial" w:hAnsi="Arial" w:cs="Arial"/>
        </w:rPr>
        <w:t>Gara</w:t>
      </w:r>
      <w:r>
        <w:rPr>
          <w:rFonts w:ascii="Arial" w:hAnsi="Arial" w:cs="Arial"/>
        </w:rPr>
        <w:t>ntía de Pensión Mínima de Vejez para l</w:t>
      </w:r>
      <w:r w:rsidRPr="008B0A71">
        <w:rPr>
          <w:rFonts w:ascii="Arial" w:hAnsi="Arial" w:cs="Arial"/>
        </w:rPr>
        <w:t>os afiliados que a los sesenta y dos años (62) de edad si son hombres y cincuenta y siete (57) si son mujeres, no h</w:t>
      </w:r>
      <w:r>
        <w:rPr>
          <w:rFonts w:ascii="Arial" w:hAnsi="Arial" w:cs="Arial"/>
        </w:rPr>
        <w:t>ayan alcanzado a generar la Pensión M</w:t>
      </w:r>
      <w:r w:rsidRPr="008B0A71">
        <w:rPr>
          <w:rFonts w:ascii="Arial" w:hAnsi="Arial" w:cs="Arial"/>
        </w:rPr>
        <w:t>ínima y hubiesen cotizado por lo menos mil ciento cincuenta semanas (1</w:t>
      </w:r>
      <w:r>
        <w:rPr>
          <w:rFonts w:ascii="Arial" w:hAnsi="Arial" w:cs="Arial"/>
        </w:rPr>
        <w:t>.150). Estas condiciones les dan</w:t>
      </w:r>
      <w:r w:rsidRPr="008B0A71">
        <w:rPr>
          <w:rFonts w:ascii="Arial" w:hAnsi="Arial" w:cs="Arial"/>
        </w:rPr>
        <w:t xml:space="preserve"> derecho a que el Gobierno Nacional, en desarrollo del principio de solidaridad, les complete la parte que haga falta para obtener dicha pensión</w:t>
      </w:r>
      <w:r>
        <w:rPr>
          <w:rFonts w:ascii="Arial" w:hAnsi="Arial" w:cs="Arial"/>
        </w:rPr>
        <w:t xml:space="preserve">. </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bdr w:val="none" w:sz="0" w:space="0" w:color="auto" w:frame="1"/>
          <w:lang w:eastAsia="es-CO"/>
        </w:rPr>
        <w:t>Tal como lo expresa la sentencia C538/96,  “</w:t>
      </w:r>
      <w:r w:rsidRPr="00BB34CE">
        <w:rPr>
          <w:rFonts w:ascii="Arial" w:eastAsia="Times New Roman" w:hAnsi="Arial" w:cs="Arial"/>
          <w:i/>
          <w:bdr w:val="none" w:sz="0" w:space="0" w:color="auto" w:frame="1"/>
          <w:lang w:eastAsia="es-CO"/>
        </w:rPr>
        <w:t>no obstante que, existe libertad para que los interesados puedan escoger cualquiera de los regímenes y por lo tanto, afiliarse a las entidades públicas o privadas que los administran, subsisten una serie de instituciones jurídicas y comunes que son pilares fundamentales del derecho a la seguridad social y del reconocimiento a la dignidad humana, que no se pueden desconocer.</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 </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Una de dichas instituciones es la denominada "Garantía Estatal de Pensión Mínima", la cual responde a los ideales constitucionales consagrados en los arts. 13, 48 y 46 de la Constitución e impone al Estado el deber no sólo de dirigir el servicio público de la seguridad social, con arreglo, entre otros, a los principios de universalidad y solidaridad, sino de concurrir con eficiencia a la protección de las personas de la tercera edad sin discriminación injustificada o arbitraria.</w:t>
      </w:r>
    </w:p>
    <w:p w:rsidR="00B10589" w:rsidRPr="00BB34CE" w:rsidRDefault="00B10589" w:rsidP="00B10589">
      <w:pPr>
        <w:shd w:val="clear" w:color="auto" w:fill="FFFFFF"/>
        <w:spacing w:after="0" w:line="293" w:lineRule="atLeast"/>
        <w:ind w:right="-92"/>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 </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En virtud de la Garantía de la Pensión Mínima se procura que el Estado, independientemente del régimen social adoptado por el afiliado, atienda por igual la protección pensional de aquellos afiliados que, después de reunir algunos requisitos, no pudieren por cualquier causa acceder al servicio pensional mínimo.</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 </w:t>
      </w:r>
    </w:p>
    <w:p w:rsidR="00B10589" w:rsidRPr="00BB34CE" w:rsidRDefault="00B10589" w:rsidP="00B10589">
      <w:pPr>
        <w:shd w:val="clear" w:color="auto" w:fill="FFFFFF"/>
        <w:spacing w:after="0" w:line="240" w:lineRule="auto"/>
        <w:ind w:right="-91"/>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lastRenderedPageBreak/>
        <w:t>Tratándose de una garantía estatal mínima, se debe asegurar el derecho a la igualdad, pues carece de justificación que una protección pensional estatal mínima establezca condiciones diferenciables para personas según el régimen pensional en el cual se encuentran -prima media o ahorro individual- cuando de lo que se trata es de establecer una protección básica frente a todo el sistema general de pensiones, como fuente de protección para la tercera edad, en desarrollo de los principios de eficiencia, de universalidad, y de solidaridad, que constituyen el fundamento de la acción del Estado en relación con el servicio público de la seguridad social.</w:t>
      </w:r>
    </w:p>
    <w:p w:rsidR="00B10589" w:rsidRPr="00BB34CE" w:rsidRDefault="00B10589" w:rsidP="00B10589">
      <w:pPr>
        <w:shd w:val="clear" w:color="auto" w:fill="FFFFFF"/>
        <w:spacing w:after="0" w:line="293" w:lineRule="atLeast"/>
        <w:ind w:right="-92"/>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 </w:t>
      </w:r>
    </w:p>
    <w:p w:rsidR="00B10589" w:rsidRPr="00BB34CE" w:rsidRDefault="00B10589" w:rsidP="00B10589">
      <w:pPr>
        <w:shd w:val="clear" w:color="auto" w:fill="FFFFFF"/>
        <w:spacing w:after="0" w:line="293" w:lineRule="atLeast"/>
        <w:ind w:right="-92"/>
        <w:jc w:val="both"/>
        <w:textAlignment w:val="baseline"/>
        <w:rPr>
          <w:rFonts w:ascii="Arial" w:eastAsia="Times New Roman" w:hAnsi="Arial" w:cs="Arial"/>
          <w:i/>
          <w:lang w:eastAsia="es-CO"/>
        </w:rPr>
      </w:pPr>
      <w:r w:rsidRPr="00BB34CE">
        <w:rPr>
          <w:rFonts w:ascii="Arial" w:eastAsia="Times New Roman" w:hAnsi="Arial" w:cs="Arial"/>
          <w:i/>
          <w:bdr w:val="none" w:sz="0" w:space="0" w:color="auto" w:frame="1"/>
          <w:lang w:eastAsia="es-CO"/>
        </w:rPr>
        <w:t>La referida garantía tiene aplicación en la ley 100 de 1993 en lo referente a la pensión de invalidez y a la pensión de sobreviviente. En efecto de la interpretación armónica de los arts. 35, 71, 75 y 138 de dicha ley se infiere que, tanto en el Régimen de Prima Media como en el Régimen de Ahorro  Individual, "si el afiliado hubiere cumplido los requisitos para acceder a una cualquiera de las pensiones de invalidez o de sobreviviente, el mismo afiliado, en el caso de la pensión de sobreviviente, </w:t>
      </w:r>
      <w:r w:rsidRPr="00BB34CE">
        <w:rPr>
          <w:rFonts w:ascii="Arial" w:eastAsia="Times New Roman" w:hAnsi="Arial" w:cs="Arial"/>
          <w:i/>
          <w:u w:val="single"/>
          <w:bdr w:val="none" w:sz="0" w:space="0" w:color="auto" w:frame="1"/>
          <w:lang w:eastAsia="es-CO"/>
        </w:rPr>
        <w:t>tendrá derecho en igualdad de circunstancias, cualquiera que fuere el régimen pensional adoptado por el afiliado a una misma garantía estatal de pensión mínima". </w:t>
      </w:r>
    </w:p>
    <w:p w:rsidR="00B10589" w:rsidRPr="00BB34CE" w:rsidRDefault="00B10589" w:rsidP="00B10589">
      <w:pPr>
        <w:jc w:val="both"/>
        <w:rPr>
          <w:rFonts w:ascii="Arial" w:hAnsi="Arial" w:cs="Arial"/>
          <w:i/>
        </w:rPr>
      </w:pPr>
    </w:p>
    <w:p w:rsidR="00B10589" w:rsidRPr="00BB34CE" w:rsidRDefault="00B10589" w:rsidP="00B10589">
      <w:pPr>
        <w:shd w:val="clear" w:color="auto" w:fill="FFFFFF"/>
        <w:spacing w:after="0" w:line="293" w:lineRule="atLeast"/>
        <w:ind w:right="-92"/>
        <w:jc w:val="both"/>
        <w:textAlignment w:val="baseline"/>
        <w:rPr>
          <w:rFonts w:ascii="Arial" w:eastAsia="Times New Roman" w:hAnsi="Arial" w:cs="Arial"/>
          <w:bdr w:val="none" w:sz="0" w:space="0" w:color="auto" w:frame="1"/>
          <w:lang w:eastAsia="es-CO"/>
        </w:rPr>
      </w:pPr>
      <w:r w:rsidRPr="00BB34CE">
        <w:rPr>
          <w:rFonts w:ascii="Arial" w:eastAsia="Times New Roman" w:hAnsi="Arial" w:cs="Arial"/>
          <w:bdr w:val="none" w:sz="0" w:space="0" w:color="auto" w:frame="1"/>
          <w:lang w:eastAsia="es-CO"/>
        </w:rPr>
        <w:t>Ahora bien, la garantía del Estado de pensión mínima de vejez entre los dos regímenes no es igual toda vez que en el Régimen de Ahorro Individual con Solidaridad se exige una mayor edad y un mayor número de cotizaciones, adicional a la excepción de la misma garantía cuando el pensionado percibe otras pensiones, rentas o remuneraciones,  tal como lo expresa el artículo 84 de la mencionada ley, excepción que se busca derogar en este proyecto de ley.</w:t>
      </w:r>
    </w:p>
    <w:p w:rsidR="00B10589" w:rsidRPr="003B11DB" w:rsidRDefault="00B10589" w:rsidP="00B10589">
      <w:pPr>
        <w:shd w:val="clear" w:color="auto" w:fill="FFFFFF"/>
        <w:spacing w:after="0" w:line="293" w:lineRule="atLeast"/>
        <w:ind w:right="-92"/>
        <w:jc w:val="both"/>
        <w:textAlignment w:val="baseline"/>
        <w:rPr>
          <w:rFonts w:ascii="Arial" w:eastAsia="Times New Roman" w:hAnsi="Arial" w:cs="Arial"/>
          <w:color w:val="2D2D2D"/>
          <w:bdr w:val="none" w:sz="0" w:space="0" w:color="auto" w:frame="1"/>
          <w:lang w:eastAsia="es-CO"/>
        </w:rPr>
      </w:pPr>
    </w:p>
    <w:p w:rsidR="00B10589" w:rsidRDefault="00B10589" w:rsidP="00B10589">
      <w:pPr>
        <w:shd w:val="clear" w:color="auto" w:fill="FFFFFF"/>
        <w:spacing w:after="0" w:line="293" w:lineRule="atLeast"/>
        <w:ind w:right="-92"/>
        <w:jc w:val="both"/>
        <w:textAlignment w:val="baseline"/>
        <w:rPr>
          <w:rFonts w:ascii="Arial" w:hAnsi="Arial" w:cs="Arial"/>
        </w:rPr>
      </w:pPr>
      <w:r w:rsidRPr="003B11DB">
        <w:rPr>
          <w:rFonts w:ascii="Arial" w:hAnsi="Arial" w:cs="Arial"/>
        </w:rPr>
        <w:t xml:space="preserve">El comportamiento del Fondo de Garantía de Pensión Mínima </w:t>
      </w:r>
      <w:r>
        <w:rPr>
          <w:rFonts w:ascii="Arial" w:hAnsi="Arial" w:cs="Arial"/>
        </w:rPr>
        <w:t>desde 2004 a la fecha ha sido el siguiente:</w:t>
      </w:r>
    </w:p>
    <w:p w:rsidR="00B10589" w:rsidRPr="003B11DB" w:rsidRDefault="00B10589" w:rsidP="00B10589">
      <w:pPr>
        <w:shd w:val="clear" w:color="auto" w:fill="FFFFFF"/>
        <w:spacing w:after="0" w:line="293" w:lineRule="atLeast"/>
        <w:ind w:right="-92"/>
        <w:jc w:val="both"/>
        <w:textAlignment w:val="baseline"/>
        <w:rPr>
          <w:rFonts w:ascii="Arial" w:hAnsi="Arial" w:cs="Arial"/>
        </w:rPr>
      </w:pPr>
    </w:p>
    <w:p w:rsidR="00B10589" w:rsidRDefault="00B10589" w:rsidP="00B10589">
      <w:pPr>
        <w:shd w:val="clear" w:color="auto" w:fill="FFFFFF"/>
        <w:spacing w:after="0" w:line="293" w:lineRule="atLeast"/>
        <w:ind w:right="-92"/>
        <w:jc w:val="both"/>
        <w:textAlignment w:val="baseline"/>
        <w:rPr>
          <w:rFonts w:ascii="Arial" w:hAnsi="Arial" w:cs="Arial"/>
          <w:i/>
        </w:rPr>
      </w:pPr>
      <w:r>
        <w:rPr>
          <w:noProof/>
          <w:lang w:eastAsia="es-CO"/>
        </w:rPr>
        <w:drawing>
          <wp:inline distT="0" distB="0" distL="0" distR="0" wp14:anchorId="491BD757" wp14:editId="4C20F0CF">
            <wp:extent cx="5115697" cy="2776152"/>
            <wp:effectExtent l="0" t="0" r="27940" b="247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0589" w:rsidRDefault="00B10589" w:rsidP="00B10589">
      <w:pPr>
        <w:shd w:val="clear" w:color="auto" w:fill="FFFFFF"/>
        <w:spacing w:after="0" w:line="293" w:lineRule="atLeast"/>
        <w:ind w:right="-92"/>
        <w:jc w:val="both"/>
        <w:textAlignment w:val="baseline"/>
        <w:rPr>
          <w:rFonts w:ascii="Arial" w:hAnsi="Arial" w:cs="Arial"/>
          <w:i/>
        </w:rPr>
      </w:pPr>
      <w:r>
        <w:rPr>
          <w:rFonts w:ascii="Arial" w:hAnsi="Arial" w:cs="Arial"/>
          <w:i/>
        </w:rPr>
        <w:t>Fuente: Ministerio de Hacienda</w:t>
      </w:r>
    </w:p>
    <w:p w:rsidR="00B10589" w:rsidRDefault="00B10589" w:rsidP="00B10589">
      <w:pPr>
        <w:shd w:val="clear" w:color="auto" w:fill="FFFFFF"/>
        <w:spacing w:after="0" w:line="293" w:lineRule="atLeast"/>
        <w:ind w:right="-92"/>
        <w:jc w:val="both"/>
        <w:textAlignment w:val="baseline"/>
        <w:rPr>
          <w:rFonts w:ascii="Arial" w:hAnsi="Arial" w:cs="Arial"/>
          <w:i/>
        </w:rPr>
      </w:pPr>
    </w:p>
    <w:p w:rsidR="00B10589" w:rsidRDefault="00B10589" w:rsidP="00B10589">
      <w:pPr>
        <w:shd w:val="clear" w:color="auto" w:fill="FFFFFF"/>
        <w:spacing w:after="0" w:line="293" w:lineRule="atLeast"/>
        <w:ind w:right="-92"/>
        <w:jc w:val="both"/>
        <w:textAlignment w:val="baseline"/>
        <w:rPr>
          <w:rFonts w:ascii="Arial" w:hAnsi="Arial" w:cs="Arial"/>
          <w:i/>
        </w:rPr>
      </w:pPr>
      <w:r>
        <w:rPr>
          <w:noProof/>
          <w:lang w:eastAsia="es-CO"/>
        </w:rPr>
        <w:drawing>
          <wp:inline distT="0" distB="0" distL="0" distR="0" wp14:anchorId="26C304A0" wp14:editId="22953648">
            <wp:extent cx="5314950" cy="30099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0589" w:rsidRDefault="00B10589" w:rsidP="00B10589">
      <w:pPr>
        <w:jc w:val="both"/>
        <w:rPr>
          <w:noProof/>
          <w:lang w:eastAsia="es-CO"/>
        </w:rPr>
      </w:pPr>
      <w:r>
        <w:rPr>
          <w:rFonts w:ascii="Arial" w:hAnsi="Arial" w:cs="Arial"/>
          <w:i/>
        </w:rPr>
        <w:t>Fuente: Ministerio de Hacienda</w:t>
      </w:r>
    </w:p>
    <w:p w:rsidR="00B10589" w:rsidRDefault="00B10589" w:rsidP="00B10589">
      <w:pPr>
        <w:jc w:val="both"/>
        <w:rPr>
          <w:noProof/>
          <w:lang w:eastAsia="es-CO"/>
        </w:rPr>
      </w:pPr>
      <w:r>
        <w:rPr>
          <w:noProof/>
          <w:lang w:eastAsia="es-CO"/>
        </w:rPr>
        <w:drawing>
          <wp:inline distT="0" distB="0" distL="0" distR="0" wp14:anchorId="51503EEC" wp14:editId="0E8ACA9D">
            <wp:extent cx="5546480" cy="2743200"/>
            <wp:effectExtent l="0" t="0" r="1651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0589" w:rsidRDefault="00B10589" w:rsidP="00B10589">
      <w:pPr>
        <w:jc w:val="both"/>
        <w:rPr>
          <w:rFonts w:ascii="Arial" w:hAnsi="Arial" w:cs="Arial"/>
          <w:noProof/>
          <w:lang w:eastAsia="es-CO"/>
        </w:rPr>
      </w:pPr>
      <w:r w:rsidRPr="00B01DE5">
        <w:rPr>
          <w:rFonts w:ascii="Arial" w:hAnsi="Arial" w:cs="Arial"/>
          <w:noProof/>
          <w:lang w:eastAsia="es-CO"/>
        </w:rPr>
        <w:t xml:space="preserve">De acuerdo con Ministerio de Hacienda el valor del saldo acumulado para el fondo de grantía de pensión mínima </w:t>
      </w:r>
      <w:r>
        <w:rPr>
          <w:rFonts w:ascii="Arial" w:hAnsi="Arial" w:cs="Arial"/>
          <w:noProof/>
          <w:lang w:eastAsia="es-CO"/>
        </w:rPr>
        <w:t xml:space="preserve"> a diciembre de 2014 </w:t>
      </w:r>
      <w:r w:rsidRPr="00B01DE5">
        <w:rPr>
          <w:rFonts w:ascii="Arial" w:hAnsi="Arial" w:cs="Arial"/>
          <w:noProof/>
          <w:lang w:eastAsia="es-CO"/>
        </w:rPr>
        <w:t>e</w:t>
      </w:r>
      <w:r>
        <w:rPr>
          <w:rFonts w:ascii="Arial" w:hAnsi="Arial" w:cs="Arial"/>
          <w:noProof/>
          <w:lang w:eastAsia="es-CO"/>
        </w:rPr>
        <w:t>ra</w:t>
      </w:r>
      <w:r w:rsidRPr="00B01DE5">
        <w:rPr>
          <w:rFonts w:ascii="Arial" w:hAnsi="Arial" w:cs="Arial"/>
          <w:noProof/>
          <w:lang w:eastAsia="es-CO"/>
        </w:rPr>
        <w:t xml:space="preserve"> de </w:t>
      </w:r>
      <w:r>
        <w:rPr>
          <w:rFonts w:ascii="Arial" w:hAnsi="Arial" w:cs="Arial"/>
          <w:noProof/>
          <w:lang w:eastAsia="es-CO"/>
        </w:rPr>
        <w:t xml:space="preserve">$ 12. </w:t>
      </w:r>
      <w:r w:rsidR="003B5C22">
        <w:rPr>
          <w:rFonts w:ascii="Arial" w:hAnsi="Arial" w:cs="Arial"/>
          <w:noProof/>
          <w:lang w:eastAsia="es-CO"/>
        </w:rPr>
        <w:t>b</w:t>
      </w:r>
      <w:r>
        <w:rPr>
          <w:rFonts w:ascii="Arial" w:hAnsi="Arial" w:cs="Arial"/>
          <w:noProof/>
          <w:lang w:eastAsia="es-CO"/>
        </w:rPr>
        <w:t>ill de pesos.</w:t>
      </w:r>
    </w:p>
    <w:p w:rsidR="00B10589" w:rsidRDefault="00B10589" w:rsidP="00B10589">
      <w:pPr>
        <w:jc w:val="both"/>
        <w:rPr>
          <w:rFonts w:ascii="Arial" w:hAnsi="Arial" w:cs="Arial"/>
          <w:noProof/>
          <w:lang w:eastAsia="es-CO"/>
        </w:rPr>
      </w:pPr>
      <w:r>
        <w:rPr>
          <w:rFonts w:ascii="Arial" w:hAnsi="Arial" w:cs="Arial"/>
          <w:noProof/>
          <w:lang w:eastAsia="es-CO"/>
        </w:rPr>
        <w:t xml:space="preserve">Vale la pena </w:t>
      </w:r>
      <w:r w:rsidR="00E62C83">
        <w:rPr>
          <w:rFonts w:ascii="Arial" w:hAnsi="Arial" w:cs="Arial"/>
          <w:noProof/>
          <w:lang w:eastAsia="es-CO"/>
        </w:rPr>
        <w:t xml:space="preserve">señalar </w:t>
      </w:r>
      <w:r>
        <w:rPr>
          <w:rFonts w:ascii="Arial" w:hAnsi="Arial" w:cs="Arial"/>
          <w:noProof/>
          <w:lang w:eastAsia="es-CO"/>
        </w:rPr>
        <w:t>que la ley consideró diferencias sustanciales en la forma como se otorgan las pensiones para asegurar una garantía de pensión mínima, y que hay una elección individ</w:t>
      </w:r>
      <w:r w:rsidR="00E62C83">
        <w:rPr>
          <w:rFonts w:ascii="Arial" w:hAnsi="Arial" w:cs="Arial"/>
          <w:noProof/>
          <w:lang w:eastAsia="es-CO"/>
        </w:rPr>
        <w:t>ual por parte de los cotizantes. N</w:t>
      </w:r>
      <w:r>
        <w:rPr>
          <w:rFonts w:ascii="Arial" w:hAnsi="Arial" w:cs="Arial"/>
          <w:noProof/>
          <w:lang w:eastAsia="es-CO"/>
        </w:rPr>
        <w:t xml:space="preserve">o obstante, </w:t>
      </w:r>
      <w:r w:rsidR="00E62C83">
        <w:rPr>
          <w:rFonts w:ascii="Arial" w:hAnsi="Arial" w:cs="Arial"/>
          <w:noProof/>
          <w:lang w:eastAsia="es-CO"/>
        </w:rPr>
        <w:t xml:space="preserve">se </w:t>
      </w:r>
      <w:r>
        <w:rPr>
          <w:rFonts w:ascii="Arial" w:hAnsi="Arial" w:cs="Arial"/>
          <w:noProof/>
          <w:lang w:eastAsia="es-CO"/>
        </w:rPr>
        <w:t>considera</w:t>
      </w:r>
      <w:r w:rsidR="00E62C83">
        <w:rPr>
          <w:rFonts w:ascii="Arial" w:hAnsi="Arial" w:cs="Arial"/>
          <w:noProof/>
          <w:lang w:eastAsia="es-CO"/>
        </w:rPr>
        <w:t xml:space="preserve"> </w:t>
      </w:r>
      <w:r>
        <w:rPr>
          <w:rFonts w:ascii="Arial" w:hAnsi="Arial" w:cs="Arial"/>
          <w:noProof/>
          <w:lang w:eastAsia="es-CO"/>
        </w:rPr>
        <w:t xml:space="preserve">una carga excesiva que a los mayores requisitos establecidos para el Régimen de Ahorro Individual con Solidaridad se le sume una excepción como la establecida en el artículo 84 de la ley 100 de 1993. </w:t>
      </w:r>
    </w:p>
    <w:p w:rsidR="00B10589" w:rsidRDefault="00B10589" w:rsidP="00B10589">
      <w:pPr>
        <w:jc w:val="both"/>
        <w:rPr>
          <w:rFonts w:ascii="Arial" w:hAnsi="Arial" w:cs="Arial"/>
          <w:noProof/>
          <w:lang w:eastAsia="es-CO"/>
        </w:rPr>
      </w:pPr>
      <w:r>
        <w:rPr>
          <w:rFonts w:ascii="Arial" w:hAnsi="Arial" w:cs="Arial"/>
          <w:noProof/>
          <w:lang w:eastAsia="es-CO"/>
        </w:rPr>
        <w:t>Esta situación a llevado a que la persona a la que se exceptúa la garantía de pensión mínima de acuerdo con la ley, se vea forzada a renunciar a su pensión de vejez, a recibir la devolución de saldos y a exponer su vejez a un riesgo innecesario</w:t>
      </w:r>
      <w:r w:rsidR="00E62C83">
        <w:rPr>
          <w:rFonts w:ascii="Arial" w:hAnsi="Arial" w:cs="Arial"/>
          <w:noProof/>
          <w:lang w:eastAsia="es-CO"/>
        </w:rPr>
        <w:t>, toda vez que</w:t>
      </w:r>
      <w:r>
        <w:rPr>
          <w:rFonts w:ascii="Arial" w:hAnsi="Arial" w:cs="Arial"/>
          <w:noProof/>
          <w:lang w:eastAsia="es-CO"/>
        </w:rPr>
        <w:t xml:space="preserve"> las otras rentas percibidas por los ciudadanos carecen de las protecciones de ley necesarias como las que tiene una pensión.</w:t>
      </w:r>
    </w:p>
    <w:p w:rsidR="00B10589" w:rsidRDefault="00B10589" w:rsidP="00B10589">
      <w:pPr>
        <w:jc w:val="both"/>
        <w:rPr>
          <w:rFonts w:ascii="Arial" w:hAnsi="Arial" w:cs="Arial"/>
          <w:noProof/>
          <w:lang w:eastAsia="es-CO"/>
        </w:rPr>
      </w:pPr>
      <w:r>
        <w:rPr>
          <w:rFonts w:ascii="Arial" w:hAnsi="Arial" w:cs="Arial"/>
          <w:noProof/>
          <w:lang w:eastAsia="es-CO"/>
        </w:rPr>
        <w:t>Si a esto se le suma que el comportamiento del Fondo de Garantía de Pensión Mínima es creciente en el porcentaje de pensiones rechazadas y decreciente en el porcentaje de pensiones aprobadas</w:t>
      </w:r>
      <w:r w:rsidR="00E62C83">
        <w:rPr>
          <w:rFonts w:ascii="Arial" w:hAnsi="Arial" w:cs="Arial"/>
          <w:noProof/>
          <w:lang w:eastAsia="es-CO"/>
        </w:rPr>
        <w:t xml:space="preserve">; </w:t>
      </w:r>
      <w:r>
        <w:rPr>
          <w:rFonts w:ascii="Arial" w:hAnsi="Arial" w:cs="Arial"/>
          <w:noProof/>
          <w:lang w:eastAsia="es-CO"/>
        </w:rPr>
        <w:t>que el número total de solicitudes es marginal (según reporte de Ministerio de Hacienda se otrogaron únicamente 2590 pensiones en 11 años, es decir, a razón de 235 pensiones de salario mínimo por año)</w:t>
      </w:r>
      <w:r w:rsidR="00E62C83">
        <w:rPr>
          <w:rFonts w:ascii="Arial" w:hAnsi="Arial" w:cs="Arial"/>
          <w:noProof/>
          <w:lang w:eastAsia="es-CO"/>
        </w:rPr>
        <w:t>;</w:t>
      </w:r>
      <w:r>
        <w:rPr>
          <w:rFonts w:ascii="Arial" w:hAnsi="Arial" w:cs="Arial"/>
          <w:noProof/>
          <w:lang w:eastAsia="es-CO"/>
        </w:rPr>
        <w:t xml:space="preserve"> y que el saldo del Fondo evidencia una baja ejecución, estamos ante una situación que no vale la pena se sostenga en el largo plazo. Por esta razón se propone este proyecto de ley.</w:t>
      </w:r>
    </w:p>
    <w:p w:rsidR="00EA0E74" w:rsidRDefault="00EA0E74" w:rsidP="00EA0E74">
      <w:pPr>
        <w:jc w:val="both"/>
        <w:rPr>
          <w:rFonts w:ascii="Arial" w:hAnsi="Arial" w:cs="Arial"/>
          <w:b/>
          <w:noProof/>
          <w:lang w:eastAsia="es-CO"/>
        </w:rPr>
      </w:pPr>
    </w:p>
    <w:p w:rsidR="00EA0E74" w:rsidRPr="00FE01AE" w:rsidRDefault="00EA0E74" w:rsidP="00EA0E74">
      <w:pPr>
        <w:jc w:val="both"/>
        <w:rPr>
          <w:rFonts w:ascii="Arial" w:hAnsi="Arial" w:cs="Arial"/>
          <w:b/>
          <w:noProof/>
          <w:lang w:eastAsia="es-CO"/>
        </w:rPr>
      </w:pPr>
      <w:r w:rsidRPr="00FE01AE">
        <w:rPr>
          <w:rFonts w:ascii="Arial" w:hAnsi="Arial" w:cs="Arial"/>
          <w:b/>
          <w:noProof/>
          <w:lang w:eastAsia="es-CO"/>
        </w:rPr>
        <w:t>CONCEPTOS DE ALGUNAS ENTIDADES</w:t>
      </w:r>
    </w:p>
    <w:p w:rsidR="00EA0E74" w:rsidRPr="00FE01AE" w:rsidRDefault="00EA0E74" w:rsidP="00EA0E74">
      <w:pPr>
        <w:jc w:val="both"/>
        <w:rPr>
          <w:rFonts w:ascii="Arial" w:hAnsi="Arial" w:cs="Arial"/>
          <w:b/>
          <w:noProof/>
          <w:lang w:eastAsia="es-CO"/>
        </w:rPr>
      </w:pPr>
      <w:r w:rsidRPr="00FE01AE">
        <w:rPr>
          <w:rFonts w:ascii="Arial" w:hAnsi="Arial" w:cs="Arial"/>
          <w:b/>
          <w:noProof/>
          <w:lang w:eastAsia="es-CO"/>
        </w:rPr>
        <w:t>a) ASOFONDOS.</w:t>
      </w:r>
    </w:p>
    <w:p w:rsidR="00EA0E74" w:rsidRPr="004703B3" w:rsidRDefault="00EA0E74" w:rsidP="00EA0E74">
      <w:pPr>
        <w:jc w:val="both"/>
        <w:rPr>
          <w:rFonts w:ascii="Arial" w:hAnsi="Arial" w:cs="Arial"/>
          <w:noProof/>
          <w:lang w:eastAsia="es-CO"/>
        </w:rPr>
      </w:pPr>
      <w:r>
        <w:rPr>
          <w:rFonts w:ascii="Arial" w:hAnsi="Arial" w:cs="Arial"/>
          <w:noProof/>
          <w:lang w:eastAsia="es-CO"/>
        </w:rPr>
        <w:t>A continuación se trascriben algunos apartes del concepto rendido por Asofondos al Proyecto de Ley 128 de 2016 Cámara “por medio de la cual se deroga el artículo 84 de la Ley 100 de 1993”:</w:t>
      </w:r>
    </w:p>
    <w:p w:rsidR="00EA0E74" w:rsidRDefault="00EA0E74" w:rsidP="00EA0E74">
      <w:pPr>
        <w:jc w:val="both"/>
        <w:rPr>
          <w:rFonts w:ascii="Arial" w:hAnsi="Arial" w:cs="Arial"/>
          <w:noProof/>
          <w:lang w:eastAsia="es-CO"/>
        </w:rPr>
      </w:pPr>
      <w:r>
        <w:rPr>
          <w:rFonts w:ascii="Arial" w:hAnsi="Arial" w:cs="Arial"/>
          <w:noProof/>
          <w:lang w:eastAsia="es-CO"/>
        </w:rPr>
        <w:t xml:space="preserve">“El proyecto de ley </w:t>
      </w:r>
      <w:r w:rsidRPr="00FE01AE">
        <w:rPr>
          <w:rFonts w:ascii="Arial" w:hAnsi="Arial" w:cs="Arial"/>
          <w:noProof/>
          <w:lang w:eastAsia="es-CO"/>
        </w:rPr>
        <w:t>es esencial para el adecuado funcionamiento del sistema Pensional en Colombia”.</w:t>
      </w:r>
    </w:p>
    <w:p w:rsidR="00EA0E74" w:rsidRDefault="00EA0E74" w:rsidP="00EA0E74">
      <w:pPr>
        <w:jc w:val="both"/>
        <w:rPr>
          <w:rFonts w:ascii="Arial" w:hAnsi="Arial" w:cs="Arial"/>
          <w:noProof/>
          <w:lang w:eastAsia="es-CO"/>
        </w:rPr>
      </w:pPr>
      <w:r w:rsidRPr="00FE01AE">
        <w:rPr>
          <w:rFonts w:ascii="Arial" w:hAnsi="Arial" w:cs="Arial"/>
          <w:noProof/>
          <w:lang w:eastAsia="es-CO"/>
        </w:rPr>
        <w:t>“A pesar de que el Fondo de la Garantía de la Pensión Mínima cuenta con recursos provenientes del afiliado (15.7 Billones de pesos), la ley estableció un requisito adicional que ha afectado inmensamente a los afiliados sin otorgar ningún beneficio adicional ni a los trabajadores, ni al sistema como un todo, puesto que ha hecho muy difícil el acceso a la Garantía de la Pensión Mínima, incluso con las condiciones de edad y semanas, esto por supuesto deriva en más población sin acceso a pensión”</w:t>
      </w:r>
    </w:p>
    <w:p w:rsidR="00EA0E74" w:rsidRDefault="00EA0E74" w:rsidP="00EA0E74">
      <w:pPr>
        <w:jc w:val="both"/>
        <w:rPr>
          <w:rFonts w:ascii="Arial" w:hAnsi="Arial" w:cs="Arial"/>
          <w:noProof/>
          <w:lang w:eastAsia="es-CO"/>
        </w:rPr>
      </w:pPr>
      <w:r w:rsidRPr="00FE01AE">
        <w:rPr>
          <w:rFonts w:ascii="Arial" w:hAnsi="Arial" w:cs="Arial"/>
          <w:noProof/>
          <w:lang w:eastAsia="es-CO"/>
        </w:rPr>
        <w:t>- “Dicho artículo (84°) ha hecho que las condiciones para acceder a la Garantía de la Pensión Mínima –GPM- sean tan excluyentes que sólo un número reducido de afiliados tienen derecho a esa garantía, razón por la cual la derogatoria del artículo 84 de la Ley 100 de 1993 contribuiría inmensamente al aumento de los afiliados que se beneficiarán de la GPM y con ello a alcanzar el principal objetivo de un sistema pensional: mayor cobertura pensional, sin afectar sostenibilidad y bajo unas reglas justas (en términos de equidad).”</w:t>
      </w:r>
    </w:p>
    <w:p w:rsidR="00EA0E74" w:rsidRDefault="00EA0E74" w:rsidP="00EA0E74">
      <w:pPr>
        <w:spacing w:before="115" w:after="0" w:line="240" w:lineRule="auto"/>
        <w:jc w:val="both"/>
        <w:rPr>
          <w:rFonts w:ascii="Arial" w:hAnsi="Arial" w:cs="Arial"/>
          <w:noProof/>
          <w:lang w:eastAsia="es-CO"/>
        </w:rPr>
      </w:pPr>
      <w:r>
        <w:rPr>
          <w:rFonts w:ascii="Arial" w:hAnsi="Arial" w:cs="Arial"/>
          <w:noProof/>
          <w:lang w:eastAsia="es-CO"/>
        </w:rPr>
        <w:t xml:space="preserve">- </w:t>
      </w:r>
      <w:r w:rsidRPr="00FE01AE">
        <w:rPr>
          <w:rFonts w:ascii="Arial" w:hAnsi="Arial" w:cs="Arial"/>
          <w:noProof/>
          <w:lang w:eastAsia="es-CO"/>
        </w:rPr>
        <w:t>“La derogatoria del artículo 84 de la Ley 100 de 1993 será fundamental para un incremento importante en la cobertura del Sistema General de Pensiones</w:t>
      </w:r>
      <w:r>
        <w:rPr>
          <w:rFonts w:ascii="Arial" w:hAnsi="Arial" w:cs="Arial"/>
          <w:noProof/>
          <w:lang w:eastAsia="es-CO"/>
        </w:rPr>
        <w:t xml:space="preserve">”. </w:t>
      </w:r>
    </w:p>
    <w:p w:rsidR="00EA0E74" w:rsidRDefault="00EA0E74" w:rsidP="00EA0E74">
      <w:pPr>
        <w:spacing w:before="115" w:after="0" w:line="240" w:lineRule="auto"/>
        <w:jc w:val="both"/>
        <w:rPr>
          <w:rFonts w:ascii="Arial" w:hAnsi="Arial" w:cs="Arial"/>
          <w:noProof/>
          <w:lang w:eastAsia="es-CO"/>
        </w:rPr>
      </w:pPr>
    </w:p>
    <w:p w:rsidR="00EA0E74" w:rsidRDefault="00EA0E74" w:rsidP="00EA0E74">
      <w:pPr>
        <w:spacing w:before="115" w:after="0" w:line="240" w:lineRule="auto"/>
        <w:jc w:val="both"/>
        <w:rPr>
          <w:rFonts w:ascii="Arial" w:hAnsi="Arial" w:cs="Arial"/>
          <w:noProof/>
          <w:lang w:eastAsia="es-CO"/>
        </w:rPr>
      </w:pPr>
      <w:r>
        <w:rPr>
          <w:rFonts w:ascii="Arial" w:hAnsi="Arial" w:cs="Arial"/>
          <w:noProof/>
          <w:lang w:eastAsia="es-CO"/>
        </w:rPr>
        <w:t>-</w:t>
      </w:r>
      <w:r w:rsidRPr="00FE01AE">
        <w:rPr>
          <w:rFonts w:ascii="Arial" w:hAnsi="Arial" w:cs="Arial"/>
          <w:noProof/>
          <w:lang w:eastAsia="es-CO"/>
        </w:rPr>
        <w:t>“Si no se hace nada en relación a las condiciones de acceso al Fondo de la Garantía de la Pensión Mínima, la cobertura pasará de los niveles actuales del 18% a valores de 13%-14% para el año 2055.”</w:t>
      </w:r>
    </w:p>
    <w:p w:rsidR="00EA0E74" w:rsidRDefault="00EA0E74" w:rsidP="00EA0E74">
      <w:pPr>
        <w:spacing w:before="115" w:after="0" w:line="240" w:lineRule="auto"/>
        <w:jc w:val="both"/>
        <w:rPr>
          <w:rFonts w:ascii="Arial" w:hAnsi="Arial" w:cs="Arial"/>
          <w:noProof/>
          <w:lang w:eastAsia="es-CO"/>
        </w:rPr>
      </w:pPr>
      <w:r>
        <w:rPr>
          <w:rFonts w:ascii="Arial" w:hAnsi="Arial" w:cs="Arial"/>
          <w:noProof/>
          <w:lang w:eastAsia="es-CO"/>
        </w:rPr>
        <w:t xml:space="preserve">- </w:t>
      </w:r>
      <w:r w:rsidRPr="00FE01AE">
        <w:rPr>
          <w:rFonts w:ascii="Arial" w:hAnsi="Arial" w:cs="Arial"/>
          <w:noProof/>
          <w:lang w:eastAsia="es-CO"/>
        </w:rPr>
        <w:t>“Por el contrario, en caso de que se garantice una pensión mínima a todos aquellos que logren cumplir los requisitos de edad y 1150 semanas cotizadas en el RAIS, la cobertura incrementará al año 2050 en cerca de 7 puntos porcentuales, aproximadamente a 20.4%.”</w:t>
      </w:r>
    </w:p>
    <w:p w:rsidR="00EA0E74" w:rsidRDefault="00EA0E74" w:rsidP="00EA0E74">
      <w:pPr>
        <w:spacing w:before="115" w:after="0" w:line="240" w:lineRule="auto"/>
        <w:jc w:val="both"/>
        <w:rPr>
          <w:rFonts w:ascii="Arial" w:hAnsi="Arial" w:cs="Arial"/>
          <w:noProof/>
          <w:lang w:eastAsia="es-CO"/>
        </w:rPr>
      </w:pPr>
    </w:p>
    <w:p w:rsidR="00EA0E74" w:rsidRPr="00FE01AE" w:rsidRDefault="00EA0E74" w:rsidP="00EA0E74">
      <w:pPr>
        <w:spacing w:before="115" w:after="0" w:line="240" w:lineRule="auto"/>
        <w:jc w:val="both"/>
        <w:rPr>
          <w:rFonts w:ascii="Arial" w:hAnsi="Arial" w:cs="Arial"/>
          <w:noProof/>
          <w:lang w:eastAsia="es-CO"/>
        </w:rPr>
      </w:pPr>
      <w:r w:rsidRPr="00FE01AE">
        <w:rPr>
          <w:rFonts w:ascii="Arial" w:hAnsi="Arial" w:cs="Arial"/>
          <w:noProof/>
          <w:lang w:eastAsia="es-CO"/>
        </w:rPr>
        <w:t>-</w:t>
      </w:r>
      <w:r>
        <w:rPr>
          <w:rFonts w:ascii="Arial" w:hAnsi="Arial" w:cs="Arial"/>
          <w:noProof/>
          <w:lang w:eastAsia="es-CO"/>
        </w:rPr>
        <w:t xml:space="preserve"> </w:t>
      </w:r>
      <w:r w:rsidRPr="00FE01AE">
        <w:rPr>
          <w:rFonts w:ascii="Arial" w:hAnsi="Arial" w:cs="Arial"/>
          <w:noProof/>
          <w:lang w:eastAsia="es-CO"/>
        </w:rPr>
        <w:t>“La garantía de la Pensión Mínima, en caso de cubrir a todos sus potenciales beneficiarios, será el vehículo que más personas pensionará en los próximos 40 años.”</w:t>
      </w:r>
    </w:p>
    <w:p w:rsidR="00EA0E74" w:rsidRDefault="00EA0E74" w:rsidP="00EA0E74">
      <w:pPr>
        <w:spacing w:before="115" w:after="0" w:line="240" w:lineRule="auto"/>
        <w:jc w:val="both"/>
        <w:rPr>
          <w:rFonts w:ascii="Arial" w:hAnsi="Arial" w:cs="Arial"/>
          <w:noProof/>
          <w:lang w:eastAsia="es-CO"/>
        </w:rPr>
      </w:pPr>
    </w:p>
    <w:p w:rsidR="00EA0E74" w:rsidRPr="00FE01AE" w:rsidRDefault="00EA0E74" w:rsidP="00EA0E74">
      <w:pPr>
        <w:spacing w:before="115"/>
        <w:jc w:val="both"/>
        <w:rPr>
          <w:rFonts w:ascii="Arial" w:hAnsi="Arial" w:cs="Arial"/>
          <w:noProof/>
          <w:lang w:eastAsia="es-CO"/>
        </w:rPr>
      </w:pPr>
      <w:r w:rsidRPr="00FE01AE">
        <w:rPr>
          <w:rFonts w:ascii="Arial" w:hAnsi="Arial" w:cs="Arial"/>
          <w:noProof/>
          <w:lang w:eastAsia="es-CO"/>
        </w:rPr>
        <w:t>-</w:t>
      </w:r>
      <w:r>
        <w:rPr>
          <w:rFonts w:ascii="Arial" w:hAnsi="Arial" w:cs="Arial"/>
          <w:noProof/>
          <w:lang w:eastAsia="es-CO"/>
        </w:rPr>
        <w:t xml:space="preserve"> </w:t>
      </w:r>
      <w:r w:rsidRPr="00FE01AE">
        <w:rPr>
          <w:rFonts w:ascii="Arial" w:hAnsi="Arial" w:cs="Arial"/>
          <w:noProof/>
          <w:lang w:eastAsia="es-CO"/>
        </w:rPr>
        <w:t>“De aplicarse la modificación a la norma, cerca de 1.7 millones de personas recibirán pensión por medio de la modalidad de la Garantía de la Pensión Mínima, mientras que 602 mil y 350 mil se pensionarán por capital y por el RPM, respectivamente.</w:t>
      </w:r>
      <w:r>
        <w:rPr>
          <w:rFonts w:ascii="Arial" w:hAnsi="Arial" w:cs="Arial"/>
          <w:noProof/>
          <w:lang w:eastAsia="es-CO"/>
        </w:rPr>
        <w:t>”</w:t>
      </w:r>
    </w:p>
    <w:p w:rsidR="00EA0E74" w:rsidRDefault="00EA0E74" w:rsidP="00EA0E74">
      <w:pPr>
        <w:jc w:val="both"/>
        <w:rPr>
          <w:rFonts w:ascii="Arial" w:eastAsia="Calibri" w:hAnsi="Arial" w:cs="Arial"/>
          <w:b/>
          <w:lang w:val="es-ES"/>
        </w:rPr>
      </w:pPr>
    </w:p>
    <w:p w:rsidR="00EA0E74" w:rsidRDefault="00EA0E74" w:rsidP="00EA0E74">
      <w:pPr>
        <w:jc w:val="both"/>
        <w:rPr>
          <w:rFonts w:ascii="Arial" w:eastAsia="Calibri" w:hAnsi="Arial" w:cs="Arial"/>
          <w:b/>
          <w:lang w:val="es-ES"/>
        </w:rPr>
      </w:pPr>
      <w:r>
        <w:rPr>
          <w:rFonts w:ascii="Arial" w:eastAsia="Calibri" w:hAnsi="Arial" w:cs="Arial"/>
          <w:b/>
          <w:lang w:val="es-ES"/>
        </w:rPr>
        <w:t>b) MINISTERIO DE HACIENDA Y CRÉDITO PÚBLICO</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La Oficina de Bonos Pensionales del Ministerio de Hacienda y Crédito Público ha calculado que a la fecha hay 6.606 personas que han cumplido con los requisitos para acceder a la GPM. De estas:</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a) A 1742 personas (27%) se les otorgó la devolución de saldos por haber demostrado otros ingresos. No están actualmente cubiertos por ningún mecanismo de protección a la vejez.</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b) A 3.568 personas se les otorgó la GPM.</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c) A 1.296 personas se les otorgó la GPM temporal: mujeres que no han causado la redención del bono pensional, que se obtiene a los 60 años, y no cuentan con el capital suficiente para financiar su pensión hasta ese momento.</w:t>
      </w:r>
    </w:p>
    <w:p w:rsidR="00EA0E74" w:rsidRPr="00571803" w:rsidRDefault="00EA0E74" w:rsidP="00EA0E74">
      <w:pPr>
        <w:jc w:val="both"/>
        <w:rPr>
          <w:rFonts w:ascii="Arial" w:hAnsi="Arial" w:cs="Arial"/>
          <w:noProof/>
          <w:lang w:eastAsia="es-CO"/>
        </w:rPr>
      </w:pPr>
      <w:r>
        <w:rPr>
          <w:rFonts w:ascii="Arial" w:hAnsi="Arial" w:cs="Arial"/>
          <w:noProof/>
          <w:lang w:eastAsia="es-CO"/>
        </w:rPr>
        <w:t xml:space="preserve">Por otra parte, señala que el </w:t>
      </w:r>
      <w:r w:rsidRPr="00571803">
        <w:rPr>
          <w:rFonts w:ascii="Arial" w:hAnsi="Arial" w:cs="Arial"/>
          <w:noProof/>
          <w:lang w:eastAsia="es-CO"/>
        </w:rPr>
        <w:t>artículo 48 de la Constitución Política establece en cabeza del Estado el deber de ampliar progresivamente la cobertura de la seguridad social, así: “(…) el Estado se encuentra obligado a aumentar progresivamente la satisfacción de los derechos sociales y tiene prohibido, al menos en principio, retroceder en los avances obtenidos”</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“La iniciativa resulta progresiva en la medida que permite que una población importante no quede desprotegida en su vejez (…), que puedan contar en un futuro con un reconocimiento pensional, que les permita tener un ingreso estable en su vejez, así como proteger a sus eventuales beneficiarios.”</w:t>
      </w:r>
    </w:p>
    <w:p w:rsidR="00EA0E74" w:rsidRPr="00571803" w:rsidRDefault="00EA0E74" w:rsidP="00EA0E74">
      <w:pPr>
        <w:jc w:val="both"/>
        <w:rPr>
          <w:rFonts w:ascii="Arial" w:hAnsi="Arial" w:cs="Arial"/>
          <w:noProof/>
          <w:lang w:eastAsia="es-CO"/>
        </w:rPr>
      </w:pPr>
      <w:r w:rsidRPr="00571803">
        <w:rPr>
          <w:rFonts w:ascii="Arial" w:hAnsi="Arial" w:cs="Arial"/>
          <w:noProof/>
          <w:lang w:eastAsia="es-CO"/>
        </w:rPr>
        <w:t>“Responde a una medida que se acompasa con los principios constitucionale</w:t>
      </w:r>
      <w:r>
        <w:rPr>
          <w:rFonts w:ascii="Arial" w:hAnsi="Arial" w:cs="Arial"/>
          <w:noProof/>
          <w:lang w:eastAsia="es-CO"/>
        </w:rPr>
        <w:t>s de progresividad y solidaridad”</w:t>
      </w:r>
      <w:r w:rsidRPr="00571803">
        <w:rPr>
          <w:rFonts w:ascii="Arial" w:hAnsi="Arial" w:cs="Arial"/>
          <w:noProof/>
          <w:lang w:eastAsia="es-CO"/>
        </w:rPr>
        <w:t>.</w:t>
      </w:r>
    </w:p>
    <w:p w:rsidR="00EA0E74" w:rsidRPr="004703B3" w:rsidRDefault="00EA0E74" w:rsidP="00EA0E74">
      <w:pPr>
        <w:spacing w:after="0" w:line="240" w:lineRule="auto"/>
        <w:jc w:val="both"/>
        <w:rPr>
          <w:rFonts w:ascii="Arial" w:eastAsia="Calibri" w:hAnsi="Arial" w:cs="Arial"/>
          <w:b/>
          <w:bCs/>
          <w:lang w:val="es-ES_tradnl"/>
        </w:rPr>
      </w:pPr>
      <w:r w:rsidRPr="004703B3">
        <w:rPr>
          <w:rFonts w:ascii="Arial" w:eastAsia="Calibri" w:hAnsi="Arial" w:cs="Arial"/>
          <w:b/>
          <w:bCs/>
          <w:lang w:val="es-ES_tradnl"/>
        </w:rPr>
        <w:t>ANTECEDENTES DEL PROYECTO</w:t>
      </w:r>
    </w:p>
    <w:p w:rsidR="00EA0E74" w:rsidRPr="004703B3" w:rsidRDefault="00EA0E74" w:rsidP="00EA0E74">
      <w:pPr>
        <w:spacing w:after="0" w:line="240" w:lineRule="auto"/>
        <w:jc w:val="both"/>
        <w:rPr>
          <w:rFonts w:ascii="Arial" w:eastAsia="Calibri" w:hAnsi="Arial" w:cs="Arial"/>
          <w:lang w:val="es-ES"/>
        </w:rPr>
      </w:pPr>
    </w:p>
    <w:p w:rsidR="00EA0E74" w:rsidRPr="004703B3" w:rsidRDefault="00EA0E74" w:rsidP="00EA0E74">
      <w:pPr>
        <w:spacing w:after="0" w:line="240" w:lineRule="auto"/>
        <w:jc w:val="both"/>
        <w:rPr>
          <w:rFonts w:ascii="Arial" w:eastAsia="Calibri" w:hAnsi="Arial" w:cs="Arial"/>
          <w:lang w:val="es-ES_tradnl"/>
        </w:rPr>
      </w:pPr>
      <w:r w:rsidRPr="004703B3">
        <w:rPr>
          <w:rFonts w:ascii="Arial" w:eastAsia="Calibri" w:hAnsi="Arial" w:cs="Arial"/>
          <w:lang w:val="es-ES_tradnl"/>
        </w:rPr>
        <w:t>La presente iniciativa fue radicada el 24 de agosto de 2016 por los Honorables Representantes a la Cámara Margarita María Restrepo Arango, Álvaro Hernán Prada, Fernando Sierra Ramos, Rubén Darío Molano y Cristóbal Rodríguez.</w:t>
      </w:r>
    </w:p>
    <w:p w:rsidR="00EA0E74" w:rsidRPr="004703B3" w:rsidRDefault="00EA0E74" w:rsidP="00EA0E74">
      <w:pPr>
        <w:spacing w:after="0" w:line="240" w:lineRule="auto"/>
        <w:jc w:val="both"/>
        <w:rPr>
          <w:rFonts w:ascii="Arial" w:eastAsia="Calibri" w:hAnsi="Arial" w:cs="Arial"/>
          <w:lang w:val="es-ES_tradnl"/>
        </w:rPr>
      </w:pPr>
    </w:p>
    <w:p w:rsidR="00EA0E74" w:rsidRDefault="00EA0E74" w:rsidP="00EA0E74">
      <w:pPr>
        <w:spacing w:after="0" w:line="240" w:lineRule="auto"/>
        <w:jc w:val="both"/>
        <w:rPr>
          <w:rFonts w:ascii="Arial" w:eastAsia="Calibri" w:hAnsi="Arial" w:cs="Arial"/>
          <w:lang w:val="es-ES_tradnl"/>
        </w:rPr>
      </w:pPr>
      <w:r w:rsidRPr="004703B3">
        <w:rPr>
          <w:rFonts w:ascii="Arial" w:eastAsia="Calibri" w:hAnsi="Arial" w:cs="Arial"/>
          <w:lang w:val="es-ES_tradnl"/>
        </w:rPr>
        <w:t xml:space="preserve">Le correspondió el Número 128 de 2016 en la Cámara de Representantes y se publicó en la </w:t>
      </w:r>
      <w:r w:rsidRPr="004703B3">
        <w:rPr>
          <w:rFonts w:ascii="Arial" w:eastAsia="Calibri" w:hAnsi="Arial" w:cs="Arial"/>
          <w:bCs/>
          <w:iCs/>
          <w:lang w:val="es-ES_tradnl"/>
        </w:rPr>
        <w:t>Gaceta del Congreso</w:t>
      </w:r>
      <w:r w:rsidRPr="004703B3">
        <w:rPr>
          <w:rFonts w:ascii="Arial" w:eastAsia="Calibri" w:hAnsi="Arial" w:cs="Arial"/>
          <w:lang w:val="es-ES_tradnl"/>
        </w:rPr>
        <w:t xml:space="preserve"> No. 684 de 2016. Por disposición de la Mesa Directiva de la Comisión Séptima Constitucional Permanente de la Cámara de Representantes, los Representantes Margarita María Restrepo Arango y Cristóbal Rodríguez fueron designados para rendir informe de ponencia en primer debate ante esta célula legislativa</w:t>
      </w:r>
      <w:r>
        <w:rPr>
          <w:rFonts w:ascii="Arial" w:eastAsia="Calibri" w:hAnsi="Arial" w:cs="Arial"/>
          <w:lang w:val="es-ES_tradnl"/>
        </w:rPr>
        <w:t>.</w:t>
      </w:r>
    </w:p>
    <w:p w:rsidR="00EA0E74" w:rsidRDefault="00EA0E74" w:rsidP="00EA0E74">
      <w:pPr>
        <w:spacing w:after="0" w:line="240" w:lineRule="auto"/>
        <w:jc w:val="both"/>
        <w:rPr>
          <w:rFonts w:ascii="Arial" w:eastAsia="Calibri" w:hAnsi="Arial" w:cs="Arial"/>
          <w:lang w:val="es-ES_tradnl"/>
        </w:rPr>
      </w:pPr>
    </w:p>
    <w:p w:rsidR="00EA0E74" w:rsidRPr="004703B3" w:rsidRDefault="00EA0E74" w:rsidP="00EA0E74">
      <w:pPr>
        <w:spacing w:after="0" w:line="240" w:lineRule="auto"/>
        <w:jc w:val="both"/>
        <w:rPr>
          <w:rFonts w:ascii="Arial" w:eastAsia="Calibri" w:hAnsi="Arial" w:cs="Arial"/>
          <w:lang w:val="es-ES_tradnl"/>
        </w:rPr>
      </w:pPr>
      <w:r>
        <w:rPr>
          <w:rFonts w:ascii="Arial" w:eastAsia="Calibri" w:hAnsi="Arial" w:cs="Arial"/>
          <w:lang w:val="es-ES_tradnl"/>
        </w:rPr>
        <w:t>El proyecto de ley fue aprobado día 17 de mayo de 2017 en Primer Debate en la Comisión Séptima Constitucional Permanente de la Cámara de Representantes; y se designaron como ponentes para segundo debate la Honorable Representante, Margarita María Restrepo Arango, y el Honorable Representante Cristóbal Rodríguez. El proyecto de ley fue archivado de conformidad con lo dispuesto en el artículo 190 de la Ley 5 de 1992. Por su trascendencia e importancia nacional se radica nuevamente a consideración del Honorable Congreso de la República</w:t>
      </w:r>
    </w:p>
    <w:p w:rsidR="00EA0E74" w:rsidRDefault="00EA0E74" w:rsidP="00B10589">
      <w:pPr>
        <w:jc w:val="both"/>
        <w:rPr>
          <w:rFonts w:ascii="Arial" w:hAnsi="Arial" w:cs="Arial"/>
          <w:noProof/>
          <w:lang w:eastAsia="es-CO"/>
        </w:rPr>
      </w:pPr>
    </w:p>
    <w:p w:rsidR="00AB0AC5" w:rsidRDefault="00AB0AC5" w:rsidP="00AB0AC5">
      <w:pPr>
        <w:rPr>
          <w:rFonts w:ascii="Arial" w:hAnsi="Arial" w:cs="Arial"/>
        </w:rPr>
      </w:pPr>
    </w:p>
    <w:p w:rsidR="00E62C83" w:rsidRDefault="00E62C83" w:rsidP="00AB0AC5">
      <w:pPr>
        <w:rPr>
          <w:rFonts w:ascii="Arial" w:hAnsi="Arial" w:cs="Arial"/>
        </w:rPr>
      </w:pPr>
    </w:p>
    <w:p w:rsidR="00AB0AC5" w:rsidRDefault="00AB0AC5" w:rsidP="00AB0AC5">
      <w:pPr>
        <w:spacing w:after="0" w:line="240" w:lineRule="auto"/>
        <w:jc w:val="center"/>
        <w:rPr>
          <w:rFonts w:ascii="Arial" w:hAnsi="Arial" w:cs="Arial"/>
          <w:b/>
        </w:rPr>
      </w:pPr>
      <w:r w:rsidRPr="002418F0">
        <w:rPr>
          <w:rFonts w:ascii="Arial" w:hAnsi="Arial" w:cs="Arial"/>
          <w:b/>
        </w:rPr>
        <w:t>MARGARITA MARÍA RESTREPO ARANGO</w:t>
      </w:r>
    </w:p>
    <w:p w:rsidR="00E62C83" w:rsidRDefault="00E62C83" w:rsidP="00AB0AC5">
      <w:pPr>
        <w:spacing w:after="0" w:line="240" w:lineRule="auto"/>
        <w:jc w:val="center"/>
        <w:rPr>
          <w:rFonts w:ascii="Arial" w:hAnsi="Arial" w:cs="Arial"/>
          <w:b/>
        </w:rPr>
      </w:pPr>
    </w:p>
    <w:p w:rsidR="00AB0AC5" w:rsidRDefault="00AB0AC5" w:rsidP="00AB0AC5">
      <w:pPr>
        <w:spacing w:after="0" w:line="240" w:lineRule="auto"/>
        <w:jc w:val="center"/>
        <w:rPr>
          <w:rFonts w:ascii="Arial" w:hAnsi="Arial" w:cs="Arial"/>
          <w:b/>
        </w:rPr>
      </w:pPr>
      <w:r>
        <w:rPr>
          <w:rFonts w:ascii="Arial" w:hAnsi="Arial" w:cs="Arial"/>
          <w:b/>
        </w:rPr>
        <w:t>REPRESENTANTE A LA CÁMARA</w:t>
      </w:r>
    </w:p>
    <w:p w:rsidR="00B10589" w:rsidRPr="002418F0" w:rsidRDefault="00B10589" w:rsidP="00DA395F">
      <w:pPr>
        <w:spacing w:after="0" w:line="240" w:lineRule="auto"/>
        <w:jc w:val="center"/>
        <w:rPr>
          <w:rFonts w:ascii="Arial" w:hAnsi="Arial" w:cs="Arial"/>
          <w:b/>
        </w:rPr>
      </w:pPr>
    </w:p>
    <w:sectPr w:rsidR="00B10589" w:rsidRPr="002418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DF" w:rsidRDefault="006363DF" w:rsidP="00B10589">
      <w:pPr>
        <w:spacing w:after="0" w:line="240" w:lineRule="auto"/>
      </w:pPr>
      <w:r>
        <w:separator/>
      </w:r>
    </w:p>
  </w:endnote>
  <w:endnote w:type="continuationSeparator" w:id="0">
    <w:p w:rsidR="006363DF" w:rsidRDefault="006363DF" w:rsidP="00B1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DF" w:rsidRDefault="006363DF" w:rsidP="00B10589">
      <w:pPr>
        <w:spacing w:after="0" w:line="240" w:lineRule="auto"/>
      </w:pPr>
      <w:r>
        <w:separator/>
      </w:r>
    </w:p>
  </w:footnote>
  <w:footnote w:type="continuationSeparator" w:id="0">
    <w:p w:rsidR="006363DF" w:rsidRDefault="006363DF" w:rsidP="00B10589">
      <w:pPr>
        <w:spacing w:after="0" w:line="240" w:lineRule="auto"/>
      </w:pPr>
      <w:r>
        <w:continuationSeparator/>
      </w:r>
    </w:p>
  </w:footnote>
  <w:footnote w:id="1">
    <w:p w:rsidR="00B10589" w:rsidRDefault="00B10589" w:rsidP="00B10589">
      <w:pPr>
        <w:pStyle w:val="Textonotapie"/>
      </w:pPr>
      <w:r>
        <w:rPr>
          <w:rStyle w:val="Refdenotaalpie"/>
        </w:rPr>
        <w:footnoteRef/>
      </w:r>
      <w:r>
        <w:t xml:space="preserve"> Disponible en </w:t>
      </w:r>
      <w:hyperlink r:id="rId1" w:history="1">
        <w:r w:rsidRPr="00126886">
          <w:rPr>
            <w:rStyle w:val="Hipervnculo"/>
          </w:rPr>
          <w:t>http://www.corteconstitucional.gov.co/relatoria/1996/C-538-96.htm</w:t>
        </w:r>
      </w:hyperlink>
      <w:r>
        <w:t>. Fecha de consulta 8 de Julio de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F0"/>
    <w:rsid w:val="00140CE0"/>
    <w:rsid w:val="00163CBF"/>
    <w:rsid w:val="001743AD"/>
    <w:rsid w:val="002418F0"/>
    <w:rsid w:val="002B5CEB"/>
    <w:rsid w:val="003465BD"/>
    <w:rsid w:val="003B5C22"/>
    <w:rsid w:val="003E691F"/>
    <w:rsid w:val="004B2593"/>
    <w:rsid w:val="00524AFC"/>
    <w:rsid w:val="006363DF"/>
    <w:rsid w:val="00637344"/>
    <w:rsid w:val="006825D1"/>
    <w:rsid w:val="00851D9A"/>
    <w:rsid w:val="00A478DD"/>
    <w:rsid w:val="00AB0AC5"/>
    <w:rsid w:val="00B10589"/>
    <w:rsid w:val="00B92217"/>
    <w:rsid w:val="00BB34CE"/>
    <w:rsid w:val="00DA395F"/>
    <w:rsid w:val="00DC14D0"/>
    <w:rsid w:val="00DE0992"/>
    <w:rsid w:val="00E62C83"/>
    <w:rsid w:val="00EA0E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418F0"/>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B105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0589"/>
    <w:rPr>
      <w:sz w:val="20"/>
      <w:szCs w:val="20"/>
    </w:rPr>
  </w:style>
  <w:style w:type="character" w:styleId="Refdenotaalpie">
    <w:name w:val="footnote reference"/>
    <w:basedOn w:val="Fuentedeprrafopredeter"/>
    <w:uiPriority w:val="99"/>
    <w:semiHidden/>
    <w:unhideWhenUsed/>
    <w:rsid w:val="00B10589"/>
    <w:rPr>
      <w:vertAlign w:val="superscript"/>
    </w:rPr>
  </w:style>
  <w:style w:type="character" w:styleId="Hipervnculo">
    <w:name w:val="Hyperlink"/>
    <w:basedOn w:val="Fuentedeprrafopredeter"/>
    <w:uiPriority w:val="99"/>
    <w:unhideWhenUsed/>
    <w:rsid w:val="00B10589"/>
    <w:rPr>
      <w:color w:val="0000FF" w:themeColor="hyperlink"/>
      <w:u w:val="single"/>
    </w:rPr>
  </w:style>
  <w:style w:type="paragraph" w:styleId="Textodeglobo">
    <w:name w:val="Balloon Text"/>
    <w:basedOn w:val="Normal"/>
    <w:link w:val="TextodegloboCar"/>
    <w:uiPriority w:val="99"/>
    <w:semiHidden/>
    <w:unhideWhenUsed/>
    <w:rsid w:val="00B105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418F0"/>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B105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0589"/>
    <w:rPr>
      <w:sz w:val="20"/>
      <w:szCs w:val="20"/>
    </w:rPr>
  </w:style>
  <w:style w:type="character" w:styleId="Refdenotaalpie">
    <w:name w:val="footnote reference"/>
    <w:basedOn w:val="Fuentedeprrafopredeter"/>
    <w:uiPriority w:val="99"/>
    <w:semiHidden/>
    <w:unhideWhenUsed/>
    <w:rsid w:val="00B10589"/>
    <w:rPr>
      <w:vertAlign w:val="superscript"/>
    </w:rPr>
  </w:style>
  <w:style w:type="character" w:styleId="Hipervnculo">
    <w:name w:val="Hyperlink"/>
    <w:basedOn w:val="Fuentedeprrafopredeter"/>
    <w:uiPriority w:val="99"/>
    <w:unhideWhenUsed/>
    <w:rsid w:val="00B10589"/>
    <w:rPr>
      <w:color w:val="0000FF" w:themeColor="hyperlink"/>
      <w:u w:val="single"/>
    </w:rPr>
  </w:style>
  <w:style w:type="paragraph" w:styleId="Textodeglobo">
    <w:name w:val="Balloon Text"/>
    <w:basedOn w:val="Normal"/>
    <w:link w:val="TextodegloboCar"/>
    <w:uiPriority w:val="99"/>
    <w:semiHidden/>
    <w:unhideWhenUsed/>
    <w:rsid w:val="00B105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www.corteconstitucional.gov.co/relatoria/1996/C-538-96.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en-US"/>
              <a:t>% Pensiones Otorgadas con el Fondo de Garantía de Pensión Mínima</a:t>
            </a:r>
          </a:p>
        </c:rich>
      </c:tx>
      <c:overlay val="0"/>
    </c:title>
    <c:autoTitleDeleted val="0"/>
    <c:plotArea>
      <c:layout/>
      <c:lineChart>
        <c:grouping val="standard"/>
        <c:varyColors val="0"/>
        <c:ser>
          <c:idx val="0"/>
          <c:order val="0"/>
          <c:tx>
            <c:strRef>
              <c:f>Hoja1!$F$5</c:f>
              <c:strCache>
                <c:ptCount val="1"/>
                <c:pt idx="0">
                  <c:v>%Otorgadas</c:v>
                </c:pt>
              </c:strCache>
            </c:strRef>
          </c:tx>
          <c:marker>
            <c:symbol val="none"/>
          </c:marker>
          <c:cat>
            <c:numRef>
              <c:f>Hoja1!$C$6:$C$17</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Hoja1!$F$6:$F$17</c:f>
              <c:numCache>
                <c:formatCode>0%</c:formatCode>
                <c:ptCount val="12"/>
                <c:pt idx="0">
                  <c:v>1</c:v>
                </c:pt>
                <c:pt idx="1">
                  <c:v>0.63636363636363635</c:v>
                </c:pt>
                <c:pt idx="2">
                  <c:v>0.8571428571428571</c:v>
                </c:pt>
                <c:pt idx="3">
                  <c:v>0.875</c:v>
                </c:pt>
                <c:pt idx="4">
                  <c:v>0.7865168539325843</c:v>
                </c:pt>
                <c:pt idx="5">
                  <c:v>0.78740157480314965</c:v>
                </c:pt>
                <c:pt idx="6">
                  <c:v>0.78297872340425534</c:v>
                </c:pt>
                <c:pt idx="7">
                  <c:v>0.6097560975609756</c:v>
                </c:pt>
                <c:pt idx="8">
                  <c:v>0.71969696969696972</c:v>
                </c:pt>
                <c:pt idx="9">
                  <c:v>0.65273311897106112</c:v>
                </c:pt>
                <c:pt idx="10">
                  <c:v>0.63788027477919529</c:v>
                </c:pt>
                <c:pt idx="11">
                  <c:v>0.57215619694397279</c:v>
                </c:pt>
              </c:numCache>
            </c:numRef>
          </c:val>
          <c:smooth val="0"/>
          <c:extLst xmlns:c16r2="http://schemas.microsoft.com/office/drawing/2015/06/chart">
            <c:ext xmlns:c16="http://schemas.microsoft.com/office/drawing/2014/chart" uri="{C3380CC4-5D6E-409C-BE32-E72D297353CC}">
              <c16:uniqueId val="{00000000-6810-4241-BC2A-07288D821C42}"/>
            </c:ext>
          </c:extLst>
        </c:ser>
        <c:dLbls>
          <c:showLegendKey val="0"/>
          <c:showVal val="0"/>
          <c:showCatName val="0"/>
          <c:showSerName val="0"/>
          <c:showPercent val="0"/>
          <c:showBubbleSize val="0"/>
        </c:dLbls>
        <c:marker val="1"/>
        <c:smooth val="0"/>
        <c:axId val="37204352"/>
        <c:axId val="37205888"/>
      </c:lineChart>
      <c:catAx>
        <c:axId val="37204352"/>
        <c:scaling>
          <c:orientation val="minMax"/>
        </c:scaling>
        <c:delete val="0"/>
        <c:axPos val="b"/>
        <c:numFmt formatCode="General" sourceLinked="1"/>
        <c:majorTickMark val="none"/>
        <c:minorTickMark val="none"/>
        <c:tickLblPos val="nextTo"/>
        <c:crossAx val="37205888"/>
        <c:crosses val="autoZero"/>
        <c:auto val="1"/>
        <c:lblAlgn val="ctr"/>
        <c:lblOffset val="100"/>
        <c:noMultiLvlLbl val="0"/>
      </c:catAx>
      <c:valAx>
        <c:axId val="37205888"/>
        <c:scaling>
          <c:orientation val="minMax"/>
        </c:scaling>
        <c:delete val="0"/>
        <c:axPos val="l"/>
        <c:majorGridlines/>
        <c:numFmt formatCode="0%" sourceLinked="1"/>
        <c:majorTickMark val="none"/>
        <c:minorTickMark val="none"/>
        <c:tickLblPos val="nextTo"/>
        <c:crossAx val="37204352"/>
        <c:crosses val="autoZero"/>
        <c:crossBetween val="between"/>
      </c:valAx>
      <c:dTable>
        <c:showHorzBorder val="1"/>
        <c:showVertBorder val="1"/>
        <c:showOutline val="1"/>
        <c:showKeys val="1"/>
      </c:dTable>
    </c:plotArea>
    <c:plotVisOnly val="1"/>
    <c:dispBlanksAs val="gap"/>
    <c:showDLblsOverMax val="0"/>
  </c:chart>
  <c:txPr>
    <a:bodyPr/>
    <a:lstStyle/>
    <a:p>
      <a:pPr>
        <a:defRPr sz="1050"/>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sz="1400">
                <a:latin typeface="+mn-lt"/>
              </a:defRPr>
            </a:pPr>
            <a:r>
              <a:rPr lang="en-US" sz="1400">
                <a:latin typeface="+mn-lt"/>
              </a:rPr>
              <a:t>% de Pensiones rechazadas por el Fondo de Garantía de Pensión Mínima</a:t>
            </a:r>
          </a:p>
        </c:rich>
      </c:tx>
      <c:overlay val="0"/>
    </c:title>
    <c:autoTitleDeleted val="0"/>
    <c:plotArea>
      <c:layout/>
      <c:lineChart>
        <c:grouping val="standard"/>
        <c:varyColors val="0"/>
        <c:ser>
          <c:idx val="0"/>
          <c:order val="0"/>
          <c:tx>
            <c:strRef>
              <c:f>Hoja1!$H$5</c:f>
              <c:strCache>
                <c:ptCount val="1"/>
                <c:pt idx="0">
                  <c:v>% Rechazadas</c:v>
                </c:pt>
              </c:strCache>
            </c:strRef>
          </c:tx>
          <c:marker>
            <c:symbol val="none"/>
          </c:marker>
          <c:cat>
            <c:numRef>
              <c:f>Hoja1!$C$6:$C$17</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Hoja1!$H$6:$H$17</c:f>
              <c:numCache>
                <c:formatCode>0%</c:formatCode>
                <c:ptCount val="12"/>
                <c:pt idx="0">
                  <c:v>0</c:v>
                </c:pt>
                <c:pt idx="1">
                  <c:v>0.36363636363636365</c:v>
                </c:pt>
                <c:pt idx="2">
                  <c:v>0.14285714285714285</c:v>
                </c:pt>
                <c:pt idx="3">
                  <c:v>0.125</c:v>
                </c:pt>
                <c:pt idx="4">
                  <c:v>0.21348314606741572</c:v>
                </c:pt>
                <c:pt idx="5">
                  <c:v>0.2125984251968504</c:v>
                </c:pt>
                <c:pt idx="6">
                  <c:v>0.21702127659574469</c:v>
                </c:pt>
                <c:pt idx="7">
                  <c:v>0.3902439024390244</c:v>
                </c:pt>
                <c:pt idx="8">
                  <c:v>0.28030303030303028</c:v>
                </c:pt>
                <c:pt idx="9">
                  <c:v>0.34726688102893893</c:v>
                </c:pt>
                <c:pt idx="10">
                  <c:v>0.36211972522080471</c:v>
                </c:pt>
                <c:pt idx="11">
                  <c:v>0.42784380305602715</c:v>
                </c:pt>
              </c:numCache>
            </c:numRef>
          </c:val>
          <c:smooth val="0"/>
          <c:extLst xmlns:c16r2="http://schemas.microsoft.com/office/drawing/2015/06/chart">
            <c:ext xmlns:c16="http://schemas.microsoft.com/office/drawing/2014/chart" uri="{C3380CC4-5D6E-409C-BE32-E72D297353CC}">
              <c16:uniqueId val="{00000000-7424-4BB3-8815-D6728DC4A904}"/>
            </c:ext>
          </c:extLst>
        </c:ser>
        <c:dLbls>
          <c:showLegendKey val="0"/>
          <c:showVal val="0"/>
          <c:showCatName val="0"/>
          <c:showSerName val="0"/>
          <c:showPercent val="0"/>
          <c:showBubbleSize val="0"/>
        </c:dLbls>
        <c:marker val="1"/>
        <c:smooth val="0"/>
        <c:axId val="37165312"/>
        <c:axId val="37175296"/>
      </c:lineChart>
      <c:catAx>
        <c:axId val="37165312"/>
        <c:scaling>
          <c:orientation val="minMax"/>
        </c:scaling>
        <c:delete val="0"/>
        <c:axPos val="b"/>
        <c:numFmt formatCode="General" sourceLinked="1"/>
        <c:majorTickMark val="none"/>
        <c:minorTickMark val="none"/>
        <c:tickLblPos val="nextTo"/>
        <c:crossAx val="37175296"/>
        <c:crosses val="autoZero"/>
        <c:auto val="1"/>
        <c:lblAlgn val="ctr"/>
        <c:lblOffset val="100"/>
        <c:noMultiLvlLbl val="0"/>
      </c:catAx>
      <c:valAx>
        <c:axId val="37175296"/>
        <c:scaling>
          <c:orientation val="minMax"/>
        </c:scaling>
        <c:delete val="0"/>
        <c:axPos val="l"/>
        <c:majorGridlines/>
        <c:title>
          <c:overlay val="0"/>
        </c:title>
        <c:numFmt formatCode="0%" sourceLinked="1"/>
        <c:majorTickMark val="none"/>
        <c:minorTickMark val="none"/>
        <c:tickLblPos val="nextTo"/>
        <c:crossAx val="371653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Número de pensiones solicitadas otorgadas y rechazadas por el Fondo de Garantía de Pensión Mínima</a:t>
            </a:r>
          </a:p>
        </c:rich>
      </c:tx>
      <c:overlay val="0"/>
    </c:title>
    <c:autoTitleDeleted val="0"/>
    <c:plotArea>
      <c:layout/>
      <c:barChart>
        <c:barDir val="col"/>
        <c:grouping val="clustered"/>
        <c:varyColors val="0"/>
        <c:ser>
          <c:idx val="1"/>
          <c:order val="0"/>
          <c:tx>
            <c:strRef>
              <c:f>Hoja1!$D$5</c:f>
              <c:strCache>
                <c:ptCount val="1"/>
                <c:pt idx="0">
                  <c:v>Solicitadas</c:v>
                </c:pt>
              </c:strCache>
            </c:strRef>
          </c:tx>
          <c:invertIfNegative val="0"/>
          <c:cat>
            <c:numRef>
              <c:f>Hoja1!$C$6:$C$17</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Hoja1!$D$6:$D$17</c:f>
              <c:numCache>
                <c:formatCode>General</c:formatCode>
                <c:ptCount val="12"/>
                <c:pt idx="0">
                  <c:v>4</c:v>
                </c:pt>
                <c:pt idx="1">
                  <c:v>11</c:v>
                </c:pt>
                <c:pt idx="2">
                  <c:v>21</c:v>
                </c:pt>
                <c:pt idx="3">
                  <c:v>48</c:v>
                </c:pt>
                <c:pt idx="4">
                  <c:v>89</c:v>
                </c:pt>
                <c:pt idx="5">
                  <c:v>127</c:v>
                </c:pt>
                <c:pt idx="6">
                  <c:v>235</c:v>
                </c:pt>
                <c:pt idx="7">
                  <c:v>246</c:v>
                </c:pt>
                <c:pt idx="8">
                  <c:v>396</c:v>
                </c:pt>
                <c:pt idx="9">
                  <c:v>622</c:v>
                </c:pt>
                <c:pt idx="10">
                  <c:v>1019</c:v>
                </c:pt>
                <c:pt idx="11">
                  <c:v>1178</c:v>
                </c:pt>
              </c:numCache>
            </c:numRef>
          </c:val>
          <c:extLst xmlns:c16r2="http://schemas.microsoft.com/office/drawing/2015/06/chart">
            <c:ext xmlns:c16="http://schemas.microsoft.com/office/drawing/2014/chart" uri="{C3380CC4-5D6E-409C-BE32-E72D297353CC}">
              <c16:uniqueId val="{00000000-A981-4A53-83F1-FE2A4762348C}"/>
            </c:ext>
          </c:extLst>
        </c:ser>
        <c:ser>
          <c:idx val="2"/>
          <c:order val="1"/>
          <c:tx>
            <c:strRef>
              <c:f>Hoja1!$E$5</c:f>
              <c:strCache>
                <c:ptCount val="1"/>
                <c:pt idx="0">
                  <c:v>Otorgadas</c:v>
                </c:pt>
              </c:strCache>
            </c:strRef>
          </c:tx>
          <c:invertIfNegative val="0"/>
          <c:cat>
            <c:numRef>
              <c:f>Hoja1!$C$6:$C$17</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Hoja1!$E$6:$E$17</c:f>
              <c:numCache>
                <c:formatCode>General</c:formatCode>
                <c:ptCount val="12"/>
                <c:pt idx="0">
                  <c:v>4</c:v>
                </c:pt>
                <c:pt idx="1">
                  <c:v>7</c:v>
                </c:pt>
                <c:pt idx="2">
                  <c:v>18</c:v>
                </c:pt>
                <c:pt idx="3">
                  <c:v>42</c:v>
                </c:pt>
                <c:pt idx="4">
                  <c:v>70</c:v>
                </c:pt>
                <c:pt idx="5">
                  <c:v>100</c:v>
                </c:pt>
                <c:pt idx="6">
                  <c:v>184</c:v>
                </c:pt>
                <c:pt idx="7">
                  <c:v>150</c:v>
                </c:pt>
                <c:pt idx="8">
                  <c:v>285</c:v>
                </c:pt>
                <c:pt idx="9">
                  <c:v>406</c:v>
                </c:pt>
                <c:pt idx="10">
                  <c:v>650</c:v>
                </c:pt>
                <c:pt idx="11">
                  <c:v>674</c:v>
                </c:pt>
              </c:numCache>
            </c:numRef>
          </c:val>
          <c:extLst xmlns:c16r2="http://schemas.microsoft.com/office/drawing/2015/06/chart">
            <c:ext xmlns:c16="http://schemas.microsoft.com/office/drawing/2014/chart" uri="{C3380CC4-5D6E-409C-BE32-E72D297353CC}">
              <c16:uniqueId val="{00000001-A981-4A53-83F1-FE2A4762348C}"/>
            </c:ext>
          </c:extLst>
        </c:ser>
        <c:ser>
          <c:idx val="0"/>
          <c:order val="2"/>
          <c:tx>
            <c:strRef>
              <c:f>Hoja1!$G$5</c:f>
              <c:strCache>
                <c:ptCount val="1"/>
                <c:pt idx="0">
                  <c:v>Rechazadas</c:v>
                </c:pt>
              </c:strCache>
            </c:strRef>
          </c:tx>
          <c:invertIfNegative val="0"/>
          <c:cat>
            <c:numRef>
              <c:f>Hoja1!$C$6:$C$17</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Hoja1!$G$6:$G$17</c:f>
              <c:numCache>
                <c:formatCode>General</c:formatCode>
                <c:ptCount val="12"/>
                <c:pt idx="0">
                  <c:v>0</c:v>
                </c:pt>
                <c:pt idx="1">
                  <c:v>4</c:v>
                </c:pt>
                <c:pt idx="2">
                  <c:v>3</c:v>
                </c:pt>
                <c:pt idx="3">
                  <c:v>6</c:v>
                </c:pt>
                <c:pt idx="4">
                  <c:v>19</c:v>
                </c:pt>
                <c:pt idx="5">
                  <c:v>27</c:v>
                </c:pt>
                <c:pt idx="6">
                  <c:v>51</c:v>
                </c:pt>
                <c:pt idx="7">
                  <c:v>96</c:v>
                </c:pt>
                <c:pt idx="8">
                  <c:v>111</c:v>
                </c:pt>
                <c:pt idx="9">
                  <c:v>216</c:v>
                </c:pt>
                <c:pt idx="10">
                  <c:v>369</c:v>
                </c:pt>
                <c:pt idx="11">
                  <c:v>504</c:v>
                </c:pt>
              </c:numCache>
            </c:numRef>
          </c:val>
          <c:extLst xmlns:c16r2="http://schemas.microsoft.com/office/drawing/2015/06/chart">
            <c:ext xmlns:c16="http://schemas.microsoft.com/office/drawing/2014/chart" uri="{C3380CC4-5D6E-409C-BE32-E72D297353CC}">
              <c16:uniqueId val="{00000002-A981-4A53-83F1-FE2A4762348C}"/>
            </c:ext>
          </c:extLst>
        </c:ser>
        <c:dLbls>
          <c:showLegendKey val="0"/>
          <c:showVal val="0"/>
          <c:showCatName val="0"/>
          <c:showSerName val="0"/>
          <c:showPercent val="0"/>
          <c:showBubbleSize val="0"/>
        </c:dLbls>
        <c:gapWidth val="150"/>
        <c:axId val="111673728"/>
        <c:axId val="111675648"/>
      </c:barChart>
      <c:catAx>
        <c:axId val="111673728"/>
        <c:scaling>
          <c:orientation val="minMax"/>
        </c:scaling>
        <c:delete val="0"/>
        <c:axPos val="b"/>
        <c:title>
          <c:tx>
            <c:rich>
              <a:bodyPr/>
              <a:lstStyle/>
              <a:p>
                <a:pPr>
                  <a:defRPr/>
                </a:pPr>
                <a:r>
                  <a:rPr lang="en-US"/>
                  <a:t>Año</a:t>
                </a:r>
              </a:p>
            </c:rich>
          </c:tx>
          <c:overlay val="0"/>
        </c:title>
        <c:numFmt formatCode="General" sourceLinked="1"/>
        <c:majorTickMark val="none"/>
        <c:minorTickMark val="none"/>
        <c:tickLblPos val="nextTo"/>
        <c:crossAx val="111675648"/>
        <c:crosses val="autoZero"/>
        <c:auto val="1"/>
        <c:lblAlgn val="ctr"/>
        <c:lblOffset val="100"/>
        <c:noMultiLvlLbl val="0"/>
      </c:catAx>
      <c:valAx>
        <c:axId val="111675648"/>
        <c:scaling>
          <c:orientation val="minMax"/>
        </c:scaling>
        <c:delete val="0"/>
        <c:axPos val="l"/>
        <c:majorGridlines/>
        <c:title>
          <c:tx>
            <c:rich>
              <a:bodyPr/>
              <a:lstStyle/>
              <a:p>
                <a:pPr>
                  <a:defRPr/>
                </a:pPr>
                <a:r>
                  <a:rPr lang="en-US"/>
                  <a:t>Número de casos</a:t>
                </a:r>
              </a:p>
            </c:rich>
          </c:tx>
          <c:overlay val="0"/>
        </c:title>
        <c:numFmt formatCode="General" sourceLinked="1"/>
        <c:majorTickMark val="out"/>
        <c:minorTickMark val="none"/>
        <c:tickLblPos val="nextTo"/>
        <c:crossAx val="1116737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10250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Melissa Castrillon Montealegre</cp:lastModifiedBy>
  <cp:revision>2</cp:revision>
  <cp:lastPrinted>2015-07-07T18:19:00Z</cp:lastPrinted>
  <dcterms:created xsi:type="dcterms:W3CDTF">2018-09-11T20:36:00Z</dcterms:created>
  <dcterms:modified xsi:type="dcterms:W3CDTF">2018-09-11T20:36:00Z</dcterms:modified>
</cp:coreProperties>
</file>