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5C3" w:rsidRDefault="002745C3" w:rsidP="00CC7F93">
      <w:pPr>
        <w:tabs>
          <w:tab w:val="center" w:pos="4419"/>
          <w:tab w:val="right" w:pos="8838"/>
        </w:tabs>
        <w:jc w:val="right"/>
        <w:rPr>
          <w:rFonts w:ascii="Bookman Old Style" w:hAnsi="Bookman Old Style" w:cstheme="minorHAnsi"/>
          <w:b/>
          <w:sz w:val="22"/>
        </w:rPr>
      </w:pPr>
      <w:bookmarkStart w:id="0" w:name="_GoBack"/>
      <w:bookmarkEnd w:id="0"/>
      <w:r w:rsidRPr="00CC7F93">
        <w:rPr>
          <w:rFonts w:ascii="Bookman Old Style" w:hAnsi="Bookman Old Style" w:cstheme="minorHAnsi"/>
          <w:b/>
          <w:sz w:val="22"/>
        </w:rPr>
        <w:t>Bogotá D.C., 20 de julio de 2020</w:t>
      </w:r>
    </w:p>
    <w:p w:rsidR="00CC7F93" w:rsidRPr="00CC7F93" w:rsidRDefault="00CC7F93" w:rsidP="00CC7F93">
      <w:pPr>
        <w:tabs>
          <w:tab w:val="center" w:pos="4419"/>
          <w:tab w:val="right" w:pos="8838"/>
        </w:tabs>
        <w:jc w:val="right"/>
        <w:rPr>
          <w:rFonts w:ascii="Bookman Old Style" w:hAnsi="Bookman Old Style" w:cstheme="minorHAnsi"/>
          <w:b/>
          <w:sz w:val="22"/>
        </w:rPr>
      </w:pPr>
    </w:p>
    <w:p w:rsidR="002745C3" w:rsidRPr="00CC7F93" w:rsidRDefault="002745C3" w:rsidP="002745C3">
      <w:pPr>
        <w:rPr>
          <w:rFonts w:ascii="Bookman Old Style" w:hAnsi="Bookman Old Style" w:cstheme="minorHAnsi"/>
          <w:sz w:val="22"/>
        </w:rPr>
      </w:pPr>
      <w:r w:rsidRPr="00CC7F93">
        <w:rPr>
          <w:rFonts w:ascii="Bookman Old Style" w:hAnsi="Bookman Old Style" w:cstheme="minorHAnsi"/>
          <w:sz w:val="22"/>
        </w:rPr>
        <w:t>Doctor</w:t>
      </w:r>
    </w:p>
    <w:p w:rsidR="002745C3" w:rsidRPr="00CC7F93" w:rsidRDefault="002745C3" w:rsidP="002745C3">
      <w:pPr>
        <w:rPr>
          <w:rFonts w:ascii="Bookman Old Style" w:hAnsi="Bookman Old Style" w:cstheme="minorHAnsi"/>
          <w:b/>
          <w:sz w:val="22"/>
        </w:rPr>
      </w:pPr>
      <w:r w:rsidRPr="00CC7F93">
        <w:rPr>
          <w:rFonts w:ascii="Bookman Old Style" w:hAnsi="Bookman Old Style" w:cstheme="minorHAnsi"/>
          <w:b/>
          <w:sz w:val="22"/>
        </w:rPr>
        <w:t>JORGE HUMBERTO MANTILLA SERRANO</w:t>
      </w:r>
    </w:p>
    <w:p w:rsidR="002745C3" w:rsidRPr="00CC7F93" w:rsidRDefault="002745C3" w:rsidP="002745C3">
      <w:pPr>
        <w:rPr>
          <w:rFonts w:ascii="Bookman Old Style" w:hAnsi="Bookman Old Style" w:cstheme="minorHAnsi"/>
          <w:sz w:val="22"/>
        </w:rPr>
      </w:pPr>
      <w:r w:rsidRPr="00CC7F93">
        <w:rPr>
          <w:rFonts w:ascii="Bookman Old Style" w:hAnsi="Bookman Old Style" w:cstheme="minorHAnsi"/>
          <w:sz w:val="22"/>
        </w:rPr>
        <w:t xml:space="preserve">Secretario General </w:t>
      </w:r>
    </w:p>
    <w:p w:rsidR="002745C3" w:rsidRPr="00CC7F93" w:rsidRDefault="002745C3" w:rsidP="002745C3">
      <w:pPr>
        <w:rPr>
          <w:rFonts w:ascii="Bookman Old Style" w:hAnsi="Bookman Old Style" w:cstheme="minorHAnsi"/>
          <w:sz w:val="22"/>
        </w:rPr>
      </w:pPr>
      <w:r w:rsidRPr="00CC7F93">
        <w:rPr>
          <w:rFonts w:ascii="Bookman Old Style" w:hAnsi="Bookman Old Style" w:cstheme="minorHAnsi"/>
          <w:sz w:val="22"/>
        </w:rPr>
        <w:t>Honorable Cámara de Representantes</w:t>
      </w:r>
    </w:p>
    <w:p w:rsidR="002745C3" w:rsidRPr="00CC7F93" w:rsidRDefault="002745C3" w:rsidP="002745C3">
      <w:pPr>
        <w:rPr>
          <w:rFonts w:ascii="Bookman Old Style" w:hAnsi="Bookman Old Style" w:cstheme="minorHAnsi"/>
          <w:sz w:val="22"/>
        </w:rPr>
      </w:pPr>
      <w:r w:rsidRPr="00CC7F93">
        <w:rPr>
          <w:rFonts w:ascii="Bookman Old Style" w:hAnsi="Bookman Old Style" w:cstheme="minorHAnsi"/>
          <w:sz w:val="22"/>
        </w:rPr>
        <w:t xml:space="preserve">Ciudad </w:t>
      </w:r>
    </w:p>
    <w:p w:rsidR="002745C3" w:rsidRPr="00CC7F93" w:rsidRDefault="002745C3" w:rsidP="002745C3">
      <w:pPr>
        <w:rPr>
          <w:rFonts w:ascii="Bookman Old Style" w:hAnsi="Bookman Old Style" w:cstheme="minorHAnsi"/>
          <w:b/>
          <w:sz w:val="22"/>
        </w:rPr>
      </w:pPr>
    </w:p>
    <w:p w:rsidR="002745C3" w:rsidRPr="00CC7F93" w:rsidRDefault="002745C3" w:rsidP="002745C3">
      <w:pPr>
        <w:jc w:val="right"/>
        <w:rPr>
          <w:rFonts w:ascii="Bookman Old Style" w:hAnsi="Bookman Old Style" w:cstheme="minorHAnsi"/>
          <w:b/>
          <w:sz w:val="22"/>
        </w:rPr>
      </w:pPr>
      <w:r w:rsidRPr="00CC7F93">
        <w:rPr>
          <w:rFonts w:ascii="Bookman Old Style" w:hAnsi="Bookman Old Style" w:cstheme="minorHAnsi"/>
          <w:b/>
          <w:sz w:val="22"/>
        </w:rPr>
        <w:t>REF: RADICACIÓN PROYECTO DE LEY</w:t>
      </w:r>
    </w:p>
    <w:p w:rsidR="002745C3" w:rsidRPr="00CC7F93" w:rsidRDefault="002745C3" w:rsidP="002745C3">
      <w:pPr>
        <w:rPr>
          <w:rFonts w:ascii="Bookman Old Style" w:hAnsi="Bookman Old Style" w:cstheme="minorHAnsi"/>
          <w:b/>
          <w:sz w:val="22"/>
        </w:rPr>
      </w:pPr>
    </w:p>
    <w:p w:rsidR="002745C3" w:rsidRPr="00CC7F93" w:rsidRDefault="002745C3" w:rsidP="002745C3">
      <w:pPr>
        <w:rPr>
          <w:rFonts w:ascii="Bookman Old Style" w:hAnsi="Bookman Old Style" w:cstheme="minorHAnsi"/>
          <w:b/>
          <w:sz w:val="22"/>
        </w:rPr>
      </w:pPr>
    </w:p>
    <w:p w:rsidR="002745C3" w:rsidRPr="00CC7F93" w:rsidRDefault="002745C3" w:rsidP="002745C3">
      <w:pPr>
        <w:rPr>
          <w:rFonts w:ascii="Bookman Old Style" w:hAnsi="Bookman Old Style" w:cstheme="minorHAnsi"/>
          <w:bCs/>
          <w:sz w:val="22"/>
        </w:rPr>
      </w:pPr>
      <w:r w:rsidRPr="00CC7F93">
        <w:rPr>
          <w:rFonts w:ascii="Bookman Old Style" w:hAnsi="Bookman Old Style" w:cstheme="minorHAnsi"/>
          <w:bCs/>
          <w:sz w:val="22"/>
        </w:rPr>
        <w:t>Respetado Señor Secretario General:</w:t>
      </w:r>
    </w:p>
    <w:p w:rsidR="002745C3" w:rsidRPr="00CC7F93" w:rsidRDefault="002745C3" w:rsidP="002745C3">
      <w:pPr>
        <w:rPr>
          <w:rFonts w:ascii="Bookman Old Style" w:hAnsi="Bookman Old Style" w:cstheme="minorHAnsi"/>
          <w:b/>
          <w:sz w:val="22"/>
        </w:rPr>
      </w:pPr>
    </w:p>
    <w:p w:rsidR="002745C3" w:rsidRPr="00CC7F93" w:rsidRDefault="002745C3" w:rsidP="002745C3">
      <w:pPr>
        <w:pBdr>
          <w:top w:val="nil"/>
          <w:left w:val="nil"/>
          <w:bottom w:val="nil"/>
          <w:right w:val="nil"/>
          <w:between w:val="nil"/>
        </w:pBdr>
        <w:jc w:val="both"/>
        <w:rPr>
          <w:rFonts w:ascii="Bookman Old Style" w:eastAsia="Bookman Old Style" w:hAnsi="Bookman Old Style" w:cs="Bookman Old Style"/>
          <w:b/>
          <w:i/>
          <w:color w:val="000000"/>
          <w:sz w:val="22"/>
        </w:rPr>
      </w:pPr>
      <w:r w:rsidRPr="00CC7F93">
        <w:rPr>
          <w:rFonts w:ascii="Bookman Old Style" w:hAnsi="Bookman Old Style" w:cstheme="minorHAnsi"/>
          <w:sz w:val="22"/>
        </w:rPr>
        <w:t xml:space="preserve">En </w:t>
      </w:r>
      <w:r w:rsidR="000E7F84">
        <w:rPr>
          <w:rFonts w:ascii="Bookman Old Style" w:hAnsi="Bookman Old Style" w:cstheme="minorHAnsi"/>
          <w:sz w:val="22"/>
        </w:rPr>
        <w:t xml:space="preserve">nuestra </w:t>
      </w:r>
      <w:r w:rsidRPr="00CC7F93">
        <w:rPr>
          <w:rFonts w:ascii="Bookman Old Style" w:hAnsi="Bookman Old Style" w:cstheme="minorHAnsi"/>
          <w:sz w:val="22"/>
        </w:rPr>
        <w:t>condición de miembro</w:t>
      </w:r>
      <w:r w:rsidR="000E7F84">
        <w:rPr>
          <w:rFonts w:ascii="Bookman Old Style" w:hAnsi="Bookman Old Style" w:cstheme="minorHAnsi"/>
          <w:sz w:val="22"/>
        </w:rPr>
        <w:t>s</w:t>
      </w:r>
      <w:r w:rsidRPr="00CC7F93">
        <w:rPr>
          <w:rFonts w:ascii="Bookman Old Style" w:hAnsi="Bookman Old Style" w:cstheme="minorHAnsi"/>
          <w:sz w:val="22"/>
        </w:rPr>
        <w:t xml:space="preserve"> del Congreso de la República y en uso del derecho consagrado en el artículo 150 de la Constitución Política de Colombia, por su digno conducto </w:t>
      </w:r>
      <w:r w:rsidR="000E7F84">
        <w:rPr>
          <w:rFonts w:ascii="Bookman Old Style" w:hAnsi="Bookman Old Style" w:cstheme="minorHAnsi"/>
          <w:sz w:val="22"/>
        </w:rPr>
        <w:t>nos</w:t>
      </w:r>
      <w:r w:rsidRPr="00CC7F93">
        <w:rPr>
          <w:rFonts w:ascii="Bookman Old Style" w:hAnsi="Bookman Old Style" w:cstheme="minorHAnsi"/>
          <w:sz w:val="22"/>
        </w:rPr>
        <w:t xml:space="preserve"> permit</w:t>
      </w:r>
      <w:r w:rsidR="000E7F84">
        <w:rPr>
          <w:rFonts w:ascii="Bookman Old Style" w:hAnsi="Bookman Old Style" w:cstheme="minorHAnsi"/>
          <w:sz w:val="22"/>
        </w:rPr>
        <w:t>imos</w:t>
      </w:r>
      <w:r w:rsidRPr="00CC7F93">
        <w:rPr>
          <w:rFonts w:ascii="Bookman Old Style" w:hAnsi="Bookman Old Style" w:cstheme="minorHAnsi"/>
          <w:sz w:val="22"/>
        </w:rPr>
        <w:t xml:space="preserve"> poner a consideración de la Honorable Cámara de Representantes el siguiente proyecto de Ley </w:t>
      </w:r>
      <w:r w:rsidRPr="00CC7F93">
        <w:rPr>
          <w:rFonts w:ascii="Bookman Old Style" w:hAnsi="Bookman Old Style" w:cstheme="minorHAnsi"/>
          <w:b/>
          <w:i/>
          <w:sz w:val="22"/>
        </w:rPr>
        <w:t>“</w:t>
      </w:r>
      <w:r w:rsidRPr="00CC7F93">
        <w:rPr>
          <w:rFonts w:ascii="Bookman Old Style" w:eastAsia="Bookman Old Style" w:hAnsi="Bookman Old Style" w:cs="Bookman Old Style"/>
          <w:b/>
          <w:i/>
          <w:color w:val="000000"/>
          <w:sz w:val="22"/>
        </w:rPr>
        <w:t>Por el cual se eliminan las prácticas taurinas en el territorio nacional y se dictan otras disposiciones”</w:t>
      </w:r>
    </w:p>
    <w:p w:rsidR="002745C3" w:rsidRPr="00CC7F93" w:rsidRDefault="002745C3" w:rsidP="002745C3">
      <w:pPr>
        <w:jc w:val="both"/>
        <w:rPr>
          <w:rFonts w:ascii="Bookman Old Style" w:hAnsi="Bookman Old Style" w:cs="Arial"/>
          <w:b/>
          <w:i/>
          <w:sz w:val="22"/>
        </w:rPr>
      </w:pPr>
    </w:p>
    <w:p w:rsidR="002745C3" w:rsidRPr="00CC7F93" w:rsidRDefault="002745C3" w:rsidP="00CB7949">
      <w:pPr>
        <w:jc w:val="both"/>
        <w:rPr>
          <w:rFonts w:ascii="Bookman Old Style" w:hAnsi="Bookman Old Style" w:cstheme="minorHAnsi"/>
          <w:sz w:val="22"/>
        </w:rPr>
      </w:pPr>
      <w:r w:rsidRPr="00CC7F93">
        <w:rPr>
          <w:rFonts w:ascii="Bookman Old Style" w:hAnsi="Bookman Old Style" w:cstheme="minorHAnsi"/>
          <w:sz w:val="22"/>
        </w:rPr>
        <w:t xml:space="preserve">Cordialmente, </w:t>
      </w:r>
    </w:p>
    <w:p w:rsidR="007316F9" w:rsidRDefault="007316F9" w:rsidP="00CB7949">
      <w:pPr>
        <w:jc w:val="both"/>
        <w:rPr>
          <w:rFonts w:ascii="Bookman Old Style" w:hAnsi="Bookman Old Style" w:cstheme="minorHAnsi"/>
        </w:rPr>
      </w:pPr>
    </w:p>
    <w:p w:rsidR="007316F9" w:rsidRDefault="007316F9" w:rsidP="00CB7949">
      <w:pPr>
        <w:jc w:val="both"/>
        <w:rPr>
          <w:rFonts w:ascii="Bookman Old Style" w:hAnsi="Bookman Old Style" w:cstheme="minorHAnsi"/>
        </w:rPr>
      </w:pPr>
    </w:p>
    <w:p w:rsidR="00CB7949" w:rsidRPr="00126A9E" w:rsidRDefault="00CB7949" w:rsidP="00CB7949">
      <w:pPr>
        <w:jc w:val="both"/>
        <w:rPr>
          <w:rFonts w:ascii="Bookman Old Style" w:hAnsi="Bookman Old Style" w:cstheme="minorHAnsi"/>
        </w:rPr>
      </w:pPr>
    </w:p>
    <w:p w:rsidR="007316F9" w:rsidRDefault="007316F9" w:rsidP="00CB7949">
      <w:pPr>
        <w:pBdr>
          <w:top w:val="nil"/>
          <w:left w:val="nil"/>
          <w:bottom w:val="nil"/>
          <w:right w:val="nil"/>
          <w:between w:val="nil"/>
        </w:pBdr>
        <w:ind w:right="115"/>
        <w:jc w:val="center"/>
        <w:rPr>
          <w:rFonts w:ascii="Bookman Old Style" w:hAnsi="Bookman Old Style" w:cstheme="minorHAnsi"/>
        </w:rPr>
        <w:sectPr w:rsidR="007316F9" w:rsidSect="003826E0">
          <w:headerReference w:type="default" r:id="rId8"/>
          <w:footerReference w:type="default" r:id="rId9"/>
          <w:pgSz w:w="12240" w:h="15840"/>
          <w:pgMar w:top="1417" w:right="1701" w:bottom="1417" w:left="1701" w:header="708" w:footer="708" w:gutter="0"/>
          <w:pgNumType w:start="1"/>
          <w:cols w:space="720"/>
          <w:docGrid w:linePitch="360"/>
        </w:sectPr>
      </w:pPr>
    </w:p>
    <w:p w:rsidR="002745C3" w:rsidRPr="00CC7F93" w:rsidRDefault="002745C3" w:rsidP="000E7F84">
      <w:pPr>
        <w:pBdr>
          <w:top w:val="nil"/>
          <w:left w:val="nil"/>
          <w:bottom w:val="nil"/>
          <w:right w:val="nil"/>
          <w:between w:val="nil"/>
        </w:pBdr>
        <w:ind w:right="115"/>
        <w:rPr>
          <w:rFonts w:ascii="Bookman Old Style" w:hAnsi="Bookman Old Style" w:cstheme="minorHAnsi"/>
          <w:b/>
          <w:sz w:val="22"/>
        </w:rPr>
      </w:pPr>
      <w:r w:rsidRPr="00126A9E">
        <w:rPr>
          <w:rFonts w:ascii="Bookman Old Style" w:hAnsi="Bookman Old Style" w:cstheme="minorHAnsi"/>
        </w:rPr>
        <w:lastRenderedPageBreak/>
        <w:t>________________________________</w:t>
      </w:r>
      <w:r w:rsidRPr="00126A9E">
        <w:rPr>
          <w:rFonts w:ascii="Bookman Old Style" w:hAnsi="Bookman Old Style" w:cstheme="minorHAnsi"/>
        </w:rPr>
        <w:br/>
      </w:r>
      <w:r w:rsidRPr="00CC7F93">
        <w:rPr>
          <w:rFonts w:ascii="Bookman Old Style" w:hAnsi="Bookman Old Style" w:cstheme="minorHAnsi"/>
          <w:b/>
          <w:sz w:val="22"/>
        </w:rPr>
        <w:t xml:space="preserve">JUAN CARLOS LOZADA </w:t>
      </w:r>
    </w:p>
    <w:p w:rsidR="007316F9" w:rsidRPr="00CC7F93" w:rsidRDefault="002745C3" w:rsidP="000E7F84">
      <w:pPr>
        <w:pBdr>
          <w:top w:val="nil"/>
          <w:left w:val="nil"/>
          <w:bottom w:val="nil"/>
          <w:right w:val="nil"/>
          <w:between w:val="nil"/>
        </w:pBdr>
        <w:ind w:right="115"/>
        <w:rPr>
          <w:rFonts w:ascii="Bookman Old Style" w:hAnsi="Bookman Old Style" w:cstheme="minorHAnsi"/>
          <w:sz w:val="22"/>
        </w:rPr>
      </w:pPr>
      <w:r w:rsidRPr="00CC7F93">
        <w:rPr>
          <w:rFonts w:ascii="Bookman Old Style" w:hAnsi="Bookman Old Style" w:cstheme="minorHAnsi"/>
          <w:sz w:val="22"/>
        </w:rPr>
        <w:t xml:space="preserve">Representante a la Cámara </w:t>
      </w:r>
      <w:r w:rsidRPr="00CC7F93">
        <w:rPr>
          <w:rFonts w:ascii="Bookman Old Style" w:hAnsi="Bookman Old Style" w:cstheme="minorHAnsi"/>
          <w:sz w:val="22"/>
        </w:rPr>
        <w:br/>
        <w:t>Partido Liberal Colombiano</w:t>
      </w:r>
    </w:p>
    <w:p w:rsidR="007316F9" w:rsidRPr="00CC7F93" w:rsidRDefault="007316F9" w:rsidP="000E7F84">
      <w:pPr>
        <w:pBdr>
          <w:top w:val="nil"/>
          <w:left w:val="nil"/>
          <w:bottom w:val="nil"/>
          <w:right w:val="nil"/>
          <w:between w:val="nil"/>
        </w:pBdr>
        <w:ind w:right="115"/>
        <w:rPr>
          <w:rFonts w:ascii="Bookman Old Style" w:hAnsi="Bookman Old Style" w:cstheme="minorHAnsi"/>
          <w:sz w:val="22"/>
        </w:rPr>
      </w:pPr>
      <w:r w:rsidRPr="00CC7F93">
        <w:rPr>
          <w:rFonts w:ascii="Bookman Old Style" w:hAnsi="Bookman Old Style" w:cstheme="minorHAnsi"/>
          <w:sz w:val="22"/>
        </w:rPr>
        <w:lastRenderedPageBreak/>
        <w:t>_______________________________</w:t>
      </w:r>
    </w:p>
    <w:p w:rsidR="007316F9" w:rsidRPr="00CC7F93" w:rsidRDefault="007316F9" w:rsidP="000E7F84">
      <w:pPr>
        <w:pBdr>
          <w:top w:val="nil"/>
          <w:left w:val="nil"/>
          <w:bottom w:val="nil"/>
          <w:right w:val="nil"/>
          <w:between w:val="nil"/>
        </w:pBdr>
        <w:ind w:right="115"/>
        <w:rPr>
          <w:rFonts w:ascii="Bookman Old Style" w:hAnsi="Bookman Old Style" w:cstheme="minorHAnsi"/>
          <w:b/>
          <w:sz w:val="22"/>
        </w:rPr>
      </w:pPr>
      <w:r w:rsidRPr="00CC7F93">
        <w:rPr>
          <w:rFonts w:ascii="Bookman Old Style" w:hAnsi="Bookman Old Style" w:cstheme="minorHAnsi"/>
          <w:b/>
          <w:sz w:val="22"/>
        </w:rPr>
        <w:t xml:space="preserve">ÁNGEL MARIA GAITAN </w:t>
      </w:r>
    </w:p>
    <w:p w:rsidR="007316F9" w:rsidRPr="00CC7F93" w:rsidRDefault="007316F9" w:rsidP="000E7F84">
      <w:pPr>
        <w:pBdr>
          <w:top w:val="nil"/>
          <w:left w:val="nil"/>
          <w:bottom w:val="nil"/>
          <w:right w:val="nil"/>
          <w:between w:val="nil"/>
        </w:pBdr>
        <w:ind w:right="115"/>
        <w:rPr>
          <w:rFonts w:ascii="Bookman Old Style" w:hAnsi="Bookman Old Style" w:cstheme="minorHAnsi"/>
          <w:sz w:val="22"/>
        </w:rPr>
      </w:pPr>
      <w:r w:rsidRPr="00CC7F93">
        <w:rPr>
          <w:rFonts w:ascii="Bookman Old Style" w:hAnsi="Bookman Old Style" w:cstheme="minorHAnsi"/>
          <w:sz w:val="22"/>
        </w:rPr>
        <w:t xml:space="preserve">Representante a la Cámara </w:t>
      </w:r>
    </w:p>
    <w:p w:rsidR="007316F9" w:rsidRPr="00CC7F93" w:rsidRDefault="007316F9" w:rsidP="000E7F84">
      <w:pPr>
        <w:pBdr>
          <w:top w:val="nil"/>
          <w:left w:val="nil"/>
          <w:bottom w:val="nil"/>
          <w:right w:val="nil"/>
          <w:between w:val="nil"/>
        </w:pBdr>
        <w:ind w:right="115"/>
        <w:rPr>
          <w:rFonts w:ascii="Bookman Old Style" w:hAnsi="Bookman Old Style" w:cstheme="minorHAnsi"/>
          <w:sz w:val="22"/>
        </w:rPr>
      </w:pPr>
      <w:r w:rsidRPr="00CC7F93">
        <w:rPr>
          <w:rFonts w:ascii="Bookman Old Style" w:hAnsi="Bookman Old Style" w:cstheme="minorHAnsi"/>
          <w:sz w:val="22"/>
        </w:rPr>
        <w:t>Partido Liberal Colombiano</w:t>
      </w:r>
    </w:p>
    <w:p w:rsidR="007316F9" w:rsidRPr="00CC7F93" w:rsidRDefault="007316F9" w:rsidP="000E7F84">
      <w:pPr>
        <w:pBdr>
          <w:top w:val="nil"/>
          <w:left w:val="nil"/>
          <w:bottom w:val="nil"/>
          <w:right w:val="nil"/>
          <w:between w:val="nil"/>
        </w:pBdr>
        <w:ind w:right="115"/>
        <w:rPr>
          <w:rFonts w:ascii="Bookman Old Style" w:hAnsi="Bookman Old Style" w:cstheme="minorHAnsi"/>
          <w:sz w:val="22"/>
        </w:rPr>
        <w:sectPr w:rsidR="007316F9" w:rsidRPr="00CC7F93" w:rsidSect="007316F9">
          <w:type w:val="continuous"/>
          <w:pgSz w:w="12240" w:h="15840"/>
          <w:pgMar w:top="1417" w:right="1701" w:bottom="1417" w:left="1701" w:header="708" w:footer="708" w:gutter="0"/>
          <w:pgNumType w:start="1"/>
          <w:cols w:num="2" w:space="720"/>
          <w:docGrid w:linePitch="360"/>
        </w:sectPr>
      </w:pPr>
    </w:p>
    <w:p w:rsidR="00CC7F93" w:rsidRPr="00CC7F93" w:rsidRDefault="00CC7F93" w:rsidP="000E7F84">
      <w:pPr>
        <w:rPr>
          <w:sz w:val="22"/>
        </w:rPr>
      </w:pPr>
    </w:p>
    <w:p w:rsidR="00CB7949" w:rsidRPr="00CC7F93" w:rsidRDefault="00CB7949" w:rsidP="000E7F84">
      <w:pPr>
        <w:pBdr>
          <w:top w:val="nil"/>
          <w:left w:val="nil"/>
          <w:bottom w:val="nil"/>
          <w:right w:val="nil"/>
          <w:between w:val="nil"/>
        </w:pBdr>
        <w:ind w:right="115"/>
        <w:rPr>
          <w:rFonts w:ascii="Bookman Old Style" w:hAnsi="Bookman Old Style" w:cstheme="minorHAnsi"/>
          <w:sz w:val="22"/>
        </w:rPr>
      </w:pPr>
    </w:p>
    <w:p w:rsidR="00CB7949" w:rsidRPr="00CC7F93" w:rsidRDefault="00CB7949" w:rsidP="000E7F84">
      <w:pPr>
        <w:pBdr>
          <w:top w:val="nil"/>
          <w:left w:val="nil"/>
          <w:bottom w:val="nil"/>
          <w:right w:val="nil"/>
          <w:between w:val="nil"/>
        </w:pBdr>
        <w:ind w:right="115"/>
        <w:rPr>
          <w:rFonts w:ascii="Bookman Old Style" w:hAnsi="Bookman Old Style" w:cstheme="minorHAnsi"/>
          <w:sz w:val="22"/>
        </w:rPr>
        <w:sectPr w:rsidR="00CB7949" w:rsidRPr="00CC7F93" w:rsidSect="007316F9">
          <w:type w:val="continuous"/>
          <w:pgSz w:w="12240" w:h="15840"/>
          <w:pgMar w:top="1417" w:right="1701" w:bottom="1417" w:left="1701" w:header="708" w:footer="708" w:gutter="0"/>
          <w:pgNumType w:start="1"/>
          <w:cols w:space="720"/>
          <w:docGrid w:linePitch="360"/>
        </w:sectPr>
      </w:pPr>
    </w:p>
    <w:p w:rsidR="00CC7F93" w:rsidRDefault="00CC7F93" w:rsidP="000E7F84">
      <w:pPr>
        <w:pBdr>
          <w:top w:val="nil"/>
          <w:left w:val="nil"/>
          <w:bottom w:val="single" w:sz="12" w:space="1" w:color="auto"/>
          <w:right w:val="nil"/>
          <w:between w:val="nil"/>
        </w:pBdr>
        <w:ind w:right="115"/>
        <w:rPr>
          <w:rFonts w:ascii="Bookman Old Style" w:hAnsi="Bookman Old Style" w:cstheme="minorHAnsi"/>
          <w:sz w:val="22"/>
        </w:rPr>
      </w:pPr>
    </w:p>
    <w:p w:rsidR="00CB7949" w:rsidRPr="00CC7F93" w:rsidRDefault="00CB7949" w:rsidP="000E7F84">
      <w:pPr>
        <w:pBdr>
          <w:left w:val="nil"/>
          <w:bottom w:val="nil"/>
          <w:right w:val="nil"/>
          <w:between w:val="nil"/>
        </w:pBdr>
        <w:ind w:right="115"/>
        <w:rPr>
          <w:rFonts w:ascii="Bookman Old Style" w:hAnsi="Bookman Old Style" w:cstheme="minorHAnsi"/>
          <w:sz w:val="22"/>
        </w:rPr>
      </w:pPr>
      <w:r w:rsidRPr="00CC7F93">
        <w:rPr>
          <w:rFonts w:ascii="Bookman Old Style" w:hAnsi="Bookman Old Style" w:cstheme="minorHAnsi"/>
          <w:b/>
          <w:sz w:val="22"/>
        </w:rPr>
        <w:t xml:space="preserve">JOSÉ DANIEL LÓPEZ </w:t>
      </w:r>
    </w:p>
    <w:p w:rsidR="00CB7949" w:rsidRPr="00CC7F93" w:rsidRDefault="00CB7949" w:rsidP="000E7F84">
      <w:pPr>
        <w:pBdr>
          <w:top w:val="nil"/>
          <w:left w:val="nil"/>
          <w:bottom w:val="nil"/>
          <w:right w:val="nil"/>
          <w:between w:val="nil"/>
        </w:pBdr>
        <w:ind w:right="115"/>
        <w:rPr>
          <w:rFonts w:ascii="Bookman Old Style" w:hAnsi="Bookman Old Style" w:cstheme="minorHAnsi"/>
          <w:sz w:val="22"/>
        </w:rPr>
      </w:pPr>
      <w:r w:rsidRPr="00CC7F93">
        <w:rPr>
          <w:rFonts w:ascii="Bookman Old Style" w:hAnsi="Bookman Old Style" w:cstheme="minorHAnsi"/>
          <w:sz w:val="22"/>
        </w:rPr>
        <w:t>Representante a la Cámara</w:t>
      </w:r>
    </w:p>
    <w:p w:rsidR="00CB7949" w:rsidRPr="00CC7F93" w:rsidRDefault="00CB7949" w:rsidP="000E7F84">
      <w:pPr>
        <w:pBdr>
          <w:top w:val="nil"/>
          <w:left w:val="nil"/>
          <w:bottom w:val="nil"/>
          <w:right w:val="nil"/>
          <w:between w:val="nil"/>
        </w:pBdr>
        <w:ind w:right="115"/>
        <w:rPr>
          <w:rFonts w:ascii="Bookman Old Style" w:hAnsi="Bookman Old Style" w:cstheme="minorHAnsi"/>
          <w:sz w:val="22"/>
        </w:rPr>
      </w:pPr>
      <w:r w:rsidRPr="00CC7F93">
        <w:rPr>
          <w:rFonts w:ascii="Bookman Old Style" w:hAnsi="Bookman Old Style" w:cstheme="minorHAnsi"/>
          <w:sz w:val="22"/>
        </w:rPr>
        <w:t xml:space="preserve">Cambio Radical </w:t>
      </w:r>
    </w:p>
    <w:p w:rsidR="00CB7949" w:rsidRPr="00CC7F93" w:rsidRDefault="00CB7949" w:rsidP="000E7F84">
      <w:pPr>
        <w:pBdr>
          <w:top w:val="nil"/>
          <w:left w:val="nil"/>
          <w:bottom w:val="nil"/>
          <w:right w:val="nil"/>
          <w:between w:val="nil"/>
        </w:pBdr>
        <w:ind w:right="115"/>
        <w:rPr>
          <w:rFonts w:ascii="Bookman Old Style" w:hAnsi="Bookman Old Style" w:cstheme="minorHAnsi"/>
          <w:sz w:val="22"/>
        </w:rPr>
      </w:pPr>
      <w:r w:rsidRPr="00CC7F93">
        <w:rPr>
          <w:rFonts w:ascii="Bookman Old Style" w:hAnsi="Bookman Old Style" w:cstheme="minorHAnsi"/>
          <w:sz w:val="22"/>
        </w:rPr>
        <w:lastRenderedPageBreak/>
        <w:t>____________________________</w:t>
      </w:r>
    </w:p>
    <w:p w:rsidR="00CB7949" w:rsidRPr="00CC7F93" w:rsidRDefault="00CB7949" w:rsidP="000E7F84">
      <w:pPr>
        <w:pBdr>
          <w:top w:val="nil"/>
          <w:left w:val="nil"/>
          <w:bottom w:val="nil"/>
          <w:right w:val="nil"/>
          <w:between w:val="nil"/>
        </w:pBdr>
        <w:ind w:right="115"/>
        <w:rPr>
          <w:rFonts w:ascii="Bookman Old Style" w:hAnsi="Bookman Old Style" w:cstheme="minorHAnsi"/>
          <w:b/>
          <w:sz w:val="22"/>
        </w:rPr>
      </w:pPr>
      <w:r w:rsidRPr="00CC7F93">
        <w:rPr>
          <w:rFonts w:ascii="Bookman Old Style" w:hAnsi="Bookman Old Style" w:cstheme="minorHAnsi"/>
          <w:b/>
          <w:sz w:val="22"/>
        </w:rPr>
        <w:t xml:space="preserve">INTI RAÚL ASPRILLA </w:t>
      </w:r>
      <w:r w:rsidRPr="00CC7F93">
        <w:rPr>
          <w:rFonts w:ascii="Bookman Old Style" w:hAnsi="Bookman Old Style" w:cstheme="minorHAnsi"/>
          <w:sz w:val="22"/>
        </w:rPr>
        <w:t xml:space="preserve">Representante a la Cámara </w:t>
      </w:r>
    </w:p>
    <w:p w:rsidR="00CB7949" w:rsidRPr="00CC7F93" w:rsidRDefault="00CB7949" w:rsidP="000E7F84">
      <w:pPr>
        <w:pBdr>
          <w:top w:val="nil"/>
          <w:left w:val="nil"/>
          <w:bottom w:val="nil"/>
          <w:right w:val="nil"/>
          <w:between w:val="nil"/>
        </w:pBdr>
        <w:ind w:right="115"/>
        <w:rPr>
          <w:rFonts w:ascii="Bookman Old Style" w:hAnsi="Bookman Old Style" w:cstheme="minorHAnsi"/>
          <w:sz w:val="22"/>
        </w:rPr>
      </w:pPr>
      <w:r w:rsidRPr="00CC7F93">
        <w:rPr>
          <w:rFonts w:ascii="Bookman Old Style" w:hAnsi="Bookman Old Style" w:cstheme="minorHAnsi"/>
          <w:sz w:val="22"/>
        </w:rPr>
        <w:t>Alianza Verd</w:t>
      </w:r>
      <w:r w:rsidR="00E5629A" w:rsidRPr="00CC7F93">
        <w:rPr>
          <w:rFonts w:ascii="Bookman Old Style" w:hAnsi="Bookman Old Style" w:cstheme="minorHAnsi"/>
          <w:sz w:val="22"/>
        </w:rPr>
        <w:t>e</w:t>
      </w:r>
    </w:p>
    <w:p w:rsidR="00CC7F93" w:rsidRPr="00CC7F93" w:rsidRDefault="00CC7F93" w:rsidP="00CC7F93">
      <w:pPr>
        <w:pBdr>
          <w:top w:val="nil"/>
          <w:left w:val="nil"/>
          <w:bottom w:val="nil"/>
          <w:right w:val="nil"/>
          <w:between w:val="nil"/>
        </w:pBdr>
        <w:ind w:right="115"/>
        <w:rPr>
          <w:rFonts w:ascii="Bookman Old Style" w:hAnsi="Bookman Old Style" w:cstheme="minorHAnsi"/>
          <w:sz w:val="22"/>
        </w:rPr>
        <w:sectPr w:rsidR="00CC7F93" w:rsidRPr="00CC7F93" w:rsidSect="00CB7949">
          <w:type w:val="continuous"/>
          <w:pgSz w:w="12240" w:h="15840"/>
          <w:pgMar w:top="1417" w:right="1701" w:bottom="1417" w:left="1701" w:header="708" w:footer="708" w:gutter="0"/>
          <w:pgNumType w:start="1"/>
          <w:cols w:num="2" w:space="720"/>
          <w:docGrid w:linePitch="360"/>
        </w:sectPr>
      </w:pPr>
    </w:p>
    <w:p w:rsidR="00CC7F93" w:rsidRDefault="00CC7F93" w:rsidP="00E5629A">
      <w:pPr>
        <w:pBdr>
          <w:top w:val="nil"/>
          <w:left w:val="nil"/>
          <w:bottom w:val="nil"/>
          <w:right w:val="nil"/>
          <w:between w:val="nil"/>
        </w:pBdr>
        <w:ind w:right="20"/>
        <w:rPr>
          <w:rFonts w:ascii="Bookman Old Style" w:eastAsia="Bookman Old Style" w:hAnsi="Bookman Old Style" w:cs="Bookman Old Style"/>
          <w:b/>
          <w:color w:val="000000"/>
        </w:rPr>
      </w:pPr>
    </w:p>
    <w:p w:rsidR="00CC7F93" w:rsidRDefault="000E7F84" w:rsidP="00E5629A">
      <w:pPr>
        <w:pBdr>
          <w:top w:val="nil"/>
          <w:left w:val="nil"/>
          <w:bottom w:val="nil"/>
          <w:right w:val="nil"/>
          <w:between w:val="nil"/>
        </w:pBdr>
        <w:ind w:right="20"/>
        <w:rPr>
          <w:rFonts w:ascii="Bookman Old Style" w:eastAsia="Bookman Old Style" w:hAnsi="Bookman Old Style" w:cs="Bookman Old Style"/>
          <w:b/>
          <w:color w:val="000000"/>
        </w:rPr>
      </w:pPr>
      <w:r w:rsidRPr="00126A9E">
        <w:rPr>
          <w:rFonts w:ascii="Bookman Old Style" w:hAnsi="Bookman Old Style" w:cstheme="minorHAnsi"/>
        </w:rPr>
        <w:t>________________________________</w:t>
      </w:r>
    </w:p>
    <w:p w:rsidR="00CC7F93" w:rsidRDefault="00CC7F93" w:rsidP="000E7F84">
      <w:pPr>
        <w:pBdr>
          <w:top w:val="nil"/>
          <w:left w:val="nil"/>
          <w:bottom w:val="nil"/>
          <w:right w:val="nil"/>
          <w:between w:val="nil"/>
        </w:pBdr>
        <w:ind w:right="20"/>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FABIAN DÍAZ PLATA</w:t>
      </w:r>
    </w:p>
    <w:p w:rsidR="00CC7F93" w:rsidRPr="000E7F84" w:rsidRDefault="00CC7F93" w:rsidP="000E7F84">
      <w:pPr>
        <w:pBdr>
          <w:top w:val="nil"/>
          <w:left w:val="nil"/>
          <w:bottom w:val="nil"/>
          <w:right w:val="nil"/>
          <w:between w:val="nil"/>
        </w:pBdr>
        <w:ind w:right="20"/>
        <w:rPr>
          <w:rFonts w:ascii="Bookman Old Style" w:eastAsia="Bookman Old Style" w:hAnsi="Bookman Old Style" w:cs="Bookman Old Style"/>
          <w:color w:val="000000"/>
        </w:rPr>
      </w:pPr>
      <w:r w:rsidRPr="000E7F84">
        <w:rPr>
          <w:rFonts w:ascii="Bookman Old Style" w:eastAsia="Bookman Old Style" w:hAnsi="Bookman Old Style" w:cs="Bookman Old Style"/>
          <w:color w:val="000000"/>
        </w:rPr>
        <w:t>Representante a la Cámara</w:t>
      </w:r>
    </w:p>
    <w:p w:rsidR="00CC7F93" w:rsidRDefault="00CC7F93">
      <w:pPr>
        <w:pBdr>
          <w:top w:val="nil"/>
          <w:left w:val="nil"/>
          <w:bottom w:val="nil"/>
          <w:right w:val="nil"/>
          <w:between w:val="nil"/>
        </w:pBdr>
        <w:ind w:left="20" w:right="20"/>
        <w:jc w:val="center"/>
        <w:rPr>
          <w:rFonts w:ascii="Bookman Old Style" w:eastAsia="Bookman Old Style" w:hAnsi="Bookman Old Style" w:cs="Bookman Old Style"/>
          <w:b/>
          <w:color w:val="000000"/>
        </w:rPr>
      </w:pPr>
    </w:p>
    <w:p w:rsidR="00CC7F93" w:rsidRDefault="00CC7F93" w:rsidP="000E7F84">
      <w:pPr>
        <w:pBdr>
          <w:top w:val="nil"/>
          <w:left w:val="nil"/>
          <w:bottom w:val="nil"/>
          <w:right w:val="nil"/>
          <w:between w:val="nil"/>
        </w:pBdr>
        <w:ind w:right="20"/>
        <w:rPr>
          <w:rFonts w:ascii="Bookman Old Style" w:eastAsia="Bookman Old Style" w:hAnsi="Bookman Old Style" w:cs="Bookman Old Style"/>
          <w:b/>
          <w:color w:val="000000"/>
        </w:rPr>
      </w:pPr>
    </w:p>
    <w:p w:rsidR="00CC7F93" w:rsidRDefault="00CC7F93" w:rsidP="000E7F84">
      <w:pPr>
        <w:pBdr>
          <w:top w:val="nil"/>
          <w:left w:val="nil"/>
          <w:bottom w:val="nil"/>
          <w:right w:val="nil"/>
          <w:between w:val="nil"/>
        </w:pBdr>
        <w:ind w:right="20"/>
        <w:rPr>
          <w:rFonts w:ascii="Bookman Old Style" w:eastAsia="Bookman Old Style" w:hAnsi="Bookman Old Style" w:cs="Bookman Old Style"/>
          <w:b/>
          <w:color w:val="000000"/>
        </w:rPr>
      </w:pPr>
    </w:p>
    <w:p w:rsidR="00CC7F93" w:rsidRDefault="00CC7F93">
      <w:pPr>
        <w:pBdr>
          <w:top w:val="nil"/>
          <w:left w:val="nil"/>
          <w:bottom w:val="nil"/>
          <w:right w:val="nil"/>
          <w:between w:val="nil"/>
        </w:pBdr>
        <w:ind w:left="20" w:right="20"/>
        <w:jc w:val="center"/>
        <w:rPr>
          <w:rFonts w:ascii="Bookman Old Style" w:eastAsia="Bookman Old Style" w:hAnsi="Bookman Old Style" w:cs="Bookman Old Style"/>
          <w:b/>
          <w:color w:val="000000"/>
        </w:rPr>
      </w:pPr>
    </w:p>
    <w:p w:rsidR="00EE0E78" w:rsidRPr="00CC7F93" w:rsidRDefault="000F347E">
      <w:pPr>
        <w:pBdr>
          <w:top w:val="nil"/>
          <w:left w:val="nil"/>
          <w:bottom w:val="nil"/>
          <w:right w:val="nil"/>
          <w:between w:val="nil"/>
        </w:pBdr>
        <w:ind w:left="20" w:right="20"/>
        <w:jc w:val="center"/>
        <w:rPr>
          <w:rFonts w:ascii="Bookman Old Style" w:eastAsia="Bookman Old Style" w:hAnsi="Bookman Old Style" w:cs="Bookman Old Style"/>
          <w:b/>
          <w:color w:val="000000"/>
          <w:sz w:val="22"/>
        </w:rPr>
      </w:pPr>
      <w:r w:rsidRPr="00CC7F93">
        <w:rPr>
          <w:rFonts w:ascii="Bookman Old Style" w:eastAsia="Bookman Old Style" w:hAnsi="Bookman Old Style" w:cs="Bookman Old Style"/>
          <w:b/>
          <w:color w:val="000000"/>
          <w:sz w:val="22"/>
        </w:rPr>
        <w:lastRenderedPageBreak/>
        <w:t xml:space="preserve">PROYECTO DE LEY NÚMERO </w:t>
      </w:r>
      <w:r w:rsidR="00A34AE4" w:rsidRPr="00CC7F93">
        <w:rPr>
          <w:rFonts w:ascii="Bookman Old Style" w:eastAsia="Bookman Old Style" w:hAnsi="Bookman Old Style" w:cs="Bookman Old Style"/>
          <w:b/>
          <w:color w:val="000000"/>
          <w:sz w:val="22"/>
        </w:rPr>
        <w:t xml:space="preserve">____ </w:t>
      </w:r>
      <w:r w:rsidRPr="00CC7F93">
        <w:rPr>
          <w:rFonts w:ascii="Bookman Old Style" w:eastAsia="Bookman Old Style" w:hAnsi="Bookman Old Style" w:cs="Bookman Old Style"/>
          <w:b/>
          <w:color w:val="000000"/>
          <w:sz w:val="22"/>
        </w:rPr>
        <w:t>DE 20</w:t>
      </w:r>
      <w:r w:rsidR="00A34AE4" w:rsidRPr="00CC7F93">
        <w:rPr>
          <w:rFonts w:ascii="Bookman Old Style" w:eastAsia="Bookman Old Style" w:hAnsi="Bookman Old Style" w:cs="Bookman Old Style"/>
          <w:b/>
          <w:color w:val="000000"/>
          <w:sz w:val="22"/>
        </w:rPr>
        <w:t>20</w:t>
      </w:r>
      <w:r w:rsidRPr="00CC7F93">
        <w:rPr>
          <w:rFonts w:ascii="Bookman Old Style" w:eastAsia="Bookman Old Style" w:hAnsi="Bookman Old Style" w:cs="Bookman Old Style"/>
          <w:b/>
          <w:color w:val="000000"/>
          <w:sz w:val="22"/>
        </w:rPr>
        <w:t xml:space="preserve"> CÁMARA.</w:t>
      </w:r>
    </w:p>
    <w:p w:rsidR="00EE0E78" w:rsidRPr="00CC7F93" w:rsidRDefault="000F347E">
      <w:pPr>
        <w:pBdr>
          <w:top w:val="nil"/>
          <w:left w:val="nil"/>
          <w:bottom w:val="nil"/>
          <w:right w:val="nil"/>
          <w:between w:val="nil"/>
        </w:pBdr>
        <w:jc w:val="center"/>
        <w:rPr>
          <w:rFonts w:ascii="Bookman Old Style" w:eastAsia="Bookman Old Style" w:hAnsi="Bookman Old Style" w:cs="Bookman Old Style"/>
          <w:i/>
          <w:color w:val="000000"/>
          <w:sz w:val="22"/>
        </w:rPr>
      </w:pPr>
      <w:r w:rsidRPr="00CC7F93">
        <w:rPr>
          <w:rFonts w:ascii="Bookman Old Style" w:eastAsia="Bookman Old Style" w:hAnsi="Bookman Old Style" w:cs="Bookman Old Style"/>
          <w:i/>
          <w:color w:val="000000"/>
          <w:sz w:val="22"/>
        </w:rPr>
        <w:t xml:space="preserve"> </w:t>
      </w:r>
    </w:p>
    <w:p w:rsidR="00EE0E78" w:rsidRPr="00CC7F93" w:rsidRDefault="002745C3">
      <w:pPr>
        <w:pBdr>
          <w:top w:val="nil"/>
          <w:left w:val="nil"/>
          <w:bottom w:val="nil"/>
          <w:right w:val="nil"/>
          <w:between w:val="nil"/>
        </w:pBdr>
        <w:jc w:val="center"/>
        <w:rPr>
          <w:rFonts w:ascii="Bookman Old Style" w:eastAsia="Bookman Old Style" w:hAnsi="Bookman Old Style" w:cs="Bookman Old Style"/>
          <w:i/>
          <w:color w:val="000000"/>
          <w:sz w:val="22"/>
        </w:rPr>
      </w:pPr>
      <w:r w:rsidRPr="00CC7F93">
        <w:rPr>
          <w:rFonts w:ascii="Bookman Old Style" w:eastAsia="Bookman Old Style" w:hAnsi="Bookman Old Style" w:cs="Bookman Old Style"/>
          <w:i/>
          <w:color w:val="000000"/>
          <w:sz w:val="22"/>
        </w:rPr>
        <w:t>“</w:t>
      </w:r>
      <w:r w:rsidR="000F347E" w:rsidRPr="00CC7F93">
        <w:rPr>
          <w:rFonts w:ascii="Bookman Old Style" w:eastAsia="Bookman Old Style" w:hAnsi="Bookman Old Style" w:cs="Bookman Old Style"/>
          <w:i/>
          <w:color w:val="000000"/>
          <w:sz w:val="22"/>
        </w:rPr>
        <w:t xml:space="preserve">Por el cual se eliminan las prácticas taurinas en el territorio nacional </w:t>
      </w:r>
    </w:p>
    <w:p w:rsidR="00EE0E78" w:rsidRPr="00CC7F93" w:rsidRDefault="002745C3">
      <w:pPr>
        <w:pBdr>
          <w:top w:val="nil"/>
          <w:left w:val="nil"/>
          <w:bottom w:val="nil"/>
          <w:right w:val="nil"/>
          <w:between w:val="nil"/>
        </w:pBdr>
        <w:jc w:val="center"/>
        <w:rPr>
          <w:rFonts w:ascii="Bookman Old Style" w:eastAsia="Bookman Old Style" w:hAnsi="Bookman Old Style" w:cs="Bookman Old Style"/>
          <w:i/>
          <w:color w:val="000000"/>
          <w:sz w:val="22"/>
        </w:rPr>
      </w:pPr>
      <w:r w:rsidRPr="00CC7F93">
        <w:rPr>
          <w:rFonts w:ascii="Bookman Old Style" w:eastAsia="Bookman Old Style" w:hAnsi="Bookman Old Style" w:cs="Bookman Old Style"/>
          <w:i/>
          <w:color w:val="000000"/>
          <w:sz w:val="22"/>
        </w:rPr>
        <w:t>y se dictan otras disposiciones”</w:t>
      </w:r>
    </w:p>
    <w:p w:rsidR="00EE0E78" w:rsidRPr="00CC7F93" w:rsidRDefault="000F347E">
      <w:pPr>
        <w:pBdr>
          <w:top w:val="nil"/>
          <w:left w:val="nil"/>
          <w:bottom w:val="nil"/>
          <w:right w:val="nil"/>
          <w:between w:val="nil"/>
        </w:pBdr>
        <w:ind w:right="40"/>
        <w:jc w:val="center"/>
        <w:rPr>
          <w:rFonts w:ascii="Bookman Old Style" w:eastAsia="Bookman Old Style" w:hAnsi="Bookman Old Style" w:cs="Bookman Old Style"/>
          <w:color w:val="000000"/>
          <w:sz w:val="22"/>
        </w:rPr>
      </w:pPr>
      <w:r w:rsidRPr="00CC7F93">
        <w:rPr>
          <w:rFonts w:ascii="Bookman Old Style" w:eastAsia="Bookman Old Style" w:hAnsi="Bookman Old Style" w:cs="Bookman Old Style"/>
          <w:color w:val="000000"/>
          <w:sz w:val="22"/>
        </w:rPr>
        <w:t xml:space="preserve"> </w:t>
      </w:r>
    </w:p>
    <w:p w:rsidR="00EE0E78" w:rsidRPr="00CC7F93" w:rsidRDefault="000F347E">
      <w:pPr>
        <w:pBdr>
          <w:top w:val="nil"/>
          <w:left w:val="nil"/>
          <w:bottom w:val="nil"/>
          <w:right w:val="nil"/>
          <w:between w:val="nil"/>
        </w:pBdr>
        <w:ind w:right="40"/>
        <w:jc w:val="center"/>
        <w:rPr>
          <w:rFonts w:ascii="Bookman Old Style" w:eastAsia="Bookman Old Style" w:hAnsi="Bookman Old Style" w:cs="Bookman Old Style"/>
          <w:color w:val="000000"/>
          <w:sz w:val="22"/>
        </w:rPr>
      </w:pPr>
      <w:r w:rsidRPr="00CC7F93">
        <w:rPr>
          <w:rFonts w:ascii="Bookman Old Style" w:eastAsia="Bookman Old Style" w:hAnsi="Bookman Old Style" w:cs="Bookman Old Style"/>
          <w:color w:val="000000"/>
          <w:sz w:val="22"/>
        </w:rPr>
        <w:t>El Congreso de Colombia</w:t>
      </w:r>
    </w:p>
    <w:p w:rsidR="00CB7949" w:rsidRPr="00CC7F93" w:rsidRDefault="00CB7949">
      <w:pPr>
        <w:pBdr>
          <w:top w:val="nil"/>
          <w:left w:val="nil"/>
          <w:bottom w:val="nil"/>
          <w:right w:val="nil"/>
          <w:between w:val="nil"/>
        </w:pBdr>
        <w:ind w:right="40"/>
        <w:jc w:val="center"/>
        <w:rPr>
          <w:rFonts w:ascii="Bookman Old Style" w:eastAsia="Bookman Old Style" w:hAnsi="Bookman Old Style" w:cs="Bookman Old Style"/>
          <w:color w:val="000000"/>
          <w:sz w:val="22"/>
        </w:rPr>
      </w:pPr>
    </w:p>
    <w:p w:rsidR="00CB7949" w:rsidRPr="00CC7F93" w:rsidRDefault="00CB7949">
      <w:pPr>
        <w:pBdr>
          <w:top w:val="nil"/>
          <w:left w:val="nil"/>
          <w:bottom w:val="nil"/>
          <w:right w:val="nil"/>
          <w:between w:val="nil"/>
        </w:pBdr>
        <w:ind w:right="40"/>
        <w:jc w:val="center"/>
        <w:rPr>
          <w:rFonts w:ascii="Bookman Old Style" w:eastAsia="Bookman Old Style" w:hAnsi="Bookman Old Style" w:cs="Bookman Old Style"/>
          <w:color w:val="000000"/>
          <w:sz w:val="22"/>
        </w:rPr>
      </w:pPr>
    </w:p>
    <w:p w:rsidR="00EE0E78" w:rsidRPr="00CC7F93" w:rsidRDefault="000F347E">
      <w:pPr>
        <w:pBdr>
          <w:top w:val="nil"/>
          <w:left w:val="nil"/>
          <w:bottom w:val="nil"/>
          <w:right w:val="nil"/>
          <w:between w:val="nil"/>
        </w:pBdr>
        <w:ind w:right="40"/>
        <w:jc w:val="center"/>
        <w:rPr>
          <w:rFonts w:ascii="Bookman Old Style" w:eastAsia="Bookman Old Style" w:hAnsi="Bookman Old Style" w:cs="Bookman Old Style"/>
          <w:color w:val="000000"/>
          <w:sz w:val="22"/>
        </w:rPr>
      </w:pPr>
      <w:r w:rsidRPr="00CC7F93">
        <w:rPr>
          <w:rFonts w:ascii="Bookman Old Style" w:eastAsia="Bookman Old Style" w:hAnsi="Bookman Old Style" w:cs="Bookman Old Style"/>
          <w:color w:val="000000"/>
          <w:sz w:val="22"/>
        </w:rPr>
        <w:t xml:space="preserve"> </w:t>
      </w:r>
    </w:p>
    <w:p w:rsidR="00EE0E78" w:rsidRPr="00CC7F93" w:rsidRDefault="003826E0">
      <w:pPr>
        <w:pBdr>
          <w:top w:val="nil"/>
          <w:left w:val="nil"/>
          <w:bottom w:val="nil"/>
          <w:right w:val="nil"/>
          <w:between w:val="nil"/>
        </w:pBdr>
        <w:ind w:right="40"/>
        <w:jc w:val="center"/>
        <w:rPr>
          <w:rFonts w:ascii="Bookman Old Style" w:eastAsia="Bookman Old Style" w:hAnsi="Bookman Old Style" w:cs="Bookman Old Style"/>
          <w:b/>
          <w:color w:val="000000"/>
          <w:sz w:val="22"/>
        </w:rPr>
      </w:pPr>
      <w:r w:rsidRPr="00CC7F93">
        <w:rPr>
          <w:rFonts w:ascii="Bookman Old Style" w:eastAsia="Bookman Old Style" w:hAnsi="Bookman Old Style" w:cs="Bookman Old Style"/>
          <w:b/>
          <w:color w:val="000000"/>
          <w:sz w:val="22"/>
        </w:rPr>
        <w:t>DECRETA:</w:t>
      </w:r>
    </w:p>
    <w:p w:rsidR="00EE0E78" w:rsidRPr="00CC7F93" w:rsidRDefault="00EE0E78">
      <w:pPr>
        <w:pBdr>
          <w:top w:val="nil"/>
          <w:left w:val="nil"/>
          <w:bottom w:val="nil"/>
          <w:right w:val="nil"/>
          <w:between w:val="nil"/>
        </w:pBdr>
        <w:rPr>
          <w:rFonts w:ascii="Bookman Old Style" w:eastAsia="Bookman Old Style" w:hAnsi="Bookman Old Style" w:cs="Bookman Old Style"/>
          <w:color w:val="000000"/>
          <w:sz w:val="22"/>
        </w:rPr>
      </w:pPr>
    </w:p>
    <w:p w:rsidR="004F576C" w:rsidRPr="00CC7F93" w:rsidRDefault="000F347E">
      <w:pPr>
        <w:pBdr>
          <w:top w:val="nil"/>
          <w:left w:val="nil"/>
          <w:bottom w:val="nil"/>
          <w:right w:val="nil"/>
          <w:between w:val="nil"/>
        </w:pBdr>
        <w:jc w:val="both"/>
        <w:rPr>
          <w:rFonts w:ascii="Bookman Old Style" w:eastAsia="Bookman Old Style" w:hAnsi="Bookman Old Style" w:cs="Bookman Old Style"/>
          <w:color w:val="000000"/>
          <w:sz w:val="22"/>
        </w:rPr>
      </w:pPr>
      <w:r w:rsidRPr="00CC7F93">
        <w:rPr>
          <w:rFonts w:ascii="Bookman Old Style" w:eastAsia="Bookman Old Style" w:hAnsi="Bookman Old Style" w:cs="Bookman Old Style"/>
          <w:b/>
          <w:color w:val="000000"/>
          <w:sz w:val="22"/>
          <w:highlight w:val="white"/>
        </w:rPr>
        <w:t>Artículo 1</w:t>
      </w:r>
      <w:r w:rsidRPr="00CC7F93">
        <w:rPr>
          <w:rFonts w:ascii="Bookman Old Style" w:eastAsia="Bookman Old Style" w:hAnsi="Bookman Old Style" w:cs="Bookman Old Style"/>
          <w:color w:val="000000"/>
          <w:sz w:val="22"/>
          <w:highlight w:val="white"/>
        </w:rPr>
        <w:t xml:space="preserve">. </w:t>
      </w:r>
      <w:r w:rsidR="00A34AE4" w:rsidRPr="00CC7F93">
        <w:rPr>
          <w:rFonts w:ascii="Bookman Old Style" w:eastAsia="Bookman Old Style" w:hAnsi="Bookman Old Style" w:cs="Bookman Old Style"/>
          <w:b/>
          <w:color w:val="000000"/>
          <w:sz w:val="22"/>
          <w:highlight w:val="white"/>
        </w:rPr>
        <w:t>Objeto</w:t>
      </w:r>
      <w:r w:rsidR="00A34AE4" w:rsidRPr="00CC7F93">
        <w:rPr>
          <w:rFonts w:ascii="Bookman Old Style" w:eastAsia="Bookman Old Style" w:hAnsi="Bookman Old Style" w:cs="Bookman Old Style"/>
          <w:color w:val="000000"/>
          <w:sz w:val="22"/>
          <w:highlight w:val="white"/>
        </w:rPr>
        <w:t xml:space="preserve">. </w:t>
      </w:r>
      <w:r w:rsidRPr="00CC7F93">
        <w:rPr>
          <w:rFonts w:ascii="Bookman Old Style" w:eastAsia="Bookman Old Style" w:hAnsi="Bookman Old Style" w:cs="Bookman Old Style"/>
          <w:color w:val="000000"/>
          <w:sz w:val="22"/>
          <w:highlight w:val="white"/>
        </w:rPr>
        <w:t xml:space="preserve">La presente ley tiene </w:t>
      </w:r>
      <w:r w:rsidR="00A34AE4" w:rsidRPr="00CC7F93">
        <w:rPr>
          <w:rFonts w:ascii="Bookman Old Style" w:eastAsia="Bookman Old Style" w:hAnsi="Bookman Old Style" w:cs="Bookman Old Style"/>
          <w:color w:val="000000"/>
          <w:sz w:val="22"/>
          <w:highlight w:val="white"/>
        </w:rPr>
        <w:t xml:space="preserve">por objeto </w:t>
      </w:r>
      <w:r w:rsidR="00A34AE4" w:rsidRPr="00CC7F93">
        <w:rPr>
          <w:rFonts w:ascii="Bookman Old Style" w:eastAsia="Bookman Old Style" w:hAnsi="Bookman Old Style" w:cs="Bookman Old Style"/>
          <w:color w:val="000000"/>
          <w:sz w:val="22"/>
        </w:rPr>
        <w:t xml:space="preserve">avanzar </w:t>
      </w:r>
      <w:r w:rsidR="00A34AE4" w:rsidRPr="00CC7F93">
        <w:rPr>
          <w:rFonts w:ascii="Bookman Old Style" w:eastAsia="Bookman Old Style" w:hAnsi="Bookman Old Style" w:cs="Bookman Old Style"/>
          <w:color w:val="000000"/>
          <w:sz w:val="22"/>
          <w:highlight w:val="white"/>
        </w:rPr>
        <w:t xml:space="preserve">en </w:t>
      </w:r>
      <w:r w:rsidR="004F576C" w:rsidRPr="00CC7F93">
        <w:rPr>
          <w:rFonts w:ascii="Bookman Old Style" w:eastAsia="Bookman Old Style" w:hAnsi="Bookman Old Style" w:cs="Bookman Old Style"/>
          <w:color w:val="000000"/>
          <w:sz w:val="22"/>
          <w:highlight w:val="white"/>
        </w:rPr>
        <w:t xml:space="preserve">el reconocimiento de los animales como seres sintientes, sujetos de una protección constitucional y legal especial, </w:t>
      </w:r>
      <w:r w:rsidR="00266689" w:rsidRPr="00CC7F93">
        <w:rPr>
          <w:rFonts w:ascii="Bookman Old Style" w:eastAsia="Bookman Old Style" w:hAnsi="Bookman Old Style" w:cs="Bookman Old Style"/>
          <w:color w:val="000000"/>
          <w:sz w:val="22"/>
          <w:highlight w:val="white"/>
        </w:rPr>
        <w:t xml:space="preserve">a través de la prohibición de </w:t>
      </w:r>
      <w:r w:rsidR="004F576C" w:rsidRPr="00CC7F93">
        <w:rPr>
          <w:rFonts w:ascii="Bookman Old Style" w:eastAsia="Bookman Old Style" w:hAnsi="Bookman Old Style" w:cs="Bookman Old Style"/>
          <w:color w:val="000000"/>
          <w:sz w:val="22"/>
          <w:highlight w:val="white"/>
        </w:rPr>
        <w:t>las prácticas taurinas en todo el territorio nacional, como expresiones de maltrato, crueldad y violencia.</w:t>
      </w:r>
    </w:p>
    <w:p w:rsidR="00EE0E78" w:rsidRPr="00CC7F93" w:rsidRDefault="00EE0E78">
      <w:pPr>
        <w:pBdr>
          <w:top w:val="nil"/>
          <w:left w:val="nil"/>
          <w:bottom w:val="nil"/>
          <w:right w:val="nil"/>
          <w:between w:val="nil"/>
        </w:pBdr>
        <w:jc w:val="both"/>
        <w:rPr>
          <w:rFonts w:ascii="Bookman Old Style" w:eastAsia="Bookman Old Style" w:hAnsi="Bookman Old Style" w:cs="Bookman Old Style"/>
          <w:color w:val="000000"/>
          <w:sz w:val="22"/>
          <w:highlight w:val="white"/>
        </w:rPr>
      </w:pPr>
    </w:p>
    <w:p w:rsidR="00CB7949" w:rsidRPr="00CC7F93" w:rsidRDefault="00CB7949">
      <w:pPr>
        <w:pBdr>
          <w:top w:val="nil"/>
          <w:left w:val="nil"/>
          <w:bottom w:val="nil"/>
          <w:right w:val="nil"/>
          <w:between w:val="nil"/>
        </w:pBdr>
        <w:jc w:val="both"/>
        <w:rPr>
          <w:rFonts w:ascii="Bookman Old Style" w:eastAsia="Bookman Old Style" w:hAnsi="Bookman Old Style" w:cs="Bookman Old Style"/>
          <w:color w:val="000000"/>
          <w:sz w:val="22"/>
          <w:highlight w:val="white"/>
        </w:rPr>
      </w:pPr>
    </w:p>
    <w:p w:rsidR="00EE0E78" w:rsidRPr="00CC7F93" w:rsidRDefault="000F347E">
      <w:pPr>
        <w:pBdr>
          <w:top w:val="nil"/>
          <w:left w:val="nil"/>
          <w:bottom w:val="nil"/>
          <w:right w:val="nil"/>
          <w:between w:val="nil"/>
        </w:pBdr>
        <w:jc w:val="both"/>
        <w:rPr>
          <w:rFonts w:ascii="Bookman Old Style" w:eastAsia="Bookman Old Style" w:hAnsi="Bookman Old Style" w:cs="Bookman Old Style"/>
          <w:color w:val="000000"/>
          <w:sz w:val="22"/>
          <w:highlight w:val="white"/>
        </w:rPr>
      </w:pPr>
      <w:r w:rsidRPr="00CC7F93">
        <w:rPr>
          <w:rFonts w:ascii="Bookman Old Style" w:eastAsia="Bookman Old Style" w:hAnsi="Bookman Old Style" w:cs="Bookman Old Style"/>
          <w:b/>
          <w:color w:val="000000"/>
          <w:sz w:val="22"/>
          <w:highlight w:val="white"/>
        </w:rPr>
        <w:t>Artículo 2º.</w:t>
      </w:r>
      <w:r w:rsidRPr="00CC7F93">
        <w:rPr>
          <w:rFonts w:ascii="Bookman Old Style" w:eastAsia="Bookman Old Style" w:hAnsi="Bookman Old Style" w:cs="Bookman Old Style"/>
          <w:color w:val="000000"/>
          <w:sz w:val="22"/>
          <w:highlight w:val="white"/>
        </w:rPr>
        <w:t xml:space="preserve"> </w:t>
      </w:r>
      <w:r w:rsidRPr="00CC7F93">
        <w:rPr>
          <w:rFonts w:ascii="Bookman Old Style" w:eastAsia="Bookman Old Style" w:hAnsi="Bookman Old Style" w:cs="Bookman Old Style"/>
          <w:b/>
          <w:color w:val="000000"/>
          <w:sz w:val="22"/>
          <w:highlight w:val="white"/>
        </w:rPr>
        <w:t>Ámbito de aplicación</w:t>
      </w:r>
      <w:r w:rsidRPr="00CC7F93">
        <w:rPr>
          <w:rFonts w:ascii="Bookman Old Style" w:eastAsia="Bookman Old Style" w:hAnsi="Bookman Old Style" w:cs="Bookman Old Style"/>
          <w:color w:val="000000"/>
          <w:sz w:val="22"/>
          <w:highlight w:val="white"/>
        </w:rPr>
        <w:t xml:space="preserve">. Las disposiciones contenidas en la presente ley serán aplicables </w:t>
      </w:r>
      <w:r w:rsidR="00F90625" w:rsidRPr="00CC7F93">
        <w:rPr>
          <w:rFonts w:ascii="Bookman Old Style" w:eastAsia="Bookman Old Style" w:hAnsi="Bookman Old Style" w:cs="Bookman Old Style"/>
          <w:color w:val="000000"/>
          <w:sz w:val="22"/>
          <w:highlight w:val="white"/>
        </w:rPr>
        <w:t>en todo el territorio nacional.</w:t>
      </w:r>
      <w:r w:rsidRPr="00CC7F93">
        <w:rPr>
          <w:rFonts w:ascii="Bookman Old Style" w:eastAsia="Bookman Old Style" w:hAnsi="Bookman Old Style" w:cs="Bookman Old Style"/>
          <w:color w:val="000000"/>
          <w:sz w:val="22"/>
          <w:highlight w:val="white"/>
        </w:rPr>
        <w:tab/>
      </w:r>
    </w:p>
    <w:p w:rsidR="00EE0E78" w:rsidRPr="00CC7F93" w:rsidRDefault="000F347E">
      <w:pPr>
        <w:pBdr>
          <w:top w:val="nil"/>
          <w:left w:val="nil"/>
          <w:bottom w:val="nil"/>
          <w:right w:val="nil"/>
          <w:between w:val="nil"/>
        </w:pBdr>
        <w:jc w:val="both"/>
        <w:rPr>
          <w:rFonts w:ascii="Bookman Old Style" w:eastAsia="Bookman Old Style" w:hAnsi="Bookman Old Style" w:cs="Bookman Old Style"/>
          <w:color w:val="000000"/>
          <w:sz w:val="22"/>
          <w:highlight w:val="white"/>
        </w:rPr>
      </w:pPr>
      <w:r w:rsidRPr="00CC7F93">
        <w:rPr>
          <w:rFonts w:ascii="Bookman Old Style" w:eastAsia="Bookman Old Style" w:hAnsi="Bookman Old Style" w:cs="Bookman Old Style"/>
          <w:color w:val="000000"/>
          <w:sz w:val="22"/>
          <w:highlight w:val="white"/>
        </w:rPr>
        <w:t xml:space="preserve"> </w:t>
      </w:r>
    </w:p>
    <w:p w:rsidR="00CB7949" w:rsidRPr="00CC7F93" w:rsidRDefault="00CB7949">
      <w:pPr>
        <w:pBdr>
          <w:top w:val="nil"/>
          <w:left w:val="nil"/>
          <w:bottom w:val="nil"/>
          <w:right w:val="nil"/>
          <w:between w:val="nil"/>
        </w:pBdr>
        <w:jc w:val="both"/>
        <w:rPr>
          <w:rFonts w:ascii="Bookman Old Style" w:eastAsia="Bookman Old Style" w:hAnsi="Bookman Old Style" w:cs="Bookman Old Style"/>
          <w:color w:val="000000"/>
          <w:sz w:val="22"/>
          <w:highlight w:val="white"/>
        </w:rPr>
      </w:pPr>
    </w:p>
    <w:p w:rsidR="00A34AE4" w:rsidRPr="00CC7F93" w:rsidRDefault="000F347E" w:rsidP="00C678BE">
      <w:pPr>
        <w:jc w:val="both"/>
        <w:rPr>
          <w:rFonts w:ascii="Bookman Old Style" w:eastAsia="Bookman Old Style" w:hAnsi="Bookman Old Style" w:cs="Bookman Old Style"/>
          <w:color w:val="000000"/>
          <w:sz w:val="22"/>
        </w:rPr>
      </w:pPr>
      <w:r w:rsidRPr="00CC7F93">
        <w:rPr>
          <w:rFonts w:ascii="Bookman Old Style" w:eastAsia="Bookman Old Style" w:hAnsi="Bookman Old Style" w:cs="Bookman Old Style"/>
          <w:b/>
          <w:color w:val="000000"/>
          <w:sz w:val="22"/>
          <w:highlight w:val="white"/>
        </w:rPr>
        <w:t>Artículo 3º</w:t>
      </w:r>
      <w:r w:rsidRPr="00CC7F93">
        <w:rPr>
          <w:rFonts w:ascii="Bookman Old Style" w:eastAsia="Bookman Old Style" w:hAnsi="Bookman Old Style" w:cs="Bookman Old Style"/>
          <w:color w:val="000000"/>
          <w:sz w:val="22"/>
          <w:highlight w:val="white"/>
        </w:rPr>
        <w:t xml:space="preserve">. </w:t>
      </w:r>
      <w:r w:rsidR="00F90625" w:rsidRPr="00CC7F93">
        <w:rPr>
          <w:rFonts w:ascii="Bookman Old Style" w:eastAsia="Bookman Old Style" w:hAnsi="Bookman Old Style" w:cs="Bookman Old Style"/>
          <w:b/>
          <w:color w:val="000000"/>
          <w:sz w:val="22"/>
          <w:highlight w:val="white"/>
        </w:rPr>
        <w:t>Prohibición.</w:t>
      </w:r>
      <w:r w:rsidR="00F90625" w:rsidRPr="00CC7F93">
        <w:rPr>
          <w:rFonts w:ascii="Bookman Old Style" w:eastAsia="Bookman Old Style" w:hAnsi="Bookman Old Style" w:cs="Bookman Old Style"/>
          <w:color w:val="000000"/>
          <w:sz w:val="22"/>
          <w:highlight w:val="white"/>
        </w:rPr>
        <w:t xml:space="preserve"> Se prohíbe el desarrollo de las actividades de coleo, corridas de toros, novilladas, corralejas, becerradas y tientas. </w:t>
      </w:r>
    </w:p>
    <w:p w:rsidR="00CB7949" w:rsidRPr="00CC7F93" w:rsidRDefault="00CB7949" w:rsidP="00C678BE">
      <w:pPr>
        <w:jc w:val="both"/>
        <w:rPr>
          <w:sz w:val="22"/>
        </w:rPr>
      </w:pPr>
    </w:p>
    <w:p w:rsidR="00A34AE4" w:rsidRPr="00CC7F93" w:rsidRDefault="00A34AE4">
      <w:pPr>
        <w:pBdr>
          <w:top w:val="nil"/>
          <w:left w:val="nil"/>
          <w:bottom w:val="nil"/>
          <w:right w:val="nil"/>
          <w:between w:val="nil"/>
        </w:pBdr>
        <w:jc w:val="both"/>
        <w:rPr>
          <w:rFonts w:ascii="Bookman Old Style" w:eastAsia="Bookman Old Style" w:hAnsi="Bookman Old Style" w:cs="Bookman Old Style"/>
          <w:color w:val="000000"/>
          <w:sz w:val="22"/>
          <w:highlight w:val="white"/>
        </w:rPr>
      </w:pPr>
    </w:p>
    <w:p w:rsidR="00EE0E78" w:rsidRPr="00CC7F93" w:rsidRDefault="003826E0">
      <w:pPr>
        <w:pBdr>
          <w:top w:val="nil"/>
          <w:left w:val="nil"/>
          <w:bottom w:val="nil"/>
          <w:right w:val="nil"/>
          <w:between w:val="nil"/>
        </w:pBdr>
        <w:jc w:val="both"/>
        <w:rPr>
          <w:rFonts w:ascii="Bookman Old Style" w:eastAsia="Bookman Old Style" w:hAnsi="Bookman Old Style" w:cs="Bookman Old Style"/>
          <w:color w:val="000000"/>
          <w:sz w:val="22"/>
        </w:rPr>
      </w:pPr>
      <w:r w:rsidRPr="00CC7F93">
        <w:rPr>
          <w:rFonts w:ascii="Bookman Old Style" w:eastAsia="Bookman Old Style" w:hAnsi="Bookman Old Style" w:cs="Bookman Old Style"/>
          <w:b/>
          <w:color w:val="000000"/>
          <w:sz w:val="22"/>
        </w:rPr>
        <w:t xml:space="preserve">Artículo 4.  </w:t>
      </w:r>
      <w:r w:rsidR="00246F38" w:rsidRPr="00CC7F93">
        <w:rPr>
          <w:rFonts w:ascii="Bookman Old Style" w:eastAsia="Bookman Old Style" w:hAnsi="Bookman Old Style" w:cs="Bookman Old Style"/>
          <w:color w:val="000000"/>
          <w:sz w:val="22"/>
        </w:rPr>
        <w:t xml:space="preserve">El Gobierno Nacional, en el marco de sus competencias, tendrá un plazo de seis (6) meses contados a partir de la expedición de la presente ley para garantizar programas efectivos de reconversión económica de las personas que se dediquen a las actividades de las que trata el artículo </w:t>
      </w:r>
      <w:r w:rsidR="00F90625" w:rsidRPr="00CC7F93">
        <w:rPr>
          <w:rFonts w:ascii="Bookman Old Style" w:eastAsia="Bookman Old Style" w:hAnsi="Bookman Old Style" w:cs="Bookman Old Style"/>
          <w:color w:val="000000"/>
          <w:sz w:val="22"/>
        </w:rPr>
        <w:t>3</w:t>
      </w:r>
      <w:r w:rsidR="00246F38" w:rsidRPr="00CC7F93">
        <w:rPr>
          <w:rFonts w:ascii="Bookman Old Style" w:eastAsia="Bookman Old Style" w:hAnsi="Bookman Old Style" w:cs="Bookman Old Style"/>
          <w:color w:val="000000"/>
          <w:sz w:val="22"/>
        </w:rPr>
        <w:t>.</w:t>
      </w:r>
    </w:p>
    <w:p w:rsidR="00CB7949" w:rsidRPr="00CC7F93" w:rsidRDefault="00CB7949">
      <w:pPr>
        <w:pBdr>
          <w:top w:val="nil"/>
          <w:left w:val="nil"/>
          <w:bottom w:val="nil"/>
          <w:right w:val="nil"/>
          <w:between w:val="nil"/>
        </w:pBdr>
        <w:jc w:val="both"/>
        <w:rPr>
          <w:rFonts w:ascii="Bookman Old Style" w:eastAsia="Bookman Old Style" w:hAnsi="Bookman Old Style" w:cs="Bookman Old Style"/>
          <w:color w:val="000000"/>
          <w:sz w:val="22"/>
        </w:rPr>
      </w:pPr>
    </w:p>
    <w:p w:rsidR="00CB7949" w:rsidRPr="00CC7F93" w:rsidRDefault="003826E0">
      <w:pPr>
        <w:pBdr>
          <w:top w:val="nil"/>
          <w:left w:val="nil"/>
          <w:bottom w:val="nil"/>
          <w:right w:val="nil"/>
          <w:between w:val="nil"/>
        </w:pBdr>
        <w:jc w:val="both"/>
        <w:rPr>
          <w:rFonts w:ascii="Bookman Old Style" w:eastAsia="Bookman Old Style" w:hAnsi="Bookman Old Style" w:cs="Bookman Old Style"/>
          <w:color w:val="000000"/>
          <w:sz w:val="22"/>
          <w:highlight w:val="yellow"/>
        </w:rPr>
      </w:pPr>
      <w:r w:rsidRPr="00CC7F93">
        <w:rPr>
          <w:rFonts w:ascii="Bookman Old Style" w:eastAsia="Bookman Old Style" w:hAnsi="Bookman Old Style" w:cs="Bookman Old Style"/>
          <w:color w:val="000000"/>
          <w:sz w:val="22"/>
          <w:highlight w:val="yellow"/>
        </w:rPr>
        <w:t xml:space="preserve"> </w:t>
      </w:r>
    </w:p>
    <w:p w:rsidR="00F90625" w:rsidRPr="00CC7F93" w:rsidRDefault="000F347E" w:rsidP="00F90625">
      <w:pPr>
        <w:jc w:val="both"/>
        <w:rPr>
          <w:rFonts w:ascii="Bookman Old Style" w:eastAsia="Bookman Old Style" w:hAnsi="Bookman Old Style" w:cs="Bookman Old Style"/>
          <w:color w:val="000000"/>
          <w:sz w:val="22"/>
        </w:rPr>
      </w:pPr>
      <w:r w:rsidRPr="00CC7F93">
        <w:rPr>
          <w:rFonts w:ascii="Bookman Old Style" w:eastAsia="Bookman Old Style" w:hAnsi="Bookman Old Style" w:cs="Bookman Old Style"/>
          <w:b/>
          <w:color w:val="000000"/>
          <w:sz w:val="22"/>
          <w:highlight w:val="white"/>
        </w:rPr>
        <w:t>Artículo 5º</w:t>
      </w:r>
      <w:r w:rsidRPr="00CC7F93">
        <w:rPr>
          <w:rFonts w:ascii="Bookman Old Style" w:eastAsia="Bookman Old Style" w:hAnsi="Bookman Old Style" w:cs="Bookman Old Style"/>
          <w:color w:val="000000"/>
          <w:sz w:val="22"/>
          <w:highlight w:val="white"/>
        </w:rPr>
        <w:t xml:space="preserve">. </w:t>
      </w:r>
      <w:r w:rsidR="00F90625" w:rsidRPr="00CC7F93">
        <w:rPr>
          <w:rFonts w:ascii="Bookman Old Style" w:eastAsia="Bookman Old Style" w:hAnsi="Bookman Old Style" w:cs="Bookman Old Style"/>
          <w:b/>
          <w:color w:val="000000"/>
          <w:sz w:val="22"/>
          <w:highlight w:val="white"/>
        </w:rPr>
        <w:t>Vigencia.</w:t>
      </w:r>
      <w:r w:rsidR="00F90625" w:rsidRPr="00CC7F93">
        <w:rPr>
          <w:rFonts w:ascii="Bookman Old Style" w:eastAsia="Bookman Old Style" w:hAnsi="Bookman Old Style" w:cs="Bookman Old Style"/>
          <w:color w:val="000000"/>
          <w:sz w:val="22"/>
          <w:highlight w:val="white"/>
        </w:rPr>
        <w:t xml:space="preserve"> </w:t>
      </w:r>
      <w:r w:rsidRPr="00CC7F93">
        <w:rPr>
          <w:rFonts w:ascii="Bookman Old Style" w:eastAsia="Bookman Old Style" w:hAnsi="Bookman Old Style" w:cs="Bookman Old Style"/>
          <w:color w:val="000000"/>
          <w:sz w:val="22"/>
          <w:highlight w:val="white"/>
        </w:rPr>
        <w:t xml:space="preserve">La presente ley rige a partir de la fecha de su expedición y deroga </w:t>
      </w:r>
      <w:r w:rsidR="00F90625" w:rsidRPr="00CC7F93">
        <w:rPr>
          <w:rFonts w:ascii="Bookman Old Style" w:eastAsia="Bookman Old Style" w:hAnsi="Bookman Old Style" w:cs="Bookman Old Style"/>
          <w:color w:val="000000"/>
          <w:sz w:val="22"/>
          <w:highlight w:val="white"/>
        </w:rPr>
        <w:t>la Ley 916 de 2004</w:t>
      </w:r>
      <w:r w:rsidR="00430276" w:rsidRPr="00CC7F93">
        <w:rPr>
          <w:rFonts w:ascii="Bookman Old Style" w:eastAsia="Bookman Old Style" w:hAnsi="Bookman Old Style" w:cs="Bookman Old Style"/>
          <w:color w:val="000000"/>
          <w:sz w:val="22"/>
          <w:highlight w:val="white"/>
        </w:rPr>
        <w:t>,</w:t>
      </w:r>
      <w:r w:rsidR="00F90625" w:rsidRPr="00CC7F93">
        <w:rPr>
          <w:rFonts w:ascii="Bookman Old Style" w:eastAsia="Bookman Old Style" w:hAnsi="Bookman Old Style" w:cs="Bookman Old Style"/>
          <w:color w:val="000000"/>
          <w:sz w:val="22"/>
          <w:highlight w:val="white"/>
        </w:rPr>
        <w:t xml:space="preserve"> Reglamento Nacional Taurino, así como las expresiones “</w:t>
      </w:r>
      <w:r w:rsidR="00F90625" w:rsidRPr="00CC7F93">
        <w:rPr>
          <w:rFonts w:ascii="Bookman Old Style" w:eastAsia="Bookman Old Style" w:hAnsi="Bookman Old Style" w:cs="Bookman Old Style"/>
          <w:i/>
          <w:color w:val="000000"/>
          <w:sz w:val="22"/>
          <w:highlight w:val="white"/>
        </w:rPr>
        <w:t xml:space="preserve">coleo, corridas de toros, novilladas, corralejas, becerradas y tientas”, </w:t>
      </w:r>
      <w:r w:rsidR="00F90625" w:rsidRPr="00CC7F93">
        <w:rPr>
          <w:rFonts w:ascii="Bookman Old Style" w:eastAsia="Bookman Old Style" w:hAnsi="Bookman Old Style" w:cs="Bookman Old Style"/>
          <w:color w:val="000000"/>
          <w:sz w:val="22"/>
          <w:highlight w:val="white"/>
        </w:rPr>
        <w:t>contenidas en el artículo 7 de la Ley 84 de 1989.</w:t>
      </w:r>
    </w:p>
    <w:p w:rsidR="00CB7949" w:rsidRDefault="00CB7949" w:rsidP="00F90625">
      <w:pPr>
        <w:jc w:val="both"/>
        <w:rPr>
          <w:rFonts w:ascii="Bookman Old Style" w:eastAsia="Bookman Old Style" w:hAnsi="Bookman Old Style" w:cs="Bookman Old Style"/>
          <w:color w:val="000000"/>
        </w:rPr>
      </w:pPr>
    </w:p>
    <w:p w:rsidR="00CC7F93" w:rsidRDefault="00CC7F93" w:rsidP="00F90625">
      <w:pPr>
        <w:jc w:val="both"/>
        <w:rPr>
          <w:rFonts w:ascii="Bookman Old Style" w:eastAsia="Bookman Old Style" w:hAnsi="Bookman Old Style" w:cs="Bookman Old Style"/>
          <w:color w:val="000000"/>
        </w:rPr>
      </w:pPr>
    </w:p>
    <w:p w:rsidR="00CC7F93" w:rsidRDefault="00CC7F93" w:rsidP="00F90625">
      <w:pPr>
        <w:jc w:val="both"/>
        <w:rPr>
          <w:rFonts w:ascii="Bookman Old Style" w:eastAsia="Bookman Old Style" w:hAnsi="Bookman Old Style" w:cs="Bookman Old Style"/>
          <w:color w:val="000000"/>
        </w:rPr>
      </w:pPr>
    </w:p>
    <w:p w:rsidR="00CC7F93" w:rsidRDefault="00CC7F93" w:rsidP="00F90625">
      <w:pPr>
        <w:jc w:val="both"/>
        <w:rPr>
          <w:rFonts w:ascii="Bookman Old Style" w:eastAsia="Bookman Old Style" w:hAnsi="Bookman Old Style" w:cs="Bookman Old Style"/>
          <w:color w:val="000000"/>
        </w:rPr>
      </w:pPr>
    </w:p>
    <w:p w:rsidR="00CC7F93" w:rsidRDefault="00CC7F93" w:rsidP="00F90625">
      <w:pPr>
        <w:jc w:val="both"/>
        <w:rPr>
          <w:rFonts w:ascii="Bookman Old Style" w:eastAsia="Bookman Old Style" w:hAnsi="Bookman Old Style" w:cs="Bookman Old Style"/>
          <w:color w:val="000000"/>
        </w:rPr>
      </w:pPr>
    </w:p>
    <w:p w:rsidR="00CC7F93" w:rsidRDefault="00CC7F93" w:rsidP="00F90625">
      <w:pPr>
        <w:jc w:val="both"/>
        <w:rPr>
          <w:rFonts w:ascii="Bookman Old Style" w:eastAsia="Bookman Old Style" w:hAnsi="Bookman Old Style" w:cs="Bookman Old Style"/>
          <w:color w:val="000000"/>
        </w:rPr>
      </w:pPr>
    </w:p>
    <w:p w:rsidR="00CB7949" w:rsidRPr="001F4F6E" w:rsidRDefault="00CB7949" w:rsidP="00F90625">
      <w:pPr>
        <w:jc w:val="both"/>
        <w:rPr>
          <w:rFonts w:ascii="Bookman Old Style" w:eastAsia="Bookman Old Style" w:hAnsi="Bookman Old Style" w:cs="Bookman Old Style"/>
          <w:color w:val="000000"/>
        </w:rPr>
      </w:pP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Default="000F347E" w:rsidP="00C678BE">
      <w:pPr>
        <w:pBdr>
          <w:top w:val="nil"/>
          <w:left w:val="nil"/>
          <w:bottom w:val="nil"/>
          <w:right w:val="nil"/>
          <w:between w:val="nil"/>
        </w:pBdr>
        <w:ind w:right="40"/>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De los honorables Congresistas,</w:t>
      </w:r>
    </w:p>
    <w:p w:rsidR="00E5629A" w:rsidRDefault="00E5629A" w:rsidP="00C678BE">
      <w:pPr>
        <w:pBdr>
          <w:top w:val="nil"/>
          <w:left w:val="nil"/>
          <w:bottom w:val="nil"/>
          <w:right w:val="nil"/>
          <w:between w:val="nil"/>
        </w:pBdr>
        <w:ind w:right="40"/>
        <w:jc w:val="both"/>
        <w:rPr>
          <w:rFonts w:ascii="Bookman Old Style" w:eastAsia="Bookman Old Style" w:hAnsi="Bookman Old Style" w:cs="Bookman Old Style"/>
          <w:color w:val="000000"/>
          <w:highlight w:val="white"/>
        </w:rPr>
      </w:pPr>
    </w:p>
    <w:p w:rsidR="00E5629A" w:rsidRPr="001F4F6E" w:rsidRDefault="00E5629A" w:rsidP="00C678BE">
      <w:pPr>
        <w:pBdr>
          <w:top w:val="nil"/>
          <w:left w:val="nil"/>
          <w:bottom w:val="nil"/>
          <w:right w:val="nil"/>
          <w:between w:val="nil"/>
        </w:pBdr>
        <w:ind w:right="40"/>
        <w:jc w:val="both"/>
        <w:rPr>
          <w:rFonts w:ascii="Bookman Old Style" w:eastAsia="Bookman Old Style" w:hAnsi="Bookman Old Style" w:cs="Bookman Old Style"/>
          <w:color w:val="000000"/>
          <w:highlight w:val="white"/>
        </w:rPr>
      </w:pPr>
    </w:p>
    <w:p w:rsidR="007316F9" w:rsidRDefault="007316F9" w:rsidP="007316F9">
      <w:pPr>
        <w:pBdr>
          <w:top w:val="nil"/>
          <w:left w:val="nil"/>
          <w:bottom w:val="nil"/>
          <w:right w:val="nil"/>
          <w:between w:val="nil"/>
        </w:pBdr>
        <w:rPr>
          <w:rFonts w:ascii="Bookman Old Style" w:eastAsia="Bookman Old Style" w:hAnsi="Bookman Old Style" w:cs="Bookman Old Style"/>
          <w:color w:val="000000"/>
          <w:highlight w:val="white"/>
        </w:rPr>
      </w:pPr>
    </w:p>
    <w:p w:rsidR="007316F9" w:rsidRPr="00126A9E" w:rsidRDefault="007316F9" w:rsidP="007316F9">
      <w:pPr>
        <w:jc w:val="both"/>
        <w:rPr>
          <w:rFonts w:ascii="Bookman Old Style" w:hAnsi="Bookman Old Style" w:cstheme="minorHAnsi"/>
        </w:rPr>
      </w:pPr>
    </w:p>
    <w:p w:rsidR="007316F9" w:rsidRDefault="007316F9" w:rsidP="007316F9">
      <w:pPr>
        <w:pBdr>
          <w:top w:val="nil"/>
          <w:left w:val="nil"/>
          <w:bottom w:val="nil"/>
          <w:right w:val="nil"/>
          <w:between w:val="nil"/>
        </w:pBdr>
        <w:ind w:right="115"/>
        <w:jc w:val="center"/>
        <w:rPr>
          <w:rFonts w:ascii="Bookman Old Style" w:hAnsi="Bookman Old Style" w:cstheme="minorHAnsi"/>
        </w:rPr>
        <w:sectPr w:rsidR="007316F9" w:rsidSect="007316F9">
          <w:headerReference w:type="default" r:id="rId10"/>
          <w:footerReference w:type="default" r:id="rId11"/>
          <w:type w:val="continuous"/>
          <w:pgSz w:w="12240" w:h="15840"/>
          <w:pgMar w:top="1417" w:right="1701" w:bottom="1417" w:left="1701" w:header="708" w:footer="708" w:gutter="0"/>
          <w:pgNumType w:start="1"/>
          <w:cols w:space="720"/>
          <w:docGrid w:linePitch="360"/>
        </w:sectPr>
      </w:pPr>
    </w:p>
    <w:p w:rsidR="007316F9" w:rsidRPr="00126A9E" w:rsidRDefault="007316F9" w:rsidP="000E7F84">
      <w:pPr>
        <w:pBdr>
          <w:top w:val="nil"/>
          <w:left w:val="nil"/>
          <w:bottom w:val="nil"/>
          <w:right w:val="nil"/>
          <w:between w:val="nil"/>
        </w:pBdr>
        <w:ind w:right="115"/>
        <w:rPr>
          <w:rFonts w:ascii="Bookman Old Style" w:hAnsi="Bookman Old Style" w:cstheme="minorHAnsi"/>
          <w:b/>
        </w:rPr>
      </w:pPr>
      <w:r w:rsidRPr="00126A9E">
        <w:rPr>
          <w:rFonts w:ascii="Bookman Old Style" w:hAnsi="Bookman Old Style" w:cstheme="minorHAnsi"/>
        </w:rPr>
        <w:lastRenderedPageBreak/>
        <w:t>________________________________</w:t>
      </w:r>
      <w:r w:rsidRPr="00126A9E">
        <w:rPr>
          <w:rFonts w:ascii="Bookman Old Style" w:hAnsi="Bookman Old Style" w:cstheme="minorHAnsi"/>
        </w:rPr>
        <w:br/>
      </w:r>
      <w:r w:rsidRPr="00126A9E">
        <w:rPr>
          <w:rFonts w:ascii="Bookman Old Style" w:hAnsi="Bookman Old Style" w:cstheme="minorHAnsi"/>
          <w:b/>
        </w:rPr>
        <w:t xml:space="preserve">JUAN CARLOS LOZADA </w:t>
      </w:r>
    </w:p>
    <w:p w:rsidR="007316F9" w:rsidRDefault="007316F9" w:rsidP="000E7F84">
      <w:pPr>
        <w:pBdr>
          <w:top w:val="nil"/>
          <w:left w:val="nil"/>
          <w:bottom w:val="nil"/>
          <w:right w:val="nil"/>
          <w:between w:val="nil"/>
        </w:pBdr>
        <w:ind w:right="115"/>
        <w:rPr>
          <w:rFonts w:ascii="Bookman Old Style" w:hAnsi="Bookman Old Style" w:cstheme="minorHAnsi"/>
        </w:rPr>
      </w:pPr>
      <w:r w:rsidRPr="00126A9E">
        <w:rPr>
          <w:rFonts w:ascii="Bookman Old Style" w:hAnsi="Bookman Old Style" w:cstheme="minorHAnsi"/>
        </w:rPr>
        <w:t xml:space="preserve">Representante a la Cámara </w:t>
      </w:r>
      <w:r w:rsidRPr="00126A9E">
        <w:rPr>
          <w:rFonts w:ascii="Bookman Old Style" w:hAnsi="Bookman Old Style" w:cstheme="minorHAnsi"/>
        </w:rPr>
        <w:br/>
        <w:t>Partido Liberal Colombiano</w:t>
      </w:r>
    </w:p>
    <w:p w:rsidR="007316F9" w:rsidRDefault="007316F9" w:rsidP="000E7F84">
      <w:pPr>
        <w:pBdr>
          <w:top w:val="nil"/>
          <w:left w:val="nil"/>
          <w:bottom w:val="nil"/>
          <w:right w:val="nil"/>
          <w:between w:val="nil"/>
        </w:pBdr>
        <w:ind w:right="115"/>
        <w:rPr>
          <w:rFonts w:ascii="Bookman Old Style" w:hAnsi="Bookman Old Style" w:cstheme="minorHAnsi"/>
        </w:rPr>
      </w:pPr>
      <w:r w:rsidRPr="00126A9E">
        <w:rPr>
          <w:rFonts w:ascii="Bookman Old Style" w:hAnsi="Bookman Old Style" w:cstheme="minorHAnsi"/>
        </w:rPr>
        <w:lastRenderedPageBreak/>
        <w:t>_______________________________</w:t>
      </w:r>
    </w:p>
    <w:p w:rsidR="007316F9" w:rsidRPr="007316F9" w:rsidRDefault="007316F9" w:rsidP="000E7F84">
      <w:pPr>
        <w:pBdr>
          <w:top w:val="nil"/>
          <w:left w:val="nil"/>
          <w:bottom w:val="nil"/>
          <w:right w:val="nil"/>
          <w:between w:val="nil"/>
        </w:pBdr>
        <w:ind w:right="115"/>
        <w:rPr>
          <w:rFonts w:ascii="Bookman Old Style" w:hAnsi="Bookman Old Style" w:cstheme="minorHAnsi"/>
          <w:b/>
        </w:rPr>
      </w:pPr>
      <w:r w:rsidRPr="007316F9">
        <w:rPr>
          <w:rFonts w:ascii="Bookman Old Style" w:hAnsi="Bookman Old Style" w:cstheme="minorHAnsi"/>
          <w:b/>
        </w:rPr>
        <w:t xml:space="preserve">ÁNGEL MARIA GAITAN </w:t>
      </w:r>
    </w:p>
    <w:p w:rsidR="007316F9" w:rsidRDefault="007316F9" w:rsidP="000E7F84">
      <w:pPr>
        <w:pBdr>
          <w:top w:val="nil"/>
          <w:left w:val="nil"/>
          <w:bottom w:val="nil"/>
          <w:right w:val="nil"/>
          <w:between w:val="nil"/>
        </w:pBdr>
        <w:ind w:right="115"/>
        <w:rPr>
          <w:rFonts w:ascii="Bookman Old Style" w:hAnsi="Bookman Old Style" w:cstheme="minorHAnsi"/>
        </w:rPr>
      </w:pPr>
      <w:r>
        <w:rPr>
          <w:rFonts w:ascii="Bookman Old Style" w:hAnsi="Bookman Old Style" w:cstheme="minorHAnsi"/>
        </w:rPr>
        <w:t xml:space="preserve">Representante a la Cámara </w:t>
      </w:r>
    </w:p>
    <w:p w:rsidR="007316F9" w:rsidRDefault="007316F9" w:rsidP="000E7F84">
      <w:pPr>
        <w:pBdr>
          <w:top w:val="nil"/>
          <w:left w:val="nil"/>
          <w:bottom w:val="nil"/>
          <w:right w:val="nil"/>
          <w:between w:val="nil"/>
        </w:pBdr>
        <w:ind w:right="115"/>
        <w:rPr>
          <w:rFonts w:ascii="Bookman Old Style" w:hAnsi="Bookman Old Style" w:cstheme="minorHAnsi"/>
        </w:rPr>
      </w:pPr>
      <w:r>
        <w:rPr>
          <w:rFonts w:ascii="Bookman Old Style" w:hAnsi="Bookman Old Style" w:cstheme="minorHAnsi"/>
        </w:rPr>
        <w:t>Partido Liberal Colombiano</w:t>
      </w:r>
    </w:p>
    <w:p w:rsidR="007316F9" w:rsidRDefault="007316F9" w:rsidP="000E7F84">
      <w:pPr>
        <w:pBdr>
          <w:top w:val="nil"/>
          <w:left w:val="nil"/>
          <w:bottom w:val="nil"/>
          <w:right w:val="nil"/>
          <w:between w:val="nil"/>
        </w:pBdr>
        <w:rPr>
          <w:rFonts w:ascii="Bookman Old Style" w:eastAsia="Bookman Old Style" w:hAnsi="Bookman Old Style" w:cs="Bookman Old Style"/>
          <w:color w:val="000000"/>
          <w:highlight w:val="white"/>
        </w:rPr>
        <w:sectPr w:rsidR="007316F9" w:rsidSect="007316F9">
          <w:type w:val="continuous"/>
          <w:pgSz w:w="12240" w:h="15840"/>
          <w:pgMar w:top="1417" w:right="1701" w:bottom="1417" w:left="1701" w:header="708" w:footer="708" w:gutter="0"/>
          <w:pgNumType w:start="1"/>
          <w:cols w:num="2" w:space="720"/>
          <w:docGrid w:linePitch="360"/>
        </w:sectPr>
      </w:pPr>
    </w:p>
    <w:p w:rsidR="007316F9" w:rsidRDefault="007316F9" w:rsidP="000E7F84">
      <w:pPr>
        <w:pBdr>
          <w:top w:val="nil"/>
          <w:left w:val="nil"/>
          <w:bottom w:val="nil"/>
          <w:right w:val="nil"/>
          <w:between w:val="nil"/>
        </w:pBdr>
        <w:rPr>
          <w:rFonts w:ascii="Bookman Old Style" w:eastAsia="Bookman Old Style" w:hAnsi="Bookman Old Style" w:cs="Bookman Old Style"/>
          <w:color w:val="000000"/>
          <w:highlight w:val="white"/>
        </w:rPr>
      </w:pPr>
    </w:p>
    <w:p w:rsidR="00CB7949" w:rsidRDefault="00CB7949" w:rsidP="000E7F84">
      <w:pPr>
        <w:pBdr>
          <w:top w:val="nil"/>
          <w:left w:val="nil"/>
          <w:bottom w:val="nil"/>
          <w:right w:val="nil"/>
          <w:between w:val="nil"/>
        </w:pBdr>
        <w:rPr>
          <w:rFonts w:ascii="Bookman Old Style" w:eastAsia="Bookman Old Style" w:hAnsi="Bookman Old Style" w:cs="Bookman Old Style"/>
          <w:color w:val="000000"/>
          <w:highlight w:val="white"/>
        </w:rPr>
      </w:pPr>
    </w:p>
    <w:p w:rsidR="00CB7949" w:rsidRDefault="00CB7949" w:rsidP="000E7F84">
      <w:pPr>
        <w:pBdr>
          <w:top w:val="nil"/>
          <w:left w:val="nil"/>
          <w:bottom w:val="nil"/>
          <w:right w:val="nil"/>
          <w:between w:val="nil"/>
        </w:pBdr>
        <w:rPr>
          <w:rFonts w:ascii="Bookman Old Style" w:eastAsia="Bookman Old Style" w:hAnsi="Bookman Old Style" w:cs="Bookman Old Style"/>
          <w:color w:val="000000"/>
          <w:highlight w:val="white"/>
        </w:rPr>
      </w:pPr>
    </w:p>
    <w:p w:rsidR="00CB7949" w:rsidRDefault="00CB7949" w:rsidP="000E7F84">
      <w:pPr>
        <w:pBdr>
          <w:top w:val="nil"/>
          <w:left w:val="nil"/>
          <w:bottom w:val="nil"/>
          <w:right w:val="nil"/>
          <w:between w:val="nil"/>
        </w:pBdr>
        <w:rPr>
          <w:rFonts w:ascii="Bookman Old Style" w:eastAsia="Bookman Old Style" w:hAnsi="Bookman Old Style" w:cs="Bookman Old Style"/>
          <w:color w:val="000000"/>
          <w:highlight w:val="white"/>
        </w:rPr>
      </w:pPr>
    </w:p>
    <w:p w:rsidR="00CB7949" w:rsidRDefault="00CB7949" w:rsidP="000E7F84">
      <w:pPr>
        <w:pBdr>
          <w:top w:val="nil"/>
          <w:left w:val="nil"/>
          <w:bottom w:val="nil"/>
          <w:right w:val="nil"/>
          <w:between w:val="nil"/>
        </w:pBdr>
        <w:rPr>
          <w:rFonts w:ascii="Bookman Old Style" w:eastAsia="Bookman Old Style" w:hAnsi="Bookman Old Style" w:cs="Bookman Old Style"/>
          <w:color w:val="000000"/>
          <w:highlight w:val="white"/>
        </w:rPr>
        <w:sectPr w:rsidR="00CB7949" w:rsidSect="00CB7949">
          <w:type w:val="continuous"/>
          <w:pgSz w:w="12240" w:h="15840"/>
          <w:pgMar w:top="1417" w:right="1701" w:bottom="1417" w:left="1701" w:header="708" w:footer="708" w:gutter="0"/>
          <w:pgNumType w:start="1"/>
          <w:cols w:space="720"/>
          <w:docGrid w:linePitch="360"/>
        </w:sectPr>
      </w:pPr>
    </w:p>
    <w:p w:rsidR="00CB7949" w:rsidRDefault="00CB7949" w:rsidP="000E7F84">
      <w:pPr>
        <w:pBdr>
          <w:top w:val="nil"/>
          <w:left w:val="nil"/>
          <w:bottom w:val="nil"/>
          <w:right w:val="nil"/>
          <w:between w:val="nil"/>
        </w:pBdr>
        <w:rPr>
          <w:rFonts w:ascii="Bookman Old Style" w:eastAsia="Bookman Old Style" w:hAnsi="Bookman Old Style" w:cs="Bookman Old Style"/>
          <w:color w:val="000000"/>
          <w:highlight w:val="white"/>
        </w:rPr>
      </w:pPr>
    </w:p>
    <w:p w:rsidR="00CB7949" w:rsidRPr="00CB7949" w:rsidRDefault="00CB7949" w:rsidP="000E7F84">
      <w:pPr>
        <w:pBdr>
          <w:top w:val="nil"/>
          <w:left w:val="nil"/>
          <w:bottom w:val="nil"/>
          <w:right w:val="nil"/>
          <w:between w:val="nil"/>
        </w:pBdr>
        <w:ind w:right="115"/>
        <w:rPr>
          <w:rFonts w:ascii="Bookman Old Style" w:hAnsi="Bookman Old Style" w:cstheme="minorHAnsi"/>
        </w:rPr>
      </w:pPr>
      <w:r w:rsidRPr="00126A9E">
        <w:rPr>
          <w:rFonts w:ascii="Bookman Old Style" w:hAnsi="Bookman Old Style" w:cstheme="minorHAnsi"/>
        </w:rPr>
        <w:t>________________________________</w:t>
      </w:r>
      <w:r w:rsidRPr="00CB7949">
        <w:rPr>
          <w:rFonts w:ascii="Bookman Old Style" w:hAnsi="Bookman Old Style" w:cstheme="minorHAnsi"/>
          <w:b/>
        </w:rPr>
        <w:t xml:space="preserve">JOSÉ DANIEL LÓPEZ </w:t>
      </w:r>
    </w:p>
    <w:p w:rsidR="00CB7949" w:rsidRDefault="00CB7949" w:rsidP="000E7F84">
      <w:pPr>
        <w:pBdr>
          <w:top w:val="nil"/>
          <w:left w:val="nil"/>
          <w:bottom w:val="nil"/>
          <w:right w:val="nil"/>
          <w:between w:val="nil"/>
        </w:pBdr>
        <w:ind w:right="115"/>
        <w:rPr>
          <w:rFonts w:ascii="Bookman Old Style" w:hAnsi="Bookman Old Style" w:cstheme="minorHAnsi"/>
        </w:rPr>
      </w:pPr>
      <w:r>
        <w:rPr>
          <w:rFonts w:ascii="Bookman Old Style" w:hAnsi="Bookman Old Style" w:cstheme="minorHAnsi"/>
        </w:rPr>
        <w:t xml:space="preserve">Representante a la Cámara </w:t>
      </w:r>
    </w:p>
    <w:p w:rsidR="00CB7949" w:rsidRDefault="00CB7949" w:rsidP="000E7F84">
      <w:pPr>
        <w:pBdr>
          <w:top w:val="nil"/>
          <w:left w:val="nil"/>
          <w:bottom w:val="nil"/>
          <w:right w:val="nil"/>
          <w:between w:val="nil"/>
        </w:pBdr>
        <w:ind w:right="115"/>
        <w:rPr>
          <w:rFonts w:ascii="Bookman Old Style" w:hAnsi="Bookman Old Style" w:cstheme="minorHAnsi"/>
        </w:rPr>
      </w:pPr>
      <w:r>
        <w:rPr>
          <w:rFonts w:ascii="Bookman Old Style" w:hAnsi="Bookman Old Style" w:cstheme="minorHAnsi"/>
        </w:rPr>
        <w:t xml:space="preserve">Cambio Radical </w:t>
      </w:r>
    </w:p>
    <w:p w:rsidR="00CB7949" w:rsidRDefault="00CC7F93" w:rsidP="000E7F84">
      <w:pPr>
        <w:pBdr>
          <w:top w:val="nil"/>
          <w:left w:val="nil"/>
          <w:bottom w:val="nil"/>
          <w:right w:val="nil"/>
          <w:between w:val="nil"/>
        </w:pBdr>
        <w:ind w:right="115"/>
        <w:rPr>
          <w:rFonts w:ascii="Bookman Old Style" w:hAnsi="Bookman Old Style" w:cstheme="minorHAnsi"/>
        </w:rPr>
      </w:pPr>
      <w:r>
        <w:rPr>
          <w:rFonts w:ascii="Bookman Old Style" w:hAnsi="Bookman Old Style" w:cstheme="minorHAnsi"/>
        </w:rPr>
        <w:lastRenderedPageBreak/>
        <w:t xml:space="preserve"> </w:t>
      </w:r>
    </w:p>
    <w:p w:rsidR="00CB7949" w:rsidRDefault="00CB7949" w:rsidP="000E7F84">
      <w:pPr>
        <w:pBdr>
          <w:top w:val="nil"/>
          <w:left w:val="nil"/>
          <w:bottom w:val="nil"/>
          <w:right w:val="nil"/>
          <w:between w:val="nil"/>
        </w:pBdr>
        <w:ind w:right="115"/>
        <w:rPr>
          <w:rFonts w:ascii="Bookman Old Style" w:hAnsi="Bookman Old Style" w:cstheme="minorHAnsi"/>
        </w:rPr>
      </w:pPr>
      <w:r w:rsidRPr="00126A9E">
        <w:rPr>
          <w:rFonts w:ascii="Bookman Old Style" w:hAnsi="Bookman Old Style" w:cstheme="minorHAnsi"/>
        </w:rPr>
        <w:t>____________________________</w:t>
      </w:r>
    </w:p>
    <w:p w:rsidR="00CB7949" w:rsidRPr="00CB7949" w:rsidRDefault="00CB7949" w:rsidP="000E7F84">
      <w:pPr>
        <w:pBdr>
          <w:top w:val="nil"/>
          <w:left w:val="nil"/>
          <w:bottom w:val="nil"/>
          <w:right w:val="nil"/>
          <w:between w:val="nil"/>
        </w:pBdr>
        <w:ind w:right="115"/>
        <w:rPr>
          <w:rFonts w:ascii="Bookman Old Style" w:hAnsi="Bookman Old Style" w:cstheme="minorHAnsi"/>
          <w:b/>
        </w:rPr>
      </w:pPr>
      <w:r w:rsidRPr="00CB7949">
        <w:rPr>
          <w:rFonts w:ascii="Bookman Old Style" w:hAnsi="Bookman Old Style" w:cstheme="minorHAnsi"/>
          <w:b/>
        </w:rPr>
        <w:t xml:space="preserve">INTI RAÚL ASPRILLA </w:t>
      </w:r>
    </w:p>
    <w:p w:rsidR="00CB7949" w:rsidRDefault="00CB7949" w:rsidP="000E7F84">
      <w:pPr>
        <w:pBdr>
          <w:top w:val="nil"/>
          <w:left w:val="nil"/>
          <w:bottom w:val="nil"/>
          <w:right w:val="nil"/>
          <w:between w:val="nil"/>
        </w:pBdr>
        <w:ind w:right="115"/>
        <w:rPr>
          <w:rFonts w:ascii="Bookman Old Style" w:hAnsi="Bookman Old Style" w:cstheme="minorHAnsi"/>
        </w:rPr>
      </w:pPr>
      <w:r>
        <w:rPr>
          <w:rFonts w:ascii="Bookman Old Style" w:hAnsi="Bookman Old Style" w:cstheme="minorHAnsi"/>
        </w:rPr>
        <w:t xml:space="preserve">Representante a la Cámara </w:t>
      </w:r>
    </w:p>
    <w:p w:rsidR="00CB7949" w:rsidRDefault="00CB7949" w:rsidP="000E7F84">
      <w:pPr>
        <w:pBdr>
          <w:top w:val="nil"/>
          <w:left w:val="nil"/>
          <w:bottom w:val="nil"/>
          <w:right w:val="nil"/>
          <w:between w:val="nil"/>
        </w:pBdr>
        <w:ind w:right="115"/>
        <w:rPr>
          <w:rFonts w:ascii="Bookman Old Style" w:hAnsi="Bookman Old Style" w:cstheme="minorHAnsi"/>
        </w:rPr>
      </w:pPr>
      <w:r>
        <w:rPr>
          <w:rFonts w:ascii="Bookman Old Style" w:hAnsi="Bookman Old Style" w:cstheme="minorHAnsi"/>
        </w:rPr>
        <w:t>Alianza Verde</w:t>
      </w:r>
    </w:p>
    <w:p w:rsidR="00CB7949" w:rsidRDefault="00CB7949" w:rsidP="000E7F84">
      <w:pPr>
        <w:pBdr>
          <w:top w:val="nil"/>
          <w:left w:val="nil"/>
          <w:bottom w:val="nil"/>
          <w:right w:val="nil"/>
          <w:between w:val="nil"/>
        </w:pBdr>
        <w:rPr>
          <w:rFonts w:ascii="Bookman Old Style" w:eastAsia="Bookman Old Style" w:hAnsi="Bookman Old Style" w:cs="Bookman Old Style"/>
          <w:color w:val="000000"/>
          <w:highlight w:val="white"/>
        </w:rPr>
        <w:sectPr w:rsidR="00CB7949" w:rsidSect="00CB7949">
          <w:type w:val="continuous"/>
          <w:pgSz w:w="12240" w:h="15840"/>
          <w:pgMar w:top="1417" w:right="1701" w:bottom="1417" w:left="1701" w:header="708" w:footer="708" w:gutter="0"/>
          <w:pgNumType w:start="1"/>
          <w:cols w:num="2" w:space="720"/>
          <w:docGrid w:linePitch="360"/>
        </w:sectPr>
      </w:pPr>
    </w:p>
    <w:p w:rsidR="00CB7949" w:rsidRDefault="00CB7949" w:rsidP="000E7F84">
      <w:pPr>
        <w:pBdr>
          <w:top w:val="nil"/>
          <w:left w:val="nil"/>
          <w:bottom w:val="nil"/>
          <w:right w:val="nil"/>
          <w:between w:val="nil"/>
        </w:pBdr>
        <w:rPr>
          <w:rFonts w:ascii="Bookman Old Style" w:eastAsia="Bookman Old Style" w:hAnsi="Bookman Old Style" w:cs="Bookman Old Style"/>
          <w:color w:val="000000"/>
          <w:highlight w:val="white"/>
        </w:rPr>
      </w:pPr>
    </w:p>
    <w:p w:rsidR="00CB7949" w:rsidRDefault="00CB7949" w:rsidP="000E7F84">
      <w:pPr>
        <w:pBdr>
          <w:top w:val="nil"/>
          <w:left w:val="nil"/>
          <w:bottom w:val="nil"/>
          <w:right w:val="nil"/>
          <w:between w:val="nil"/>
        </w:pBdr>
        <w:rPr>
          <w:rFonts w:ascii="Bookman Old Style" w:eastAsia="Bookman Old Style" w:hAnsi="Bookman Old Style" w:cs="Bookman Old Style"/>
          <w:color w:val="000000"/>
          <w:highlight w:val="white"/>
        </w:rPr>
      </w:pPr>
    </w:p>
    <w:p w:rsidR="000E7F84" w:rsidRDefault="000E7F84" w:rsidP="000E7F84">
      <w:pPr>
        <w:pBdr>
          <w:top w:val="nil"/>
          <w:left w:val="nil"/>
          <w:bottom w:val="nil"/>
          <w:right w:val="nil"/>
          <w:between w:val="nil"/>
        </w:pBdr>
        <w:rPr>
          <w:rFonts w:ascii="Bookman Old Style" w:eastAsia="Bookman Old Style" w:hAnsi="Bookman Old Style" w:cs="Bookman Old Style"/>
          <w:color w:val="000000"/>
          <w:highlight w:val="white"/>
        </w:rPr>
      </w:pPr>
    </w:p>
    <w:p w:rsidR="00CC7F93" w:rsidRDefault="000E7F84" w:rsidP="000E7F84">
      <w:pPr>
        <w:pBdr>
          <w:top w:val="nil"/>
          <w:left w:val="nil"/>
          <w:bottom w:val="nil"/>
          <w:right w:val="nil"/>
          <w:between w:val="nil"/>
        </w:pBdr>
        <w:ind w:right="20"/>
        <w:rPr>
          <w:rFonts w:ascii="Bookman Old Style" w:eastAsia="Bookman Old Style" w:hAnsi="Bookman Old Style" w:cs="Bookman Old Style"/>
          <w:b/>
          <w:color w:val="000000"/>
        </w:rPr>
      </w:pPr>
      <w:r w:rsidRPr="00126A9E">
        <w:rPr>
          <w:rFonts w:ascii="Bookman Old Style" w:hAnsi="Bookman Old Style" w:cstheme="minorHAnsi"/>
        </w:rPr>
        <w:t>________________________________</w:t>
      </w:r>
    </w:p>
    <w:p w:rsidR="00CC7F93" w:rsidRDefault="00CC7F93" w:rsidP="000E7F84">
      <w:pPr>
        <w:pBdr>
          <w:top w:val="nil"/>
          <w:left w:val="nil"/>
          <w:bottom w:val="nil"/>
          <w:right w:val="nil"/>
          <w:between w:val="nil"/>
        </w:pBdr>
        <w:ind w:right="20"/>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FABIAN DÍAZ PLATA </w:t>
      </w:r>
    </w:p>
    <w:p w:rsidR="00CC7F93" w:rsidRPr="000E7F84" w:rsidRDefault="00CC7F93" w:rsidP="000E7F84">
      <w:pPr>
        <w:pBdr>
          <w:top w:val="nil"/>
          <w:left w:val="nil"/>
          <w:bottom w:val="nil"/>
          <w:right w:val="nil"/>
          <w:between w:val="nil"/>
        </w:pBdr>
        <w:ind w:right="20"/>
        <w:rPr>
          <w:rFonts w:ascii="Bookman Old Style" w:eastAsia="Bookman Old Style" w:hAnsi="Bookman Old Style" w:cs="Bookman Old Style"/>
          <w:color w:val="000000"/>
        </w:rPr>
      </w:pPr>
      <w:r w:rsidRPr="000E7F84">
        <w:rPr>
          <w:rFonts w:ascii="Bookman Old Style" w:eastAsia="Bookman Old Style" w:hAnsi="Bookman Old Style" w:cs="Bookman Old Style"/>
          <w:color w:val="000000"/>
        </w:rPr>
        <w:t>Representante a la Cámara</w:t>
      </w:r>
    </w:p>
    <w:p w:rsidR="00CB7949" w:rsidRDefault="00CB7949" w:rsidP="00C678BE">
      <w:pPr>
        <w:pBdr>
          <w:top w:val="nil"/>
          <w:left w:val="nil"/>
          <w:bottom w:val="nil"/>
          <w:right w:val="nil"/>
          <w:between w:val="nil"/>
        </w:pBdr>
        <w:jc w:val="center"/>
        <w:rPr>
          <w:rFonts w:ascii="Bookman Old Style" w:eastAsia="Bookman Old Style" w:hAnsi="Bookman Old Style" w:cs="Bookman Old Style"/>
          <w:color w:val="000000"/>
          <w:highlight w:val="white"/>
        </w:rPr>
      </w:pPr>
    </w:p>
    <w:p w:rsidR="00CB7949" w:rsidRDefault="00CB7949" w:rsidP="00C678BE">
      <w:pPr>
        <w:pBdr>
          <w:top w:val="nil"/>
          <w:left w:val="nil"/>
          <w:bottom w:val="nil"/>
          <w:right w:val="nil"/>
          <w:between w:val="nil"/>
        </w:pBdr>
        <w:jc w:val="center"/>
        <w:rPr>
          <w:rFonts w:ascii="Bookman Old Style" w:eastAsia="Bookman Old Style" w:hAnsi="Bookman Old Style" w:cs="Bookman Old Style"/>
          <w:color w:val="000000"/>
          <w:highlight w:val="white"/>
        </w:rPr>
      </w:pPr>
    </w:p>
    <w:p w:rsidR="00CB7949" w:rsidRDefault="00CB7949" w:rsidP="00C678BE">
      <w:pPr>
        <w:pBdr>
          <w:top w:val="nil"/>
          <w:left w:val="nil"/>
          <w:bottom w:val="nil"/>
          <w:right w:val="nil"/>
          <w:between w:val="nil"/>
        </w:pBdr>
        <w:jc w:val="center"/>
        <w:rPr>
          <w:rFonts w:ascii="Bookman Old Style" w:eastAsia="Bookman Old Style" w:hAnsi="Bookman Old Style" w:cs="Bookman Old Style"/>
          <w:color w:val="000000"/>
          <w:highlight w:val="white"/>
        </w:rPr>
      </w:pPr>
    </w:p>
    <w:p w:rsidR="00CB7949" w:rsidRDefault="00CB7949" w:rsidP="00C678BE">
      <w:pPr>
        <w:pBdr>
          <w:top w:val="nil"/>
          <w:left w:val="nil"/>
          <w:bottom w:val="nil"/>
          <w:right w:val="nil"/>
          <w:between w:val="nil"/>
        </w:pBdr>
        <w:jc w:val="center"/>
        <w:rPr>
          <w:rFonts w:ascii="Bookman Old Style" w:eastAsia="Bookman Old Style" w:hAnsi="Bookman Old Style" w:cs="Bookman Old Style"/>
          <w:color w:val="000000"/>
          <w:highlight w:val="white"/>
        </w:rPr>
      </w:pPr>
    </w:p>
    <w:p w:rsidR="00CB7949" w:rsidRDefault="00CB7949" w:rsidP="00C678BE">
      <w:pPr>
        <w:pBdr>
          <w:top w:val="nil"/>
          <w:left w:val="nil"/>
          <w:bottom w:val="nil"/>
          <w:right w:val="nil"/>
          <w:between w:val="nil"/>
        </w:pBdr>
        <w:jc w:val="center"/>
        <w:rPr>
          <w:rFonts w:ascii="Bookman Old Style" w:eastAsia="Bookman Old Style" w:hAnsi="Bookman Old Style" w:cs="Bookman Old Style"/>
          <w:color w:val="000000"/>
          <w:highlight w:val="white"/>
        </w:rPr>
      </w:pPr>
    </w:p>
    <w:p w:rsidR="00CB7949" w:rsidRDefault="00CB7949" w:rsidP="00C678BE">
      <w:pPr>
        <w:pBdr>
          <w:top w:val="nil"/>
          <w:left w:val="nil"/>
          <w:bottom w:val="nil"/>
          <w:right w:val="nil"/>
          <w:between w:val="nil"/>
        </w:pBdr>
        <w:jc w:val="center"/>
        <w:rPr>
          <w:rFonts w:ascii="Bookman Old Style" w:eastAsia="Bookman Old Style" w:hAnsi="Bookman Old Style" w:cs="Bookman Old Style"/>
          <w:color w:val="000000"/>
          <w:highlight w:val="white"/>
        </w:rPr>
      </w:pPr>
    </w:p>
    <w:p w:rsidR="00CB7949" w:rsidRDefault="00CB7949" w:rsidP="00CB7949">
      <w:pPr>
        <w:pBdr>
          <w:top w:val="nil"/>
          <w:left w:val="nil"/>
          <w:bottom w:val="nil"/>
          <w:right w:val="nil"/>
          <w:between w:val="nil"/>
        </w:pBdr>
        <w:rPr>
          <w:rFonts w:ascii="Bookman Old Style" w:eastAsia="Bookman Old Style" w:hAnsi="Bookman Old Style" w:cs="Bookman Old Style"/>
          <w:color w:val="000000"/>
          <w:highlight w:val="white"/>
        </w:rPr>
      </w:pPr>
    </w:p>
    <w:p w:rsidR="00CB7949" w:rsidRDefault="00CB7949" w:rsidP="00CB7949">
      <w:pPr>
        <w:pBdr>
          <w:top w:val="nil"/>
          <w:left w:val="nil"/>
          <w:bottom w:val="nil"/>
          <w:right w:val="nil"/>
          <w:between w:val="nil"/>
        </w:pBdr>
        <w:rPr>
          <w:rFonts w:ascii="Bookman Old Style" w:eastAsia="Bookman Old Style" w:hAnsi="Bookman Old Style" w:cs="Bookman Old Style"/>
          <w:color w:val="000000"/>
          <w:highlight w:val="white"/>
        </w:rPr>
      </w:pPr>
    </w:p>
    <w:p w:rsidR="000E7F84" w:rsidRDefault="000E7F84" w:rsidP="00CB7949">
      <w:pPr>
        <w:pBdr>
          <w:top w:val="nil"/>
          <w:left w:val="nil"/>
          <w:bottom w:val="nil"/>
          <w:right w:val="nil"/>
          <w:between w:val="nil"/>
        </w:pBdr>
        <w:rPr>
          <w:rFonts w:ascii="Bookman Old Style" w:eastAsia="Bookman Old Style" w:hAnsi="Bookman Old Style" w:cs="Bookman Old Style"/>
          <w:color w:val="000000"/>
          <w:highlight w:val="white"/>
        </w:rPr>
      </w:pPr>
    </w:p>
    <w:p w:rsidR="000E7F84" w:rsidRDefault="000E7F84" w:rsidP="00CB7949">
      <w:pPr>
        <w:pBdr>
          <w:top w:val="nil"/>
          <w:left w:val="nil"/>
          <w:bottom w:val="nil"/>
          <w:right w:val="nil"/>
          <w:between w:val="nil"/>
        </w:pBdr>
        <w:rPr>
          <w:rFonts w:ascii="Bookman Old Style" w:eastAsia="Bookman Old Style" w:hAnsi="Bookman Old Style" w:cs="Bookman Old Style"/>
          <w:color w:val="000000"/>
          <w:highlight w:val="white"/>
        </w:rPr>
      </w:pPr>
    </w:p>
    <w:p w:rsidR="000E7F84" w:rsidRDefault="000E7F84" w:rsidP="00CB7949">
      <w:pPr>
        <w:pBdr>
          <w:top w:val="nil"/>
          <w:left w:val="nil"/>
          <w:bottom w:val="nil"/>
          <w:right w:val="nil"/>
          <w:between w:val="nil"/>
        </w:pBdr>
        <w:rPr>
          <w:rFonts w:ascii="Bookman Old Style" w:eastAsia="Bookman Old Style" w:hAnsi="Bookman Old Style" w:cs="Bookman Old Style"/>
          <w:color w:val="000000"/>
          <w:highlight w:val="white"/>
        </w:rPr>
      </w:pPr>
    </w:p>
    <w:p w:rsidR="000E7F84" w:rsidRDefault="000E7F84" w:rsidP="00CB7949">
      <w:pPr>
        <w:pBdr>
          <w:top w:val="nil"/>
          <w:left w:val="nil"/>
          <w:bottom w:val="nil"/>
          <w:right w:val="nil"/>
          <w:between w:val="nil"/>
        </w:pBdr>
        <w:rPr>
          <w:rFonts w:ascii="Bookman Old Style" w:eastAsia="Bookman Old Style" w:hAnsi="Bookman Old Style" w:cs="Bookman Old Style"/>
          <w:color w:val="000000"/>
          <w:highlight w:val="white"/>
        </w:rPr>
      </w:pPr>
    </w:p>
    <w:p w:rsidR="00CC7F93" w:rsidRPr="001F4F6E" w:rsidRDefault="00CC7F93" w:rsidP="00CC7F93">
      <w:pPr>
        <w:pBdr>
          <w:top w:val="nil"/>
          <w:left w:val="nil"/>
          <w:bottom w:val="nil"/>
          <w:right w:val="nil"/>
          <w:between w:val="nil"/>
        </w:pBdr>
        <w:rPr>
          <w:rFonts w:ascii="Bookman Old Style" w:eastAsia="Bookman Old Style" w:hAnsi="Bookman Old Style" w:cs="Bookman Old Style"/>
          <w:color w:val="000000"/>
          <w:highlight w:val="white"/>
        </w:rPr>
      </w:pPr>
    </w:p>
    <w:p w:rsidR="00EE0E78" w:rsidRPr="001F4F6E" w:rsidRDefault="000F347E">
      <w:pPr>
        <w:pBdr>
          <w:top w:val="nil"/>
          <w:left w:val="nil"/>
          <w:bottom w:val="nil"/>
          <w:right w:val="nil"/>
          <w:between w:val="nil"/>
        </w:pBdr>
        <w:ind w:left="720"/>
        <w:jc w:val="center"/>
        <w:rPr>
          <w:rFonts w:ascii="Bookman Old Style" w:eastAsia="Bookman Old Style" w:hAnsi="Bookman Old Style" w:cs="Bookman Old Style"/>
          <w:b/>
          <w:i/>
          <w:color w:val="000000"/>
          <w:highlight w:val="white"/>
        </w:rPr>
      </w:pPr>
      <w:r w:rsidRPr="001F4F6E">
        <w:rPr>
          <w:rFonts w:ascii="Bookman Old Style" w:eastAsia="Bookman Old Style" w:hAnsi="Bookman Old Style" w:cs="Bookman Old Style"/>
          <w:b/>
          <w:i/>
          <w:color w:val="000000"/>
          <w:highlight w:val="white"/>
        </w:rPr>
        <w:t>EXPOSICIÓN DE MOTIVOS</w:t>
      </w:r>
    </w:p>
    <w:p w:rsidR="00EE0E78" w:rsidRPr="001F4F6E" w:rsidRDefault="00D00876">
      <w:pPr>
        <w:pBdr>
          <w:top w:val="nil"/>
          <w:left w:val="nil"/>
          <w:bottom w:val="nil"/>
          <w:right w:val="nil"/>
          <w:between w:val="nil"/>
        </w:pBdr>
        <w:ind w:left="720"/>
        <w:jc w:val="center"/>
        <w:rPr>
          <w:rFonts w:ascii="Bookman Old Style" w:eastAsia="Bookman Old Style" w:hAnsi="Bookman Old Style" w:cs="Bookman Old Style"/>
          <w:b/>
          <w:i/>
          <w:color w:val="000000"/>
          <w:highlight w:val="white"/>
        </w:rPr>
      </w:pPr>
      <w:r>
        <w:rPr>
          <w:noProof/>
        </w:rPr>
        <w:lastRenderedPageBreak/>
        <w:pict>
          <v:rect id="_x0000_i1025" alt="" style="width:146.55pt;height:.05pt;mso-width-percent:0;mso-height-percent:0;mso-width-percent:0;mso-height-percent:0" o:hrpct="361" o:hralign="center" o:hrstd="t" o:hr="t" fillcolor="#a0a0a0" stroked="f"/>
        </w:pict>
      </w:r>
    </w:p>
    <w:p w:rsidR="00EE0E78" w:rsidRPr="001F4F6E" w:rsidRDefault="00EE0E78">
      <w:pPr>
        <w:pBdr>
          <w:top w:val="nil"/>
          <w:left w:val="nil"/>
          <w:bottom w:val="nil"/>
          <w:right w:val="nil"/>
          <w:between w:val="nil"/>
        </w:pBdr>
        <w:ind w:left="720"/>
        <w:jc w:val="center"/>
        <w:rPr>
          <w:rFonts w:ascii="Bookman Old Style" w:eastAsia="Bookman Old Style" w:hAnsi="Bookman Old Style" w:cs="Bookman Old Style"/>
          <w:b/>
          <w:i/>
          <w:color w:val="000000"/>
          <w:highlight w:val="white"/>
        </w:rPr>
      </w:pPr>
    </w:p>
    <w:p w:rsidR="00EE0E78" w:rsidRPr="001F4F6E" w:rsidRDefault="000F347E">
      <w:pPr>
        <w:pBdr>
          <w:top w:val="nil"/>
          <w:left w:val="nil"/>
          <w:bottom w:val="nil"/>
          <w:right w:val="nil"/>
          <w:between w:val="nil"/>
        </w:pBdr>
        <w:ind w:left="3969"/>
        <w:jc w:val="right"/>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“Los animales del mundo tienen sus propias razones para existir. No fueron creados para ser explotados por los seres humanos, de la misma manera que la población negra no fue creada para ser explotada por la blanca, o las mujeres por los hombres”. (Alice Walker).</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pPr>
        <w:numPr>
          <w:ilvl w:val="0"/>
          <w:numId w:val="8"/>
        </w:num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b/>
          <w:color w:val="000000"/>
          <w:highlight w:val="white"/>
        </w:rPr>
        <w:t>OBJETO</w:t>
      </w:r>
      <w:r w:rsidRPr="001F4F6E">
        <w:rPr>
          <w:rFonts w:ascii="Bookman Old Style" w:eastAsia="Bookman Old Style" w:hAnsi="Bookman Old Style" w:cs="Bookman Old Style"/>
          <w:color w:val="000000"/>
          <w:highlight w:val="white"/>
        </w:rPr>
        <w:t>.</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A34AE4">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rPr>
        <w:t xml:space="preserve">Avanzar </w:t>
      </w:r>
      <w:r w:rsidRPr="001F4F6E">
        <w:rPr>
          <w:rFonts w:ascii="Bookman Old Style" w:eastAsia="Bookman Old Style" w:hAnsi="Bookman Old Style" w:cs="Bookman Old Style"/>
          <w:color w:val="000000"/>
          <w:highlight w:val="white"/>
        </w:rPr>
        <w:t xml:space="preserve">en el reconocimiento </w:t>
      </w:r>
      <w:r w:rsidR="00745BA9" w:rsidRPr="001F4F6E">
        <w:rPr>
          <w:rFonts w:ascii="Bookman Old Style" w:eastAsia="Bookman Old Style" w:hAnsi="Bookman Old Style" w:cs="Bookman Old Style"/>
          <w:color w:val="000000"/>
          <w:highlight w:val="white"/>
        </w:rPr>
        <w:t>de los animales como seres sintientes, sujetos de una protección constitucional y legal especial</w:t>
      </w:r>
      <w:r w:rsidR="004F576C" w:rsidRPr="001F4F6E">
        <w:rPr>
          <w:rFonts w:ascii="Bookman Old Style" w:eastAsia="Bookman Old Style" w:hAnsi="Bookman Old Style" w:cs="Bookman Old Style"/>
          <w:color w:val="000000"/>
          <w:highlight w:val="white"/>
        </w:rPr>
        <w:t xml:space="preserve">, </w:t>
      </w:r>
      <w:r w:rsidR="00181297" w:rsidRPr="001F4F6E">
        <w:rPr>
          <w:rFonts w:ascii="Bookman Old Style" w:eastAsia="Bookman Old Style" w:hAnsi="Bookman Old Style" w:cs="Bookman Old Style"/>
          <w:color w:val="000000"/>
          <w:highlight w:val="white"/>
        </w:rPr>
        <w:t xml:space="preserve">a través de la prohibición de </w:t>
      </w:r>
      <w:r w:rsidR="004F576C" w:rsidRPr="001F4F6E">
        <w:rPr>
          <w:rFonts w:ascii="Bookman Old Style" w:eastAsia="Bookman Old Style" w:hAnsi="Bookman Old Style" w:cs="Bookman Old Style"/>
          <w:color w:val="000000"/>
          <w:highlight w:val="white"/>
        </w:rPr>
        <w:t>las prácticas taurinas en todo el territorio nacional, como expresiones de maltrato, crueldad y violencia.</w:t>
      </w:r>
      <w:r w:rsidR="00FF3BDC" w:rsidRPr="001F4F6E">
        <w:rPr>
          <w:rFonts w:ascii="Bookman Old Style" w:eastAsia="Bookman Old Style" w:hAnsi="Bookman Old Style" w:cs="Bookman Old Style"/>
          <w:color w:val="000000"/>
          <w:highlight w:val="white"/>
        </w:rPr>
        <w:t xml:space="preserve"> </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pPr>
        <w:numPr>
          <w:ilvl w:val="0"/>
          <w:numId w:val="8"/>
        </w:numPr>
        <w:pBdr>
          <w:top w:val="nil"/>
          <w:left w:val="nil"/>
          <w:bottom w:val="nil"/>
          <w:right w:val="nil"/>
          <w:between w:val="nil"/>
        </w:pBdr>
        <w:jc w:val="both"/>
        <w:rPr>
          <w:rFonts w:ascii="Bookman Old Style" w:eastAsia="Bookman Old Style" w:hAnsi="Bookman Old Style" w:cs="Bookman Old Style"/>
          <w:b/>
          <w:color w:val="000000"/>
          <w:highlight w:val="white"/>
        </w:rPr>
      </w:pPr>
      <w:r w:rsidRPr="001F4F6E">
        <w:rPr>
          <w:rFonts w:ascii="Bookman Old Style" w:eastAsia="Bookman Old Style" w:hAnsi="Bookman Old Style" w:cs="Bookman Old Style"/>
          <w:b/>
          <w:color w:val="000000"/>
          <w:highlight w:val="white"/>
        </w:rPr>
        <w:t>ANTECEDENTES</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b/>
          <w:color w:val="000000"/>
          <w:highlight w:val="white"/>
        </w:rPr>
      </w:pPr>
    </w:p>
    <w:p w:rsidR="005144F8" w:rsidRPr="001F4F6E" w:rsidRDefault="00FE1890">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La prohibición de las actividades taurinas ha estado en el centro del debat</w:t>
      </w:r>
      <w:r w:rsidR="00AA5595" w:rsidRPr="001F4F6E">
        <w:rPr>
          <w:rFonts w:ascii="Bookman Old Style" w:eastAsia="Bookman Old Style" w:hAnsi="Bookman Old Style" w:cs="Bookman Old Style"/>
          <w:color w:val="000000"/>
          <w:highlight w:val="white"/>
        </w:rPr>
        <w:t xml:space="preserve">e </w:t>
      </w:r>
      <w:r w:rsidRPr="001F4F6E">
        <w:rPr>
          <w:rFonts w:ascii="Bookman Old Style" w:eastAsia="Bookman Old Style" w:hAnsi="Bookman Old Style" w:cs="Bookman Old Style"/>
          <w:color w:val="000000"/>
          <w:highlight w:val="white"/>
        </w:rPr>
        <w:t>desde el año 2010, en el que fue proferida la sentencia C-666</w:t>
      </w:r>
      <w:r w:rsidR="00AA5595" w:rsidRPr="001F4F6E">
        <w:rPr>
          <w:rFonts w:ascii="Bookman Old Style" w:eastAsia="Bookman Old Style" w:hAnsi="Bookman Old Style" w:cs="Bookman Old Style"/>
          <w:color w:val="000000"/>
          <w:highlight w:val="white"/>
        </w:rPr>
        <w:t>, que ponderó el deber de protección a los animales en su calidad de seres sintientes, con las tradiciones culturales y la expresión de las mismas</w:t>
      </w:r>
      <w:r w:rsidR="00AC18E0" w:rsidRPr="001F4F6E">
        <w:rPr>
          <w:rFonts w:ascii="Bookman Old Style" w:eastAsia="Bookman Old Style" w:hAnsi="Bookman Old Style" w:cs="Bookman Old Style"/>
          <w:color w:val="000000"/>
          <w:highlight w:val="white"/>
        </w:rPr>
        <w:t xml:space="preserve"> en aquellos territorios donde existe un arraigo histórico por parte de la población frente al rejoneo, las corridas de toros, las novilladas, las becerradas y las tientas</w:t>
      </w:r>
    </w:p>
    <w:p w:rsidR="005144F8" w:rsidRPr="001F4F6E" w:rsidRDefault="005144F8">
      <w:pPr>
        <w:pBdr>
          <w:top w:val="nil"/>
          <w:left w:val="nil"/>
          <w:bottom w:val="nil"/>
          <w:right w:val="nil"/>
          <w:between w:val="nil"/>
        </w:pBdr>
        <w:jc w:val="both"/>
        <w:rPr>
          <w:rFonts w:ascii="Bookman Old Style" w:eastAsia="Bookman Old Style" w:hAnsi="Bookman Old Style" w:cs="Bookman Old Style"/>
          <w:color w:val="000000"/>
          <w:highlight w:val="white"/>
        </w:rPr>
      </w:pPr>
    </w:p>
    <w:p w:rsidR="005144F8" w:rsidRPr="001F4F6E" w:rsidRDefault="00CB32F6">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En aquella oportunidad la Corte decidió </w:t>
      </w:r>
      <w:r w:rsidR="000B0826" w:rsidRPr="001F4F6E">
        <w:rPr>
          <w:rFonts w:ascii="Bookman Old Style" w:eastAsia="Bookman Old Style" w:hAnsi="Bookman Old Style" w:cs="Bookman Old Style"/>
          <w:color w:val="000000"/>
          <w:highlight w:val="white"/>
        </w:rPr>
        <w:t xml:space="preserve">declarar exequibles </w:t>
      </w:r>
      <w:r w:rsidR="005144F8" w:rsidRPr="001F4F6E">
        <w:rPr>
          <w:rFonts w:ascii="Bookman Old Style" w:eastAsia="Bookman Old Style" w:hAnsi="Bookman Old Style" w:cs="Bookman Old Style"/>
          <w:color w:val="000000"/>
          <w:highlight w:val="white"/>
        </w:rPr>
        <w:t>las actividades culturales exceptuadas en el artículo 7 de la Ley 84 de 1989, fijando algunas limitaciones con el fin de adaptar dicha normativa a la nueva realidad jurídica que se impuso con la expedición de la Constitución de 1991.</w:t>
      </w:r>
      <w:r w:rsidR="00560B49" w:rsidRPr="001F4F6E">
        <w:rPr>
          <w:rFonts w:ascii="Bookman Old Style" w:eastAsia="Bookman Old Style" w:hAnsi="Bookman Old Style" w:cs="Bookman Old Style"/>
          <w:color w:val="000000"/>
          <w:highlight w:val="white"/>
        </w:rPr>
        <w:t xml:space="preserve"> </w:t>
      </w:r>
    </w:p>
    <w:p w:rsidR="00AA5595" w:rsidRPr="001F4F6E" w:rsidRDefault="00AA5595">
      <w:pPr>
        <w:pBdr>
          <w:top w:val="nil"/>
          <w:left w:val="nil"/>
          <w:bottom w:val="nil"/>
          <w:right w:val="nil"/>
          <w:between w:val="nil"/>
        </w:pBdr>
        <w:jc w:val="both"/>
        <w:rPr>
          <w:rFonts w:ascii="Bookman Old Style" w:eastAsia="Bookman Old Style" w:hAnsi="Bookman Old Style" w:cs="Bookman Old Style"/>
          <w:color w:val="000000"/>
          <w:highlight w:val="white"/>
        </w:rPr>
      </w:pPr>
    </w:p>
    <w:p w:rsidR="00933726" w:rsidRPr="001F4F6E" w:rsidRDefault="00AA5595">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Desde aquel momento, se han presentado y aprobado distintas iniciativas legislativas que han avanzado en la protección y reconocimiento de los animales</w:t>
      </w:r>
      <w:r w:rsidR="006621B5" w:rsidRPr="001F4F6E">
        <w:rPr>
          <w:rFonts w:ascii="Bookman Old Style" w:eastAsia="Bookman Old Style" w:hAnsi="Bookman Old Style" w:cs="Bookman Old Style"/>
          <w:color w:val="000000"/>
          <w:highlight w:val="white"/>
        </w:rPr>
        <w:t xml:space="preserve">, </w:t>
      </w:r>
      <w:r w:rsidR="00B50B3B" w:rsidRPr="001F4F6E">
        <w:rPr>
          <w:rFonts w:ascii="Bookman Old Style" w:eastAsia="Bookman Old Style" w:hAnsi="Bookman Old Style" w:cs="Bookman Old Style"/>
          <w:color w:val="000000"/>
          <w:highlight w:val="white"/>
        </w:rPr>
        <w:t xml:space="preserve">por </w:t>
      </w:r>
      <w:r w:rsidR="00246F38" w:rsidRPr="001F4F6E">
        <w:rPr>
          <w:rFonts w:ascii="Bookman Old Style" w:eastAsia="Bookman Old Style" w:hAnsi="Bookman Old Style" w:cs="Bookman Old Style"/>
          <w:color w:val="000000"/>
          <w:highlight w:val="white"/>
        </w:rPr>
        <w:t>ejemplo,</w:t>
      </w:r>
      <w:r w:rsidR="006621B5" w:rsidRPr="001F4F6E">
        <w:rPr>
          <w:rFonts w:ascii="Bookman Old Style" w:eastAsia="Bookman Old Style" w:hAnsi="Bookman Old Style" w:cs="Bookman Old Style"/>
          <w:color w:val="000000"/>
          <w:highlight w:val="white"/>
        </w:rPr>
        <w:t xml:space="preserve"> la Ley 1638 de 2013 y la Ley 1774 de 2016,</w:t>
      </w:r>
      <w:r w:rsidRPr="001F4F6E">
        <w:rPr>
          <w:rFonts w:ascii="Bookman Old Style" w:eastAsia="Bookman Old Style" w:hAnsi="Bookman Old Style" w:cs="Bookman Old Style"/>
          <w:color w:val="000000"/>
          <w:highlight w:val="white"/>
        </w:rPr>
        <w:t xml:space="preserve"> </w:t>
      </w:r>
      <w:r w:rsidR="006621B5" w:rsidRPr="001F4F6E">
        <w:rPr>
          <w:rFonts w:ascii="Bookman Old Style" w:eastAsia="Bookman Old Style" w:hAnsi="Bookman Old Style" w:cs="Bookman Old Style"/>
          <w:color w:val="000000"/>
          <w:highlight w:val="white"/>
        </w:rPr>
        <w:t xml:space="preserve">y, además, </w:t>
      </w:r>
      <w:r w:rsidRPr="001F4F6E">
        <w:rPr>
          <w:rFonts w:ascii="Bookman Old Style" w:eastAsia="Bookman Old Style" w:hAnsi="Bookman Old Style" w:cs="Bookman Old Style"/>
          <w:color w:val="000000"/>
          <w:highlight w:val="white"/>
        </w:rPr>
        <w:t xml:space="preserve">han sido proferidas </w:t>
      </w:r>
      <w:r w:rsidR="006621B5" w:rsidRPr="001F4F6E">
        <w:rPr>
          <w:rFonts w:ascii="Bookman Old Style" w:eastAsia="Bookman Old Style" w:hAnsi="Bookman Old Style" w:cs="Bookman Old Style"/>
          <w:color w:val="000000"/>
          <w:highlight w:val="white"/>
        </w:rPr>
        <w:t xml:space="preserve">diversas </w:t>
      </w:r>
      <w:r w:rsidRPr="001F4F6E">
        <w:rPr>
          <w:rFonts w:ascii="Bookman Old Style" w:eastAsia="Bookman Old Style" w:hAnsi="Bookman Old Style" w:cs="Bookman Old Style"/>
          <w:color w:val="000000"/>
          <w:highlight w:val="white"/>
        </w:rPr>
        <w:t xml:space="preserve">decisiones judiciales, especialmente en sede de tutela y constitucionalidad, </w:t>
      </w:r>
      <w:r w:rsidR="006621B5" w:rsidRPr="001F4F6E">
        <w:rPr>
          <w:rFonts w:ascii="Bookman Old Style" w:eastAsia="Bookman Old Style" w:hAnsi="Bookman Old Style" w:cs="Bookman Old Style"/>
          <w:color w:val="000000"/>
          <w:highlight w:val="white"/>
        </w:rPr>
        <w:t>que cada vez más ratifican la existencia de una protección especial en cabeza de los animales</w:t>
      </w:r>
      <w:r w:rsidR="00933726" w:rsidRPr="001F4F6E">
        <w:rPr>
          <w:rFonts w:ascii="Bookman Old Style" w:eastAsia="Bookman Old Style" w:hAnsi="Bookman Old Style" w:cs="Bookman Old Style"/>
          <w:color w:val="000000"/>
          <w:highlight w:val="white"/>
        </w:rPr>
        <w:t xml:space="preserve"> no solo como seres sintientes sino, incluso, como sujetos de algunos derechos</w:t>
      </w:r>
      <w:r w:rsidR="006621B5" w:rsidRPr="001F4F6E">
        <w:rPr>
          <w:rFonts w:ascii="Bookman Old Style" w:eastAsia="Bookman Old Style" w:hAnsi="Bookman Old Style" w:cs="Bookman Old Style"/>
          <w:color w:val="000000"/>
          <w:highlight w:val="white"/>
        </w:rPr>
        <w:t>.</w:t>
      </w:r>
    </w:p>
    <w:p w:rsidR="00933726" w:rsidRPr="001F4F6E" w:rsidRDefault="00933726">
      <w:pPr>
        <w:pBdr>
          <w:top w:val="nil"/>
          <w:left w:val="nil"/>
          <w:bottom w:val="nil"/>
          <w:right w:val="nil"/>
          <w:between w:val="nil"/>
        </w:pBdr>
        <w:jc w:val="both"/>
        <w:rPr>
          <w:rFonts w:ascii="Bookman Old Style" w:eastAsia="Bookman Old Style" w:hAnsi="Bookman Old Style" w:cs="Bookman Old Style"/>
          <w:color w:val="000000"/>
          <w:highlight w:val="white"/>
        </w:rPr>
      </w:pPr>
    </w:p>
    <w:p w:rsidR="00AA5595" w:rsidRPr="001F4F6E" w:rsidRDefault="00933726">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El Alto Tribunal Constitucional, además, </w:t>
      </w:r>
      <w:r w:rsidR="00AC18E0" w:rsidRPr="001F4F6E">
        <w:rPr>
          <w:rFonts w:ascii="Bookman Old Style" w:eastAsia="Bookman Old Style" w:hAnsi="Bookman Old Style" w:cs="Bookman Old Style"/>
          <w:color w:val="000000"/>
          <w:highlight w:val="white"/>
        </w:rPr>
        <w:t xml:space="preserve">en distintas oportunidades </w:t>
      </w:r>
      <w:r w:rsidRPr="001F4F6E">
        <w:rPr>
          <w:rFonts w:ascii="Bookman Old Style" w:eastAsia="Bookman Old Style" w:hAnsi="Bookman Old Style" w:cs="Bookman Old Style"/>
          <w:color w:val="000000"/>
          <w:highlight w:val="white"/>
        </w:rPr>
        <w:t>ha delegado</w:t>
      </w:r>
      <w:r w:rsidR="00AC18E0" w:rsidRPr="001F4F6E">
        <w:rPr>
          <w:rFonts w:ascii="Bookman Old Style" w:eastAsia="Bookman Old Style" w:hAnsi="Bookman Old Style" w:cs="Bookman Old Style"/>
          <w:color w:val="000000"/>
          <w:highlight w:val="white"/>
        </w:rPr>
        <w:t xml:space="preserve"> </w:t>
      </w:r>
      <w:r w:rsidRPr="001F4F6E">
        <w:rPr>
          <w:rFonts w:ascii="Bookman Old Style" w:eastAsia="Bookman Old Style" w:hAnsi="Bookman Old Style" w:cs="Bookman Old Style"/>
          <w:color w:val="000000"/>
          <w:highlight w:val="white"/>
        </w:rPr>
        <w:t>al legislador la potestad de determinar los alcances de la protección a los animales e incluso, desde el año 2010, dejó claro que era el Congreso el llamado a determinar si las actividades taurinas</w:t>
      </w:r>
      <w:r w:rsidR="00050C96" w:rsidRPr="001F4F6E">
        <w:rPr>
          <w:rFonts w:ascii="Bookman Old Style" w:eastAsia="Bookman Old Style" w:hAnsi="Bookman Old Style" w:cs="Bookman Old Style"/>
          <w:color w:val="000000"/>
          <w:highlight w:val="white"/>
        </w:rPr>
        <w:t xml:space="preserve"> debían mantener su connotación cultural o si, por el contrario, era procedente proceder a su eliminación, con el fin de cumplir los postulados de la Carta Política en materia de protección ambiental y animal.</w:t>
      </w:r>
    </w:p>
    <w:p w:rsidR="00050C96" w:rsidRPr="001F4F6E" w:rsidRDefault="00050C96">
      <w:pPr>
        <w:pBdr>
          <w:top w:val="nil"/>
          <w:left w:val="nil"/>
          <w:bottom w:val="nil"/>
          <w:right w:val="nil"/>
          <w:between w:val="nil"/>
        </w:pBdr>
        <w:jc w:val="both"/>
        <w:rPr>
          <w:rFonts w:ascii="Bookman Old Style" w:eastAsia="Bookman Old Style" w:hAnsi="Bookman Old Style" w:cs="Bookman Old Style"/>
          <w:color w:val="000000"/>
          <w:highlight w:val="white"/>
        </w:rPr>
      </w:pPr>
    </w:p>
    <w:p w:rsidR="00246F38" w:rsidRPr="001F4F6E" w:rsidRDefault="00050C96">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Es así, como desde el año</w:t>
      </w:r>
      <w:r w:rsidR="006A1C1B" w:rsidRPr="001F4F6E">
        <w:rPr>
          <w:rFonts w:ascii="Bookman Old Style" w:eastAsia="Bookman Old Style" w:hAnsi="Bookman Old Style" w:cs="Bookman Old Style"/>
          <w:color w:val="000000"/>
          <w:highlight w:val="white"/>
        </w:rPr>
        <w:t xml:space="preserve"> 2017</w:t>
      </w:r>
      <w:r w:rsidR="00B33373" w:rsidRPr="001F4F6E">
        <w:rPr>
          <w:rFonts w:ascii="Bookman Old Style" w:eastAsia="Bookman Old Style" w:hAnsi="Bookman Old Style" w:cs="Bookman Old Style"/>
          <w:color w:val="000000"/>
          <w:highlight w:val="white"/>
        </w:rPr>
        <w:t xml:space="preserve"> se han venido presentando iniciativas legislativas</w:t>
      </w:r>
      <w:r w:rsidR="006A1C1B" w:rsidRPr="001F4F6E">
        <w:rPr>
          <w:rFonts w:ascii="Bookman Old Style" w:eastAsia="Bookman Old Style" w:hAnsi="Bookman Old Style" w:cs="Bookman Old Style"/>
          <w:color w:val="000000"/>
          <w:highlight w:val="white"/>
        </w:rPr>
        <w:t>,</w:t>
      </w:r>
      <w:r w:rsidR="00B33373" w:rsidRPr="001F4F6E">
        <w:rPr>
          <w:rFonts w:ascii="Bookman Old Style" w:eastAsia="Bookman Old Style" w:hAnsi="Bookman Old Style" w:cs="Bookman Old Style"/>
          <w:color w:val="000000"/>
          <w:highlight w:val="white"/>
        </w:rPr>
        <w:t xml:space="preserve"> como el</w:t>
      </w:r>
      <w:r w:rsidR="000F347E" w:rsidRPr="001F4F6E">
        <w:rPr>
          <w:rFonts w:ascii="Bookman Old Style" w:eastAsia="Bookman Old Style" w:hAnsi="Bookman Old Style" w:cs="Bookman Old Style"/>
          <w:color w:val="000000"/>
          <w:highlight w:val="white"/>
        </w:rPr>
        <w:t xml:space="preserve"> proyecto de ley número 271 de 2017 Cámara y 216 de 2018 Senado</w:t>
      </w:r>
      <w:r w:rsidR="00B33373" w:rsidRPr="001F4F6E">
        <w:rPr>
          <w:rFonts w:ascii="Bookman Old Style" w:eastAsia="Bookman Old Style" w:hAnsi="Bookman Old Style" w:cs="Bookman Old Style"/>
          <w:color w:val="000000"/>
          <w:highlight w:val="white"/>
        </w:rPr>
        <w:t xml:space="preserve"> y el</w:t>
      </w:r>
      <w:r w:rsidR="006A1C1B" w:rsidRPr="001F4F6E">
        <w:rPr>
          <w:rFonts w:ascii="Bookman Old Style" w:eastAsia="Bookman Old Style" w:hAnsi="Bookman Old Style" w:cs="Bookman Old Style"/>
          <w:color w:val="000000"/>
          <w:highlight w:val="white"/>
        </w:rPr>
        <w:t xml:space="preserve"> proyecto de ley </w:t>
      </w:r>
      <w:r w:rsidR="00AC18E0" w:rsidRPr="001F4F6E">
        <w:rPr>
          <w:rFonts w:ascii="Bookman Old Style" w:eastAsia="Bookman Old Style" w:hAnsi="Bookman Old Style" w:cs="Bookman Old Style"/>
          <w:color w:val="000000"/>
          <w:highlight w:val="white"/>
        </w:rPr>
        <w:t xml:space="preserve">número </w:t>
      </w:r>
      <w:r w:rsidR="006A1C1B" w:rsidRPr="001F4F6E">
        <w:rPr>
          <w:rFonts w:ascii="Bookman Old Style" w:eastAsia="Bookman Old Style" w:hAnsi="Bookman Old Style" w:cs="Bookman Old Style"/>
          <w:color w:val="000000"/>
          <w:highlight w:val="white"/>
        </w:rPr>
        <w:t>064 Cámara de Representantes</w:t>
      </w:r>
      <w:r w:rsidR="00B33373" w:rsidRPr="001F4F6E">
        <w:rPr>
          <w:rFonts w:ascii="Bookman Old Style" w:eastAsia="Bookman Old Style" w:hAnsi="Bookman Old Style" w:cs="Bookman Old Style"/>
          <w:color w:val="000000"/>
          <w:highlight w:val="white"/>
        </w:rPr>
        <w:t xml:space="preserve">, que han buscado modificar de forma definitiva </w:t>
      </w:r>
      <w:r w:rsidR="00D553C4" w:rsidRPr="001F4F6E">
        <w:rPr>
          <w:rFonts w:ascii="Bookman Old Style" w:eastAsia="Bookman Old Style" w:hAnsi="Bookman Old Style" w:cs="Bookman Old Style"/>
          <w:color w:val="000000"/>
          <w:highlight w:val="white"/>
        </w:rPr>
        <w:t>la excepción prevista en el artículo 7 de la Ley 84 de 1989, para prohibir de forma definitiva las prácticas taurinas en el país</w:t>
      </w:r>
      <w:r w:rsidR="006A1C1B" w:rsidRPr="001F4F6E">
        <w:rPr>
          <w:rFonts w:ascii="Bookman Old Style" w:eastAsia="Bookman Old Style" w:hAnsi="Bookman Old Style" w:cs="Bookman Old Style"/>
          <w:color w:val="000000"/>
          <w:highlight w:val="white"/>
        </w:rPr>
        <w:t xml:space="preserve">. </w:t>
      </w:r>
    </w:p>
    <w:p w:rsidR="00D553C4" w:rsidRPr="001F4F6E" w:rsidRDefault="00D553C4">
      <w:pPr>
        <w:pBdr>
          <w:top w:val="nil"/>
          <w:left w:val="nil"/>
          <w:bottom w:val="nil"/>
          <w:right w:val="nil"/>
          <w:between w:val="nil"/>
        </w:pBdr>
        <w:jc w:val="both"/>
        <w:rPr>
          <w:rFonts w:ascii="Bookman Old Style" w:eastAsia="Bookman Old Style" w:hAnsi="Bookman Old Style" w:cs="Bookman Old Style"/>
          <w:color w:val="000000"/>
          <w:highlight w:val="white"/>
        </w:rPr>
      </w:pPr>
    </w:p>
    <w:p w:rsidR="001470E8" w:rsidRPr="001F4F6E" w:rsidRDefault="006A1C1B">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Ambos trámites han estado rodeados de la participación de los movimientos antitaurinos</w:t>
      </w:r>
      <w:r w:rsidR="00D553C4" w:rsidRPr="001F4F6E">
        <w:rPr>
          <w:rFonts w:ascii="Bookman Old Style" w:eastAsia="Bookman Old Style" w:hAnsi="Bookman Old Style" w:cs="Bookman Old Style"/>
          <w:color w:val="000000"/>
          <w:highlight w:val="white"/>
        </w:rPr>
        <w:t xml:space="preserve"> que han apoyado esta modificación que se ajusta no solo a las leyes y a la jurisprudencia actual, sino que responde verdaderamente al nuevo relacionamiento de los seres humanos con el ambiente. No obstante, </w:t>
      </w:r>
      <w:r w:rsidR="00AC18E0" w:rsidRPr="001F4F6E">
        <w:rPr>
          <w:rFonts w:ascii="Bookman Old Style" w:eastAsia="Bookman Old Style" w:hAnsi="Bookman Old Style" w:cs="Bookman Old Style"/>
          <w:color w:val="000000"/>
          <w:highlight w:val="white"/>
        </w:rPr>
        <w:t>estos proyectos también han contado</w:t>
      </w:r>
      <w:r w:rsidR="00D553C4" w:rsidRPr="001F4F6E">
        <w:rPr>
          <w:rFonts w:ascii="Bookman Old Style" w:eastAsia="Bookman Old Style" w:hAnsi="Bookman Old Style" w:cs="Bookman Old Style"/>
          <w:color w:val="000000"/>
          <w:highlight w:val="white"/>
        </w:rPr>
        <w:t xml:space="preserve"> con la participación</w:t>
      </w:r>
      <w:r w:rsidRPr="001F4F6E">
        <w:rPr>
          <w:rFonts w:ascii="Bookman Old Style" w:eastAsia="Bookman Old Style" w:hAnsi="Bookman Old Style" w:cs="Bookman Old Style"/>
          <w:color w:val="000000"/>
          <w:highlight w:val="white"/>
        </w:rPr>
        <w:t xml:space="preserve"> de los aficionados a la fiesta brava que han intentado mantener </w:t>
      </w:r>
      <w:r w:rsidR="00A34AE4" w:rsidRPr="001F4F6E">
        <w:rPr>
          <w:rFonts w:ascii="Bookman Old Style" w:eastAsia="Bookman Old Style" w:hAnsi="Bookman Old Style" w:cs="Bookman Old Style"/>
          <w:color w:val="000000"/>
          <w:highlight w:val="white"/>
        </w:rPr>
        <w:t>incólume</w:t>
      </w:r>
      <w:r w:rsidRPr="001F4F6E">
        <w:rPr>
          <w:rFonts w:ascii="Bookman Old Style" w:eastAsia="Bookman Old Style" w:hAnsi="Bookman Old Style" w:cs="Bookman Old Style"/>
          <w:color w:val="000000"/>
          <w:highlight w:val="white"/>
        </w:rPr>
        <w:t xml:space="preserve"> estas tradiciones </w:t>
      </w:r>
      <w:r w:rsidR="00D553C4" w:rsidRPr="001F4F6E">
        <w:rPr>
          <w:rFonts w:ascii="Bookman Old Style" w:eastAsia="Bookman Old Style" w:hAnsi="Bookman Old Style" w:cs="Bookman Old Style"/>
          <w:color w:val="000000"/>
          <w:highlight w:val="white"/>
        </w:rPr>
        <w:t>pese a que, notoriamente,</w:t>
      </w:r>
      <w:r w:rsidR="00FE1890" w:rsidRPr="001F4F6E">
        <w:rPr>
          <w:rFonts w:ascii="Bookman Old Style" w:eastAsia="Bookman Old Style" w:hAnsi="Bookman Old Style" w:cs="Bookman Old Style"/>
          <w:color w:val="000000"/>
          <w:highlight w:val="white"/>
        </w:rPr>
        <w:t xml:space="preserve"> cada vez más, cuentan con menos adeptos. </w:t>
      </w:r>
    </w:p>
    <w:p w:rsidR="00246F38" w:rsidRPr="001F4F6E" w:rsidRDefault="00246F38">
      <w:pPr>
        <w:pBdr>
          <w:top w:val="nil"/>
          <w:left w:val="nil"/>
          <w:bottom w:val="nil"/>
          <w:right w:val="nil"/>
          <w:between w:val="nil"/>
        </w:pBdr>
        <w:jc w:val="both"/>
        <w:rPr>
          <w:rFonts w:ascii="Bookman Old Style" w:eastAsia="Bookman Old Style" w:hAnsi="Bookman Old Style" w:cs="Bookman Old Style"/>
          <w:color w:val="000000"/>
          <w:highlight w:val="white"/>
        </w:rPr>
      </w:pPr>
    </w:p>
    <w:p w:rsidR="008547B7" w:rsidRPr="001F4F6E" w:rsidRDefault="00246F38">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En el caso del proyecto de ley número 271 de 2017 Cámara y 216 de 2018 Senado,</w:t>
      </w:r>
      <w:r w:rsidR="008547B7" w:rsidRPr="001F4F6E">
        <w:rPr>
          <w:rFonts w:ascii="Bookman Old Style" w:eastAsia="Bookman Old Style" w:hAnsi="Bookman Old Style" w:cs="Bookman Old Style"/>
          <w:color w:val="000000"/>
          <w:highlight w:val="white"/>
        </w:rPr>
        <w:t xml:space="preserve"> es importante resaltar que fue radicado por el Ministerio del Interior, junto a una comisión de ciudadanos que solicitaron la presentación de la iniciativa a través de la Coalición Colombia Sin Toreo. En aquella oportunidad, el proyecto tuvo un exitoso paso en la Comisión Séptima y en la Plenaria de la Cámara de Representantes, sin embargo</w:t>
      </w:r>
      <w:r w:rsidR="005E22B3" w:rsidRPr="001F4F6E">
        <w:rPr>
          <w:rFonts w:ascii="Bookman Old Style" w:eastAsia="Bookman Old Style" w:hAnsi="Bookman Old Style" w:cs="Bookman Old Style"/>
          <w:color w:val="000000"/>
          <w:highlight w:val="white"/>
        </w:rPr>
        <w:t>,</w:t>
      </w:r>
      <w:r w:rsidR="008547B7" w:rsidRPr="001F4F6E">
        <w:rPr>
          <w:rFonts w:ascii="Bookman Old Style" w:eastAsia="Bookman Old Style" w:hAnsi="Bookman Old Style" w:cs="Bookman Old Style"/>
          <w:color w:val="000000"/>
          <w:highlight w:val="white"/>
        </w:rPr>
        <w:t xml:space="preserve"> no prosperó en el Senado de la República.</w:t>
      </w:r>
    </w:p>
    <w:p w:rsidR="008547B7" w:rsidRPr="001F4F6E" w:rsidRDefault="008547B7">
      <w:pPr>
        <w:pBdr>
          <w:top w:val="nil"/>
          <w:left w:val="nil"/>
          <w:bottom w:val="nil"/>
          <w:right w:val="nil"/>
          <w:between w:val="nil"/>
        </w:pBdr>
        <w:jc w:val="both"/>
        <w:rPr>
          <w:rFonts w:ascii="Bookman Old Style" w:eastAsia="Bookman Old Style" w:hAnsi="Bookman Old Style" w:cs="Bookman Old Style"/>
          <w:color w:val="000000"/>
          <w:highlight w:val="white"/>
        </w:rPr>
      </w:pPr>
    </w:p>
    <w:p w:rsidR="00246F38" w:rsidRPr="001F4F6E" w:rsidRDefault="005E22B3">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Convencidos de la importancia de esta iniciativa, el 01 de agosto de 2018, radicamos nuevamente el proyecto, esta vez con el apoyo de otros parlamentarios, el cual recogió las observaciones recibidas en el proceso legislativo anterior. El proyecto de ley 064 de 2018 superó nuevamente el primer debate en la Comisión Séptima del Cámara de Representantes, pero no alcanzó a tener debate en la plenaria de dicha corporación por lo que fue archivado.</w:t>
      </w:r>
    </w:p>
    <w:p w:rsidR="005E22B3" w:rsidRPr="001F4F6E" w:rsidRDefault="005E22B3">
      <w:pPr>
        <w:pBdr>
          <w:top w:val="nil"/>
          <w:left w:val="nil"/>
          <w:bottom w:val="nil"/>
          <w:right w:val="nil"/>
          <w:between w:val="nil"/>
        </w:pBdr>
        <w:jc w:val="both"/>
        <w:rPr>
          <w:rFonts w:ascii="Bookman Old Style" w:eastAsia="Bookman Old Style" w:hAnsi="Bookman Old Style" w:cs="Bookman Old Style"/>
          <w:color w:val="000000"/>
          <w:highlight w:val="white"/>
        </w:rPr>
      </w:pPr>
    </w:p>
    <w:p w:rsidR="005E22B3" w:rsidRPr="001F4F6E" w:rsidRDefault="005E22B3">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Esta es entonces la tercera vez que tramitamos esta iniciativa, convencidos de que es momento de que el Congreso de la República </w:t>
      </w:r>
      <w:r w:rsidR="00811A90" w:rsidRPr="001F4F6E">
        <w:rPr>
          <w:rFonts w:ascii="Bookman Old Style" w:eastAsia="Bookman Old Style" w:hAnsi="Bookman Old Style" w:cs="Bookman Old Style"/>
          <w:color w:val="000000"/>
          <w:highlight w:val="white"/>
        </w:rPr>
        <w:t xml:space="preserve">responda de forma efectiva al llamado ciudadano que cada vez se consolida con más fuerza y que reclama una verdadera protección de los animales y su reconocimiento como seres sintientes a los que, incluso, les asiste el reconocimiento de ciertos derechos. </w:t>
      </w:r>
    </w:p>
    <w:p w:rsidR="00811A90" w:rsidRPr="001F4F6E" w:rsidRDefault="00811A90">
      <w:pPr>
        <w:pBdr>
          <w:top w:val="nil"/>
          <w:left w:val="nil"/>
          <w:bottom w:val="nil"/>
          <w:right w:val="nil"/>
          <w:between w:val="nil"/>
        </w:pBdr>
        <w:jc w:val="both"/>
        <w:rPr>
          <w:rFonts w:ascii="Bookman Old Style" w:eastAsia="Bookman Old Style" w:hAnsi="Bookman Old Style" w:cs="Bookman Old Style"/>
          <w:color w:val="000000"/>
          <w:highlight w:val="white"/>
        </w:rPr>
      </w:pPr>
    </w:p>
    <w:p w:rsidR="00811A90" w:rsidRPr="001F4F6E" w:rsidRDefault="00811A90">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Con este proyecto de ley buscamos entonces acabar de forma definitiva con unas prácticas que, bajo el manto de actividades culturales, incitan la construcción de una sociedad violenta y desconocen el mandato constitucional de respetar y preservar todas las formas de vida.</w:t>
      </w:r>
    </w:p>
    <w:p w:rsidR="00811A90" w:rsidRPr="001F4F6E" w:rsidRDefault="00811A90">
      <w:pPr>
        <w:pBdr>
          <w:top w:val="nil"/>
          <w:left w:val="nil"/>
          <w:bottom w:val="nil"/>
          <w:right w:val="nil"/>
          <w:between w:val="nil"/>
        </w:pBdr>
        <w:jc w:val="both"/>
        <w:rPr>
          <w:rFonts w:ascii="Bookman Old Style" w:eastAsia="Bookman Old Style" w:hAnsi="Bookman Old Style" w:cs="Bookman Old Style"/>
          <w:color w:val="000000"/>
          <w:highlight w:val="white"/>
        </w:rPr>
      </w:pPr>
    </w:p>
    <w:p w:rsidR="00811A90" w:rsidRPr="001F4F6E" w:rsidRDefault="00811A90">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Sin embargo, a diferencia de los trámites anteriores, en esta oportunidad el enfoque del proyecto, más que controvertir actividades culturales o determinar mecanismos de sustitución laboral, radica en los animales y en su condición de sujetos merecedores de una especial protección y del reconocimiento del derecho más básico de todos: el derecho a existir y a no ser sujetos a tratos crueles. </w:t>
      </w:r>
    </w:p>
    <w:p w:rsidR="00811A90" w:rsidRPr="001F4F6E" w:rsidRDefault="00811A90">
      <w:pPr>
        <w:pBdr>
          <w:top w:val="nil"/>
          <w:left w:val="nil"/>
          <w:bottom w:val="nil"/>
          <w:right w:val="nil"/>
          <w:between w:val="nil"/>
        </w:pBdr>
        <w:jc w:val="both"/>
        <w:rPr>
          <w:rFonts w:ascii="Bookman Old Style" w:eastAsia="Bookman Old Style" w:hAnsi="Bookman Old Style" w:cs="Bookman Old Style"/>
          <w:color w:val="000000"/>
          <w:highlight w:val="white"/>
        </w:rPr>
      </w:pPr>
    </w:p>
    <w:p w:rsidR="00811A90" w:rsidRPr="001F4F6E" w:rsidRDefault="00811A90">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Por esta razón, esta iniciativa debe ser estudiada desde una perspectiva distinta, ya no desde el enfoque antropocéntrico que ha caracterizado, sino desde un análisis en el que el legislador evalúe a los animales como verdaderos sujetos de un derecho que, en este caso, está por encima del entretenimiento de los seres humanos. Así las cosas, consideramos que este proyecto de ley deberá iniciar su trámite en la Comisión Primera Constitucional de la Cámara de Representantes. </w:t>
      </w: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 </w:t>
      </w:r>
    </w:p>
    <w:p w:rsidR="00EE0E78" w:rsidRPr="001F4F6E" w:rsidRDefault="000F347E">
      <w:pPr>
        <w:numPr>
          <w:ilvl w:val="0"/>
          <w:numId w:val="8"/>
        </w:numPr>
        <w:pBdr>
          <w:top w:val="nil"/>
          <w:left w:val="nil"/>
          <w:bottom w:val="nil"/>
          <w:right w:val="nil"/>
          <w:between w:val="nil"/>
        </w:pBdr>
        <w:jc w:val="both"/>
        <w:rPr>
          <w:rFonts w:ascii="Bookman Old Style" w:eastAsia="Bookman Old Style" w:hAnsi="Bookman Old Style" w:cs="Bookman Old Style"/>
          <w:b/>
          <w:color w:val="000000"/>
          <w:highlight w:val="white"/>
        </w:rPr>
      </w:pPr>
      <w:r w:rsidRPr="001F4F6E">
        <w:rPr>
          <w:rFonts w:ascii="Bookman Old Style" w:eastAsia="Bookman Old Style" w:hAnsi="Bookman Old Style" w:cs="Bookman Old Style"/>
          <w:b/>
          <w:color w:val="000000"/>
          <w:highlight w:val="white"/>
        </w:rPr>
        <w:t>JUSTIFICACIÓN DEL PROYECTO DE LEY</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AC18E0">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E</w:t>
      </w:r>
      <w:r w:rsidR="000F347E" w:rsidRPr="001F4F6E">
        <w:rPr>
          <w:rFonts w:ascii="Bookman Old Style" w:eastAsia="Bookman Old Style" w:hAnsi="Bookman Old Style" w:cs="Bookman Old Style"/>
          <w:color w:val="000000"/>
          <w:highlight w:val="white"/>
        </w:rPr>
        <w:t>l presente proyecto de ley, retoma y válida el mandato ciudadano que busca, como muestra de una evolución social creciente, superar las anacrónicas prácticas taurinas, erradicando toda forma de violencia pública y legalizada hacia los animales, continuando el camino</w:t>
      </w:r>
      <w:r w:rsidRPr="001F4F6E">
        <w:rPr>
          <w:rFonts w:ascii="Bookman Old Style" w:eastAsia="Bookman Old Style" w:hAnsi="Bookman Old Style" w:cs="Bookman Old Style"/>
          <w:color w:val="000000"/>
          <w:highlight w:val="white"/>
        </w:rPr>
        <w:t xml:space="preserve"> que ya ha sido trazado por la jurisprudencia constitucional y administrativa,</w:t>
      </w:r>
      <w:r w:rsidR="000F347E" w:rsidRPr="001F4F6E">
        <w:rPr>
          <w:rFonts w:ascii="Bookman Old Style" w:eastAsia="Bookman Old Style" w:hAnsi="Bookman Old Style" w:cs="Bookman Old Style"/>
          <w:color w:val="000000"/>
          <w:highlight w:val="white"/>
        </w:rPr>
        <w:t xml:space="preserve"> para superar el antropocentrismo.</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AC18E0">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Adicionalmente, este </w:t>
      </w:r>
      <w:r w:rsidR="000F347E" w:rsidRPr="001F4F6E">
        <w:rPr>
          <w:rFonts w:ascii="Bookman Old Style" w:eastAsia="Bookman Old Style" w:hAnsi="Bookman Old Style" w:cs="Bookman Old Style"/>
          <w:color w:val="000000"/>
          <w:highlight w:val="white"/>
        </w:rPr>
        <w:t xml:space="preserve">proyecto pretende armonizar y actualizar la legislación con la evolución jurisprudencial </w:t>
      </w:r>
      <w:r w:rsidRPr="001F4F6E">
        <w:rPr>
          <w:rFonts w:ascii="Bookman Old Style" w:eastAsia="Bookman Old Style" w:hAnsi="Bookman Old Style" w:cs="Bookman Old Style"/>
          <w:color w:val="000000"/>
          <w:highlight w:val="white"/>
        </w:rPr>
        <w:t xml:space="preserve">relativa al relacionamiento entre los seres </w:t>
      </w:r>
      <w:r w:rsidRPr="001F4F6E">
        <w:rPr>
          <w:rFonts w:ascii="Bookman Old Style" w:eastAsia="Bookman Old Style" w:hAnsi="Bookman Old Style" w:cs="Bookman Old Style"/>
          <w:color w:val="000000"/>
          <w:highlight w:val="white"/>
        </w:rPr>
        <w:lastRenderedPageBreak/>
        <w:t xml:space="preserve">humanos y </w:t>
      </w:r>
      <w:r w:rsidR="000F347E" w:rsidRPr="001F4F6E">
        <w:rPr>
          <w:rFonts w:ascii="Bookman Old Style" w:eastAsia="Bookman Old Style" w:hAnsi="Bookman Old Style" w:cs="Bookman Old Style"/>
          <w:color w:val="000000"/>
          <w:highlight w:val="white"/>
        </w:rPr>
        <w:t>los animales la cual, hoy</w:t>
      </w:r>
      <w:r w:rsidRPr="001F4F6E">
        <w:rPr>
          <w:rFonts w:ascii="Bookman Old Style" w:eastAsia="Bookman Old Style" w:hAnsi="Bookman Old Style" w:cs="Bookman Old Style"/>
          <w:color w:val="000000"/>
          <w:highlight w:val="white"/>
        </w:rPr>
        <w:t xml:space="preserve"> en día</w:t>
      </w:r>
      <w:r w:rsidR="000F347E" w:rsidRPr="001F4F6E">
        <w:rPr>
          <w:rFonts w:ascii="Bookman Old Style" w:eastAsia="Bookman Old Style" w:hAnsi="Bookman Old Style" w:cs="Bookman Old Style"/>
          <w:color w:val="000000"/>
          <w:highlight w:val="white"/>
        </w:rPr>
        <w:t>, reconoce a los animales como</w:t>
      </w:r>
      <w:r w:rsidRPr="001F4F6E">
        <w:rPr>
          <w:rFonts w:ascii="Bookman Old Style" w:eastAsia="Bookman Old Style" w:hAnsi="Bookman Old Style" w:cs="Bookman Old Style"/>
          <w:color w:val="000000"/>
          <w:highlight w:val="white"/>
        </w:rPr>
        <w:t xml:space="preserve"> verdaderos</w:t>
      </w:r>
      <w:r w:rsidR="000F347E" w:rsidRPr="001F4F6E">
        <w:rPr>
          <w:rFonts w:ascii="Bookman Old Style" w:eastAsia="Bookman Old Style" w:hAnsi="Bookman Old Style" w:cs="Bookman Old Style"/>
          <w:color w:val="000000"/>
          <w:highlight w:val="white"/>
        </w:rPr>
        <w:t xml:space="preserve"> seres sintientes</w:t>
      </w:r>
      <w:r w:rsidRPr="001F4F6E">
        <w:rPr>
          <w:rFonts w:ascii="Bookman Old Style" w:eastAsia="Bookman Old Style" w:hAnsi="Bookman Old Style" w:cs="Bookman Old Style"/>
          <w:color w:val="000000"/>
          <w:highlight w:val="white"/>
        </w:rPr>
        <w:t xml:space="preserve"> e, incluso, ha llegado a afirmar la existencia de unos eventuales derechos que les son predicables, claramente distintos a aquellos reconocidos a los seres humanos.</w:t>
      </w:r>
    </w:p>
    <w:p w:rsidR="00CD405C" w:rsidRPr="001F4F6E" w:rsidRDefault="00CD405C">
      <w:pPr>
        <w:pBdr>
          <w:top w:val="nil"/>
          <w:left w:val="nil"/>
          <w:bottom w:val="nil"/>
          <w:right w:val="nil"/>
          <w:between w:val="nil"/>
        </w:pBdr>
        <w:jc w:val="both"/>
        <w:rPr>
          <w:rFonts w:ascii="Bookman Old Style" w:eastAsia="Bookman Old Style" w:hAnsi="Bookman Old Style" w:cs="Bookman Old Style"/>
          <w:color w:val="000000"/>
          <w:highlight w:val="white"/>
        </w:rPr>
      </w:pPr>
    </w:p>
    <w:p w:rsidR="00CD405C" w:rsidRPr="001F4F6E" w:rsidRDefault="00CD405C">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En ese sentido, </w:t>
      </w:r>
      <w:r w:rsidR="00275D0C" w:rsidRPr="001F4F6E">
        <w:rPr>
          <w:rFonts w:ascii="Bookman Old Style" w:eastAsia="Bookman Old Style" w:hAnsi="Bookman Old Style" w:cs="Bookman Old Style"/>
          <w:color w:val="000000"/>
          <w:highlight w:val="white"/>
        </w:rPr>
        <w:t>a través de esta iniciativa</w:t>
      </w:r>
      <w:r w:rsidRPr="001F4F6E">
        <w:rPr>
          <w:rFonts w:ascii="Bookman Old Style" w:eastAsia="Bookman Old Style" w:hAnsi="Bookman Old Style" w:cs="Bookman Old Style"/>
          <w:color w:val="000000"/>
          <w:highlight w:val="white"/>
        </w:rPr>
        <w:t xml:space="preserve"> se pretende actualizar la noción de cultura, eliminando unas prácticas crueles y violentas que contravienen los mandatos constitucionales </w:t>
      </w:r>
      <w:r w:rsidR="002616DF" w:rsidRPr="001F4F6E">
        <w:rPr>
          <w:rFonts w:ascii="Bookman Old Style" w:eastAsia="Bookman Old Style" w:hAnsi="Bookman Old Style" w:cs="Bookman Old Style"/>
          <w:color w:val="000000"/>
          <w:highlight w:val="white"/>
        </w:rPr>
        <w:t>que claramente propenden por el desarrollo de una sociedad armónica con el ambiente y la fauna y la flora que lo componen. Actualización que, como se desarrollará más adelante parten de la prevalencia de los derechos constitucionales a un medio ambiente sano, a la dignidad humana y del necesario reconocimiento de los animales como seres sintientes y sujetos de derechos que merecen una protección especial frente a todas las formas de maltrato.</w:t>
      </w:r>
    </w:p>
    <w:p w:rsidR="00AB2504" w:rsidRPr="001F4F6E" w:rsidRDefault="00AB2504">
      <w:pPr>
        <w:pBdr>
          <w:top w:val="nil"/>
          <w:left w:val="nil"/>
          <w:bottom w:val="nil"/>
          <w:right w:val="nil"/>
          <w:between w:val="nil"/>
        </w:pBdr>
        <w:jc w:val="both"/>
        <w:rPr>
          <w:rFonts w:ascii="Bookman Old Style" w:eastAsia="Bookman Old Style" w:hAnsi="Bookman Old Style" w:cs="Bookman Old Style"/>
          <w:color w:val="000000"/>
          <w:highlight w:val="white"/>
        </w:rPr>
      </w:pPr>
    </w:p>
    <w:p w:rsidR="00AB2504" w:rsidRPr="001F4F6E" w:rsidRDefault="00AB2504">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Sobre este particular, vale la pena resaltar lo dispuesto por la Corte Constitucional en sentencia C-041 de 2017, en virtud de la cual:</w:t>
      </w:r>
    </w:p>
    <w:p w:rsidR="00AB2504" w:rsidRPr="001F4F6E" w:rsidRDefault="00AB2504">
      <w:pPr>
        <w:pBdr>
          <w:top w:val="nil"/>
          <w:left w:val="nil"/>
          <w:bottom w:val="nil"/>
          <w:right w:val="nil"/>
          <w:between w:val="nil"/>
        </w:pBdr>
        <w:jc w:val="both"/>
        <w:rPr>
          <w:rFonts w:ascii="Bookman Old Style" w:eastAsia="Bookman Old Style" w:hAnsi="Bookman Old Style" w:cs="Bookman Old Style"/>
          <w:color w:val="000000"/>
          <w:highlight w:val="white"/>
        </w:rPr>
      </w:pPr>
    </w:p>
    <w:p w:rsidR="00A34AE4" w:rsidRPr="001F4F6E" w:rsidRDefault="003826E0" w:rsidP="00383A2B">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 xml:space="preserve">Siendo este Tribunal el intérprete autorizado de la Carta Política (art. 241), </w:t>
      </w:r>
      <w:r w:rsidRPr="001F4F6E">
        <w:rPr>
          <w:rFonts w:ascii="Bookman Old Style" w:eastAsia="Bookman Old Style" w:hAnsi="Bookman Old Style" w:cs="Bookman Old Style"/>
          <w:b/>
          <w:i/>
          <w:color w:val="000000"/>
          <w:highlight w:val="white"/>
          <w:u w:val="single"/>
        </w:rPr>
        <w:t>tiene una función encomiable de hacer cierta para la realidad del Derecho la inclusión de los animales como titulares de ciertos derechos, en la obtención de los fines esenciales y sociales del Estado constitucional</w:t>
      </w:r>
      <w:r w:rsidRPr="001F4F6E">
        <w:rPr>
          <w:rFonts w:ascii="Bookman Old Style" w:eastAsia="Bookman Old Style" w:hAnsi="Bookman Old Style" w:cs="Bookman Old Style"/>
          <w:i/>
          <w:color w:val="000000"/>
          <w:highlight w:val="white"/>
        </w:rPr>
        <w:t xml:space="preserve">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rsidR="00A34AE4" w:rsidRPr="001F4F6E" w:rsidRDefault="00A34AE4"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p>
    <w:p w:rsidR="00A34AE4" w:rsidRPr="001F4F6E"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 xml:space="preserve">La cultura se transforma y revalúa constantemente en el marco de las mentalidades y de los imaginarios de una civilización, para adecuarse a la evolución de la humanidad, la realización de los derechos y el cumplimiento de los deberes, más cuando se busca desterrar rastros de una sociedad violenta que ha impuesto categorías de marginalización y dominación de determinados individuos o </w:t>
      </w:r>
      <w:r w:rsidRPr="001F4F6E">
        <w:rPr>
          <w:rFonts w:ascii="Bookman Old Style" w:eastAsia="Bookman Old Style" w:hAnsi="Bookman Old Style" w:cs="Bookman Old Style"/>
          <w:i/>
          <w:color w:val="000000"/>
          <w:highlight w:val="white"/>
        </w:rPr>
        <w:lastRenderedPageBreak/>
        <w:t xml:space="preserve">colectivos. </w:t>
      </w:r>
      <w:r w:rsidRPr="001F4F6E">
        <w:rPr>
          <w:rFonts w:ascii="Bookman Old Style" w:eastAsia="Bookman Old Style" w:hAnsi="Bookman Old Style" w:cs="Bookman Old Style"/>
          <w:b/>
          <w:i/>
          <w:color w:val="000000"/>
          <w:highlight w:val="white"/>
          <w:u w:val="single"/>
        </w:rPr>
        <w:t>Erradicar la subalternidad hacia los animales se constituye en un claro y preciso derrotero de la sociedad actual</w:t>
      </w:r>
      <w:r w:rsidR="003271AF" w:rsidRPr="001F4F6E">
        <w:rPr>
          <w:rFonts w:ascii="Bookman Old Style" w:eastAsia="Bookman Old Style" w:hAnsi="Bookman Old Style" w:cs="Bookman Old Style"/>
          <w:i/>
          <w:color w:val="000000"/>
          <w:highlight w:val="white"/>
        </w:rPr>
        <w:t>” (</w:t>
      </w:r>
      <w:r w:rsidR="00383A2B" w:rsidRPr="001F4F6E">
        <w:rPr>
          <w:rFonts w:ascii="Bookman Old Style" w:eastAsia="Bookman Old Style" w:hAnsi="Bookman Old Style" w:cs="Bookman Old Style"/>
          <w:i/>
          <w:color w:val="000000"/>
          <w:highlight w:val="white"/>
        </w:rPr>
        <w:t>S</w:t>
      </w:r>
      <w:r w:rsidR="003271AF" w:rsidRPr="001F4F6E">
        <w:rPr>
          <w:rFonts w:ascii="Bookman Old Style" w:eastAsia="Bookman Old Style" w:hAnsi="Bookman Old Style" w:cs="Bookman Old Style"/>
          <w:i/>
          <w:color w:val="000000"/>
          <w:highlight w:val="white"/>
        </w:rPr>
        <w:t xml:space="preserve">ubrayado y negrilla </w:t>
      </w:r>
      <w:r w:rsidR="00246F38" w:rsidRPr="001F4F6E">
        <w:rPr>
          <w:rFonts w:ascii="Bookman Old Style" w:eastAsia="Bookman Old Style" w:hAnsi="Bookman Old Style" w:cs="Bookman Old Style"/>
          <w:i/>
          <w:color w:val="000000"/>
          <w:highlight w:val="white"/>
        </w:rPr>
        <w:t>fuera del texto original</w:t>
      </w:r>
      <w:r w:rsidR="003271AF" w:rsidRPr="001F4F6E">
        <w:rPr>
          <w:rFonts w:ascii="Bookman Old Style" w:eastAsia="Bookman Old Style" w:hAnsi="Bookman Old Style" w:cs="Bookman Old Style"/>
          <w:i/>
          <w:color w:val="000000"/>
          <w:highlight w:val="white"/>
        </w:rPr>
        <w:t>)</w:t>
      </w:r>
    </w:p>
    <w:p w:rsidR="00EE0E78" w:rsidRPr="001F4F6E" w:rsidRDefault="00EE0E78">
      <w:pPr>
        <w:pBdr>
          <w:top w:val="nil"/>
          <w:left w:val="nil"/>
          <w:bottom w:val="nil"/>
          <w:right w:val="nil"/>
          <w:between w:val="nil"/>
        </w:pBdr>
        <w:ind w:left="567" w:right="616"/>
        <w:jc w:val="both"/>
        <w:rPr>
          <w:rFonts w:ascii="Bookman Old Style" w:eastAsia="Bookman Old Style" w:hAnsi="Bookman Old Style" w:cs="Bookman Old Style"/>
          <w:color w:val="000000"/>
          <w:highlight w:val="white"/>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En síntesis, esta iniciativa refleja un ineluctable cambio de paradigma social, impulsado por las nuevas generaciones, a nivel mundial y nacional, que ven en su entorno con la naturaleza y los animales una relación más armónica, integral e interdependiente, en donde la vida, sea cual sea su manifestación, debe ser preservada y protegida, máxime cuando se encuentre en clara posición de desventaja y vulneración, sobre la base de los siguientes argumentos:  </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pPr>
        <w:pBdr>
          <w:top w:val="nil"/>
          <w:left w:val="nil"/>
          <w:bottom w:val="nil"/>
          <w:right w:val="nil"/>
          <w:between w:val="nil"/>
        </w:pBdr>
        <w:rPr>
          <w:rFonts w:ascii="Bookman Old Style" w:eastAsia="Bookman Old Style" w:hAnsi="Bookman Old Style" w:cs="Bookman Old Style"/>
          <w:b/>
          <w:color w:val="000000"/>
          <w:highlight w:val="white"/>
        </w:rPr>
      </w:pPr>
      <w:r w:rsidRPr="001F4F6E">
        <w:rPr>
          <w:rFonts w:ascii="Bookman Old Style" w:eastAsia="Bookman Old Style" w:hAnsi="Bookman Old Style" w:cs="Bookman Old Style"/>
          <w:b/>
          <w:color w:val="000000"/>
          <w:highlight w:val="white"/>
        </w:rPr>
        <w:t>3.1. Normativos</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5B4E43"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En Colombia, </w:t>
      </w:r>
      <w:r w:rsidR="005B4E43" w:rsidRPr="001F4F6E">
        <w:rPr>
          <w:rFonts w:ascii="Bookman Old Style" w:eastAsia="Bookman Old Style" w:hAnsi="Bookman Old Style" w:cs="Bookman Old Style"/>
          <w:color w:val="000000"/>
          <w:highlight w:val="white"/>
        </w:rPr>
        <w:t>existe un</w:t>
      </w:r>
      <w:r w:rsidRPr="001F4F6E">
        <w:rPr>
          <w:rFonts w:ascii="Bookman Old Style" w:eastAsia="Bookman Old Style" w:hAnsi="Bookman Old Style" w:cs="Bookman Old Style"/>
          <w:color w:val="000000"/>
          <w:highlight w:val="white"/>
        </w:rPr>
        <w:t xml:space="preserve"> conjunto de normas vigentes que han </w:t>
      </w:r>
      <w:r w:rsidR="005B4E43" w:rsidRPr="001F4F6E">
        <w:rPr>
          <w:rFonts w:ascii="Bookman Old Style" w:eastAsia="Bookman Old Style" w:hAnsi="Bookman Old Style" w:cs="Bookman Old Style"/>
          <w:color w:val="000000"/>
          <w:highlight w:val="white"/>
        </w:rPr>
        <w:t>consolidado</w:t>
      </w:r>
      <w:r w:rsidRPr="001F4F6E">
        <w:rPr>
          <w:rFonts w:ascii="Bookman Old Style" w:eastAsia="Bookman Old Style" w:hAnsi="Bookman Old Style" w:cs="Bookman Old Style"/>
          <w:color w:val="000000"/>
          <w:highlight w:val="white"/>
        </w:rPr>
        <w:t xml:space="preserve"> las bases y desarrollos de la protección animal en el país</w:t>
      </w:r>
      <w:r w:rsidR="005B4E43" w:rsidRPr="001F4F6E">
        <w:rPr>
          <w:rFonts w:ascii="Bookman Old Style" w:eastAsia="Bookman Old Style" w:hAnsi="Bookman Old Style" w:cs="Bookman Old Style"/>
          <w:color w:val="000000"/>
          <w:highlight w:val="white"/>
        </w:rPr>
        <w:t>. Si bien aún no se ha desarrollado a cabalidad</w:t>
      </w:r>
      <w:r w:rsidR="00FA38DD" w:rsidRPr="001F4F6E">
        <w:rPr>
          <w:rFonts w:ascii="Bookman Old Style" w:eastAsia="Bookman Old Style" w:hAnsi="Bookman Old Style" w:cs="Bookman Old Style"/>
          <w:color w:val="000000"/>
          <w:highlight w:val="white"/>
        </w:rPr>
        <w:t xml:space="preserve"> el mandato constitucional sobre esta materia</w:t>
      </w:r>
      <w:r w:rsidR="005B4E43" w:rsidRPr="001F4F6E">
        <w:rPr>
          <w:rFonts w:ascii="Bookman Old Style" w:eastAsia="Bookman Old Style" w:hAnsi="Bookman Old Style" w:cs="Bookman Old Style"/>
          <w:color w:val="000000"/>
          <w:highlight w:val="white"/>
        </w:rPr>
        <w:t>, los avances han sido importantes y con esta iniciativa se pretende dar un paso adicional en el camino del reconocimiento de los animales como verdaderos sujetos de protección en el ordenamiento jurídico colombiano</w:t>
      </w:r>
      <w:r w:rsidR="00FA38DD" w:rsidRPr="001F4F6E">
        <w:rPr>
          <w:rFonts w:ascii="Bookman Old Style" w:eastAsia="Bookman Old Style" w:hAnsi="Bookman Old Style" w:cs="Bookman Old Style"/>
          <w:color w:val="000000"/>
          <w:highlight w:val="white"/>
        </w:rPr>
        <w:t xml:space="preserve">. </w:t>
      </w:r>
    </w:p>
    <w:p w:rsidR="00FA38DD" w:rsidRPr="001F4F6E" w:rsidRDefault="00FA38DD">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Entre estas importantes normas, que integran el marco jurídico general de protección de los animales, podemos citar las siguientes:</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pPr>
        <w:numPr>
          <w:ilvl w:val="0"/>
          <w:numId w:val="3"/>
        </w:num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b/>
          <w:color w:val="000000"/>
          <w:highlight w:val="white"/>
        </w:rPr>
        <w:t>Ley 5 de 1972 y el Decreto reglamentario 497 de 1973</w:t>
      </w:r>
      <w:r w:rsidR="0019299C" w:rsidRPr="001F4F6E">
        <w:rPr>
          <w:rFonts w:ascii="Bookman Old Style" w:eastAsia="Bookman Old Style" w:hAnsi="Bookman Old Style" w:cs="Bookman Old Style"/>
          <w:b/>
          <w:color w:val="000000"/>
          <w:highlight w:val="white"/>
        </w:rPr>
        <w:t>:</w:t>
      </w:r>
      <w:r w:rsidRPr="001F4F6E">
        <w:rPr>
          <w:rFonts w:ascii="Bookman Old Style" w:eastAsia="Bookman Old Style" w:hAnsi="Bookman Old Style" w:cs="Bookman Old Style"/>
          <w:color w:val="000000"/>
          <w:highlight w:val="white"/>
        </w:rPr>
        <w:t xml:space="preserve"> sobre las Juntas Defensoras de Animales. </w:t>
      </w:r>
      <w:r w:rsidR="00803571" w:rsidRPr="001F4F6E">
        <w:rPr>
          <w:rFonts w:ascii="Bookman Old Style" w:eastAsia="Bookman Old Style" w:hAnsi="Bookman Old Style" w:cs="Bookman Old Style"/>
          <w:color w:val="000000"/>
          <w:highlight w:val="white"/>
        </w:rPr>
        <w:t>Estas normas disponen</w:t>
      </w:r>
      <w:r w:rsidRPr="001F4F6E">
        <w:rPr>
          <w:rFonts w:ascii="Bookman Old Style" w:eastAsia="Bookman Old Style" w:hAnsi="Bookman Old Style" w:cs="Bookman Old Style"/>
          <w:color w:val="000000"/>
          <w:highlight w:val="white"/>
        </w:rPr>
        <w:t xml:space="preserve"> como obligación, la creación en cada municipio de un comité para dirigir la creación y funcionamiento de las juntas defensoras de animales, cuya labor es de recibir las “quejas de crueldad, maltratamientos [sic] o el abandono injustificado</w:t>
      </w:r>
      <w:r w:rsidR="009C3616" w:rsidRPr="001F4F6E">
        <w:rPr>
          <w:rFonts w:ascii="Bookman Old Style" w:eastAsia="Bookman Old Style" w:hAnsi="Bookman Old Style" w:cs="Bookman Old Style"/>
          <w:color w:val="000000"/>
          <w:highlight w:val="white"/>
        </w:rPr>
        <w:t>” de los animales.</w:t>
      </w:r>
    </w:p>
    <w:p w:rsidR="00EE0E78" w:rsidRPr="001F4F6E" w:rsidRDefault="00EE0E78">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EE0E78" w:rsidRPr="001F4F6E" w:rsidRDefault="000F347E">
      <w:pPr>
        <w:numPr>
          <w:ilvl w:val="0"/>
          <w:numId w:val="3"/>
        </w:num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b/>
          <w:color w:val="000000"/>
          <w:highlight w:val="white"/>
        </w:rPr>
        <w:t>Decreto 1608 de 1978</w:t>
      </w:r>
      <w:r w:rsidR="0019299C" w:rsidRPr="001F4F6E">
        <w:rPr>
          <w:rFonts w:ascii="Bookman Old Style" w:eastAsia="Bookman Old Style" w:hAnsi="Bookman Old Style" w:cs="Bookman Old Style"/>
          <w:b/>
          <w:color w:val="000000"/>
          <w:highlight w:val="white"/>
        </w:rPr>
        <w:t>:</w:t>
      </w:r>
      <w:r w:rsidRPr="001F4F6E">
        <w:rPr>
          <w:rFonts w:ascii="Bookman Old Style" w:eastAsia="Bookman Old Style" w:hAnsi="Bookman Old Style" w:cs="Bookman Old Style"/>
          <w:color w:val="000000"/>
          <w:highlight w:val="white"/>
        </w:rPr>
        <w:t xml:space="preserve"> Código de </w:t>
      </w:r>
      <w:r w:rsidR="0019299C" w:rsidRPr="001F4F6E">
        <w:rPr>
          <w:rFonts w:ascii="Bookman Old Style" w:eastAsia="Bookman Old Style" w:hAnsi="Bookman Old Style" w:cs="Bookman Old Style"/>
          <w:color w:val="000000"/>
          <w:highlight w:val="white"/>
        </w:rPr>
        <w:t xml:space="preserve">los </w:t>
      </w:r>
      <w:r w:rsidRPr="001F4F6E">
        <w:rPr>
          <w:rFonts w:ascii="Bookman Old Style" w:eastAsia="Bookman Old Style" w:hAnsi="Bookman Old Style" w:cs="Bookman Old Style"/>
          <w:color w:val="000000"/>
          <w:highlight w:val="white"/>
        </w:rPr>
        <w:t>Recursos Naturales</w:t>
      </w:r>
      <w:r w:rsidR="0019299C" w:rsidRPr="001F4F6E">
        <w:rPr>
          <w:rFonts w:ascii="Bookman Old Style" w:eastAsia="Bookman Old Style" w:hAnsi="Bookman Old Style" w:cs="Bookman Old Style"/>
          <w:color w:val="000000"/>
          <w:highlight w:val="white"/>
        </w:rPr>
        <w:t xml:space="preserve"> Renovables</w:t>
      </w:r>
      <w:r w:rsidRPr="001F4F6E">
        <w:rPr>
          <w:rFonts w:ascii="Bookman Old Style" w:eastAsia="Bookman Old Style" w:hAnsi="Bookman Old Style" w:cs="Bookman Old Style"/>
          <w:color w:val="000000"/>
          <w:highlight w:val="white"/>
        </w:rPr>
        <w:t>.</w:t>
      </w:r>
      <w:r w:rsidR="009C3616" w:rsidRPr="001F4F6E">
        <w:rPr>
          <w:rFonts w:ascii="Bookman Old Style" w:eastAsia="Bookman Old Style" w:hAnsi="Bookman Old Style" w:cs="Bookman Old Style"/>
          <w:color w:val="000000"/>
          <w:highlight w:val="white"/>
        </w:rPr>
        <w:t xml:space="preserve"> Determina el aprovechamiento de los recursos de la flora y de la fauna. En lo que respecta a los animales, establece que los especímenes de fauna silvestre pertenecen al Estado y, en consecuencia, limita su tenencia y aprovechamiento a la figura de los zoocriaderos y a las modalidades de caza que, en todo caso, siempre requieren de las autorizaciones correspondientes.</w:t>
      </w:r>
    </w:p>
    <w:p w:rsidR="00EE0E78" w:rsidRPr="001F4F6E" w:rsidRDefault="00EE0E78">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EE0E78" w:rsidRPr="001F4F6E" w:rsidRDefault="000F347E">
      <w:pPr>
        <w:numPr>
          <w:ilvl w:val="0"/>
          <w:numId w:val="3"/>
        </w:num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b/>
          <w:color w:val="000000"/>
          <w:highlight w:val="white"/>
        </w:rPr>
        <w:t>Ley 17 de 1981</w:t>
      </w:r>
      <w:r w:rsidR="0019299C" w:rsidRPr="001F4F6E">
        <w:rPr>
          <w:rFonts w:ascii="Bookman Old Style" w:eastAsia="Bookman Old Style" w:hAnsi="Bookman Old Style" w:cs="Bookman Old Style"/>
          <w:b/>
          <w:color w:val="000000"/>
          <w:highlight w:val="white"/>
        </w:rPr>
        <w:t>:</w:t>
      </w:r>
      <w:r w:rsidRPr="001F4F6E">
        <w:rPr>
          <w:rFonts w:ascii="Bookman Old Style" w:eastAsia="Bookman Old Style" w:hAnsi="Bookman Old Style" w:cs="Bookman Old Style"/>
          <w:color w:val="000000"/>
          <w:highlight w:val="white"/>
        </w:rPr>
        <w:t xml:space="preserve"> mediante la cual se ratifica la Convención sobre el Comercio Internacional de especies amenazadas de flora y fauna silvestre (CITES) y las resoluciones de las conferencias posteriores.</w:t>
      </w:r>
    </w:p>
    <w:p w:rsidR="00EE0E78" w:rsidRPr="001F4F6E" w:rsidRDefault="00EE0E78">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EE0E78" w:rsidRPr="001F4F6E" w:rsidRDefault="000F347E">
      <w:pPr>
        <w:numPr>
          <w:ilvl w:val="0"/>
          <w:numId w:val="3"/>
        </w:num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b/>
          <w:color w:val="000000"/>
          <w:highlight w:val="white"/>
        </w:rPr>
        <w:t>Ley 84 de 1989</w:t>
      </w:r>
      <w:r w:rsidR="0019299C" w:rsidRPr="001F4F6E">
        <w:rPr>
          <w:rFonts w:ascii="Bookman Old Style" w:eastAsia="Bookman Old Style" w:hAnsi="Bookman Old Style" w:cs="Bookman Old Style"/>
          <w:b/>
          <w:color w:val="000000"/>
          <w:highlight w:val="white"/>
        </w:rPr>
        <w:t>:</w:t>
      </w:r>
      <w:r w:rsidRPr="001F4F6E">
        <w:rPr>
          <w:rFonts w:ascii="Bookman Old Style" w:eastAsia="Bookman Old Style" w:hAnsi="Bookman Old Style" w:cs="Bookman Old Style"/>
          <w:color w:val="000000"/>
          <w:highlight w:val="white"/>
        </w:rPr>
        <w:t xml:space="preserve"> Estatuto Nacional de Protección Animal</w:t>
      </w:r>
      <w:r w:rsidR="00AE70E7" w:rsidRPr="001F4F6E">
        <w:rPr>
          <w:rFonts w:ascii="Bookman Old Style" w:eastAsia="Bookman Old Style" w:hAnsi="Bookman Old Style" w:cs="Bookman Old Style"/>
          <w:color w:val="000000"/>
          <w:highlight w:val="white"/>
        </w:rPr>
        <w:t>. Pese a ser una norma anterior a la Constitución de 1991, e</w:t>
      </w:r>
      <w:r w:rsidRPr="001F4F6E">
        <w:rPr>
          <w:rFonts w:ascii="Bookman Old Style" w:eastAsia="Bookman Old Style" w:hAnsi="Bookman Old Style" w:cs="Bookman Old Style"/>
          <w:color w:val="000000"/>
          <w:highlight w:val="white"/>
        </w:rPr>
        <w:t>l E</w:t>
      </w:r>
      <w:r w:rsidR="00AE70E7" w:rsidRPr="001F4F6E">
        <w:rPr>
          <w:rFonts w:ascii="Bookman Old Style" w:eastAsia="Bookman Old Style" w:hAnsi="Bookman Old Style" w:cs="Bookman Old Style"/>
          <w:color w:val="000000"/>
          <w:highlight w:val="white"/>
        </w:rPr>
        <w:t>statuto es la norma que desarrolla más a profundidad el principio de protección y bienestar animal en el territorio nacional. Esta norma</w:t>
      </w:r>
      <w:r w:rsidRPr="001F4F6E">
        <w:rPr>
          <w:rFonts w:ascii="Bookman Old Style" w:eastAsia="Bookman Old Style" w:hAnsi="Bookman Old Style" w:cs="Bookman Old Style"/>
          <w:color w:val="000000"/>
          <w:highlight w:val="white"/>
        </w:rPr>
        <w:t xml:space="preserve"> cuenta con una parte sustancial de protección de los animales donde se enumeran una serie de conductas constitutivas de crueldad, los deberes correlativos de protección y una serie de prohibiciones. De igual forma, cuenta con una parte procedimental, que impone sanciones a los transgresores del Estatuto y señala un procedimiento administrativo y unas autoridades competentes.</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pPr>
        <w:numPr>
          <w:ilvl w:val="0"/>
          <w:numId w:val="3"/>
        </w:num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b/>
          <w:color w:val="000000"/>
          <w:highlight w:val="white"/>
        </w:rPr>
        <w:t>Ley 599 de 2000</w:t>
      </w:r>
      <w:r w:rsidR="0019299C" w:rsidRPr="001F4F6E">
        <w:rPr>
          <w:rFonts w:ascii="Bookman Old Style" w:eastAsia="Bookman Old Style" w:hAnsi="Bookman Old Style" w:cs="Bookman Old Style"/>
          <w:color w:val="000000"/>
          <w:highlight w:val="white"/>
        </w:rPr>
        <w:t>:</w:t>
      </w:r>
      <w:r w:rsidRPr="001F4F6E">
        <w:rPr>
          <w:rFonts w:ascii="Bookman Old Style" w:eastAsia="Bookman Old Style" w:hAnsi="Bookman Old Style" w:cs="Bookman Old Style"/>
          <w:color w:val="000000"/>
          <w:highlight w:val="white"/>
        </w:rPr>
        <w:t xml:space="preserve"> Código Penal</w:t>
      </w:r>
      <w:r w:rsidR="003D17A1" w:rsidRPr="001F4F6E">
        <w:rPr>
          <w:rFonts w:ascii="Bookman Old Style" w:eastAsia="Bookman Old Style" w:hAnsi="Bookman Old Style" w:cs="Bookman Old Style"/>
          <w:color w:val="000000"/>
          <w:highlight w:val="white"/>
        </w:rPr>
        <w:t xml:space="preserve">. Esta norma contiene un capítulo exclusivo ubicado en el título XI, que tipifica las conductas que atentan contra el </w:t>
      </w:r>
      <w:r w:rsidRPr="001F4F6E">
        <w:rPr>
          <w:rFonts w:ascii="Bookman Old Style" w:eastAsia="Bookman Old Style" w:hAnsi="Bookman Old Style" w:cs="Bookman Old Style"/>
          <w:color w:val="000000"/>
          <w:highlight w:val="white"/>
        </w:rPr>
        <w:t>medio ambiente y los recursos naturales.</w:t>
      </w:r>
    </w:p>
    <w:p w:rsidR="00EE0E78" w:rsidRPr="001F4F6E" w:rsidRDefault="00EE0E78">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EE0E78" w:rsidRPr="001F4F6E" w:rsidRDefault="000F347E">
      <w:pPr>
        <w:numPr>
          <w:ilvl w:val="0"/>
          <w:numId w:val="3"/>
        </w:num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b/>
          <w:color w:val="000000"/>
          <w:highlight w:val="white"/>
        </w:rPr>
        <w:t>Ley 1638 de 2013</w:t>
      </w:r>
      <w:r w:rsidR="0019299C" w:rsidRPr="001F4F6E">
        <w:rPr>
          <w:rFonts w:ascii="Bookman Old Style" w:eastAsia="Bookman Old Style" w:hAnsi="Bookman Old Style" w:cs="Bookman Old Style"/>
          <w:color w:val="000000"/>
          <w:highlight w:val="white"/>
        </w:rPr>
        <w:t>:</w:t>
      </w:r>
      <w:r w:rsidRPr="001F4F6E">
        <w:rPr>
          <w:rFonts w:ascii="Bookman Old Style" w:eastAsia="Bookman Old Style" w:hAnsi="Bookman Old Style" w:cs="Bookman Old Style"/>
          <w:color w:val="000000"/>
          <w:highlight w:val="white"/>
        </w:rPr>
        <w:t xml:space="preserve"> </w:t>
      </w:r>
      <w:r w:rsidR="003D17A1" w:rsidRPr="001F4F6E">
        <w:rPr>
          <w:rFonts w:ascii="Bookman Old Style" w:eastAsia="Bookman Old Style" w:hAnsi="Bookman Old Style" w:cs="Bookman Old Style"/>
          <w:color w:val="000000"/>
          <w:highlight w:val="white"/>
        </w:rPr>
        <w:t xml:space="preserve">norma que prohibió el uso </w:t>
      </w:r>
      <w:r w:rsidR="004F32D1" w:rsidRPr="001F4F6E">
        <w:rPr>
          <w:rFonts w:ascii="Bookman Old Style" w:eastAsia="Bookman Old Style" w:hAnsi="Bookman Old Style" w:cs="Bookman Old Style"/>
          <w:color w:val="000000"/>
          <w:highlight w:val="white"/>
        </w:rPr>
        <w:t>de</w:t>
      </w:r>
      <w:r w:rsidRPr="001F4F6E">
        <w:rPr>
          <w:rFonts w:ascii="Bookman Old Style" w:eastAsia="Bookman Old Style" w:hAnsi="Bookman Old Style" w:cs="Bookman Old Style"/>
          <w:color w:val="000000"/>
          <w:highlight w:val="white"/>
        </w:rPr>
        <w:t xml:space="preserve"> animales silvestres</w:t>
      </w:r>
      <w:r w:rsidR="004F32D1" w:rsidRPr="001F4F6E">
        <w:rPr>
          <w:rFonts w:ascii="Bookman Old Style" w:eastAsia="Bookman Old Style" w:hAnsi="Bookman Old Style" w:cs="Bookman Old Style"/>
          <w:color w:val="000000"/>
          <w:highlight w:val="white"/>
        </w:rPr>
        <w:t>,</w:t>
      </w:r>
      <w:r w:rsidRPr="001F4F6E">
        <w:rPr>
          <w:rFonts w:ascii="Bookman Old Style" w:eastAsia="Bookman Old Style" w:hAnsi="Bookman Old Style" w:cs="Bookman Old Style"/>
          <w:color w:val="000000"/>
          <w:highlight w:val="white"/>
        </w:rPr>
        <w:t xml:space="preserve"> nativos o exóticos</w:t>
      </w:r>
      <w:r w:rsidR="004F32D1" w:rsidRPr="001F4F6E">
        <w:rPr>
          <w:rFonts w:ascii="Bookman Old Style" w:eastAsia="Bookman Old Style" w:hAnsi="Bookman Old Style" w:cs="Bookman Old Style"/>
          <w:color w:val="000000"/>
          <w:highlight w:val="white"/>
        </w:rPr>
        <w:t>,</w:t>
      </w:r>
      <w:r w:rsidRPr="001F4F6E">
        <w:rPr>
          <w:rFonts w:ascii="Bookman Old Style" w:eastAsia="Bookman Old Style" w:hAnsi="Bookman Old Style" w:cs="Bookman Old Style"/>
          <w:color w:val="000000"/>
          <w:highlight w:val="white"/>
        </w:rPr>
        <w:t xml:space="preserve"> en circos fijos e itinerantes.</w:t>
      </w:r>
      <w:r w:rsidR="003D17A1" w:rsidRPr="001F4F6E">
        <w:rPr>
          <w:rFonts w:ascii="Bookman Old Style" w:eastAsia="Bookman Old Style" w:hAnsi="Bookman Old Style" w:cs="Bookman Old Style"/>
          <w:color w:val="000000"/>
          <w:highlight w:val="white"/>
        </w:rPr>
        <w:t xml:space="preserve"> La Ley 1638 de 2013 fue demandada ante la Corte Constitucional por la presunta vulneración a loss derechos al trabajo y la cultura. No obstante, el Alto Tribunal la declaró</w:t>
      </w:r>
      <w:r w:rsidR="004F32D1" w:rsidRPr="001F4F6E">
        <w:rPr>
          <w:rFonts w:ascii="Bookman Old Style" w:eastAsia="Bookman Old Style" w:hAnsi="Bookman Old Style" w:cs="Bookman Old Style"/>
          <w:color w:val="000000"/>
          <w:highlight w:val="white"/>
        </w:rPr>
        <w:t xml:space="preserve"> exequible a través</w:t>
      </w:r>
      <w:r w:rsidRPr="001F4F6E">
        <w:rPr>
          <w:rFonts w:ascii="Bookman Old Style" w:eastAsia="Bookman Old Style" w:hAnsi="Bookman Old Style" w:cs="Bookman Old Style"/>
          <w:color w:val="000000"/>
          <w:highlight w:val="white"/>
        </w:rPr>
        <w:t xml:space="preserve"> de la sentencia C-283 de 2014</w:t>
      </w:r>
      <w:r w:rsidR="004F32D1" w:rsidRPr="001F4F6E">
        <w:rPr>
          <w:rFonts w:ascii="Bookman Old Style" w:eastAsia="Bookman Old Style" w:hAnsi="Bookman Old Style" w:cs="Bookman Old Style"/>
          <w:color w:val="000000"/>
          <w:highlight w:val="white"/>
        </w:rPr>
        <w:t>.</w:t>
      </w:r>
    </w:p>
    <w:p w:rsidR="00EE0E78" w:rsidRPr="001F4F6E" w:rsidRDefault="00EE0E78">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EE0E78" w:rsidRPr="001F4F6E" w:rsidRDefault="000F347E">
      <w:pPr>
        <w:numPr>
          <w:ilvl w:val="0"/>
          <w:numId w:val="3"/>
        </w:num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b/>
          <w:color w:val="000000"/>
          <w:highlight w:val="white"/>
        </w:rPr>
        <w:t>Ley 1774 de 2016</w:t>
      </w:r>
      <w:r w:rsidR="0019299C" w:rsidRPr="001F4F6E">
        <w:rPr>
          <w:rFonts w:ascii="Bookman Old Style" w:eastAsia="Bookman Old Style" w:hAnsi="Bookman Old Style" w:cs="Bookman Old Style"/>
          <w:b/>
          <w:color w:val="000000"/>
          <w:highlight w:val="white"/>
        </w:rPr>
        <w:t>:</w:t>
      </w:r>
      <w:r w:rsidRPr="001F4F6E">
        <w:rPr>
          <w:rFonts w:ascii="Bookman Old Style" w:eastAsia="Bookman Old Style" w:hAnsi="Bookman Old Style" w:cs="Bookman Old Style"/>
          <w:color w:val="000000"/>
          <w:highlight w:val="white"/>
        </w:rPr>
        <w:t xml:space="preserve"> </w:t>
      </w:r>
      <w:r w:rsidR="004F32D1" w:rsidRPr="001F4F6E">
        <w:rPr>
          <w:rFonts w:ascii="Bookman Old Style" w:eastAsia="Bookman Old Style" w:hAnsi="Bookman Old Style" w:cs="Bookman Old Style"/>
          <w:color w:val="000000"/>
          <w:highlight w:val="white"/>
        </w:rPr>
        <w:t>p</w:t>
      </w:r>
      <w:r w:rsidRPr="001F4F6E">
        <w:rPr>
          <w:rFonts w:ascii="Bookman Old Style" w:eastAsia="Bookman Old Style" w:hAnsi="Bookman Old Style" w:cs="Bookman Old Style"/>
          <w:color w:val="000000"/>
          <w:highlight w:val="white"/>
        </w:rPr>
        <w:t xml:space="preserve">or medio de la cual se modifican el </w:t>
      </w:r>
      <w:r w:rsidR="004F32D1" w:rsidRPr="001F4F6E">
        <w:rPr>
          <w:rFonts w:ascii="Bookman Old Style" w:eastAsia="Bookman Old Style" w:hAnsi="Bookman Old Style" w:cs="Bookman Old Style"/>
          <w:color w:val="000000"/>
          <w:highlight w:val="white"/>
        </w:rPr>
        <w:t>C</w:t>
      </w:r>
      <w:r w:rsidRPr="001F4F6E">
        <w:rPr>
          <w:rFonts w:ascii="Bookman Old Style" w:eastAsia="Bookman Old Style" w:hAnsi="Bookman Old Style" w:cs="Bookman Old Style"/>
          <w:color w:val="000000"/>
          <w:highlight w:val="white"/>
        </w:rPr>
        <w:t xml:space="preserve">ódigo </w:t>
      </w:r>
      <w:r w:rsidR="004F32D1" w:rsidRPr="001F4F6E">
        <w:rPr>
          <w:rFonts w:ascii="Bookman Old Style" w:eastAsia="Bookman Old Style" w:hAnsi="Bookman Old Style" w:cs="Bookman Old Style"/>
          <w:color w:val="000000"/>
          <w:highlight w:val="white"/>
        </w:rPr>
        <w:t>C</w:t>
      </w:r>
      <w:r w:rsidRPr="001F4F6E">
        <w:rPr>
          <w:rFonts w:ascii="Bookman Old Style" w:eastAsia="Bookman Old Style" w:hAnsi="Bookman Old Style" w:cs="Bookman Old Style"/>
          <w:color w:val="000000"/>
          <w:highlight w:val="white"/>
        </w:rPr>
        <w:t xml:space="preserve">ivil, la </w:t>
      </w:r>
      <w:r w:rsidR="003D17A1" w:rsidRPr="001F4F6E">
        <w:rPr>
          <w:rFonts w:ascii="Bookman Old Style" w:eastAsia="Bookman Old Style" w:hAnsi="Bookman Old Style" w:cs="Bookman Old Style"/>
          <w:color w:val="000000"/>
          <w:highlight w:val="white"/>
        </w:rPr>
        <w:t>L</w:t>
      </w:r>
      <w:r w:rsidRPr="001F4F6E">
        <w:rPr>
          <w:rFonts w:ascii="Bookman Old Style" w:eastAsia="Bookman Old Style" w:hAnsi="Bookman Old Style" w:cs="Bookman Old Style"/>
          <w:color w:val="000000"/>
          <w:highlight w:val="white"/>
        </w:rPr>
        <w:t xml:space="preserve">ey 84 de 1989, el </w:t>
      </w:r>
      <w:r w:rsidR="003D17A1" w:rsidRPr="001F4F6E">
        <w:rPr>
          <w:rFonts w:ascii="Bookman Old Style" w:eastAsia="Bookman Old Style" w:hAnsi="Bookman Old Style" w:cs="Bookman Old Style"/>
          <w:color w:val="000000"/>
          <w:highlight w:val="white"/>
        </w:rPr>
        <w:t>C</w:t>
      </w:r>
      <w:r w:rsidRPr="001F4F6E">
        <w:rPr>
          <w:rFonts w:ascii="Bookman Old Style" w:eastAsia="Bookman Old Style" w:hAnsi="Bookman Old Style" w:cs="Bookman Old Style"/>
          <w:color w:val="000000"/>
          <w:highlight w:val="white"/>
        </w:rPr>
        <w:t xml:space="preserve">ódigo </w:t>
      </w:r>
      <w:r w:rsidR="003D17A1" w:rsidRPr="001F4F6E">
        <w:rPr>
          <w:rFonts w:ascii="Bookman Old Style" w:eastAsia="Bookman Old Style" w:hAnsi="Bookman Old Style" w:cs="Bookman Old Style"/>
          <w:color w:val="000000"/>
          <w:highlight w:val="white"/>
        </w:rPr>
        <w:t>P</w:t>
      </w:r>
      <w:r w:rsidRPr="001F4F6E">
        <w:rPr>
          <w:rFonts w:ascii="Bookman Old Style" w:eastAsia="Bookman Old Style" w:hAnsi="Bookman Old Style" w:cs="Bookman Old Style"/>
          <w:color w:val="000000"/>
          <w:highlight w:val="white"/>
        </w:rPr>
        <w:t xml:space="preserve">enal, el </w:t>
      </w:r>
      <w:r w:rsidR="003D17A1" w:rsidRPr="001F4F6E">
        <w:rPr>
          <w:rFonts w:ascii="Bookman Old Style" w:eastAsia="Bookman Old Style" w:hAnsi="Bookman Old Style" w:cs="Bookman Old Style"/>
          <w:color w:val="000000"/>
          <w:highlight w:val="white"/>
        </w:rPr>
        <w:t>C</w:t>
      </w:r>
      <w:r w:rsidRPr="001F4F6E">
        <w:rPr>
          <w:rFonts w:ascii="Bookman Old Style" w:eastAsia="Bookman Old Style" w:hAnsi="Bookman Old Style" w:cs="Bookman Old Style"/>
          <w:color w:val="000000"/>
          <w:highlight w:val="white"/>
        </w:rPr>
        <w:t xml:space="preserve">ódigo de </w:t>
      </w:r>
      <w:r w:rsidR="003D17A1" w:rsidRPr="001F4F6E">
        <w:rPr>
          <w:rFonts w:ascii="Bookman Old Style" w:eastAsia="Bookman Old Style" w:hAnsi="Bookman Old Style" w:cs="Bookman Old Style"/>
          <w:color w:val="000000"/>
          <w:highlight w:val="white"/>
        </w:rPr>
        <w:t>P</w:t>
      </w:r>
      <w:r w:rsidRPr="001F4F6E">
        <w:rPr>
          <w:rFonts w:ascii="Bookman Old Style" w:eastAsia="Bookman Old Style" w:hAnsi="Bookman Old Style" w:cs="Bookman Old Style"/>
          <w:color w:val="000000"/>
          <w:highlight w:val="white"/>
        </w:rPr>
        <w:t xml:space="preserve">rocedimiento </w:t>
      </w:r>
      <w:r w:rsidR="003D17A1" w:rsidRPr="001F4F6E">
        <w:rPr>
          <w:rFonts w:ascii="Bookman Old Style" w:eastAsia="Bookman Old Style" w:hAnsi="Bookman Old Style" w:cs="Bookman Old Style"/>
          <w:color w:val="000000"/>
          <w:highlight w:val="white"/>
        </w:rPr>
        <w:t>P</w:t>
      </w:r>
      <w:r w:rsidRPr="001F4F6E">
        <w:rPr>
          <w:rFonts w:ascii="Bookman Old Style" w:eastAsia="Bookman Old Style" w:hAnsi="Bookman Old Style" w:cs="Bookman Old Style"/>
          <w:color w:val="000000"/>
          <w:highlight w:val="white"/>
        </w:rPr>
        <w:t>enal y se dictan otras disposiciones</w:t>
      </w:r>
      <w:r w:rsidR="003D17A1" w:rsidRPr="001F4F6E">
        <w:rPr>
          <w:rFonts w:ascii="Bookman Old Style" w:eastAsia="Bookman Old Style" w:hAnsi="Bookman Old Style" w:cs="Bookman Old Style"/>
          <w:color w:val="000000"/>
          <w:highlight w:val="white"/>
        </w:rPr>
        <w:t>. Esta norma declaró</w:t>
      </w:r>
      <w:r w:rsidRPr="001F4F6E">
        <w:rPr>
          <w:rFonts w:ascii="Bookman Old Style" w:eastAsia="Bookman Old Style" w:hAnsi="Bookman Old Style" w:cs="Bookman Old Style"/>
          <w:color w:val="000000"/>
          <w:highlight w:val="white"/>
        </w:rPr>
        <w:t xml:space="preserve"> a los animales como seres sintientes y penaliz</w:t>
      </w:r>
      <w:r w:rsidR="003D17A1" w:rsidRPr="001F4F6E">
        <w:rPr>
          <w:rFonts w:ascii="Bookman Old Style" w:eastAsia="Bookman Old Style" w:hAnsi="Bookman Old Style" w:cs="Bookman Old Style"/>
          <w:color w:val="000000"/>
          <w:highlight w:val="white"/>
        </w:rPr>
        <w:t>ó</w:t>
      </w:r>
      <w:r w:rsidRPr="001F4F6E">
        <w:rPr>
          <w:rFonts w:ascii="Bookman Old Style" w:eastAsia="Bookman Old Style" w:hAnsi="Bookman Old Style" w:cs="Bookman Old Style"/>
          <w:color w:val="000000"/>
          <w:highlight w:val="white"/>
        </w:rPr>
        <w:t xml:space="preserve"> el maltrato animal. </w:t>
      </w:r>
      <w:r w:rsidR="003D17A1" w:rsidRPr="001F4F6E">
        <w:rPr>
          <w:rFonts w:ascii="Bookman Old Style" w:eastAsia="Bookman Old Style" w:hAnsi="Bookman Old Style" w:cs="Bookman Old Style"/>
          <w:color w:val="000000"/>
          <w:highlight w:val="white"/>
        </w:rPr>
        <w:t>Es conocida p</w:t>
      </w:r>
      <w:r w:rsidRPr="001F4F6E">
        <w:rPr>
          <w:rFonts w:ascii="Bookman Old Style" w:eastAsia="Bookman Old Style" w:hAnsi="Bookman Old Style" w:cs="Bookman Old Style"/>
          <w:color w:val="000000"/>
          <w:highlight w:val="white"/>
        </w:rPr>
        <w:t xml:space="preserve">opularmente </w:t>
      </w:r>
      <w:r w:rsidR="003D17A1" w:rsidRPr="001F4F6E">
        <w:rPr>
          <w:rFonts w:ascii="Bookman Old Style" w:eastAsia="Bookman Old Style" w:hAnsi="Bookman Old Style" w:cs="Bookman Old Style"/>
          <w:color w:val="000000"/>
          <w:highlight w:val="white"/>
        </w:rPr>
        <w:t xml:space="preserve">como la </w:t>
      </w:r>
      <w:r w:rsidRPr="001F4F6E">
        <w:rPr>
          <w:rFonts w:ascii="Bookman Old Style" w:eastAsia="Bookman Old Style" w:hAnsi="Bookman Old Style" w:cs="Bookman Old Style"/>
          <w:color w:val="000000"/>
          <w:highlight w:val="white"/>
        </w:rPr>
        <w:t>Ley contra el maltrato animal</w:t>
      </w:r>
      <w:r w:rsidR="003D17A1" w:rsidRPr="001F4F6E">
        <w:rPr>
          <w:rFonts w:ascii="Bookman Old Style" w:eastAsia="Bookman Old Style" w:hAnsi="Bookman Old Style" w:cs="Bookman Old Style"/>
          <w:color w:val="000000"/>
          <w:highlight w:val="white"/>
        </w:rPr>
        <w:t xml:space="preserve"> y a partir de su expedición, la jurisprudencia constitucional ha sido más contundente frente al deber de protección que le asiste a los animales dentro del ordenamiento jurídico colombiano.</w:t>
      </w: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 </w:t>
      </w:r>
    </w:p>
    <w:p w:rsidR="00EE0E78" w:rsidRPr="001F4F6E" w:rsidRDefault="000F347E">
      <w:pPr>
        <w:pBdr>
          <w:top w:val="nil"/>
          <w:left w:val="nil"/>
          <w:bottom w:val="nil"/>
          <w:right w:val="nil"/>
          <w:between w:val="nil"/>
        </w:pBdr>
        <w:jc w:val="both"/>
        <w:rPr>
          <w:rFonts w:ascii="Bookman Old Style" w:eastAsia="Bookman Old Style" w:hAnsi="Bookman Old Style" w:cs="Bookman Old Style"/>
          <w:b/>
          <w:color w:val="000000"/>
          <w:highlight w:val="white"/>
        </w:rPr>
      </w:pPr>
      <w:r w:rsidRPr="001F4F6E">
        <w:rPr>
          <w:rFonts w:ascii="Bookman Old Style" w:eastAsia="Bookman Old Style" w:hAnsi="Bookman Old Style" w:cs="Bookman Old Style"/>
          <w:b/>
          <w:color w:val="000000"/>
          <w:highlight w:val="white"/>
        </w:rPr>
        <w:t>3.2 Jurisprudenciales.</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b/>
          <w:color w:val="000000"/>
          <w:highlight w:val="white"/>
        </w:rPr>
      </w:pPr>
    </w:p>
    <w:p w:rsidR="00474970" w:rsidRPr="001F4F6E" w:rsidRDefault="00A728F8">
      <w:pPr>
        <w:pBdr>
          <w:top w:val="nil"/>
          <w:left w:val="nil"/>
          <w:bottom w:val="nil"/>
          <w:right w:val="nil"/>
          <w:between w:val="nil"/>
        </w:pBdr>
        <w:jc w:val="both"/>
        <w:rPr>
          <w:rFonts w:ascii="Bookman Old Style" w:eastAsia="Bookman Old Style" w:hAnsi="Bookman Old Style" w:cs="Bookman Old Style"/>
          <w:color w:val="000000"/>
          <w:highlight w:val="white"/>
        </w:rPr>
      </w:pPr>
      <w:bookmarkStart w:id="1" w:name="_gjdgxs" w:colFirst="0" w:colLast="0"/>
      <w:bookmarkEnd w:id="1"/>
      <w:r w:rsidRPr="001F4F6E">
        <w:rPr>
          <w:rFonts w:ascii="Bookman Old Style" w:eastAsia="Bookman Old Style" w:hAnsi="Bookman Old Style" w:cs="Bookman Old Style"/>
          <w:color w:val="000000"/>
          <w:highlight w:val="white"/>
        </w:rPr>
        <w:lastRenderedPageBreak/>
        <w:t>La</w:t>
      </w:r>
      <w:r w:rsidR="00456FEB" w:rsidRPr="001F4F6E">
        <w:rPr>
          <w:rFonts w:ascii="Bookman Old Style" w:eastAsia="Bookman Old Style" w:hAnsi="Bookman Old Style" w:cs="Bookman Old Style"/>
          <w:color w:val="000000"/>
          <w:highlight w:val="white"/>
        </w:rPr>
        <w:t>s decisiones judiciales</w:t>
      </w:r>
      <w:r w:rsidRPr="001F4F6E">
        <w:rPr>
          <w:rFonts w:ascii="Bookman Old Style" w:eastAsia="Bookman Old Style" w:hAnsi="Bookman Old Style" w:cs="Bookman Old Style"/>
          <w:color w:val="000000"/>
          <w:highlight w:val="white"/>
        </w:rPr>
        <w:t xml:space="preserve"> ha sido la herramienta más efectiva para avanzar en la protección de los animales en el país. Desde el año 1997 se ha venido consolidando una línea jurisprudencial que cada vez </w:t>
      </w:r>
      <w:r w:rsidR="00474970" w:rsidRPr="001F4F6E">
        <w:rPr>
          <w:rFonts w:ascii="Bookman Old Style" w:eastAsia="Bookman Old Style" w:hAnsi="Bookman Old Style" w:cs="Bookman Old Style"/>
          <w:color w:val="000000"/>
          <w:highlight w:val="white"/>
        </w:rPr>
        <w:t xml:space="preserve">ratifica con mayor ahínco la necesidad de desarrollar herramientas legislativas tendientes a reconocer a los animales como sujetos merecedores de una verdadera protección. </w:t>
      </w:r>
    </w:p>
    <w:p w:rsidR="00474970" w:rsidRPr="001F4F6E" w:rsidRDefault="00474970">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474970">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Además, las decisiones judiciales han </w:t>
      </w:r>
      <w:r w:rsidR="00275D2D" w:rsidRPr="001F4F6E">
        <w:rPr>
          <w:rFonts w:ascii="Bookman Old Style" w:eastAsia="Bookman Old Style" w:hAnsi="Bookman Old Style" w:cs="Bookman Old Style"/>
          <w:color w:val="000000"/>
          <w:highlight w:val="white"/>
        </w:rPr>
        <w:t>profundizado en</w:t>
      </w:r>
      <w:r w:rsidRPr="001F4F6E">
        <w:rPr>
          <w:rFonts w:ascii="Bookman Old Style" w:eastAsia="Bookman Old Style" w:hAnsi="Bookman Old Style" w:cs="Bookman Old Style"/>
          <w:color w:val="000000"/>
          <w:highlight w:val="white"/>
        </w:rPr>
        <w:t xml:space="preserve"> la </w:t>
      </w:r>
      <w:r w:rsidR="0056646B" w:rsidRPr="001F4F6E">
        <w:rPr>
          <w:rFonts w:ascii="Bookman Old Style" w:eastAsia="Bookman Old Style" w:hAnsi="Bookman Old Style" w:cs="Bookman Old Style"/>
          <w:color w:val="000000"/>
          <w:highlight w:val="white"/>
        </w:rPr>
        <w:t>relevancia</w:t>
      </w:r>
      <w:r w:rsidRPr="001F4F6E">
        <w:rPr>
          <w:rFonts w:ascii="Bookman Old Style" w:eastAsia="Bookman Old Style" w:hAnsi="Bookman Old Style" w:cs="Bookman Old Style"/>
          <w:color w:val="000000"/>
          <w:highlight w:val="white"/>
        </w:rPr>
        <w:t xml:space="preserve"> de las relaciones entre los seres humanos y los animales</w:t>
      </w:r>
      <w:r w:rsidR="00275D2D" w:rsidRPr="001F4F6E">
        <w:rPr>
          <w:rFonts w:ascii="Bookman Old Style" w:eastAsia="Bookman Old Style" w:hAnsi="Bookman Old Style" w:cs="Bookman Old Style"/>
          <w:color w:val="000000"/>
          <w:highlight w:val="white"/>
        </w:rPr>
        <w:t>,</w:t>
      </w:r>
      <w:r w:rsidR="0056646B" w:rsidRPr="001F4F6E">
        <w:rPr>
          <w:rFonts w:ascii="Bookman Old Style" w:eastAsia="Bookman Old Style" w:hAnsi="Bookman Old Style" w:cs="Bookman Old Style"/>
          <w:color w:val="000000"/>
          <w:highlight w:val="white"/>
        </w:rPr>
        <w:t xml:space="preserve"> ya no desde una visión antropocentrista o utilitarista, sino como seres que comparten espacios vitales y que deben interactuar desde </w:t>
      </w:r>
      <w:r w:rsidRPr="001F4F6E">
        <w:rPr>
          <w:rFonts w:ascii="Bookman Old Style" w:eastAsia="Bookman Old Style" w:hAnsi="Bookman Old Style" w:cs="Bookman Old Style"/>
          <w:color w:val="000000"/>
          <w:highlight w:val="white"/>
        </w:rPr>
        <w:t xml:space="preserve">un marco de responsabilidad, respeto y protección. </w:t>
      </w:r>
      <w:r w:rsidR="00A728F8" w:rsidRPr="001F4F6E">
        <w:rPr>
          <w:rFonts w:ascii="Bookman Old Style" w:eastAsia="Bookman Old Style" w:hAnsi="Bookman Old Style" w:cs="Bookman Old Style"/>
          <w:color w:val="000000"/>
          <w:highlight w:val="white"/>
        </w:rPr>
        <w:t xml:space="preserve"> </w:t>
      </w:r>
    </w:p>
    <w:p w:rsidR="0056646B" w:rsidRPr="001F4F6E" w:rsidRDefault="0056646B">
      <w:pPr>
        <w:pBdr>
          <w:top w:val="nil"/>
          <w:left w:val="nil"/>
          <w:bottom w:val="nil"/>
          <w:right w:val="nil"/>
          <w:between w:val="nil"/>
        </w:pBdr>
        <w:jc w:val="both"/>
        <w:rPr>
          <w:rFonts w:ascii="Bookman Old Style" w:eastAsia="Bookman Old Style" w:hAnsi="Bookman Old Style" w:cs="Bookman Old Style"/>
          <w:color w:val="000000"/>
          <w:highlight w:val="white"/>
        </w:rPr>
      </w:pPr>
    </w:p>
    <w:p w:rsidR="0056646B" w:rsidRPr="001F4F6E" w:rsidRDefault="0056646B">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De esta forma, se ha impulsado, desde la jurisprudencia, la consolidación de instrumentos legales que han propendido por modificar la concepción de los animales como bienes sujetos a la disposición del ser humano, como fue indicado en el acápite anterior. </w:t>
      </w:r>
    </w:p>
    <w:p w:rsidR="00474970" w:rsidRPr="001F4F6E" w:rsidRDefault="00474970">
      <w:pPr>
        <w:pBdr>
          <w:top w:val="nil"/>
          <w:left w:val="nil"/>
          <w:bottom w:val="nil"/>
          <w:right w:val="nil"/>
          <w:between w:val="nil"/>
        </w:pBdr>
        <w:jc w:val="both"/>
        <w:rPr>
          <w:rFonts w:ascii="Bookman Old Style" w:eastAsia="Bookman Old Style" w:hAnsi="Bookman Old Style" w:cs="Bookman Old Style"/>
          <w:color w:val="000000"/>
          <w:highlight w:val="white"/>
        </w:rPr>
      </w:pPr>
    </w:p>
    <w:p w:rsidR="0056646B" w:rsidRPr="001F4F6E" w:rsidRDefault="00474970">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En lo que respecta al tema que ocupa el presente proyecto de ley, la línea jurisprudencial ha sido clara en avanzar en lo que respecta a la prevalencia de la protección animal frente a aquellas tradiciones que se asientan en actividades que implican violencia y maltrato. Ya en varias oportunidades, la Corte ha conminado al legislador para que adecúe las normas vigentes a los mandatos que se derivan de la llamada “Constitución Ecológica”</w:t>
      </w:r>
      <w:r w:rsidR="0056646B" w:rsidRPr="001F4F6E">
        <w:rPr>
          <w:rFonts w:ascii="Bookman Old Style" w:eastAsia="Bookman Old Style" w:hAnsi="Bookman Old Style" w:cs="Bookman Old Style"/>
          <w:color w:val="000000"/>
          <w:highlight w:val="white"/>
        </w:rPr>
        <w:t>.</w:t>
      </w:r>
    </w:p>
    <w:p w:rsidR="0056646B" w:rsidRPr="001F4F6E" w:rsidRDefault="0056646B">
      <w:pPr>
        <w:pBdr>
          <w:top w:val="nil"/>
          <w:left w:val="nil"/>
          <w:bottom w:val="nil"/>
          <w:right w:val="nil"/>
          <w:between w:val="nil"/>
        </w:pBdr>
        <w:jc w:val="both"/>
        <w:rPr>
          <w:rFonts w:ascii="Bookman Old Style" w:eastAsia="Bookman Old Style" w:hAnsi="Bookman Old Style" w:cs="Bookman Old Style"/>
          <w:color w:val="000000"/>
          <w:highlight w:val="white"/>
        </w:rPr>
      </w:pPr>
    </w:p>
    <w:p w:rsidR="00474970" w:rsidRPr="001F4F6E" w:rsidRDefault="0056646B">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A continuación se expondrán aquellas providencias relevantes en esta materia que no solo justifican la presentación de este proyecto sino que delegan al Congreso de la República, la responsabilidad de dar cumplimiento a los mandatos constitucionales respecto a la protección del ambiente y los animales, deber que hasta la fecha ha omitido el legislativo que, en muchas ocasiones, ni siquiera facilita la realización de los debates pertinentes sobre estos asuntos. </w:t>
      </w:r>
      <w:r w:rsidR="00474970" w:rsidRPr="001F4F6E">
        <w:rPr>
          <w:rFonts w:ascii="Bookman Old Style" w:eastAsia="Bookman Old Style" w:hAnsi="Bookman Old Style" w:cs="Bookman Old Style"/>
          <w:color w:val="000000"/>
          <w:highlight w:val="white"/>
        </w:rPr>
        <w:t xml:space="preserve"> </w:t>
      </w: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highlight w:val="white"/>
        </w:rPr>
        <w:t xml:space="preserve">  </w:t>
      </w:r>
    </w:p>
    <w:p w:rsidR="00231E91" w:rsidRPr="001F4F6E" w:rsidRDefault="00231E91"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b/>
          <w:color w:val="000000"/>
          <w:highlight w:val="white"/>
        </w:rPr>
        <w:t>Sentencia T-035 de 1997</w:t>
      </w:r>
      <w:r w:rsidR="00821B60" w:rsidRPr="001F4F6E">
        <w:rPr>
          <w:rFonts w:ascii="Bookman Old Style" w:eastAsia="Bookman Old Style" w:hAnsi="Bookman Old Style" w:cs="Bookman Old Style"/>
          <w:b/>
          <w:color w:val="000000"/>
          <w:highlight w:val="white"/>
        </w:rPr>
        <w:t>.</w:t>
      </w:r>
      <w:r w:rsidRPr="001F4F6E">
        <w:rPr>
          <w:rFonts w:ascii="Bookman Old Style" w:eastAsia="Bookman Old Style" w:hAnsi="Bookman Old Style" w:cs="Bookman Old Style"/>
          <w:b/>
          <w:color w:val="000000"/>
          <w:highlight w:val="white"/>
        </w:rPr>
        <w:t xml:space="preserve"> </w:t>
      </w:r>
      <w:r w:rsidRPr="006C2D82">
        <w:rPr>
          <w:rFonts w:ascii="Bookman Old Style" w:eastAsia="Bookman Old Style" w:hAnsi="Bookman Old Style" w:cs="Bookman Old Style"/>
          <w:b/>
          <w:color w:val="000000"/>
          <w:highlight w:val="white"/>
        </w:rPr>
        <w:t>Corte Constitucional.</w:t>
      </w:r>
      <w:r w:rsidRPr="001F4F6E">
        <w:rPr>
          <w:rFonts w:ascii="Bookman Old Style" w:eastAsia="Bookman Old Style" w:hAnsi="Bookman Old Style" w:cs="Bookman Old Style"/>
          <w:color w:val="000000"/>
          <w:highlight w:val="white"/>
        </w:rPr>
        <w:t xml:space="preserve"> Acción de tutela relacionada con la tenencia de animales domésticos en propiedad horizontal. Es el primer pronunciamiento del Alto Tribunal Constitucional frente a la relación existente entre los seres humanos y los animales</w:t>
      </w:r>
      <w:r w:rsidR="00285875" w:rsidRPr="001F4F6E">
        <w:rPr>
          <w:rFonts w:ascii="Bookman Old Style" w:eastAsia="Bookman Old Style" w:hAnsi="Bookman Old Style" w:cs="Bookman Old Style"/>
          <w:color w:val="000000"/>
          <w:highlight w:val="white"/>
        </w:rPr>
        <w:t xml:space="preserve">. La Corte manifiesta que la tenencia de animales es un claro desarrollo de los </w:t>
      </w:r>
      <w:r w:rsidR="00285875" w:rsidRPr="001F4F6E">
        <w:rPr>
          <w:rFonts w:ascii="Bookman Old Style" w:eastAsia="Bookman Old Style" w:hAnsi="Bookman Old Style" w:cs="Bookman Old Style"/>
          <w:color w:val="000000"/>
          <w:highlight w:val="white"/>
        </w:rPr>
        <w:lastRenderedPageBreak/>
        <w:t xml:space="preserve">derechos al libre desarrollo de la personalidad y a la intimidad personal y familiar. </w:t>
      </w:r>
    </w:p>
    <w:p w:rsidR="00A34AE4" w:rsidRPr="001F4F6E" w:rsidRDefault="00A34AE4" w:rsidP="00C678BE">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EE0E78" w:rsidRPr="001F4F6E" w:rsidRDefault="000F347E"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b/>
          <w:color w:val="000000"/>
          <w:highlight w:val="white"/>
        </w:rPr>
        <w:t xml:space="preserve">Sentencia C-1190 de 2005. </w:t>
      </w:r>
      <w:r w:rsidRPr="006C2D82">
        <w:rPr>
          <w:rFonts w:ascii="Bookman Old Style" w:eastAsia="Bookman Old Style" w:hAnsi="Bookman Old Style" w:cs="Bookman Old Style"/>
          <w:b/>
          <w:color w:val="000000"/>
          <w:highlight w:val="white"/>
        </w:rPr>
        <w:t>Corte Constitucional.</w:t>
      </w:r>
      <w:r w:rsidRPr="001F4F6E">
        <w:rPr>
          <w:rFonts w:ascii="Bookman Old Style" w:eastAsia="Bookman Old Style" w:hAnsi="Bookman Old Style" w:cs="Bookman Old Style"/>
          <w:color w:val="000000"/>
          <w:highlight w:val="white"/>
        </w:rPr>
        <w:t xml:space="preserve"> Demanda de inconstitucionalidad contra los artículos 15, literal d) y 82 (parcial) de la Ley 916 de 2004, </w:t>
      </w:r>
      <w:r w:rsidR="00285875" w:rsidRPr="001F4F6E">
        <w:rPr>
          <w:rFonts w:ascii="Bookman Old Style" w:eastAsia="Bookman Old Style" w:hAnsi="Bookman Old Style" w:cs="Bookman Old Style"/>
          <w:i/>
          <w:color w:val="000000"/>
          <w:highlight w:val="white"/>
        </w:rPr>
        <w:t>“Por la cual se establece el Reglamento Nacional Taurino”</w:t>
      </w:r>
      <w:r w:rsidRPr="001F4F6E">
        <w:rPr>
          <w:rFonts w:ascii="Bookman Old Style" w:eastAsia="Bookman Old Style" w:hAnsi="Bookman Old Style" w:cs="Bookman Old Style"/>
          <w:color w:val="000000"/>
          <w:highlight w:val="white"/>
        </w:rPr>
        <w:t>. Sentencia que busca acabar con los monopolios en el gremio taurino.</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F87908" w:rsidRPr="001F4F6E" w:rsidRDefault="000F347E"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b/>
          <w:color w:val="000000"/>
          <w:highlight w:val="white"/>
        </w:rPr>
        <w:t>Sentencia C-1192 de 2005</w:t>
      </w:r>
      <w:r w:rsidRPr="001F4F6E">
        <w:rPr>
          <w:rFonts w:ascii="Bookman Old Style" w:eastAsia="Bookman Old Style" w:hAnsi="Bookman Old Style" w:cs="Bookman Old Style"/>
          <w:color w:val="000000"/>
          <w:highlight w:val="white"/>
        </w:rPr>
        <w:t xml:space="preserve">. </w:t>
      </w:r>
      <w:r w:rsidRPr="006C2D82">
        <w:rPr>
          <w:rFonts w:ascii="Bookman Old Style" w:eastAsia="Bookman Old Style" w:hAnsi="Bookman Old Style" w:cs="Bookman Old Style"/>
          <w:b/>
          <w:color w:val="000000"/>
          <w:highlight w:val="white"/>
        </w:rPr>
        <w:t>Corte Constitucional.</w:t>
      </w:r>
      <w:r w:rsidRPr="001F4F6E">
        <w:rPr>
          <w:rFonts w:ascii="Bookman Old Style" w:eastAsia="Bookman Old Style" w:hAnsi="Bookman Old Style" w:cs="Bookman Old Style"/>
          <w:color w:val="000000"/>
          <w:highlight w:val="white"/>
        </w:rPr>
        <w:t xml:space="preserve"> Demanda de inconstitucionalidad contra los artículos 1º, 2º, 22 y 80 parciales de la Ley 916 de 2004 </w:t>
      </w:r>
      <w:r w:rsidR="003826E0" w:rsidRPr="001F4F6E">
        <w:rPr>
          <w:rFonts w:ascii="Bookman Old Style" w:eastAsia="Bookman Old Style" w:hAnsi="Bookman Old Style" w:cs="Bookman Old Style"/>
          <w:i/>
          <w:color w:val="000000"/>
          <w:highlight w:val="white"/>
        </w:rPr>
        <w:t>“Por la cual se establece el Reglamento Nacional Taurino”</w:t>
      </w:r>
      <w:r w:rsidRPr="001F4F6E">
        <w:rPr>
          <w:rFonts w:ascii="Bookman Old Style" w:eastAsia="Bookman Old Style" w:hAnsi="Bookman Old Style" w:cs="Bookman Old Style"/>
          <w:color w:val="000000"/>
          <w:highlight w:val="white"/>
        </w:rPr>
        <w:t xml:space="preserve">. </w:t>
      </w:r>
    </w:p>
    <w:p w:rsidR="00EE0E78" w:rsidRPr="001F4F6E" w:rsidRDefault="00EE0E78">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F87908" w:rsidRPr="001F4F6E" w:rsidRDefault="00F87908" w:rsidP="00C678BE">
      <w:pPr>
        <w:pBdr>
          <w:top w:val="nil"/>
          <w:left w:val="nil"/>
          <w:bottom w:val="nil"/>
          <w:right w:val="nil"/>
          <w:between w:val="nil"/>
        </w:pBdr>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color w:val="000000"/>
          <w:highlight w:val="white"/>
        </w:rPr>
        <w:t xml:space="preserve">En esta oportunidad, el Alto Tribunal Constitucional estudió el reconocimiento que el legislador hizo de las prácticas taurinas como actividades culturales. Al respecto, concluyó que </w:t>
      </w:r>
      <w:r w:rsidR="003826E0" w:rsidRPr="001F4F6E">
        <w:rPr>
          <w:rFonts w:ascii="Bookman Old Style" w:eastAsia="Bookman Old Style" w:hAnsi="Bookman Old Style" w:cs="Bookman Old Style"/>
          <w:i/>
          <w:color w:val="000000"/>
          <w:highlight w:val="white"/>
        </w:rPr>
        <w:t>“Esta calificación satisface el criterio jurídico de razonabilidad, pues como manifestación de la diversidad y pluralismo de la sociedad, la tauromaquia, o en otra palabras, “el arte de lidiar toros”</w:t>
      </w:r>
      <w:hyperlink r:id="rId12" w:anchor="_ftn33" w:history="1">
        <w:r w:rsidR="003826E0" w:rsidRPr="001F4F6E">
          <w:rPr>
            <w:rFonts w:ascii="Bookman Old Style" w:eastAsia="Bookman Old Style" w:hAnsi="Bookman Old Style" w:cs="Bookman Old Style"/>
            <w:i/>
            <w:color w:val="000000"/>
            <w:highlight w:val="white"/>
          </w:rPr>
          <w:t>[33]</w:t>
        </w:r>
      </w:hyperlink>
      <w:r w:rsidR="003826E0" w:rsidRPr="001F4F6E">
        <w:rPr>
          <w:rFonts w:ascii="Bookman Old Style" w:eastAsia="Bookman Old Style" w:hAnsi="Bookman Old Style" w:cs="Bookman Old Style"/>
          <w:i/>
          <w:color w:val="000000"/>
          <w:highlight w:val="white"/>
        </w:rPr>
        <w:t>, ha sido reconocida a lo largo de la historia como una expresión artística y cultural de los pueblos iberoamericanos.</w:t>
      </w:r>
      <w:r w:rsidRPr="001F4F6E">
        <w:rPr>
          <w:rStyle w:val="Refdenotaalpie"/>
          <w:rFonts w:ascii="Bookman Old Style" w:eastAsia="Bookman Old Style" w:hAnsi="Bookman Old Style" w:cs="Bookman Old Style"/>
          <w:i/>
          <w:color w:val="000000"/>
          <w:highlight w:val="white"/>
        </w:rPr>
        <w:footnoteReference w:id="1"/>
      </w:r>
      <w:r w:rsidRPr="001F4F6E">
        <w:rPr>
          <w:rFonts w:ascii="Bookman Old Style" w:eastAsia="Bookman Old Style" w:hAnsi="Bookman Old Style" w:cs="Bookman Old Style"/>
          <w:i/>
          <w:color w:val="000000"/>
          <w:highlight w:val="white"/>
        </w:rPr>
        <w:t>”</w:t>
      </w:r>
    </w:p>
    <w:p w:rsidR="00F87908" w:rsidRPr="001F4F6E" w:rsidRDefault="00F87908" w:rsidP="00C678BE">
      <w:pPr>
        <w:pBdr>
          <w:top w:val="nil"/>
          <w:left w:val="nil"/>
          <w:bottom w:val="nil"/>
          <w:right w:val="nil"/>
          <w:between w:val="nil"/>
        </w:pBdr>
        <w:jc w:val="both"/>
        <w:rPr>
          <w:rFonts w:ascii="Bookman Old Style" w:hAnsi="Bookman Old Style"/>
          <w:color w:val="000000" w:themeColor="text1"/>
        </w:rPr>
      </w:pPr>
    </w:p>
    <w:p w:rsidR="00A34AE4" w:rsidRPr="001F4F6E" w:rsidRDefault="003826E0"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Frente </w:t>
      </w:r>
      <w:r w:rsidR="00F87908" w:rsidRPr="001F4F6E">
        <w:rPr>
          <w:rFonts w:ascii="Bookman Old Style" w:eastAsia="Bookman Old Style" w:hAnsi="Bookman Old Style" w:cs="Bookman Old Style"/>
          <w:color w:val="000000"/>
          <w:highlight w:val="white"/>
        </w:rPr>
        <w:t>al rechazo de estas prácticas por parte de un importante sector social, la Corte manifestó que “</w:t>
      </w:r>
      <w:r w:rsidRPr="001F4F6E">
        <w:rPr>
          <w:rFonts w:ascii="Bookman Old Style" w:eastAsia="Bookman Old Style" w:hAnsi="Bookman Old Style" w:cs="Bookman Old Style"/>
          <w:i/>
          <w:color w:val="000000"/>
          <w:highlight w:val="white"/>
        </w:rPr>
        <w:t>a pesar de que la actividad taurina es reprobada por un sector de la población, y en especial, por las asociaciones defensoras de animales, no puede desconocerse que la misma históricamente ha sido reconocida como una</w:t>
      </w:r>
      <w:r w:rsidRPr="001F4F6E">
        <w:rPr>
          <w:rFonts w:eastAsia="Bookman Old Style" w:cs="Bookman Old Style"/>
          <w:i/>
          <w:color w:val="000000"/>
          <w:highlight w:val="white"/>
        </w:rPr>
        <w:t> </w:t>
      </w:r>
      <w:r w:rsidRPr="001F4F6E">
        <w:rPr>
          <w:rFonts w:ascii="Bookman Old Style" w:eastAsia="Bookman Old Style" w:hAnsi="Bookman Old Style" w:cs="Bookman Old Style"/>
          <w:i/>
          <w:color w:val="000000"/>
          <w:highlight w:val="white"/>
        </w:rPr>
        <w:t>expresión artística</w:t>
      </w:r>
      <w:r w:rsidRPr="001F4F6E">
        <w:rPr>
          <w:rFonts w:eastAsia="Bookman Old Style" w:cs="Bookman Old Style"/>
          <w:i/>
          <w:color w:val="000000"/>
          <w:highlight w:val="white"/>
        </w:rPr>
        <w:t> </w:t>
      </w:r>
      <w:r w:rsidRPr="001F4F6E">
        <w:rPr>
          <w:rFonts w:ascii="Bookman Old Style" w:eastAsia="Bookman Old Style" w:hAnsi="Bookman Old Style" w:cs="Bookman Old Style"/>
          <w:i/>
          <w:color w:val="000000"/>
          <w:highlight w:val="white"/>
        </w:rPr>
        <w:t>que manifiesta la diversidad cultural de un pueblo</w:t>
      </w:r>
      <w:r w:rsidR="00F87908" w:rsidRPr="001F4F6E">
        <w:rPr>
          <w:rFonts w:ascii="Bookman Old Style" w:eastAsia="Bookman Old Style" w:hAnsi="Bookman Old Style" w:cs="Bookman Old Style"/>
          <w:i/>
          <w:color w:val="000000"/>
          <w:highlight w:val="white"/>
        </w:rPr>
        <w:t xml:space="preserve">”. </w:t>
      </w:r>
      <w:r w:rsidR="00F87908" w:rsidRPr="001F4F6E">
        <w:rPr>
          <w:rFonts w:ascii="Bookman Old Style" w:eastAsia="Bookman Old Style" w:hAnsi="Bookman Old Style" w:cs="Bookman Old Style"/>
          <w:color w:val="000000"/>
          <w:highlight w:val="white"/>
        </w:rPr>
        <w:t xml:space="preserve">En ese sentido, declaró exequible el Reglamento Nacional Taurino y, entre otras decisiones, manifestó que la disposición que habilitaba a los menores de 10 años a asistir a corridas de toros en compañía de un adulto se encontraba ajustada a la constitución, en tanto garantizaba derechos como la cultura, la educación y la recreación. </w:t>
      </w:r>
    </w:p>
    <w:p w:rsidR="00A34AE4" w:rsidRPr="001F4F6E" w:rsidRDefault="00A34AE4" w:rsidP="00C678BE">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EE0E78" w:rsidRPr="001F4F6E" w:rsidRDefault="000F347E"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b/>
          <w:color w:val="000000"/>
          <w:highlight w:val="white"/>
        </w:rPr>
        <w:t xml:space="preserve">Sentencia C-367 de 2006. </w:t>
      </w:r>
      <w:r w:rsidRPr="006C2D82">
        <w:rPr>
          <w:rFonts w:ascii="Bookman Old Style" w:eastAsia="Bookman Old Style" w:hAnsi="Bookman Old Style" w:cs="Bookman Old Style"/>
          <w:b/>
          <w:color w:val="000000"/>
          <w:highlight w:val="white"/>
        </w:rPr>
        <w:t>Corte Constitucional.</w:t>
      </w:r>
      <w:r w:rsidRPr="001F4F6E">
        <w:rPr>
          <w:rFonts w:ascii="Bookman Old Style" w:eastAsia="Bookman Old Style" w:hAnsi="Bookman Old Style" w:cs="Bookman Old Style"/>
          <w:color w:val="000000"/>
          <w:highlight w:val="white"/>
        </w:rPr>
        <w:t xml:space="preserve"> Demanda de inconstitucionalidad contra los artículos 1º, parcial; 2º, parcial; 12, parcial; 22, parcial; 26, parcial; 31, parcial y 80, parcial de la </w:t>
      </w:r>
      <w:r w:rsidR="00A91D66" w:rsidRPr="001F4F6E">
        <w:rPr>
          <w:rFonts w:ascii="Bookman Old Style" w:eastAsia="Bookman Old Style" w:hAnsi="Bookman Old Style" w:cs="Bookman Old Style"/>
          <w:color w:val="000000"/>
          <w:highlight w:val="white"/>
        </w:rPr>
        <w:t>L</w:t>
      </w:r>
      <w:r w:rsidRPr="001F4F6E">
        <w:rPr>
          <w:rFonts w:ascii="Bookman Old Style" w:eastAsia="Bookman Old Style" w:hAnsi="Bookman Old Style" w:cs="Bookman Old Style"/>
          <w:color w:val="000000"/>
          <w:highlight w:val="white"/>
        </w:rPr>
        <w:t>ey 916 de 2004</w:t>
      </w:r>
      <w:r w:rsidR="003826E0" w:rsidRPr="001F4F6E">
        <w:rPr>
          <w:rFonts w:ascii="Bookman Old Style" w:eastAsia="Bookman Old Style" w:hAnsi="Bookman Old Style" w:cs="Bookman Old Style"/>
          <w:i/>
          <w:color w:val="000000"/>
          <w:highlight w:val="white"/>
        </w:rPr>
        <w:t>, "Por la cual se establece el reglamento nacional taurino."</w:t>
      </w:r>
      <w:r w:rsidRPr="001F4F6E">
        <w:rPr>
          <w:rFonts w:ascii="Bookman Old Style" w:eastAsia="Bookman Old Style" w:hAnsi="Bookman Old Style" w:cs="Bookman Old Style"/>
          <w:color w:val="000000"/>
          <w:highlight w:val="white"/>
        </w:rPr>
        <w:t xml:space="preserve"> </w:t>
      </w:r>
    </w:p>
    <w:p w:rsidR="00EC1322" w:rsidRPr="001F4F6E" w:rsidRDefault="00EC1322">
      <w:pPr>
        <w:pBdr>
          <w:top w:val="nil"/>
          <w:left w:val="nil"/>
          <w:bottom w:val="nil"/>
          <w:right w:val="nil"/>
          <w:between w:val="nil"/>
        </w:pBdr>
        <w:ind w:left="720"/>
        <w:jc w:val="both"/>
        <w:rPr>
          <w:rFonts w:ascii="Bookman Old Style" w:eastAsia="Bookman Old Style" w:hAnsi="Bookman Old Style" w:cs="Bookman Old Style"/>
          <w:b/>
          <w:color w:val="000000"/>
          <w:highlight w:val="white"/>
        </w:rPr>
      </w:pPr>
    </w:p>
    <w:p w:rsidR="00EC1322" w:rsidRPr="001F4F6E" w:rsidRDefault="00A91D66"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lastRenderedPageBreak/>
        <w:t xml:space="preserve">Principalmente se cuestiona el desarrollo de actividades taurinas por parte de los niños y su participación en estas actividades (en calidad de torerillos o </w:t>
      </w:r>
      <w:r w:rsidR="006B52B1" w:rsidRPr="001F4F6E">
        <w:rPr>
          <w:rFonts w:ascii="Bookman Old Style" w:eastAsia="Bookman Old Style" w:hAnsi="Bookman Old Style" w:cs="Bookman Old Style"/>
          <w:color w:val="000000"/>
          <w:highlight w:val="white"/>
        </w:rPr>
        <w:t>a través de escuelas taurinas</w:t>
      </w:r>
      <w:r w:rsidRPr="001F4F6E">
        <w:rPr>
          <w:rFonts w:ascii="Bookman Old Style" w:eastAsia="Bookman Old Style" w:hAnsi="Bookman Old Style" w:cs="Bookman Old Style"/>
          <w:color w:val="000000"/>
          <w:highlight w:val="white"/>
        </w:rPr>
        <w:t>). Adicionalmente, se solicita la declaratoria de inexequibilidad del Reglamento Taurino, en tanto regula una actividad que no requiere desarrollo profesional y le otorga una connotación de relevancia nacional, desconociendo que se trata de una actividad privada que no es del recibo de la sociedad en general.</w:t>
      </w:r>
    </w:p>
    <w:p w:rsidR="00A91D66" w:rsidRPr="001F4F6E" w:rsidRDefault="00A91D66">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BB27DA" w:rsidRPr="001F4F6E" w:rsidRDefault="00A91D66"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En lo que respecta a las corridas de toros como actividad cultural y a la aplicación de la Ley 916 de 2004 en todo el territorio nacional, la Corte reiter</w:t>
      </w:r>
      <w:r w:rsidR="00BB27DA" w:rsidRPr="001F4F6E">
        <w:rPr>
          <w:rFonts w:ascii="Bookman Old Style" w:eastAsia="Bookman Old Style" w:hAnsi="Bookman Old Style" w:cs="Bookman Old Style"/>
          <w:color w:val="000000"/>
          <w:highlight w:val="white"/>
        </w:rPr>
        <w:t>ó</w:t>
      </w:r>
      <w:r w:rsidRPr="001F4F6E">
        <w:rPr>
          <w:rFonts w:ascii="Bookman Old Style" w:eastAsia="Bookman Old Style" w:hAnsi="Bookman Old Style" w:cs="Bookman Old Style"/>
          <w:color w:val="000000"/>
          <w:highlight w:val="white"/>
        </w:rPr>
        <w:t xml:space="preserve"> lo dispuesto en la sentencia C-1192 de 2005.</w:t>
      </w:r>
      <w:r w:rsidR="00BB27DA" w:rsidRPr="001F4F6E">
        <w:rPr>
          <w:rFonts w:ascii="Bookman Old Style" w:eastAsia="Bookman Old Style" w:hAnsi="Bookman Old Style" w:cs="Bookman Old Style"/>
          <w:color w:val="000000"/>
          <w:highlight w:val="white"/>
        </w:rPr>
        <w:t xml:space="preserve"> </w:t>
      </w:r>
    </w:p>
    <w:p w:rsidR="00BB27DA" w:rsidRPr="001F4F6E" w:rsidRDefault="00BB27DA">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BB27DA" w:rsidRPr="001F4F6E" w:rsidRDefault="00BB27DA"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Frente al cargo relativo a la inconstitucionalidad de la disposición que permite a los niños formar parte de cuadrillas, la Corte declaró una exequibilidad condicionada en tanto no mediara, en ningún caso, explotación económica y los niños fuesen mayores de 14 años.</w:t>
      </w:r>
      <w:r w:rsidR="006B52B1" w:rsidRPr="001F4F6E">
        <w:rPr>
          <w:rFonts w:ascii="Bookman Old Style" w:eastAsia="Bookman Old Style" w:hAnsi="Bookman Old Style" w:cs="Bookman Old Style"/>
          <w:color w:val="000000"/>
          <w:highlight w:val="white"/>
        </w:rPr>
        <w:t xml:space="preserve"> En esta misma línea, el Alto Tribunal determinó que era constitucional la existencia de escuelas taurinas pero que en ningún caso el Estado debía promoverlas.</w:t>
      </w:r>
    </w:p>
    <w:p w:rsidR="00BB27DA" w:rsidRPr="001F4F6E" w:rsidRDefault="00BB27DA">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A34AE4" w:rsidRPr="001F4F6E" w:rsidRDefault="006B52B1"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Finalmente</w:t>
      </w:r>
      <w:r w:rsidR="00BB27DA" w:rsidRPr="001F4F6E">
        <w:rPr>
          <w:rFonts w:ascii="Bookman Old Style" w:eastAsia="Bookman Old Style" w:hAnsi="Bookman Old Style" w:cs="Bookman Old Style"/>
          <w:color w:val="000000"/>
          <w:highlight w:val="white"/>
        </w:rPr>
        <w:t xml:space="preserve">, la Corte declaró inexequible las disposiciones del Reglamento Taurino que </w:t>
      </w:r>
      <w:r w:rsidRPr="001F4F6E">
        <w:rPr>
          <w:rFonts w:ascii="Bookman Old Style" w:eastAsia="Bookman Old Style" w:hAnsi="Bookman Old Style" w:cs="Bookman Old Style"/>
          <w:color w:val="000000"/>
          <w:highlight w:val="white"/>
        </w:rPr>
        <w:t>determinaban que la tauromaquia era una actividad de alto interés nacional</w:t>
      </w:r>
      <w:r w:rsidR="00BB27DA" w:rsidRPr="001F4F6E">
        <w:rPr>
          <w:rFonts w:ascii="Bookman Old Style" w:eastAsia="Bookman Old Style" w:hAnsi="Bookman Old Style" w:cs="Bookman Old Style"/>
          <w:color w:val="000000"/>
          <w:highlight w:val="white"/>
        </w:rPr>
        <w:t xml:space="preserve"> </w:t>
      </w:r>
    </w:p>
    <w:p w:rsidR="00EE0E78" w:rsidRPr="001F4F6E" w:rsidRDefault="00EE0E78">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A34AE4" w:rsidRPr="001F4F6E" w:rsidRDefault="000F347E"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b/>
          <w:color w:val="000000"/>
          <w:highlight w:val="white"/>
        </w:rPr>
        <w:t>Sentencia C-666 de 2010</w:t>
      </w:r>
      <w:r w:rsidRPr="001F4F6E">
        <w:rPr>
          <w:rFonts w:ascii="Bookman Old Style" w:eastAsia="Bookman Old Style" w:hAnsi="Bookman Old Style" w:cs="Bookman Old Style"/>
          <w:color w:val="000000"/>
          <w:highlight w:val="white"/>
        </w:rPr>
        <w:t xml:space="preserve">. </w:t>
      </w:r>
      <w:r w:rsidRPr="006C2D82">
        <w:rPr>
          <w:rFonts w:ascii="Bookman Old Style" w:eastAsia="Bookman Old Style" w:hAnsi="Bookman Old Style" w:cs="Bookman Old Style"/>
          <w:b/>
          <w:color w:val="000000"/>
          <w:highlight w:val="white"/>
        </w:rPr>
        <w:t>Corte Constitucional.</w:t>
      </w:r>
      <w:r w:rsidRPr="001F4F6E">
        <w:rPr>
          <w:rFonts w:ascii="Bookman Old Style" w:eastAsia="Bookman Old Style" w:hAnsi="Bookman Old Style" w:cs="Bookman Old Style"/>
          <w:color w:val="000000"/>
          <w:highlight w:val="white"/>
        </w:rPr>
        <w:t xml:space="preserve"> Demanda de inconstitucionalidad contra el artículo 7º de la ley 84 de 1989</w:t>
      </w:r>
      <w:r w:rsidR="00BD0DE8" w:rsidRPr="001F4F6E">
        <w:rPr>
          <w:rFonts w:ascii="Bookman Old Style" w:eastAsia="Bookman Old Style" w:hAnsi="Bookman Old Style" w:cs="Bookman Old Style"/>
          <w:color w:val="000000"/>
          <w:highlight w:val="white"/>
        </w:rPr>
        <w:t xml:space="preserve"> que exceptúa de las actividades que constituyen actos crueles en contra de los animales </w:t>
      </w:r>
      <w:r w:rsidR="003826E0" w:rsidRPr="001F4F6E">
        <w:rPr>
          <w:rFonts w:ascii="Bookman Old Style" w:eastAsia="Bookman Old Style" w:hAnsi="Bookman Old Style" w:cs="Bookman Old Style"/>
          <w:color w:val="000000"/>
          <w:highlight w:val="white"/>
        </w:rPr>
        <w:t xml:space="preserve">el rejoneo, coleo, las corridas de toros, </w:t>
      </w:r>
      <w:r w:rsidR="00BD0DE8" w:rsidRPr="001F4F6E">
        <w:rPr>
          <w:rFonts w:ascii="Bookman Old Style" w:eastAsia="Bookman Old Style" w:hAnsi="Bookman Old Style" w:cs="Bookman Old Style"/>
          <w:color w:val="000000"/>
          <w:highlight w:val="white"/>
        </w:rPr>
        <w:t xml:space="preserve">las </w:t>
      </w:r>
      <w:r w:rsidR="003826E0" w:rsidRPr="001F4F6E">
        <w:rPr>
          <w:rFonts w:ascii="Bookman Old Style" w:eastAsia="Bookman Old Style" w:hAnsi="Bookman Old Style" w:cs="Bookman Old Style"/>
          <w:color w:val="000000"/>
          <w:highlight w:val="white"/>
        </w:rPr>
        <w:t xml:space="preserve">novilladas, </w:t>
      </w:r>
      <w:r w:rsidR="00BD0DE8" w:rsidRPr="001F4F6E">
        <w:rPr>
          <w:rFonts w:ascii="Bookman Old Style" w:eastAsia="Bookman Old Style" w:hAnsi="Bookman Old Style" w:cs="Bookman Old Style"/>
          <w:color w:val="000000"/>
          <w:highlight w:val="white"/>
        </w:rPr>
        <w:t xml:space="preserve">las </w:t>
      </w:r>
      <w:r w:rsidR="003826E0" w:rsidRPr="001F4F6E">
        <w:rPr>
          <w:rFonts w:ascii="Bookman Old Style" w:eastAsia="Bookman Old Style" w:hAnsi="Bookman Old Style" w:cs="Bookman Old Style"/>
          <w:color w:val="000000"/>
          <w:highlight w:val="white"/>
        </w:rPr>
        <w:t xml:space="preserve">corralejas, </w:t>
      </w:r>
      <w:r w:rsidR="00BD0DE8" w:rsidRPr="001F4F6E">
        <w:rPr>
          <w:rFonts w:ascii="Bookman Old Style" w:eastAsia="Bookman Old Style" w:hAnsi="Bookman Old Style" w:cs="Bookman Old Style"/>
          <w:color w:val="000000"/>
          <w:highlight w:val="white"/>
        </w:rPr>
        <w:t xml:space="preserve">las </w:t>
      </w:r>
      <w:r w:rsidR="003826E0" w:rsidRPr="001F4F6E">
        <w:rPr>
          <w:rFonts w:ascii="Bookman Old Style" w:eastAsia="Bookman Old Style" w:hAnsi="Bookman Old Style" w:cs="Bookman Old Style"/>
          <w:color w:val="000000"/>
          <w:highlight w:val="white"/>
        </w:rPr>
        <w:t>becerradas y</w:t>
      </w:r>
      <w:r w:rsidR="00BD0DE8" w:rsidRPr="001F4F6E">
        <w:rPr>
          <w:rFonts w:ascii="Bookman Old Style" w:eastAsia="Bookman Old Style" w:hAnsi="Bookman Old Style" w:cs="Bookman Old Style"/>
          <w:color w:val="000000"/>
          <w:highlight w:val="white"/>
        </w:rPr>
        <w:t xml:space="preserve"> las</w:t>
      </w:r>
      <w:r w:rsidR="003826E0" w:rsidRPr="001F4F6E">
        <w:rPr>
          <w:rFonts w:ascii="Bookman Old Style" w:eastAsia="Bookman Old Style" w:hAnsi="Bookman Old Style" w:cs="Bookman Old Style"/>
          <w:color w:val="000000"/>
          <w:highlight w:val="white"/>
        </w:rPr>
        <w:t xml:space="preserve"> tientas, así como las riñas de gallos y los procedimientos utilizados en estos espectáculos</w:t>
      </w:r>
      <w:r w:rsidR="00BD0DE8" w:rsidRPr="001F4F6E">
        <w:rPr>
          <w:rFonts w:ascii="Bookman Old Style" w:eastAsia="Bookman Old Style" w:hAnsi="Bookman Old Style" w:cs="Bookman Old Style"/>
          <w:color w:val="000000"/>
          <w:highlight w:val="white"/>
        </w:rPr>
        <w:t>.</w:t>
      </w:r>
    </w:p>
    <w:p w:rsidR="003271AF" w:rsidRPr="001F4F6E" w:rsidRDefault="003271AF">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101E8F" w:rsidRPr="001F4F6E" w:rsidRDefault="00BD0DE8"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Esta sentencia tiene una especial relevancia en materia de protección y bienestar animal, en tanto fija las bases del cambio jurisprudencial que, hasta la fecha, había hecho prevalecer el desarrollo</w:t>
      </w:r>
      <w:r w:rsidR="00101E8F" w:rsidRPr="001F4F6E">
        <w:rPr>
          <w:rFonts w:ascii="Bookman Old Style" w:eastAsia="Bookman Old Style" w:hAnsi="Bookman Old Style" w:cs="Bookman Old Style"/>
          <w:color w:val="000000"/>
          <w:highlight w:val="white"/>
        </w:rPr>
        <w:t xml:space="preserve"> de las actividades culturales sobre la eliminación de las formas de maltrato y violencia contra los animales.</w:t>
      </w:r>
    </w:p>
    <w:p w:rsidR="00101E8F" w:rsidRPr="001F4F6E" w:rsidRDefault="00101E8F">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000A2F" w:rsidRPr="001F4F6E" w:rsidRDefault="00101E8F"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Si bien en aquella oportunidad se declaró exequible</w:t>
      </w:r>
      <w:r w:rsidR="000F347E" w:rsidRPr="001F4F6E">
        <w:rPr>
          <w:rFonts w:ascii="Bookman Old Style" w:eastAsia="Bookman Old Style" w:hAnsi="Bookman Old Style" w:cs="Bookman Old Style"/>
          <w:color w:val="000000"/>
          <w:highlight w:val="white"/>
        </w:rPr>
        <w:t xml:space="preserve"> el artículo 7° de la Ley 84 de 1989, </w:t>
      </w:r>
      <w:r w:rsidRPr="001F4F6E">
        <w:rPr>
          <w:rFonts w:ascii="Bookman Old Style" w:eastAsia="Bookman Old Style" w:hAnsi="Bookman Old Style" w:cs="Bookman Old Style"/>
          <w:color w:val="000000"/>
          <w:highlight w:val="white"/>
        </w:rPr>
        <w:t xml:space="preserve">dicha exequibilidad fue condicionada en tanto </w:t>
      </w:r>
      <w:r w:rsidR="00000A2F" w:rsidRPr="001F4F6E">
        <w:rPr>
          <w:rFonts w:ascii="Bookman Old Style" w:eastAsia="Bookman Old Style" w:hAnsi="Bookman Old Style" w:cs="Bookman Old Style"/>
          <w:color w:val="000000"/>
          <w:highlight w:val="white"/>
        </w:rPr>
        <w:t xml:space="preserve">únicamente se </w:t>
      </w:r>
      <w:r w:rsidR="003271AF" w:rsidRPr="001F4F6E">
        <w:rPr>
          <w:rFonts w:ascii="Bookman Old Style" w:eastAsia="Bookman Old Style" w:hAnsi="Bookman Old Style" w:cs="Bookman Old Style"/>
          <w:color w:val="000000"/>
          <w:highlight w:val="white"/>
        </w:rPr>
        <w:t>permitió</w:t>
      </w:r>
      <w:r w:rsidR="00000A2F" w:rsidRPr="001F4F6E">
        <w:rPr>
          <w:rFonts w:ascii="Bookman Old Style" w:eastAsia="Bookman Old Style" w:hAnsi="Bookman Old Style" w:cs="Bookman Old Style"/>
          <w:color w:val="000000"/>
          <w:highlight w:val="white"/>
        </w:rPr>
        <w:t xml:space="preserve"> la realización de </w:t>
      </w:r>
      <w:r w:rsidR="003826E0" w:rsidRPr="001F4F6E">
        <w:rPr>
          <w:rFonts w:ascii="Bookman Old Style" w:eastAsia="Bookman Old Style" w:hAnsi="Bookman Old Style" w:cs="Bookman Old Style"/>
          <w:color w:val="000000"/>
          <w:highlight w:val="white"/>
        </w:rPr>
        <w:t xml:space="preserve">rejoneo, coleo, corridas de toros, novilladas, </w:t>
      </w:r>
      <w:r w:rsidR="003826E0" w:rsidRPr="001F4F6E">
        <w:rPr>
          <w:rFonts w:ascii="Bookman Old Style" w:eastAsia="Bookman Old Style" w:hAnsi="Bookman Old Style" w:cs="Bookman Old Style"/>
          <w:color w:val="000000"/>
          <w:highlight w:val="white"/>
        </w:rPr>
        <w:lastRenderedPageBreak/>
        <w:t>corralejas, becerradas</w:t>
      </w:r>
      <w:r w:rsidR="00000A2F" w:rsidRPr="001F4F6E">
        <w:rPr>
          <w:rFonts w:ascii="Bookman Old Style" w:eastAsia="Bookman Old Style" w:hAnsi="Bookman Old Style" w:cs="Bookman Old Style"/>
          <w:color w:val="000000"/>
          <w:highlight w:val="white"/>
        </w:rPr>
        <w:t>,</w:t>
      </w:r>
      <w:r w:rsidR="003826E0" w:rsidRPr="001F4F6E">
        <w:rPr>
          <w:rFonts w:ascii="Bookman Old Style" w:eastAsia="Bookman Old Style" w:hAnsi="Bookman Old Style" w:cs="Bookman Old Style"/>
          <w:color w:val="000000"/>
          <w:highlight w:val="white"/>
        </w:rPr>
        <w:t xml:space="preserve"> tientas</w:t>
      </w:r>
      <w:r w:rsidR="00000A2F" w:rsidRPr="001F4F6E">
        <w:rPr>
          <w:rFonts w:ascii="Bookman Old Style" w:eastAsia="Bookman Old Style" w:hAnsi="Bookman Old Style" w:cs="Bookman Old Style"/>
          <w:color w:val="000000"/>
          <w:highlight w:val="white"/>
        </w:rPr>
        <w:t xml:space="preserve"> y</w:t>
      </w:r>
      <w:r w:rsidR="003826E0" w:rsidRPr="001F4F6E">
        <w:rPr>
          <w:rFonts w:ascii="Bookman Old Style" w:eastAsia="Bookman Old Style" w:hAnsi="Bookman Old Style" w:cs="Bookman Old Style"/>
          <w:color w:val="000000"/>
          <w:highlight w:val="white"/>
        </w:rPr>
        <w:t xml:space="preserve"> </w:t>
      </w:r>
      <w:r w:rsidR="003271AF" w:rsidRPr="001F4F6E">
        <w:rPr>
          <w:rFonts w:ascii="Bookman Old Style" w:eastAsia="Bookman Old Style" w:hAnsi="Bookman Old Style" w:cs="Bookman Old Style"/>
          <w:color w:val="000000"/>
          <w:highlight w:val="white"/>
        </w:rPr>
        <w:t>riñas</w:t>
      </w:r>
      <w:r w:rsidR="003826E0" w:rsidRPr="001F4F6E">
        <w:rPr>
          <w:rFonts w:ascii="Bookman Old Style" w:eastAsia="Bookman Old Style" w:hAnsi="Bookman Old Style" w:cs="Bookman Old Style"/>
          <w:color w:val="000000"/>
          <w:highlight w:val="white"/>
        </w:rPr>
        <w:t xml:space="preserve"> de gallos</w:t>
      </w:r>
      <w:r w:rsidR="00000A2F" w:rsidRPr="001F4F6E">
        <w:rPr>
          <w:rFonts w:ascii="Bookman Old Style" w:eastAsia="Bookman Old Style" w:hAnsi="Bookman Old Style" w:cs="Bookman Old Style"/>
          <w:color w:val="000000"/>
          <w:highlight w:val="white"/>
        </w:rPr>
        <w:t>, bajo las siguientes condiciones:</w:t>
      </w:r>
    </w:p>
    <w:p w:rsidR="00000A2F" w:rsidRPr="001F4F6E" w:rsidRDefault="00000A2F">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000A2F" w:rsidRPr="001F4F6E" w:rsidRDefault="003826E0" w:rsidP="001F4F6E">
      <w:pPr>
        <w:pStyle w:val="Prrafodelista"/>
        <w:numPr>
          <w:ilvl w:val="0"/>
          <w:numId w:val="9"/>
        </w:numPr>
        <w:ind w:left="872" w:right="900" w:hanging="22"/>
        <w:jc w:val="both"/>
        <w:rPr>
          <w:rFonts w:ascii="Bookman Old Style" w:hAnsi="Bookman Old Style"/>
          <w:i/>
          <w:color w:val="000000" w:themeColor="text1"/>
        </w:rPr>
      </w:pPr>
      <w:r w:rsidRPr="001F4F6E">
        <w:rPr>
          <w:rFonts w:ascii="Bookman Old Style" w:hAnsi="Bookman Old Style"/>
          <w:i/>
          <w:color w:val="000000" w:themeColor="text1"/>
        </w:rPr>
        <w:t xml:space="preserve">Las manifestaciones culturales en las cuales se permite excepcionalmente el maltrato animal deben ser reguladas de manera tal que se garantice en la mayor medida posible el deber de protección animal. </w:t>
      </w:r>
      <w:r w:rsidRPr="001F4F6E">
        <w:rPr>
          <w:rFonts w:ascii="Bookman Old Style" w:hAnsi="Bookman Old Style"/>
          <w:b/>
          <w:i/>
          <w:color w:val="000000" w:themeColor="text1"/>
        </w:rPr>
        <w:t>Existe el deber estatal de expedir normas de rango legal e infralegal que subsanen el déficit normativo actualmente existente</w:t>
      </w:r>
      <w:r w:rsidRPr="001F4F6E">
        <w:rPr>
          <w:rFonts w:ascii="Bookman Old Style" w:hAnsi="Bookman Old Style"/>
          <w:i/>
          <w:color w:val="000000" w:themeColor="text1"/>
        </w:rPr>
        <w:t xml:space="preserve"> de manera que cobije no sólo las manifestaciones culturales aludidas por el artículo 7 de la Ley 84 de 1989 sino el conjunto de actividades conexas con las mismas, tales como la crianza, el adiestramiento y el transporte de los animales.</w:t>
      </w:r>
    </w:p>
    <w:p w:rsidR="003271AF" w:rsidRPr="001F4F6E" w:rsidRDefault="003271AF" w:rsidP="00C678BE">
      <w:pPr>
        <w:pStyle w:val="Prrafodelista"/>
        <w:ind w:left="851" w:right="900" w:hanging="22"/>
        <w:jc w:val="both"/>
        <w:rPr>
          <w:rFonts w:ascii="Bookman Old Style" w:hAnsi="Bookman Old Style"/>
          <w:i/>
          <w:color w:val="000000" w:themeColor="text1"/>
        </w:rPr>
      </w:pPr>
    </w:p>
    <w:p w:rsidR="00000A2F" w:rsidRPr="001F4F6E" w:rsidRDefault="003826E0" w:rsidP="001F4F6E">
      <w:pPr>
        <w:pStyle w:val="Prrafodelista"/>
        <w:numPr>
          <w:ilvl w:val="0"/>
          <w:numId w:val="9"/>
        </w:numPr>
        <w:ind w:left="872" w:right="900" w:hanging="22"/>
        <w:jc w:val="both"/>
        <w:rPr>
          <w:rFonts w:ascii="Bookman Old Style" w:eastAsia="Bookman Old Style" w:hAnsi="Bookman Old Style" w:cs="Bookman Old Style"/>
          <w:i/>
          <w:color w:val="000000"/>
          <w:highlight w:val="white"/>
        </w:rPr>
      </w:pPr>
      <w:r w:rsidRPr="001F4F6E">
        <w:rPr>
          <w:rFonts w:ascii="Bookman Old Style" w:hAnsi="Bookman Old Style"/>
          <w:i/>
          <w:color w:val="000000" w:themeColor="text1"/>
        </w:rPr>
        <w:t>No podría entenderse que las actividades exceptuadas puedan realizarse en cualquier parte del territorio nacional, sino sólo en aquellas en las que implique una manifestación ininterrumpida de tradición de dicha población.</w:t>
      </w:r>
    </w:p>
    <w:p w:rsidR="003271AF" w:rsidRPr="001F4F6E" w:rsidRDefault="003271AF" w:rsidP="00C678BE">
      <w:pPr>
        <w:pBdr>
          <w:top w:val="nil"/>
          <w:left w:val="nil"/>
          <w:bottom w:val="nil"/>
          <w:right w:val="nil"/>
          <w:between w:val="nil"/>
        </w:pBdr>
        <w:ind w:left="851" w:right="900" w:hanging="22"/>
        <w:jc w:val="both"/>
        <w:rPr>
          <w:rFonts w:ascii="Bookman Old Style" w:eastAsia="Bookman Old Style" w:hAnsi="Bookman Old Style" w:cs="Bookman Old Style"/>
          <w:i/>
          <w:color w:val="000000"/>
          <w:highlight w:val="white"/>
        </w:rPr>
      </w:pPr>
    </w:p>
    <w:p w:rsidR="00000A2F" w:rsidRPr="001F4F6E" w:rsidRDefault="003826E0" w:rsidP="001F4F6E">
      <w:pPr>
        <w:pStyle w:val="Prrafodelista"/>
        <w:numPr>
          <w:ilvl w:val="0"/>
          <w:numId w:val="9"/>
        </w:numPr>
        <w:ind w:left="872" w:right="900" w:hanging="22"/>
        <w:jc w:val="both"/>
        <w:rPr>
          <w:rFonts w:ascii="Bookman Old Style" w:hAnsi="Bookman Old Style"/>
          <w:i/>
          <w:color w:val="000000" w:themeColor="text1"/>
        </w:rPr>
      </w:pPr>
      <w:r w:rsidRPr="001F4F6E">
        <w:rPr>
          <w:rFonts w:ascii="Bookman Old Style" w:hAnsi="Bookman Old Style"/>
          <w:i/>
          <w:color w:val="000000" w:themeColor="text1"/>
        </w:rPr>
        <w:t>La realización de dichas actividades deberá estar limitada a las precisas ocasiones en que usualmente éstas se han llevado a cabo, no pudiendo extenderse a otros momentos del año o lugares distintos a aquellos en los que resulta</w:t>
      </w:r>
      <w:r w:rsidRPr="001F4F6E">
        <w:rPr>
          <w:rStyle w:val="apple-converted-space"/>
          <w:rFonts w:ascii="Bookman Old Style" w:hAnsi="Bookman Old Style"/>
          <w:i/>
          <w:color w:val="000000" w:themeColor="text1"/>
        </w:rPr>
        <w:t> </w:t>
      </w:r>
      <w:r w:rsidRPr="001F4F6E">
        <w:rPr>
          <w:rFonts w:ascii="Bookman Old Style" w:hAnsi="Bookman Old Style"/>
          <w:i/>
          <w:iCs/>
          <w:color w:val="000000" w:themeColor="text1"/>
        </w:rPr>
        <w:t>tradicional</w:t>
      </w:r>
      <w:r w:rsidRPr="001F4F6E">
        <w:rPr>
          <w:rStyle w:val="apple-converted-space"/>
          <w:rFonts w:ascii="Bookman Old Style" w:hAnsi="Bookman Old Style"/>
          <w:i/>
          <w:iCs/>
          <w:color w:val="000000" w:themeColor="text1"/>
        </w:rPr>
        <w:t> </w:t>
      </w:r>
      <w:r w:rsidRPr="001F4F6E">
        <w:rPr>
          <w:rFonts w:ascii="Bookman Old Style" w:hAnsi="Bookman Old Style"/>
          <w:i/>
          <w:color w:val="000000" w:themeColor="text1"/>
        </w:rPr>
        <w:t>su realización.</w:t>
      </w:r>
    </w:p>
    <w:p w:rsidR="003271AF" w:rsidRPr="001F4F6E" w:rsidRDefault="003271AF" w:rsidP="00C678BE">
      <w:pPr>
        <w:ind w:left="851" w:right="900" w:hanging="22"/>
        <w:jc w:val="both"/>
        <w:rPr>
          <w:rFonts w:ascii="Bookman Old Style" w:hAnsi="Bookman Old Style"/>
          <w:i/>
          <w:color w:val="000000" w:themeColor="text1"/>
        </w:rPr>
      </w:pPr>
    </w:p>
    <w:p w:rsidR="00000A2F" w:rsidRPr="001F4F6E" w:rsidRDefault="003826E0" w:rsidP="001F4F6E">
      <w:pPr>
        <w:pStyle w:val="Prrafodelista"/>
        <w:numPr>
          <w:ilvl w:val="0"/>
          <w:numId w:val="9"/>
        </w:numPr>
        <w:ind w:left="872" w:right="900" w:hanging="22"/>
        <w:jc w:val="both"/>
        <w:rPr>
          <w:rFonts w:ascii="Bookman Old Style" w:eastAsia="Bookman Old Style" w:hAnsi="Bookman Old Style" w:cs="Bookman Old Style"/>
          <w:i/>
          <w:color w:val="000000"/>
          <w:highlight w:val="white"/>
        </w:rPr>
      </w:pPr>
      <w:r w:rsidRPr="001F4F6E">
        <w:rPr>
          <w:rFonts w:ascii="Bookman Old Style" w:hAnsi="Bookman Old Style"/>
          <w:i/>
          <w:color w:val="000000" w:themeColor="text1"/>
        </w:rPr>
        <w:t>Las manifestaciones culturales en las cuales está permitido el maltrato animal son aquellas mencionadas por el artículo 7 de la Ley 84 de 1989, no se entienden incluidas dentro de la excepción al deber de protección animal otras expresiones que no hayan sido contempladas en la disposición acusada.</w:t>
      </w:r>
    </w:p>
    <w:p w:rsidR="003271AF" w:rsidRPr="001F4F6E" w:rsidRDefault="003271AF" w:rsidP="00C678BE">
      <w:pPr>
        <w:pBdr>
          <w:top w:val="nil"/>
          <w:left w:val="nil"/>
          <w:bottom w:val="nil"/>
          <w:right w:val="nil"/>
          <w:between w:val="nil"/>
        </w:pBdr>
        <w:ind w:left="851" w:right="900" w:hanging="22"/>
        <w:jc w:val="both"/>
        <w:rPr>
          <w:rFonts w:ascii="Bookman Old Style" w:eastAsia="Bookman Old Style" w:hAnsi="Bookman Old Style" w:cs="Bookman Old Style"/>
          <w:i/>
          <w:color w:val="000000"/>
          <w:highlight w:val="white"/>
        </w:rPr>
      </w:pPr>
    </w:p>
    <w:p w:rsidR="00000A2F" w:rsidRPr="001F4F6E" w:rsidRDefault="003826E0" w:rsidP="001F4F6E">
      <w:pPr>
        <w:pStyle w:val="Prrafodelista"/>
        <w:numPr>
          <w:ilvl w:val="0"/>
          <w:numId w:val="9"/>
        </w:numPr>
        <w:ind w:left="872" w:right="900" w:hanging="22"/>
        <w:jc w:val="both"/>
        <w:rPr>
          <w:rFonts w:ascii="Bookman Old Style" w:hAnsi="Bookman Old Style"/>
          <w:i/>
          <w:color w:val="000000" w:themeColor="text1"/>
        </w:rPr>
      </w:pPr>
      <w:r w:rsidRPr="001F4F6E">
        <w:rPr>
          <w:rFonts w:ascii="Bookman Old Style" w:hAnsi="Bookman Old Style"/>
          <w:i/>
          <w:color w:val="000000" w:themeColor="text1"/>
        </w:rPr>
        <w:t>Las autoridades municipales en ningún caso podrán destinar dinero público a la construcción de instalaciones para la realización exclusiva de estas actividades.</w:t>
      </w:r>
    </w:p>
    <w:p w:rsidR="00A34AE4" w:rsidRPr="001F4F6E" w:rsidRDefault="00A34AE4" w:rsidP="00C678BE">
      <w:pPr>
        <w:pStyle w:val="Prrafodelista"/>
        <w:pBdr>
          <w:top w:val="nil"/>
          <w:left w:val="nil"/>
          <w:bottom w:val="nil"/>
          <w:right w:val="nil"/>
          <w:between w:val="nil"/>
        </w:pBdr>
        <w:ind w:left="1440"/>
        <w:jc w:val="both"/>
        <w:rPr>
          <w:rFonts w:ascii="Bookman Old Style" w:eastAsia="Bookman Old Style" w:hAnsi="Bookman Old Style" w:cs="Bookman Old Style"/>
          <w:color w:val="000000"/>
          <w:highlight w:val="white"/>
        </w:rPr>
      </w:pPr>
    </w:p>
    <w:p w:rsidR="00000A2F" w:rsidRPr="001F4F6E" w:rsidRDefault="00000A2F"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Pero, además de la imposición de estos requisitos, la Sentencia C-666 </w:t>
      </w:r>
      <w:r w:rsidR="004E2233" w:rsidRPr="001F4F6E">
        <w:rPr>
          <w:rFonts w:ascii="Bookman Old Style" w:eastAsia="Bookman Old Style" w:hAnsi="Bookman Old Style" w:cs="Bookman Old Style"/>
          <w:color w:val="000000"/>
          <w:highlight w:val="white"/>
        </w:rPr>
        <w:t>de 2010</w:t>
      </w:r>
      <w:r w:rsidR="00E74BD6" w:rsidRPr="001F4F6E">
        <w:rPr>
          <w:rFonts w:ascii="Bookman Old Style" w:eastAsia="Bookman Old Style" w:hAnsi="Bookman Old Style" w:cs="Bookman Old Style"/>
          <w:color w:val="000000"/>
          <w:highlight w:val="white"/>
        </w:rPr>
        <w:t xml:space="preserve"> desarrolló el principio de protección animal y determinó que</w:t>
      </w:r>
      <w:r w:rsidR="00B85B11" w:rsidRPr="001F4F6E">
        <w:rPr>
          <w:rFonts w:ascii="Bookman Old Style" w:eastAsia="Bookman Old Style" w:hAnsi="Bookman Old Style" w:cs="Bookman Old Style"/>
          <w:color w:val="000000"/>
          <w:highlight w:val="white"/>
        </w:rPr>
        <w:t xml:space="preserve"> </w:t>
      </w:r>
      <w:r w:rsidR="00E74BD6" w:rsidRPr="001F4F6E">
        <w:rPr>
          <w:rFonts w:ascii="Bookman Old Style" w:eastAsia="Bookman Old Style" w:hAnsi="Bookman Old Style" w:cs="Bookman Old Style"/>
          <w:color w:val="000000"/>
          <w:highlight w:val="white"/>
        </w:rPr>
        <w:t>se encontraba directamente ligado con el concepto de dignidad humana.</w:t>
      </w:r>
    </w:p>
    <w:p w:rsidR="00B85B11" w:rsidRPr="001F4F6E" w:rsidRDefault="00B85B11">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B85B11" w:rsidRPr="001F4F6E" w:rsidRDefault="00B85B11"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Teniendo en cuenta la relevancia de esta decisión, no solo para </w:t>
      </w:r>
      <w:r w:rsidR="00A53955" w:rsidRPr="001F4F6E">
        <w:rPr>
          <w:rFonts w:ascii="Bookman Old Style" w:eastAsia="Bookman Old Style" w:hAnsi="Bookman Old Style" w:cs="Bookman Old Style"/>
          <w:color w:val="000000"/>
          <w:highlight w:val="white"/>
        </w:rPr>
        <w:t>el proyecto que nos ocupa, sino para la línea jurisprudencial sobre los animales, a continuación, se resaltarán algunos de los apartes más relevantes.</w:t>
      </w:r>
    </w:p>
    <w:p w:rsidR="00A53955" w:rsidRPr="001F4F6E" w:rsidRDefault="00A53955"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p>
    <w:p w:rsidR="00A53955" w:rsidRPr="001F4F6E" w:rsidRDefault="00A53955"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En primer lugar, </w:t>
      </w:r>
      <w:r w:rsidR="005E110D" w:rsidRPr="001F4F6E">
        <w:rPr>
          <w:rFonts w:ascii="Bookman Old Style" w:eastAsia="Bookman Old Style" w:hAnsi="Bookman Old Style" w:cs="Bookman Old Style"/>
          <w:color w:val="000000"/>
          <w:highlight w:val="white"/>
        </w:rPr>
        <w:t>en lo que respecta al a inclusión de los animales dentro del concepto de ambiente y, en consecuencia, de los mandatos constitucionales frente a la protección del mismo, el Alto Tribunal resaltó lo siguiente:</w:t>
      </w:r>
    </w:p>
    <w:p w:rsidR="005E110D" w:rsidRPr="001F4F6E" w:rsidRDefault="005E110D">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5E110D" w:rsidRPr="001F4F6E" w:rsidRDefault="005E110D" w:rsidP="00C678BE">
      <w:pPr>
        <w:pBdr>
          <w:top w:val="nil"/>
          <w:left w:val="nil"/>
          <w:bottom w:val="nil"/>
          <w:right w:val="nil"/>
          <w:between w:val="nil"/>
        </w:pBdr>
        <w:ind w:left="851" w:right="900"/>
        <w:jc w:val="both"/>
        <w:rPr>
          <w:rFonts w:ascii="Bookman Old Style" w:hAnsi="Bookman Old Style"/>
          <w:i/>
          <w:color w:val="000000" w:themeColor="text1"/>
        </w:rPr>
      </w:pPr>
      <w:r w:rsidRPr="001F4F6E">
        <w:rPr>
          <w:rFonts w:ascii="Bookman Old Style" w:hAnsi="Bookman Old Style"/>
          <w:i/>
          <w:color w:val="000000" w:themeColor="text1"/>
        </w:rPr>
        <w:t>“</w:t>
      </w:r>
      <w:r w:rsidR="003826E0" w:rsidRPr="001F4F6E">
        <w:rPr>
          <w:rFonts w:ascii="Bookman Old Style" w:hAnsi="Bookman Old Style"/>
          <w:i/>
          <w:color w:val="000000" w:themeColor="text1"/>
        </w:rPr>
        <w:t>La inclusión de los animales dentro del concepto de ambiente se hace con base en el papel que estos juegan en el desarrollo de la vida humana. Acentúa la Corte que esta consideración supera el enfoque eminentemente utilitarista –que los considera en cuanto recurso utilizable por los seres humanos-, y se inserta en la visión de los animales como otros seres vivos que comparten el contexto en que se desarrolla la vida humana, siendo determinantes en el concepto de naturaleza y, por consiguiente, convirtiéndose en destinatarios de la visión empática de los seres humanos por el contexto –o ambiente- en el que desarrolla su existencia</w:t>
      </w:r>
    </w:p>
    <w:p w:rsidR="005E110D" w:rsidRPr="001F4F6E" w:rsidRDefault="005E110D" w:rsidP="00C678BE">
      <w:pPr>
        <w:pBdr>
          <w:top w:val="nil"/>
          <w:left w:val="nil"/>
          <w:bottom w:val="nil"/>
          <w:right w:val="nil"/>
          <w:between w:val="nil"/>
        </w:pBdr>
        <w:ind w:left="851" w:right="900"/>
        <w:jc w:val="both"/>
        <w:rPr>
          <w:rFonts w:ascii="Bookman Old Style" w:hAnsi="Bookman Old Style"/>
          <w:i/>
          <w:color w:val="000000" w:themeColor="text1"/>
        </w:rPr>
      </w:pPr>
    </w:p>
    <w:p w:rsidR="005E110D" w:rsidRPr="001F4F6E" w:rsidRDefault="005E110D" w:rsidP="00C678BE">
      <w:pPr>
        <w:pBdr>
          <w:top w:val="nil"/>
          <w:left w:val="nil"/>
          <w:bottom w:val="nil"/>
          <w:right w:val="nil"/>
          <w:between w:val="nil"/>
        </w:pBdr>
        <w:ind w:left="851" w:right="900"/>
        <w:jc w:val="both"/>
        <w:rPr>
          <w:rFonts w:ascii="Bookman Old Style" w:hAnsi="Bookman Old Style"/>
          <w:i/>
          <w:color w:val="000000" w:themeColor="text1"/>
        </w:rPr>
      </w:pPr>
      <w:r w:rsidRPr="001F4F6E">
        <w:rPr>
          <w:rFonts w:ascii="Bookman Old Style" w:hAnsi="Bookman Old Style"/>
          <w:i/>
          <w:color w:val="000000" w:themeColor="text1"/>
        </w:rPr>
        <w:t xml:space="preserve">(…) </w:t>
      </w:r>
      <w:r w:rsidR="003826E0" w:rsidRPr="001F4F6E">
        <w:rPr>
          <w:rFonts w:ascii="Bookman Old Style" w:hAnsi="Bookman Old Style"/>
          <w:i/>
          <w:color w:val="000000" w:themeColor="text1"/>
        </w:rPr>
        <w:t>En relación con su protección, la manifestación concreta de esta posición se hace a partir de dos perspectivas: la de fauna protegida en virtud del mantenimiento de la biodiversidad y el equilibrio natural de las especies; y la de fauna a la cual se debe proteger del padecimiento, maltrato y crueldad sin justificación legítima, protección esta última que refleja un contenido de moral política y conciencia de la responsabilidad que deben tener los seres humanos respecto de los otros seres sintientes.</w:t>
      </w:r>
      <w:r w:rsidRPr="001F4F6E">
        <w:rPr>
          <w:rStyle w:val="Refdenotaalpie"/>
          <w:rFonts w:ascii="Bookman Old Style" w:hAnsi="Bookman Old Style"/>
          <w:i/>
          <w:color w:val="000000" w:themeColor="text1"/>
        </w:rPr>
        <w:footnoteReference w:id="2"/>
      </w:r>
      <w:r w:rsidR="003826E0" w:rsidRPr="001F4F6E">
        <w:rPr>
          <w:rFonts w:ascii="Bookman Old Style" w:hAnsi="Bookman Old Style"/>
          <w:i/>
          <w:color w:val="000000" w:themeColor="text1"/>
        </w:rPr>
        <w:t>.</w:t>
      </w:r>
      <w:r w:rsidRPr="001F4F6E">
        <w:rPr>
          <w:rFonts w:ascii="Bookman Old Style" w:hAnsi="Bookman Old Style"/>
          <w:i/>
          <w:color w:val="000000" w:themeColor="text1"/>
        </w:rPr>
        <w:t>”</w:t>
      </w:r>
    </w:p>
    <w:p w:rsidR="00A34AE4" w:rsidRPr="001F4F6E" w:rsidRDefault="00A34AE4" w:rsidP="00C678BE">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821B60" w:rsidRPr="001F4F6E" w:rsidRDefault="005E110D"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En esta misma línea, la Corte sentó las primeras bases para dejar de lado la concepción utilitarista de los animales, para reconocerlos como verdaderos sujetos de protección</w:t>
      </w:r>
      <w:r w:rsidR="00835950" w:rsidRPr="001F4F6E">
        <w:rPr>
          <w:rFonts w:ascii="Bookman Old Style" w:eastAsia="Bookman Old Style" w:hAnsi="Bookman Old Style" w:cs="Bookman Old Style"/>
          <w:color w:val="000000"/>
          <w:highlight w:val="white"/>
        </w:rPr>
        <w:t>. Sobre este asunto, se dispuso que</w:t>
      </w:r>
      <w:r w:rsidR="00821B60" w:rsidRPr="001F4F6E">
        <w:rPr>
          <w:rFonts w:ascii="Bookman Old Style" w:eastAsia="Bookman Old Style" w:hAnsi="Bookman Old Style" w:cs="Bookman Old Style"/>
          <w:color w:val="000000"/>
          <w:highlight w:val="white"/>
        </w:rPr>
        <w:t>:</w:t>
      </w:r>
    </w:p>
    <w:p w:rsidR="00821B60" w:rsidRPr="001F4F6E" w:rsidRDefault="00821B60" w:rsidP="00C678BE">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A34AE4" w:rsidRPr="001F4F6E" w:rsidRDefault="00835950" w:rsidP="00C678BE">
      <w:pPr>
        <w:pBdr>
          <w:top w:val="nil"/>
          <w:left w:val="nil"/>
          <w:bottom w:val="nil"/>
          <w:right w:val="nil"/>
          <w:between w:val="nil"/>
        </w:pBdr>
        <w:ind w:left="851" w:right="900"/>
        <w:jc w:val="both"/>
        <w:rPr>
          <w:rFonts w:ascii="Bookman Old Style" w:hAnsi="Bookman Old Style"/>
          <w:color w:val="000000" w:themeColor="text1"/>
          <w:u w:val="single"/>
        </w:rPr>
      </w:pPr>
      <w:r w:rsidRPr="001F4F6E">
        <w:rPr>
          <w:rFonts w:ascii="Bookman Old Style" w:eastAsia="Bookman Old Style" w:hAnsi="Bookman Old Style" w:cs="Bookman Old Style"/>
          <w:color w:val="000000"/>
          <w:highlight w:val="white"/>
        </w:rPr>
        <w:t xml:space="preserve"> </w:t>
      </w:r>
      <w:r w:rsidR="003826E0" w:rsidRPr="001F4F6E">
        <w:rPr>
          <w:rFonts w:ascii="Bookman Old Style" w:eastAsia="Bookman Old Style" w:hAnsi="Bookman Old Style" w:cs="Bookman Old Style"/>
          <w:i/>
          <w:color w:val="000000"/>
          <w:highlight w:val="white"/>
        </w:rPr>
        <w:t xml:space="preserve">“la protección que se deriva de la Constitución supera la anacrónica visión de los animales como cosas animadas, para </w:t>
      </w:r>
      <w:r w:rsidR="003826E0" w:rsidRPr="001F4F6E">
        <w:rPr>
          <w:rFonts w:ascii="Bookman Old Style" w:eastAsia="Bookman Old Style" w:hAnsi="Bookman Old Style" w:cs="Bookman Old Style"/>
          <w:i/>
          <w:color w:val="000000"/>
          <w:highlight w:val="white"/>
        </w:rPr>
        <w:lastRenderedPageBreak/>
        <w:t>reconocer la importancia que éstos tienen dentro del entorno en que habitan las personas, no simplemente como fuentes de recursos útiles al hombre, sino en cuanto seres sintientes que forman parte del contexto en que se desarrolla la vida de los principales sujetos del ordenamiento jurídico: los seres humanos</w:t>
      </w:r>
      <w:r w:rsidRPr="001F4F6E">
        <w:rPr>
          <w:rStyle w:val="Refdenotaalpie"/>
          <w:rFonts w:ascii="Bookman Old Style" w:eastAsia="Bookman Old Style" w:hAnsi="Bookman Old Style" w:cs="Bookman Old Style"/>
          <w:i/>
          <w:color w:val="000000"/>
          <w:highlight w:val="white"/>
        </w:rPr>
        <w:footnoteReference w:id="3"/>
      </w:r>
      <w:r w:rsidR="003826E0" w:rsidRPr="001F4F6E">
        <w:rPr>
          <w:rFonts w:ascii="Bookman Old Style" w:eastAsia="Bookman Old Style" w:hAnsi="Bookman Old Style" w:cs="Bookman Old Style"/>
          <w:i/>
          <w:color w:val="000000"/>
          <w:highlight w:val="white"/>
        </w:rPr>
        <w:t>.</w:t>
      </w:r>
      <w:r w:rsidRPr="001F4F6E">
        <w:rPr>
          <w:rFonts w:ascii="Bookman Old Style" w:eastAsia="Bookman Old Style" w:hAnsi="Bookman Old Style" w:cs="Bookman Old Style"/>
          <w:i/>
          <w:color w:val="000000"/>
          <w:highlight w:val="white"/>
        </w:rPr>
        <w:t>”</w:t>
      </w:r>
    </w:p>
    <w:p w:rsidR="005E110D" w:rsidRPr="001F4F6E" w:rsidRDefault="005E110D">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5E110D" w:rsidRPr="001F4F6E" w:rsidRDefault="00835950"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Fue esta precisamente la base para que, posteriormente, en la decisión se reconociera que es la dignidad humana la fuente de obligaciones jurídicas de los humanos frente a los animales. </w:t>
      </w:r>
    </w:p>
    <w:p w:rsidR="00CC4C88" w:rsidRPr="001F4F6E" w:rsidRDefault="00CC4C88">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293849" w:rsidRPr="001F4F6E" w:rsidRDefault="003826E0" w:rsidP="00C678BE">
      <w:pPr>
        <w:pBdr>
          <w:top w:val="nil"/>
          <w:left w:val="nil"/>
          <w:bottom w:val="nil"/>
          <w:right w:val="nil"/>
          <w:between w:val="nil"/>
        </w:pBdr>
        <w:ind w:left="851" w:right="900"/>
        <w:jc w:val="both"/>
        <w:rPr>
          <w:rFonts w:ascii="Bookman Old Style" w:hAnsi="Bookman Old Style"/>
          <w:i/>
          <w:color w:val="000000" w:themeColor="text1"/>
        </w:rPr>
      </w:pPr>
      <w:r w:rsidRPr="001F4F6E">
        <w:rPr>
          <w:rFonts w:ascii="Bookman Old Style" w:hAnsi="Bookman Old Style"/>
          <w:i/>
          <w:color w:val="000000" w:themeColor="text1"/>
        </w:rPr>
        <w:t>La dignidad humana no es un simple concepto fruto [o útil para] el garantismo estatal. La dignidad resulta un concepto integral en cuanto encarna, representa y construye un concepto, integral, de persona. La dignidad no se otorga, sino que se reconoce, de manera que siempre podrá exigirse de los seres humanos un actuar conforme a parámetros dignos y, en este sentido, coherente con su condición de ser moral que merece el reconocimiento de dichas garantías y que, llegado el caso, podría exigirlas por la posición [también] moral que tiene dentro de la comunidad.</w:t>
      </w:r>
    </w:p>
    <w:p w:rsidR="004A2976" w:rsidRPr="001F4F6E" w:rsidRDefault="004A2976" w:rsidP="00C678BE">
      <w:pPr>
        <w:pBdr>
          <w:top w:val="nil"/>
          <w:left w:val="nil"/>
          <w:bottom w:val="nil"/>
          <w:right w:val="nil"/>
          <w:between w:val="nil"/>
        </w:pBdr>
        <w:ind w:left="851" w:right="900"/>
        <w:jc w:val="both"/>
        <w:rPr>
          <w:rFonts w:ascii="Bookman Old Style" w:hAnsi="Bookman Old Style"/>
          <w:i/>
          <w:color w:val="000000" w:themeColor="text1"/>
        </w:rPr>
      </w:pPr>
    </w:p>
    <w:p w:rsidR="004A2976" w:rsidRPr="001F4F6E" w:rsidRDefault="003826E0" w:rsidP="00C678BE">
      <w:pPr>
        <w:pBdr>
          <w:top w:val="nil"/>
          <w:left w:val="nil"/>
          <w:bottom w:val="nil"/>
          <w:right w:val="nil"/>
          <w:between w:val="nil"/>
        </w:pBdr>
        <w:ind w:left="851" w:right="900"/>
        <w:jc w:val="both"/>
        <w:rPr>
          <w:rFonts w:ascii="Bookman Old Style" w:hAnsi="Bookman Old Style"/>
          <w:i/>
          <w:color w:val="000000" w:themeColor="text1"/>
        </w:rPr>
      </w:pPr>
      <w:r w:rsidRPr="001F4F6E">
        <w:rPr>
          <w:rFonts w:ascii="Bookman Old Style" w:hAnsi="Bookman Old Style"/>
          <w:i/>
          <w:color w:val="000000" w:themeColor="text1"/>
        </w:rPr>
        <w:t>Pero esa misma condición moral, que sustenta el concepto de dignidad humana, genera obligaciones a esa persona [en cuanto ser digno] en su manera de actuación. No podría una persona pretender que sea reconocida su condición de ser moral y comportarse legítimamente de forma contraria a la moral que se deriva de los parámetros acordados por la propia comunidad y que son consagrados en la Constitución y demás normas de naturaleza constitucional</w:t>
      </w:r>
      <w:r w:rsidR="004A2976" w:rsidRPr="001F4F6E">
        <w:rPr>
          <w:rFonts w:ascii="Bookman Old Style" w:hAnsi="Bookman Old Style"/>
          <w:i/>
          <w:color w:val="000000" w:themeColor="text1"/>
        </w:rPr>
        <w:t>(…)</w:t>
      </w:r>
    </w:p>
    <w:p w:rsidR="004A2976" w:rsidRPr="001F4F6E" w:rsidRDefault="004A2976" w:rsidP="00C678BE">
      <w:pPr>
        <w:pBdr>
          <w:top w:val="nil"/>
          <w:left w:val="nil"/>
          <w:bottom w:val="nil"/>
          <w:right w:val="nil"/>
          <w:between w:val="nil"/>
        </w:pBdr>
        <w:ind w:left="851" w:right="900"/>
        <w:jc w:val="both"/>
        <w:rPr>
          <w:rFonts w:ascii="Bookman Old Style" w:hAnsi="Bookman Old Style"/>
          <w:i/>
          <w:color w:val="000000" w:themeColor="text1"/>
        </w:rPr>
      </w:pPr>
    </w:p>
    <w:p w:rsidR="00A34AE4" w:rsidRPr="001F4F6E" w:rsidRDefault="004A2976" w:rsidP="00C678BE">
      <w:pPr>
        <w:pBdr>
          <w:top w:val="nil"/>
          <w:left w:val="nil"/>
          <w:bottom w:val="nil"/>
          <w:right w:val="nil"/>
          <w:between w:val="nil"/>
        </w:pBdr>
        <w:ind w:left="851" w:right="900"/>
        <w:jc w:val="both"/>
        <w:rPr>
          <w:rFonts w:ascii="Bookman Old Style" w:hAnsi="Bookman Old Style"/>
          <w:i/>
          <w:color w:val="000000" w:themeColor="text1"/>
        </w:rPr>
      </w:pPr>
      <w:r w:rsidRPr="001F4F6E">
        <w:rPr>
          <w:rFonts w:ascii="Bookman Old Style" w:hAnsi="Bookman Old Style"/>
          <w:i/>
          <w:color w:val="000000" w:themeColor="text1"/>
        </w:rPr>
        <w:t xml:space="preserve">(…) </w:t>
      </w:r>
      <w:r w:rsidR="003826E0" w:rsidRPr="001F4F6E">
        <w:rPr>
          <w:rFonts w:ascii="Bookman Old Style" w:hAnsi="Bookman Old Style"/>
          <w:i/>
          <w:color w:val="000000" w:themeColor="text1"/>
        </w:rPr>
        <w:t xml:space="preserve">En este sentido, si en el mismo Estado constitucional se consagra el deber de protección a los animales vía la protección de los recursos naturales, el concepto de dignidad que se concreta en la interacción de las personas en una comunidad que se construye dentro de estos parámetros </w:t>
      </w:r>
      <w:r w:rsidR="003826E0" w:rsidRPr="001F4F6E">
        <w:rPr>
          <w:rFonts w:ascii="Bookman Old Style" w:hAnsi="Bookman Old Style"/>
          <w:i/>
          <w:color w:val="000000" w:themeColor="text1"/>
        </w:rPr>
        <w:lastRenderedPageBreak/>
        <w:t>constitucionales no podrá ignorar las relaciones que surgen entre ellas y los animales. </w:t>
      </w:r>
    </w:p>
    <w:p w:rsidR="00A34AE4" w:rsidRPr="001F4F6E" w:rsidRDefault="003826E0" w:rsidP="00C678BE">
      <w:pPr>
        <w:pBdr>
          <w:top w:val="nil"/>
          <w:left w:val="nil"/>
          <w:bottom w:val="nil"/>
          <w:right w:val="nil"/>
          <w:between w:val="nil"/>
        </w:pBdr>
        <w:ind w:left="851" w:right="900"/>
        <w:jc w:val="both"/>
        <w:rPr>
          <w:rFonts w:ascii="Bookman Old Style" w:hAnsi="Bookman Old Style"/>
          <w:i/>
          <w:color w:val="000000" w:themeColor="text1"/>
        </w:rPr>
      </w:pPr>
      <w:r w:rsidRPr="001F4F6E">
        <w:rPr>
          <w:rFonts w:ascii="Bookman Old Style" w:hAnsi="Bookman Old Style"/>
          <w:i/>
          <w:color w:val="000000" w:themeColor="text1"/>
        </w:rPr>
        <w:t> </w:t>
      </w:r>
    </w:p>
    <w:p w:rsidR="004A2976" w:rsidRPr="001F4F6E" w:rsidRDefault="003826E0" w:rsidP="00C678BE">
      <w:pPr>
        <w:pBdr>
          <w:top w:val="nil"/>
          <w:left w:val="nil"/>
          <w:bottom w:val="nil"/>
          <w:right w:val="nil"/>
          <w:between w:val="nil"/>
        </w:pBdr>
        <w:ind w:left="851" w:right="900"/>
        <w:jc w:val="both"/>
        <w:rPr>
          <w:rFonts w:ascii="Bookman Old Style" w:hAnsi="Bookman Old Style"/>
          <w:i/>
          <w:color w:val="000000" w:themeColor="text1"/>
        </w:rPr>
      </w:pPr>
      <w:r w:rsidRPr="001F4F6E">
        <w:rPr>
          <w:rFonts w:ascii="Bookman Old Style" w:hAnsi="Bookman Old Style"/>
          <w:i/>
          <w:color w:val="000000" w:themeColor="text1"/>
        </w:rPr>
        <w:t>El fundamento para esta vinculación radica en su capacidad de sentir. Es este aspecto la raíz del vínculo en la relación entre dignidad y protección a los animales: el hecho de que sean seres sintientes que pueden ser afectados por los actos de las personas. En otras palabras, la posibilidad de que se vean afectados por tratos crueles, por acciones que comportan maltrato, por hechos que los torturen o angustien obliga a que las acciones que respecto de ellos se realicen por parte de los seres humanos sean expresión del comportamiento digno que hacia ellos deben tener seres dignos. En efecto, la superioridad racional –moral- del hombre no puede significar la ausencia de límites para causar sufrimiento, dolor o angustia a seres sintientes no humanos.</w:t>
      </w:r>
    </w:p>
    <w:p w:rsidR="00761E87" w:rsidRPr="001F4F6E" w:rsidRDefault="00761E87" w:rsidP="00C678BE">
      <w:pPr>
        <w:pBdr>
          <w:top w:val="nil"/>
          <w:left w:val="nil"/>
          <w:bottom w:val="nil"/>
          <w:right w:val="nil"/>
          <w:between w:val="nil"/>
        </w:pBdr>
        <w:ind w:left="851" w:right="900"/>
        <w:jc w:val="both"/>
        <w:rPr>
          <w:rFonts w:ascii="Bookman Old Style" w:hAnsi="Bookman Old Style"/>
          <w:i/>
          <w:color w:val="000000" w:themeColor="text1"/>
        </w:rPr>
      </w:pPr>
    </w:p>
    <w:p w:rsidR="00A34AE4" w:rsidRPr="001F4F6E" w:rsidRDefault="003826E0" w:rsidP="00C678BE">
      <w:pPr>
        <w:pBdr>
          <w:top w:val="nil"/>
          <w:left w:val="nil"/>
          <w:bottom w:val="nil"/>
          <w:right w:val="nil"/>
          <w:between w:val="nil"/>
        </w:pBdr>
        <w:ind w:left="851" w:right="900"/>
        <w:jc w:val="both"/>
        <w:rPr>
          <w:rFonts w:ascii="Bookman Old Style" w:hAnsi="Bookman Old Style"/>
          <w:i/>
          <w:color w:val="000000" w:themeColor="text1"/>
          <w:u w:val="single"/>
        </w:rPr>
      </w:pPr>
      <w:r w:rsidRPr="001F4F6E">
        <w:rPr>
          <w:rFonts w:ascii="Bookman Old Style" w:hAnsi="Bookman Old Style"/>
          <w:i/>
          <w:color w:val="000000" w:themeColor="text1"/>
          <w:u w:val="single"/>
        </w:rPr>
        <w:t>Aunque obvia, valga mencionar que la justificación radica en una apreciación fáctica incontestable: no hay interés más primario para un ser sintiente que el de no sufrir daño o maltrato. Y debe ser este uno de los valores primordiales dentro de una comunidad moral que actúa y construye sus relaciones dentro de los parámetros del Estado constitucional</w:t>
      </w:r>
      <w:r w:rsidR="00761E87" w:rsidRPr="001F4F6E">
        <w:rPr>
          <w:rStyle w:val="Refdenotaalpie"/>
          <w:rFonts w:ascii="Bookman Old Style" w:hAnsi="Bookman Old Style"/>
          <w:i/>
          <w:color w:val="000000" w:themeColor="text1"/>
          <w:u w:val="single"/>
        </w:rPr>
        <w:footnoteReference w:id="4"/>
      </w:r>
      <w:r w:rsidRPr="001F4F6E">
        <w:rPr>
          <w:rFonts w:ascii="Bookman Old Style" w:hAnsi="Bookman Old Style"/>
          <w:i/>
          <w:color w:val="000000" w:themeColor="text1"/>
          <w:u w:val="single"/>
        </w:rPr>
        <w:t>.</w:t>
      </w:r>
    </w:p>
    <w:p w:rsidR="00A34AE4" w:rsidRPr="001F4F6E" w:rsidRDefault="00A34AE4" w:rsidP="00C678BE">
      <w:pPr>
        <w:pBdr>
          <w:top w:val="nil"/>
          <w:left w:val="nil"/>
          <w:bottom w:val="nil"/>
          <w:right w:val="nil"/>
          <w:between w:val="nil"/>
        </w:pBdr>
        <w:ind w:left="720"/>
        <w:jc w:val="both"/>
        <w:rPr>
          <w:rFonts w:ascii="Bookman Old Style" w:hAnsi="Bookman Old Style"/>
          <w:i/>
          <w:color w:val="000000" w:themeColor="text1"/>
        </w:rPr>
      </w:pPr>
    </w:p>
    <w:p w:rsidR="00821B60" w:rsidRPr="001F4F6E" w:rsidRDefault="003826E0"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Ahora bien, </w:t>
      </w:r>
      <w:r w:rsidR="00575D87" w:rsidRPr="001F4F6E">
        <w:rPr>
          <w:rFonts w:ascii="Bookman Old Style" w:eastAsia="Bookman Old Style" w:hAnsi="Bookman Old Style" w:cs="Bookman Old Style"/>
          <w:color w:val="000000"/>
          <w:highlight w:val="white"/>
        </w:rPr>
        <w:t>en lo que respecta a</w:t>
      </w:r>
      <w:r w:rsidR="00040BD7" w:rsidRPr="001F4F6E">
        <w:rPr>
          <w:rFonts w:ascii="Bookman Old Style" w:eastAsia="Bookman Old Style" w:hAnsi="Bookman Old Style" w:cs="Bookman Old Style"/>
          <w:color w:val="000000"/>
          <w:highlight w:val="white"/>
        </w:rPr>
        <w:t>l tema particular, la demanda de inconstitucionalidad frente al rejoneo, el coleo, las corridas de toros, las novilladas, las corralejas, las becerradas, las tientas y las riñas de gallos</w:t>
      </w:r>
      <w:r w:rsidR="00C03BC8" w:rsidRPr="001F4F6E">
        <w:rPr>
          <w:rFonts w:ascii="Bookman Old Style" w:eastAsia="Bookman Old Style" w:hAnsi="Bookman Old Style" w:cs="Bookman Old Style"/>
          <w:color w:val="000000"/>
          <w:highlight w:val="white"/>
        </w:rPr>
        <w:t xml:space="preserve">, la Corte reconoció que su desarrollo implicaba el desarrollo de actividades que se enmarcan en actos de maltrato y crueldad animal. No obstante, también destacó la Corte que </w:t>
      </w:r>
    </w:p>
    <w:p w:rsidR="00821B60" w:rsidRPr="001F4F6E" w:rsidRDefault="00821B60">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4A2976" w:rsidRPr="001F4F6E"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 xml:space="preserve">“para el examen de constitucionalidad de la disposición acusada no resulta indiferente que dichas actividades hayan sido desarrolladas de tiempo atrás por algunos sectores de la sociedad y, por consiguiente, se entienden como parte de las </w:t>
      </w:r>
      <w:r w:rsidRPr="001F4F6E">
        <w:rPr>
          <w:rFonts w:ascii="Bookman Old Style" w:eastAsia="Bookman Old Style" w:hAnsi="Bookman Old Style" w:cs="Bookman Old Style"/>
          <w:i/>
          <w:color w:val="000000"/>
          <w:highlight w:val="white"/>
        </w:rPr>
        <w:lastRenderedPageBreak/>
        <w:t>manifestaciones que identifican a ciertas regiones dentro del territorio nacional</w:t>
      </w:r>
      <w:r w:rsidR="000138FA" w:rsidRPr="001F4F6E">
        <w:rPr>
          <w:rStyle w:val="Refdenotaalpie"/>
          <w:rFonts w:ascii="Bookman Old Style" w:eastAsia="Bookman Old Style" w:hAnsi="Bookman Old Style" w:cs="Bookman Old Style"/>
          <w:i/>
          <w:color w:val="000000"/>
          <w:highlight w:val="white"/>
        </w:rPr>
        <w:footnoteReference w:id="5"/>
      </w:r>
      <w:r w:rsidRPr="001F4F6E">
        <w:rPr>
          <w:rFonts w:ascii="Bookman Old Style" w:eastAsia="Bookman Old Style" w:hAnsi="Bookman Old Style" w:cs="Bookman Old Style"/>
          <w:i/>
          <w:color w:val="000000"/>
          <w:highlight w:val="white"/>
        </w:rPr>
        <w:t>.</w:t>
      </w:r>
      <w:r w:rsidR="00C03BC8" w:rsidRPr="001F4F6E">
        <w:rPr>
          <w:rFonts w:ascii="Bookman Old Style" w:eastAsia="Bookman Old Style" w:hAnsi="Bookman Old Style" w:cs="Bookman Old Style"/>
          <w:i/>
          <w:color w:val="000000"/>
          <w:highlight w:val="white"/>
        </w:rPr>
        <w:t>”</w:t>
      </w:r>
    </w:p>
    <w:p w:rsidR="000138FA" w:rsidRPr="001F4F6E" w:rsidRDefault="000138FA">
      <w:pPr>
        <w:pBdr>
          <w:top w:val="nil"/>
          <w:left w:val="nil"/>
          <w:bottom w:val="nil"/>
          <w:right w:val="nil"/>
          <w:between w:val="nil"/>
        </w:pBdr>
        <w:ind w:left="720"/>
        <w:jc w:val="both"/>
        <w:rPr>
          <w:rFonts w:ascii="Bookman Old Style" w:eastAsia="Bookman Old Style" w:hAnsi="Bookman Old Style" w:cs="Bookman Old Style"/>
          <w:i/>
          <w:color w:val="000000"/>
          <w:highlight w:val="white"/>
        </w:rPr>
      </w:pPr>
    </w:p>
    <w:p w:rsidR="000138FA" w:rsidRPr="001F4F6E" w:rsidRDefault="000138FA"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Fue por este último argumento que el Alto Tribunal Constitucional, determinó la exequibilidad de la excepción prevista en la Ley 84 de 1989, bajo los supuestos relatados en acápites anteriores que fijaron claras limitaciones al desarrollo de estas actividades. </w:t>
      </w:r>
    </w:p>
    <w:p w:rsidR="006D5872" w:rsidRPr="001F4F6E" w:rsidRDefault="006D5872"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p>
    <w:p w:rsidR="006D5872" w:rsidRPr="001F4F6E" w:rsidRDefault="006D5872"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Adicionalmente, resaltó la Corte que, en ningún caso se podrían ampliar las excepciones previstas en el artículo 7 de la Ley 84 de 1989. Esto en tanto debía armonizarse esta disposición con el mandato constitucional de protección a los animales. </w:t>
      </w:r>
    </w:p>
    <w:p w:rsidR="000138FA" w:rsidRPr="001F4F6E" w:rsidRDefault="000138FA"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p>
    <w:p w:rsidR="000138FA" w:rsidRPr="001F4F6E" w:rsidRDefault="000138FA"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Ahora bien, la providencia realizó varios llamados al legislador, como se transcriben a continuación:</w:t>
      </w:r>
    </w:p>
    <w:p w:rsidR="000138FA" w:rsidRPr="001F4F6E" w:rsidRDefault="000138FA">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0138FA" w:rsidRPr="001F4F6E"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“Es, precisamente, este deber constitucional el que restringe el ámbito decisional de los poderes constituidos, en especial del legislador, al momento de determinar las distintas formas de regulación de los recursos naturales dentro del sistema jurídico colombiano. El que exista un deber de protección respecto de los mismos excluye automáticamente una posición de indiferencia en lo relativo a los recursos naturales, entre ellos los animales, siendo, por el contrario, preceptiva la creación de un sistema infraconstitucional, que sea acorde con el sistema constitucional, que implique una protección para los mismos y que tenga en cuenta, armónicamente, el ejercicio de derechos fundamentales que eventualmente puedan verse limitados con la protección establecida para los animales.”</w:t>
      </w:r>
    </w:p>
    <w:p w:rsidR="000138FA" w:rsidRPr="001F4F6E" w:rsidRDefault="000138FA"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p>
    <w:p w:rsidR="000138FA" w:rsidRPr="001F4F6E"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 xml:space="preserve">“la actuación del Legislador, que en cumplimiento de su potestad de configuración normativa debe regular de manera más detallada la permisión de maltrato animal objeto de examen constitucional. Labor que debe ser complementada con el concurso de las autoridades administrativas con competencias normativas en la materia, de manera tal que se </w:t>
      </w:r>
      <w:r w:rsidRPr="001F4F6E">
        <w:rPr>
          <w:rFonts w:ascii="Bookman Old Style" w:eastAsia="Bookman Old Style" w:hAnsi="Bookman Old Style" w:cs="Bookman Old Style"/>
          <w:i/>
          <w:color w:val="000000"/>
          <w:highlight w:val="white"/>
        </w:rPr>
        <w:lastRenderedPageBreak/>
        <w:t>subsane el déficit normativo del deber de protección animal al que ya se hizo referencia. En este sentido deberá expedirse una regulación de rango legal e infralegal que determine con exactitud qué acciones que impliquen maltrato animal pueden ser realizadas en desarrollo de corridas de toros, becerradas, novilladas, rejoneos, riñas de gallos, tientas y coleo, y en las actividades conexas con dichas manifestaciones culturales, tales como la crianza, el encierro, el adiestramiento y el transporte de los animales involucrados en las mismas.”</w:t>
      </w:r>
    </w:p>
    <w:p w:rsidR="00EE6AA7" w:rsidRPr="001F4F6E" w:rsidRDefault="00EE6AA7">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EE6AA7" w:rsidRPr="001F4F6E" w:rsidRDefault="00EE6AA7"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Ahora bien, respecto a la posibilidad de prohibir estas actividades, el Alto Tribunal señaló:</w:t>
      </w:r>
    </w:p>
    <w:p w:rsidR="00EE6AA7" w:rsidRPr="001F4F6E" w:rsidRDefault="00EE6AA7">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EE6AA7" w:rsidRPr="001F4F6E" w:rsidRDefault="00EE6AA7" w:rsidP="00C678BE">
      <w:pPr>
        <w:pStyle w:val="Prrafodelista"/>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color w:val="000000"/>
          <w:highlight w:val="white"/>
        </w:rPr>
        <w:t>“</w:t>
      </w:r>
      <w:r w:rsidRPr="001F4F6E">
        <w:rPr>
          <w:rFonts w:ascii="Bookman Old Style" w:eastAsia="Bookman Old Style" w:hAnsi="Bookman Old Style" w:cs="Bookman Old Style"/>
          <w:i/>
          <w:color w:val="000000"/>
          <w:highlight w:val="white"/>
        </w:rPr>
        <w:t xml:space="preserve">Incluso </w:t>
      </w:r>
      <w:r w:rsidRPr="001F4F6E">
        <w:rPr>
          <w:rFonts w:ascii="Bookman Old Style" w:eastAsia="Bookman Old Style" w:hAnsi="Bookman Old Style" w:cs="Bookman Old Style"/>
          <w:b/>
          <w:i/>
          <w:color w:val="000000"/>
          <w:highlight w:val="white"/>
          <w:u w:val="single"/>
        </w:rPr>
        <w:t>el Legislador en ejercicio de su libertad de configuración normativa puede llegar a prohibir las manifestaciones culturales que implican maltrato animal, si considera que debe primar el deber de protección sobre la excepcionalidad de las expresiones culturales que implican agravio a seres vivos</w:t>
      </w:r>
      <w:r w:rsidRPr="001F4F6E">
        <w:rPr>
          <w:rFonts w:ascii="Bookman Old Style" w:eastAsia="Bookman Old Style" w:hAnsi="Bookman Old Style" w:cs="Bookman Old Style"/>
          <w:i/>
          <w:color w:val="000000"/>
          <w:highlight w:val="white"/>
        </w:rPr>
        <w:t>, pues como lo ha defendido esta Corporación en numerosas oportunidades, la Constitución de 1991 no es estática y la permisión contenida en un cuerpo normativo preconstitucional no puede limitar la libertad de configuración del órgano representativo de acuerdo a los cambios que se produzcan en el seno de la sociedad.”</w:t>
      </w:r>
      <w:r w:rsidR="00821B60" w:rsidRPr="001F4F6E">
        <w:rPr>
          <w:rFonts w:ascii="Bookman Old Style" w:eastAsia="Bookman Old Style" w:hAnsi="Bookman Old Style" w:cs="Bookman Old Style"/>
          <w:i/>
          <w:color w:val="000000"/>
          <w:highlight w:val="white"/>
        </w:rPr>
        <w:t xml:space="preserve"> (subrayado y negrilla </w:t>
      </w:r>
      <w:r w:rsidR="00246F38" w:rsidRPr="001F4F6E">
        <w:rPr>
          <w:rFonts w:ascii="Bookman Old Style" w:eastAsia="Bookman Old Style" w:hAnsi="Bookman Old Style" w:cs="Bookman Old Style"/>
          <w:i/>
          <w:color w:val="000000"/>
          <w:highlight w:val="white"/>
        </w:rPr>
        <w:t>fuera del texto original</w:t>
      </w:r>
      <w:r w:rsidR="00821B60" w:rsidRPr="001F4F6E">
        <w:rPr>
          <w:rFonts w:ascii="Bookman Old Style" w:eastAsia="Bookman Old Style" w:hAnsi="Bookman Old Style" w:cs="Bookman Old Style"/>
          <w:i/>
          <w:color w:val="000000"/>
          <w:highlight w:val="white"/>
        </w:rPr>
        <w:t>)</w:t>
      </w:r>
      <w:r w:rsidR="00246F38" w:rsidRPr="001F4F6E">
        <w:rPr>
          <w:rFonts w:ascii="Bookman Old Style" w:eastAsia="Bookman Old Style" w:hAnsi="Bookman Old Style" w:cs="Bookman Old Style"/>
          <w:i/>
          <w:color w:val="000000"/>
          <w:highlight w:val="white"/>
        </w:rPr>
        <w:t>.</w:t>
      </w:r>
    </w:p>
    <w:p w:rsidR="00A34AE4" w:rsidRPr="001F4F6E" w:rsidRDefault="00A34AE4"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p>
    <w:p w:rsidR="006C6EDD" w:rsidRPr="001F4F6E" w:rsidRDefault="000F347E"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b/>
          <w:color w:val="000000"/>
          <w:highlight w:val="white"/>
        </w:rPr>
        <w:t>Sentencia C-889 del 2012</w:t>
      </w:r>
      <w:r w:rsidRPr="001F4F6E">
        <w:rPr>
          <w:rFonts w:ascii="Bookman Old Style" w:eastAsia="Bookman Old Style" w:hAnsi="Bookman Old Style" w:cs="Bookman Old Style"/>
          <w:color w:val="000000"/>
          <w:highlight w:val="white"/>
        </w:rPr>
        <w:t xml:space="preserve">. </w:t>
      </w:r>
      <w:r w:rsidRPr="001F4F6E">
        <w:rPr>
          <w:rFonts w:ascii="Bookman Old Style" w:eastAsia="Bookman Old Style" w:hAnsi="Bookman Old Style" w:cs="Bookman Old Style"/>
          <w:b/>
          <w:color w:val="000000"/>
          <w:highlight w:val="white"/>
        </w:rPr>
        <w:t>Corte Constitucional.</w:t>
      </w:r>
      <w:r w:rsidRPr="001F4F6E">
        <w:rPr>
          <w:rFonts w:ascii="Bookman Old Style" w:eastAsia="Bookman Old Style" w:hAnsi="Bookman Old Style" w:cs="Bookman Old Style"/>
          <w:color w:val="000000"/>
          <w:highlight w:val="white"/>
        </w:rPr>
        <w:t xml:space="preserve"> Demanda de inconstitucionalidad contra los artículos 14 y 15 (parciales) de la Ley 916 de 2004 </w:t>
      </w:r>
      <w:r w:rsidR="003826E0" w:rsidRPr="001F4F6E">
        <w:rPr>
          <w:rFonts w:ascii="Bookman Old Style" w:eastAsia="Bookman Old Style" w:hAnsi="Bookman Old Style" w:cs="Bookman Old Style"/>
          <w:i/>
          <w:color w:val="000000"/>
          <w:highlight w:val="white"/>
        </w:rPr>
        <w:t>“por la cual se establece el Reglamento Nacional Taurino.”</w:t>
      </w:r>
      <w:r w:rsidRPr="001F4F6E">
        <w:rPr>
          <w:rFonts w:ascii="Bookman Old Style" w:eastAsia="Bookman Old Style" w:hAnsi="Bookman Old Style" w:cs="Bookman Old Style"/>
          <w:color w:val="000000"/>
          <w:highlight w:val="white"/>
        </w:rPr>
        <w:t xml:space="preserve"> </w:t>
      </w:r>
      <w:r w:rsidR="00B52EBD" w:rsidRPr="001F4F6E">
        <w:rPr>
          <w:rFonts w:ascii="Bookman Old Style" w:eastAsia="Bookman Old Style" w:hAnsi="Bookman Old Style" w:cs="Bookman Old Style"/>
          <w:color w:val="000000"/>
          <w:highlight w:val="white"/>
        </w:rPr>
        <w:t xml:space="preserve"> Esto en tanto considera la accionante que limita las facultades de las entidades territoriales para determinar la procedencia de la realización de corridas de toros.</w:t>
      </w:r>
      <w:r w:rsidR="00821B60" w:rsidRPr="001F4F6E">
        <w:rPr>
          <w:rFonts w:ascii="Bookman Old Style" w:eastAsia="Bookman Old Style" w:hAnsi="Bookman Old Style" w:cs="Bookman Old Style"/>
          <w:color w:val="000000"/>
          <w:highlight w:val="white"/>
        </w:rPr>
        <w:t xml:space="preserve"> </w:t>
      </w:r>
      <w:r w:rsidR="006C6EDD" w:rsidRPr="001F4F6E">
        <w:rPr>
          <w:rFonts w:ascii="Bookman Old Style" w:eastAsia="Bookman Old Style" w:hAnsi="Bookman Old Style" w:cs="Bookman Old Style"/>
          <w:color w:val="000000"/>
          <w:highlight w:val="white"/>
        </w:rPr>
        <w:t>Esta sentencia retoma lo dispuesto en la C-666 de 2010 y al respecto refiere</w:t>
      </w:r>
      <w:r w:rsidR="00821B60" w:rsidRPr="001F4F6E">
        <w:rPr>
          <w:rFonts w:ascii="Bookman Old Style" w:eastAsia="Bookman Old Style" w:hAnsi="Bookman Old Style" w:cs="Bookman Old Style"/>
          <w:color w:val="000000"/>
          <w:highlight w:val="white"/>
        </w:rPr>
        <w:t>,</w:t>
      </w:r>
      <w:r w:rsidR="006C6EDD" w:rsidRPr="001F4F6E">
        <w:rPr>
          <w:rFonts w:ascii="Bookman Old Style" w:eastAsia="Bookman Old Style" w:hAnsi="Bookman Old Style" w:cs="Bookman Old Style"/>
          <w:color w:val="000000"/>
          <w:highlight w:val="white"/>
        </w:rPr>
        <w:t xml:space="preserve"> que:</w:t>
      </w:r>
    </w:p>
    <w:p w:rsidR="006C6EDD" w:rsidRPr="001F4F6E" w:rsidRDefault="006C6EDD">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6C6EDD" w:rsidRPr="001F4F6E"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 xml:space="preserve">Como se observa, de las decisiones C-1192/05 y C-666/10 se colige que la jurisprudencia constitucional advierte que concurre una previsión legislativa de reconocimiento de las corridas de toros como una expresión tradicional que integra </w:t>
      </w:r>
      <w:r w:rsidRPr="001F4F6E">
        <w:rPr>
          <w:rFonts w:ascii="Bookman Old Style" w:eastAsia="Bookman Old Style" w:hAnsi="Bookman Old Style" w:cs="Bookman Old Style"/>
          <w:i/>
          <w:color w:val="000000"/>
          <w:highlight w:val="white"/>
        </w:rPr>
        <w:lastRenderedPageBreak/>
        <w:t>el patrimonio cultural de la Nación.  Con todo, en tanto esa práctica involucra maltrato animal, contradice el mandato superior de protección al medio ambiente, a través de la garantía del</w:t>
      </w:r>
      <w:r w:rsidRPr="001F4F6E">
        <w:rPr>
          <w:rFonts w:eastAsia="Bookman Old Style" w:cs="Bookman Old Style"/>
          <w:i/>
          <w:color w:val="000000"/>
          <w:highlight w:val="white"/>
        </w:rPr>
        <w:t> </w:t>
      </w:r>
      <w:r w:rsidRPr="001F4F6E">
        <w:rPr>
          <w:rFonts w:ascii="Bookman Old Style" w:eastAsia="Bookman Old Style" w:hAnsi="Bookman Old Style" w:cs="Bookman Old Style"/>
          <w:i/>
          <w:color w:val="000000"/>
          <w:highlight w:val="white"/>
        </w:rPr>
        <w:t>bienestar animal.  Por ende, se hace necesario imponer restricciones, también de naturaleza constitucional, sobre dichas actividades.  Estas limitaciones responden a dos planos diferenciados: (i) la exigencia de carácter cualificado a la práctica cultural, en términos de arraigo, localización, oportunidad y excepcionalidad, excluyéndose el reconocimiento estatal a las demás expresiones que no respondan a estos criterios; y (ii) el deber estatal de adelantar acciones que desincentiven las prácticas culturales que incorporan maltrato o tratos crueles a los animales.</w:t>
      </w:r>
    </w:p>
    <w:p w:rsidR="00EE6AA7" w:rsidRPr="001F4F6E" w:rsidRDefault="00EE6AA7">
      <w:pPr>
        <w:pBdr>
          <w:top w:val="nil"/>
          <w:left w:val="nil"/>
          <w:bottom w:val="nil"/>
          <w:right w:val="nil"/>
          <w:between w:val="nil"/>
        </w:pBdr>
        <w:ind w:left="720"/>
        <w:jc w:val="both"/>
        <w:rPr>
          <w:rFonts w:ascii="Bookman Old Style" w:eastAsia="Bookman Old Style" w:hAnsi="Bookman Old Style" w:cs="Bookman Old Style"/>
          <w:i/>
          <w:color w:val="000000"/>
          <w:highlight w:val="white"/>
        </w:rPr>
      </w:pPr>
    </w:p>
    <w:p w:rsidR="00EE6AA7" w:rsidRPr="001F4F6E" w:rsidRDefault="00EE6AA7"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Más adelante, frente a la posibilidad de prohibir las actividades culturales que implican maltrato animal, y frente al cargo de inconstitucionalidad que sustentó el pronunciamiento, la Corte dispuso lo siguiente: </w:t>
      </w:r>
    </w:p>
    <w:p w:rsidR="00EE6AA7" w:rsidRPr="001F4F6E" w:rsidRDefault="00EE6AA7">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EE6AA7" w:rsidRPr="001F4F6E" w:rsidRDefault="00EE6AA7" w:rsidP="00C678BE">
      <w:pPr>
        <w:pStyle w:val="Prrafodelista"/>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 las autoridades locales carecen de un soporte normativo que las lleve a concluir que la actividad taurina está prohibida in genere. En contrario, se trata de un espectáculo avalado por las normas legales, pero que ha sido sometido a restricciones estrictas y específicas por parte de la Corte, en aras de hacerlo compatible con las prescripciones constitucionales relacionadas con la protección del medio ambiente.  En ese sentido, comparte unidad de sentido con otra serie de actividades que si bien no están constitucional o legalmente prohibidas, sí se someten válidamente a limitaciones, incluso intensas, pues existe el interés de desincentivarlas, como sucede con el consumo de tabaco o de bebidas embriagantes.</w:t>
      </w:r>
      <w:hyperlink r:id="rId13" w:anchor="_ftn32" w:history="1">
        <w:r w:rsidRPr="001F4F6E">
          <w:rPr>
            <w:rFonts w:ascii="Bookman Old Style" w:eastAsia="Bookman Old Style" w:hAnsi="Bookman Old Style" w:cs="Bookman Old Style"/>
            <w:i/>
            <w:color w:val="000000"/>
            <w:highlight w:val="white"/>
          </w:rPr>
          <w:t>[32]</w:t>
        </w:r>
      </w:hyperlink>
      <w:r w:rsidRPr="001F4F6E">
        <w:rPr>
          <w:rFonts w:ascii="Bookman Old Style" w:eastAsia="Bookman Old Style" w:hAnsi="Bookman Old Style" w:cs="Bookman Old Style"/>
          <w:i/>
          <w:color w:val="000000"/>
          <w:highlight w:val="white"/>
        </w:rPr>
        <w:t> A su vez, como se trata de una actividad controversial y que compromete posiciones jurídicas constitucionalmente relevantes, bien puede ser restringida por el legislador, al grado de prohibición general.  Sin embargo, consideraciones básicas derivadas de la eficacia del principio democrático, exigen que esas decisiones estén precedidas del debate propio de las normas legales.”</w:t>
      </w:r>
    </w:p>
    <w:p w:rsidR="00A34AE4" w:rsidRPr="001F4F6E" w:rsidRDefault="00A34AE4" w:rsidP="00C678BE">
      <w:pPr>
        <w:pBdr>
          <w:top w:val="nil"/>
          <w:left w:val="nil"/>
          <w:bottom w:val="nil"/>
          <w:right w:val="nil"/>
          <w:between w:val="nil"/>
        </w:pBdr>
        <w:ind w:left="720"/>
        <w:jc w:val="both"/>
        <w:rPr>
          <w:rFonts w:ascii="Bookman Old Style" w:eastAsia="Bookman Old Style" w:hAnsi="Bookman Old Style" w:cs="Bookman Old Style"/>
          <w:i/>
          <w:color w:val="000000"/>
          <w:highlight w:val="white"/>
        </w:rPr>
      </w:pPr>
    </w:p>
    <w:p w:rsidR="00A34AE4" w:rsidRPr="001F4F6E" w:rsidRDefault="00EE6AA7"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lastRenderedPageBreak/>
        <w:t>Finalmente, la Corte determina</w:t>
      </w:r>
      <w:r w:rsidR="000F347E" w:rsidRPr="001F4F6E">
        <w:rPr>
          <w:rFonts w:ascii="Bookman Old Style" w:eastAsia="Bookman Old Style" w:hAnsi="Bookman Old Style" w:cs="Bookman Old Style"/>
          <w:color w:val="000000"/>
          <w:highlight w:val="white"/>
        </w:rPr>
        <w:t xml:space="preserve"> los criterios que se deben cumplir para poder realizar una corrida de toros, </w:t>
      </w:r>
      <w:r w:rsidRPr="001F4F6E">
        <w:rPr>
          <w:rFonts w:ascii="Bookman Old Style" w:eastAsia="Bookman Old Style" w:hAnsi="Bookman Old Style" w:cs="Bookman Old Style"/>
          <w:color w:val="000000"/>
          <w:highlight w:val="white"/>
        </w:rPr>
        <w:t>de conformidad con el Reglamento Nacional Taurino</w:t>
      </w:r>
      <w:r w:rsidR="00DA01BB" w:rsidRPr="001F4F6E">
        <w:rPr>
          <w:rFonts w:ascii="Bookman Old Style" w:eastAsia="Bookman Old Style" w:hAnsi="Bookman Old Style" w:cs="Bookman Old Style"/>
          <w:color w:val="000000"/>
          <w:highlight w:val="white"/>
        </w:rPr>
        <w:t xml:space="preserve"> y declara la exequibilidad de la norma acusada bajo los criterios ya reseñados en la sentencia C-666 de 2010.</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b/>
          <w:color w:val="000000"/>
          <w:highlight w:val="white"/>
        </w:rPr>
        <w:t>Fallo 22592 de 2012</w:t>
      </w:r>
      <w:r w:rsidRPr="001F4F6E">
        <w:rPr>
          <w:rFonts w:ascii="Bookman Old Style" w:eastAsia="Bookman Old Style" w:hAnsi="Bookman Old Style" w:cs="Bookman Old Style"/>
          <w:color w:val="000000"/>
          <w:highlight w:val="white"/>
        </w:rPr>
        <w:t xml:space="preserve">. </w:t>
      </w:r>
      <w:r w:rsidRPr="001F4F6E">
        <w:rPr>
          <w:rFonts w:ascii="Bookman Old Style" w:eastAsia="Bookman Old Style" w:hAnsi="Bookman Old Style" w:cs="Bookman Old Style"/>
          <w:b/>
          <w:color w:val="000000"/>
          <w:highlight w:val="white"/>
        </w:rPr>
        <w:t>Consejo de Estado</w:t>
      </w:r>
      <w:r w:rsidRPr="001F4F6E">
        <w:rPr>
          <w:rFonts w:ascii="Bookman Old Style" w:eastAsia="Bookman Old Style" w:hAnsi="Bookman Old Style" w:cs="Bookman Old Style"/>
          <w:color w:val="000000"/>
          <w:highlight w:val="white"/>
        </w:rPr>
        <w:t xml:space="preserve">. Sus implicaciones complementan el reconocimiento sobre la sintiencia (Capacidad de sentir placer y dolor) de los animales que hizo la Corte Constitucional en la Sentencia 666 de 2010. Es armónico con la Sentencia 666 de 2010, que limitó de manera considerable el ejercicio de la tauromaquia en Colombia, </w:t>
      </w:r>
      <w:r w:rsidR="002329BA" w:rsidRPr="001F4F6E">
        <w:rPr>
          <w:rFonts w:ascii="Bookman Old Style" w:eastAsia="Bookman Old Style" w:hAnsi="Bookman Old Style" w:cs="Bookman Old Style"/>
          <w:color w:val="000000"/>
          <w:highlight w:val="white"/>
        </w:rPr>
        <w:t xml:space="preserve">reconociéndola </w:t>
      </w:r>
      <w:r w:rsidRPr="001F4F6E">
        <w:rPr>
          <w:rFonts w:ascii="Bookman Old Style" w:eastAsia="Bookman Old Style" w:hAnsi="Bookman Old Style" w:cs="Bookman Old Style"/>
          <w:color w:val="000000"/>
          <w:highlight w:val="white"/>
        </w:rPr>
        <w:t>como un acto cruel que debe ir desapareciendo con el tiempo, a la par que resalta una serie de medidas que llevan a proteger a los animales partícipes. Lo anterior, va en dirección del espíritu consagrado en los anales de la Ley 84 de 1989 – Estatuto Nacional de Protección a los Animales, que a pesar de sus expresas y controversiales excepciones, donde se incluye la tauromaquia, sí pone de manifiesto la necesidad de una mayor evolución moral, de modo que logre abarcar y no discrimine a ninguna especie animal.</w:t>
      </w:r>
    </w:p>
    <w:p w:rsidR="00EE0E78" w:rsidRPr="001F4F6E" w:rsidRDefault="00EE0E78">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6358EC" w:rsidRPr="001F4F6E" w:rsidRDefault="000F347E" w:rsidP="00C678BE">
      <w:pPr>
        <w:pBdr>
          <w:top w:val="nil"/>
          <w:left w:val="nil"/>
          <w:bottom w:val="nil"/>
          <w:right w:val="nil"/>
          <w:between w:val="nil"/>
        </w:pBdr>
        <w:jc w:val="both"/>
        <w:rPr>
          <w:rFonts w:ascii="Bookman Old Style" w:eastAsia="Bookman Old Style" w:hAnsi="Bookman Old Style" w:cs="Bookman Old Style"/>
          <w:b/>
          <w:color w:val="000000"/>
          <w:highlight w:val="white"/>
        </w:rPr>
      </w:pPr>
      <w:r w:rsidRPr="001F4F6E">
        <w:rPr>
          <w:rFonts w:ascii="Bookman Old Style" w:eastAsia="Bookman Old Style" w:hAnsi="Bookman Old Style" w:cs="Bookman Old Style"/>
          <w:b/>
          <w:color w:val="000000"/>
        </w:rPr>
        <w:t xml:space="preserve">Sentencia C-283 de 2014. </w:t>
      </w:r>
      <w:r w:rsidRPr="001F4F6E">
        <w:rPr>
          <w:rFonts w:ascii="Bookman Old Style" w:eastAsia="Bookman Old Style" w:hAnsi="Bookman Old Style" w:cs="Bookman Old Style"/>
          <w:b/>
          <w:color w:val="000000"/>
          <w:highlight w:val="white"/>
        </w:rPr>
        <w:t>Corte Constitucional.</w:t>
      </w:r>
      <w:r w:rsidRPr="001F4F6E">
        <w:rPr>
          <w:rFonts w:ascii="Bookman Old Style" w:eastAsia="Bookman Old Style" w:hAnsi="Bookman Old Style" w:cs="Bookman Old Style"/>
          <w:color w:val="000000"/>
          <w:highlight w:val="white"/>
        </w:rPr>
        <w:t xml:space="preserve"> </w:t>
      </w:r>
      <w:r w:rsidRPr="001F4F6E">
        <w:rPr>
          <w:rFonts w:ascii="Bookman Old Style" w:eastAsia="Bookman Old Style" w:hAnsi="Bookman Old Style" w:cs="Bookman Old Style"/>
          <w:color w:val="000000"/>
        </w:rPr>
        <w:t xml:space="preserve">Demanda de inconstitucionalidad contra </w:t>
      </w:r>
      <w:r w:rsidR="00642C77" w:rsidRPr="001F4F6E">
        <w:rPr>
          <w:rFonts w:ascii="Bookman Old Style" w:eastAsia="Bookman Old Style" w:hAnsi="Bookman Old Style" w:cs="Bookman Old Style"/>
          <w:color w:val="000000"/>
        </w:rPr>
        <w:t>la</w:t>
      </w:r>
      <w:r w:rsidRPr="001F4F6E">
        <w:rPr>
          <w:rFonts w:ascii="Bookman Old Style" w:eastAsia="Bookman Old Style" w:hAnsi="Bookman Old Style" w:cs="Bookman Old Style"/>
          <w:color w:val="000000"/>
        </w:rPr>
        <w:t xml:space="preserve"> Ley 1638 de 2013</w:t>
      </w:r>
      <w:r w:rsidR="006358EC" w:rsidRPr="001F4F6E">
        <w:rPr>
          <w:rFonts w:ascii="Bookman Old Style" w:eastAsia="Bookman Old Style" w:hAnsi="Bookman Old Style" w:cs="Bookman Old Style"/>
          <w:color w:val="000000"/>
        </w:rPr>
        <w:t xml:space="preserve"> que prohibió el</w:t>
      </w:r>
      <w:r w:rsidRPr="001F4F6E">
        <w:rPr>
          <w:rFonts w:ascii="Bookman Old Style" w:eastAsia="Bookman Old Style" w:hAnsi="Bookman Old Style" w:cs="Bookman Old Style"/>
          <w:color w:val="000000"/>
        </w:rPr>
        <w:t xml:space="preserve"> uso de animales silvestres, nativos o exóticos, en espectáculos de circos fijos e itinerantes, en todo el territorio nacional. </w:t>
      </w:r>
    </w:p>
    <w:p w:rsidR="00A34AE4" w:rsidRPr="001F4F6E" w:rsidRDefault="00A34AE4" w:rsidP="00C678BE">
      <w:pPr>
        <w:pStyle w:val="Prrafodelista"/>
        <w:rPr>
          <w:rFonts w:ascii="Bookman Old Style" w:eastAsia="Bookman Old Style" w:hAnsi="Bookman Old Style" w:cs="Bookman Old Style"/>
          <w:color w:val="000000"/>
        </w:rPr>
      </w:pPr>
    </w:p>
    <w:p w:rsidR="009F3799" w:rsidRPr="001F4F6E" w:rsidRDefault="00152CC1" w:rsidP="00C678BE">
      <w:p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 xml:space="preserve">La Corte declaró la exequibilidad de las normas demandadas, resaltando que fueron proferidos en cumplimiento del </w:t>
      </w:r>
      <w:r w:rsidR="009F3799" w:rsidRPr="001F4F6E">
        <w:rPr>
          <w:rFonts w:ascii="Bookman Old Style" w:eastAsia="Bookman Old Style" w:hAnsi="Bookman Old Style" w:cs="Bookman Old Style"/>
          <w:color w:val="000000"/>
        </w:rPr>
        <w:t>mandato constitucional de protección al ambiente y a los animales.</w:t>
      </w:r>
    </w:p>
    <w:p w:rsidR="009F3799" w:rsidRPr="001F4F6E" w:rsidRDefault="009F3799">
      <w:pPr>
        <w:pBdr>
          <w:top w:val="nil"/>
          <w:left w:val="nil"/>
          <w:bottom w:val="nil"/>
          <w:right w:val="nil"/>
          <w:between w:val="nil"/>
        </w:pBdr>
        <w:ind w:left="720"/>
        <w:jc w:val="both"/>
        <w:rPr>
          <w:rFonts w:ascii="Bookman Old Style" w:eastAsia="Bookman Old Style" w:hAnsi="Bookman Old Style" w:cs="Bookman Old Style"/>
          <w:color w:val="000000"/>
        </w:rPr>
      </w:pPr>
    </w:p>
    <w:p w:rsidR="009F3799" w:rsidRPr="001F4F6E" w:rsidRDefault="009F3799" w:rsidP="00C678BE">
      <w:p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Sobre este asunto y después de realizar un recuento sobre las normas constitucionales que tratan sobre estos asuntos, los instrumentos internacionales que se han ocupado sobre la materia y las razones para prohibir el uso de animales en este tipo de espectáculos, el Alto Tribunal resaltó:</w:t>
      </w:r>
    </w:p>
    <w:p w:rsidR="009F3799" w:rsidRPr="001F4F6E" w:rsidRDefault="009F3799">
      <w:pPr>
        <w:pBdr>
          <w:top w:val="nil"/>
          <w:left w:val="nil"/>
          <w:bottom w:val="nil"/>
          <w:right w:val="nil"/>
          <w:between w:val="nil"/>
        </w:pBdr>
        <w:ind w:left="720"/>
        <w:jc w:val="both"/>
        <w:rPr>
          <w:rFonts w:ascii="Bookman Old Style" w:eastAsia="Bookman Old Style" w:hAnsi="Bookman Old Style" w:cs="Bookman Old Style"/>
          <w:color w:val="000000"/>
        </w:rPr>
      </w:pPr>
    </w:p>
    <w:p w:rsidR="00642C77" w:rsidRPr="001F4F6E" w:rsidRDefault="009F3799"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w:t>
      </w:r>
      <w:r w:rsidR="003826E0" w:rsidRPr="001F4F6E">
        <w:rPr>
          <w:rFonts w:ascii="Bookman Old Style" w:eastAsia="Bookman Old Style" w:hAnsi="Bookman Old Style" w:cs="Bookman Old Style"/>
          <w:i/>
          <w:color w:val="000000"/>
          <w:highlight w:val="white"/>
        </w:rPr>
        <w:t xml:space="preserve">Tales preceptos constitucionales muestran la relevancia del interés superior del medio ambiente -Carta ecológica- como bien a proteger por sí mismo, además de la relación estrecha con los seres de la tierra. Una mayor consciencia, efectividad y drasticidad en la política defensora de la fauna silvestre se </w:t>
      </w:r>
      <w:r w:rsidR="003826E0" w:rsidRPr="001F4F6E">
        <w:rPr>
          <w:rFonts w:ascii="Bookman Old Style" w:eastAsia="Bookman Old Style" w:hAnsi="Bookman Old Style" w:cs="Bookman Old Style"/>
          <w:i/>
          <w:color w:val="000000"/>
          <w:highlight w:val="white"/>
        </w:rPr>
        <w:lastRenderedPageBreak/>
        <w:t>constituye en un imperativo. Los peligros y daños ambientales (maltrato animal-progresiva desaparición de la fauna) plantean la necesidad de normar los procesos bajo la neutralización del daño ambiental y la adopción de medidas oportunas eficaces aunque no exista certeza del daño.</w:t>
      </w:r>
      <w:bookmarkStart w:id="2" w:name="_ftnref242"/>
      <w:r w:rsidR="009E7FBB" w:rsidRPr="001F4F6E">
        <w:rPr>
          <w:rFonts w:ascii="Bookman Old Style" w:eastAsia="Bookman Old Style" w:hAnsi="Bookman Old Style" w:cs="Bookman Old Style"/>
          <w:i/>
          <w:color w:val="000000"/>
          <w:highlight w:val="white"/>
        </w:rPr>
        <w:fldChar w:fldCharType="begin"/>
      </w:r>
      <w:r w:rsidR="003826E0" w:rsidRPr="001F4F6E">
        <w:rPr>
          <w:rFonts w:ascii="Bookman Old Style" w:eastAsia="Bookman Old Style" w:hAnsi="Bookman Old Style" w:cs="Bookman Old Style"/>
          <w:i/>
          <w:color w:val="000000"/>
          <w:highlight w:val="white"/>
        </w:rPr>
        <w:instrText xml:space="preserve"> HYPERLINK "https://www.corteconstitucional.gov.co/relatoria/2014/C-283-14.htm" \l "_ftn242" \o "" </w:instrText>
      </w:r>
      <w:r w:rsidR="009E7FBB" w:rsidRPr="001F4F6E">
        <w:rPr>
          <w:rFonts w:ascii="Bookman Old Style" w:eastAsia="Bookman Old Style" w:hAnsi="Bookman Old Style" w:cs="Bookman Old Style"/>
          <w:i/>
          <w:color w:val="000000"/>
          <w:highlight w:val="white"/>
        </w:rPr>
        <w:fldChar w:fldCharType="separate"/>
      </w:r>
      <w:r w:rsidR="003826E0" w:rsidRPr="001F4F6E">
        <w:rPr>
          <w:rFonts w:ascii="Bookman Old Style" w:eastAsia="Bookman Old Style" w:hAnsi="Bookman Old Style" w:cs="Bookman Old Style"/>
          <w:i/>
          <w:color w:val="000000"/>
          <w:highlight w:val="white"/>
        </w:rPr>
        <w:t>[242]</w:t>
      </w:r>
      <w:r w:rsidR="009E7FBB" w:rsidRPr="001F4F6E">
        <w:rPr>
          <w:rFonts w:ascii="Bookman Old Style" w:eastAsia="Bookman Old Style" w:hAnsi="Bookman Old Style" w:cs="Bookman Old Style"/>
          <w:i/>
          <w:color w:val="000000"/>
          <w:highlight w:val="white"/>
        </w:rPr>
        <w:fldChar w:fldCharType="end"/>
      </w:r>
      <w:bookmarkEnd w:id="2"/>
      <w:r w:rsidR="003826E0" w:rsidRPr="001F4F6E">
        <w:rPr>
          <w:rFonts w:ascii="Bookman Old Style" w:eastAsia="Bookman Old Style" w:hAnsi="Bookman Old Style" w:cs="Bookman Old Style"/>
          <w:i/>
          <w:color w:val="000000"/>
          <w:highlight w:val="white"/>
        </w:rPr>
        <w:t> La interconexión con las demás formas de vida, el acceso apropiado a los recursos biológicos y genéticos, el respeto por el conocimiento tradicional y la protección de la biósfera y biodiversidad, habrán de atenderse por la humanidad</w:t>
      </w:r>
      <w:r w:rsidRPr="001F4F6E">
        <w:rPr>
          <w:rStyle w:val="Refdenotaalpie"/>
          <w:rFonts w:ascii="Bookman Old Style" w:eastAsia="Bookman Old Style" w:hAnsi="Bookman Old Style" w:cs="Bookman Old Style"/>
          <w:i/>
          <w:color w:val="000000"/>
          <w:highlight w:val="white"/>
        </w:rPr>
        <w:footnoteReference w:id="6"/>
      </w:r>
      <w:r w:rsidRPr="001F4F6E">
        <w:rPr>
          <w:rFonts w:ascii="Bookman Old Style" w:eastAsia="Bookman Old Style" w:hAnsi="Bookman Old Style" w:cs="Bookman Old Style"/>
          <w:i/>
          <w:color w:val="000000"/>
          <w:highlight w:val="white"/>
        </w:rPr>
        <w:t>”</w:t>
      </w:r>
      <w:r w:rsidR="003826E0" w:rsidRPr="001F4F6E">
        <w:rPr>
          <w:rFonts w:ascii="Bookman Old Style" w:eastAsia="Bookman Old Style" w:hAnsi="Bookman Old Style" w:cs="Bookman Old Style"/>
          <w:i/>
          <w:color w:val="000000"/>
          <w:highlight w:val="white"/>
        </w:rPr>
        <w:t xml:space="preserve">. </w:t>
      </w:r>
    </w:p>
    <w:p w:rsidR="009F3799" w:rsidRPr="001F4F6E" w:rsidRDefault="009F3799">
      <w:pPr>
        <w:pBdr>
          <w:top w:val="nil"/>
          <w:left w:val="nil"/>
          <w:bottom w:val="nil"/>
          <w:right w:val="nil"/>
          <w:between w:val="nil"/>
        </w:pBdr>
        <w:ind w:left="720"/>
        <w:jc w:val="both"/>
        <w:rPr>
          <w:rFonts w:ascii="Bookman Old Style" w:eastAsia="Bookman Old Style" w:hAnsi="Bookman Old Style" w:cs="Bookman Old Style"/>
          <w:color w:val="000000"/>
        </w:rPr>
      </w:pPr>
    </w:p>
    <w:p w:rsidR="00A34AE4" w:rsidRPr="001F4F6E" w:rsidRDefault="000F347E" w:rsidP="00C678BE">
      <w:pPr>
        <w:pBdr>
          <w:top w:val="nil"/>
          <w:left w:val="nil"/>
          <w:bottom w:val="nil"/>
          <w:right w:val="nil"/>
          <w:between w:val="nil"/>
        </w:pBdr>
        <w:jc w:val="both"/>
        <w:rPr>
          <w:rFonts w:ascii="Bookman Old Style" w:eastAsia="Bookman Old Style" w:hAnsi="Bookman Old Style" w:cs="Bookman Old Style"/>
          <w:b/>
          <w:color w:val="000000"/>
          <w:highlight w:val="white"/>
        </w:rPr>
      </w:pPr>
      <w:r w:rsidRPr="001F4F6E">
        <w:rPr>
          <w:rFonts w:ascii="Bookman Old Style" w:eastAsia="Bookman Old Style" w:hAnsi="Bookman Old Style" w:cs="Bookman Old Style"/>
          <w:color w:val="000000"/>
        </w:rPr>
        <w:t xml:space="preserve">En suma, la Corte </w:t>
      </w:r>
      <w:r w:rsidR="00BA369D" w:rsidRPr="001F4F6E">
        <w:rPr>
          <w:rFonts w:ascii="Bookman Old Style" w:eastAsia="Bookman Old Style" w:hAnsi="Bookman Old Style" w:cs="Bookman Old Style"/>
          <w:color w:val="000000"/>
        </w:rPr>
        <w:t>determinó</w:t>
      </w:r>
      <w:r w:rsidRPr="001F4F6E">
        <w:rPr>
          <w:rFonts w:ascii="Bookman Old Style" w:eastAsia="Bookman Old Style" w:hAnsi="Bookman Old Style" w:cs="Bookman Old Style"/>
          <w:color w:val="000000"/>
        </w:rPr>
        <w:t xml:space="preserve"> la existencia de un fin constitucionalmente válido en la ley demandada</w:t>
      </w:r>
      <w:r w:rsidR="00FB56E8" w:rsidRPr="001F4F6E">
        <w:rPr>
          <w:rFonts w:ascii="Bookman Old Style" w:eastAsia="Bookman Old Style" w:hAnsi="Bookman Old Style" w:cs="Bookman Old Style"/>
          <w:color w:val="000000"/>
        </w:rPr>
        <w:t xml:space="preserve">, </w:t>
      </w:r>
      <w:r w:rsidRPr="001F4F6E">
        <w:rPr>
          <w:rFonts w:ascii="Bookman Old Style" w:eastAsia="Bookman Old Style" w:hAnsi="Bookman Old Style" w:cs="Bookman Old Style"/>
          <w:color w:val="000000"/>
        </w:rPr>
        <w:t xml:space="preserve">al propender por la </w:t>
      </w:r>
      <w:r w:rsidR="00FB56E8" w:rsidRPr="001F4F6E">
        <w:rPr>
          <w:rFonts w:ascii="Bookman Old Style" w:eastAsia="Bookman Old Style" w:hAnsi="Bookman Old Style" w:cs="Bookman Old Style"/>
          <w:color w:val="000000"/>
        </w:rPr>
        <w:t xml:space="preserve">preservación del medio ambiente a través de la </w:t>
      </w:r>
      <w:r w:rsidRPr="001F4F6E">
        <w:rPr>
          <w:rFonts w:ascii="Bookman Old Style" w:eastAsia="Bookman Old Style" w:hAnsi="Bookman Old Style" w:cs="Bookman Old Style"/>
          <w:color w:val="000000"/>
        </w:rPr>
        <w:t xml:space="preserve">protección de los animales silvestres. </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621E17" w:rsidRPr="001F4F6E" w:rsidRDefault="000F347E"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b/>
          <w:color w:val="000000"/>
        </w:rPr>
        <w:t>Sentencia C-467 de 2016.</w:t>
      </w:r>
      <w:r w:rsidRPr="001F4F6E">
        <w:rPr>
          <w:rFonts w:ascii="Bookman Old Style" w:eastAsia="Bookman Old Style" w:hAnsi="Bookman Old Style" w:cs="Bookman Old Style"/>
          <w:color w:val="000000"/>
          <w:highlight w:val="white"/>
        </w:rPr>
        <w:t xml:space="preserve"> </w:t>
      </w:r>
      <w:r w:rsidRPr="001F4F6E">
        <w:rPr>
          <w:rFonts w:ascii="Bookman Old Style" w:eastAsia="Bookman Old Style" w:hAnsi="Bookman Old Style" w:cs="Bookman Old Style"/>
          <w:b/>
          <w:color w:val="000000"/>
          <w:highlight w:val="white"/>
        </w:rPr>
        <w:t>Corte Constitucional.</w:t>
      </w:r>
      <w:r w:rsidRPr="001F4F6E">
        <w:rPr>
          <w:rFonts w:ascii="Bookman Old Style" w:eastAsia="Bookman Old Style" w:hAnsi="Bookman Old Style" w:cs="Bookman Old Style"/>
          <w:color w:val="000000"/>
          <w:highlight w:val="white"/>
        </w:rPr>
        <w:t xml:space="preserve"> </w:t>
      </w:r>
      <w:r w:rsidRPr="001F4F6E">
        <w:rPr>
          <w:rFonts w:ascii="Bookman Old Style" w:eastAsia="Bookman Old Style" w:hAnsi="Bookman Old Style" w:cs="Bookman Old Style"/>
          <w:color w:val="000000"/>
        </w:rPr>
        <w:t>Demanda de inconstitucionalidad presentada contra los artículos 656 y 658 del Código Civil</w:t>
      </w:r>
      <w:r w:rsidR="00397598" w:rsidRPr="001F4F6E">
        <w:rPr>
          <w:rFonts w:ascii="Bookman Old Style" w:eastAsia="Bookman Old Style" w:hAnsi="Bookman Old Style" w:cs="Bookman Old Style"/>
          <w:color w:val="000000"/>
        </w:rPr>
        <w:t xml:space="preserve"> que otorgaban a los animales la calidad de bienes muebles semovientes e inmuebles por destinación. La demanda tuvo como fundamento el reconocimiento de seres sintientes realizado por el legislador a través de la Ley 1774 de 2016</w:t>
      </w:r>
      <w:r w:rsidRPr="001F4F6E">
        <w:rPr>
          <w:rFonts w:ascii="Bookman Old Style" w:eastAsia="Bookman Old Style" w:hAnsi="Bookman Old Style" w:cs="Bookman Old Style"/>
          <w:color w:val="000000"/>
        </w:rPr>
        <w:t>.</w:t>
      </w:r>
      <w:r w:rsidRPr="001F4F6E">
        <w:rPr>
          <w:rFonts w:ascii="Arial" w:eastAsia="Arial" w:hAnsi="Arial" w:cs="Arial"/>
          <w:color w:val="000000"/>
        </w:rPr>
        <w:t xml:space="preserve"> </w:t>
      </w:r>
    </w:p>
    <w:p w:rsidR="00A34AE4" w:rsidRPr="001F4F6E" w:rsidRDefault="00A34AE4" w:rsidP="00C678BE">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631FA0" w:rsidRPr="001F4F6E" w:rsidRDefault="00621E17" w:rsidP="00C678BE">
      <w:pPr>
        <w:pBdr>
          <w:top w:val="nil"/>
          <w:left w:val="nil"/>
          <w:bottom w:val="nil"/>
          <w:right w:val="nil"/>
          <w:between w:val="nil"/>
        </w:pBdr>
        <w:jc w:val="both"/>
        <w:rPr>
          <w:rFonts w:ascii="Bookman Old Style" w:hAnsi="Bookman Old Style"/>
          <w:color w:val="000000" w:themeColor="text1"/>
        </w:rPr>
      </w:pPr>
      <w:r w:rsidRPr="001F4F6E">
        <w:rPr>
          <w:rFonts w:ascii="Bookman Old Style" w:eastAsia="Bookman Old Style" w:hAnsi="Bookman Old Style" w:cs="Bookman Old Style"/>
          <w:color w:val="000000"/>
        </w:rPr>
        <w:t>En esta oportunidad la Corte estudió las implicaciones de que los animales tuviesen doble connotación, a saber la de bienes</w:t>
      </w:r>
      <w:r w:rsidR="00631FA0" w:rsidRPr="001F4F6E">
        <w:rPr>
          <w:rFonts w:ascii="Bookman Old Style" w:eastAsia="Bookman Old Style" w:hAnsi="Bookman Old Style" w:cs="Bookman Old Style"/>
          <w:color w:val="000000"/>
        </w:rPr>
        <w:t xml:space="preserve"> y la de seres sintientes, concluyendo que </w:t>
      </w:r>
      <w:r w:rsidR="003826E0" w:rsidRPr="001F4F6E">
        <w:rPr>
          <w:rFonts w:ascii="Bookman Old Style" w:eastAsia="Bookman Old Style" w:hAnsi="Bookman Old Style" w:cs="Bookman Old Style"/>
          <w:i/>
          <w:color w:val="000000"/>
        </w:rPr>
        <w:t>“la definición legal que se cuestiona se proyecta exclusivamente en el escenario civil, escenario que, por su propia naturaleza, escapa a la definición del trato que deben recibir los animales como seres sintientes</w:t>
      </w:r>
      <w:r w:rsidR="004C359B" w:rsidRPr="001F4F6E">
        <w:rPr>
          <w:rStyle w:val="Refdenotaalpie"/>
          <w:rFonts w:ascii="Bookman Old Style" w:eastAsia="Bookman Old Style" w:hAnsi="Bookman Old Style" w:cs="Bookman Old Style"/>
          <w:i/>
          <w:color w:val="000000"/>
        </w:rPr>
        <w:footnoteReference w:id="7"/>
      </w:r>
      <w:r w:rsidR="003826E0" w:rsidRPr="001F4F6E">
        <w:rPr>
          <w:rFonts w:ascii="Bookman Old Style" w:eastAsia="Bookman Old Style" w:hAnsi="Bookman Old Style" w:cs="Bookman Old Style"/>
          <w:i/>
          <w:color w:val="000000"/>
        </w:rPr>
        <w:t>”.</w:t>
      </w:r>
      <w:r w:rsidR="00631FA0" w:rsidRPr="001F4F6E">
        <w:rPr>
          <w:rFonts w:ascii="Bookman Old Style" w:hAnsi="Bookman Old Style"/>
          <w:color w:val="000000" w:themeColor="text1"/>
        </w:rPr>
        <w:t xml:space="preserve"> </w:t>
      </w:r>
    </w:p>
    <w:p w:rsidR="00631FA0" w:rsidRPr="001F4F6E" w:rsidRDefault="00631FA0">
      <w:pPr>
        <w:pBdr>
          <w:top w:val="nil"/>
          <w:left w:val="nil"/>
          <w:bottom w:val="nil"/>
          <w:right w:val="nil"/>
          <w:between w:val="nil"/>
        </w:pBdr>
        <w:ind w:left="720"/>
        <w:jc w:val="both"/>
        <w:rPr>
          <w:rFonts w:ascii="Bookman Old Style" w:eastAsia="Bookman Old Style" w:hAnsi="Bookman Old Style" w:cs="Bookman Old Style"/>
          <w:color w:val="000000"/>
        </w:rPr>
      </w:pPr>
    </w:p>
    <w:p w:rsidR="005A7E82" w:rsidRPr="001F4F6E" w:rsidRDefault="004C359B" w:rsidP="00C678BE">
      <w:p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 xml:space="preserve">Para llegar a esta conclusión el Alto Tribunal determinó que la protección de los animales </w:t>
      </w:r>
      <w:r w:rsidR="003826E0" w:rsidRPr="001F4F6E">
        <w:rPr>
          <w:rFonts w:ascii="Bookman Old Style" w:eastAsia="Bookman Old Style" w:hAnsi="Bookman Old Style" w:cs="Bookman Old Style"/>
          <w:i/>
          <w:color w:val="000000"/>
        </w:rPr>
        <w:t>“se produce, no por vía de su calificación abstracta como seres sintientes ni como sujetos de derechos, sino con la identificación de las modalidades y de los escenarios en los que se infringe sufrimiento a los animales individualmente considerados, y con la adopción de medidas idóneas y eficaces para la erradicación de estas modalidades y escenarios en los que se produce el sufrimiento animal</w:t>
      </w:r>
      <w:r w:rsidRPr="001F4F6E">
        <w:rPr>
          <w:rStyle w:val="Refdenotaalpie"/>
          <w:rFonts w:ascii="Bookman Old Style" w:eastAsia="Bookman Old Style" w:hAnsi="Bookman Old Style" w:cs="Bookman Old Style"/>
          <w:i/>
          <w:color w:val="000000"/>
        </w:rPr>
        <w:footnoteReference w:id="8"/>
      </w:r>
      <w:r w:rsidR="003826E0" w:rsidRPr="001F4F6E">
        <w:rPr>
          <w:rFonts w:ascii="Bookman Old Style" w:eastAsia="Bookman Old Style" w:hAnsi="Bookman Old Style" w:cs="Bookman Old Style"/>
          <w:i/>
          <w:color w:val="000000"/>
        </w:rPr>
        <w:t>.</w:t>
      </w:r>
      <w:r w:rsidRPr="001F4F6E">
        <w:rPr>
          <w:rFonts w:ascii="Bookman Old Style" w:eastAsia="Bookman Old Style" w:hAnsi="Bookman Old Style" w:cs="Bookman Old Style"/>
          <w:i/>
          <w:color w:val="000000"/>
        </w:rPr>
        <w:t>”</w:t>
      </w:r>
      <w:r w:rsidR="005A7E82" w:rsidRPr="001F4F6E">
        <w:rPr>
          <w:rFonts w:ascii="Bookman Old Style" w:eastAsia="Bookman Old Style" w:hAnsi="Bookman Old Style" w:cs="Bookman Old Style"/>
          <w:color w:val="000000"/>
        </w:rPr>
        <w:t xml:space="preserve"> </w:t>
      </w:r>
      <w:r w:rsidR="00166A02" w:rsidRPr="001F4F6E">
        <w:rPr>
          <w:rFonts w:ascii="Bookman Old Style" w:eastAsia="Bookman Old Style" w:hAnsi="Bookman Old Style" w:cs="Bookman Old Style"/>
          <w:color w:val="000000"/>
        </w:rPr>
        <w:t>En ese sentido, y en lo que corresponde a la función del legislador, la Corte resaltó que</w:t>
      </w:r>
      <w:r w:rsidR="005A7E82" w:rsidRPr="001F4F6E">
        <w:rPr>
          <w:rFonts w:ascii="Bookman Old Style" w:eastAsia="Bookman Old Style" w:hAnsi="Bookman Old Style" w:cs="Bookman Old Style"/>
          <w:color w:val="000000"/>
        </w:rPr>
        <w:t>:</w:t>
      </w:r>
    </w:p>
    <w:p w:rsidR="005A7E82" w:rsidRPr="001F4F6E" w:rsidRDefault="005A7E82" w:rsidP="00C678BE">
      <w:pPr>
        <w:pBdr>
          <w:top w:val="nil"/>
          <w:left w:val="nil"/>
          <w:bottom w:val="nil"/>
          <w:right w:val="nil"/>
          <w:between w:val="nil"/>
        </w:pBdr>
        <w:jc w:val="both"/>
        <w:rPr>
          <w:rFonts w:ascii="Bookman Old Style" w:eastAsia="Bookman Old Style" w:hAnsi="Bookman Old Style" w:cs="Bookman Old Style"/>
          <w:color w:val="000000"/>
        </w:rPr>
      </w:pPr>
    </w:p>
    <w:p w:rsidR="00166A02" w:rsidRPr="001F4F6E" w:rsidRDefault="00166A02"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r w:rsidRPr="001F4F6E">
        <w:rPr>
          <w:rFonts w:ascii="Bookman Old Style" w:eastAsia="Bookman Old Style" w:hAnsi="Bookman Old Style" w:cs="Bookman Old Style"/>
          <w:color w:val="000000"/>
        </w:rPr>
        <w:t xml:space="preserve"> “</w:t>
      </w:r>
      <w:r w:rsidR="003826E0" w:rsidRPr="001F4F6E">
        <w:rPr>
          <w:rFonts w:ascii="Bookman Old Style" w:eastAsia="Bookman Old Style" w:hAnsi="Bookman Old Style" w:cs="Bookman Old Style"/>
          <w:i/>
          <w:color w:val="000000"/>
        </w:rPr>
        <w:t>la intervención legislativa en estos escenarios a la luz de los estándares de bienestar animal reviste un alto nivel de complejidad, porque implica mucho más que una recalificación legal abstracta, y exige intervenir variables de orden cultural, patrones alimentarios de vieja data, y reconfigurar modelos de producción no susceptibles de ser alterados unilateral y automáticamente. Es decir, la intervención legislativa en los ámbitos en los que se produce el maltrato animal, como la producción de materias primas (carne, lácteos y pieles), la investigación y experimentación con fines científicos e industriales, la utilización de animales como fuerza de trabajo o espectáculos públicos, y la tenencia de animales domésticos y salvajes, requiere de instrumentos y herramientas altamente sofisticadas, que rebasan por mucho la sola recalificación legal de los animales.</w:t>
      </w:r>
    </w:p>
    <w:p w:rsidR="00166A02" w:rsidRPr="001F4F6E" w:rsidRDefault="00166A02" w:rsidP="00C678BE">
      <w:pPr>
        <w:ind w:left="851" w:right="900"/>
        <w:jc w:val="both"/>
        <w:rPr>
          <w:rFonts w:ascii="Bookman Old Style" w:hAnsi="Bookman Old Style"/>
          <w:b/>
          <w:color w:val="000000" w:themeColor="text1"/>
        </w:rPr>
      </w:pPr>
    </w:p>
    <w:p w:rsidR="00A34AE4" w:rsidRPr="001F4F6E"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r w:rsidRPr="001F4F6E">
        <w:rPr>
          <w:rFonts w:ascii="Bookman Old Style" w:eastAsia="Bookman Old Style" w:hAnsi="Bookman Old Style" w:cs="Bookman Old Style"/>
          <w:i/>
          <w:color w:val="000000"/>
        </w:rPr>
        <w:t>De hecho, en aquellos casos en los que este tribunal se ha pronunciado sobre la prohibición de maltrato animal, ha concluido que la materialización de este principio no se obtiene por vía de la variación de su status legal, considerado en abstracto, sino por vía de la adopción de medidas concretas y específicas que regularicen la actividad humana en su interacción con los animales, como la adopción de protocolos para el ejercicio de actividades que provocan sufrimiento animal, o su prohibición inmediata o progresiva</w:t>
      </w:r>
      <w:r w:rsidR="00554AE4" w:rsidRPr="001F4F6E">
        <w:rPr>
          <w:rStyle w:val="Refdenotaalpie"/>
          <w:rFonts w:ascii="Bookman Old Style" w:eastAsia="Bookman Old Style" w:hAnsi="Bookman Old Style" w:cs="Bookman Old Style"/>
          <w:i/>
          <w:color w:val="000000"/>
        </w:rPr>
        <w:footnoteReference w:id="9"/>
      </w:r>
      <w:r w:rsidRPr="001F4F6E">
        <w:rPr>
          <w:rFonts w:ascii="Bookman Old Style" w:eastAsia="Bookman Old Style" w:hAnsi="Bookman Old Style" w:cs="Bookman Old Style"/>
          <w:i/>
          <w:color w:val="000000"/>
        </w:rPr>
        <w:t>.</w:t>
      </w:r>
      <w:r w:rsidR="00554AE4" w:rsidRPr="001F4F6E">
        <w:rPr>
          <w:rFonts w:ascii="Bookman Old Style" w:eastAsia="Bookman Old Style" w:hAnsi="Bookman Old Style" w:cs="Bookman Old Style"/>
          <w:i/>
          <w:color w:val="000000"/>
        </w:rPr>
        <w:t>”</w:t>
      </w:r>
    </w:p>
    <w:p w:rsidR="00554AE4" w:rsidRPr="001F4F6E" w:rsidRDefault="00554AE4">
      <w:pPr>
        <w:pBdr>
          <w:top w:val="nil"/>
          <w:left w:val="nil"/>
          <w:bottom w:val="nil"/>
          <w:right w:val="nil"/>
          <w:between w:val="nil"/>
        </w:pBdr>
        <w:ind w:left="720"/>
        <w:jc w:val="both"/>
        <w:rPr>
          <w:rFonts w:ascii="Bookman Old Style" w:eastAsia="Bookman Old Style" w:hAnsi="Bookman Old Style" w:cs="Bookman Old Style"/>
          <w:color w:val="000000"/>
        </w:rPr>
      </w:pPr>
    </w:p>
    <w:p w:rsidR="00A34AE4" w:rsidRPr="001F4F6E" w:rsidRDefault="00554AE4"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rPr>
        <w:t xml:space="preserve">Estos comentarios nuevamente, ratifican que es el Legislador el llamado a armonizar las normas actuales con los principios constitucionales de protección a los animales y que, solo el Congreso puede proceder a erradicar aquellas prácticas que constituyan maltrato animal, incluso cuando estén cobijadas por una connotación cultural. </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01061A" w:rsidRPr="001F4F6E" w:rsidRDefault="000F347E" w:rsidP="00C678BE">
      <w:pPr>
        <w:pBdr>
          <w:top w:val="nil"/>
          <w:left w:val="nil"/>
          <w:bottom w:val="nil"/>
          <w:right w:val="nil"/>
          <w:between w:val="nil"/>
        </w:pBdr>
        <w:jc w:val="both"/>
        <w:rPr>
          <w:rFonts w:ascii="Bookman Old Style" w:eastAsia="Bookman Old Style" w:hAnsi="Bookman Old Style" w:cs="Bookman Old Style"/>
          <w:b/>
          <w:color w:val="000000"/>
          <w:highlight w:val="white"/>
        </w:rPr>
      </w:pPr>
      <w:r w:rsidRPr="001F4F6E">
        <w:rPr>
          <w:rFonts w:ascii="Bookman Old Style" w:eastAsia="Bookman Old Style" w:hAnsi="Bookman Old Style" w:cs="Bookman Old Style"/>
          <w:b/>
          <w:color w:val="000000"/>
          <w:highlight w:val="white"/>
        </w:rPr>
        <w:t xml:space="preserve">Sentencia C-041 de 2017. Corte Constitucional. </w:t>
      </w:r>
      <w:r w:rsidR="003826E0" w:rsidRPr="001F4F6E">
        <w:rPr>
          <w:rFonts w:ascii="Bookman Old Style" w:eastAsia="Bookman Old Style" w:hAnsi="Bookman Old Style" w:cs="Bookman Old Style"/>
          <w:color w:val="000000"/>
          <w:highlight w:val="white"/>
        </w:rPr>
        <w:t>En esta oportunidad</w:t>
      </w:r>
      <w:r w:rsidR="008D63E1" w:rsidRPr="001F4F6E">
        <w:rPr>
          <w:rFonts w:ascii="Bookman Old Style" w:eastAsia="Bookman Old Style" w:hAnsi="Bookman Old Style" w:cs="Bookman Old Style"/>
          <w:color w:val="000000"/>
          <w:highlight w:val="white"/>
        </w:rPr>
        <w:t xml:space="preserve"> se demanda la expresión </w:t>
      </w:r>
      <w:r w:rsidRPr="001F4F6E">
        <w:rPr>
          <w:rFonts w:ascii="Bookman Old Style" w:eastAsia="Bookman Old Style" w:hAnsi="Bookman Old Style" w:cs="Bookman Old Style"/>
          <w:color w:val="000000"/>
          <w:highlight w:val="white"/>
        </w:rPr>
        <w:t>“menoscaben gravemente” prevista en el artículo 5º de la Ley 1774 de 2016, que adicionó el artículo 339A al Código Penal</w:t>
      </w:r>
      <w:r w:rsidR="008D63E1" w:rsidRPr="001F4F6E">
        <w:rPr>
          <w:rFonts w:ascii="Bookman Old Style" w:eastAsia="Bookman Old Style" w:hAnsi="Bookman Old Style" w:cs="Bookman Old Style"/>
          <w:color w:val="000000"/>
          <w:highlight w:val="white"/>
        </w:rPr>
        <w:t xml:space="preserve">, por considerar que es ambigua. </w:t>
      </w:r>
      <w:r w:rsidR="0001061A" w:rsidRPr="001F4F6E">
        <w:rPr>
          <w:rFonts w:ascii="Bookman Old Style" w:eastAsia="Bookman Old Style" w:hAnsi="Bookman Old Style" w:cs="Bookman Old Style"/>
          <w:color w:val="000000"/>
          <w:highlight w:val="white"/>
        </w:rPr>
        <w:t xml:space="preserve">La Corte, amparada en el concepto de “tipo </w:t>
      </w:r>
      <w:r w:rsidR="0001061A" w:rsidRPr="001F4F6E">
        <w:rPr>
          <w:rFonts w:ascii="Bookman Old Style" w:eastAsia="Bookman Old Style" w:hAnsi="Bookman Old Style" w:cs="Bookman Old Style"/>
          <w:color w:val="000000"/>
          <w:highlight w:val="white"/>
        </w:rPr>
        <w:lastRenderedPageBreak/>
        <w:t>penal en blanco” declara exequible la norma, pero profundiza en el deber de protección de los animales, reconociendo incluso la posibilidad de que les sean predicables algunos derechos que, evidentemente, no podrán ser equiparables a los de los seres humanos.</w:t>
      </w:r>
    </w:p>
    <w:p w:rsidR="0001061A" w:rsidRPr="001F4F6E" w:rsidRDefault="0001061A">
      <w:pPr>
        <w:pBdr>
          <w:top w:val="nil"/>
          <w:left w:val="nil"/>
          <w:bottom w:val="nil"/>
          <w:right w:val="nil"/>
          <w:between w:val="nil"/>
        </w:pBdr>
        <w:ind w:left="720"/>
        <w:jc w:val="both"/>
        <w:rPr>
          <w:rFonts w:ascii="Bookman Old Style" w:eastAsia="Bookman Old Style" w:hAnsi="Bookman Old Style" w:cs="Bookman Old Style"/>
          <w:b/>
          <w:color w:val="000000"/>
          <w:highlight w:val="white"/>
        </w:rPr>
      </w:pPr>
    </w:p>
    <w:p w:rsidR="0001061A" w:rsidRPr="001F4F6E" w:rsidRDefault="0001061A"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Al respecto, refiere el </w:t>
      </w:r>
      <w:r w:rsidR="005A7E82" w:rsidRPr="001F4F6E">
        <w:rPr>
          <w:rFonts w:ascii="Bookman Old Style" w:eastAsia="Bookman Old Style" w:hAnsi="Bookman Old Style" w:cs="Bookman Old Style"/>
          <w:color w:val="000000"/>
          <w:highlight w:val="white"/>
        </w:rPr>
        <w:t>Alto</w:t>
      </w:r>
      <w:r w:rsidRPr="001F4F6E">
        <w:rPr>
          <w:rFonts w:ascii="Bookman Old Style" w:eastAsia="Bookman Old Style" w:hAnsi="Bookman Old Style" w:cs="Bookman Old Style"/>
          <w:color w:val="000000"/>
          <w:highlight w:val="white"/>
        </w:rPr>
        <w:t xml:space="preserve"> Tribunal lo siguiente:</w:t>
      </w:r>
    </w:p>
    <w:p w:rsidR="0001061A" w:rsidRPr="001F4F6E" w:rsidRDefault="0001061A">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A34AE4" w:rsidRPr="001F4F6E" w:rsidRDefault="0001061A"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w:t>
      </w:r>
      <w:r w:rsidR="003826E0" w:rsidRPr="001F4F6E">
        <w:rPr>
          <w:rFonts w:ascii="Bookman Old Style" w:eastAsia="Bookman Old Style" w:hAnsi="Bookman Old Style" w:cs="Bookman Old Style"/>
          <w:i/>
          <w:color w:val="000000"/>
          <w:highlight w:val="white"/>
        </w:rPr>
        <w:t>(…) Aunque la Constitución no reconozca explícitamente a los animales como titulares de derechos, ello no debe entenderse como su negación, ni menos como una prohibición para su reconocimiento -innominados-. Su exigencia atiende a factores como la evolución de la humanidad y los cambios que presente una sociedad, lo cual puede llevar a la Corte a hacer visible lo que a primera vista no se avizora en la Constitución. Además, con independencia de la clasificación de los derechos en el tiempo (generacionales), forman una unidad por cuanto son interdependientes, integrales y universales.</w:t>
      </w:r>
    </w:p>
    <w:p w:rsidR="00A34AE4" w:rsidRPr="001F4F6E" w:rsidRDefault="00A34AE4"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p>
    <w:p w:rsidR="0001061A" w:rsidRPr="001F4F6E"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Siendo este Tribunal el intérprete autorizado de la Carta Política (art. 241), tiene una función encomiable de hacer cierta para la realidad del Derecho la inclusión de los animales como titulares de ciertos derechos, en la obtención de los fines esenciales y sociales del Estado constitucional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rsidR="0001061A" w:rsidRPr="001F4F6E" w:rsidRDefault="0001061A"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p>
    <w:p w:rsidR="00A34AE4" w:rsidRPr="001F4F6E"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 xml:space="preserve">La cultura se transforma y revalúa constantemente en el marco de las mentalidades y de los imaginarios de una civilización, para adecuarse a la evolución de la humanidad, la realización de los derechos y el cumplimiento de los deberes, más cuando se busca desterrar rastros de una sociedad violenta que ha impuesto categorías de marginalización y dominación de determinados individuos o colectivos. Erradicar la subalternidad hacia los animales se </w:t>
      </w:r>
      <w:r w:rsidRPr="001F4F6E">
        <w:rPr>
          <w:rFonts w:ascii="Bookman Old Style" w:eastAsia="Bookman Old Style" w:hAnsi="Bookman Old Style" w:cs="Bookman Old Style"/>
          <w:i/>
          <w:color w:val="000000"/>
          <w:highlight w:val="white"/>
        </w:rPr>
        <w:lastRenderedPageBreak/>
        <w:t>constituye en un claro y preciso derrotero de la sociedad actual</w:t>
      </w:r>
      <w:r w:rsidR="0001061A" w:rsidRPr="001F4F6E">
        <w:rPr>
          <w:rStyle w:val="Refdenotaalpie"/>
          <w:rFonts w:ascii="Bookman Old Style" w:eastAsia="Bookman Old Style" w:hAnsi="Bookman Old Style" w:cs="Bookman Old Style"/>
          <w:i/>
          <w:color w:val="000000"/>
          <w:highlight w:val="white"/>
        </w:rPr>
        <w:footnoteReference w:id="10"/>
      </w:r>
      <w:r w:rsidRPr="001F4F6E">
        <w:rPr>
          <w:rFonts w:ascii="Bookman Old Style" w:eastAsia="Bookman Old Style" w:hAnsi="Bookman Old Style" w:cs="Bookman Old Style"/>
          <w:i/>
          <w:color w:val="000000"/>
          <w:highlight w:val="white"/>
        </w:rPr>
        <w:t>.</w:t>
      </w:r>
      <w:r w:rsidR="0001061A" w:rsidRPr="001F4F6E">
        <w:rPr>
          <w:rFonts w:ascii="Bookman Old Style" w:eastAsia="Bookman Old Style" w:hAnsi="Bookman Old Style" w:cs="Bookman Old Style"/>
          <w:i/>
          <w:color w:val="000000"/>
          <w:highlight w:val="white"/>
        </w:rPr>
        <w:t>”</w:t>
      </w:r>
    </w:p>
    <w:p w:rsidR="00A34AE4" w:rsidRPr="001F4F6E" w:rsidRDefault="00A34AE4" w:rsidP="00C678BE">
      <w:pPr>
        <w:pBdr>
          <w:top w:val="nil"/>
          <w:left w:val="nil"/>
          <w:bottom w:val="nil"/>
          <w:right w:val="nil"/>
          <w:between w:val="nil"/>
        </w:pBdr>
        <w:ind w:left="720"/>
        <w:jc w:val="both"/>
        <w:rPr>
          <w:rFonts w:ascii="Bookman Old Style" w:eastAsia="Bookman Old Style" w:hAnsi="Bookman Old Style" w:cs="Bookman Old Style"/>
          <w:i/>
          <w:color w:val="000000"/>
          <w:highlight w:val="white"/>
        </w:rPr>
      </w:pPr>
    </w:p>
    <w:p w:rsidR="0001061A" w:rsidRPr="001F4F6E" w:rsidRDefault="0001061A"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Siguiendo esta línea y, frente al argumento en virtud del cual no es posible reconocerle derechos a los animales en tanto no pueden reclamarlos por sí mismo, la Corte manifiesta que:</w:t>
      </w:r>
    </w:p>
    <w:p w:rsidR="0001061A" w:rsidRPr="001F4F6E" w:rsidRDefault="0001061A">
      <w:pPr>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rsidR="00A34AE4" w:rsidRPr="001F4F6E"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Una lógica de lo razonable permite comprender que el hecho de que los animales no puedan reclamar directamente un buen trato o el respeto por sus derechos, no significa que deba prescindirse de su garantía. Su condición de indefensión haría forzosa la figura de la representación o agencia humana, pudiendo ser un instrumento efectivo las acciones populares o incluso la acción de tutela, mientras se establece la regulación.</w:t>
      </w:r>
    </w:p>
    <w:p w:rsidR="00A34AE4" w:rsidRPr="001F4F6E"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 </w:t>
      </w:r>
    </w:p>
    <w:p w:rsidR="00A34AE4" w:rsidRPr="001F4F6E"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 xml:space="preserve">Los animales no son individuos idénticos a los humanos y no tienen por qué serlo. La Constitución preserva las especies </w:t>
      </w:r>
      <w:r w:rsidR="005A7E82" w:rsidRPr="001F4F6E">
        <w:rPr>
          <w:rFonts w:ascii="Bookman Old Style" w:eastAsia="Bookman Old Style" w:hAnsi="Bookman Old Style" w:cs="Bookman Old Style"/>
          <w:i/>
          <w:color w:val="000000"/>
          <w:highlight w:val="white"/>
        </w:rPr>
        <w:t>-</w:t>
      </w:r>
      <w:r w:rsidRPr="001F4F6E">
        <w:rPr>
          <w:rFonts w:ascii="Bookman Old Style" w:eastAsia="Bookman Old Style" w:hAnsi="Bookman Old Style" w:cs="Bookman Old Style"/>
          <w:i/>
          <w:color w:val="000000"/>
          <w:highlight w:val="white"/>
        </w:rPr>
        <w:t>humanas y no humanas- como parte del entorno ecológico, pero también es posible extraer su protección como individuos al disponer de variadas y similares capacidades y niveles de raciocinio. De las interacciones que los humanos tienen con los demás seres vivos es claro que hacemos parte del mismo ecosistema compartiendo análogas y diferentes necesidades básicas, que no se reducen a la condición de seres vivos y sintientes.</w:t>
      </w:r>
    </w:p>
    <w:p w:rsidR="00A34AE4" w:rsidRPr="001F4F6E" w:rsidRDefault="00A34AE4"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p>
    <w:p w:rsidR="00A34AE4" w:rsidRPr="001F4F6E"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Desterrar toda concepción de vida mecánica y sin racionalidad respecto de los animales permite encausarlos dentro del sentido amplio de persona. Susan Hurley</w:t>
      </w:r>
      <w:bookmarkStart w:id="3" w:name="_ftnref142"/>
      <w:r w:rsidR="009E7FBB" w:rsidRPr="001F4F6E">
        <w:rPr>
          <w:rFonts w:ascii="Bookman Old Style" w:eastAsia="Bookman Old Style" w:hAnsi="Bookman Old Style" w:cs="Bookman Old Style"/>
          <w:i/>
          <w:color w:val="000000"/>
          <w:highlight w:val="white"/>
        </w:rPr>
        <w:fldChar w:fldCharType="begin"/>
      </w:r>
      <w:r w:rsidRPr="001F4F6E">
        <w:rPr>
          <w:rFonts w:ascii="Bookman Old Style" w:eastAsia="Bookman Old Style" w:hAnsi="Bookman Old Style" w:cs="Bookman Old Style"/>
          <w:i/>
          <w:color w:val="000000"/>
          <w:highlight w:val="white"/>
        </w:rPr>
        <w:instrText xml:space="preserve"> HYPERLINK "https://www.corteconstitucional.gov.co/relatoria/2017/C-041-17.htm" \l "_ftn142" \o "" </w:instrText>
      </w:r>
      <w:r w:rsidR="009E7FBB" w:rsidRPr="001F4F6E">
        <w:rPr>
          <w:rFonts w:ascii="Bookman Old Style" w:eastAsia="Bookman Old Style" w:hAnsi="Bookman Old Style" w:cs="Bookman Old Style"/>
          <w:i/>
          <w:color w:val="000000"/>
          <w:highlight w:val="white"/>
        </w:rPr>
        <w:fldChar w:fldCharType="separate"/>
      </w:r>
      <w:r w:rsidRPr="001F4F6E">
        <w:rPr>
          <w:rFonts w:ascii="Bookman Old Style" w:eastAsia="Bookman Old Style" w:hAnsi="Bookman Old Style" w:cs="Bookman Old Style"/>
          <w:i/>
          <w:color w:val="000000"/>
          <w:highlight w:val="white"/>
        </w:rPr>
        <w:t>[142]</w:t>
      </w:r>
      <w:r w:rsidR="009E7FBB" w:rsidRPr="001F4F6E">
        <w:rPr>
          <w:rFonts w:ascii="Bookman Old Style" w:eastAsia="Bookman Old Style" w:hAnsi="Bookman Old Style" w:cs="Bookman Old Style"/>
          <w:i/>
          <w:color w:val="000000"/>
          <w:highlight w:val="white"/>
        </w:rPr>
        <w:fldChar w:fldCharType="end"/>
      </w:r>
      <w:bookmarkEnd w:id="3"/>
      <w:r w:rsidRPr="001F4F6E">
        <w:rPr>
          <w:rFonts w:ascii="Bookman Old Style" w:eastAsia="Bookman Old Style" w:hAnsi="Bookman Old Style" w:cs="Bookman Old Style"/>
          <w:i/>
          <w:color w:val="000000"/>
          <w:highlight w:val="white"/>
        </w:rPr>
        <w:t> recoge la idea que este Tribunal busca transmitir en esta decisión: "El interés en si los animales son agentes racionales no requiere que la racionalidad tenga una unidad profunda o que todos sus aspectos puedan ser comparados en un solo espectro; es un interés en varias maneras específicas en que las capacidades de los animales pueden ser continuas así como discontinuas con las nuestras”.</w:t>
      </w:r>
    </w:p>
    <w:p w:rsidR="00A34AE4" w:rsidRPr="001F4F6E"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 </w:t>
      </w:r>
    </w:p>
    <w:p w:rsidR="0001061A" w:rsidRPr="001F4F6E"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lastRenderedPageBreak/>
        <w:t>En conclusión, la dogmática dinámica y evolutiva impone avanzar con mecanismos más decisivos para la efectividad de los intereses de los animales, al disponer hoy de nuevos estudios científicos y mayores saberes. Es un imperativo repensar posibles horizontes y transformar las sedimentadas tradiciones cuando socavan intereses vitales y primarios de toda sociedad democrática y constitucional.</w:t>
      </w:r>
    </w:p>
    <w:p w:rsidR="00A34AE4" w:rsidRPr="001F4F6E" w:rsidRDefault="00A34AE4" w:rsidP="00C678BE">
      <w:pPr>
        <w:pBdr>
          <w:top w:val="nil"/>
          <w:left w:val="nil"/>
          <w:bottom w:val="nil"/>
          <w:right w:val="nil"/>
          <w:between w:val="nil"/>
        </w:pBdr>
        <w:ind w:left="720"/>
        <w:jc w:val="both"/>
        <w:rPr>
          <w:rFonts w:ascii="Bookman Old Style" w:eastAsia="Bookman Old Style" w:hAnsi="Bookman Old Style" w:cs="Bookman Old Style"/>
          <w:i/>
          <w:color w:val="000000"/>
          <w:highlight w:val="white"/>
        </w:rPr>
      </w:pPr>
    </w:p>
    <w:p w:rsidR="00A34AE4" w:rsidRPr="001F4F6E" w:rsidRDefault="0001061A" w:rsidP="00C678BE">
      <w:pPr>
        <w:pBdr>
          <w:top w:val="nil"/>
          <w:left w:val="nil"/>
          <w:bottom w:val="nil"/>
          <w:right w:val="nil"/>
          <w:between w:val="nil"/>
        </w:pBdr>
        <w:jc w:val="both"/>
        <w:rPr>
          <w:rFonts w:ascii="Bookman Old Style" w:eastAsia="Bookman Old Style" w:hAnsi="Bookman Old Style" w:cs="Bookman Old Style"/>
          <w:b/>
          <w:color w:val="000000"/>
          <w:highlight w:val="white"/>
        </w:rPr>
      </w:pPr>
      <w:r w:rsidRPr="001F4F6E">
        <w:rPr>
          <w:rFonts w:ascii="Bookman Old Style" w:eastAsia="Bookman Old Style" w:hAnsi="Bookman Old Style" w:cs="Bookman Old Style"/>
          <w:color w:val="000000"/>
          <w:highlight w:val="white"/>
        </w:rPr>
        <w:t xml:space="preserve">Esta es tal vez la decisión más relevante en cuanto a la protección de los animales pues va más allá del reconocimiento legal y jurisprudencial de su calidad de seres sintientes, para reconocer la posibilidad de que sean declarados verdaderos sujetos de derechos, con unos límites que permitan distinguirlos de aquellos reconocidos a los seres humanos. </w:t>
      </w:r>
      <w:r w:rsidR="000F347E" w:rsidRPr="001F4F6E">
        <w:rPr>
          <w:rFonts w:ascii="Bookman Old Style" w:eastAsia="Bookman Old Style" w:hAnsi="Bookman Old Style" w:cs="Bookman Old Style"/>
          <w:color w:val="000000"/>
          <w:highlight w:val="white"/>
        </w:rPr>
        <w:t xml:space="preserve"> </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3A1020">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Del anterior recuento jurisprudencial</w:t>
      </w:r>
      <w:r w:rsidR="000F347E" w:rsidRPr="001F4F6E">
        <w:rPr>
          <w:rFonts w:ascii="Bookman Old Style" w:eastAsia="Bookman Old Style" w:hAnsi="Bookman Old Style" w:cs="Bookman Old Style"/>
          <w:color w:val="000000"/>
          <w:highlight w:val="white"/>
        </w:rPr>
        <w:t>, es dable afirmar hoy</w:t>
      </w:r>
      <w:r w:rsidRPr="001F4F6E">
        <w:rPr>
          <w:rFonts w:ascii="Bookman Old Style" w:eastAsia="Bookman Old Style" w:hAnsi="Bookman Old Style" w:cs="Bookman Old Style"/>
          <w:color w:val="000000"/>
          <w:highlight w:val="white"/>
        </w:rPr>
        <w:t xml:space="preserve"> </w:t>
      </w:r>
      <w:r w:rsidR="000F347E" w:rsidRPr="001F4F6E">
        <w:rPr>
          <w:rFonts w:ascii="Bookman Old Style" w:eastAsia="Bookman Old Style" w:hAnsi="Bookman Old Style" w:cs="Bookman Old Style"/>
          <w:color w:val="000000"/>
          <w:highlight w:val="white"/>
        </w:rPr>
        <w:t xml:space="preserve">que existen un conjunto de criterios claros con relación a la protección animal, que deben ser tenidos en cuenta por el legislador, así: </w:t>
      </w: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 xml:space="preserve"> </w:t>
      </w:r>
    </w:p>
    <w:p w:rsidR="00EE0E78" w:rsidRPr="001F4F6E" w:rsidRDefault="000F347E" w:rsidP="00C678BE">
      <w:pPr>
        <w:numPr>
          <w:ilvl w:val="0"/>
          <w:numId w:val="10"/>
        </w:num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 xml:space="preserve">Existe un deber constitucional y moral de evitar sufrimiento a los animales, motivo por el cual, en diversos momentos, el Legislador ha establecido sanciones a aquellas personas que causen daños físicos a los “animales no humanos”. </w:t>
      </w:r>
    </w:p>
    <w:p w:rsidR="00EE0E78" w:rsidRPr="001F4F6E" w:rsidRDefault="00EE0E78">
      <w:pPr>
        <w:pBdr>
          <w:top w:val="nil"/>
          <w:left w:val="nil"/>
          <w:bottom w:val="nil"/>
          <w:right w:val="nil"/>
          <w:between w:val="nil"/>
        </w:pBdr>
        <w:ind w:left="720"/>
        <w:jc w:val="both"/>
        <w:rPr>
          <w:rFonts w:ascii="Bookman Old Style" w:eastAsia="Bookman Old Style" w:hAnsi="Bookman Old Style" w:cs="Bookman Old Style"/>
          <w:color w:val="000000"/>
        </w:rPr>
      </w:pPr>
    </w:p>
    <w:p w:rsidR="00EE0E78" w:rsidRPr="001F4F6E" w:rsidRDefault="000F347E" w:rsidP="00C678BE">
      <w:pPr>
        <w:numPr>
          <w:ilvl w:val="0"/>
          <w:numId w:val="10"/>
        </w:num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La regla general del comportamiento humano frente a la naturaleza (incluida la fauna y la flora), es el de cuidado y protección</w:t>
      </w:r>
      <w:r w:rsidR="003A1020" w:rsidRPr="001F4F6E">
        <w:rPr>
          <w:rFonts w:ascii="Bookman Old Style" w:eastAsia="Bookman Old Style" w:hAnsi="Bookman Old Style" w:cs="Bookman Old Style"/>
          <w:color w:val="000000"/>
        </w:rPr>
        <w:t>. En</w:t>
      </w:r>
      <w:r w:rsidRPr="001F4F6E">
        <w:rPr>
          <w:rFonts w:ascii="Bookman Old Style" w:eastAsia="Bookman Old Style" w:hAnsi="Bookman Old Style" w:cs="Bookman Old Style"/>
          <w:color w:val="000000"/>
        </w:rPr>
        <w:t xml:space="preserve"> esa medida, la Ley no puede </w:t>
      </w:r>
      <w:r w:rsidR="00420421" w:rsidRPr="001F4F6E">
        <w:rPr>
          <w:rFonts w:ascii="Bookman Old Style" w:eastAsia="Bookman Old Style" w:hAnsi="Bookman Old Style" w:cs="Bookman Old Style"/>
          <w:color w:val="000000"/>
        </w:rPr>
        <w:t xml:space="preserve">contener </w:t>
      </w:r>
      <w:r w:rsidRPr="001F4F6E">
        <w:rPr>
          <w:rFonts w:ascii="Bookman Old Style" w:eastAsia="Bookman Old Style" w:hAnsi="Bookman Old Style" w:cs="Bookman Old Style"/>
          <w:color w:val="000000"/>
        </w:rPr>
        <w:t>conductas que representen actos de crueldad para con los animales.</w:t>
      </w:r>
    </w:p>
    <w:p w:rsidR="00EE0E78" w:rsidRPr="001F4F6E" w:rsidRDefault="00EE0E78">
      <w:pPr>
        <w:pBdr>
          <w:top w:val="nil"/>
          <w:left w:val="nil"/>
          <w:bottom w:val="nil"/>
          <w:right w:val="nil"/>
          <w:between w:val="nil"/>
        </w:pBdr>
        <w:ind w:left="720"/>
        <w:jc w:val="both"/>
        <w:rPr>
          <w:rFonts w:ascii="Bookman Old Style" w:eastAsia="Bookman Old Style" w:hAnsi="Bookman Old Style" w:cs="Bookman Old Style"/>
          <w:color w:val="000000"/>
        </w:rPr>
      </w:pPr>
    </w:p>
    <w:p w:rsidR="00EE0E78" w:rsidRPr="001F4F6E" w:rsidRDefault="000F347E" w:rsidP="00C678BE">
      <w:pPr>
        <w:numPr>
          <w:ilvl w:val="0"/>
          <w:numId w:val="10"/>
        </w:num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 xml:space="preserve">De las disposiciones constitucionales surgen obligaciones que condicionan el comportamiento de los seres humanos y que conllevan al respeto de los animales, de forma que los operadores del derecho (ya sean legisladores, jueces o funcionarios de la administración) tienen la obligación de tener en cuenta, dentro de sus actuaciones, la dignidad de los animales no humanos en tanto seres sintientes.  </w:t>
      </w:r>
    </w:p>
    <w:p w:rsidR="00EE0E78" w:rsidRPr="001F4F6E" w:rsidRDefault="00EE0E78">
      <w:pPr>
        <w:pBdr>
          <w:top w:val="nil"/>
          <w:left w:val="nil"/>
          <w:bottom w:val="nil"/>
          <w:right w:val="nil"/>
          <w:between w:val="nil"/>
        </w:pBdr>
        <w:ind w:left="720"/>
        <w:rPr>
          <w:rFonts w:ascii="Bookman Old Style" w:eastAsia="Bookman Old Style" w:hAnsi="Bookman Old Style" w:cs="Bookman Old Style"/>
          <w:color w:val="000000"/>
        </w:rPr>
      </w:pPr>
    </w:p>
    <w:p w:rsidR="00EE0E78" w:rsidRPr="001F4F6E" w:rsidRDefault="000F347E" w:rsidP="00C678BE">
      <w:pPr>
        <w:numPr>
          <w:ilvl w:val="0"/>
          <w:numId w:val="10"/>
        </w:num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 xml:space="preserve">El Deber de protección refleja un contenido de moral política y conciencia de la responsabilidad que deben tener los seres humanos respecto de los </w:t>
      </w:r>
      <w:r w:rsidRPr="001F4F6E">
        <w:rPr>
          <w:rFonts w:ascii="Bookman Old Style" w:eastAsia="Bookman Old Style" w:hAnsi="Bookman Old Style" w:cs="Bookman Old Style"/>
          <w:i/>
          <w:color w:val="000000"/>
        </w:rPr>
        <w:t>otros</w:t>
      </w:r>
      <w:r w:rsidRPr="001F4F6E">
        <w:rPr>
          <w:rFonts w:ascii="Bookman Old Style" w:eastAsia="Bookman Old Style" w:hAnsi="Bookman Old Style" w:cs="Bookman Old Style"/>
          <w:color w:val="000000"/>
        </w:rPr>
        <w:t xml:space="preserve"> seres vivos y sintientes. </w:t>
      </w:r>
    </w:p>
    <w:p w:rsidR="00EE0E78" w:rsidRPr="001F4F6E" w:rsidRDefault="00EE0E78">
      <w:pPr>
        <w:pBdr>
          <w:top w:val="nil"/>
          <w:left w:val="nil"/>
          <w:bottom w:val="nil"/>
          <w:right w:val="nil"/>
          <w:between w:val="nil"/>
        </w:pBdr>
        <w:ind w:left="720"/>
        <w:rPr>
          <w:rFonts w:ascii="Bookman Old Style" w:eastAsia="Bookman Old Style" w:hAnsi="Bookman Old Style" w:cs="Bookman Old Style"/>
          <w:color w:val="000000"/>
        </w:rPr>
      </w:pPr>
    </w:p>
    <w:p w:rsidR="00EE0E78" w:rsidRPr="001F4F6E" w:rsidRDefault="000F347E" w:rsidP="00C678BE">
      <w:pPr>
        <w:numPr>
          <w:ilvl w:val="0"/>
          <w:numId w:val="10"/>
        </w:num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lastRenderedPageBreak/>
        <w:t xml:space="preserve">Ha de tomarse en cuenta la existencia de parámetros de obligatorio cumplimiento por el legislador, quien ya no tendrá plena libertad de opción respecto del tipo, alcance, amplitud o naturaleza de la protección que cree respecto de los animales, sino que, en cuanto poder constituido, se encuentra vinculado por el </w:t>
      </w:r>
      <w:r w:rsidRPr="001F4F6E">
        <w:rPr>
          <w:rFonts w:ascii="Bookman Old Style" w:eastAsia="Bookman Old Style" w:hAnsi="Bookman Old Style" w:cs="Bookman Old Style"/>
          <w:i/>
          <w:color w:val="000000"/>
        </w:rPr>
        <w:t>deber constitucional</w:t>
      </w:r>
      <w:r w:rsidRPr="001F4F6E">
        <w:rPr>
          <w:rFonts w:ascii="Bookman Old Style" w:eastAsia="Bookman Old Style" w:hAnsi="Bookman Old Style" w:cs="Bookman Old Style"/>
          <w:color w:val="000000"/>
        </w:rPr>
        <w:t xml:space="preserve"> previsto en los artículos 8º, 79 y 95.8, y el concepto de dignidad humana (fundamento de las relaciones que un ser sintiente –humano- tiene con otro ser sintiente –animal-)</w:t>
      </w:r>
      <w:r w:rsidR="00420421" w:rsidRPr="001F4F6E">
        <w:rPr>
          <w:rFonts w:ascii="Bookman Old Style" w:eastAsia="Bookman Old Style" w:hAnsi="Bookman Old Style" w:cs="Bookman Old Style"/>
          <w:color w:val="000000"/>
        </w:rPr>
        <w:t>. En esa medida, el Congreso está llamado a</w:t>
      </w:r>
      <w:r w:rsidRPr="001F4F6E">
        <w:rPr>
          <w:rFonts w:ascii="Bookman Old Style" w:eastAsia="Bookman Old Style" w:hAnsi="Bookman Old Style" w:cs="Bookman Old Style"/>
          <w:color w:val="000000"/>
        </w:rPr>
        <w:t xml:space="preserve"> establecer un sistema jurídico de protección que garantice la integridad de los animales en cuanto seres sintientes</w:t>
      </w:r>
      <w:r w:rsidR="00420421" w:rsidRPr="001F4F6E">
        <w:rPr>
          <w:rFonts w:ascii="Bookman Old Style" w:eastAsia="Bookman Old Style" w:hAnsi="Bookman Old Style" w:cs="Bookman Old Style"/>
          <w:color w:val="000000"/>
        </w:rPr>
        <w:t>, e incluso podría hablarse de un eventual reconocimiento de los animales como sujetos de derechos,</w:t>
      </w:r>
      <w:r w:rsidRPr="001F4F6E">
        <w:rPr>
          <w:rFonts w:ascii="Bookman Old Style" w:eastAsia="Bookman Old Style" w:hAnsi="Bookman Old Style" w:cs="Bookman Old Style"/>
          <w:color w:val="000000"/>
        </w:rPr>
        <w:t xml:space="preserve"> que hacen parte del contexto natural en el que las personas desarrollan su vida.</w:t>
      </w:r>
    </w:p>
    <w:p w:rsidR="00EE0E78" w:rsidRPr="001F4F6E" w:rsidRDefault="00EE0E78">
      <w:pPr>
        <w:pBdr>
          <w:top w:val="nil"/>
          <w:left w:val="nil"/>
          <w:bottom w:val="nil"/>
          <w:right w:val="nil"/>
          <w:between w:val="nil"/>
        </w:pBdr>
        <w:ind w:left="720"/>
        <w:rPr>
          <w:rFonts w:ascii="Bookman Old Style" w:eastAsia="Bookman Old Style" w:hAnsi="Bookman Old Style" w:cs="Bookman Old Style"/>
          <w:color w:val="000000"/>
        </w:rPr>
      </w:pPr>
    </w:p>
    <w:p w:rsidR="00EE0E78" w:rsidRPr="001F4F6E" w:rsidRDefault="000F347E" w:rsidP="00C678BE">
      <w:pPr>
        <w:numPr>
          <w:ilvl w:val="0"/>
          <w:numId w:val="10"/>
        </w:num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 xml:space="preserve">El tratamiento que las personas brindan a los animales se encuentra restringido y regido por el principio de </w:t>
      </w:r>
      <w:r w:rsidRPr="001F4F6E">
        <w:rPr>
          <w:rFonts w:ascii="Bookman Old Style" w:eastAsia="Bookman Old Style" w:hAnsi="Bookman Old Style" w:cs="Bookman Old Style"/>
          <w:i/>
          <w:color w:val="000000"/>
        </w:rPr>
        <w:t>bienestar animal</w:t>
      </w:r>
      <w:r w:rsidRPr="001F4F6E">
        <w:rPr>
          <w:rFonts w:ascii="Bookman Old Style" w:eastAsia="Bookman Old Style" w:hAnsi="Bookman Old Style" w:cs="Bookman Old Style"/>
          <w:color w:val="000000"/>
          <w:vertAlign w:val="superscript"/>
        </w:rPr>
        <w:footnoteReference w:id="11"/>
      </w:r>
      <w:r w:rsidRPr="001F4F6E">
        <w:rPr>
          <w:rFonts w:ascii="Bookman Old Style" w:eastAsia="Bookman Old Style" w:hAnsi="Bookman Old Style" w:cs="Bookman Old Style"/>
          <w:color w:val="000000"/>
        </w:rPr>
        <w:t xml:space="preserve">, el cual se sustenta en el concepto complejo y amplio de ambiente, que debe superar una visión utilitarista y antropocéntrica, para centrarse en una que comprenda no solo al ser humano como parte de un todo natural donde los animales también son fines en sí mismos con intereses propios e independientes del arbitrio humano. </w:t>
      </w:r>
    </w:p>
    <w:p w:rsidR="00EE0E78" w:rsidRPr="001F4F6E" w:rsidRDefault="00EE0E78">
      <w:pPr>
        <w:pBdr>
          <w:top w:val="nil"/>
          <w:left w:val="nil"/>
          <w:bottom w:val="nil"/>
          <w:right w:val="nil"/>
          <w:between w:val="nil"/>
        </w:pBdr>
        <w:ind w:left="720"/>
        <w:rPr>
          <w:rFonts w:ascii="Bookman Old Style" w:eastAsia="Bookman Old Style" w:hAnsi="Bookman Old Style" w:cs="Bookman Old Style"/>
          <w:color w:val="000000"/>
        </w:rPr>
      </w:pPr>
    </w:p>
    <w:p w:rsidR="00EE0E78" w:rsidRPr="001F4F6E" w:rsidRDefault="000F347E" w:rsidP="00C678BE">
      <w:pPr>
        <w:numPr>
          <w:ilvl w:val="0"/>
          <w:numId w:val="10"/>
        </w:num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 xml:space="preserve">El ejercicio de las diversas expresiones culturales debe estar en armonía con los otros valores, derechos y principios fundamentales que integran el sistema constitucional colombiano. </w:t>
      </w:r>
    </w:p>
    <w:p w:rsidR="00EE0E78" w:rsidRPr="001F4F6E" w:rsidRDefault="00EE0E78">
      <w:pPr>
        <w:pBdr>
          <w:top w:val="nil"/>
          <w:left w:val="nil"/>
          <w:bottom w:val="nil"/>
          <w:right w:val="nil"/>
          <w:between w:val="nil"/>
        </w:pBdr>
        <w:ind w:left="720"/>
        <w:rPr>
          <w:rFonts w:ascii="Bookman Old Style" w:eastAsia="Bookman Old Style" w:hAnsi="Bookman Old Style" w:cs="Bookman Old Style"/>
          <w:color w:val="000000"/>
        </w:rPr>
      </w:pPr>
    </w:p>
    <w:p w:rsidR="00EE0E78" w:rsidRPr="001F4F6E" w:rsidRDefault="000F347E" w:rsidP="00C678BE">
      <w:pPr>
        <w:numPr>
          <w:ilvl w:val="0"/>
          <w:numId w:val="10"/>
        </w:num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Las distintas manifestaciones culturales</w:t>
      </w:r>
      <w:r w:rsidRPr="001F4F6E">
        <w:rPr>
          <w:rFonts w:ascii="Bookman Old Style" w:eastAsia="Bookman Old Style" w:hAnsi="Bookman Old Style" w:cs="Bookman Old Style"/>
          <w:i/>
          <w:color w:val="000000"/>
        </w:rPr>
        <w:t xml:space="preserve"> no son una expresión directa de la Constitución</w:t>
      </w:r>
      <w:r w:rsidRPr="001F4F6E">
        <w:rPr>
          <w:rFonts w:ascii="Bookman Old Style" w:eastAsia="Bookman Old Style" w:hAnsi="Bookman Old Style" w:cs="Bookman Old Style"/>
          <w:color w:val="000000"/>
        </w:rPr>
        <w:t xml:space="preserve">, sino fruto de la interacción de los distintos actores sociales determinados por un tiempo y un espacio específicos.  Por ende, no puede entenderse que, </w:t>
      </w:r>
      <w:r w:rsidRPr="001F4F6E">
        <w:rPr>
          <w:rFonts w:ascii="Bookman Old Style" w:eastAsia="Bookman Old Style" w:hAnsi="Bookman Old Style" w:cs="Bookman Old Style"/>
          <w:i/>
          <w:color w:val="000000"/>
        </w:rPr>
        <w:t>en sí mismas consideradas</w:t>
      </w:r>
      <w:r w:rsidRPr="001F4F6E">
        <w:rPr>
          <w:rFonts w:ascii="Bookman Old Style" w:eastAsia="Bookman Old Style" w:hAnsi="Bookman Old Style" w:cs="Bookman Old Style"/>
          <w:color w:val="000000"/>
        </w:rPr>
        <w:t>, esas manifestaciones sean concreción de postulados constitucionales, ni que</w:t>
      </w:r>
      <w:r w:rsidR="00420421" w:rsidRPr="001F4F6E">
        <w:rPr>
          <w:rFonts w:ascii="Bookman Old Style" w:eastAsia="Bookman Old Style" w:hAnsi="Bookman Old Style" w:cs="Bookman Old Style"/>
          <w:color w:val="000000"/>
        </w:rPr>
        <w:t xml:space="preserve"> cuenten con</w:t>
      </w:r>
      <w:r w:rsidRPr="001F4F6E">
        <w:rPr>
          <w:rFonts w:ascii="Bookman Old Style" w:eastAsia="Bookman Old Style" w:hAnsi="Bookman Old Style" w:cs="Bookman Old Style"/>
          <w:color w:val="000000"/>
        </w:rPr>
        <w:t xml:space="preserve"> blindaje alguno que </w:t>
      </w:r>
      <w:r w:rsidR="00420421" w:rsidRPr="001F4F6E">
        <w:rPr>
          <w:rFonts w:ascii="Bookman Old Style" w:eastAsia="Bookman Old Style" w:hAnsi="Bookman Old Style" w:cs="Bookman Old Style"/>
          <w:color w:val="000000"/>
        </w:rPr>
        <w:t>impida su limitación o incluso su prohibición</w:t>
      </w:r>
      <w:r w:rsidRPr="001F4F6E">
        <w:rPr>
          <w:rFonts w:ascii="Bookman Old Style" w:eastAsia="Bookman Old Style" w:hAnsi="Bookman Old Style" w:cs="Bookman Old Style"/>
          <w:color w:val="000000"/>
        </w:rPr>
        <w:t xml:space="preserve">, por ser contrarias a los valores </w:t>
      </w:r>
      <w:r w:rsidR="00420421" w:rsidRPr="001F4F6E">
        <w:rPr>
          <w:rFonts w:ascii="Bookman Old Style" w:eastAsia="Bookman Old Style" w:hAnsi="Bookman Old Style" w:cs="Bookman Old Style"/>
          <w:color w:val="000000"/>
        </w:rPr>
        <w:t>sociales y constitucionales.</w:t>
      </w:r>
    </w:p>
    <w:p w:rsidR="00EE0E78" w:rsidRPr="001F4F6E" w:rsidRDefault="00EE0E78">
      <w:pPr>
        <w:pBdr>
          <w:top w:val="nil"/>
          <w:left w:val="nil"/>
          <w:bottom w:val="nil"/>
          <w:right w:val="nil"/>
          <w:between w:val="nil"/>
        </w:pBdr>
        <w:ind w:left="720"/>
        <w:rPr>
          <w:rFonts w:ascii="Bookman Old Style" w:eastAsia="Bookman Old Style" w:hAnsi="Bookman Old Style" w:cs="Bookman Old Style"/>
          <w:color w:val="000000"/>
        </w:rPr>
      </w:pPr>
    </w:p>
    <w:p w:rsidR="00EE0E78" w:rsidRPr="001F4F6E" w:rsidRDefault="000F347E" w:rsidP="00C678BE">
      <w:pPr>
        <w:numPr>
          <w:ilvl w:val="0"/>
          <w:numId w:val="10"/>
        </w:num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lastRenderedPageBreak/>
        <w:t xml:space="preserve">El Legislador, en ejercicio de su libertad de configuración normativa, puede prohibir las manifestaciones culturales que implican maltrato animal, si considera que debe primar el deber de protección de la fauna sobre la existencia de expresiones culturales que </w:t>
      </w:r>
      <w:r w:rsidRPr="001F4F6E">
        <w:rPr>
          <w:rFonts w:ascii="Bookman Old Style" w:eastAsia="Bookman Old Style" w:hAnsi="Bookman Old Style" w:cs="Bookman Old Style"/>
          <w:i/>
          <w:color w:val="000000"/>
        </w:rPr>
        <w:t>implican agravio a seres vivos</w:t>
      </w:r>
    </w:p>
    <w:p w:rsidR="00EE0E78" w:rsidRPr="001F4F6E" w:rsidRDefault="00EE0E78">
      <w:pPr>
        <w:pBdr>
          <w:top w:val="nil"/>
          <w:left w:val="nil"/>
          <w:bottom w:val="nil"/>
          <w:right w:val="nil"/>
          <w:between w:val="nil"/>
        </w:pBdr>
        <w:ind w:left="720"/>
        <w:rPr>
          <w:rFonts w:ascii="Bookman Old Style" w:eastAsia="Bookman Old Style" w:hAnsi="Bookman Old Style" w:cs="Bookman Old Style"/>
          <w:color w:val="000000"/>
        </w:rPr>
      </w:pPr>
    </w:p>
    <w:p w:rsidR="00EE0E78" w:rsidRPr="001F4F6E" w:rsidRDefault="000F347E" w:rsidP="00C678BE">
      <w:pPr>
        <w:numPr>
          <w:ilvl w:val="0"/>
          <w:numId w:val="10"/>
        </w:num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La Constitución de 1991</w:t>
      </w:r>
      <w:r w:rsidR="00420421" w:rsidRPr="001F4F6E">
        <w:rPr>
          <w:rFonts w:ascii="Bookman Old Style" w:eastAsia="Bookman Old Style" w:hAnsi="Bookman Old Style" w:cs="Bookman Old Style"/>
          <w:color w:val="000000"/>
        </w:rPr>
        <w:t xml:space="preserve"> y las </w:t>
      </w:r>
      <w:r w:rsidR="005A7E82" w:rsidRPr="001F4F6E">
        <w:rPr>
          <w:rFonts w:ascii="Bookman Old Style" w:eastAsia="Bookman Old Style" w:hAnsi="Bookman Old Style" w:cs="Bookman Old Style"/>
          <w:color w:val="000000"/>
        </w:rPr>
        <w:t>leyes</w:t>
      </w:r>
      <w:r w:rsidRPr="001F4F6E">
        <w:rPr>
          <w:rFonts w:ascii="Bookman Old Style" w:eastAsia="Bookman Old Style" w:hAnsi="Bookman Old Style" w:cs="Bookman Old Style"/>
          <w:color w:val="000000"/>
        </w:rPr>
        <w:t xml:space="preserve"> no </w:t>
      </w:r>
      <w:r w:rsidR="00420421" w:rsidRPr="001F4F6E">
        <w:rPr>
          <w:rFonts w:ascii="Bookman Old Style" w:eastAsia="Bookman Old Style" w:hAnsi="Bookman Old Style" w:cs="Bookman Old Style"/>
          <w:color w:val="000000"/>
        </w:rPr>
        <w:t>son</w:t>
      </w:r>
      <w:r w:rsidRPr="001F4F6E">
        <w:rPr>
          <w:rFonts w:ascii="Bookman Old Style" w:eastAsia="Bookman Old Style" w:hAnsi="Bookman Old Style" w:cs="Bookman Old Style"/>
          <w:color w:val="000000"/>
        </w:rPr>
        <w:t xml:space="preserve"> estática</w:t>
      </w:r>
      <w:r w:rsidR="00420421" w:rsidRPr="001F4F6E">
        <w:rPr>
          <w:rFonts w:ascii="Bookman Old Style" w:eastAsia="Bookman Old Style" w:hAnsi="Bookman Old Style" w:cs="Bookman Old Style"/>
          <w:color w:val="000000"/>
        </w:rPr>
        <w:t>s</w:t>
      </w:r>
      <w:r w:rsidRPr="001F4F6E">
        <w:rPr>
          <w:rFonts w:ascii="Bookman Old Style" w:eastAsia="Bookman Old Style" w:hAnsi="Bookman Old Style" w:cs="Bookman Old Style"/>
          <w:color w:val="000000"/>
        </w:rPr>
        <w:t xml:space="preserve"> y puede</w:t>
      </w:r>
      <w:r w:rsidR="00420421" w:rsidRPr="001F4F6E">
        <w:rPr>
          <w:rFonts w:ascii="Bookman Old Style" w:eastAsia="Bookman Old Style" w:hAnsi="Bookman Old Style" w:cs="Bookman Old Style"/>
          <w:color w:val="000000"/>
        </w:rPr>
        <w:t>n, y deben,</w:t>
      </w:r>
      <w:r w:rsidRPr="001F4F6E">
        <w:rPr>
          <w:rFonts w:ascii="Bookman Old Style" w:eastAsia="Bookman Old Style" w:hAnsi="Bookman Old Style" w:cs="Bookman Old Style"/>
          <w:color w:val="000000"/>
        </w:rPr>
        <w:t xml:space="preserve"> cambiar para adaptarse a las nuevas realidades sociales.  </w:t>
      </w: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 </w:t>
      </w:r>
    </w:p>
    <w:p w:rsidR="00EE0E78" w:rsidRPr="001F4F6E" w:rsidRDefault="000F347E">
      <w:pPr>
        <w:pBdr>
          <w:top w:val="nil"/>
          <w:left w:val="nil"/>
          <w:bottom w:val="nil"/>
          <w:right w:val="nil"/>
          <w:between w:val="nil"/>
        </w:pBdr>
        <w:jc w:val="both"/>
        <w:rPr>
          <w:rFonts w:ascii="Bookman Old Style" w:eastAsia="Bookman Old Style" w:hAnsi="Bookman Old Style" w:cs="Bookman Old Style"/>
          <w:b/>
          <w:color w:val="000000"/>
          <w:highlight w:val="white"/>
        </w:rPr>
      </w:pPr>
      <w:r w:rsidRPr="001F4F6E">
        <w:rPr>
          <w:rFonts w:ascii="Bookman Old Style" w:eastAsia="Bookman Old Style" w:hAnsi="Bookman Old Style" w:cs="Bookman Old Style"/>
          <w:b/>
          <w:color w:val="000000"/>
          <w:highlight w:val="white"/>
        </w:rPr>
        <w:t>3.3. Internacionales.</w:t>
      </w: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 </w:t>
      </w:r>
    </w:p>
    <w:p w:rsidR="00E54C9C" w:rsidRPr="001F4F6E" w:rsidRDefault="00E54C9C">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Ahora bien, planteados los antecedentes normativos y jurisprudenciales locales, vale la pena revisar el tratamiento que se le ha otorgado a las prácticas culturales de las que trata este proyecto y a otras actividades que implican el uso de los animales, en otros países.</w:t>
      </w:r>
    </w:p>
    <w:p w:rsidR="00E54C9C" w:rsidRPr="001F4F6E" w:rsidRDefault="00E54C9C">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Como resultado de un conjunto de variables, entre ellas, cambios de paradigmas sociales y cambio de conciencia colectiva, los espectáculos con animales están siendo objeto de prohibiciones locales y nacionales progresivamente en muchos países del mundo, así como la eliminación de actividades tradicionales que conllevan maltrato o crueldad hacia los animales, teniendo en cuenta que la defensa de la vida está por encima de prácticas culturales. Los estados han hecho uso concomitante del poder legislativo, ejecutivo y judicial, para expedir fuentes de derecho de carácter vinculante y de obligatorio cumplimiento para ponerle fin a este tipo de espectáculos.</w:t>
      </w: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 </w:t>
      </w: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Países como Inglaterra, Italia, Argentina, Chile, Bolivia, Perú, China, entre muchos otros, han prohibido prácticas tradicionales como la caza, circos, fiestas religiosas o consumos de productos por considerarse que son una práctica violenta donde el maltrato animal es evidente.</w:t>
      </w:r>
    </w:p>
    <w:p w:rsidR="00E54C9C" w:rsidRPr="001F4F6E" w:rsidRDefault="00E54C9C">
      <w:pPr>
        <w:pBdr>
          <w:top w:val="nil"/>
          <w:left w:val="nil"/>
          <w:bottom w:val="nil"/>
          <w:right w:val="nil"/>
          <w:between w:val="nil"/>
        </w:pBdr>
        <w:jc w:val="both"/>
        <w:rPr>
          <w:rFonts w:ascii="Bookman Old Style" w:eastAsia="Bookman Old Style" w:hAnsi="Bookman Old Style" w:cs="Bookman Old Style"/>
          <w:color w:val="000000"/>
          <w:highlight w:val="white"/>
        </w:rPr>
      </w:pPr>
    </w:p>
    <w:p w:rsidR="00B51D2C" w:rsidRPr="001F4F6E" w:rsidRDefault="00E54C9C">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Sobre este asunto, vale la pena recordar el recuento realizado por la Sentencia C-283 de 2014, en la que resalta las legislaciones de Suecia, Dinamarca, Estonia, República Checa, Israel, Finlandia, Polonia, Singapur, India, Costa Rica, Nueva Zelanda, Austria, Bélgica, Portuga</w:t>
      </w:r>
      <w:r w:rsidR="00B51D2C" w:rsidRPr="001F4F6E">
        <w:rPr>
          <w:rFonts w:ascii="Bookman Old Style" w:eastAsia="Bookman Old Style" w:hAnsi="Bookman Old Style" w:cs="Bookman Old Style"/>
          <w:color w:val="000000"/>
          <w:highlight w:val="white"/>
        </w:rPr>
        <w:t>l</w:t>
      </w:r>
      <w:r w:rsidRPr="001F4F6E">
        <w:rPr>
          <w:rFonts w:ascii="Bookman Old Style" w:eastAsia="Bookman Old Style" w:hAnsi="Bookman Old Style" w:cs="Bookman Old Style"/>
          <w:color w:val="000000"/>
          <w:highlight w:val="white"/>
        </w:rPr>
        <w:t>, Boliv</w:t>
      </w:r>
      <w:r w:rsidR="00B51D2C" w:rsidRPr="001F4F6E">
        <w:rPr>
          <w:rFonts w:ascii="Bookman Old Style" w:eastAsia="Bookman Old Style" w:hAnsi="Bookman Old Style" w:cs="Bookman Old Style"/>
          <w:color w:val="000000"/>
          <w:highlight w:val="white"/>
        </w:rPr>
        <w:t>ia</w:t>
      </w:r>
      <w:r w:rsidRPr="001F4F6E">
        <w:rPr>
          <w:rFonts w:ascii="Bookman Old Style" w:eastAsia="Bookman Old Style" w:hAnsi="Bookman Old Style" w:cs="Bookman Old Style"/>
          <w:color w:val="000000"/>
          <w:highlight w:val="white"/>
        </w:rPr>
        <w:t xml:space="preserve">, Noruega, Panamá, Perú y Paraguay, que han prohibido el uso de animales en circos. </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lastRenderedPageBreak/>
        <w:t>Para el caso de la tauromaquia esta es prohibida en la mayoría de países del planeta. Solamente ocho países</w:t>
      </w:r>
      <w:r w:rsidR="00B51D2C" w:rsidRPr="001F4F6E">
        <w:rPr>
          <w:rFonts w:ascii="Bookman Old Style" w:eastAsia="Bookman Old Style" w:hAnsi="Bookman Old Style" w:cs="Bookman Old Style"/>
          <w:color w:val="000000"/>
          <w:highlight w:val="white"/>
        </w:rPr>
        <w:t>, España, Francia, Portugal, México, Venezuela, Perú, Ecuador y Colombia,</w:t>
      </w:r>
      <w:r w:rsidRPr="001F4F6E">
        <w:rPr>
          <w:rFonts w:ascii="Bookman Old Style" w:eastAsia="Bookman Old Style" w:hAnsi="Bookman Old Style" w:cs="Bookman Old Style"/>
          <w:color w:val="000000"/>
          <w:highlight w:val="white"/>
        </w:rPr>
        <w:t xml:space="preserve"> mantienen la realización de corridas de toros en los cuales existe un fuerte trabajo en pos de su abolición.</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b/>
          <w:color w:val="000000"/>
          <w:highlight w:val="white"/>
        </w:rPr>
      </w:pPr>
      <w:r w:rsidRPr="001F4F6E">
        <w:rPr>
          <w:rFonts w:ascii="Bookman Old Style" w:eastAsia="Bookman Old Style" w:hAnsi="Bookman Old Style" w:cs="Bookman Old Style"/>
          <w:b/>
          <w:color w:val="000000"/>
          <w:highlight w:val="white"/>
        </w:rPr>
        <w:t>3.4. Científicos</w:t>
      </w: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 </w:t>
      </w: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u w:val="single"/>
        </w:rPr>
      </w:pPr>
      <w:r w:rsidRPr="001F4F6E">
        <w:rPr>
          <w:rFonts w:ascii="Bookman Old Style" w:eastAsia="Bookman Old Style" w:hAnsi="Bookman Old Style" w:cs="Bookman Old Style"/>
          <w:color w:val="000000"/>
          <w:highlight w:val="white"/>
          <w:u w:val="single"/>
        </w:rPr>
        <w:t>3.4.1. Lo que dice la ciencia veterinaria sobre las corridas de toros</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La Asociación de Veterinarios Abolicionistas de la Tauromaquia (Avatma) (2016), en particular su “Informe técnico veterinario sobre los espectáculos taurinos con vacas y vaquillas”, afirma: </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i/>
          <w:color w:val="000000"/>
          <w:highlight w:val="white"/>
        </w:rPr>
        <w:t xml:space="preserve">“A los toros, vaquillas y becerros que protagonizan estos festejos se les ingieren daños graves. El origen de ese daño procede de las manipulaciones, transporte, aislamiento, hambre, y sed a que son sometidos, partiendo de que, el simple hecho de sacarlos de su ambiente natural, provoca en ellos una intensa sensación de miedo que provoca respuestas orgánicas que pasarán de ser fisiológicas a patológicas, dada su incapacidad para adaptarse a estas nuevas situaciones, que son incompatibles con su naturaleza y que se realizan en entornos para ellos desconocidos. A las situaciones anómalas mencionadas anteriormente habrá que sumar como origen de ese daño,  la persecución, la incapacidad de huida, las agresiones, así como el continuo acosamiento al que se ven sometidos  por parte de las personas que acuden a estos espectáculos. La existencia fehaciente del daño la basamos en la visualización de las imágenes que nos llevan a concluir que si se realizarán determinaciones de ACTH, cortisol y catecolaminas en estos animales estaríamos ante cifras alarmantes que superarían con creces lo considerado como normal, basándonos en los estudios científicos realizados sobre animales de sus mismas razas sometidos a situaciones de estrés bastante similares a los espectáculos a los que nos referimos, e incluso a situaciones que en teoría podríamos considerar como menos perniciosas para su salud y bienestar. Todo esto nos lleva a concluir la existencia fehaciente de un sufrimiento físico y psíquico gratuito, sin ningún fin que </w:t>
      </w:r>
      <w:r w:rsidRPr="001F4F6E">
        <w:rPr>
          <w:rFonts w:ascii="Bookman Old Style" w:eastAsia="Bookman Old Style" w:hAnsi="Bookman Old Style" w:cs="Bookman Old Style"/>
          <w:i/>
          <w:color w:val="000000"/>
          <w:highlight w:val="white"/>
        </w:rPr>
        <w:lastRenderedPageBreak/>
        <w:t>podamos considerar de interés general o que lo pueda justificar”</w:t>
      </w:r>
      <w:r w:rsidRPr="001F4F6E">
        <w:rPr>
          <w:rFonts w:ascii="Bookman Old Style" w:eastAsia="Bookman Old Style" w:hAnsi="Bookman Old Style" w:cs="Bookman Old Style"/>
          <w:i/>
          <w:color w:val="000000"/>
          <w:highlight w:val="white"/>
          <w:vertAlign w:val="superscript"/>
        </w:rPr>
        <w:footnoteReference w:id="12"/>
      </w:r>
      <w:r w:rsidRPr="001F4F6E">
        <w:rPr>
          <w:rFonts w:ascii="Bookman Old Style" w:eastAsia="Bookman Old Style" w:hAnsi="Bookman Old Style" w:cs="Bookman Old Style"/>
          <w:color w:val="000000"/>
          <w:highlight w:val="white"/>
        </w:rPr>
        <w:t xml:space="preserve"> </w:t>
      </w: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 </w:t>
      </w: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u w:val="single"/>
        </w:rPr>
        <w:t>3.4.2. Sobre la invalidez de las regulaciones en la actividad taurina y la negativa a las denominadas “Corridas incruentas</w:t>
      </w:r>
      <w:r w:rsidRPr="001F4F6E">
        <w:rPr>
          <w:rFonts w:ascii="Bookman Old Style" w:eastAsia="Bookman Old Style" w:hAnsi="Bookman Old Style" w:cs="Bookman Old Style"/>
          <w:color w:val="000000"/>
          <w:highlight w:val="white"/>
        </w:rPr>
        <w:t>”.</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b/>
          <w:color w:val="000000"/>
          <w:highlight w:val="white"/>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Las corridas de toros no solo implican la violencia física que se muestra evidente, hacia los animales involucrados. Es necesario tener en cuenta el sufrimiento emocional o psicológico que conlleva para estos animales el ser partícipes obligados de esta actividad.</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El etólogo español Jordi Casamitjana (2012)</w:t>
      </w:r>
      <w:r w:rsidRPr="001F4F6E">
        <w:rPr>
          <w:rFonts w:ascii="Bookman Old Style" w:eastAsia="Bookman Old Style" w:hAnsi="Bookman Old Style" w:cs="Bookman Old Style"/>
          <w:color w:val="000000"/>
          <w:vertAlign w:val="superscript"/>
        </w:rPr>
        <w:footnoteReference w:id="13"/>
      </w:r>
      <w:r w:rsidRPr="001F4F6E">
        <w:rPr>
          <w:rFonts w:ascii="Bookman Old Style" w:eastAsia="Bookman Old Style" w:hAnsi="Bookman Old Style" w:cs="Bookman Old Style"/>
          <w:color w:val="000000"/>
        </w:rPr>
        <w:t>, desarrolló un completo informe sobre todas las formas de maltrato, violencia y crueldad presentes en las corridas de toros, denominado “La Crueldad de las corridas incruentas”. Sobre el tema específico del sufrimiento emocional de los toros en las corridas, el informe sugiere que no existe algo como las corridas incruentas, que solo han intentado vender al público una imagen de la tauromaquia más políticamente correcta.</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La sola presencia del toro en una plaza ya involucra grandes niveles de maltrato emocional o sufrimiento psicológico para el animal, evidenciados en la incomodidad del animal por su cautiverio, el miedo ante un ambiente ajeno respecto al que está acostumbrado, la angustia por la experiencia aversiva vivida, y el estrés continuado para el que biológicamente no está dotado para responder adecuadamente.</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Este tipo de sufrimiento psicológico, es todavía más común en el caso de las corridas “incruentas” en las que el toro sobrevive el espectáculo y o bien se le sacrifica unos días más tarde donde el estrés se va acumulando (como en muchas corridas al estilo portugués), o se le vuelve a hacer pasar por el mismo calvario varias veces con posterioridad, incluso durante el resto de su vida (como en las corridas autóctonas francesas).</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 xml:space="preserve">De acuerdo con anterior, es posible concluir que las evidencias veterinarias y etológicas, evidencian que el maltrato a los toros y caballos es inevitable en cualquier tipo de corrida.  </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b/>
          <w:color w:val="000000"/>
          <w:highlight w:val="white"/>
        </w:rPr>
      </w:pPr>
      <w:r w:rsidRPr="001F4F6E">
        <w:rPr>
          <w:rFonts w:ascii="Bookman Old Style" w:eastAsia="Bookman Old Style" w:hAnsi="Bookman Old Style" w:cs="Bookman Old Style"/>
          <w:b/>
          <w:color w:val="000000"/>
          <w:highlight w:val="white"/>
        </w:rPr>
        <w:t>3.5. Sociales</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b/>
          <w:color w:val="000000"/>
          <w:highlight w:val="white"/>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u w:val="single"/>
        </w:rPr>
      </w:pPr>
      <w:r w:rsidRPr="001F4F6E">
        <w:rPr>
          <w:rFonts w:ascii="Bookman Old Style" w:eastAsia="Bookman Old Style" w:hAnsi="Bookman Old Style" w:cs="Bookman Old Style"/>
          <w:color w:val="000000"/>
          <w:highlight w:val="white"/>
          <w:u w:val="single"/>
        </w:rPr>
        <w:t xml:space="preserve">3.5.1. El toreo y su impacto negativo sobre la infancia </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u w:val="single"/>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La Ley 1098 del 2006 “Código de Infancia y Adolescencia”, trae un cúmulo de garantías que buscan hacer realidad el mandato constitucional de la prevalencia de los derechos de los niños, las niñas y los adolescentes. En este sentido, exige que la protección estatal debe ser máxima para posibilitar que, en un futuro, nuestros menores cuenten con un entorno sostenible, o por lo menos con una fauna y flora que cuidar.</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En este sentido, la Convención para los Derechos de los Niños de la ONU, en su informe de observaciones para Colombia del 4 de febrero de 2015</w:t>
      </w:r>
      <w:r w:rsidRPr="001F4F6E">
        <w:rPr>
          <w:rFonts w:ascii="Bookman Old Style" w:eastAsia="Bookman Old Style" w:hAnsi="Bookman Old Style" w:cs="Bookman Old Style"/>
          <w:color w:val="000000"/>
          <w:highlight w:val="white"/>
          <w:vertAlign w:val="superscript"/>
        </w:rPr>
        <w:footnoteReference w:id="14"/>
      </w:r>
      <w:r w:rsidRPr="001F4F6E">
        <w:rPr>
          <w:rFonts w:ascii="Bookman Old Style" w:eastAsia="Bookman Old Style" w:hAnsi="Bookman Old Style" w:cs="Bookman Old Style"/>
          <w:color w:val="000000"/>
          <w:highlight w:val="white"/>
        </w:rPr>
        <w:t xml:space="preserve">, recomendó, entre otras, proteger a los niños y niñas de la violencia de la tauromaquia, aspectos que deben ser tenidos en cuenta en el país, señalando de manera puntual: </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r w:rsidRPr="001F4F6E">
        <w:rPr>
          <w:rFonts w:ascii="Bookman Old Style" w:eastAsia="Bookman Old Style" w:hAnsi="Bookman Old Style" w:cs="Bookman Old Style"/>
          <w:color w:val="000000"/>
        </w:rPr>
        <w:t>“</w:t>
      </w:r>
      <w:r w:rsidRPr="001F4F6E">
        <w:rPr>
          <w:rFonts w:ascii="Bookman Old Style" w:eastAsia="Bookman Old Style" w:hAnsi="Bookman Old Style" w:cs="Bookman Old Style"/>
          <w:i/>
          <w:color w:val="000000"/>
        </w:rPr>
        <w:t>Apartado D. Violencia en contra de los niños (arts. 19, 24, párr.3, 28, párr. 2, 34, 37 (a) y 39)</w:t>
      </w:r>
    </w:p>
    <w:p w:rsidR="00EE0E78" w:rsidRPr="001F4F6E"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r w:rsidRPr="001F4F6E">
        <w:rPr>
          <w:rFonts w:ascii="Bookman Old Style" w:eastAsia="Bookman Old Style" w:hAnsi="Bookman Old Style" w:cs="Bookman Old Style"/>
          <w:i/>
          <w:color w:val="000000"/>
        </w:rPr>
        <w:t>Libertad de los niños contra toda forma de violencia</w:t>
      </w:r>
    </w:p>
    <w:p w:rsidR="00EE0E78" w:rsidRPr="001F4F6E"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r w:rsidRPr="001F4F6E">
        <w:rPr>
          <w:rFonts w:ascii="Bookman Old Style" w:eastAsia="Bookman Old Style" w:hAnsi="Bookman Old Style" w:cs="Bookman Old Style"/>
          <w:i/>
          <w:color w:val="000000"/>
        </w:rPr>
        <w:t xml:space="preserve">27. El Comité está profundamente preocupado por los altos niveles de violencia al que se enfrentan los niños, y en particular, sobre: </w:t>
      </w: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r w:rsidRPr="001F4F6E">
        <w:rPr>
          <w:rFonts w:ascii="Bookman Old Style" w:eastAsia="Bookman Old Style" w:hAnsi="Bookman Old Style" w:cs="Bookman Old Style"/>
          <w:i/>
          <w:color w:val="000000"/>
        </w:rPr>
        <w:t xml:space="preserve">(…) </w:t>
      </w:r>
    </w:p>
    <w:p w:rsidR="00EE0E78" w:rsidRPr="001F4F6E"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r w:rsidRPr="001F4F6E">
        <w:rPr>
          <w:rFonts w:ascii="Bookman Old Style" w:eastAsia="Bookman Old Style" w:hAnsi="Bookman Old Style" w:cs="Bookman Old Style"/>
          <w:i/>
          <w:color w:val="000000"/>
        </w:rPr>
        <w:t xml:space="preserve">f) </w:t>
      </w:r>
      <w:r w:rsidRPr="001F4F6E">
        <w:rPr>
          <w:rFonts w:ascii="Bookman Old Style" w:eastAsia="Bookman Old Style" w:hAnsi="Bookman Old Style" w:cs="Bookman Old Style"/>
          <w:i/>
          <w:color w:val="000000"/>
          <w:u w:val="single"/>
        </w:rPr>
        <w:t>El bienestar físico y mental de los niños que participan en la formación/entrenamiento de la tauromaquia, y las actuaciones asociadas a ella, así como el bienestar mental y emocional de los niños espectadores que están expuestos a la violencia de la tauromaquia</w:t>
      </w:r>
      <w:r w:rsidRPr="001F4F6E">
        <w:rPr>
          <w:rFonts w:ascii="Bookman Old Style" w:eastAsia="Bookman Old Style" w:hAnsi="Bookman Old Style" w:cs="Bookman Old Style"/>
          <w:i/>
          <w:color w:val="000000"/>
        </w:rPr>
        <w:t xml:space="preserve">. </w:t>
      </w:r>
    </w:p>
    <w:p w:rsidR="00EE0E78" w:rsidRPr="001F4F6E"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r w:rsidRPr="001F4F6E">
        <w:rPr>
          <w:rFonts w:ascii="Bookman Old Style" w:eastAsia="Bookman Old Style" w:hAnsi="Bookman Old Style" w:cs="Bookman Old Style"/>
          <w:i/>
          <w:color w:val="000000"/>
        </w:rPr>
        <w:t xml:space="preserve">28. A la luz de la Observación general Nº 13 (2011) sobre el “Derecho del niño a no ser objeto de ninguna forma de </w:t>
      </w:r>
      <w:r w:rsidRPr="001F4F6E">
        <w:rPr>
          <w:rFonts w:ascii="Bookman Old Style" w:eastAsia="Bookman Old Style" w:hAnsi="Bookman Old Style" w:cs="Bookman Old Style"/>
          <w:i/>
          <w:color w:val="000000"/>
        </w:rPr>
        <w:lastRenderedPageBreak/>
        <w:t xml:space="preserve">violencia” y recordando las recomendaciones del estudio de las Naciones Unidas sobre la violencia en contra de los niños de 2006 (A/61/299), el Comité insta al Estado Parte a dar prioridad a la </w:t>
      </w:r>
      <w:r w:rsidRPr="001F4F6E">
        <w:rPr>
          <w:rFonts w:ascii="Bookman Old Style" w:eastAsia="Bookman Old Style" w:hAnsi="Bookman Old Style" w:cs="Bookman Old Style"/>
          <w:i/>
          <w:color w:val="000000"/>
          <w:u w:val="single"/>
        </w:rPr>
        <w:t>eliminación de todas las formas de violencia en contra de los niños</w:t>
      </w:r>
      <w:r w:rsidRPr="001F4F6E">
        <w:rPr>
          <w:rFonts w:ascii="Bookman Old Style" w:eastAsia="Bookman Old Style" w:hAnsi="Bookman Old Style" w:cs="Bookman Old Style"/>
          <w:i/>
          <w:color w:val="000000"/>
        </w:rPr>
        <w:t xml:space="preserve">, y en particular a: </w:t>
      </w: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r w:rsidRPr="001F4F6E">
        <w:rPr>
          <w:rFonts w:ascii="Bookman Old Style" w:eastAsia="Bookman Old Style" w:hAnsi="Bookman Old Style" w:cs="Bookman Old Style"/>
          <w:i/>
          <w:color w:val="000000"/>
        </w:rPr>
        <w:t>(…)</w:t>
      </w:r>
    </w:p>
    <w:p w:rsidR="00EE0E78" w:rsidRPr="001F4F6E"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r w:rsidRPr="001F4F6E">
        <w:rPr>
          <w:rFonts w:ascii="Bookman Old Style" w:eastAsia="Bookman Old Style" w:hAnsi="Bookman Old Style" w:cs="Bookman Old Style"/>
          <w:i/>
          <w:color w:val="000000"/>
        </w:rPr>
        <w:t xml:space="preserve">i) Con el objetivo de </w:t>
      </w:r>
      <w:r w:rsidRPr="001F4F6E">
        <w:rPr>
          <w:rFonts w:ascii="Bookman Old Style" w:eastAsia="Bookman Old Style" w:hAnsi="Bookman Old Style" w:cs="Bookman Old Style"/>
          <w:i/>
          <w:color w:val="000000"/>
          <w:u w:val="single"/>
        </w:rPr>
        <w:t>prohibir la participación de los niños en la tauromaquia</w:t>
      </w:r>
      <w:r w:rsidRPr="001F4F6E">
        <w:rPr>
          <w:rFonts w:ascii="Bookman Old Style" w:eastAsia="Bookman Old Style" w:hAnsi="Bookman Old Style" w:cs="Bookman Old Style"/>
          <w:i/>
          <w:color w:val="000000"/>
        </w:rPr>
        <w:t xml:space="preserve">, incluyendo las corralejas, </w:t>
      </w:r>
      <w:r w:rsidRPr="001F4F6E">
        <w:rPr>
          <w:rFonts w:ascii="Bookman Old Style" w:eastAsia="Bookman Old Style" w:hAnsi="Bookman Old Style" w:cs="Bookman Old Style"/>
          <w:i/>
          <w:color w:val="000000"/>
          <w:u w:val="single"/>
        </w:rPr>
        <w:t>tome las medidas legislativas y administrativas</w:t>
      </w:r>
      <w:r w:rsidRPr="001F4F6E">
        <w:rPr>
          <w:rFonts w:ascii="Bookman Old Style" w:eastAsia="Bookman Old Style" w:hAnsi="Bookman Old Style" w:cs="Bookman Old Style"/>
          <w:i/>
          <w:color w:val="000000"/>
        </w:rPr>
        <w:t xml:space="preserve"> necesarias con el fin de proteger a todos los niños que participan en la formación/entrenamiento y actuaciones en la tauromaquia, así como en su condición de espectadores, y a sensibilizar sobre la violencia física y mental asociada a la tauromaquia y su impacto en los niños. </w:t>
      </w:r>
    </w:p>
    <w:p w:rsidR="00EE0E78" w:rsidRPr="001F4F6E"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r w:rsidRPr="001F4F6E">
        <w:rPr>
          <w:rFonts w:ascii="Bookman Old Style" w:eastAsia="Bookman Old Style" w:hAnsi="Bookman Old Style" w:cs="Bookman Old Style"/>
          <w:i/>
          <w:color w:val="000000"/>
        </w:rPr>
        <w:t>H. Medidas de protección especial (Artículos 22, 30, 32-33, 36, 37 (b)-(d), 38, 39 y 40))</w:t>
      </w:r>
    </w:p>
    <w:p w:rsidR="00EE0E78" w:rsidRPr="001F4F6E"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r w:rsidRPr="001F4F6E">
        <w:rPr>
          <w:rFonts w:ascii="Bookman Old Style" w:eastAsia="Bookman Old Style" w:hAnsi="Bookman Old Style" w:cs="Bookman Old Style"/>
          <w:i/>
          <w:color w:val="000000"/>
        </w:rPr>
        <w:t>Explotación económica, incluido el trabajo infantil</w:t>
      </w:r>
    </w:p>
    <w:p w:rsidR="00EE0E78" w:rsidRPr="001F4F6E"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i/>
          <w:color w:val="000000"/>
        </w:rPr>
        <w:t xml:space="preserve">59. La explotación económica, incluido el trabajo infantil. El Comité toma nota de las medidas jurídicas y normativas adoptadas por el Estado parte para proteger a los niños de la explotación económica. Sin embargo, está preocupado por el elevado número de niños involucrados en el trabajo infantil. En particular, sigue profundamente preocupado por la participación persistente de niños en trabajos peligrosos y/o degradantes, como las labores agrícolas en los cultivos ilícitos, el narcotráfico, la minería ilegal y </w:t>
      </w:r>
      <w:r w:rsidRPr="001F4F6E">
        <w:rPr>
          <w:rFonts w:ascii="Bookman Old Style" w:eastAsia="Bookman Old Style" w:hAnsi="Bookman Old Style" w:cs="Bookman Old Style"/>
          <w:i/>
          <w:color w:val="000000"/>
          <w:u w:val="single"/>
        </w:rPr>
        <w:t>la tauromaquia</w:t>
      </w:r>
      <w:r w:rsidRPr="001F4F6E">
        <w:rPr>
          <w:rFonts w:ascii="Bookman Old Style" w:eastAsia="Bookman Old Style" w:hAnsi="Bookman Old Style" w:cs="Bookman Old Style"/>
          <w:color w:val="000000"/>
        </w:rPr>
        <w:t xml:space="preserve">”. (subrayado fuera de texto) </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red"/>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Por ello, el psicólogo Carlos Crespo (2017) afirma que la tauromaquia normaliza la violencia en la infancia que es llevada a estos espectáculos, sobre el particular, anota:</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color w:val="000000"/>
          <w:highlight w:val="white"/>
        </w:rPr>
        <w:t>“</w:t>
      </w:r>
      <w:r w:rsidRPr="001F4F6E">
        <w:rPr>
          <w:rFonts w:ascii="Bookman Old Style" w:eastAsia="Bookman Old Style" w:hAnsi="Bookman Old Style" w:cs="Bookman Old Style"/>
          <w:i/>
          <w:color w:val="000000"/>
          <w:highlight w:val="white"/>
        </w:rPr>
        <w:t xml:space="preserve">La afición a la tauromaquia no es un proceso natural sino aprendido. Los niños y niñas en sus más tempranas etapas de desarrollo, aprenden a valorar la tauromaquia por medio </w:t>
      </w:r>
      <w:r w:rsidRPr="001F4F6E">
        <w:rPr>
          <w:rFonts w:ascii="Bookman Old Style" w:eastAsia="Bookman Old Style" w:hAnsi="Bookman Old Style" w:cs="Bookman Old Style"/>
          <w:i/>
          <w:color w:val="000000"/>
          <w:highlight w:val="white"/>
        </w:rPr>
        <w:lastRenderedPageBreak/>
        <w:t>del aprendizaje por observación. Las familias taurinas enseñan a sus hijos a valorar por medio de la atención selectiva, elementos y estímulos externos a la lidia del toro (la música, la comida, la vestimenta, la arquitectura de la plaza, etc.).</w:t>
      </w:r>
    </w:p>
    <w:p w:rsidR="00EE0E78" w:rsidRPr="001F4F6E"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Cuando la infancia es llevada a una corrida de toros por primera vez se enfrenta a una disonancia cognitiva, producto de sus más probables reacciones de empatía hacia el otro animal y rechazo hacia lo que le ocurre al animal en el ruedo (Siendo un estímulo aversivo) frente a la observación de las conductas de aprobación del evento por parte de sus padres, figuras de autoridad e identificación.</w:t>
      </w:r>
    </w:p>
    <w:p w:rsidR="00EE0E78" w:rsidRPr="001F4F6E"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Cuando las familias llevan a sus hijos de manera continua a las corridas de toros, estos comienzan a valorar y priorizar los elementos de la tauromaquia (los que habían aprendido más otros nuevos, como el carácter de figura de los toreros, los tercios, los pases y en general, los clásicos argumentos taurinos como que es tradición, cultura, arte, rito, etc.)  y a dar menor importancia a lo que les ocurre a los animales (A los que solo valoran en cuanto a su utilidad en medio de la actividad). Estos elementos actúan como reforzadores y forjadores de sus conductas a favor de la tauromaquia produciéndose el proceso psicológico conocido como desensibilización sistemática que hace que el niño o la niña normalice progresivamente la violencia hacia toros y caballos en el contexto de la lidia, eliminando cualquier sentimiento negativo o aversivo a lo que le ocurre a estos últimos.</w:t>
      </w:r>
    </w:p>
    <w:p w:rsidR="00EE0E78" w:rsidRPr="001F4F6E"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i/>
          <w:color w:val="000000"/>
          <w:highlight w:val="white"/>
        </w:rPr>
        <w:t xml:space="preserve">Normalizar actos de violencia no es positivo ni compatible con una sociedad que busca consolidar un proceso de paz y por ello, educar a la infancia, para que no habitúe los refuerzos asociados a la tauromaquia y se desensibilice frente a lo que le ocurre al animal. Así mismo, se debe educar a la sociedad en general en el respeto hacia toda forma de vida sintiente, haciendo esto un imperativo moral que debe tener efectos legales. El fenómeno de la violencia debe ser combatida en </w:t>
      </w:r>
      <w:r w:rsidRPr="001F4F6E">
        <w:rPr>
          <w:rFonts w:ascii="Bookman Old Style" w:eastAsia="Bookman Old Style" w:hAnsi="Bookman Old Style" w:cs="Bookman Old Style"/>
          <w:i/>
          <w:color w:val="000000"/>
          <w:highlight w:val="white"/>
        </w:rPr>
        <w:lastRenderedPageBreak/>
        <w:t>todas sus formas de manera integral, no solamente en el contexto antropocéntrico</w:t>
      </w:r>
      <w:r w:rsidRPr="001F4F6E">
        <w:rPr>
          <w:rFonts w:ascii="Bookman Old Style" w:eastAsia="Bookman Old Style" w:hAnsi="Bookman Old Style" w:cs="Bookman Old Style"/>
          <w:color w:val="000000"/>
          <w:highlight w:val="white"/>
        </w:rPr>
        <w:t>”.</w:t>
      </w:r>
      <w:r w:rsidRPr="001F4F6E">
        <w:rPr>
          <w:rFonts w:ascii="Bookman Old Style" w:eastAsia="Bookman Old Style" w:hAnsi="Bookman Old Style" w:cs="Bookman Old Style"/>
          <w:color w:val="000000"/>
          <w:highlight w:val="white"/>
          <w:vertAlign w:val="superscript"/>
        </w:rPr>
        <w:footnoteReference w:id="15"/>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u w:val="single"/>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En consecuencia, es un imperativo, como Estado y sociedad, adoptar las medidas necesarias encaminadas a erradicar toda forma de violencia que pueda afectar la formación integral de nuestros niños, promoviendo, por el contrario, el respeto hacia todas las manifestaciones de vida y la no violencia.  </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u w:val="single"/>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u w:val="single"/>
        </w:rPr>
      </w:pPr>
      <w:r w:rsidRPr="001F4F6E">
        <w:rPr>
          <w:rFonts w:ascii="Bookman Old Style" w:eastAsia="Bookman Old Style" w:hAnsi="Bookman Old Style" w:cs="Bookman Old Style"/>
          <w:color w:val="000000"/>
          <w:highlight w:val="white"/>
          <w:u w:val="single"/>
        </w:rPr>
        <w:t>3.5.2. La convivencia se ve afectada con este tipo de actividades</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u w:val="single"/>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La tauromaquia ha sido controversial desde sus inicios. En el caso colombiano, las expresiones públicas de rechazo a estas actividades no son nuevas. Rodolfo Kohn Olaya publicó un libro en 1952: </w:t>
      </w:r>
      <w:r w:rsidRPr="001F4F6E">
        <w:rPr>
          <w:rFonts w:ascii="Bookman Old Style" w:eastAsia="Bookman Old Style" w:hAnsi="Bookman Old Style" w:cs="Bookman Old Style"/>
          <w:i/>
          <w:color w:val="000000"/>
          <w:highlight w:val="white"/>
        </w:rPr>
        <w:t>De la Impía tauromaquia y su corruptor influjo - Significativos datos para un balance de la cultura en Colombia</w:t>
      </w:r>
      <w:r w:rsidRPr="001F4F6E">
        <w:rPr>
          <w:rFonts w:ascii="Bookman Old Style" w:eastAsia="Bookman Old Style" w:hAnsi="Bookman Old Style" w:cs="Bookman Old Style"/>
          <w:color w:val="000000"/>
          <w:highlight w:val="white"/>
        </w:rPr>
        <w:t>, convirtiéndose en pionero de una nueva forma de relación más respetuosa entre humanos y demás animales, que ha venido en constante crecimiento. La sociedad colombiana cuenta en el presente con un amplio consenso ciudadano sobre la necesidad de abolir la tauromaquia, como expresión de maltrato gratuito, e injustificado, que ha dado pie a una creciente insatisfacción por la imposición legal de su continuidad, que entes gubernamentales como el Ministerio del Interior, en la exposición de motivos del proyecto de ley 271 de 2017, refirieron como un problema de convivencia ciudadana que debe ser solucionado, exponiendo.</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w:t>
      </w:r>
      <w:r w:rsidRPr="001F4F6E">
        <w:rPr>
          <w:rFonts w:ascii="Bookman Old Style" w:eastAsia="Bookman Old Style" w:hAnsi="Bookman Old Style" w:cs="Bookman Old Style"/>
          <w:i/>
          <w:color w:val="000000"/>
          <w:highlight w:val="white"/>
        </w:rPr>
        <w:t xml:space="preserve">Si estamos erradicando la violencia en nuestro país, debemos empezar a construir una sociedad basada en el respeto a la vida y a los demás; así mismo avanzar en la dirección más humanitaria de otros países que han eliminado la tortura de seres sintientes como espectáculo. La eliminación de prácticas como la tauromaquia, se correspondería con la promoción del desarrollo de valores deseables en la sociedad como del respeto hacia el otro, constituyéndose, así como una de tantas estrategias para superar la violencia, insolidaridad y crueldad por razones injustificables y, de paso, contribuir a garantizar la no repetición de la guerra, superar la violencia, </w:t>
      </w:r>
      <w:r w:rsidRPr="001F4F6E">
        <w:rPr>
          <w:rFonts w:ascii="Bookman Old Style" w:eastAsia="Bookman Old Style" w:hAnsi="Bookman Old Style" w:cs="Bookman Old Style"/>
          <w:i/>
          <w:color w:val="000000"/>
          <w:highlight w:val="white"/>
        </w:rPr>
        <w:lastRenderedPageBreak/>
        <w:t>insolidaridad y crueldad y de paso garantizar la no repetición de la guerra</w:t>
      </w:r>
      <w:r w:rsidRPr="001F4F6E">
        <w:rPr>
          <w:rFonts w:ascii="Bookman Old Style" w:eastAsia="Bookman Old Style" w:hAnsi="Bookman Old Style" w:cs="Bookman Old Style"/>
          <w:color w:val="000000"/>
          <w:highlight w:val="white"/>
        </w:rPr>
        <w:t>”.</w:t>
      </w: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  </w:t>
      </w: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u w:val="single"/>
        </w:rPr>
      </w:pPr>
      <w:r w:rsidRPr="001F4F6E">
        <w:rPr>
          <w:rFonts w:ascii="Bookman Old Style" w:eastAsia="Bookman Old Style" w:hAnsi="Bookman Old Style" w:cs="Bookman Old Style"/>
          <w:color w:val="000000"/>
          <w:highlight w:val="white"/>
          <w:u w:val="single"/>
        </w:rPr>
        <w:t>3.5.3. Pertinencia social</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b/>
          <w:i/>
          <w:color w:val="000000"/>
          <w:highlight w:val="white"/>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Desde las mesas de trabajo realizadas en el marco del proyecto de Ley anterior, radicado por el Ministerio del Interior, hasta el sector que representa a los defensores de animales, se  manifestó la necesidad de desarrollar un plan para apoyar laboralmente a quienes comprueben que su estabilidad económica depende únicamente de la actividad taurina, como una mecanismo efectivo y concreto de sustitución y reconversión laboral, emulando ejemplos exitosos como el de las familias que vivían de los vehículos de tracción animal, desarrollados en ciudades como Medellín, Manizales, Cali y Bogotá, entre otras.</w:t>
      </w: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 </w:t>
      </w: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Este proceso de sustitución laboral es fundamental para cerrar la brecha social que impacta en Colombia, dado que tradicionalmente quienes trabajan en el sector taurino, carecen de plenas garantías laborales como las debe tener cualquier trabajador formal, máxime cuando es un trabajo con un alto riesgo a la integridad física. Es común ver las quejas del sector de los toreros, banderilleros, mozos de espadas, etc, por el abandono en cuestiones sociales, de salud y pensionales en el que se encuentran. </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La abolición del toreo da pie a crear nuevas economías creativas y alternativas, donde se mantenga la historia de la tauromaquia por medio de la museología, la gastronomía, la música y otras expresiones, sin tapar el contenido estético que para algunos pueda tener, ni mucho menos olvidarlo como inspiración a numerosas piezas del arte.</w:t>
      </w: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 </w:t>
      </w: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Así mismo las Plazas de Toros, como ha sucedido en muchas partes del mundo, se pueden convertir en epicentros de prácticas circenses, comerciales y sociales. Una Plaza de éstas es el espacio ideal para una galería comercial, que puede ser administrada por quienes antes vivían de las corridas de toros, con la diferencia que con este nuevo eje económico sí tendrían estabilidad laboral con todas las garantías que todo ciudadano debe tener. Son numerosos los ejemplos de reconversión de plazas de toros en otro tipo de espacios para fines diferentes a la explotación animal: La plaza de toros de las arenas en Barcelona (España), es un centro comercial, la antigua plaza de toros en Zacatecas (México) es ahora un hotel, en </w:t>
      </w:r>
      <w:r w:rsidRPr="001F4F6E">
        <w:rPr>
          <w:rFonts w:ascii="Bookman Old Style" w:eastAsia="Bookman Old Style" w:hAnsi="Bookman Old Style" w:cs="Bookman Old Style"/>
          <w:color w:val="000000"/>
          <w:highlight w:val="white"/>
        </w:rPr>
        <w:lastRenderedPageBreak/>
        <w:t>Caracas (Venezuela), su plaza de toros se convirtió en el nuevo circo de Caracas, escenario para el arte y la cultura. Finalmente, en Colombia la plaza de Santamaría fue durante cinco años escenario para espectáculos artísticos, deportivos y culturales. El último ejemplo lo ofrece la población de Toledo en Norte de Santander, cuya plaza de toros será convertida en Coso municipal destinado a la atención y el bienestar animal.</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u w:val="single"/>
        </w:rPr>
      </w:pPr>
      <w:r w:rsidRPr="001F4F6E">
        <w:rPr>
          <w:rFonts w:ascii="Bookman Old Style" w:eastAsia="Bookman Old Style" w:hAnsi="Bookman Old Style" w:cs="Bookman Old Style"/>
          <w:color w:val="000000"/>
          <w:highlight w:val="white"/>
          <w:u w:val="single"/>
        </w:rPr>
        <w:t>3.5.4. Aspectos bioéticos: El deber de no maleficencia</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La defensa de la vida e integridad de un ser sintiente debe estar por encima de la defensa de la cultura o la tradición. De acuerdo al Psicólogo y Magíster en Bioética Carlos Crespo (2013):</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w:t>
      </w:r>
      <w:r w:rsidRPr="001F4F6E">
        <w:rPr>
          <w:rFonts w:ascii="Bookman Old Style" w:eastAsia="Bookman Old Style" w:hAnsi="Bookman Old Style" w:cs="Bookman Old Style"/>
          <w:i/>
          <w:color w:val="000000"/>
          <w:highlight w:val="white"/>
        </w:rPr>
        <w:t xml:space="preserve">el principio de no maleficencia es considerado el principio base mínimo. La no maleficencia obliga a no dañar intencionalmente a los demás, a respetar a los demás, a no hacer daño entendido como no herir ni física o moralmente. La importancia de este principio está dada en cuanto asegura la vida e integridad física de los individuos, su supervivencia, asegurando que no se será dañado, ya sea por ejecución de una acción dañina, o la omisión de una acción que debió hacerse para evitar el daño. </w:t>
      </w:r>
    </w:p>
    <w:p w:rsidR="00EE0E78" w:rsidRPr="001F4F6E"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p>
    <w:p w:rsidR="00EE0E78" w:rsidRPr="001F4F6E" w:rsidRDefault="000F347E" w:rsidP="00C678BE">
      <w:pPr>
        <w:pBdr>
          <w:top w:val="nil"/>
          <w:left w:val="nil"/>
          <w:bottom w:val="nil"/>
          <w:right w:val="nil"/>
          <w:between w:val="nil"/>
        </w:pBdr>
        <w:ind w:left="851" w:right="900"/>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No es necesario relatar los elementos de una corrida de toros para saber que este principio está siendo violado…</w:t>
      </w:r>
      <w:r w:rsidRPr="001F4F6E">
        <w:rPr>
          <w:rFonts w:ascii="Bookman Old Style" w:eastAsia="Bookman Old Style" w:hAnsi="Bookman Old Style" w:cs="Bookman Old Style"/>
          <w:color w:val="000000"/>
          <w:highlight w:val="white"/>
        </w:rPr>
        <w:t>”.</w:t>
      </w:r>
      <w:r w:rsidRPr="001F4F6E">
        <w:rPr>
          <w:rFonts w:ascii="Bookman Old Style" w:eastAsia="Bookman Old Style" w:hAnsi="Bookman Old Style" w:cs="Bookman Old Style"/>
          <w:color w:val="000000"/>
          <w:highlight w:val="white"/>
          <w:vertAlign w:val="superscript"/>
        </w:rPr>
        <w:footnoteReference w:id="16"/>
      </w:r>
      <w:r w:rsidRPr="001F4F6E">
        <w:rPr>
          <w:rFonts w:ascii="Bookman Old Style" w:eastAsia="Bookman Old Style" w:hAnsi="Bookman Old Style" w:cs="Bookman Old Style"/>
          <w:color w:val="000000"/>
          <w:highlight w:val="white"/>
        </w:rPr>
        <w:br/>
      </w: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rPr>
        <w:t>No es necesario relatar los elementos de una corrida de toros para saber que este principio está siendo violado…El no hacer daño a otro es una obligación moral”</w:t>
      </w:r>
      <w:r w:rsidRPr="001F4F6E">
        <w:rPr>
          <w:rFonts w:ascii="Bookman Old Style" w:eastAsia="Bookman Old Style" w:hAnsi="Bookman Old Style" w:cs="Bookman Old Style"/>
          <w:color w:val="000000"/>
          <w:highlight w:val="white"/>
        </w:rPr>
        <w:t xml:space="preserve"> </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u w:val="single"/>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u w:val="single"/>
        </w:rPr>
      </w:pPr>
      <w:r w:rsidRPr="001F4F6E">
        <w:rPr>
          <w:rFonts w:ascii="Bookman Old Style" w:eastAsia="Bookman Old Style" w:hAnsi="Bookman Old Style" w:cs="Bookman Old Style"/>
          <w:color w:val="000000"/>
          <w:highlight w:val="white"/>
          <w:u w:val="single"/>
        </w:rPr>
        <w:t>3.5.5. El sector taurino no es una minoría vulnerable</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La población taurina ha buscado ser protegida en sus gustos y libertades como una minoría. Sin embargo, no pueden ser considerados una minoría constitucionalmente protegida. Sobre éste aspecto, Carlos Crespo afirmó (2017): </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color w:val="000000"/>
          <w:highlight w:val="white"/>
        </w:rPr>
        <w:t>“</w:t>
      </w:r>
      <w:r w:rsidRPr="001F4F6E">
        <w:rPr>
          <w:rFonts w:ascii="Bookman Old Style" w:eastAsia="Bookman Old Style" w:hAnsi="Bookman Old Style" w:cs="Bookman Old Style"/>
          <w:i/>
          <w:color w:val="000000"/>
          <w:highlight w:val="white"/>
        </w:rPr>
        <w:t>Se ha considerado minoría a aquellos grupos poblacionales que han sufrido la discriminación, el sometimiento, la violencia, de manera histórica y sistemática, y que a pesar de virtuales avances en el discurso de DDHH por la equidad, siguen siendo segregados y no teniendo acceso igualitario a los derechos básicos y al desarrollo de capacidades en la sociedad, tornándolos en poblaciones vulnerables que deben ser protegidas por el estado o por sus comunidades, emitiendo por ejemplo políticas públicas, leyes, etc., que garanticen sus vidas, integridad y desarrollo, así como el equilibrio de su posición desfavorable en la sociedad.</w:t>
      </w: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 xml:space="preserve"> </w:t>
      </w: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Ejemplo de estas comunidades son las personas afros, indígenas, LGBTI, desplazadas, exiliadas, refugiadas, habitantes de calle, personas en ejercicio de prostitución, personas con discapacidades y desde hace un tiempo, también se ha ampliado el concepto a los animales no humanos. Las grandes desigualdades sociales y el aniquilamiento de las poblaciones vulnerables han dado paso a la protección no solo de sus derechos básicos sino a la ampliación de la protección a sus cosmovisiones, formas de vida, usos y costumbres. Una minoría, entendida como población vulnerable no siempre tiene que ver con números. Las mujeres son mayoría en el planeta pero hacen parte de las poblaciones vulnerables desde su posición desfavorable y desigual en la sociedad. La infancia y las personas mayores son otro ejemplo de ello. Eso quiere decir que se protegen las poblaciones por sus características de vulnerabilidad, no por ser pocas en términos numéricos. Son estas las minorías con las que toda la población debe solidarizarse y eliminar todo tipo de discriminación.</w:t>
      </w: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 xml:space="preserve"> </w:t>
      </w:r>
    </w:p>
    <w:p w:rsidR="00EE0E78" w:rsidRPr="001F4F6E" w:rsidRDefault="000F347E" w:rsidP="00C678BE">
      <w:pPr>
        <w:pBdr>
          <w:top w:val="nil"/>
          <w:left w:val="nil"/>
          <w:bottom w:val="nil"/>
          <w:right w:val="nil"/>
          <w:between w:val="nil"/>
        </w:pBdr>
        <w:ind w:left="851" w:right="900"/>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i/>
          <w:color w:val="000000"/>
          <w:highlight w:val="white"/>
        </w:rPr>
        <w:t xml:space="preserve">Es en el sentido estricto de minorías protegidas constitucionalmente, que se puede afirmar de manera tajante que los taurinos NO son una minoría, y que a pesar de que pueden ser asumidos como tal de manera numérica, son un grupo de interés sin ningún derecho especial a proteger más </w:t>
      </w:r>
      <w:r w:rsidRPr="001F4F6E">
        <w:rPr>
          <w:rFonts w:ascii="Bookman Old Style" w:eastAsia="Bookman Old Style" w:hAnsi="Bookman Old Style" w:cs="Bookman Old Style"/>
          <w:i/>
          <w:color w:val="000000"/>
          <w:highlight w:val="white"/>
        </w:rPr>
        <w:lastRenderedPageBreak/>
        <w:t>allá de otros grupos de interés como los aficionados a un equipo de fútbol o el club de fans de un grupo musical</w:t>
      </w:r>
      <w:r w:rsidRPr="001F4F6E">
        <w:rPr>
          <w:rFonts w:ascii="Bookman Old Style" w:eastAsia="Bookman Old Style" w:hAnsi="Bookman Old Style" w:cs="Bookman Old Style"/>
          <w:color w:val="000000"/>
          <w:highlight w:val="white"/>
        </w:rPr>
        <w:t>”.</w:t>
      </w:r>
      <w:r w:rsidRPr="001F4F6E">
        <w:rPr>
          <w:rFonts w:ascii="Bookman Old Style" w:eastAsia="Bookman Old Style" w:hAnsi="Bookman Old Style" w:cs="Bookman Old Style"/>
          <w:color w:val="000000"/>
          <w:highlight w:val="white"/>
          <w:vertAlign w:val="superscript"/>
        </w:rPr>
        <w:footnoteReference w:id="17"/>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3826E0">
      <w:pPr>
        <w:pBdr>
          <w:top w:val="nil"/>
          <w:left w:val="nil"/>
          <w:bottom w:val="nil"/>
          <w:right w:val="nil"/>
          <w:between w:val="nil"/>
        </w:pBdr>
        <w:jc w:val="both"/>
        <w:rPr>
          <w:rFonts w:ascii="Bookman Old Style" w:eastAsia="Bookman Old Style" w:hAnsi="Bookman Old Style" w:cs="Bookman Old Style"/>
          <w:color w:val="000000"/>
          <w:u w:val="single"/>
        </w:rPr>
      </w:pPr>
      <w:r w:rsidRPr="001F4F6E">
        <w:rPr>
          <w:rFonts w:ascii="Bookman Old Style" w:eastAsia="Bookman Old Style" w:hAnsi="Bookman Old Style" w:cs="Bookman Old Style"/>
          <w:color w:val="000000"/>
          <w:u w:val="single"/>
        </w:rPr>
        <w:t>3.5.6. Sobre el argumento de que las corridas de toros son arte</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rPr>
      </w:pPr>
    </w:p>
    <w:p w:rsidR="00EE0E78" w:rsidRPr="001F4F6E" w:rsidRDefault="003826E0">
      <w:p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El afamado artista, director y actor de cine y teatro Fabio Rubiano (2017), rechaza que las corridas de toros sean consideradas una expresión artística. Sobre el particular afirma:</w:t>
      </w:r>
    </w:p>
    <w:p w:rsidR="00EE0E78" w:rsidRPr="001F4F6E" w:rsidRDefault="003826E0">
      <w:pPr>
        <w:pBdr>
          <w:top w:val="nil"/>
          <w:left w:val="nil"/>
          <w:bottom w:val="nil"/>
          <w:right w:val="nil"/>
          <w:between w:val="nil"/>
        </w:pBdr>
        <w:jc w:val="both"/>
        <w:rPr>
          <w:rFonts w:ascii="Bookman Old Style" w:eastAsia="Bookman Old Style" w:hAnsi="Bookman Old Style" w:cs="Bookman Old Style"/>
          <w:i/>
          <w:color w:val="000000"/>
        </w:rPr>
      </w:pPr>
      <w:r w:rsidRPr="001F4F6E">
        <w:rPr>
          <w:rFonts w:ascii="Bookman Old Style" w:eastAsia="Bookman Old Style" w:hAnsi="Bookman Old Style" w:cs="Bookman Old Style"/>
          <w:color w:val="000000"/>
        </w:rPr>
        <w:t xml:space="preserve"> </w:t>
      </w:r>
    </w:p>
    <w:p w:rsidR="00EE0E78" w:rsidRPr="001F4F6E"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r w:rsidRPr="001F4F6E">
        <w:rPr>
          <w:rFonts w:ascii="Bookman Old Style" w:eastAsia="Bookman Old Style" w:hAnsi="Bookman Old Style" w:cs="Bookman Old Style"/>
          <w:i/>
          <w:color w:val="000000"/>
        </w:rPr>
        <w:t>“Uno de los argumentos más poderosos de los taurinos es cuando hacen referencia a los grandes artistas que han generado obras de arte a partir de esa práctica: Picasso, Botero, Miró, Buñuel, Hemingway. Parten para sus creaciones de la plasticidad dancística del banderillero, de la presencia mítica del toro (la continua referencia al minotauro), o de lo atractivo de la pasión suicida de un torero.</w:t>
      </w:r>
    </w:p>
    <w:p w:rsidR="00EE0E78" w:rsidRPr="001F4F6E"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r w:rsidRPr="001F4F6E">
        <w:rPr>
          <w:rFonts w:ascii="Bookman Old Style" w:eastAsia="Bookman Old Style" w:hAnsi="Bookman Old Style" w:cs="Bookman Old Style"/>
          <w:i/>
          <w:color w:val="000000"/>
        </w:rPr>
        <w:t xml:space="preserve"> </w:t>
      </w:r>
    </w:p>
    <w:p w:rsidR="00EE0E78" w:rsidRPr="001F4F6E"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r w:rsidRPr="001F4F6E">
        <w:rPr>
          <w:rFonts w:ascii="Bookman Old Style" w:eastAsia="Bookman Old Style" w:hAnsi="Bookman Old Style" w:cs="Bookman Old Style"/>
          <w:i/>
          <w:color w:val="000000"/>
        </w:rPr>
        <w:t>A partir de un acto de barbarie se han creado muchas obras de arte, lo cual es muy diferente a decir que un acto de barbarie sea asumido como una expresión artística. Algún artista posmoderno ha puesto a un perro a morir de hambre como acción estética, y algún otro ha mutilado pollos en una galería. Para mí, dichas acciones aparte de ser crueles son vacías</w:t>
      </w:r>
    </w:p>
    <w:p w:rsidR="00EE0E78" w:rsidRPr="001F4F6E"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r w:rsidRPr="001F4F6E">
        <w:rPr>
          <w:rFonts w:ascii="Bookman Old Style" w:eastAsia="Bookman Old Style" w:hAnsi="Bookman Old Style" w:cs="Bookman Old Style"/>
          <w:i/>
          <w:color w:val="000000"/>
        </w:rPr>
        <w:t xml:space="preserve"> </w:t>
      </w:r>
    </w:p>
    <w:p w:rsidR="00EE0E78" w:rsidRPr="001F4F6E"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r w:rsidRPr="001F4F6E">
        <w:rPr>
          <w:rFonts w:ascii="Bookman Old Style" w:eastAsia="Bookman Old Style" w:hAnsi="Bookman Old Style" w:cs="Bookman Old Style"/>
          <w:i/>
          <w:color w:val="000000"/>
        </w:rPr>
        <w:t>Al final de una de las funciones de la obra Labio de liebre que hicimos en México, se hizo un foro. Como el que se acostumbraba a hacer en Colombia en los años 60 y 70. La obra gira alrededor de algunos de los muchos episodios de las atrocidades que nos deja la guerra en nuestro país. El público expresaba su conmoción por lo que se acababa de contar, gente del Perú, de México, de Estados Unidos; pero hubo una señora colombiana que dijo lo que muchas veces escuchamos de nuestros compatriotas: ¿Por qué habiendo tantas cosas buenas en Colombia se va a otros países a hablar de lo malo?</w:t>
      </w:r>
    </w:p>
    <w:p w:rsidR="00EE0E78" w:rsidRPr="001F4F6E"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r w:rsidRPr="001F4F6E">
        <w:rPr>
          <w:rFonts w:ascii="Bookman Old Style" w:eastAsia="Bookman Old Style" w:hAnsi="Bookman Old Style" w:cs="Bookman Old Style"/>
          <w:i/>
          <w:color w:val="000000"/>
        </w:rPr>
        <w:t xml:space="preserve"> </w:t>
      </w:r>
    </w:p>
    <w:p w:rsidR="00EE0E78" w:rsidRPr="001F4F6E"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p>
    <w:p w:rsidR="00EE0E78" w:rsidRPr="001F4F6E"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rPr>
      </w:pPr>
      <w:r w:rsidRPr="001F4F6E">
        <w:rPr>
          <w:rFonts w:ascii="Bookman Old Style" w:eastAsia="Bookman Old Style" w:hAnsi="Bookman Old Style" w:cs="Bookman Old Style"/>
          <w:i/>
          <w:color w:val="000000"/>
        </w:rPr>
        <w:t>En el martirio no hay arte, solo dolor. El arte es lo más alejado que existe de la muerte”.</w:t>
      </w:r>
      <w:r w:rsidRPr="001F4F6E">
        <w:rPr>
          <w:rFonts w:ascii="Bookman Old Style" w:eastAsia="Bookman Old Style" w:hAnsi="Bookman Old Style" w:cs="Bookman Old Style"/>
          <w:i/>
          <w:color w:val="000000"/>
          <w:vertAlign w:val="superscript"/>
        </w:rPr>
        <w:footnoteReference w:id="18"/>
      </w:r>
    </w:p>
    <w:p w:rsidR="00EE0E78" w:rsidRPr="001F4F6E" w:rsidRDefault="00EE0E78">
      <w:pPr>
        <w:pBdr>
          <w:top w:val="nil"/>
          <w:left w:val="nil"/>
          <w:bottom w:val="nil"/>
          <w:right w:val="nil"/>
          <w:between w:val="nil"/>
        </w:pBdr>
        <w:rPr>
          <w:rFonts w:ascii="Bookman Old Style" w:eastAsia="Bookman Old Style" w:hAnsi="Bookman Old Style" w:cs="Bookman Old Style"/>
          <w:color w:val="000000"/>
        </w:rPr>
      </w:pPr>
    </w:p>
    <w:p w:rsidR="00EE0E78" w:rsidRPr="001F4F6E" w:rsidRDefault="003826E0">
      <w:pPr>
        <w:pBdr>
          <w:top w:val="nil"/>
          <w:left w:val="nil"/>
          <w:bottom w:val="nil"/>
          <w:right w:val="nil"/>
          <w:between w:val="nil"/>
        </w:pBdr>
        <w:rPr>
          <w:rFonts w:ascii="Bookman Old Style" w:eastAsia="Bookman Old Style" w:hAnsi="Bookman Old Style" w:cs="Bookman Old Style"/>
          <w:b/>
          <w:color w:val="000000"/>
        </w:rPr>
      </w:pPr>
      <w:r w:rsidRPr="001F4F6E">
        <w:rPr>
          <w:rFonts w:ascii="Bookman Old Style" w:eastAsia="Bookman Old Style" w:hAnsi="Bookman Old Style" w:cs="Bookman Old Style"/>
          <w:b/>
          <w:color w:val="000000"/>
        </w:rPr>
        <w:t>3.6 Económicos</w:t>
      </w:r>
    </w:p>
    <w:p w:rsidR="00EE0E78" w:rsidRPr="001F4F6E" w:rsidRDefault="00EE0E78">
      <w:pPr>
        <w:pBdr>
          <w:top w:val="nil"/>
          <w:left w:val="nil"/>
          <w:bottom w:val="nil"/>
          <w:right w:val="nil"/>
          <w:between w:val="nil"/>
        </w:pBdr>
        <w:rPr>
          <w:rFonts w:ascii="Bookman Old Style" w:eastAsia="Bookman Old Style" w:hAnsi="Bookman Old Style" w:cs="Bookman Old Style"/>
          <w:color w:val="000000"/>
        </w:rPr>
      </w:pPr>
    </w:p>
    <w:p w:rsidR="00EE0E78" w:rsidRPr="001F4F6E" w:rsidRDefault="003826E0">
      <w:p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La Fundación Colectivo Identidad Animal realizó en 2018 una investigación denominada “</w:t>
      </w:r>
      <w:r w:rsidRPr="001F4F6E">
        <w:rPr>
          <w:rFonts w:ascii="Bookman Old Style" w:eastAsia="Bookman Old Style" w:hAnsi="Bookman Old Style" w:cs="Bookman Old Style"/>
          <w:i/>
          <w:color w:val="000000"/>
        </w:rPr>
        <w:t>El Impacto de la Tauromaquia en la ciudad de Manizales, Caldas</w:t>
      </w:r>
      <w:r w:rsidRPr="001F4F6E">
        <w:rPr>
          <w:rFonts w:ascii="Bookman Old Style" w:eastAsia="Bookman Old Style" w:hAnsi="Bookman Old Style" w:cs="Bookman Old Style"/>
          <w:i/>
          <w:color w:val="000000"/>
          <w:vertAlign w:val="superscript"/>
        </w:rPr>
        <w:footnoteReference w:id="19"/>
      </w:r>
      <w:r w:rsidRPr="001F4F6E">
        <w:rPr>
          <w:rFonts w:ascii="Bookman Old Style" w:eastAsia="Bookman Old Style" w:hAnsi="Bookman Old Style" w:cs="Bookman Old Style"/>
          <w:color w:val="000000"/>
        </w:rPr>
        <w:t>”, que demuestra que si se da la abolición de las corridas de toros, la feria de Manizales no sufrirá ningún impacto económico significativo. Un resumen de éste informe es el siguiente:</w:t>
      </w:r>
    </w:p>
    <w:p w:rsidR="00EE0E78" w:rsidRPr="001F4F6E" w:rsidRDefault="00EE0E78">
      <w:pPr>
        <w:pBdr>
          <w:top w:val="nil"/>
          <w:left w:val="nil"/>
          <w:bottom w:val="nil"/>
          <w:right w:val="nil"/>
          <w:between w:val="nil"/>
        </w:pBdr>
        <w:rPr>
          <w:rFonts w:ascii="Bookman Old Style" w:eastAsia="Bookman Old Style" w:hAnsi="Bookman Old Style" w:cs="Bookman Old Style"/>
          <w:color w:val="000000"/>
        </w:rPr>
      </w:pPr>
    </w:p>
    <w:p w:rsidR="000A1BE5" w:rsidRPr="001F4F6E" w:rsidRDefault="003826E0">
      <w:p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 xml:space="preserve">Hace más de 60 años se realizan eventos taurinos celebrados en el marco anual de la Feria de Manizales; el presente estudio tuvo como fin investigar el impacto económico y social de esta festividad, haciendo especial énfasis en el turismo, la ocupación hotelera versus la asistencia a las corridas, se realizó un análisis cuantitativo en donde se comparó el comportamiento fluctuante de las anteriores variables. </w:t>
      </w:r>
    </w:p>
    <w:p w:rsidR="000A1BE5" w:rsidRPr="001F4F6E" w:rsidRDefault="000A1BE5">
      <w:pPr>
        <w:pBdr>
          <w:top w:val="nil"/>
          <w:left w:val="nil"/>
          <w:bottom w:val="nil"/>
          <w:right w:val="nil"/>
          <w:between w:val="nil"/>
        </w:pBdr>
        <w:jc w:val="both"/>
        <w:rPr>
          <w:rFonts w:ascii="Bookman Old Style" w:eastAsia="Bookman Old Style" w:hAnsi="Bookman Old Style" w:cs="Bookman Old Style"/>
          <w:color w:val="000000"/>
        </w:rPr>
      </w:pPr>
    </w:p>
    <w:p w:rsidR="000A1BE5" w:rsidRPr="001F4F6E" w:rsidRDefault="003826E0">
      <w:p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 xml:space="preserve">De la misma manera se analizaron las utilidades de la Feria entre los años 2013 – 2017, con el fin de tener una base comparativa para sustentar los paralelos económicos de diferentes situaciones. </w:t>
      </w:r>
    </w:p>
    <w:p w:rsidR="000A1BE5" w:rsidRPr="001F4F6E" w:rsidRDefault="000A1BE5">
      <w:pPr>
        <w:pBdr>
          <w:top w:val="nil"/>
          <w:left w:val="nil"/>
          <w:bottom w:val="nil"/>
          <w:right w:val="nil"/>
          <w:between w:val="nil"/>
        </w:pBdr>
        <w:jc w:val="both"/>
        <w:rPr>
          <w:rFonts w:ascii="Bookman Old Style" w:eastAsia="Bookman Old Style" w:hAnsi="Bookman Old Style" w:cs="Bookman Old Style"/>
          <w:color w:val="000000"/>
        </w:rPr>
      </w:pPr>
    </w:p>
    <w:p w:rsidR="000A1BE5" w:rsidRPr="001F4F6E" w:rsidRDefault="003826E0">
      <w:p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 xml:space="preserve">Adicionalmente, se hace mención del Festival Internacional de Teatro y cómo su capacidad de atracción cultural y turística establece una alternativa de ingresos e internacionalización de la ciudad. </w:t>
      </w:r>
    </w:p>
    <w:p w:rsidR="000A1BE5" w:rsidRPr="001F4F6E" w:rsidRDefault="000A1BE5">
      <w:pPr>
        <w:pBdr>
          <w:top w:val="nil"/>
          <w:left w:val="nil"/>
          <w:bottom w:val="nil"/>
          <w:right w:val="nil"/>
          <w:between w:val="nil"/>
        </w:pBdr>
        <w:jc w:val="both"/>
        <w:rPr>
          <w:rFonts w:ascii="Bookman Old Style" w:eastAsia="Bookman Old Style" w:hAnsi="Bookman Old Style" w:cs="Bookman Old Style"/>
          <w:color w:val="000000"/>
        </w:rPr>
      </w:pPr>
    </w:p>
    <w:p w:rsidR="00EE0E78" w:rsidRPr="001F4F6E" w:rsidRDefault="003826E0">
      <w:p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 xml:space="preserve">Una vez recopilado los datos estadísticos de las diferentes fuentes de información, se puede concluir que: la variación de la ocupación hotelera y de turistas en la ciudad no es directamente proporcional con la asistencia a eventos taurinos; los datos analizados demuestran que la financiación y utilidades de la Feria de Manizales depende netamente de los patrocinadores y la Alcaldía, generando aumentos en las utilidades sin depender de la fluctuación en asistentes a los eventos taurinos; el ingreso de turistas a la feria no es directamente proporcional con la asistencia a la plaza; </w:t>
      </w:r>
      <w:r w:rsidRPr="001F4F6E">
        <w:rPr>
          <w:rFonts w:ascii="Bookman Old Style" w:eastAsia="Bookman Old Style" w:hAnsi="Bookman Old Style" w:cs="Bookman Old Style"/>
          <w:color w:val="000000"/>
        </w:rPr>
        <w:lastRenderedPageBreak/>
        <w:t>finalmente, cabe resaltar que en gran medida los empleos generados en la feria no son a raíz de los eventos taurinos, por los que no se puede considerar como un punto de referencia económico y que sea relevante en los informes de la Feria de Manizales entregados por el ICTM.</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rPr>
      </w:pPr>
    </w:p>
    <w:p w:rsidR="00EE0E78" w:rsidRPr="001F4F6E" w:rsidRDefault="003826E0">
      <w:pPr>
        <w:pBdr>
          <w:top w:val="nil"/>
          <w:left w:val="nil"/>
          <w:bottom w:val="nil"/>
          <w:right w:val="nil"/>
          <w:between w:val="nil"/>
        </w:pBd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Si lo anterior es demostrado para Manizales, como la principal plaza taurina del país, es válido extrapolar estos resultados a otras ciudades de Colombia.</w:t>
      </w:r>
    </w:p>
    <w:p w:rsidR="00EE0E78" w:rsidRDefault="00EE0E78">
      <w:pPr>
        <w:pBdr>
          <w:top w:val="nil"/>
          <w:left w:val="nil"/>
          <w:bottom w:val="nil"/>
          <w:right w:val="nil"/>
          <w:between w:val="nil"/>
        </w:pBdr>
        <w:jc w:val="both"/>
        <w:rPr>
          <w:rFonts w:ascii="Bookman Old Style" w:eastAsia="Bookman Old Style" w:hAnsi="Bookman Old Style" w:cs="Bookman Old Style"/>
          <w:b/>
          <w:color w:val="000000"/>
          <w:highlight w:val="white"/>
        </w:rPr>
      </w:pPr>
    </w:p>
    <w:p w:rsidR="002745C3" w:rsidRPr="001F4F6E" w:rsidRDefault="002745C3">
      <w:pPr>
        <w:pBdr>
          <w:top w:val="nil"/>
          <w:left w:val="nil"/>
          <w:bottom w:val="nil"/>
          <w:right w:val="nil"/>
          <w:between w:val="nil"/>
        </w:pBdr>
        <w:jc w:val="both"/>
        <w:rPr>
          <w:rFonts w:ascii="Bookman Old Style" w:eastAsia="Bookman Old Style" w:hAnsi="Bookman Old Style" w:cs="Bookman Old Style"/>
          <w:b/>
          <w:color w:val="000000"/>
          <w:highlight w:val="white"/>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b/>
          <w:color w:val="000000"/>
          <w:highlight w:val="white"/>
        </w:rPr>
      </w:pPr>
      <w:r w:rsidRPr="001F4F6E">
        <w:rPr>
          <w:rFonts w:ascii="Bookman Old Style" w:eastAsia="Bookman Old Style" w:hAnsi="Bookman Old Style" w:cs="Bookman Old Style"/>
          <w:b/>
          <w:color w:val="000000"/>
          <w:highlight w:val="white"/>
        </w:rPr>
        <w:t>4. COMPETENCIA DEL CONGRESO</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EE0E78" w:rsidRPr="001F4F6E" w:rsidRDefault="000F347E">
      <w:pPr>
        <w:pBdr>
          <w:top w:val="nil"/>
          <w:left w:val="nil"/>
          <w:bottom w:val="nil"/>
          <w:right w:val="nil"/>
          <w:between w:val="nil"/>
        </w:pBdr>
        <w:jc w:val="both"/>
        <w:rPr>
          <w:rFonts w:ascii="Bookman Old Style" w:eastAsia="Bookman Old Style" w:hAnsi="Bookman Old Style" w:cs="Bookman Old Style"/>
          <w:b/>
          <w:color w:val="000000"/>
          <w:highlight w:val="white"/>
          <w:u w:val="single"/>
        </w:rPr>
      </w:pPr>
      <w:r w:rsidRPr="001F4F6E">
        <w:rPr>
          <w:rFonts w:ascii="Bookman Old Style" w:eastAsia="Bookman Old Style" w:hAnsi="Bookman Old Style" w:cs="Bookman Old Style"/>
          <w:color w:val="000000"/>
          <w:highlight w:val="white"/>
        </w:rPr>
        <w:t xml:space="preserve"> </w:t>
      </w:r>
      <w:r w:rsidRPr="001F4F6E">
        <w:rPr>
          <w:rFonts w:ascii="Bookman Old Style" w:eastAsia="Bookman Old Style" w:hAnsi="Bookman Old Style" w:cs="Bookman Old Style"/>
          <w:b/>
          <w:color w:val="000000"/>
          <w:highlight w:val="white"/>
        </w:rPr>
        <w:t xml:space="preserve">4.1. </w:t>
      </w:r>
      <w:r w:rsidRPr="001F4F6E">
        <w:rPr>
          <w:rFonts w:ascii="Bookman Old Style" w:eastAsia="Bookman Old Style" w:hAnsi="Bookman Old Style" w:cs="Bookman Old Style"/>
          <w:b/>
          <w:color w:val="000000"/>
          <w:highlight w:val="white"/>
          <w:u w:val="single"/>
        </w:rPr>
        <w:t>CONSTITUCIONAL:</w:t>
      </w:r>
    </w:p>
    <w:p w:rsidR="00EE0E78" w:rsidRPr="001F4F6E" w:rsidRDefault="000F347E" w:rsidP="005951D0">
      <w:pPr>
        <w:pBdr>
          <w:top w:val="nil"/>
          <w:left w:val="nil"/>
          <w:bottom w:val="nil"/>
          <w:right w:val="nil"/>
          <w:between w:val="nil"/>
        </w:pBdr>
        <w:ind w:right="900"/>
        <w:jc w:val="both"/>
        <w:rPr>
          <w:rFonts w:ascii="Bookman Old Style" w:eastAsia="Bookman Old Style" w:hAnsi="Bookman Old Style" w:cs="Bookman Old Style"/>
          <w:b/>
          <w:color w:val="000000"/>
          <w:highlight w:val="white"/>
        </w:rPr>
      </w:pPr>
      <w:r w:rsidRPr="001F4F6E">
        <w:rPr>
          <w:rFonts w:ascii="Bookman Old Style" w:eastAsia="Bookman Old Style" w:hAnsi="Bookman Old Style" w:cs="Bookman Old Style"/>
          <w:b/>
          <w:color w:val="000000"/>
          <w:highlight w:val="white"/>
        </w:rPr>
        <w:t xml:space="preserve"> </w:t>
      </w:r>
    </w:p>
    <w:p w:rsidR="00EE0E78" w:rsidRPr="001F4F6E"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b/>
          <w:i/>
          <w:color w:val="000000"/>
          <w:highlight w:val="white"/>
        </w:rPr>
        <w:t>“ARTÍCULO 114</w:t>
      </w:r>
      <w:r w:rsidRPr="001F4F6E">
        <w:rPr>
          <w:rFonts w:ascii="Bookman Old Style" w:eastAsia="Bookman Old Style" w:hAnsi="Bookman Old Style" w:cs="Bookman Old Style"/>
          <w:i/>
          <w:color w:val="000000"/>
          <w:highlight w:val="white"/>
        </w:rPr>
        <w:t>. Corresponde al Congreso de la República reformar la Constitución, hacer las leyes y ejercer control político sobre el gobierno y la administración.</w:t>
      </w:r>
    </w:p>
    <w:p w:rsidR="00EE0E78" w:rsidRPr="001F4F6E"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 xml:space="preserve"> </w:t>
      </w:r>
    </w:p>
    <w:p w:rsidR="00EE0E78" w:rsidRPr="001F4F6E"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El Congreso de la República, estará integrado por el Senado y la Cámara de Representantes (...)</w:t>
      </w:r>
    </w:p>
    <w:p w:rsidR="00EE0E78" w:rsidRPr="001F4F6E"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 xml:space="preserve"> </w:t>
      </w:r>
    </w:p>
    <w:p w:rsidR="00EE0E78" w:rsidRPr="001F4F6E"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b/>
          <w:i/>
          <w:color w:val="000000"/>
          <w:highlight w:val="white"/>
        </w:rPr>
        <w:t>ARTÍCULO  150</w:t>
      </w:r>
      <w:r w:rsidRPr="001F4F6E">
        <w:rPr>
          <w:rFonts w:ascii="Bookman Old Style" w:eastAsia="Bookman Old Style" w:hAnsi="Bookman Old Style" w:cs="Bookman Old Style"/>
          <w:i/>
          <w:color w:val="000000"/>
          <w:highlight w:val="white"/>
        </w:rPr>
        <w:t>. Corresponde al Congreso hacer las leyes. Por medio de ellas ejerce las siguientes funciones:</w:t>
      </w:r>
    </w:p>
    <w:p w:rsidR="00EE0E78" w:rsidRPr="001F4F6E"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 xml:space="preserve"> </w:t>
      </w:r>
    </w:p>
    <w:p w:rsidR="00EE0E78" w:rsidRPr="001F4F6E" w:rsidRDefault="000F347E" w:rsidP="005951D0">
      <w:pPr>
        <w:pBdr>
          <w:top w:val="nil"/>
          <w:left w:val="nil"/>
          <w:bottom w:val="nil"/>
          <w:right w:val="nil"/>
          <w:between w:val="nil"/>
        </w:pBdr>
        <w:ind w:left="1640" w:right="900" w:hanging="36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1.   Interpretar, reformar y derogar las leyes.</w:t>
      </w:r>
    </w:p>
    <w:p w:rsidR="00EE0E78" w:rsidRPr="001F4F6E" w:rsidRDefault="000F347E" w:rsidP="005951D0">
      <w:pPr>
        <w:pBdr>
          <w:top w:val="nil"/>
          <w:left w:val="nil"/>
          <w:bottom w:val="nil"/>
          <w:right w:val="nil"/>
          <w:between w:val="nil"/>
        </w:pBdr>
        <w:ind w:left="1640" w:right="900" w:hanging="36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w:t>
      </w:r>
    </w:p>
    <w:p w:rsidR="00EE0E78" w:rsidRPr="001F4F6E" w:rsidRDefault="000F347E" w:rsidP="005951D0">
      <w:pPr>
        <w:pBdr>
          <w:top w:val="nil"/>
          <w:left w:val="nil"/>
          <w:bottom w:val="nil"/>
          <w:right w:val="nil"/>
          <w:between w:val="nil"/>
        </w:pBdr>
        <w:ind w:left="1280"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 xml:space="preserve"> </w:t>
      </w:r>
    </w:p>
    <w:p w:rsidR="00EE0E78" w:rsidRPr="001F4F6E" w:rsidRDefault="000F347E" w:rsidP="005951D0">
      <w:pPr>
        <w:pBdr>
          <w:top w:val="nil"/>
          <w:left w:val="nil"/>
          <w:bottom w:val="nil"/>
          <w:right w:val="nil"/>
          <w:between w:val="nil"/>
        </w:pBdr>
        <w:ind w:right="900"/>
        <w:jc w:val="both"/>
        <w:rPr>
          <w:rFonts w:ascii="Bookman Old Style" w:eastAsia="Bookman Old Style" w:hAnsi="Bookman Old Style" w:cs="Bookman Old Style"/>
          <w:b/>
          <w:color w:val="000000"/>
          <w:highlight w:val="white"/>
          <w:u w:val="single"/>
        </w:rPr>
      </w:pPr>
      <w:r w:rsidRPr="001F4F6E">
        <w:rPr>
          <w:rFonts w:ascii="Bookman Old Style" w:eastAsia="Bookman Old Style" w:hAnsi="Bookman Old Style" w:cs="Bookman Old Style"/>
          <w:b/>
          <w:color w:val="000000"/>
          <w:highlight w:val="white"/>
        </w:rPr>
        <w:t xml:space="preserve"> 4.2. </w:t>
      </w:r>
      <w:r w:rsidRPr="001F4F6E">
        <w:rPr>
          <w:rFonts w:ascii="Bookman Old Style" w:eastAsia="Bookman Old Style" w:hAnsi="Bookman Old Style" w:cs="Bookman Old Style"/>
          <w:b/>
          <w:color w:val="000000"/>
          <w:highlight w:val="white"/>
          <w:u w:val="single"/>
        </w:rPr>
        <w:t>LEGAL:</w:t>
      </w:r>
    </w:p>
    <w:p w:rsidR="00EE0E78" w:rsidRPr="001F4F6E" w:rsidRDefault="000F347E" w:rsidP="005951D0">
      <w:pPr>
        <w:pBdr>
          <w:top w:val="nil"/>
          <w:left w:val="nil"/>
          <w:bottom w:val="nil"/>
          <w:right w:val="nil"/>
          <w:between w:val="nil"/>
        </w:pBdr>
        <w:ind w:right="900"/>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 xml:space="preserve"> </w:t>
      </w:r>
    </w:p>
    <w:p w:rsidR="00EE0E78" w:rsidRPr="001F4F6E" w:rsidRDefault="000F347E" w:rsidP="005951D0">
      <w:pPr>
        <w:pBdr>
          <w:top w:val="nil"/>
          <w:left w:val="nil"/>
          <w:bottom w:val="nil"/>
          <w:right w:val="nil"/>
          <w:between w:val="nil"/>
        </w:pBdr>
        <w:ind w:left="860" w:right="900"/>
        <w:jc w:val="both"/>
        <w:rPr>
          <w:rFonts w:ascii="Bookman Old Style" w:eastAsia="Bookman Old Style" w:hAnsi="Bookman Old Style" w:cs="Bookman Old Style"/>
          <w:b/>
          <w:color w:val="000000"/>
          <w:highlight w:val="white"/>
        </w:rPr>
      </w:pPr>
      <w:r w:rsidRPr="001F4F6E">
        <w:rPr>
          <w:rFonts w:ascii="Bookman Old Style" w:eastAsia="Bookman Old Style" w:hAnsi="Bookman Old Style" w:cs="Bookman Old Style"/>
          <w:b/>
          <w:color w:val="000000"/>
          <w:highlight w:val="white"/>
        </w:rPr>
        <w:t>LEY 3 DE 1992. POR LA CUAL SE EXPIDEN NORMAS SOBRE LAS COMISIONES DEL CONGRESO DE COLOMBIA Y SE DICTAN OTRAS DISPOSICIONES.</w:t>
      </w:r>
    </w:p>
    <w:p w:rsidR="00EE0E78" w:rsidRPr="001F4F6E" w:rsidRDefault="000F347E" w:rsidP="005951D0">
      <w:pPr>
        <w:pBdr>
          <w:top w:val="nil"/>
          <w:left w:val="nil"/>
          <w:bottom w:val="nil"/>
          <w:right w:val="nil"/>
          <w:between w:val="nil"/>
        </w:pBdr>
        <w:ind w:left="860" w:right="900"/>
        <w:jc w:val="both"/>
        <w:rPr>
          <w:rFonts w:ascii="Bookman Old Style" w:eastAsia="Bookman Old Style" w:hAnsi="Bookman Old Style" w:cs="Bookman Old Style"/>
          <w:b/>
          <w:color w:val="000000"/>
          <w:highlight w:val="white"/>
        </w:rPr>
      </w:pPr>
      <w:r w:rsidRPr="001F4F6E">
        <w:rPr>
          <w:rFonts w:ascii="Bookman Old Style" w:eastAsia="Bookman Old Style" w:hAnsi="Bookman Old Style" w:cs="Bookman Old Style"/>
          <w:b/>
          <w:color w:val="000000"/>
          <w:highlight w:val="white"/>
        </w:rPr>
        <w:t xml:space="preserve"> </w:t>
      </w:r>
    </w:p>
    <w:p w:rsidR="00EE0E78" w:rsidRPr="001F4F6E"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b/>
          <w:i/>
          <w:color w:val="000000"/>
          <w:highlight w:val="white"/>
        </w:rPr>
        <w:t xml:space="preserve">“ARTÍCULO 2º </w:t>
      </w:r>
      <w:r w:rsidRPr="001F4F6E">
        <w:rPr>
          <w:rFonts w:ascii="Bookman Old Style" w:eastAsia="Bookman Old Style" w:hAnsi="Bookman Old Style" w:cs="Bookman Old Style"/>
          <w:i/>
          <w:color w:val="000000"/>
          <w:highlight w:val="white"/>
        </w:rPr>
        <w:t>Tanto en el Senado como en la Cámara de Representantes funcionarán Comisiones Constitucionales Permanentes, encargadas de dar primer debate a los proyectos de acto legislativo o de ley referente a los asuntos de su competencia.</w:t>
      </w:r>
    </w:p>
    <w:p w:rsidR="00EE0E78" w:rsidRPr="001F4F6E"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 xml:space="preserve"> </w:t>
      </w:r>
    </w:p>
    <w:p w:rsidR="00EE0E78" w:rsidRPr="001F4F6E"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lastRenderedPageBreak/>
        <w:t>Las Comisiones Constitucionales Permanentes en cada una de las Cámaras serán siete (7) a saber”</w:t>
      </w:r>
    </w:p>
    <w:p w:rsidR="00EE0E78" w:rsidRPr="001F4F6E" w:rsidRDefault="00EE0E78" w:rsidP="005951D0">
      <w:pPr>
        <w:pBdr>
          <w:top w:val="nil"/>
          <w:left w:val="nil"/>
          <w:bottom w:val="nil"/>
          <w:right w:val="nil"/>
          <w:between w:val="nil"/>
        </w:pBdr>
        <w:ind w:left="860" w:right="900"/>
        <w:jc w:val="both"/>
        <w:rPr>
          <w:rFonts w:ascii="Bookman Old Style" w:eastAsia="Bookman Old Style" w:hAnsi="Bookman Old Style" w:cs="Bookman Old Style"/>
          <w:b/>
          <w:color w:val="000000"/>
          <w:highlight w:val="white"/>
        </w:rPr>
      </w:pPr>
    </w:p>
    <w:p w:rsidR="00EE0E78" w:rsidRPr="001F4F6E" w:rsidRDefault="000F347E" w:rsidP="005951D0">
      <w:pPr>
        <w:pBdr>
          <w:top w:val="nil"/>
          <w:left w:val="nil"/>
          <w:bottom w:val="nil"/>
          <w:right w:val="nil"/>
          <w:between w:val="nil"/>
        </w:pBdr>
        <w:ind w:left="860" w:right="900"/>
        <w:jc w:val="both"/>
        <w:rPr>
          <w:rFonts w:ascii="Bookman Old Style" w:eastAsia="Bookman Old Style" w:hAnsi="Bookman Old Style" w:cs="Bookman Old Style"/>
          <w:b/>
          <w:color w:val="000000"/>
          <w:highlight w:val="white"/>
        </w:rPr>
      </w:pPr>
      <w:r w:rsidRPr="001F4F6E">
        <w:rPr>
          <w:rFonts w:ascii="Bookman Old Style" w:eastAsia="Bookman Old Style" w:hAnsi="Bookman Old Style" w:cs="Bookman Old Style"/>
          <w:b/>
          <w:color w:val="000000"/>
          <w:highlight w:val="white"/>
        </w:rPr>
        <w:t>LEY 5 DE 1992.</w:t>
      </w:r>
      <w:r w:rsidRPr="001F4F6E">
        <w:rPr>
          <w:rFonts w:ascii="Bookman Old Style" w:eastAsia="Bookman Old Style" w:hAnsi="Bookman Old Style" w:cs="Bookman Old Style"/>
          <w:color w:val="000000"/>
          <w:highlight w:val="white"/>
        </w:rPr>
        <w:t xml:space="preserve"> </w:t>
      </w:r>
      <w:r w:rsidRPr="001F4F6E">
        <w:rPr>
          <w:rFonts w:ascii="Bookman Old Style" w:eastAsia="Bookman Old Style" w:hAnsi="Bookman Old Style" w:cs="Bookman Old Style"/>
          <w:b/>
          <w:color w:val="000000"/>
          <w:highlight w:val="white"/>
        </w:rPr>
        <w:t>POR LA CUAL SE EXPIDE EL REGLAMENTO DEL CONGRESO; EL SENADO Y LA CÁMARA DE REPRESENTANTES</w:t>
      </w:r>
    </w:p>
    <w:p w:rsidR="00EE0E78" w:rsidRPr="001F4F6E" w:rsidRDefault="000F347E" w:rsidP="005951D0">
      <w:pPr>
        <w:pBdr>
          <w:top w:val="nil"/>
          <w:left w:val="nil"/>
          <w:bottom w:val="nil"/>
          <w:right w:val="nil"/>
          <w:between w:val="nil"/>
        </w:pBdr>
        <w:ind w:left="860" w:right="900"/>
        <w:jc w:val="both"/>
        <w:rPr>
          <w:rFonts w:ascii="Bookman Old Style" w:eastAsia="Bookman Old Style" w:hAnsi="Bookman Old Style" w:cs="Bookman Old Style"/>
          <w:b/>
          <w:color w:val="000000"/>
          <w:highlight w:val="white"/>
        </w:rPr>
      </w:pPr>
      <w:r w:rsidRPr="001F4F6E">
        <w:rPr>
          <w:rFonts w:ascii="Bookman Old Style" w:eastAsia="Bookman Old Style" w:hAnsi="Bookman Old Style" w:cs="Bookman Old Style"/>
          <w:b/>
          <w:color w:val="000000"/>
          <w:highlight w:val="white"/>
        </w:rPr>
        <w:t xml:space="preserve"> </w:t>
      </w:r>
    </w:p>
    <w:p w:rsidR="00EE0E78" w:rsidRPr="001F4F6E"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b/>
          <w:i/>
          <w:color w:val="000000"/>
          <w:highlight w:val="white"/>
        </w:rPr>
        <w:t xml:space="preserve">“ARTÍCULO 6o. CLASES DE FUNCIONES DEL CONGRESO. </w:t>
      </w:r>
      <w:r w:rsidRPr="001F4F6E">
        <w:rPr>
          <w:rFonts w:ascii="Bookman Old Style" w:eastAsia="Bookman Old Style" w:hAnsi="Bookman Old Style" w:cs="Bookman Old Style"/>
          <w:i/>
          <w:color w:val="000000"/>
          <w:highlight w:val="white"/>
        </w:rPr>
        <w:t>El Congreso de la República cumple:</w:t>
      </w:r>
    </w:p>
    <w:p w:rsidR="00EE0E78" w:rsidRPr="001F4F6E"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 xml:space="preserve"> </w:t>
      </w:r>
    </w:p>
    <w:p w:rsidR="00EE0E78" w:rsidRPr="001F4F6E"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1. Función CONSTITUYENTE, para reformar la Constitución Política mediante actos legislativos.</w:t>
      </w:r>
    </w:p>
    <w:p w:rsidR="00EE0E78" w:rsidRPr="001F4F6E"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 xml:space="preserve"> </w:t>
      </w:r>
    </w:p>
    <w:p w:rsidR="00EE0E78" w:rsidRPr="001F4F6E"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2. Función LEGISLATIVA, para elaborar, interpretar, reformar y derogar las leyes y códigos en todos los ramos de la legislación</w:t>
      </w:r>
    </w:p>
    <w:p w:rsidR="00EE0E78" w:rsidRPr="001F4F6E"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highlight w:val="white"/>
        </w:rPr>
      </w:pPr>
      <w:r w:rsidRPr="001F4F6E">
        <w:rPr>
          <w:rFonts w:ascii="Bookman Old Style" w:eastAsia="Bookman Old Style" w:hAnsi="Bookman Old Style" w:cs="Bookman Old Style"/>
          <w:i/>
          <w:color w:val="000000"/>
          <w:highlight w:val="white"/>
        </w:rPr>
        <w:t>(...)</w:t>
      </w:r>
    </w:p>
    <w:p w:rsidR="00EE0E78" w:rsidRPr="001F4F6E" w:rsidRDefault="00EE0E78">
      <w:pPr>
        <w:pBdr>
          <w:top w:val="nil"/>
          <w:left w:val="nil"/>
          <w:bottom w:val="nil"/>
          <w:right w:val="nil"/>
          <w:between w:val="nil"/>
        </w:pBdr>
        <w:jc w:val="both"/>
        <w:rPr>
          <w:rFonts w:ascii="Bookman Old Style" w:eastAsia="Bookman Old Style" w:hAnsi="Bookman Old Style" w:cs="Bookman Old Style"/>
          <w:color w:val="000000"/>
          <w:highlight w:val="white"/>
        </w:rPr>
      </w:pPr>
    </w:p>
    <w:p w:rsidR="00A34AE4" w:rsidRPr="001F4F6E" w:rsidRDefault="000B735E"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eastAsia="Bookman Old Style" w:hAnsi="Bookman Old Style" w:cs="Bookman Old Style"/>
          <w:color w:val="000000"/>
          <w:highlight w:val="white"/>
        </w:rPr>
        <w:t>En el caso particular, se considera que el presente proyecto debe tramitarse</w:t>
      </w:r>
      <w:r w:rsidR="00383A2B" w:rsidRPr="001F4F6E">
        <w:rPr>
          <w:rFonts w:ascii="Bookman Old Style" w:eastAsia="Bookman Old Style" w:hAnsi="Bookman Old Style" w:cs="Bookman Old Style"/>
          <w:color w:val="000000"/>
          <w:highlight w:val="white"/>
        </w:rPr>
        <w:t xml:space="preserve"> </w:t>
      </w:r>
      <w:r w:rsidRPr="001F4F6E">
        <w:rPr>
          <w:rFonts w:ascii="Bookman Old Style" w:eastAsia="Bookman Old Style" w:hAnsi="Bookman Old Style" w:cs="Bookman Old Style"/>
          <w:color w:val="000000"/>
          <w:highlight w:val="white"/>
        </w:rPr>
        <w:t>a través de la Comisión Primera Constitucional, en tanto pretende el reconocimiento de la protección y derechos de los animales en su calidad de seres sintientes.</w:t>
      </w:r>
    </w:p>
    <w:p w:rsidR="00112883" w:rsidRDefault="00112883"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p>
    <w:p w:rsidR="002745C3" w:rsidRDefault="002745C3"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p>
    <w:p w:rsidR="002745C3" w:rsidRDefault="002745C3"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p>
    <w:p w:rsidR="002745C3" w:rsidRDefault="002745C3"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p>
    <w:p w:rsidR="002745C3" w:rsidRPr="001F4F6E" w:rsidRDefault="002745C3" w:rsidP="00C678BE">
      <w:pPr>
        <w:pBdr>
          <w:top w:val="nil"/>
          <w:left w:val="nil"/>
          <w:bottom w:val="nil"/>
          <w:right w:val="nil"/>
          <w:between w:val="nil"/>
        </w:pBdr>
        <w:jc w:val="both"/>
        <w:rPr>
          <w:rFonts w:ascii="Bookman Old Style" w:eastAsia="Bookman Old Style" w:hAnsi="Bookman Old Style" w:cs="Bookman Old Style"/>
          <w:color w:val="000000"/>
          <w:highlight w:val="white"/>
        </w:rPr>
      </w:pPr>
    </w:p>
    <w:p w:rsidR="00112883" w:rsidRPr="001F4F6E" w:rsidRDefault="00112883" w:rsidP="00112883">
      <w:pPr>
        <w:pBdr>
          <w:top w:val="nil"/>
          <w:left w:val="nil"/>
          <w:bottom w:val="nil"/>
          <w:right w:val="nil"/>
          <w:between w:val="nil"/>
        </w:pBdr>
        <w:jc w:val="both"/>
        <w:rPr>
          <w:rFonts w:ascii="Bookman Old Style" w:eastAsia="Bookman Old Style" w:hAnsi="Bookman Old Style" w:cs="Bookman Old Style"/>
          <w:b/>
          <w:color w:val="000000"/>
          <w:highlight w:val="white"/>
        </w:rPr>
      </w:pPr>
      <w:r w:rsidRPr="001F4F6E">
        <w:rPr>
          <w:rFonts w:ascii="Bookman Old Style" w:eastAsia="Bookman Old Style" w:hAnsi="Bookman Old Style" w:cs="Bookman Old Style"/>
          <w:b/>
          <w:color w:val="000000"/>
          <w:highlight w:val="white"/>
        </w:rPr>
        <w:t>5.</w:t>
      </w:r>
      <w:r w:rsidRPr="001F4F6E">
        <w:rPr>
          <w:rFonts w:ascii="Bookman Old Style" w:eastAsia="Bookman Old Style" w:hAnsi="Bookman Old Style" w:cs="Bookman Old Style"/>
          <w:color w:val="000000"/>
          <w:highlight w:val="white"/>
        </w:rPr>
        <w:t xml:space="preserve"> </w:t>
      </w:r>
      <w:r w:rsidRPr="001F4F6E">
        <w:rPr>
          <w:rFonts w:ascii="Bookman Old Style" w:eastAsia="Bookman Old Style" w:hAnsi="Bookman Old Style" w:cs="Bookman Old Style"/>
          <w:b/>
          <w:color w:val="000000"/>
          <w:highlight w:val="white"/>
        </w:rPr>
        <w:t>CONFLICTO DE INTERÉS</w:t>
      </w:r>
    </w:p>
    <w:p w:rsidR="00112883" w:rsidRPr="001F4F6E" w:rsidRDefault="00112883" w:rsidP="00112883">
      <w:pPr>
        <w:pBdr>
          <w:top w:val="nil"/>
          <w:left w:val="nil"/>
          <w:bottom w:val="nil"/>
          <w:right w:val="nil"/>
          <w:between w:val="nil"/>
        </w:pBdr>
        <w:jc w:val="both"/>
        <w:rPr>
          <w:rFonts w:ascii="Bookman Old Style" w:eastAsia="Bookman Old Style" w:hAnsi="Bookman Old Style" w:cs="Bookman Old Style"/>
          <w:color w:val="000000"/>
          <w:highlight w:val="white"/>
        </w:rPr>
      </w:pPr>
    </w:p>
    <w:p w:rsidR="006C53FD" w:rsidRPr="001F4F6E" w:rsidRDefault="006C53FD" w:rsidP="006C53FD">
      <w:pPr>
        <w:jc w:val="both"/>
        <w:rPr>
          <w:rFonts w:ascii="Bookman Old Style" w:hAnsi="Bookman Old Style" w:cs="Arial"/>
          <w:bCs/>
          <w:shd w:val="clear" w:color="auto" w:fill="FFFFFF"/>
        </w:rPr>
      </w:pPr>
      <w:r w:rsidRPr="001F4F6E">
        <w:rPr>
          <w:rFonts w:ascii="Bookman Old Style" w:hAnsi="Bookman Old Style" w:cs="Arial"/>
          <w:bCs/>
          <w:shd w:val="clear" w:color="auto" w:fill="FFFFFF"/>
        </w:rPr>
        <w:t>Dando alcance a lo establecido en el artículo 3 de la Ley 2003 de 2019, “</w:t>
      </w:r>
      <w:r w:rsidRPr="001F4F6E">
        <w:rPr>
          <w:rFonts w:ascii="Bookman Old Style" w:hAnsi="Bookman Old Style" w:cs="Arial"/>
          <w:bCs/>
          <w:i/>
          <w:shd w:val="clear" w:color="auto" w:fill="FFFFFF"/>
        </w:rPr>
        <w:t>Por la cual se modifica parcialmente la Ley 5 de 1992</w:t>
      </w:r>
      <w:r w:rsidRPr="001F4F6E">
        <w:rPr>
          <w:rFonts w:ascii="Bookman Old Style" w:hAnsi="Bookman Old Style" w:cs="Arial"/>
          <w:bCs/>
          <w:shd w:val="clear" w:color="auto" w:fill="FFFFFF"/>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rsidR="006C53FD" w:rsidRPr="001F4F6E" w:rsidRDefault="006C53FD" w:rsidP="006C53FD">
      <w:pPr>
        <w:jc w:val="both"/>
        <w:rPr>
          <w:rFonts w:ascii="Bookman Old Style" w:hAnsi="Bookman Old Style" w:cs="Arial"/>
          <w:bCs/>
          <w:shd w:val="clear" w:color="auto" w:fill="FFFFFF"/>
        </w:rPr>
      </w:pPr>
    </w:p>
    <w:p w:rsidR="006C53FD" w:rsidRPr="001F4F6E" w:rsidRDefault="006C53FD" w:rsidP="001F4F6E">
      <w:pPr>
        <w:ind w:left="850" w:right="900"/>
        <w:jc w:val="both"/>
        <w:rPr>
          <w:rFonts w:ascii="Bookman Old Style" w:hAnsi="Bookman Old Style" w:cs="Arial"/>
          <w:bCs/>
          <w:i/>
          <w:iCs/>
          <w:shd w:val="clear" w:color="auto" w:fill="FFFFFF"/>
        </w:rPr>
      </w:pPr>
      <w:r w:rsidRPr="001F4F6E">
        <w:rPr>
          <w:rFonts w:ascii="Bookman Old Style" w:hAnsi="Bookman Old Style" w:cs="Arial"/>
          <w:bCs/>
          <w:i/>
          <w:iCs/>
          <w:shd w:val="clear" w:color="auto" w:fill="FFFFFF"/>
        </w:rPr>
        <w:t>“</w:t>
      </w:r>
      <w:r w:rsidRPr="001F4F6E">
        <w:rPr>
          <w:rFonts w:ascii="Bookman Old Style" w:hAnsi="Bookman Old Style" w:cs="Arial"/>
          <w:b/>
          <w:bCs/>
          <w:i/>
          <w:iCs/>
          <w:shd w:val="clear" w:color="auto" w:fill="FFFFFF"/>
        </w:rPr>
        <w:t>Artículo 286. Régimen de conflicto de interés de los congresistas.</w:t>
      </w:r>
      <w:r w:rsidRPr="001F4F6E">
        <w:rPr>
          <w:rFonts w:ascii="Bookman Old Style" w:hAnsi="Bookman Old Style" w:cs="Arial"/>
          <w:bCs/>
          <w:i/>
          <w:iCs/>
          <w:shd w:val="clear" w:color="auto" w:fill="FFFFFF"/>
        </w:rPr>
        <w:t xml:space="preserve"> Todos los congresistas deberán declarar los </w:t>
      </w:r>
      <w:r w:rsidRPr="001F4F6E">
        <w:rPr>
          <w:rFonts w:ascii="Bookman Old Style" w:hAnsi="Bookman Old Style" w:cs="Arial"/>
          <w:bCs/>
          <w:i/>
          <w:iCs/>
          <w:shd w:val="clear" w:color="auto" w:fill="FFFFFF"/>
        </w:rPr>
        <w:lastRenderedPageBreak/>
        <w:t>conflictos De intereses que pudieran surgir en ejercicio de sus funciones.</w:t>
      </w:r>
    </w:p>
    <w:p w:rsidR="006C53FD" w:rsidRPr="001F4F6E" w:rsidRDefault="006C53FD" w:rsidP="001F4F6E">
      <w:pPr>
        <w:ind w:left="850" w:right="900"/>
        <w:jc w:val="both"/>
        <w:rPr>
          <w:rFonts w:ascii="Bookman Old Style" w:hAnsi="Bookman Old Style" w:cs="Arial"/>
          <w:bCs/>
          <w:i/>
          <w:iCs/>
          <w:shd w:val="clear" w:color="auto" w:fill="FFFFFF"/>
        </w:rPr>
      </w:pPr>
      <w:r w:rsidRPr="001F4F6E">
        <w:rPr>
          <w:rFonts w:ascii="Bookman Old Style" w:hAnsi="Bookman Old Style" w:cs="Arial"/>
          <w:bCs/>
          <w:i/>
          <w:iCs/>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rsidR="006C53FD" w:rsidRPr="001F4F6E" w:rsidRDefault="006C53FD" w:rsidP="001F4F6E">
      <w:pPr>
        <w:numPr>
          <w:ilvl w:val="0"/>
          <w:numId w:val="11"/>
        </w:numPr>
        <w:spacing w:after="160"/>
        <w:ind w:left="850" w:right="900" w:firstLine="0"/>
        <w:jc w:val="both"/>
        <w:rPr>
          <w:rFonts w:ascii="Bookman Old Style" w:hAnsi="Bookman Old Style" w:cs="Arial"/>
          <w:bCs/>
          <w:i/>
          <w:iCs/>
          <w:shd w:val="clear" w:color="auto" w:fill="FFFFFF"/>
        </w:rPr>
      </w:pPr>
      <w:r w:rsidRPr="001F4F6E">
        <w:rPr>
          <w:rFonts w:ascii="Bookman Old Style" w:hAnsi="Bookman Old Style" w:cs="Arial"/>
          <w:bCs/>
          <w:i/>
          <w:iCs/>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6C53FD" w:rsidRPr="001F4F6E" w:rsidRDefault="006C53FD" w:rsidP="001F4F6E">
      <w:pPr>
        <w:numPr>
          <w:ilvl w:val="0"/>
          <w:numId w:val="11"/>
        </w:numPr>
        <w:spacing w:after="160"/>
        <w:ind w:left="850" w:right="900" w:firstLine="0"/>
        <w:jc w:val="both"/>
        <w:rPr>
          <w:rFonts w:ascii="Bookman Old Style" w:hAnsi="Bookman Old Style" w:cs="Arial"/>
          <w:bCs/>
          <w:i/>
          <w:iCs/>
          <w:shd w:val="clear" w:color="auto" w:fill="FFFFFF"/>
        </w:rPr>
      </w:pPr>
      <w:r w:rsidRPr="001F4F6E">
        <w:rPr>
          <w:rFonts w:ascii="Bookman Old Style" w:hAnsi="Bookman Old Style" w:cs="Arial"/>
          <w:bCs/>
          <w:i/>
          <w:iCs/>
          <w:shd w:val="clear" w:color="auto" w:fill="FFFFFF"/>
        </w:rPr>
        <w:t>Beneficio actual: aquel que efectivamente se configura en las circunstancias presentes y existentes al momento en el que el congresista participa de la decisión. </w:t>
      </w:r>
    </w:p>
    <w:p w:rsidR="006C53FD" w:rsidRPr="001F4F6E" w:rsidRDefault="006C53FD" w:rsidP="001F4F6E">
      <w:pPr>
        <w:numPr>
          <w:ilvl w:val="0"/>
          <w:numId w:val="11"/>
        </w:numPr>
        <w:spacing w:after="160"/>
        <w:ind w:left="850" w:right="900" w:firstLine="0"/>
        <w:jc w:val="both"/>
        <w:rPr>
          <w:rFonts w:ascii="Bookman Old Style" w:hAnsi="Bookman Old Style" w:cs="Arial"/>
          <w:bCs/>
          <w:i/>
          <w:iCs/>
          <w:shd w:val="clear" w:color="auto" w:fill="FFFFFF"/>
        </w:rPr>
      </w:pPr>
      <w:r w:rsidRPr="001F4F6E">
        <w:rPr>
          <w:rFonts w:ascii="Bookman Old Style" w:hAnsi="Bookman Old Style" w:cs="Arial"/>
          <w:bCs/>
          <w:i/>
          <w:iCs/>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rsidR="006C53FD" w:rsidRDefault="006C53FD" w:rsidP="001F4F6E">
      <w:pPr>
        <w:ind w:left="850" w:right="474"/>
        <w:jc w:val="both"/>
        <w:rPr>
          <w:rFonts w:ascii="Bookman Old Style" w:hAnsi="Bookman Old Style" w:cs="Arial"/>
          <w:bCs/>
          <w:i/>
          <w:iCs/>
          <w:shd w:val="clear" w:color="auto" w:fill="FFFFFF"/>
        </w:rPr>
      </w:pPr>
      <w:r w:rsidRPr="001F4F6E">
        <w:rPr>
          <w:rFonts w:ascii="Bookman Old Style" w:hAnsi="Bookman Old Style" w:cs="Arial"/>
          <w:bCs/>
          <w:i/>
          <w:iCs/>
          <w:shd w:val="clear" w:color="auto" w:fill="FFFFFF"/>
        </w:rPr>
        <w:t xml:space="preserve">                                                                                                          (…)”</w:t>
      </w:r>
    </w:p>
    <w:p w:rsidR="001F4F6E" w:rsidRPr="001F4F6E" w:rsidRDefault="001F4F6E" w:rsidP="006C53FD">
      <w:pPr>
        <w:ind w:left="284" w:right="474"/>
        <w:jc w:val="both"/>
        <w:rPr>
          <w:rFonts w:ascii="Bookman Old Style" w:hAnsi="Bookman Old Style" w:cs="Arial"/>
          <w:bCs/>
          <w:i/>
          <w:iCs/>
          <w:shd w:val="clear" w:color="auto" w:fill="FFFFFF"/>
        </w:rPr>
      </w:pPr>
    </w:p>
    <w:p w:rsidR="006C53FD" w:rsidRPr="001F4F6E" w:rsidRDefault="006C53FD" w:rsidP="006C53FD">
      <w:pPr>
        <w:jc w:val="both"/>
        <w:rPr>
          <w:rFonts w:ascii="Bookman Old Style" w:hAnsi="Bookman Old Style" w:cs="Arial"/>
          <w:bCs/>
          <w:shd w:val="clear" w:color="auto" w:fill="FFFFFF"/>
        </w:rPr>
      </w:pPr>
      <w:r w:rsidRPr="001F4F6E">
        <w:rPr>
          <w:rFonts w:ascii="Bookman Old Style" w:hAnsi="Bookman Old Style" w:cs="Arial"/>
          <w:bCs/>
          <w:shd w:val="clear" w:color="auto" w:fill="FFFFFF"/>
        </w:rPr>
        <w:t>Sobre este asunto la Sala Plena Contenciosa Administrativa del Honorable Consejo de Estado en su sentencia 02830 del 16 de julio de 2019, M.P. Carlos Enrique Moreno Rubio, señaló que:</w:t>
      </w:r>
    </w:p>
    <w:p w:rsidR="006C53FD" w:rsidRPr="001F4F6E" w:rsidRDefault="006C53FD" w:rsidP="006C53FD">
      <w:pPr>
        <w:jc w:val="both"/>
        <w:rPr>
          <w:rFonts w:ascii="Bookman Old Style" w:hAnsi="Bookman Old Style" w:cs="Arial"/>
          <w:bCs/>
          <w:shd w:val="clear" w:color="auto" w:fill="FFFFFF"/>
        </w:rPr>
      </w:pPr>
    </w:p>
    <w:p w:rsidR="006C53FD" w:rsidRPr="001F4F6E" w:rsidRDefault="006C53FD" w:rsidP="001F4F6E">
      <w:pPr>
        <w:ind w:left="850" w:right="900"/>
        <w:jc w:val="both"/>
        <w:rPr>
          <w:rFonts w:ascii="Bookman Old Style" w:hAnsi="Bookman Old Style" w:cs="Arial"/>
          <w:bCs/>
          <w:i/>
          <w:iCs/>
          <w:shd w:val="clear" w:color="auto" w:fill="FFFFFF"/>
        </w:rPr>
      </w:pPr>
      <w:r w:rsidRPr="001F4F6E">
        <w:rPr>
          <w:rFonts w:ascii="Bookman Old Style" w:hAnsi="Bookman Old Style" w:cs="Arial"/>
          <w:bCs/>
          <w:i/>
          <w:iCs/>
          <w:shd w:val="clear" w:color="auto" w:fill="FFFFFF"/>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w:t>
      </w:r>
      <w:r w:rsidRPr="001F4F6E">
        <w:rPr>
          <w:rFonts w:ascii="Bookman Old Style" w:hAnsi="Bookman Old Style" w:cs="Arial"/>
          <w:bCs/>
          <w:i/>
          <w:iCs/>
          <w:shd w:val="clear" w:color="auto" w:fill="FFFFFF"/>
        </w:rPr>
        <w:lastRenderedPageBreak/>
        <w:t>puede ser de cualquier naturaleza, esto es, económico o moral, sin distinción alguna”.</w:t>
      </w:r>
    </w:p>
    <w:p w:rsidR="006C53FD" w:rsidRPr="001F4F6E" w:rsidRDefault="006C53FD" w:rsidP="006C53FD">
      <w:pPr>
        <w:jc w:val="both"/>
        <w:rPr>
          <w:rFonts w:ascii="Bookman Old Style" w:hAnsi="Bookman Old Style" w:cs="Arial"/>
          <w:bCs/>
          <w:shd w:val="clear" w:color="auto" w:fill="FFFFFF"/>
        </w:rPr>
      </w:pPr>
    </w:p>
    <w:p w:rsidR="00112883" w:rsidRPr="001F4F6E" w:rsidRDefault="006C53FD" w:rsidP="006C53FD">
      <w:pPr>
        <w:pBdr>
          <w:top w:val="nil"/>
          <w:left w:val="nil"/>
          <w:bottom w:val="nil"/>
          <w:right w:val="nil"/>
          <w:between w:val="nil"/>
        </w:pBdr>
        <w:jc w:val="both"/>
        <w:rPr>
          <w:rFonts w:ascii="Bookman Old Style" w:eastAsia="Bookman Old Style" w:hAnsi="Bookman Old Style" w:cs="Bookman Old Style"/>
          <w:color w:val="000000"/>
          <w:highlight w:val="white"/>
        </w:rPr>
      </w:pPr>
      <w:r w:rsidRPr="001F4F6E">
        <w:rPr>
          <w:rFonts w:ascii="Bookman Old Style" w:hAnsi="Bookman Old Style" w:cs="Arial"/>
          <w:bCs/>
          <w:shd w:val="clear" w:color="auto" w:fill="FFFFFF"/>
        </w:rPr>
        <w:t xml:space="preserve">Se estima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tenga participación en empresas vinculadas a la </w:t>
      </w:r>
      <w:r w:rsidRPr="001F4F6E">
        <w:rPr>
          <w:rFonts w:ascii="Bookman Old Style" w:hAnsi="Bookman Old Style"/>
          <w:bCs/>
          <w:color w:val="000000" w:themeColor="text1"/>
        </w:rPr>
        <w:t>producción, comercialización, reproducción</w:t>
      </w:r>
      <w:r w:rsidR="00A11426" w:rsidRPr="001F4F6E">
        <w:rPr>
          <w:rFonts w:ascii="Bookman Old Style" w:hAnsi="Bookman Old Style"/>
          <w:bCs/>
          <w:color w:val="000000" w:themeColor="text1"/>
        </w:rPr>
        <w:t>,</w:t>
      </w:r>
      <w:r w:rsidRPr="001F4F6E">
        <w:rPr>
          <w:rFonts w:ascii="Bookman Old Style" w:hAnsi="Bookman Old Style"/>
          <w:bCs/>
          <w:color w:val="000000" w:themeColor="text1"/>
        </w:rPr>
        <w:t xml:space="preserve"> exportación, importación, cría, entrenamiento</w:t>
      </w:r>
      <w:r w:rsidR="00112642" w:rsidRPr="001F4F6E">
        <w:rPr>
          <w:rFonts w:ascii="Bookman Old Style" w:hAnsi="Bookman Old Style"/>
          <w:bCs/>
          <w:color w:val="000000" w:themeColor="text1"/>
        </w:rPr>
        <w:t xml:space="preserve"> o</w:t>
      </w:r>
      <w:r w:rsidRPr="001F4F6E">
        <w:rPr>
          <w:rFonts w:ascii="Bookman Old Style" w:hAnsi="Bookman Old Style"/>
          <w:bCs/>
          <w:color w:val="000000" w:themeColor="text1"/>
        </w:rPr>
        <w:t xml:space="preserve"> sacrificio de ganadería destinada a actividades de coleo, corridas de toros, novilladas, corralejas, becerradas y tientas.</w:t>
      </w:r>
    </w:p>
    <w:p w:rsidR="00EE0E78" w:rsidRPr="001F4F6E" w:rsidRDefault="00EE0E78">
      <w:pPr>
        <w:jc w:val="both"/>
        <w:rPr>
          <w:rFonts w:ascii="Bookman Old Style" w:eastAsia="Bookman Old Style" w:hAnsi="Bookman Old Style" w:cs="Bookman Old Style"/>
          <w:color w:val="000000"/>
        </w:rPr>
      </w:pPr>
      <w:bookmarkStart w:id="4" w:name="30j0zll" w:colFirst="0" w:colLast="0"/>
      <w:bookmarkEnd w:id="4"/>
    </w:p>
    <w:p w:rsidR="0091454C" w:rsidRPr="001F4F6E" w:rsidRDefault="00512431">
      <w:pPr>
        <w:jc w:val="both"/>
        <w:rPr>
          <w:rFonts w:ascii="Bookman Old Style" w:hAnsi="Bookman Old Style"/>
          <w:bCs/>
          <w:color w:val="000000" w:themeColor="text1"/>
        </w:rPr>
      </w:pPr>
      <w:r w:rsidRPr="001F4F6E">
        <w:rPr>
          <w:rFonts w:ascii="Bookman Old Style" w:eastAsia="Bookman Old Style" w:hAnsi="Bookman Old Style" w:cs="Bookman Old Style"/>
          <w:color w:val="000000"/>
        </w:rPr>
        <w:t xml:space="preserve">También incurrirán en conflicto de interés quienes pertenezcan a gremios relacionados con las actividades de </w:t>
      </w:r>
      <w:r w:rsidRPr="001F4F6E">
        <w:rPr>
          <w:rFonts w:ascii="Bookman Old Style" w:hAnsi="Bookman Old Style"/>
          <w:bCs/>
          <w:color w:val="000000" w:themeColor="text1"/>
        </w:rPr>
        <w:t>coleo, corridas de toros, novilladas, corralejas, becerradas y tientas y quienes promuevan, desarrollen o financien dichas actividades.</w:t>
      </w:r>
    </w:p>
    <w:p w:rsidR="005951D0" w:rsidRPr="001F4F6E" w:rsidRDefault="005951D0">
      <w:pPr>
        <w:jc w:val="both"/>
        <w:rPr>
          <w:rFonts w:ascii="Bookman Old Style" w:hAnsi="Bookman Old Style"/>
          <w:bCs/>
          <w:color w:val="000000" w:themeColor="text1"/>
        </w:rPr>
      </w:pPr>
    </w:p>
    <w:p w:rsidR="005951D0" w:rsidRPr="001F4F6E" w:rsidRDefault="005951D0" w:rsidP="005951D0">
      <w:pPr>
        <w:jc w:val="both"/>
        <w:rPr>
          <w:rFonts w:ascii="Bookman Old Style" w:hAnsi="Bookman Old Style" w:cs="Arial"/>
          <w:bCs/>
          <w:shd w:val="clear" w:color="auto" w:fill="FFFFFF"/>
        </w:rPr>
      </w:pPr>
      <w:r w:rsidRPr="001F4F6E">
        <w:rPr>
          <w:rFonts w:ascii="Bookman Old Style" w:hAnsi="Bookman Old Style" w:cs="Arial"/>
          <w:bCs/>
          <w:shd w:val="clear" w:color="auto" w:fill="FFFFFF"/>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rsidR="005951D0" w:rsidRDefault="005951D0">
      <w:pPr>
        <w:jc w:val="both"/>
        <w:rPr>
          <w:rFonts w:ascii="Bookman Old Style" w:hAnsi="Bookman Old Style"/>
          <w:bCs/>
          <w:color w:val="000000" w:themeColor="text1"/>
        </w:rPr>
      </w:pPr>
    </w:p>
    <w:p w:rsidR="002745C3" w:rsidRPr="001F4F6E" w:rsidRDefault="002745C3">
      <w:pPr>
        <w:jc w:val="both"/>
        <w:rPr>
          <w:rFonts w:ascii="Bookman Old Style" w:hAnsi="Bookman Old Style"/>
          <w:bCs/>
          <w:color w:val="000000" w:themeColor="text1"/>
        </w:rPr>
      </w:pPr>
    </w:p>
    <w:p w:rsidR="00CB7949" w:rsidRDefault="000F347E" w:rsidP="00CB7949">
      <w:pPr>
        <w:jc w:val="both"/>
        <w:rPr>
          <w:rFonts w:ascii="Bookman Old Style" w:eastAsia="Bookman Old Style" w:hAnsi="Bookman Old Style" w:cs="Bookman Old Style"/>
          <w:color w:val="000000"/>
        </w:rPr>
      </w:pPr>
      <w:r w:rsidRPr="001F4F6E">
        <w:rPr>
          <w:rFonts w:ascii="Bookman Old Style" w:eastAsia="Bookman Old Style" w:hAnsi="Bookman Old Style" w:cs="Bookman Old Style"/>
          <w:color w:val="000000"/>
        </w:rPr>
        <w:t>Cordialmente</w:t>
      </w:r>
      <w:r w:rsidR="007316F9">
        <w:rPr>
          <w:rFonts w:ascii="Bookman Old Style" w:eastAsia="Bookman Old Style" w:hAnsi="Bookman Old Style" w:cs="Bookman Old Style"/>
          <w:color w:val="000000"/>
        </w:rPr>
        <w:t>,</w:t>
      </w:r>
    </w:p>
    <w:p w:rsidR="007316F9" w:rsidRDefault="007316F9" w:rsidP="00CB7949">
      <w:pPr>
        <w:jc w:val="both"/>
        <w:rPr>
          <w:rFonts w:ascii="Bookman Old Style" w:eastAsia="Bookman Old Style" w:hAnsi="Bookman Old Style" w:cs="Bookman Old Style"/>
          <w:color w:val="000000"/>
        </w:rPr>
      </w:pPr>
    </w:p>
    <w:p w:rsidR="007316F9" w:rsidRDefault="007316F9" w:rsidP="000E7F84">
      <w:pPr>
        <w:pBdr>
          <w:top w:val="nil"/>
          <w:left w:val="nil"/>
          <w:bottom w:val="nil"/>
          <w:right w:val="nil"/>
          <w:between w:val="nil"/>
        </w:pBdr>
        <w:ind w:right="115"/>
        <w:rPr>
          <w:rFonts w:ascii="Bookman Old Style" w:hAnsi="Bookman Old Style" w:cstheme="minorHAnsi"/>
        </w:rPr>
        <w:sectPr w:rsidR="007316F9" w:rsidSect="007316F9">
          <w:headerReference w:type="default" r:id="rId14"/>
          <w:footerReference w:type="default" r:id="rId15"/>
          <w:type w:val="continuous"/>
          <w:pgSz w:w="12240" w:h="15840"/>
          <w:pgMar w:top="1417" w:right="1701" w:bottom="1417" w:left="1701" w:header="708" w:footer="708" w:gutter="0"/>
          <w:pgNumType w:start="1"/>
          <w:cols w:space="720"/>
          <w:docGrid w:linePitch="360"/>
        </w:sectPr>
      </w:pPr>
    </w:p>
    <w:p w:rsidR="007316F9" w:rsidRPr="00126A9E" w:rsidRDefault="007316F9" w:rsidP="000E7F84">
      <w:pPr>
        <w:pBdr>
          <w:top w:val="nil"/>
          <w:left w:val="nil"/>
          <w:bottom w:val="nil"/>
          <w:right w:val="nil"/>
          <w:between w:val="nil"/>
        </w:pBdr>
        <w:ind w:right="115"/>
        <w:rPr>
          <w:rFonts w:ascii="Bookman Old Style" w:hAnsi="Bookman Old Style" w:cstheme="minorHAnsi"/>
          <w:b/>
        </w:rPr>
      </w:pPr>
      <w:r w:rsidRPr="00126A9E">
        <w:rPr>
          <w:rFonts w:ascii="Bookman Old Style" w:hAnsi="Bookman Old Style" w:cstheme="minorHAnsi"/>
        </w:rPr>
        <w:lastRenderedPageBreak/>
        <w:t>________________________________</w:t>
      </w:r>
      <w:r w:rsidRPr="00126A9E">
        <w:rPr>
          <w:rFonts w:ascii="Bookman Old Style" w:hAnsi="Bookman Old Style" w:cstheme="minorHAnsi"/>
        </w:rPr>
        <w:br/>
      </w:r>
      <w:r w:rsidRPr="00126A9E">
        <w:rPr>
          <w:rFonts w:ascii="Bookman Old Style" w:hAnsi="Bookman Old Style" w:cstheme="minorHAnsi"/>
          <w:b/>
        </w:rPr>
        <w:t xml:space="preserve">JUAN CARLOS LOZADA </w:t>
      </w:r>
    </w:p>
    <w:p w:rsidR="007316F9" w:rsidRDefault="007316F9" w:rsidP="000E7F84">
      <w:pPr>
        <w:pBdr>
          <w:top w:val="nil"/>
          <w:left w:val="nil"/>
          <w:bottom w:val="nil"/>
          <w:right w:val="nil"/>
          <w:between w:val="nil"/>
        </w:pBdr>
        <w:ind w:right="115"/>
        <w:rPr>
          <w:rFonts w:ascii="Bookman Old Style" w:hAnsi="Bookman Old Style" w:cstheme="minorHAnsi"/>
        </w:rPr>
      </w:pPr>
      <w:r w:rsidRPr="00126A9E">
        <w:rPr>
          <w:rFonts w:ascii="Bookman Old Style" w:hAnsi="Bookman Old Style" w:cstheme="minorHAnsi"/>
        </w:rPr>
        <w:t xml:space="preserve">Representante a la Cámara </w:t>
      </w:r>
      <w:r w:rsidRPr="00126A9E">
        <w:rPr>
          <w:rFonts w:ascii="Bookman Old Style" w:hAnsi="Bookman Old Style" w:cstheme="minorHAnsi"/>
        </w:rPr>
        <w:br/>
        <w:t>Partido Liberal Colombiano</w:t>
      </w:r>
    </w:p>
    <w:p w:rsidR="007316F9" w:rsidRDefault="007316F9" w:rsidP="000E7F84">
      <w:pPr>
        <w:pBdr>
          <w:top w:val="nil"/>
          <w:left w:val="nil"/>
          <w:bottom w:val="nil"/>
          <w:right w:val="nil"/>
          <w:between w:val="nil"/>
        </w:pBdr>
        <w:ind w:right="115"/>
        <w:rPr>
          <w:rFonts w:ascii="Bookman Old Style" w:hAnsi="Bookman Old Style" w:cstheme="minorHAnsi"/>
        </w:rPr>
      </w:pPr>
    </w:p>
    <w:p w:rsidR="007316F9" w:rsidRDefault="007316F9" w:rsidP="000E7F84">
      <w:pPr>
        <w:pBdr>
          <w:top w:val="nil"/>
          <w:left w:val="nil"/>
          <w:bottom w:val="nil"/>
          <w:right w:val="nil"/>
          <w:between w:val="nil"/>
        </w:pBdr>
        <w:ind w:right="115"/>
        <w:rPr>
          <w:rFonts w:ascii="Bookman Old Style" w:hAnsi="Bookman Old Style" w:cstheme="minorHAnsi"/>
        </w:rPr>
      </w:pPr>
      <w:r w:rsidRPr="00126A9E">
        <w:rPr>
          <w:rFonts w:ascii="Bookman Old Style" w:hAnsi="Bookman Old Style" w:cstheme="minorHAnsi"/>
        </w:rPr>
        <w:lastRenderedPageBreak/>
        <w:t>_______________________________</w:t>
      </w:r>
    </w:p>
    <w:p w:rsidR="007316F9" w:rsidRPr="007316F9" w:rsidRDefault="007316F9" w:rsidP="000E7F84">
      <w:pPr>
        <w:pBdr>
          <w:top w:val="nil"/>
          <w:left w:val="nil"/>
          <w:bottom w:val="nil"/>
          <w:right w:val="nil"/>
          <w:between w:val="nil"/>
        </w:pBdr>
        <w:ind w:right="115"/>
        <w:rPr>
          <w:rFonts w:ascii="Bookman Old Style" w:hAnsi="Bookman Old Style" w:cstheme="minorHAnsi"/>
          <w:b/>
        </w:rPr>
      </w:pPr>
      <w:r w:rsidRPr="007316F9">
        <w:rPr>
          <w:rFonts w:ascii="Bookman Old Style" w:hAnsi="Bookman Old Style" w:cstheme="minorHAnsi"/>
          <w:b/>
        </w:rPr>
        <w:t xml:space="preserve">ÁNGEL MARIA GAITAN </w:t>
      </w:r>
    </w:p>
    <w:p w:rsidR="007316F9" w:rsidRDefault="007316F9" w:rsidP="000E7F84">
      <w:pPr>
        <w:pBdr>
          <w:top w:val="nil"/>
          <w:left w:val="nil"/>
          <w:bottom w:val="nil"/>
          <w:right w:val="nil"/>
          <w:between w:val="nil"/>
        </w:pBdr>
        <w:ind w:right="115"/>
        <w:rPr>
          <w:rFonts w:ascii="Bookman Old Style" w:hAnsi="Bookman Old Style" w:cstheme="minorHAnsi"/>
        </w:rPr>
      </w:pPr>
      <w:r>
        <w:rPr>
          <w:rFonts w:ascii="Bookman Old Style" w:hAnsi="Bookman Old Style" w:cstheme="minorHAnsi"/>
        </w:rPr>
        <w:t xml:space="preserve">Representante a la Cámara </w:t>
      </w:r>
    </w:p>
    <w:p w:rsidR="007316F9" w:rsidRPr="000E7F84" w:rsidRDefault="007316F9" w:rsidP="000E7F84">
      <w:pPr>
        <w:pBdr>
          <w:top w:val="nil"/>
          <w:left w:val="nil"/>
          <w:bottom w:val="nil"/>
          <w:right w:val="nil"/>
          <w:between w:val="nil"/>
        </w:pBdr>
        <w:ind w:right="115"/>
        <w:rPr>
          <w:rFonts w:ascii="Bookman Old Style" w:hAnsi="Bookman Old Style" w:cstheme="minorHAnsi"/>
        </w:rPr>
        <w:sectPr w:rsidR="007316F9" w:rsidRPr="000E7F84" w:rsidSect="007316F9">
          <w:type w:val="continuous"/>
          <w:pgSz w:w="12240" w:h="15840"/>
          <w:pgMar w:top="1417" w:right="1701" w:bottom="1417" w:left="1701" w:header="708" w:footer="708" w:gutter="0"/>
          <w:pgNumType w:start="1"/>
          <w:cols w:num="2" w:space="720"/>
          <w:docGrid w:linePitch="360"/>
        </w:sectPr>
      </w:pPr>
      <w:r>
        <w:rPr>
          <w:rFonts w:ascii="Bookman Old Style" w:hAnsi="Bookman Old Style" w:cstheme="minorHAnsi"/>
        </w:rPr>
        <w:t>Partido Liberal Colombi</w:t>
      </w:r>
      <w:r w:rsidR="000E7F84">
        <w:rPr>
          <w:rFonts w:ascii="Bookman Old Style" w:hAnsi="Bookman Old Style" w:cstheme="minorHAnsi"/>
        </w:rPr>
        <w:t>ano</w:t>
      </w:r>
    </w:p>
    <w:p w:rsidR="007316F9" w:rsidRDefault="007316F9" w:rsidP="000E7F84">
      <w:pPr>
        <w:pBdr>
          <w:top w:val="nil"/>
          <w:left w:val="nil"/>
          <w:bottom w:val="nil"/>
          <w:right w:val="nil"/>
          <w:between w:val="nil"/>
        </w:pBdr>
        <w:rPr>
          <w:rFonts w:ascii="Bookman Old Style" w:eastAsia="Bookman Old Style" w:hAnsi="Bookman Old Style" w:cs="Bookman Old Style"/>
          <w:color w:val="000000"/>
          <w:highlight w:val="white"/>
        </w:rPr>
        <w:sectPr w:rsidR="007316F9" w:rsidSect="00CB7949">
          <w:type w:val="continuous"/>
          <w:pgSz w:w="12240" w:h="15840"/>
          <w:pgMar w:top="1417" w:right="1701" w:bottom="1417" w:left="1701" w:header="708" w:footer="708" w:gutter="0"/>
          <w:pgNumType w:start="1"/>
          <w:cols w:space="720"/>
          <w:docGrid w:linePitch="360"/>
        </w:sectPr>
      </w:pPr>
    </w:p>
    <w:p w:rsidR="000E7F84" w:rsidRDefault="000E7F84" w:rsidP="000E7F84">
      <w:r w:rsidRPr="00126A9E">
        <w:rPr>
          <w:rFonts w:ascii="Bookman Old Style" w:hAnsi="Bookman Old Style" w:cstheme="minorHAnsi"/>
        </w:rPr>
        <w:lastRenderedPageBreak/>
        <w:t>________________________________</w:t>
      </w:r>
    </w:p>
    <w:p w:rsidR="00CB7949" w:rsidRPr="00CB7949" w:rsidRDefault="00CB7949" w:rsidP="000E7F84">
      <w:pPr>
        <w:pBdr>
          <w:top w:val="nil"/>
          <w:left w:val="nil"/>
          <w:bottom w:val="nil"/>
          <w:right w:val="nil"/>
          <w:between w:val="nil"/>
        </w:pBdr>
        <w:ind w:right="115"/>
        <w:rPr>
          <w:rFonts w:ascii="Bookman Old Style" w:hAnsi="Bookman Old Style" w:cstheme="minorHAnsi"/>
        </w:rPr>
      </w:pPr>
      <w:r w:rsidRPr="00CB7949">
        <w:rPr>
          <w:rFonts w:ascii="Bookman Old Style" w:hAnsi="Bookman Old Style" w:cstheme="minorHAnsi"/>
          <w:b/>
        </w:rPr>
        <w:t xml:space="preserve">JOSÉ DANIEL LÓPEZ </w:t>
      </w:r>
    </w:p>
    <w:p w:rsidR="00CB7949" w:rsidRDefault="00CB7949" w:rsidP="000E7F84">
      <w:pPr>
        <w:pBdr>
          <w:top w:val="nil"/>
          <w:left w:val="nil"/>
          <w:bottom w:val="nil"/>
          <w:right w:val="nil"/>
          <w:between w:val="nil"/>
        </w:pBdr>
        <w:ind w:right="115"/>
        <w:rPr>
          <w:rFonts w:ascii="Bookman Old Style" w:hAnsi="Bookman Old Style" w:cstheme="minorHAnsi"/>
        </w:rPr>
      </w:pPr>
      <w:r>
        <w:rPr>
          <w:rFonts w:ascii="Bookman Old Style" w:hAnsi="Bookman Old Style" w:cstheme="minorHAnsi"/>
        </w:rPr>
        <w:t xml:space="preserve">Representante a la Cámara </w:t>
      </w:r>
    </w:p>
    <w:p w:rsidR="00CB7949" w:rsidRDefault="00CB7949" w:rsidP="000E7F84">
      <w:pPr>
        <w:pBdr>
          <w:top w:val="nil"/>
          <w:left w:val="nil"/>
          <w:bottom w:val="nil"/>
          <w:right w:val="nil"/>
          <w:between w:val="nil"/>
        </w:pBdr>
        <w:ind w:right="115"/>
        <w:rPr>
          <w:rFonts w:ascii="Bookman Old Style" w:hAnsi="Bookman Old Style" w:cstheme="minorHAnsi"/>
        </w:rPr>
      </w:pPr>
      <w:r>
        <w:rPr>
          <w:rFonts w:ascii="Bookman Old Style" w:hAnsi="Bookman Old Style" w:cstheme="minorHAnsi"/>
        </w:rPr>
        <w:t xml:space="preserve">Cambio Radical </w:t>
      </w:r>
    </w:p>
    <w:p w:rsidR="00CB7949" w:rsidRDefault="00CB7949" w:rsidP="000E7F84">
      <w:pPr>
        <w:pBdr>
          <w:top w:val="nil"/>
          <w:left w:val="nil"/>
          <w:bottom w:val="nil"/>
          <w:right w:val="nil"/>
          <w:between w:val="nil"/>
        </w:pBdr>
        <w:ind w:right="115"/>
        <w:rPr>
          <w:rFonts w:ascii="Bookman Old Style" w:hAnsi="Bookman Old Style" w:cstheme="minorHAnsi"/>
        </w:rPr>
      </w:pPr>
      <w:r w:rsidRPr="00126A9E">
        <w:rPr>
          <w:rFonts w:ascii="Bookman Old Style" w:hAnsi="Bookman Old Style" w:cstheme="minorHAnsi"/>
        </w:rPr>
        <w:lastRenderedPageBreak/>
        <w:t>____________________________</w:t>
      </w:r>
    </w:p>
    <w:p w:rsidR="00CB7949" w:rsidRPr="00CB7949" w:rsidRDefault="00CB7949" w:rsidP="000E7F84">
      <w:pPr>
        <w:pBdr>
          <w:top w:val="nil"/>
          <w:left w:val="nil"/>
          <w:bottom w:val="nil"/>
          <w:right w:val="nil"/>
          <w:between w:val="nil"/>
        </w:pBdr>
        <w:ind w:right="115"/>
        <w:rPr>
          <w:rFonts w:ascii="Bookman Old Style" w:hAnsi="Bookman Old Style" w:cstheme="minorHAnsi"/>
          <w:b/>
        </w:rPr>
      </w:pPr>
      <w:r w:rsidRPr="00CB7949">
        <w:rPr>
          <w:rFonts w:ascii="Bookman Old Style" w:hAnsi="Bookman Old Style" w:cstheme="minorHAnsi"/>
          <w:b/>
        </w:rPr>
        <w:t xml:space="preserve">INTI RAÚL ASPRILLA </w:t>
      </w:r>
    </w:p>
    <w:p w:rsidR="00CB7949" w:rsidRDefault="00CB7949" w:rsidP="000E7F84">
      <w:pPr>
        <w:pBdr>
          <w:top w:val="nil"/>
          <w:left w:val="nil"/>
          <w:bottom w:val="nil"/>
          <w:right w:val="nil"/>
          <w:between w:val="nil"/>
        </w:pBdr>
        <w:ind w:right="115"/>
        <w:rPr>
          <w:rFonts w:ascii="Bookman Old Style" w:hAnsi="Bookman Old Style" w:cstheme="minorHAnsi"/>
        </w:rPr>
      </w:pPr>
      <w:r>
        <w:rPr>
          <w:rFonts w:ascii="Bookman Old Style" w:hAnsi="Bookman Old Style" w:cstheme="minorHAnsi"/>
        </w:rPr>
        <w:t xml:space="preserve">Representante a la Cámara </w:t>
      </w:r>
    </w:p>
    <w:p w:rsidR="00CB7949" w:rsidRDefault="00CB7949" w:rsidP="000E7F84">
      <w:pPr>
        <w:pBdr>
          <w:top w:val="nil"/>
          <w:left w:val="nil"/>
          <w:bottom w:val="nil"/>
          <w:right w:val="nil"/>
          <w:between w:val="nil"/>
        </w:pBdr>
        <w:ind w:right="115"/>
        <w:rPr>
          <w:rFonts w:ascii="Bookman Old Style" w:hAnsi="Bookman Old Style" w:cstheme="minorHAnsi"/>
        </w:rPr>
      </w:pPr>
      <w:r>
        <w:rPr>
          <w:rFonts w:ascii="Bookman Old Style" w:hAnsi="Bookman Old Style" w:cstheme="minorHAnsi"/>
        </w:rPr>
        <w:t>Alianza Verde</w:t>
      </w:r>
    </w:p>
    <w:p w:rsidR="00CC7F93" w:rsidRPr="00CB7949" w:rsidRDefault="00CC7F93" w:rsidP="00CB7949">
      <w:pPr>
        <w:pBdr>
          <w:top w:val="nil"/>
          <w:left w:val="nil"/>
          <w:bottom w:val="nil"/>
          <w:right w:val="nil"/>
          <w:between w:val="nil"/>
        </w:pBdr>
        <w:ind w:right="115"/>
        <w:jc w:val="center"/>
        <w:rPr>
          <w:rFonts w:ascii="Bookman Old Style" w:hAnsi="Bookman Old Style" w:cstheme="minorHAnsi"/>
        </w:rPr>
        <w:sectPr w:rsidR="00CC7F93" w:rsidRPr="00CB7949" w:rsidSect="00CB7949">
          <w:type w:val="continuous"/>
          <w:pgSz w:w="12240" w:h="15840"/>
          <w:pgMar w:top="1417" w:right="1701" w:bottom="1417" w:left="1701" w:header="708" w:footer="708" w:gutter="0"/>
          <w:pgNumType w:start="1"/>
          <w:cols w:num="2" w:space="720"/>
          <w:docGrid w:linePitch="360"/>
        </w:sectPr>
      </w:pPr>
    </w:p>
    <w:p w:rsidR="00EE0E78" w:rsidRDefault="00EE0E78" w:rsidP="00CB7949">
      <w:pPr>
        <w:pBdr>
          <w:top w:val="nil"/>
          <w:left w:val="nil"/>
          <w:bottom w:val="nil"/>
          <w:right w:val="nil"/>
          <w:between w:val="nil"/>
        </w:pBdr>
        <w:tabs>
          <w:tab w:val="left" w:pos="8055"/>
        </w:tabs>
        <w:rPr>
          <w:rFonts w:ascii="Bookman Old Style" w:eastAsia="Bookman Old Style" w:hAnsi="Bookman Old Style" w:cs="Bookman Old Style"/>
          <w:color w:val="000000"/>
        </w:rPr>
      </w:pPr>
    </w:p>
    <w:p w:rsidR="00CC7F93" w:rsidRDefault="000E7F84" w:rsidP="00CC7F93">
      <w:r w:rsidRPr="00126A9E">
        <w:rPr>
          <w:rFonts w:ascii="Bookman Old Style" w:hAnsi="Bookman Old Style" w:cstheme="minorHAnsi"/>
        </w:rPr>
        <w:t>________________________________</w:t>
      </w:r>
    </w:p>
    <w:p w:rsidR="00CC7F93" w:rsidRPr="000E7F84" w:rsidRDefault="00CC7F93" w:rsidP="00CC7F93">
      <w:pPr>
        <w:pBdr>
          <w:top w:val="nil"/>
          <w:left w:val="nil"/>
          <w:bottom w:val="nil"/>
          <w:right w:val="nil"/>
          <w:between w:val="nil"/>
        </w:pBdr>
        <w:ind w:right="20"/>
        <w:rPr>
          <w:rFonts w:ascii="Bookman Old Style" w:eastAsia="Bookman Old Style" w:hAnsi="Bookman Old Style" w:cs="Bookman Old Style"/>
          <w:b/>
          <w:color w:val="000000"/>
        </w:rPr>
      </w:pPr>
      <w:r w:rsidRPr="000E7F84">
        <w:rPr>
          <w:rFonts w:ascii="Bookman Old Style" w:eastAsia="Bookman Old Style" w:hAnsi="Bookman Old Style" w:cs="Bookman Old Style"/>
          <w:b/>
          <w:color w:val="000000"/>
        </w:rPr>
        <w:lastRenderedPageBreak/>
        <w:t xml:space="preserve">FABIAN DÍAZ PLATA </w:t>
      </w:r>
    </w:p>
    <w:p w:rsidR="00CC7F93" w:rsidRPr="001F4F6E" w:rsidRDefault="00CC7F93" w:rsidP="000E7F84">
      <w:pPr>
        <w:pBdr>
          <w:top w:val="nil"/>
          <w:left w:val="nil"/>
          <w:bottom w:val="nil"/>
          <w:right w:val="nil"/>
          <w:between w:val="nil"/>
        </w:pBdr>
        <w:ind w:right="20"/>
        <w:rPr>
          <w:rFonts w:ascii="Bookman Old Style" w:eastAsia="Bookman Old Style" w:hAnsi="Bookman Old Style" w:cs="Bookman Old Style"/>
          <w:color w:val="000000"/>
        </w:rPr>
      </w:pPr>
      <w:r w:rsidRPr="000E7F84">
        <w:rPr>
          <w:rFonts w:ascii="Bookman Old Style" w:eastAsia="Bookman Old Style" w:hAnsi="Bookman Old Style" w:cs="Bookman Old Style"/>
          <w:color w:val="000000"/>
        </w:rPr>
        <w:t>Representante a la Cámara</w:t>
      </w:r>
    </w:p>
    <w:sectPr w:rsidR="00CC7F93" w:rsidRPr="001F4F6E" w:rsidSect="00CB7949">
      <w:type w:val="continuous"/>
      <w:pgSz w:w="12240" w:h="15840"/>
      <w:pgMar w:top="1417" w:right="1701" w:bottom="1417" w:left="1701"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DF8" w:rsidRDefault="00301DF8">
      <w:r>
        <w:separator/>
      </w:r>
    </w:p>
  </w:endnote>
  <w:endnote w:type="continuationSeparator" w:id="0">
    <w:p w:rsidR="00301DF8" w:rsidRDefault="00301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FDB" w:rsidRDefault="00AF4FDB">
    <w:pPr>
      <w:pBdr>
        <w:top w:val="nil"/>
        <w:left w:val="nil"/>
        <w:bottom w:val="nil"/>
        <w:right w:val="nil"/>
        <w:between w:val="nil"/>
      </w:pBdr>
      <w:jc w:val="center"/>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F9" w:rsidRDefault="007316F9">
    <w:pPr>
      <w:pBdr>
        <w:top w:val="nil"/>
        <w:left w:val="nil"/>
        <w:bottom w:val="nil"/>
        <w:right w:val="nil"/>
        <w:between w:val="nil"/>
      </w:pBdr>
      <w:jc w:val="center"/>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F9" w:rsidRDefault="007316F9">
    <w:pPr>
      <w:pBdr>
        <w:top w:val="nil"/>
        <w:left w:val="nil"/>
        <w:bottom w:val="nil"/>
        <w:right w:val="nil"/>
        <w:between w:val="nil"/>
      </w:pBdr>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DF8" w:rsidRDefault="00301DF8">
      <w:r>
        <w:separator/>
      </w:r>
    </w:p>
  </w:footnote>
  <w:footnote w:type="continuationSeparator" w:id="0">
    <w:p w:rsidR="00301DF8" w:rsidRDefault="00301DF8">
      <w:r>
        <w:continuationSeparator/>
      </w:r>
    </w:p>
  </w:footnote>
  <w:footnote w:id="1">
    <w:p w:rsidR="00AF4FDB" w:rsidRPr="00C678BE" w:rsidRDefault="00AF4FDB" w:rsidP="00C678BE">
      <w:pPr>
        <w:pStyle w:val="Textonotapie"/>
        <w:jc w:val="both"/>
        <w:rPr>
          <w:i/>
          <w:sz w:val="16"/>
          <w:szCs w:val="16"/>
        </w:rPr>
      </w:pPr>
      <w:r w:rsidRPr="00C678BE">
        <w:rPr>
          <w:rStyle w:val="Refdenotaalpie"/>
          <w:i/>
          <w:sz w:val="16"/>
          <w:szCs w:val="16"/>
        </w:rPr>
        <w:footnoteRef/>
      </w:r>
      <w:r w:rsidRPr="00C678BE">
        <w:rPr>
          <w:i/>
          <w:sz w:val="16"/>
          <w:szCs w:val="16"/>
        </w:rPr>
        <w:t xml:space="preserve"> Corte Constitucional, Sentencia C-1192 de 2005.</w:t>
      </w:r>
    </w:p>
  </w:footnote>
  <w:footnote w:id="2">
    <w:p w:rsidR="00AF4FDB" w:rsidRPr="00C678BE" w:rsidRDefault="00AF4FDB" w:rsidP="00C678BE">
      <w:pPr>
        <w:pStyle w:val="Textonotapie"/>
        <w:jc w:val="both"/>
        <w:rPr>
          <w:i/>
          <w:sz w:val="16"/>
          <w:szCs w:val="16"/>
        </w:rPr>
      </w:pPr>
      <w:r w:rsidRPr="00C678BE">
        <w:rPr>
          <w:rStyle w:val="Refdenotaalpie"/>
          <w:i/>
          <w:sz w:val="16"/>
          <w:szCs w:val="16"/>
        </w:rPr>
        <w:footnoteRef/>
      </w:r>
      <w:r w:rsidRPr="00C678BE">
        <w:rPr>
          <w:i/>
          <w:sz w:val="16"/>
          <w:szCs w:val="16"/>
        </w:rPr>
        <w:t xml:space="preserve"> Corte Constitucional, Sentencia C-666 de 2010.</w:t>
      </w:r>
    </w:p>
  </w:footnote>
  <w:footnote w:id="3">
    <w:p w:rsidR="00AF4FDB" w:rsidRPr="00C678BE" w:rsidRDefault="00AF4FDB" w:rsidP="00C678BE">
      <w:pPr>
        <w:pStyle w:val="Textonotapie"/>
        <w:jc w:val="both"/>
        <w:rPr>
          <w:i/>
          <w:sz w:val="16"/>
          <w:szCs w:val="16"/>
        </w:rPr>
      </w:pPr>
      <w:r w:rsidRPr="00C678BE">
        <w:rPr>
          <w:rStyle w:val="Refdenotaalpie"/>
          <w:i/>
          <w:sz w:val="16"/>
          <w:szCs w:val="16"/>
        </w:rPr>
        <w:footnoteRef/>
      </w:r>
      <w:r w:rsidRPr="00C678BE">
        <w:rPr>
          <w:i/>
          <w:sz w:val="16"/>
          <w:szCs w:val="16"/>
        </w:rPr>
        <w:t xml:space="preserve"> Ibídem.</w:t>
      </w:r>
    </w:p>
  </w:footnote>
  <w:footnote w:id="4">
    <w:p w:rsidR="00AF4FDB" w:rsidRPr="00C678BE" w:rsidRDefault="00AF4FDB" w:rsidP="00C678BE">
      <w:pPr>
        <w:pStyle w:val="Textonotapie"/>
        <w:jc w:val="both"/>
        <w:rPr>
          <w:i/>
          <w:sz w:val="16"/>
          <w:szCs w:val="16"/>
        </w:rPr>
      </w:pPr>
      <w:r w:rsidRPr="00C678BE">
        <w:rPr>
          <w:rStyle w:val="Refdenotaalpie"/>
          <w:i/>
          <w:sz w:val="16"/>
          <w:szCs w:val="16"/>
        </w:rPr>
        <w:footnoteRef/>
      </w:r>
      <w:r w:rsidRPr="00C678BE">
        <w:rPr>
          <w:i/>
          <w:sz w:val="16"/>
          <w:szCs w:val="16"/>
        </w:rPr>
        <w:t xml:space="preserve"> Corte Constitucional, Sentencia C-666 de 2010.</w:t>
      </w:r>
    </w:p>
  </w:footnote>
  <w:footnote w:id="5">
    <w:p w:rsidR="00AF4FDB" w:rsidRPr="00C678BE" w:rsidRDefault="00AF4FDB" w:rsidP="00C678BE">
      <w:pPr>
        <w:pStyle w:val="Textonotapie"/>
        <w:jc w:val="both"/>
        <w:rPr>
          <w:i/>
          <w:sz w:val="16"/>
          <w:szCs w:val="16"/>
        </w:rPr>
      </w:pPr>
      <w:r w:rsidRPr="00C678BE">
        <w:rPr>
          <w:rStyle w:val="Refdenotaalpie"/>
          <w:i/>
          <w:sz w:val="16"/>
          <w:szCs w:val="16"/>
        </w:rPr>
        <w:footnoteRef/>
      </w:r>
      <w:r w:rsidRPr="00C678BE">
        <w:rPr>
          <w:i/>
          <w:sz w:val="16"/>
          <w:szCs w:val="16"/>
        </w:rPr>
        <w:t xml:space="preserve"> Ibidem.</w:t>
      </w:r>
    </w:p>
  </w:footnote>
  <w:footnote w:id="6">
    <w:p w:rsidR="00AF4FDB" w:rsidRPr="00C678BE" w:rsidRDefault="00AF4FDB" w:rsidP="00C678BE">
      <w:pPr>
        <w:pStyle w:val="Textonotapie"/>
        <w:jc w:val="both"/>
        <w:rPr>
          <w:i/>
          <w:sz w:val="16"/>
          <w:szCs w:val="16"/>
        </w:rPr>
      </w:pPr>
      <w:r w:rsidRPr="00C678BE">
        <w:rPr>
          <w:rStyle w:val="Refdenotaalpie"/>
          <w:i/>
          <w:sz w:val="16"/>
          <w:szCs w:val="16"/>
        </w:rPr>
        <w:footnoteRef/>
      </w:r>
      <w:r w:rsidRPr="00C678BE">
        <w:rPr>
          <w:i/>
          <w:sz w:val="16"/>
          <w:szCs w:val="16"/>
        </w:rPr>
        <w:t xml:space="preserve"> Corte Constitucional, Sentencia C-283 de 2014.</w:t>
      </w:r>
    </w:p>
  </w:footnote>
  <w:footnote w:id="7">
    <w:p w:rsidR="00AF4FDB" w:rsidRPr="00C678BE" w:rsidRDefault="00AF4FDB" w:rsidP="00C678BE">
      <w:pPr>
        <w:pStyle w:val="Textonotapie"/>
        <w:jc w:val="both"/>
        <w:rPr>
          <w:i/>
          <w:sz w:val="16"/>
          <w:szCs w:val="16"/>
        </w:rPr>
      </w:pPr>
      <w:r w:rsidRPr="00C678BE">
        <w:rPr>
          <w:rStyle w:val="Refdenotaalpie"/>
          <w:i/>
          <w:sz w:val="16"/>
          <w:szCs w:val="16"/>
        </w:rPr>
        <w:footnoteRef/>
      </w:r>
      <w:r w:rsidRPr="00C678BE">
        <w:rPr>
          <w:i/>
          <w:sz w:val="16"/>
          <w:szCs w:val="16"/>
        </w:rPr>
        <w:t xml:space="preserve"> Corte Constitucional, Sentencia C-467 de 2016.</w:t>
      </w:r>
    </w:p>
  </w:footnote>
  <w:footnote w:id="8">
    <w:p w:rsidR="00AF4FDB" w:rsidRPr="00C678BE" w:rsidRDefault="00AF4FDB" w:rsidP="00C678BE">
      <w:pPr>
        <w:pStyle w:val="Textonotapie"/>
        <w:jc w:val="both"/>
        <w:rPr>
          <w:i/>
          <w:sz w:val="16"/>
          <w:szCs w:val="16"/>
        </w:rPr>
      </w:pPr>
      <w:r w:rsidRPr="00C678BE">
        <w:rPr>
          <w:rStyle w:val="Refdenotaalpie"/>
          <w:i/>
          <w:sz w:val="16"/>
          <w:szCs w:val="16"/>
        </w:rPr>
        <w:footnoteRef/>
      </w:r>
      <w:r w:rsidRPr="00C678BE">
        <w:rPr>
          <w:i/>
          <w:sz w:val="16"/>
          <w:szCs w:val="16"/>
        </w:rPr>
        <w:t xml:space="preserve"> Ibídem.</w:t>
      </w:r>
    </w:p>
  </w:footnote>
  <w:footnote w:id="9">
    <w:p w:rsidR="00AF4FDB" w:rsidRPr="00C678BE" w:rsidRDefault="00AF4FDB" w:rsidP="00C678BE">
      <w:pPr>
        <w:pStyle w:val="Textonotapie"/>
        <w:jc w:val="both"/>
        <w:rPr>
          <w:i/>
          <w:sz w:val="16"/>
          <w:szCs w:val="16"/>
        </w:rPr>
      </w:pPr>
      <w:r w:rsidRPr="00C678BE">
        <w:rPr>
          <w:rStyle w:val="Refdenotaalpie"/>
          <w:i/>
          <w:sz w:val="16"/>
          <w:szCs w:val="16"/>
        </w:rPr>
        <w:footnoteRef/>
      </w:r>
      <w:r w:rsidRPr="00C678BE">
        <w:rPr>
          <w:i/>
          <w:sz w:val="16"/>
          <w:szCs w:val="16"/>
        </w:rPr>
        <w:t xml:space="preserve"> Ibídem</w:t>
      </w:r>
    </w:p>
  </w:footnote>
  <w:footnote w:id="10">
    <w:p w:rsidR="00AF4FDB" w:rsidRPr="00C678BE" w:rsidRDefault="00AF4FDB" w:rsidP="00C678BE">
      <w:pPr>
        <w:pStyle w:val="Textonotapie"/>
        <w:jc w:val="both"/>
        <w:rPr>
          <w:i/>
          <w:sz w:val="16"/>
          <w:szCs w:val="16"/>
        </w:rPr>
      </w:pPr>
      <w:r w:rsidRPr="00C678BE">
        <w:rPr>
          <w:rStyle w:val="Refdenotaalpie"/>
          <w:i/>
          <w:sz w:val="16"/>
          <w:szCs w:val="16"/>
        </w:rPr>
        <w:footnoteRef/>
      </w:r>
      <w:r w:rsidRPr="00C678BE">
        <w:rPr>
          <w:i/>
          <w:sz w:val="16"/>
          <w:szCs w:val="16"/>
        </w:rPr>
        <w:t xml:space="preserve"> Corte Constitucional, Sentencia C-041 de 2017.</w:t>
      </w:r>
    </w:p>
  </w:footnote>
  <w:footnote w:id="11">
    <w:p w:rsidR="00AF4FDB" w:rsidRPr="005A7E82" w:rsidRDefault="00AF4FDB" w:rsidP="00C678BE">
      <w:pPr>
        <w:jc w:val="both"/>
        <w:rPr>
          <w:i/>
          <w:sz w:val="16"/>
          <w:szCs w:val="16"/>
        </w:rPr>
      </w:pPr>
      <w:r w:rsidRPr="00C678BE">
        <w:rPr>
          <w:i/>
          <w:sz w:val="16"/>
          <w:szCs w:val="16"/>
          <w:vertAlign w:val="superscript"/>
        </w:rPr>
        <w:footnoteRef/>
      </w:r>
      <w:r w:rsidRPr="005A7E82">
        <w:rPr>
          <w:i/>
          <w:sz w:val="16"/>
          <w:szCs w:val="16"/>
        </w:rPr>
        <w:t xml:space="preserve"> Un Estado social debe buscar, entre otros, el bienestar animal, por ser éste un elemento connatural al desarrollo del principio de solidaridad.</w:t>
      </w:r>
    </w:p>
  </w:footnote>
  <w:footnote w:id="12">
    <w:p w:rsidR="00AF4FDB" w:rsidRPr="005A7E82" w:rsidRDefault="00AF4FDB" w:rsidP="00C678BE">
      <w:pPr>
        <w:pBdr>
          <w:top w:val="nil"/>
          <w:left w:val="nil"/>
          <w:bottom w:val="nil"/>
          <w:right w:val="nil"/>
          <w:between w:val="nil"/>
        </w:pBdr>
        <w:jc w:val="both"/>
        <w:rPr>
          <w:i/>
          <w:color w:val="000000"/>
          <w:sz w:val="16"/>
          <w:szCs w:val="16"/>
          <w:highlight w:val="white"/>
        </w:rPr>
      </w:pPr>
      <w:r w:rsidRPr="00C678BE">
        <w:rPr>
          <w:i/>
          <w:sz w:val="16"/>
          <w:szCs w:val="16"/>
          <w:vertAlign w:val="superscript"/>
        </w:rPr>
        <w:footnoteRef/>
      </w:r>
      <w:r w:rsidRPr="005A7E82">
        <w:rPr>
          <w:i/>
          <w:color w:val="000000"/>
          <w:sz w:val="16"/>
          <w:szCs w:val="16"/>
        </w:rPr>
        <w:t xml:space="preserve"> </w:t>
      </w:r>
      <w:hyperlink r:id="rId1">
        <w:r w:rsidRPr="005A7E82">
          <w:rPr>
            <w:i/>
            <w:color w:val="000000"/>
            <w:sz w:val="16"/>
            <w:szCs w:val="16"/>
            <w:highlight w:val="white"/>
            <w:u w:val="single"/>
          </w:rPr>
          <w:t>http://avatma.org/2016/03/08/informe-tecnico-veterinario-sobre-los-espectaculos-taurinos-con-vacas-y-vaquillas/</w:t>
        </w:r>
      </w:hyperlink>
    </w:p>
    <w:p w:rsidR="00AF4FDB" w:rsidRPr="005A7E82" w:rsidRDefault="00AF4FDB" w:rsidP="00C678BE">
      <w:pPr>
        <w:pBdr>
          <w:top w:val="nil"/>
          <w:left w:val="nil"/>
          <w:bottom w:val="nil"/>
          <w:right w:val="nil"/>
          <w:between w:val="nil"/>
        </w:pBdr>
        <w:tabs>
          <w:tab w:val="left" w:pos="300"/>
        </w:tabs>
        <w:ind w:left="320" w:hanging="320"/>
        <w:jc w:val="both"/>
        <w:rPr>
          <w:i/>
          <w:color w:val="000000"/>
          <w:sz w:val="16"/>
          <w:szCs w:val="16"/>
        </w:rPr>
      </w:pPr>
    </w:p>
  </w:footnote>
  <w:footnote w:id="13">
    <w:p w:rsidR="00AF4FDB" w:rsidRPr="005A7E82" w:rsidRDefault="00AF4FDB">
      <w:pPr>
        <w:pBdr>
          <w:top w:val="nil"/>
          <w:left w:val="nil"/>
          <w:bottom w:val="nil"/>
          <w:right w:val="nil"/>
          <w:between w:val="nil"/>
        </w:pBdr>
        <w:tabs>
          <w:tab w:val="left" w:pos="300"/>
        </w:tabs>
        <w:ind w:left="320" w:hanging="320"/>
        <w:jc w:val="both"/>
        <w:rPr>
          <w:i/>
          <w:color w:val="000000"/>
          <w:sz w:val="16"/>
          <w:szCs w:val="16"/>
        </w:rPr>
      </w:pPr>
      <w:r w:rsidRPr="00C678BE">
        <w:rPr>
          <w:i/>
          <w:sz w:val="16"/>
          <w:szCs w:val="16"/>
          <w:vertAlign w:val="superscript"/>
        </w:rPr>
        <w:footnoteRef/>
      </w:r>
      <w:r w:rsidRPr="005A7E82">
        <w:rPr>
          <w:i/>
          <w:color w:val="000000"/>
          <w:sz w:val="16"/>
          <w:szCs w:val="16"/>
        </w:rPr>
        <w:t xml:space="preserve"> http://es.scribd.com/doc/79119470/La-Crueldad-de-Las-Corridas-Incruentas</w:t>
      </w:r>
    </w:p>
  </w:footnote>
  <w:footnote w:id="14">
    <w:p w:rsidR="00AF4FDB" w:rsidRPr="00C678BE" w:rsidRDefault="00AF4FDB" w:rsidP="00C678BE">
      <w:pPr>
        <w:pBdr>
          <w:top w:val="nil"/>
          <w:left w:val="nil"/>
          <w:bottom w:val="nil"/>
          <w:right w:val="nil"/>
          <w:between w:val="nil"/>
        </w:pBdr>
        <w:tabs>
          <w:tab w:val="left" w:pos="300"/>
        </w:tabs>
        <w:ind w:left="320" w:hanging="320"/>
        <w:jc w:val="both"/>
        <w:rPr>
          <w:i/>
          <w:color w:val="000000"/>
          <w:sz w:val="16"/>
          <w:szCs w:val="16"/>
          <w:lang w:val="en-US"/>
        </w:rPr>
      </w:pPr>
      <w:r w:rsidRPr="00C678BE">
        <w:rPr>
          <w:i/>
          <w:sz w:val="16"/>
          <w:szCs w:val="16"/>
          <w:vertAlign w:val="superscript"/>
        </w:rPr>
        <w:footnoteRef/>
      </w:r>
      <w:r w:rsidRPr="00C678BE">
        <w:rPr>
          <w:i/>
          <w:color w:val="000000"/>
          <w:sz w:val="16"/>
          <w:szCs w:val="16"/>
          <w:lang w:val="en-US"/>
        </w:rPr>
        <w:t xml:space="preserve"> United Nations. Convention on the Rights of the Child. CRC/C/COL/CO/4-5. Committee on the Rights of the Child. Concluding observations on the combined fourth and fifth periodic reports of Colombia, adopted by the Committee at its sixty-eighth session (12-30 January 2015). </w:t>
      </w:r>
    </w:p>
  </w:footnote>
  <w:footnote w:id="15">
    <w:p w:rsidR="00AF4FDB" w:rsidRPr="005A7E82" w:rsidRDefault="00AF4FDB" w:rsidP="00C678BE">
      <w:pPr>
        <w:pBdr>
          <w:top w:val="nil"/>
          <w:left w:val="nil"/>
          <w:bottom w:val="nil"/>
          <w:right w:val="nil"/>
          <w:between w:val="nil"/>
        </w:pBdr>
        <w:tabs>
          <w:tab w:val="left" w:pos="300"/>
        </w:tabs>
        <w:ind w:left="320" w:hanging="320"/>
        <w:jc w:val="both"/>
        <w:rPr>
          <w:i/>
          <w:color w:val="000000"/>
          <w:sz w:val="16"/>
          <w:szCs w:val="16"/>
        </w:rPr>
      </w:pPr>
      <w:r w:rsidRPr="00C678BE">
        <w:rPr>
          <w:i/>
          <w:sz w:val="16"/>
          <w:szCs w:val="16"/>
          <w:vertAlign w:val="superscript"/>
        </w:rPr>
        <w:footnoteRef/>
      </w:r>
      <w:r w:rsidRPr="005A7E82">
        <w:rPr>
          <w:i/>
          <w:color w:val="000000"/>
          <w:sz w:val="16"/>
          <w:szCs w:val="16"/>
        </w:rPr>
        <w:t xml:space="preserve"> Crespo, C. (2017). Algunos aspectos psicológicos para explicar el desarrollo de la afición taurina. Anamnesis Revista de Bioética. Pontificia Universidad Javeriana. Número 12. julio – diciembre 2017 (p 19 – 28).</w:t>
      </w:r>
    </w:p>
  </w:footnote>
  <w:footnote w:id="16">
    <w:p w:rsidR="00AF4FDB" w:rsidRPr="005A7E82" w:rsidRDefault="00AF4FDB" w:rsidP="00C678BE">
      <w:pPr>
        <w:pBdr>
          <w:top w:val="nil"/>
          <w:left w:val="nil"/>
          <w:bottom w:val="nil"/>
          <w:right w:val="nil"/>
          <w:between w:val="nil"/>
        </w:pBdr>
        <w:tabs>
          <w:tab w:val="left" w:pos="300"/>
        </w:tabs>
        <w:ind w:left="320" w:hanging="320"/>
        <w:jc w:val="both"/>
        <w:rPr>
          <w:i/>
          <w:color w:val="000000"/>
          <w:sz w:val="16"/>
          <w:szCs w:val="16"/>
        </w:rPr>
      </w:pPr>
      <w:r w:rsidRPr="00C678BE">
        <w:rPr>
          <w:i/>
          <w:sz w:val="16"/>
          <w:szCs w:val="16"/>
          <w:vertAlign w:val="superscript"/>
        </w:rPr>
        <w:footnoteRef/>
      </w:r>
      <w:r w:rsidRPr="005A7E82">
        <w:rPr>
          <w:i/>
          <w:color w:val="000000"/>
          <w:sz w:val="16"/>
          <w:szCs w:val="16"/>
        </w:rPr>
        <w:t xml:space="preserve"> Crespo, C. (2013). Abolición de la tauromaquia desde una bioética no especista. Ponencia presentada en la 7ª Cumbre de la Red Mundial por la Abolición de la Tauromaquia Bogotá (Colombia).</w:t>
      </w:r>
    </w:p>
  </w:footnote>
  <w:footnote w:id="17">
    <w:p w:rsidR="00AF4FDB" w:rsidRPr="005A7E82" w:rsidRDefault="00AF4FDB" w:rsidP="00C678BE">
      <w:pPr>
        <w:pBdr>
          <w:top w:val="nil"/>
          <w:left w:val="nil"/>
          <w:bottom w:val="nil"/>
          <w:right w:val="nil"/>
          <w:between w:val="nil"/>
        </w:pBdr>
        <w:tabs>
          <w:tab w:val="left" w:pos="300"/>
        </w:tabs>
        <w:ind w:left="320" w:hanging="320"/>
        <w:jc w:val="both"/>
        <w:rPr>
          <w:i/>
          <w:color w:val="000000"/>
          <w:sz w:val="16"/>
          <w:szCs w:val="16"/>
        </w:rPr>
      </w:pPr>
      <w:r w:rsidRPr="00C678BE">
        <w:rPr>
          <w:i/>
          <w:sz w:val="16"/>
          <w:szCs w:val="16"/>
          <w:vertAlign w:val="superscript"/>
        </w:rPr>
        <w:footnoteRef/>
      </w:r>
      <w:r w:rsidRPr="005A7E82">
        <w:rPr>
          <w:i/>
          <w:color w:val="000000"/>
          <w:sz w:val="16"/>
          <w:szCs w:val="16"/>
        </w:rPr>
        <w:t xml:space="preserve"> Crespo, C. (2017). La falacia del uso de argumentos sobre minorías y libertades individuales en la tauromaquia. Recuperado de: http://elturbion.com/?p=14953</w:t>
      </w:r>
    </w:p>
  </w:footnote>
  <w:footnote w:id="18">
    <w:p w:rsidR="00AF4FDB" w:rsidRPr="005A7E82" w:rsidRDefault="00AF4FDB" w:rsidP="00C678BE">
      <w:pPr>
        <w:pBdr>
          <w:top w:val="nil"/>
          <w:left w:val="nil"/>
          <w:bottom w:val="nil"/>
          <w:right w:val="nil"/>
          <w:between w:val="nil"/>
        </w:pBdr>
        <w:jc w:val="both"/>
        <w:rPr>
          <w:i/>
          <w:color w:val="000000"/>
          <w:sz w:val="16"/>
          <w:szCs w:val="16"/>
        </w:rPr>
      </w:pPr>
      <w:r w:rsidRPr="00C678BE">
        <w:rPr>
          <w:i/>
          <w:sz w:val="16"/>
          <w:szCs w:val="16"/>
          <w:vertAlign w:val="superscript"/>
        </w:rPr>
        <w:footnoteRef/>
      </w:r>
      <w:r w:rsidRPr="005A7E82">
        <w:rPr>
          <w:i/>
          <w:color w:val="000000"/>
          <w:sz w:val="16"/>
          <w:szCs w:val="16"/>
        </w:rPr>
        <w:t xml:space="preserve"> Rubiano, F. (2017). Fabio Rubiano descarta la muerte como arte. Recuperado de https://www.youtube.com/watch?v=KaL10DzWyaM </w:t>
      </w:r>
    </w:p>
    <w:p w:rsidR="00AF4FDB" w:rsidRPr="005A7E82" w:rsidRDefault="00AF4FDB" w:rsidP="00C678BE">
      <w:pPr>
        <w:pBdr>
          <w:top w:val="nil"/>
          <w:left w:val="nil"/>
          <w:bottom w:val="nil"/>
          <w:right w:val="nil"/>
          <w:between w:val="nil"/>
        </w:pBdr>
        <w:tabs>
          <w:tab w:val="left" w:pos="300"/>
        </w:tabs>
        <w:ind w:left="320" w:hanging="320"/>
        <w:jc w:val="both"/>
        <w:rPr>
          <w:i/>
          <w:color w:val="000000"/>
          <w:sz w:val="16"/>
          <w:szCs w:val="16"/>
        </w:rPr>
      </w:pPr>
    </w:p>
  </w:footnote>
  <w:footnote w:id="19">
    <w:p w:rsidR="00AF4FDB" w:rsidRPr="005A7E82" w:rsidRDefault="00AF4FDB" w:rsidP="00C678BE">
      <w:pPr>
        <w:pBdr>
          <w:top w:val="nil"/>
          <w:left w:val="nil"/>
          <w:bottom w:val="nil"/>
          <w:right w:val="nil"/>
          <w:between w:val="nil"/>
        </w:pBdr>
        <w:tabs>
          <w:tab w:val="left" w:pos="300"/>
        </w:tabs>
        <w:ind w:left="320" w:hanging="320"/>
        <w:jc w:val="both"/>
        <w:rPr>
          <w:i/>
          <w:color w:val="000000"/>
          <w:sz w:val="16"/>
          <w:szCs w:val="16"/>
        </w:rPr>
      </w:pPr>
      <w:r w:rsidRPr="00C678BE">
        <w:rPr>
          <w:i/>
          <w:sz w:val="16"/>
          <w:szCs w:val="16"/>
          <w:vertAlign w:val="superscript"/>
        </w:rPr>
        <w:footnoteRef/>
      </w:r>
      <w:r w:rsidRPr="005A7E82">
        <w:rPr>
          <w:i/>
          <w:color w:val="000000"/>
          <w:sz w:val="16"/>
          <w:szCs w:val="16"/>
        </w:rPr>
        <w:t xml:space="preserve"> Fundación Colectivo Identidad Animal (2018). Informe sobre el Impacto de la Tauromaquia en la ciudad de Manizales, Caldas. Recuperado de https://drive.google.com/file/d/0B15TnNlQqjo7T0hKV3VXUnBoanR1ZXJMa2Zqa1FjM0ZvYWlB/view?usp=drivesdk</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FDB" w:rsidRDefault="00AF4FD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D00876">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D00876">
      <w:rPr>
        <w:b/>
        <w:noProof/>
        <w:color w:val="000000"/>
      </w:rPr>
      <w:t>43</w:t>
    </w:r>
    <w:r>
      <w:rPr>
        <w:b/>
        <w:color w:val="000000"/>
      </w:rPr>
      <w:fldChar w:fldCharType="end"/>
    </w:r>
  </w:p>
  <w:p w:rsidR="00AF4FDB" w:rsidRDefault="00AF4FDB">
    <w:pPr>
      <w:pBdr>
        <w:top w:val="nil"/>
        <w:left w:val="nil"/>
        <w:bottom w:val="nil"/>
        <w:right w:val="nil"/>
        <w:between w:val="nil"/>
      </w:pBdr>
      <w:tabs>
        <w:tab w:val="center" w:pos="4419"/>
        <w:tab w:val="right" w:pos="8838"/>
      </w:tabs>
      <w:jc w:val="center"/>
      <w:rPr>
        <w:color w:val="000000"/>
      </w:rPr>
    </w:pPr>
    <w:r>
      <w:rPr>
        <w:noProof/>
        <w:color w:val="000000"/>
        <w:lang w:val="es-CO" w:eastAsia="es-CO"/>
      </w:rPr>
      <w:drawing>
        <wp:inline distT="0" distB="0" distL="0" distR="0">
          <wp:extent cx="2775232" cy="82208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75232" cy="822082"/>
                  </a:xfrm>
                  <a:prstGeom prst="rect">
                    <a:avLst/>
                  </a:prstGeom>
                  <a:ln/>
                </pic:spPr>
              </pic:pic>
            </a:graphicData>
          </a:graphic>
        </wp:inline>
      </w:drawing>
    </w:r>
  </w:p>
  <w:p w:rsidR="00AF4FDB" w:rsidRDefault="00AF4FDB">
    <w:pPr>
      <w:pBdr>
        <w:top w:val="nil"/>
        <w:left w:val="nil"/>
        <w:bottom w:val="nil"/>
        <w:right w:val="nil"/>
        <w:between w:val="nil"/>
      </w:pBdr>
      <w:tabs>
        <w:tab w:val="center" w:pos="4419"/>
        <w:tab w:val="right" w:pos="8838"/>
      </w:tabs>
      <w:jc w:val="center"/>
      <w:rPr>
        <w:color w:val="000000"/>
      </w:rPr>
    </w:pPr>
  </w:p>
  <w:p w:rsidR="00AF4FDB" w:rsidRPr="00CB7949" w:rsidRDefault="002745C3">
    <w:pPr>
      <w:pBdr>
        <w:top w:val="nil"/>
        <w:left w:val="nil"/>
        <w:bottom w:val="nil"/>
        <w:right w:val="nil"/>
        <w:between w:val="nil"/>
      </w:pBdr>
      <w:tabs>
        <w:tab w:val="center" w:pos="4419"/>
        <w:tab w:val="right" w:pos="8838"/>
      </w:tabs>
      <w:jc w:val="center"/>
      <w:rPr>
        <w:rFonts w:ascii="Bookman Old Style" w:hAnsi="Bookman Old Style"/>
        <w:b/>
        <w:color w:val="000000"/>
        <w:sz w:val="22"/>
        <w:szCs w:val="28"/>
      </w:rPr>
    </w:pPr>
    <w:r w:rsidRPr="00CB7949">
      <w:rPr>
        <w:rFonts w:ascii="Bookman Old Style" w:hAnsi="Bookman Old Style"/>
        <w:b/>
        <w:color w:val="000000"/>
        <w:sz w:val="22"/>
        <w:szCs w:val="28"/>
      </w:rPr>
      <w:t>JUAN CARLOS LO</w:t>
    </w:r>
    <w:r w:rsidR="00CB7949" w:rsidRPr="00CB7949">
      <w:rPr>
        <w:rFonts w:ascii="Bookman Old Style" w:hAnsi="Bookman Old Style"/>
        <w:b/>
        <w:color w:val="000000"/>
        <w:sz w:val="22"/>
        <w:szCs w:val="28"/>
      </w:rPr>
      <w:t>Z</w:t>
    </w:r>
    <w:r w:rsidRPr="00CB7949">
      <w:rPr>
        <w:rFonts w:ascii="Bookman Old Style" w:hAnsi="Bookman Old Style"/>
        <w:b/>
        <w:color w:val="000000"/>
        <w:sz w:val="22"/>
        <w:szCs w:val="28"/>
      </w:rPr>
      <w:t>ADA VARGAS</w:t>
    </w:r>
  </w:p>
  <w:p w:rsidR="00CB7949" w:rsidRPr="00CB7949" w:rsidRDefault="00CB7949">
    <w:pPr>
      <w:pBdr>
        <w:top w:val="nil"/>
        <w:left w:val="nil"/>
        <w:bottom w:val="nil"/>
        <w:right w:val="nil"/>
        <w:between w:val="nil"/>
      </w:pBdr>
      <w:tabs>
        <w:tab w:val="center" w:pos="4419"/>
        <w:tab w:val="right" w:pos="8838"/>
      </w:tabs>
      <w:jc w:val="center"/>
      <w:rPr>
        <w:rFonts w:ascii="Bookman Old Style" w:hAnsi="Bookman Old Style"/>
        <w:b/>
        <w:color w:val="000000"/>
        <w:sz w:val="22"/>
        <w:szCs w:val="28"/>
      </w:rPr>
    </w:pPr>
    <w:r w:rsidRPr="00CB7949">
      <w:rPr>
        <w:rFonts w:ascii="Bookman Old Style" w:hAnsi="Bookman Old Style"/>
        <w:b/>
        <w:color w:val="000000"/>
        <w:sz w:val="22"/>
        <w:szCs w:val="28"/>
      </w:rPr>
      <w:t>REPRESENTANTE A LA CÁMARA</w:t>
    </w:r>
  </w:p>
  <w:p w:rsidR="002745C3" w:rsidRPr="002745C3" w:rsidRDefault="002745C3">
    <w:pPr>
      <w:pBdr>
        <w:top w:val="nil"/>
        <w:left w:val="nil"/>
        <w:bottom w:val="nil"/>
        <w:right w:val="nil"/>
        <w:between w:val="nil"/>
      </w:pBdr>
      <w:tabs>
        <w:tab w:val="center" w:pos="4419"/>
        <w:tab w:val="right" w:pos="8838"/>
      </w:tabs>
      <w:jc w:val="center"/>
      <w:rPr>
        <w:rFonts w:ascii="Bookman Old Style" w:hAnsi="Bookman Old Style"/>
        <w:b/>
        <w:color w:val="000000"/>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F9" w:rsidRDefault="007316F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D00876">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D00876">
      <w:rPr>
        <w:b/>
        <w:noProof/>
        <w:color w:val="000000"/>
      </w:rPr>
      <w:t>43</w:t>
    </w:r>
    <w:r>
      <w:rPr>
        <w:b/>
        <w:color w:val="000000"/>
      </w:rPr>
      <w:fldChar w:fldCharType="end"/>
    </w:r>
  </w:p>
  <w:p w:rsidR="007316F9" w:rsidRDefault="007316F9">
    <w:pPr>
      <w:pBdr>
        <w:top w:val="nil"/>
        <w:left w:val="nil"/>
        <w:bottom w:val="nil"/>
        <w:right w:val="nil"/>
        <w:between w:val="nil"/>
      </w:pBdr>
      <w:tabs>
        <w:tab w:val="center" w:pos="4419"/>
        <w:tab w:val="right" w:pos="8838"/>
      </w:tabs>
      <w:jc w:val="center"/>
      <w:rPr>
        <w:color w:val="000000"/>
      </w:rPr>
    </w:pPr>
    <w:r>
      <w:rPr>
        <w:noProof/>
        <w:color w:val="000000"/>
        <w:lang w:val="es-CO" w:eastAsia="es-CO"/>
      </w:rPr>
      <w:drawing>
        <wp:inline distT="0" distB="0" distL="0" distR="0" wp14:anchorId="37EDDC96" wp14:editId="3B343192">
          <wp:extent cx="2775232" cy="822082"/>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75232" cy="822082"/>
                  </a:xfrm>
                  <a:prstGeom prst="rect">
                    <a:avLst/>
                  </a:prstGeom>
                  <a:ln/>
                </pic:spPr>
              </pic:pic>
            </a:graphicData>
          </a:graphic>
        </wp:inline>
      </w:drawing>
    </w:r>
  </w:p>
  <w:p w:rsidR="007316F9" w:rsidRDefault="007316F9">
    <w:pPr>
      <w:pBdr>
        <w:top w:val="nil"/>
        <w:left w:val="nil"/>
        <w:bottom w:val="nil"/>
        <w:right w:val="nil"/>
        <w:between w:val="nil"/>
      </w:pBdr>
      <w:tabs>
        <w:tab w:val="center" w:pos="4419"/>
        <w:tab w:val="right" w:pos="8838"/>
      </w:tabs>
      <w:jc w:val="center"/>
      <w:rPr>
        <w:color w:val="000000"/>
      </w:rPr>
    </w:pPr>
  </w:p>
  <w:p w:rsidR="007316F9" w:rsidRPr="00CB7949" w:rsidRDefault="007316F9">
    <w:pPr>
      <w:pBdr>
        <w:top w:val="nil"/>
        <w:left w:val="nil"/>
        <w:bottom w:val="nil"/>
        <w:right w:val="nil"/>
        <w:between w:val="nil"/>
      </w:pBdr>
      <w:tabs>
        <w:tab w:val="center" w:pos="4419"/>
        <w:tab w:val="right" w:pos="8838"/>
      </w:tabs>
      <w:jc w:val="center"/>
      <w:rPr>
        <w:rFonts w:ascii="Bookman Old Style" w:hAnsi="Bookman Old Style"/>
        <w:b/>
        <w:color w:val="000000"/>
        <w:sz w:val="22"/>
        <w:szCs w:val="28"/>
      </w:rPr>
    </w:pPr>
    <w:r w:rsidRPr="00CB7949">
      <w:rPr>
        <w:rFonts w:ascii="Bookman Old Style" w:hAnsi="Bookman Old Style"/>
        <w:b/>
        <w:color w:val="000000"/>
        <w:sz w:val="22"/>
        <w:szCs w:val="28"/>
      </w:rPr>
      <w:t>JUAN CARLOS LOZADA VARGAS</w:t>
    </w:r>
  </w:p>
  <w:p w:rsidR="007316F9" w:rsidRPr="00CB7949" w:rsidRDefault="007316F9">
    <w:pPr>
      <w:pBdr>
        <w:top w:val="nil"/>
        <w:left w:val="nil"/>
        <w:bottom w:val="nil"/>
        <w:right w:val="nil"/>
        <w:between w:val="nil"/>
      </w:pBdr>
      <w:tabs>
        <w:tab w:val="center" w:pos="4419"/>
        <w:tab w:val="right" w:pos="8838"/>
      </w:tabs>
      <w:jc w:val="center"/>
      <w:rPr>
        <w:rFonts w:ascii="Bookman Old Style" w:hAnsi="Bookman Old Style"/>
        <w:b/>
        <w:color w:val="000000"/>
        <w:sz w:val="22"/>
        <w:szCs w:val="28"/>
      </w:rPr>
    </w:pPr>
    <w:r w:rsidRPr="00CB7949">
      <w:rPr>
        <w:rFonts w:ascii="Bookman Old Style" w:hAnsi="Bookman Old Style"/>
        <w:b/>
        <w:color w:val="000000"/>
        <w:sz w:val="22"/>
        <w:szCs w:val="28"/>
      </w:rPr>
      <w:t>REPRESENTANTE A LA CÁMARA</w:t>
    </w:r>
  </w:p>
  <w:p w:rsidR="007316F9" w:rsidRPr="002745C3" w:rsidRDefault="007316F9">
    <w:pPr>
      <w:pBdr>
        <w:top w:val="nil"/>
        <w:left w:val="nil"/>
        <w:bottom w:val="nil"/>
        <w:right w:val="nil"/>
        <w:between w:val="nil"/>
      </w:pBdr>
      <w:tabs>
        <w:tab w:val="center" w:pos="4419"/>
        <w:tab w:val="right" w:pos="8838"/>
      </w:tabs>
      <w:jc w:val="center"/>
      <w:rPr>
        <w:rFonts w:ascii="Bookman Old Style" w:hAnsi="Bookman Old Style"/>
        <w:b/>
        <w:color w:val="000000"/>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F9" w:rsidRDefault="007316F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D00876">
      <w:rPr>
        <w:b/>
        <w:noProof/>
        <w:color w:val="000000"/>
      </w:rPr>
      <w:t>19</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D00876">
      <w:rPr>
        <w:b/>
        <w:noProof/>
        <w:color w:val="000000"/>
      </w:rPr>
      <w:t>43</w:t>
    </w:r>
    <w:r>
      <w:rPr>
        <w:b/>
        <w:color w:val="000000"/>
      </w:rPr>
      <w:fldChar w:fldCharType="end"/>
    </w:r>
  </w:p>
  <w:p w:rsidR="007316F9" w:rsidRDefault="007316F9">
    <w:pPr>
      <w:pBdr>
        <w:top w:val="nil"/>
        <w:left w:val="nil"/>
        <w:bottom w:val="nil"/>
        <w:right w:val="nil"/>
        <w:between w:val="nil"/>
      </w:pBdr>
      <w:tabs>
        <w:tab w:val="center" w:pos="4419"/>
        <w:tab w:val="right" w:pos="8838"/>
      </w:tabs>
      <w:jc w:val="center"/>
      <w:rPr>
        <w:color w:val="000000"/>
      </w:rPr>
    </w:pPr>
    <w:r>
      <w:rPr>
        <w:noProof/>
        <w:color w:val="000000"/>
        <w:lang w:val="es-CO" w:eastAsia="es-CO"/>
      </w:rPr>
      <w:drawing>
        <wp:inline distT="0" distB="0" distL="0" distR="0" wp14:anchorId="37EDDC96" wp14:editId="3B343192">
          <wp:extent cx="2775232" cy="822082"/>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75232" cy="822082"/>
                  </a:xfrm>
                  <a:prstGeom prst="rect">
                    <a:avLst/>
                  </a:prstGeom>
                  <a:ln/>
                </pic:spPr>
              </pic:pic>
            </a:graphicData>
          </a:graphic>
        </wp:inline>
      </w:drawing>
    </w:r>
  </w:p>
  <w:p w:rsidR="007316F9" w:rsidRDefault="007316F9">
    <w:pPr>
      <w:pBdr>
        <w:top w:val="nil"/>
        <w:left w:val="nil"/>
        <w:bottom w:val="nil"/>
        <w:right w:val="nil"/>
        <w:between w:val="nil"/>
      </w:pBdr>
      <w:tabs>
        <w:tab w:val="center" w:pos="4419"/>
        <w:tab w:val="right" w:pos="8838"/>
      </w:tabs>
      <w:jc w:val="center"/>
      <w:rPr>
        <w:color w:val="000000"/>
      </w:rPr>
    </w:pPr>
  </w:p>
  <w:p w:rsidR="007316F9" w:rsidRPr="00CB7949" w:rsidRDefault="007316F9">
    <w:pPr>
      <w:pBdr>
        <w:top w:val="nil"/>
        <w:left w:val="nil"/>
        <w:bottom w:val="nil"/>
        <w:right w:val="nil"/>
        <w:between w:val="nil"/>
      </w:pBdr>
      <w:tabs>
        <w:tab w:val="center" w:pos="4419"/>
        <w:tab w:val="right" w:pos="8838"/>
      </w:tabs>
      <w:jc w:val="center"/>
      <w:rPr>
        <w:rFonts w:ascii="Bookman Old Style" w:hAnsi="Bookman Old Style"/>
        <w:b/>
        <w:color w:val="000000"/>
        <w:sz w:val="22"/>
        <w:szCs w:val="28"/>
      </w:rPr>
    </w:pPr>
    <w:r w:rsidRPr="00CB7949">
      <w:rPr>
        <w:rFonts w:ascii="Bookman Old Style" w:hAnsi="Bookman Old Style"/>
        <w:b/>
        <w:color w:val="000000"/>
        <w:sz w:val="22"/>
        <w:szCs w:val="28"/>
      </w:rPr>
      <w:t>JUAN CARLOS LOZADA VARGAS</w:t>
    </w:r>
  </w:p>
  <w:p w:rsidR="007316F9" w:rsidRPr="00CB7949" w:rsidRDefault="007316F9">
    <w:pPr>
      <w:pBdr>
        <w:top w:val="nil"/>
        <w:left w:val="nil"/>
        <w:bottom w:val="nil"/>
        <w:right w:val="nil"/>
        <w:between w:val="nil"/>
      </w:pBdr>
      <w:tabs>
        <w:tab w:val="center" w:pos="4419"/>
        <w:tab w:val="right" w:pos="8838"/>
      </w:tabs>
      <w:jc w:val="center"/>
      <w:rPr>
        <w:rFonts w:ascii="Bookman Old Style" w:hAnsi="Bookman Old Style"/>
        <w:b/>
        <w:color w:val="000000"/>
        <w:sz w:val="22"/>
        <w:szCs w:val="28"/>
      </w:rPr>
    </w:pPr>
    <w:r w:rsidRPr="00CB7949">
      <w:rPr>
        <w:rFonts w:ascii="Bookman Old Style" w:hAnsi="Bookman Old Style"/>
        <w:b/>
        <w:color w:val="000000"/>
        <w:sz w:val="22"/>
        <w:szCs w:val="28"/>
      </w:rPr>
      <w:t>REPRESENTANTE A LA CÁMARA</w:t>
    </w:r>
  </w:p>
  <w:p w:rsidR="007316F9" w:rsidRPr="002745C3" w:rsidRDefault="007316F9">
    <w:pPr>
      <w:pBdr>
        <w:top w:val="nil"/>
        <w:left w:val="nil"/>
        <w:bottom w:val="nil"/>
        <w:right w:val="nil"/>
        <w:between w:val="nil"/>
      </w:pBdr>
      <w:tabs>
        <w:tab w:val="center" w:pos="4419"/>
        <w:tab w:val="right" w:pos="8838"/>
      </w:tabs>
      <w:jc w:val="center"/>
      <w:rPr>
        <w:rFonts w:ascii="Bookman Old Style" w:hAnsi="Bookman Old Style"/>
        <w:b/>
        <w:color w:val="000000"/>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A3E76"/>
    <w:multiLevelType w:val="multilevel"/>
    <w:tmpl w:val="F20EB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9669D4"/>
    <w:multiLevelType w:val="multilevel"/>
    <w:tmpl w:val="5E681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1318F0"/>
    <w:multiLevelType w:val="multilevel"/>
    <w:tmpl w:val="D5F6E5BE"/>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E27E6B"/>
    <w:multiLevelType w:val="multilevel"/>
    <w:tmpl w:val="200A7032"/>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6FD74A5"/>
    <w:multiLevelType w:val="hybridMultilevel"/>
    <w:tmpl w:val="3E8857AC"/>
    <w:lvl w:ilvl="0" w:tplc="2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5" w15:restartNumberingAfterBreak="0">
    <w:nsid w:val="3F2A6CC7"/>
    <w:multiLevelType w:val="multilevel"/>
    <w:tmpl w:val="A658F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C93B04"/>
    <w:multiLevelType w:val="multilevel"/>
    <w:tmpl w:val="B7001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AD5870"/>
    <w:multiLevelType w:val="multilevel"/>
    <w:tmpl w:val="2BE0B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C15AA8"/>
    <w:multiLevelType w:val="multilevel"/>
    <w:tmpl w:val="685C0C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F24752"/>
    <w:multiLevelType w:val="hybridMultilevel"/>
    <w:tmpl w:val="B248FEDE"/>
    <w:lvl w:ilvl="0" w:tplc="423454DC">
      <w:start w:val="1"/>
      <w:numFmt w:val="lowerLetter"/>
      <w:lvlText w:val="%1)"/>
      <w:lvlJc w:val="left"/>
      <w:pPr>
        <w:ind w:left="644" w:hanging="360"/>
      </w:pPr>
      <w:rPr>
        <w:rFonts w:hint="default"/>
        <w:b/>
        <w:bCs/>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10" w15:restartNumberingAfterBreak="0">
    <w:nsid w:val="63823ED5"/>
    <w:multiLevelType w:val="multilevel"/>
    <w:tmpl w:val="8208F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7"/>
  </w:num>
  <w:num w:numId="4">
    <w:abstractNumId w:val="6"/>
  </w:num>
  <w:num w:numId="5">
    <w:abstractNumId w:val="1"/>
  </w:num>
  <w:num w:numId="6">
    <w:abstractNumId w:val="10"/>
  </w:num>
  <w:num w:numId="7">
    <w:abstractNumId w:val="8"/>
  </w:num>
  <w:num w:numId="8">
    <w:abstractNumId w:val="3"/>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E78"/>
    <w:rsid w:val="00000A2F"/>
    <w:rsid w:val="0001061A"/>
    <w:rsid w:val="000138FA"/>
    <w:rsid w:val="00040BD7"/>
    <w:rsid w:val="00050C96"/>
    <w:rsid w:val="00051929"/>
    <w:rsid w:val="000535B2"/>
    <w:rsid w:val="000861D2"/>
    <w:rsid w:val="000A1BE5"/>
    <w:rsid w:val="000B0826"/>
    <w:rsid w:val="000B735E"/>
    <w:rsid w:val="000E383B"/>
    <w:rsid w:val="000E7F84"/>
    <w:rsid w:val="000F347E"/>
    <w:rsid w:val="00101E8F"/>
    <w:rsid w:val="00112642"/>
    <w:rsid w:val="00112883"/>
    <w:rsid w:val="001470E8"/>
    <w:rsid w:val="00152CC1"/>
    <w:rsid w:val="00166A02"/>
    <w:rsid w:val="00181297"/>
    <w:rsid w:val="0019299C"/>
    <w:rsid w:val="001E5C79"/>
    <w:rsid w:val="001F4F6E"/>
    <w:rsid w:val="00231E91"/>
    <w:rsid w:val="002329BA"/>
    <w:rsid w:val="00246F38"/>
    <w:rsid w:val="002616DF"/>
    <w:rsid w:val="00266689"/>
    <w:rsid w:val="002745C3"/>
    <w:rsid w:val="00275D0C"/>
    <w:rsid w:val="00275D2D"/>
    <w:rsid w:val="00282DF0"/>
    <w:rsid w:val="00285875"/>
    <w:rsid w:val="00293849"/>
    <w:rsid w:val="00301DF8"/>
    <w:rsid w:val="00315130"/>
    <w:rsid w:val="003271AF"/>
    <w:rsid w:val="00335A75"/>
    <w:rsid w:val="003826E0"/>
    <w:rsid w:val="00383A2B"/>
    <w:rsid w:val="00397598"/>
    <w:rsid w:val="003A1020"/>
    <w:rsid w:val="003D17A1"/>
    <w:rsid w:val="00420421"/>
    <w:rsid w:val="00430276"/>
    <w:rsid w:val="00456FEB"/>
    <w:rsid w:val="00474970"/>
    <w:rsid w:val="00485ADC"/>
    <w:rsid w:val="004A2976"/>
    <w:rsid w:val="004B6E20"/>
    <w:rsid w:val="004C359B"/>
    <w:rsid w:val="004E2233"/>
    <w:rsid w:val="004E32CC"/>
    <w:rsid w:val="004F32D1"/>
    <w:rsid w:val="004F4691"/>
    <w:rsid w:val="004F576C"/>
    <w:rsid w:val="005103FF"/>
    <w:rsid w:val="00512431"/>
    <w:rsid w:val="005144F8"/>
    <w:rsid w:val="00542E48"/>
    <w:rsid w:val="00554AE4"/>
    <w:rsid w:val="00560B49"/>
    <w:rsid w:val="0056646B"/>
    <w:rsid w:val="00575D87"/>
    <w:rsid w:val="005951D0"/>
    <w:rsid w:val="005A7E82"/>
    <w:rsid w:val="005B4E43"/>
    <w:rsid w:val="005D3194"/>
    <w:rsid w:val="005E110D"/>
    <w:rsid w:val="005E22B3"/>
    <w:rsid w:val="005F0C9C"/>
    <w:rsid w:val="00621E17"/>
    <w:rsid w:val="00631FA0"/>
    <w:rsid w:val="006358EC"/>
    <w:rsid w:val="00642C77"/>
    <w:rsid w:val="006621B5"/>
    <w:rsid w:val="00677E28"/>
    <w:rsid w:val="006A1C1B"/>
    <w:rsid w:val="006B52B1"/>
    <w:rsid w:val="006C2D82"/>
    <w:rsid w:val="006C53FD"/>
    <w:rsid w:val="006C6EDD"/>
    <w:rsid w:val="006D5255"/>
    <w:rsid w:val="006D5872"/>
    <w:rsid w:val="00727F49"/>
    <w:rsid w:val="007316F9"/>
    <w:rsid w:val="00745BA9"/>
    <w:rsid w:val="00761E87"/>
    <w:rsid w:val="007A47CB"/>
    <w:rsid w:val="007A58BA"/>
    <w:rsid w:val="00803571"/>
    <w:rsid w:val="00811A90"/>
    <w:rsid w:val="00821B60"/>
    <w:rsid w:val="00822CC7"/>
    <w:rsid w:val="00835950"/>
    <w:rsid w:val="008547B7"/>
    <w:rsid w:val="008C4FDE"/>
    <w:rsid w:val="008D63E1"/>
    <w:rsid w:val="0091454C"/>
    <w:rsid w:val="00932DD0"/>
    <w:rsid w:val="00933726"/>
    <w:rsid w:val="009B0C3E"/>
    <w:rsid w:val="009C3616"/>
    <w:rsid w:val="009E7FBB"/>
    <w:rsid w:val="009F3799"/>
    <w:rsid w:val="00A11426"/>
    <w:rsid w:val="00A34AE4"/>
    <w:rsid w:val="00A53955"/>
    <w:rsid w:val="00A728F8"/>
    <w:rsid w:val="00A91D66"/>
    <w:rsid w:val="00AA5595"/>
    <w:rsid w:val="00AB2504"/>
    <w:rsid w:val="00AC18E0"/>
    <w:rsid w:val="00AE70E7"/>
    <w:rsid w:val="00AF4FDB"/>
    <w:rsid w:val="00B01966"/>
    <w:rsid w:val="00B20334"/>
    <w:rsid w:val="00B33373"/>
    <w:rsid w:val="00B50B3B"/>
    <w:rsid w:val="00B51D2C"/>
    <w:rsid w:val="00B52EBD"/>
    <w:rsid w:val="00B62C1D"/>
    <w:rsid w:val="00B85B11"/>
    <w:rsid w:val="00BA369D"/>
    <w:rsid w:val="00BB27DA"/>
    <w:rsid w:val="00BD0DE8"/>
    <w:rsid w:val="00C03625"/>
    <w:rsid w:val="00C03BC8"/>
    <w:rsid w:val="00C04565"/>
    <w:rsid w:val="00C678BE"/>
    <w:rsid w:val="00CB32F6"/>
    <w:rsid w:val="00CB7949"/>
    <w:rsid w:val="00CC4C88"/>
    <w:rsid w:val="00CC7F93"/>
    <w:rsid w:val="00CD405C"/>
    <w:rsid w:val="00CE6F9E"/>
    <w:rsid w:val="00CF58F8"/>
    <w:rsid w:val="00D00876"/>
    <w:rsid w:val="00D02848"/>
    <w:rsid w:val="00D3064B"/>
    <w:rsid w:val="00D50114"/>
    <w:rsid w:val="00D553C4"/>
    <w:rsid w:val="00D732FC"/>
    <w:rsid w:val="00DA01BB"/>
    <w:rsid w:val="00DA70CD"/>
    <w:rsid w:val="00DF7FE7"/>
    <w:rsid w:val="00E2421E"/>
    <w:rsid w:val="00E54C9C"/>
    <w:rsid w:val="00E5629A"/>
    <w:rsid w:val="00E6644A"/>
    <w:rsid w:val="00E74BD6"/>
    <w:rsid w:val="00EA0B2F"/>
    <w:rsid w:val="00EC1322"/>
    <w:rsid w:val="00EE0E78"/>
    <w:rsid w:val="00EE6AA7"/>
    <w:rsid w:val="00F429F5"/>
    <w:rsid w:val="00F52AB3"/>
    <w:rsid w:val="00F87908"/>
    <w:rsid w:val="00F90625"/>
    <w:rsid w:val="00F92025"/>
    <w:rsid w:val="00F93EF7"/>
    <w:rsid w:val="00FA38DD"/>
    <w:rsid w:val="00FB56E8"/>
    <w:rsid w:val="00FE1890"/>
    <w:rsid w:val="00FF358D"/>
    <w:rsid w:val="00FF3B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3AEF012-36E0-CD42-9C61-88D8B83C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6E0"/>
  </w:style>
  <w:style w:type="paragraph" w:styleId="Ttulo1">
    <w:name w:val="heading 1"/>
    <w:basedOn w:val="Normal"/>
    <w:next w:val="Normal"/>
    <w:uiPriority w:val="9"/>
    <w:qFormat/>
    <w:rsid w:val="003826E0"/>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3826E0"/>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3826E0"/>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3826E0"/>
    <w:pPr>
      <w:keepNext/>
      <w:keepLines/>
      <w:spacing w:before="240" w:after="40"/>
      <w:outlineLvl w:val="3"/>
    </w:pPr>
    <w:rPr>
      <w:b/>
    </w:rPr>
  </w:style>
  <w:style w:type="paragraph" w:styleId="Ttulo5">
    <w:name w:val="heading 5"/>
    <w:basedOn w:val="Normal"/>
    <w:next w:val="Normal"/>
    <w:uiPriority w:val="9"/>
    <w:semiHidden/>
    <w:unhideWhenUsed/>
    <w:qFormat/>
    <w:rsid w:val="003826E0"/>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3826E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3826E0"/>
    <w:tblPr>
      <w:tblCellMar>
        <w:top w:w="0" w:type="dxa"/>
        <w:left w:w="0" w:type="dxa"/>
        <w:bottom w:w="0" w:type="dxa"/>
        <w:right w:w="0" w:type="dxa"/>
      </w:tblCellMar>
    </w:tblPr>
  </w:style>
  <w:style w:type="paragraph" w:styleId="Ttulo">
    <w:name w:val="Title"/>
    <w:basedOn w:val="Normal"/>
    <w:next w:val="Normal"/>
    <w:uiPriority w:val="10"/>
    <w:qFormat/>
    <w:rsid w:val="003826E0"/>
    <w:pPr>
      <w:keepNext/>
      <w:keepLines/>
      <w:spacing w:before="480" w:after="120"/>
    </w:pPr>
    <w:rPr>
      <w:b/>
      <w:sz w:val="72"/>
      <w:szCs w:val="72"/>
    </w:rPr>
  </w:style>
  <w:style w:type="paragraph" w:styleId="Subttulo">
    <w:name w:val="Subtitle"/>
    <w:basedOn w:val="Normal"/>
    <w:next w:val="Normal"/>
    <w:uiPriority w:val="11"/>
    <w:qFormat/>
    <w:rsid w:val="003826E0"/>
    <w:pPr>
      <w:keepNext/>
      <w:keepLines/>
      <w:spacing w:before="360" w:after="80"/>
    </w:pPr>
    <w:rPr>
      <w:rFonts w:ascii="Georgia" w:eastAsia="Georgia" w:hAnsi="Georgia" w:cs="Georgia"/>
      <w:i/>
      <w:color w:val="666666"/>
      <w:sz w:val="48"/>
      <w:szCs w:val="48"/>
    </w:rPr>
  </w:style>
  <w:style w:type="table" w:customStyle="1" w:styleId="a">
    <w:basedOn w:val="TableNormal"/>
    <w:rsid w:val="003826E0"/>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4E32CC"/>
    <w:rPr>
      <w:sz w:val="18"/>
      <w:szCs w:val="18"/>
    </w:rPr>
  </w:style>
  <w:style w:type="character" w:customStyle="1" w:styleId="TextodegloboCar">
    <w:name w:val="Texto de globo Car"/>
    <w:basedOn w:val="Fuentedeprrafopredeter"/>
    <w:link w:val="Textodeglobo"/>
    <w:uiPriority w:val="99"/>
    <w:semiHidden/>
    <w:rsid w:val="004E32CC"/>
    <w:rPr>
      <w:sz w:val="18"/>
      <w:szCs w:val="18"/>
    </w:rPr>
  </w:style>
  <w:style w:type="paragraph" w:styleId="Textonotapie">
    <w:name w:val="footnote text"/>
    <w:basedOn w:val="Normal"/>
    <w:link w:val="TextonotapieCar"/>
    <w:uiPriority w:val="99"/>
    <w:semiHidden/>
    <w:unhideWhenUsed/>
    <w:rsid w:val="00F87908"/>
    <w:rPr>
      <w:sz w:val="20"/>
      <w:szCs w:val="20"/>
    </w:rPr>
  </w:style>
  <w:style w:type="character" w:customStyle="1" w:styleId="TextonotapieCar">
    <w:name w:val="Texto nota pie Car"/>
    <w:basedOn w:val="Fuentedeprrafopredeter"/>
    <w:link w:val="Textonotapie"/>
    <w:uiPriority w:val="99"/>
    <w:semiHidden/>
    <w:rsid w:val="00F87908"/>
    <w:rPr>
      <w:sz w:val="20"/>
      <w:szCs w:val="20"/>
    </w:rPr>
  </w:style>
  <w:style w:type="character" w:styleId="Refdenotaalpie">
    <w:name w:val="footnote reference"/>
    <w:basedOn w:val="Fuentedeprrafopredeter"/>
    <w:uiPriority w:val="99"/>
    <w:semiHidden/>
    <w:unhideWhenUsed/>
    <w:rsid w:val="00F87908"/>
    <w:rPr>
      <w:vertAlign w:val="superscript"/>
    </w:rPr>
  </w:style>
  <w:style w:type="character" w:customStyle="1" w:styleId="apple-converted-space">
    <w:name w:val="apple-converted-space"/>
    <w:basedOn w:val="Fuentedeprrafopredeter"/>
    <w:rsid w:val="00F87908"/>
  </w:style>
  <w:style w:type="paragraph" w:styleId="NormalWeb">
    <w:name w:val="Normal (Web)"/>
    <w:basedOn w:val="Normal"/>
    <w:uiPriority w:val="99"/>
    <w:semiHidden/>
    <w:unhideWhenUsed/>
    <w:rsid w:val="00BD0DE8"/>
    <w:pPr>
      <w:spacing w:before="100" w:beforeAutospacing="1" w:after="100" w:afterAutospacing="1"/>
    </w:pPr>
    <w:rPr>
      <w:lang w:val="es-CO"/>
    </w:rPr>
  </w:style>
  <w:style w:type="paragraph" w:styleId="Prrafodelista">
    <w:name w:val="List Paragraph"/>
    <w:basedOn w:val="Normal"/>
    <w:uiPriority w:val="34"/>
    <w:qFormat/>
    <w:rsid w:val="00000A2F"/>
    <w:pPr>
      <w:ind w:left="720"/>
      <w:contextualSpacing/>
    </w:pPr>
  </w:style>
  <w:style w:type="paragraph" w:styleId="Revisin">
    <w:name w:val="Revision"/>
    <w:hidden/>
    <w:uiPriority w:val="99"/>
    <w:semiHidden/>
    <w:rsid w:val="00C678BE"/>
  </w:style>
  <w:style w:type="paragraph" w:styleId="Encabezado">
    <w:name w:val="header"/>
    <w:basedOn w:val="Normal"/>
    <w:link w:val="EncabezadoCar"/>
    <w:uiPriority w:val="99"/>
    <w:unhideWhenUsed/>
    <w:rsid w:val="00AF4FDB"/>
    <w:pPr>
      <w:tabs>
        <w:tab w:val="center" w:pos="4252"/>
        <w:tab w:val="right" w:pos="8504"/>
      </w:tabs>
    </w:pPr>
  </w:style>
  <w:style w:type="character" w:customStyle="1" w:styleId="EncabezadoCar">
    <w:name w:val="Encabezado Car"/>
    <w:basedOn w:val="Fuentedeprrafopredeter"/>
    <w:link w:val="Encabezado"/>
    <w:uiPriority w:val="99"/>
    <w:rsid w:val="00AF4FDB"/>
  </w:style>
  <w:style w:type="paragraph" w:styleId="Piedepgina">
    <w:name w:val="footer"/>
    <w:basedOn w:val="Normal"/>
    <w:link w:val="PiedepginaCar"/>
    <w:uiPriority w:val="99"/>
    <w:unhideWhenUsed/>
    <w:rsid w:val="00AF4FDB"/>
    <w:pPr>
      <w:tabs>
        <w:tab w:val="center" w:pos="4252"/>
        <w:tab w:val="right" w:pos="8504"/>
      </w:tabs>
    </w:pPr>
  </w:style>
  <w:style w:type="character" w:customStyle="1" w:styleId="PiedepginaCar">
    <w:name w:val="Pie de página Car"/>
    <w:basedOn w:val="Fuentedeprrafopredeter"/>
    <w:link w:val="Piedepgina"/>
    <w:uiPriority w:val="99"/>
    <w:rsid w:val="00AF4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996976">
      <w:bodyDiv w:val="1"/>
      <w:marLeft w:val="0"/>
      <w:marRight w:val="0"/>
      <w:marTop w:val="0"/>
      <w:marBottom w:val="0"/>
      <w:divBdr>
        <w:top w:val="none" w:sz="0" w:space="0" w:color="auto"/>
        <w:left w:val="none" w:sz="0" w:space="0" w:color="auto"/>
        <w:bottom w:val="none" w:sz="0" w:space="0" w:color="auto"/>
        <w:right w:val="none" w:sz="0" w:space="0" w:color="auto"/>
      </w:divBdr>
      <w:divsChild>
        <w:div w:id="175194364">
          <w:marLeft w:val="0"/>
          <w:marRight w:val="0"/>
          <w:marTop w:val="0"/>
          <w:marBottom w:val="0"/>
          <w:divBdr>
            <w:top w:val="none" w:sz="0" w:space="0" w:color="auto"/>
            <w:left w:val="none" w:sz="0" w:space="0" w:color="auto"/>
            <w:bottom w:val="none" w:sz="0" w:space="0" w:color="auto"/>
            <w:right w:val="none" w:sz="0" w:space="0" w:color="auto"/>
          </w:divBdr>
          <w:divsChild>
            <w:div w:id="204603569">
              <w:marLeft w:val="0"/>
              <w:marRight w:val="0"/>
              <w:marTop w:val="0"/>
              <w:marBottom w:val="0"/>
              <w:divBdr>
                <w:top w:val="none" w:sz="0" w:space="0" w:color="auto"/>
                <w:left w:val="none" w:sz="0" w:space="0" w:color="auto"/>
                <w:bottom w:val="none" w:sz="0" w:space="0" w:color="auto"/>
                <w:right w:val="none" w:sz="0" w:space="0" w:color="auto"/>
              </w:divBdr>
              <w:divsChild>
                <w:div w:id="170736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74216">
      <w:bodyDiv w:val="1"/>
      <w:marLeft w:val="0"/>
      <w:marRight w:val="0"/>
      <w:marTop w:val="0"/>
      <w:marBottom w:val="0"/>
      <w:divBdr>
        <w:top w:val="none" w:sz="0" w:space="0" w:color="auto"/>
        <w:left w:val="none" w:sz="0" w:space="0" w:color="auto"/>
        <w:bottom w:val="none" w:sz="0" w:space="0" w:color="auto"/>
        <w:right w:val="none" w:sz="0" w:space="0" w:color="auto"/>
      </w:divBdr>
    </w:div>
    <w:div w:id="356390162">
      <w:bodyDiv w:val="1"/>
      <w:marLeft w:val="0"/>
      <w:marRight w:val="0"/>
      <w:marTop w:val="0"/>
      <w:marBottom w:val="0"/>
      <w:divBdr>
        <w:top w:val="none" w:sz="0" w:space="0" w:color="auto"/>
        <w:left w:val="none" w:sz="0" w:space="0" w:color="auto"/>
        <w:bottom w:val="none" w:sz="0" w:space="0" w:color="auto"/>
        <w:right w:val="none" w:sz="0" w:space="0" w:color="auto"/>
      </w:divBdr>
    </w:div>
    <w:div w:id="818376319">
      <w:bodyDiv w:val="1"/>
      <w:marLeft w:val="0"/>
      <w:marRight w:val="0"/>
      <w:marTop w:val="0"/>
      <w:marBottom w:val="0"/>
      <w:divBdr>
        <w:top w:val="none" w:sz="0" w:space="0" w:color="auto"/>
        <w:left w:val="none" w:sz="0" w:space="0" w:color="auto"/>
        <w:bottom w:val="none" w:sz="0" w:space="0" w:color="auto"/>
        <w:right w:val="none" w:sz="0" w:space="0" w:color="auto"/>
      </w:divBdr>
    </w:div>
    <w:div w:id="1362827280">
      <w:bodyDiv w:val="1"/>
      <w:marLeft w:val="0"/>
      <w:marRight w:val="0"/>
      <w:marTop w:val="0"/>
      <w:marBottom w:val="0"/>
      <w:divBdr>
        <w:top w:val="none" w:sz="0" w:space="0" w:color="auto"/>
        <w:left w:val="none" w:sz="0" w:space="0" w:color="auto"/>
        <w:bottom w:val="none" w:sz="0" w:space="0" w:color="auto"/>
        <w:right w:val="none" w:sz="0" w:space="0" w:color="auto"/>
      </w:divBdr>
    </w:div>
    <w:div w:id="2099593635">
      <w:bodyDiv w:val="1"/>
      <w:marLeft w:val="0"/>
      <w:marRight w:val="0"/>
      <w:marTop w:val="0"/>
      <w:marBottom w:val="0"/>
      <w:divBdr>
        <w:top w:val="none" w:sz="0" w:space="0" w:color="auto"/>
        <w:left w:val="none" w:sz="0" w:space="0" w:color="auto"/>
        <w:bottom w:val="none" w:sz="0" w:space="0" w:color="auto"/>
        <w:right w:val="none" w:sz="0" w:space="0" w:color="auto"/>
      </w:divBdr>
      <w:divsChild>
        <w:div w:id="873035834">
          <w:marLeft w:val="0"/>
          <w:marRight w:val="0"/>
          <w:marTop w:val="0"/>
          <w:marBottom w:val="0"/>
          <w:divBdr>
            <w:top w:val="none" w:sz="0" w:space="0" w:color="auto"/>
            <w:left w:val="none" w:sz="0" w:space="0" w:color="auto"/>
            <w:bottom w:val="none" w:sz="0" w:space="0" w:color="auto"/>
            <w:right w:val="none" w:sz="0" w:space="0" w:color="auto"/>
          </w:divBdr>
          <w:divsChild>
            <w:div w:id="750664990">
              <w:marLeft w:val="0"/>
              <w:marRight w:val="0"/>
              <w:marTop w:val="0"/>
              <w:marBottom w:val="0"/>
              <w:divBdr>
                <w:top w:val="none" w:sz="0" w:space="0" w:color="auto"/>
                <w:left w:val="none" w:sz="0" w:space="0" w:color="auto"/>
                <w:bottom w:val="none" w:sz="0" w:space="0" w:color="auto"/>
                <w:right w:val="none" w:sz="0" w:space="0" w:color="auto"/>
              </w:divBdr>
              <w:divsChild>
                <w:div w:id="8318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0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rteconstitucional.gov.co/relatoria/2012/C-889-12.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rteconstitucional.gov.co/relatoria/2005/C-1192-05.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avatma.org/2016/03/08/informe-tecnico-veterinario-sobre-los-espectaculos-taurinos-con-vacas-y-vaquill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B1AA2-7ED3-4B1A-BA16-7A9EB20D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12159</Words>
  <Characters>66880</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Equipo Personal</Company>
  <LinksUpToDate>false</LinksUpToDate>
  <CharactersWithSpaces>78882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Gabriel Riveros</dc:creator>
  <cp:lastModifiedBy>camilo acuna</cp:lastModifiedBy>
  <cp:revision>2</cp:revision>
  <dcterms:created xsi:type="dcterms:W3CDTF">2020-07-20T21:41:00Z</dcterms:created>
  <dcterms:modified xsi:type="dcterms:W3CDTF">2020-07-20T21:41:00Z</dcterms:modified>
</cp:coreProperties>
</file>