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817E" w14:textId="77777777" w:rsidR="00C3616A" w:rsidRDefault="00C3616A">
      <w:pPr>
        <w:spacing w:line="276" w:lineRule="auto"/>
        <w:jc w:val="center"/>
        <w:rPr>
          <w:rFonts w:ascii="Century Gothic" w:eastAsia="Century Gothic" w:hAnsi="Century Gothic" w:cs="Century Gothic"/>
          <w:b/>
        </w:rPr>
      </w:pPr>
    </w:p>
    <w:p w14:paraId="7F6BA353" w14:textId="77777777" w:rsidR="00C3616A" w:rsidRDefault="00000000">
      <w:pPr>
        <w:spacing w:line="276" w:lineRule="auto"/>
        <w:jc w:val="center"/>
        <w:rPr>
          <w:rFonts w:ascii="Century Gothic" w:eastAsia="Century Gothic" w:hAnsi="Century Gothic" w:cs="Century Gothic"/>
          <w:b/>
          <w:color w:val="000000"/>
        </w:rPr>
      </w:pPr>
      <w:bookmarkStart w:id="0" w:name="_heading=h.x2vvwxaid6y2" w:colFirst="0" w:colLast="0"/>
      <w:bookmarkEnd w:id="0"/>
      <w:r>
        <w:rPr>
          <w:rFonts w:ascii="Century Gothic" w:eastAsia="Century Gothic" w:hAnsi="Century Gothic" w:cs="Century Gothic"/>
          <w:b/>
          <w:color w:val="000000"/>
        </w:rPr>
        <w:t xml:space="preserve">PROYECTO DE LEY No. ________DE </w:t>
      </w:r>
      <w:r>
        <w:rPr>
          <w:rFonts w:ascii="Century Gothic" w:eastAsia="Century Gothic" w:hAnsi="Century Gothic" w:cs="Century Gothic"/>
          <w:b/>
        </w:rPr>
        <w:t>2022</w:t>
      </w:r>
    </w:p>
    <w:p w14:paraId="5F659E36" w14:textId="77777777" w:rsidR="00C3616A" w:rsidRDefault="00C3616A">
      <w:pPr>
        <w:spacing w:line="276" w:lineRule="auto"/>
        <w:jc w:val="center"/>
        <w:rPr>
          <w:rFonts w:ascii="Century Gothic" w:eastAsia="Century Gothic" w:hAnsi="Century Gothic" w:cs="Century Gothic"/>
          <w:b/>
        </w:rPr>
      </w:pPr>
    </w:p>
    <w:p w14:paraId="58736F95" w14:textId="77777777" w:rsidR="00C3616A" w:rsidRDefault="00000000">
      <w:pPr>
        <w:spacing w:line="276" w:lineRule="auto"/>
        <w:jc w:val="center"/>
        <w:rPr>
          <w:rFonts w:ascii="Century Gothic" w:eastAsia="Century Gothic" w:hAnsi="Century Gothic" w:cs="Century Gothic"/>
          <w:color w:val="000000"/>
        </w:rPr>
      </w:pPr>
      <w:bookmarkStart w:id="1" w:name="_heading=h.gjdgxs" w:colFirst="0" w:colLast="0"/>
      <w:bookmarkEnd w:id="1"/>
      <w:r>
        <w:rPr>
          <w:rFonts w:ascii="Century Gothic" w:eastAsia="Century Gothic" w:hAnsi="Century Gothic" w:cs="Century Gothic"/>
          <w:color w:val="000000"/>
        </w:rPr>
        <w:t>“P</w:t>
      </w:r>
      <w:r>
        <w:rPr>
          <w:rFonts w:ascii="Century Gothic" w:eastAsia="Century Gothic" w:hAnsi="Century Gothic" w:cs="Century Gothic"/>
        </w:rPr>
        <w:t>or medio de la cual se crea la licencia laboral para padres de familia, tutores legales y curadores de los estudiantes, se adiciona un parágrafo al artículo 236 del Código Sustantivo del Trabajo, y se dictan otras disposiciones</w:t>
      </w:r>
      <w:r>
        <w:rPr>
          <w:rFonts w:ascii="Century Gothic" w:eastAsia="Century Gothic" w:hAnsi="Century Gothic" w:cs="Century Gothic"/>
          <w:color w:val="000000"/>
        </w:rPr>
        <w:t>” –Licencia para padres</w:t>
      </w:r>
    </w:p>
    <w:p w14:paraId="5F8C8B88" w14:textId="77777777" w:rsidR="00C3616A" w:rsidRDefault="00C3616A">
      <w:pPr>
        <w:spacing w:line="276" w:lineRule="auto"/>
        <w:jc w:val="center"/>
        <w:rPr>
          <w:rFonts w:ascii="Century Gothic" w:eastAsia="Century Gothic" w:hAnsi="Century Gothic" w:cs="Century Gothic"/>
          <w:color w:val="000000"/>
        </w:rPr>
      </w:pPr>
    </w:p>
    <w:p w14:paraId="2DD1C988" w14:textId="77777777" w:rsidR="00C3616A" w:rsidRDefault="00C3616A">
      <w:pPr>
        <w:spacing w:line="276" w:lineRule="auto"/>
        <w:jc w:val="center"/>
        <w:rPr>
          <w:rFonts w:ascii="Century Gothic" w:eastAsia="Century Gothic" w:hAnsi="Century Gothic" w:cs="Century Gothic"/>
          <w:color w:val="000000"/>
        </w:rPr>
      </w:pPr>
    </w:p>
    <w:p w14:paraId="642D3A2D" w14:textId="77777777" w:rsidR="00C3616A" w:rsidRDefault="00000000">
      <w:pPr>
        <w:spacing w:line="276" w:lineRule="auto"/>
        <w:jc w:val="center"/>
        <w:rPr>
          <w:rFonts w:ascii="Century Gothic" w:eastAsia="Century Gothic" w:hAnsi="Century Gothic" w:cs="Century Gothic"/>
          <w:b/>
        </w:rPr>
      </w:pPr>
      <w:r>
        <w:rPr>
          <w:rFonts w:ascii="Century Gothic" w:eastAsia="Century Gothic" w:hAnsi="Century Gothic" w:cs="Century Gothic"/>
          <w:b/>
        </w:rPr>
        <w:t>EL CONGRESO DE COLOMBIA</w:t>
      </w:r>
    </w:p>
    <w:p w14:paraId="361DAD09" w14:textId="77777777" w:rsidR="00C3616A" w:rsidRDefault="00C3616A">
      <w:pPr>
        <w:spacing w:line="276" w:lineRule="auto"/>
        <w:jc w:val="center"/>
        <w:rPr>
          <w:rFonts w:ascii="Century Gothic" w:eastAsia="Century Gothic" w:hAnsi="Century Gothic" w:cs="Century Gothic"/>
          <w:b/>
        </w:rPr>
      </w:pPr>
    </w:p>
    <w:p w14:paraId="2B840032" w14:textId="77777777" w:rsidR="00C3616A" w:rsidRDefault="00000000">
      <w:pPr>
        <w:spacing w:line="276" w:lineRule="auto"/>
        <w:jc w:val="center"/>
        <w:rPr>
          <w:rFonts w:ascii="Century Gothic" w:eastAsia="Century Gothic" w:hAnsi="Century Gothic" w:cs="Century Gothic"/>
          <w:b/>
        </w:rPr>
      </w:pPr>
      <w:r>
        <w:rPr>
          <w:rFonts w:ascii="Century Gothic" w:eastAsia="Century Gothic" w:hAnsi="Century Gothic" w:cs="Century Gothic"/>
          <w:b/>
        </w:rPr>
        <w:t>DECRETA</w:t>
      </w:r>
    </w:p>
    <w:p w14:paraId="02085469" w14:textId="77777777" w:rsidR="00C3616A" w:rsidRDefault="00C3616A">
      <w:pPr>
        <w:spacing w:line="276" w:lineRule="auto"/>
        <w:jc w:val="center"/>
        <w:rPr>
          <w:rFonts w:ascii="Century Gothic" w:eastAsia="Century Gothic" w:hAnsi="Century Gothic" w:cs="Century Gothic"/>
          <w:color w:val="000000"/>
        </w:rPr>
      </w:pPr>
    </w:p>
    <w:p w14:paraId="149AF63F" w14:textId="77777777" w:rsidR="00C3616A" w:rsidRDefault="00000000">
      <w:pPr>
        <w:spacing w:line="276"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CAPÍTULO I</w:t>
      </w:r>
    </w:p>
    <w:p w14:paraId="17E587EA" w14:textId="77777777" w:rsidR="00C3616A" w:rsidRDefault="00000000">
      <w:pPr>
        <w:spacing w:line="276"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 </w:t>
      </w:r>
    </w:p>
    <w:p w14:paraId="5B9BC8E3" w14:textId="77777777" w:rsidR="00C3616A" w:rsidRDefault="00000000">
      <w:pPr>
        <w:spacing w:line="276"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Disposiciones generales</w:t>
      </w:r>
    </w:p>
    <w:p w14:paraId="0276A51A" w14:textId="77777777" w:rsidR="00C3616A" w:rsidRDefault="00C3616A">
      <w:pPr>
        <w:spacing w:line="276" w:lineRule="auto"/>
        <w:jc w:val="both"/>
        <w:rPr>
          <w:rFonts w:ascii="Century Gothic" w:eastAsia="Century Gothic" w:hAnsi="Century Gothic" w:cs="Century Gothic"/>
          <w:color w:val="000000"/>
        </w:rPr>
      </w:pPr>
    </w:p>
    <w:p w14:paraId="1CA89ADB" w14:textId="77777777" w:rsidR="00C3616A" w:rsidRDefault="00000000">
      <w:pPr>
        <w:spacing w:line="276"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 xml:space="preserve">Artículo 1°. Objetivo de la Ley. </w:t>
      </w:r>
      <w:r>
        <w:rPr>
          <w:rFonts w:ascii="Century Gothic" w:eastAsia="Century Gothic" w:hAnsi="Century Gothic" w:cs="Century Gothic"/>
          <w:color w:val="000000"/>
        </w:rPr>
        <w:t xml:space="preserve">La presente Ley tiene por objeto crear la licencia laboral por motivos escolares para padres de familia, tutores legales o curadores de los estudiantes, adicionando un </w:t>
      </w:r>
      <w:r>
        <w:rPr>
          <w:rFonts w:ascii="Century Gothic" w:eastAsia="Century Gothic" w:hAnsi="Century Gothic" w:cs="Century Gothic"/>
        </w:rPr>
        <w:t xml:space="preserve">numeral 13 </w:t>
      </w:r>
      <w:r>
        <w:rPr>
          <w:rFonts w:ascii="Century Gothic" w:eastAsia="Century Gothic" w:hAnsi="Century Gothic" w:cs="Century Gothic"/>
          <w:color w:val="000000"/>
        </w:rPr>
        <w:t xml:space="preserve">al Artículo </w:t>
      </w:r>
      <w:r>
        <w:rPr>
          <w:rFonts w:ascii="Century Gothic" w:eastAsia="Century Gothic" w:hAnsi="Century Gothic" w:cs="Century Gothic"/>
        </w:rPr>
        <w:t>57</w:t>
      </w:r>
      <w:r>
        <w:rPr>
          <w:rFonts w:ascii="Century Gothic" w:eastAsia="Century Gothic" w:hAnsi="Century Gothic" w:cs="Century Gothic"/>
          <w:color w:val="000000"/>
        </w:rPr>
        <w:t xml:space="preserve"> de Código Sustantivo del Trabajo y dictando otras disposiciones</w:t>
      </w:r>
      <w:r>
        <w:rPr>
          <w:rFonts w:ascii="Century Gothic" w:eastAsia="Century Gothic" w:hAnsi="Century Gothic" w:cs="Century Gothic"/>
          <w:b/>
          <w:color w:val="000000"/>
        </w:rPr>
        <w:t>.</w:t>
      </w:r>
    </w:p>
    <w:p w14:paraId="0B49972F" w14:textId="77777777" w:rsidR="00C3616A" w:rsidRDefault="00C3616A">
      <w:pPr>
        <w:spacing w:line="276" w:lineRule="auto"/>
        <w:jc w:val="both"/>
        <w:rPr>
          <w:rFonts w:ascii="Century Gothic" w:eastAsia="Century Gothic" w:hAnsi="Century Gothic" w:cs="Century Gothic"/>
        </w:rPr>
      </w:pPr>
    </w:p>
    <w:p w14:paraId="2139A577"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b/>
        </w:rPr>
        <w:t>Artículo 2°.</w:t>
      </w:r>
      <w:r>
        <w:rPr>
          <w:rFonts w:ascii="Century Gothic" w:eastAsia="Century Gothic" w:hAnsi="Century Gothic" w:cs="Century Gothic"/>
        </w:rPr>
        <w:t xml:space="preserve"> Adicionar el numeral 13 al artículo 57 del Código Sustantivo del Trabajo, el cual quedará así:</w:t>
      </w:r>
    </w:p>
    <w:p w14:paraId="3B8D9355" w14:textId="77777777" w:rsidR="00C3616A" w:rsidRDefault="00C3616A">
      <w:pPr>
        <w:spacing w:line="276" w:lineRule="auto"/>
        <w:jc w:val="both"/>
        <w:rPr>
          <w:rFonts w:ascii="Century Gothic" w:eastAsia="Century Gothic" w:hAnsi="Century Gothic" w:cs="Century Gothic"/>
        </w:rPr>
      </w:pPr>
    </w:p>
    <w:p w14:paraId="4159FA32"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“13. Conceder a los trabajadores que sean padres, tutores legales o curadores de estudiantes una licencia de veinticuatro (24) horas al año, a través de permisos diferidos, para asistir a reuniones y/o actividades organizadas por las instituciones educativas donde se encuentren matriculados sus hijos o pupilos.”</w:t>
      </w:r>
    </w:p>
    <w:p w14:paraId="33E03398" w14:textId="77777777" w:rsidR="00C3616A" w:rsidRDefault="00C3616A">
      <w:pPr>
        <w:spacing w:line="276" w:lineRule="auto"/>
        <w:jc w:val="both"/>
        <w:rPr>
          <w:rFonts w:ascii="Century Gothic" w:eastAsia="Century Gothic" w:hAnsi="Century Gothic" w:cs="Century Gothic"/>
        </w:rPr>
      </w:pPr>
    </w:p>
    <w:p w14:paraId="3B28297B"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b/>
        </w:rPr>
        <w:t>Artículo 3°. Comunicación y difusión de la nueva modalidad de licencia escolar y campañas pedagógicas sobre la corresponsabilidad en la crianza de los hijos</w:t>
      </w:r>
      <w:r>
        <w:rPr>
          <w:rFonts w:ascii="Century Gothic" w:eastAsia="Century Gothic" w:hAnsi="Century Gothic" w:cs="Century Gothic"/>
        </w:rPr>
        <w:t xml:space="preserve">. El Gobierno nacional, en cabeza del Ministro del Trabajo, adelantará un proceso de comunicación y difusión de la nueva modalidad de licencia introducida en la presente Ley. De igual manera, se adelantarán campañas pedagógicas, enfocadas en la importancia de la corresponsabilidad de los padres en la </w:t>
      </w:r>
      <w:r>
        <w:rPr>
          <w:rFonts w:ascii="Century Gothic" w:eastAsia="Century Gothic" w:hAnsi="Century Gothic" w:cs="Century Gothic"/>
        </w:rPr>
        <w:lastRenderedPageBreak/>
        <w:t>crianza de los hijos, que atiendan al contexto y la realidad colombiana, dirigidas a empleadores y trabajadores del sector público y privado.</w:t>
      </w:r>
    </w:p>
    <w:p w14:paraId="0ECC36AB" w14:textId="77777777" w:rsidR="00C3616A" w:rsidRDefault="00C3616A">
      <w:pPr>
        <w:spacing w:line="276" w:lineRule="auto"/>
        <w:jc w:val="both"/>
        <w:rPr>
          <w:rFonts w:ascii="Century Gothic" w:eastAsia="Century Gothic" w:hAnsi="Century Gothic" w:cs="Century Gothic"/>
        </w:rPr>
      </w:pPr>
    </w:p>
    <w:p w14:paraId="4B59EF93"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El proceso de comunicación y difusión y las campañas pedagógicas deberán iniciarse dentro de los seis (6) meses siguientes a la promulgación de la presente Ley y deberá extenderse en el tiempo, incluyendo, difusión en medios masivos de comunicación, así como talleres dirigidos a trabajadores y empleadores, quienes deberán incluirlos en sus capacitaciones o inducciones. </w:t>
      </w:r>
    </w:p>
    <w:p w14:paraId="5448AFBF" w14:textId="77777777" w:rsidR="00C3616A" w:rsidRDefault="00C3616A">
      <w:pPr>
        <w:spacing w:line="276" w:lineRule="auto"/>
        <w:jc w:val="both"/>
        <w:rPr>
          <w:rFonts w:ascii="Century Gothic" w:eastAsia="Century Gothic" w:hAnsi="Century Gothic" w:cs="Century Gothic"/>
        </w:rPr>
      </w:pPr>
    </w:p>
    <w:p w14:paraId="038B07F5"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b/>
        </w:rPr>
        <w:t xml:space="preserve">Artículo 4°. Promulgación y vigencia de la presente Ley. </w:t>
      </w:r>
      <w:r>
        <w:rPr>
          <w:rFonts w:ascii="Century Gothic" w:eastAsia="Century Gothic" w:hAnsi="Century Gothic" w:cs="Century Gothic"/>
        </w:rPr>
        <w:t>La presente Ley rige a partir de su promulgación y deroga todas las disposiciones que le sean contrarias.</w:t>
      </w:r>
    </w:p>
    <w:p w14:paraId="07BD061E" w14:textId="77777777" w:rsidR="00C3616A" w:rsidRDefault="00C3616A">
      <w:pPr>
        <w:tabs>
          <w:tab w:val="left" w:pos="3795"/>
        </w:tabs>
        <w:rPr>
          <w:rFonts w:ascii="Century Gothic" w:eastAsia="Century Gothic" w:hAnsi="Century Gothic" w:cs="Century Gothic"/>
        </w:rPr>
      </w:pPr>
    </w:p>
    <w:p w14:paraId="79A064A4" w14:textId="77777777" w:rsidR="00C3616A" w:rsidRDefault="00C3616A">
      <w:pPr>
        <w:spacing w:line="276" w:lineRule="auto"/>
        <w:jc w:val="center"/>
        <w:rPr>
          <w:rFonts w:ascii="Century Gothic" w:eastAsia="Century Gothic" w:hAnsi="Century Gothic" w:cs="Century Gothic"/>
          <w:color w:val="000000"/>
        </w:rPr>
      </w:pPr>
    </w:p>
    <w:p w14:paraId="1941ED2E" w14:textId="77777777" w:rsidR="00C3616A" w:rsidRDefault="00000000">
      <w:pPr>
        <w:spacing w:line="276" w:lineRule="auto"/>
        <w:rPr>
          <w:rFonts w:ascii="Century Gothic" w:eastAsia="Century Gothic" w:hAnsi="Century Gothic" w:cs="Century Gothic"/>
          <w:color w:val="000000"/>
          <w:sz w:val="22"/>
          <w:szCs w:val="22"/>
        </w:rPr>
      </w:pPr>
      <w:r>
        <w:rPr>
          <w:rFonts w:ascii="Century Gothic" w:eastAsia="Century Gothic" w:hAnsi="Century Gothic" w:cs="Century Gothic"/>
          <w:color w:val="000000"/>
        </w:rPr>
        <w:t>De los Honorables Congresistas,</w:t>
      </w:r>
    </w:p>
    <w:p w14:paraId="1134AC18" w14:textId="1F51AC28" w:rsidR="00C3616A" w:rsidRDefault="00000000">
      <w:pPr>
        <w:spacing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p>
    <w:p w14:paraId="60A3C0D6" w14:textId="1B463581" w:rsidR="00C3616A" w:rsidRDefault="00C3616A">
      <w:pPr>
        <w:spacing w:line="276" w:lineRule="auto"/>
        <w:jc w:val="both"/>
        <w:rPr>
          <w:rFonts w:ascii="Century Gothic" w:eastAsia="Century Gothic" w:hAnsi="Century Gothic" w:cs="Century Gothic"/>
          <w:b/>
        </w:rPr>
      </w:pPr>
    </w:p>
    <w:p w14:paraId="733B322C" w14:textId="77777777" w:rsidR="00CA205E" w:rsidRDefault="00CA205E" w:rsidP="00CA205E">
      <w:pPr>
        <w:spacing w:line="276" w:lineRule="auto"/>
        <w:rPr>
          <w:rFonts w:ascii="Century Gothic" w:eastAsia="Century Gothic" w:hAnsi="Century Gothic" w:cs="Century Gothic"/>
          <w:b/>
          <w:sz w:val="22"/>
          <w:szCs w:val="22"/>
        </w:rPr>
      </w:pPr>
    </w:p>
    <w:p w14:paraId="4100A869" w14:textId="77777777" w:rsidR="00CA205E" w:rsidRDefault="00CA205E" w:rsidP="00CA205E">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14:paraId="5149A9AC" w14:textId="77777777" w:rsidR="00CA205E" w:rsidRDefault="00CA205E" w:rsidP="00CA205E">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ÓSCAR MAURICIO GIRALDO HERNÁNDEZ              LUIS MIGUEL LÓPEZ ARISTIZÁBAL </w:t>
      </w:r>
    </w:p>
    <w:p w14:paraId="11FF0A0C" w14:textId="77777777" w:rsidR="00CA205E" w:rsidRDefault="00CA205E" w:rsidP="00CA205E">
      <w:pPr>
        <w:tabs>
          <w:tab w:val="left" w:pos="5625"/>
        </w:tabs>
        <w:spacing w:line="276" w:lineRule="auto"/>
        <w:ind w:left="1560" w:hanging="852"/>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Senador de la República                      Representante a la Cámara por Antioquia                                          </w:t>
      </w:r>
    </w:p>
    <w:p w14:paraId="00312AAE" w14:textId="77777777" w:rsidR="00CA205E" w:rsidRDefault="00CA205E" w:rsidP="00CA205E">
      <w:pPr>
        <w:tabs>
          <w:tab w:val="left" w:pos="5625"/>
        </w:tabs>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Partido Conservador Colombiano                     Partido Conservador Colombiano</w:t>
      </w:r>
    </w:p>
    <w:p w14:paraId="793F1127" w14:textId="77777777" w:rsidR="00CA205E" w:rsidRDefault="00CA205E" w:rsidP="00CA205E">
      <w:pPr>
        <w:tabs>
          <w:tab w:val="left" w:pos="5625"/>
        </w:tabs>
        <w:spacing w:line="276" w:lineRule="auto"/>
        <w:ind w:left="1560" w:hanging="852"/>
        <w:rPr>
          <w:rFonts w:ascii="Century Gothic" w:eastAsia="Century Gothic" w:hAnsi="Century Gothic" w:cs="Century Gothic"/>
          <w:sz w:val="22"/>
          <w:szCs w:val="22"/>
        </w:rPr>
      </w:pPr>
      <w:r>
        <w:rPr>
          <w:rFonts w:ascii="Century Gothic" w:eastAsia="Century Gothic" w:hAnsi="Century Gothic" w:cs="Century Gothic"/>
          <w:sz w:val="22"/>
          <w:szCs w:val="22"/>
        </w:rPr>
        <w:tab/>
        <w:t xml:space="preserve">Autor </w:t>
      </w:r>
      <w:r>
        <w:rPr>
          <w:rFonts w:ascii="Century Gothic" w:eastAsia="Century Gothic" w:hAnsi="Century Gothic" w:cs="Century Gothic"/>
          <w:sz w:val="22"/>
          <w:szCs w:val="22"/>
        </w:rPr>
        <w:tab/>
        <w:t xml:space="preserve">  </w:t>
      </w:r>
      <w:r>
        <w:rPr>
          <w:rFonts w:ascii="Century Gothic" w:eastAsia="Century Gothic" w:hAnsi="Century Gothic" w:cs="Century Gothic"/>
          <w:sz w:val="22"/>
          <w:szCs w:val="22"/>
        </w:rPr>
        <w:tab/>
        <w:t xml:space="preserve">             Autor</w:t>
      </w:r>
    </w:p>
    <w:p w14:paraId="0381EB00" w14:textId="77777777" w:rsidR="00CA205E" w:rsidRDefault="00CA205E" w:rsidP="00CA205E">
      <w:pPr>
        <w:tabs>
          <w:tab w:val="left" w:pos="5625"/>
        </w:tabs>
        <w:spacing w:line="276" w:lineRule="auto"/>
        <w:ind w:left="1560" w:hanging="852"/>
        <w:rPr>
          <w:rFonts w:ascii="Century Gothic" w:eastAsia="Century Gothic" w:hAnsi="Century Gothic" w:cs="Century Gothic"/>
          <w:sz w:val="22"/>
          <w:szCs w:val="22"/>
        </w:rPr>
      </w:pPr>
    </w:p>
    <w:p w14:paraId="2A211B2B" w14:textId="77777777" w:rsidR="00CA205E" w:rsidRDefault="00CA205E" w:rsidP="00CA205E">
      <w:pPr>
        <w:tabs>
          <w:tab w:val="left" w:pos="5625"/>
        </w:tabs>
        <w:spacing w:line="276" w:lineRule="auto"/>
        <w:ind w:left="1560" w:hanging="852"/>
        <w:rPr>
          <w:rFonts w:ascii="Century Gothic" w:eastAsia="Century Gothic" w:hAnsi="Century Gothic" w:cs="Century Gothic"/>
          <w:sz w:val="22"/>
          <w:szCs w:val="22"/>
        </w:rPr>
      </w:pPr>
    </w:p>
    <w:p w14:paraId="531C14FD" w14:textId="77777777" w:rsidR="00CA205E" w:rsidRDefault="00CA205E" w:rsidP="00CA205E">
      <w:pPr>
        <w:tabs>
          <w:tab w:val="left" w:pos="5625"/>
        </w:tabs>
        <w:spacing w:line="276" w:lineRule="auto"/>
        <w:ind w:left="1560" w:hanging="852"/>
        <w:rPr>
          <w:rFonts w:ascii="Century Gothic" w:eastAsia="Century Gothic" w:hAnsi="Century Gothic" w:cs="Century Gothic"/>
          <w:sz w:val="22"/>
          <w:szCs w:val="22"/>
        </w:rPr>
      </w:pPr>
    </w:p>
    <w:p w14:paraId="775E1BFA" w14:textId="77777777" w:rsidR="00CA205E" w:rsidRDefault="00CA205E" w:rsidP="00CA205E">
      <w:pPr>
        <w:tabs>
          <w:tab w:val="left" w:pos="5625"/>
        </w:tabs>
        <w:spacing w:line="276" w:lineRule="auto"/>
        <w:ind w:left="1560" w:hanging="852"/>
        <w:rPr>
          <w:rFonts w:ascii="Century Gothic" w:eastAsia="Century Gothic" w:hAnsi="Century Gothic" w:cs="Century Gothic"/>
          <w:sz w:val="22"/>
          <w:szCs w:val="22"/>
        </w:rPr>
      </w:pPr>
    </w:p>
    <w:p w14:paraId="70643F80" w14:textId="77777777" w:rsidR="00CA205E" w:rsidRDefault="00CA205E" w:rsidP="00CA205E">
      <w:pPr>
        <w:rPr>
          <w:sz w:val="22"/>
          <w:szCs w:val="22"/>
        </w:rPr>
      </w:pPr>
    </w:p>
    <w:p w14:paraId="50E5111A" w14:textId="77777777" w:rsidR="00CA205E" w:rsidRDefault="00CA205E" w:rsidP="00CA205E">
      <w:r>
        <w:rPr>
          <w:rFonts w:ascii="Arial Narrow" w:eastAsia="Arial Narrow" w:hAnsi="Arial Narrow" w:cs="Arial Narrow"/>
        </w:rPr>
        <w:t xml:space="preserve">                      </w:t>
      </w:r>
      <w:r>
        <w:rPr>
          <w:rFonts w:ascii="Arial Narrow" w:eastAsia="Arial Narrow" w:hAnsi="Arial Narrow" w:cs="Arial Narrow"/>
        </w:rPr>
        <w:tab/>
      </w:r>
    </w:p>
    <w:p w14:paraId="7ECDF92B" w14:textId="77777777" w:rsidR="00CA205E" w:rsidRDefault="00CA205E" w:rsidP="00CA205E">
      <w:pPr>
        <w:spacing w:before="240" w:line="276" w:lineRule="auto"/>
        <w:rPr>
          <w:rFonts w:ascii="Arial" w:eastAsia="Arial" w:hAnsi="Arial" w:cs="Arial"/>
          <w:b/>
        </w:rPr>
      </w:pPr>
    </w:p>
    <w:p w14:paraId="3EDCE7F3" w14:textId="77777777" w:rsidR="00CA205E" w:rsidRDefault="00CA205E" w:rsidP="00CA205E">
      <w:pPr>
        <w:spacing w:before="240" w:line="276" w:lineRule="auto"/>
        <w:rPr>
          <w:rFonts w:ascii="Arial" w:eastAsia="Arial" w:hAnsi="Arial" w:cs="Arial"/>
          <w:b/>
        </w:rPr>
      </w:pPr>
      <w:r>
        <w:rPr>
          <w:rFonts w:ascii="Arial" w:eastAsia="Arial" w:hAnsi="Arial" w:cs="Arial"/>
          <w:b/>
        </w:rPr>
        <w:t xml:space="preserve">Nicolás Albeiro Echeverry Alvarán             Marcos Daniel Pineda Garcia                   </w:t>
      </w:r>
      <w:r>
        <w:rPr>
          <w:rFonts w:ascii="Arial" w:eastAsia="Arial" w:hAnsi="Arial" w:cs="Arial"/>
          <w:b/>
        </w:rPr>
        <w:tab/>
      </w:r>
    </w:p>
    <w:p w14:paraId="3BBB1C89" w14:textId="77777777" w:rsidR="00CA205E" w:rsidRDefault="00CA205E" w:rsidP="00CA205E">
      <w:pPr>
        <w:tabs>
          <w:tab w:val="left" w:pos="5625"/>
        </w:tabs>
        <w:spacing w:line="276" w:lineRule="auto"/>
        <w:ind w:left="1560" w:hanging="852"/>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Senador de la República                         Senador de la República                             </w:t>
      </w:r>
      <w:r>
        <w:rPr>
          <w:rFonts w:ascii="Century Gothic" w:eastAsia="Century Gothic" w:hAnsi="Century Gothic" w:cs="Century Gothic"/>
          <w:sz w:val="22"/>
          <w:szCs w:val="22"/>
        </w:rPr>
        <w:tab/>
      </w:r>
    </w:p>
    <w:p w14:paraId="144283A5" w14:textId="77777777" w:rsidR="00CA205E" w:rsidRDefault="00CA205E" w:rsidP="00CA205E">
      <w:pPr>
        <w:tabs>
          <w:tab w:val="left" w:pos="5625"/>
        </w:tabs>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Partido Conservador Colombiano</w:t>
      </w:r>
    </w:p>
    <w:p w14:paraId="56C11C8B" w14:textId="77777777" w:rsidR="00CA205E" w:rsidRDefault="00CA205E" w:rsidP="00CA205E">
      <w:pPr>
        <w:tabs>
          <w:tab w:val="left" w:pos="5625"/>
        </w:tabs>
        <w:spacing w:line="276" w:lineRule="auto"/>
        <w:ind w:left="1560" w:hanging="852"/>
        <w:rPr>
          <w:rFonts w:ascii="Century Gothic" w:eastAsia="Century Gothic" w:hAnsi="Century Gothic" w:cs="Century Gothic"/>
        </w:rPr>
      </w:pPr>
      <w:r>
        <w:rPr>
          <w:rFonts w:ascii="Century Gothic" w:eastAsia="Century Gothic" w:hAnsi="Century Gothic" w:cs="Century Gothic"/>
          <w:sz w:val="22"/>
          <w:szCs w:val="22"/>
        </w:rPr>
        <w:tab/>
        <w:t>Coautor</w:t>
      </w:r>
    </w:p>
    <w:p w14:paraId="4970E4E6" w14:textId="77777777" w:rsidR="00CA205E" w:rsidRDefault="00CA205E" w:rsidP="00CA205E">
      <w:pPr>
        <w:spacing w:line="276" w:lineRule="auto"/>
        <w:rPr>
          <w:rFonts w:ascii="Century Gothic" w:eastAsia="Century Gothic" w:hAnsi="Century Gothic" w:cs="Century Gothic"/>
          <w:color w:val="000000"/>
        </w:rPr>
      </w:pPr>
    </w:p>
    <w:p w14:paraId="0B0A34AF" w14:textId="77777777" w:rsidR="00CA205E" w:rsidRDefault="00CA205E" w:rsidP="00CA205E">
      <w:pPr>
        <w:spacing w:line="276" w:lineRule="auto"/>
        <w:rPr>
          <w:rFonts w:ascii="Century Gothic" w:eastAsia="Century Gothic" w:hAnsi="Century Gothic" w:cs="Century Gothic"/>
          <w:color w:val="000000"/>
        </w:rPr>
      </w:pPr>
    </w:p>
    <w:p w14:paraId="2193CAFC" w14:textId="77777777" w:rsidR="00CA205E" w:rsidRDefault="00CA205E" w:rsidP="00CA205E">
      <w:pPr>
        <w:spacing w:line="276" w:lineRule="auto"/>
        <w:rPr>
          <w:rFonts w:ascii="Century Gothic" w:eastAsia="Century Gothic" w:hAnsi="Century Gothic" w:cs="Century Gothic"/>
          <w:color w:val="000000"/>
        </w:rPr>
      </w:pPr>
    </w:p>
    <w:p w14:paraId="3DDEDBDF" w14:textId="77777777" w:rsidR="00CA205E" w:rsidRDefault="00CA205E" w:rsidP="00CA205E">
      <w:pPr>
        <w:spacing w:line="276" w:lineRule="auto"/>
        <w:rPr>
          <w:rFonts w:ascii="Century Gothic" w:eastAsia="Century Gothic" w:hAnsi="Century Gothic" w:cs="Century Gothic"/>
        </w:rPr>
      </w:pPr>
    </w:p>
    <w:p w14:paraId="29A5C7F0" w14:textId="77777777" w:rsidR="00CA205E" w:rsidRDefault="00CA205E" w:rsidP="00CA205E">
      <w:pPr>
        <w:spacing w:line="276" w:lineRule="auto"/>
        <w:rPr>
          <w:rFonts w:ascii="Century Gothic" w:eastAsia="Century Gothic" w:hAnsi="Century Gothic" w:cs="Century Gothic"/>
        </w:rPr>
      </w:pPr>
    </w:p>
    <w:p w14:paraId="57F4186E" w14:textId="77777777" w:rsidR="00CA205E" w:rsidRDefault="00CA205E" w:rsidP="00CA205E">
      <w:pPr>
        <w:spacing w:line="276" w:lineRule="auto"/>
        <w:rPr>
          <w:rFonts w:ascii="Arial" w:eastAsia="Arial" w:hAnsi="Arial" w:cs="Arial"/>
          <w:b/>
        </w:rPr>
      </w:pPr>
      <w:r>
        <w:rPr>
          <w:rFonts w:ascii="Arial" w:eastAsia="Arial" w:hAnsi="Arial" w:cs="Arial"/>
          <w:b/>
        </w:rPr>
        <w:t>Nadia Blel Scaff</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Efraín Cepeda Sarabia</w:t>
      </w:r>
    </w:p>
    <w:p w14:paraId="4A5A106C" w14:textId="77777777" w:rsidR="00CA205E" w:rsidRDefault="00CA205E" w:rsidP="00CA205E">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Senadora de la República </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Senador de la República</w:t>
      </w:r>
    </w:p>
    <w:p w14:paraId="7C34DE9D" w14:textId="77777777" w:rsidR="00CA205E" w:rsidRDefault="00CA205E" w:rsidP="00CA205E">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Partido Conservador </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Partido Conservador</w:t>
      </w:r>
    </w:p>
    <w:p w14:paraId="134D3602" w14:textId="77777777" w:rsidR="00CA205E" w:rsidRDefault="00CA205E" w:rsidP="00CA205E">
      <w:pPr>
        <w:spacing w:line="276" w:lineRule="auto"/>
        <w:jc w:val="both"/>
        <w:rPr>
          <w:rFonts w:ascii="Century Gothic" w:eastAsia="Century Gothic" w:hAnsi="Century Gothic" w:cs="Century Gothic"/>
          <w:b/>
          <w:color w:val="000000"/>
        </w:rPr>
      </w:pPr>
    </w:p>
    <w:p w14:paraId="141D9FB4" w14:textId="77777777" w:rsidR="00CA205E" w:rsidRDefault="00CA205E" w:rsidP="00CA205E">
      <w:pPr>
        <w:spacing w:line="276" w:lineRule="auto"/>
        <w:jc w:val="both"/>
        <w:rPr>
          <w:rFonts w:ascii="Century Gothic" w:eastAsia="Century Gothic" w:hAnsi="Century Gothic" w:cs="Century Gothic"/>
          <w:b/>
          <w:color w:val="000000"/>
        </w:rPr>
      </w:pPr>
    </w:p>
    <w:p w14:paraId="4F847FFA" w14:textId="77777777" w:rsidR="00CA205E" w:rsidRDefault="00CA205E" w:rsidP="00CA205E">
      <w:pPr>
        <w:spacing w:line="276" w:lineRule="auto"/>
        <w:jc w:val="both"/>
        <w:rPr>
          <w:rFonts w:ascii="Century Gothic" w:eastAsia="Century Gothic" w:hAnsi="Century Gothic" w:cs="Century Gothic"/>
          <w:b/>
          <w:color w:val="000000"/>
        </w:rPr>
      </w:pPr>
    </w:p>
    <w:p w14:paraId="292E6D84" w14:textId="77777777" w:rsidR="00CA205E" w:rsidRDefault="00CA205E" w:rsidP="00CA205E">
      <w:pPr>
        <w:spacing w:line="276" w:lineRule="auto"/>
        <w:jc w:val="both"/>
        <w:rPr>
          <w:rFonts w:ascii="Century Gothic" w:eastAsia="Century Gothic" w:hAnsi="Century Gothic" w:cs="Century Gothic"/>
          <w:b/>
          <w:color w:val="000000"/>
        </w:rPr>
      </w:pPr>
    </w:p>
    <w:p w14:paraId="752C36AB" w14:textId="77777777" w:rsidR="00CA205E" w:rsidRDefault="00CA205E" w:rsidP="00CA205E">
      <w:pPr>
        <w:spacing w:line="276" w:lineRule="auto"/>
        <w:jc w:val="both"/>
        <w:rPr>
          <w:rFonts w:ascii="Century Gothic" w:eastAsia="Century Gothic" w:hAnsi="Century Gothic" w:cs="Century Gothic"/>
          <w:b/>
        </w:rPr>
      </w:pPr>
    </w:p>
    <w:p w14:paraId="3C3A3688" w14:textId="77777777" w:rsidR="00CA205E" w:rsidRDefault="00CA205E" w:rsidP="00CA205E">
      <w:pPr>
        <w:spacing w:line="276" w:lineRule="auto"/>
        <w:jc w:val="both"/>
        <w:rPr>
          <w:rFonts w:ascii="Century Gothic" w:eastAsia="Century Gothic" w:hAnsi="Century Gothic" w:cs="Century Gothic"/>
          <w:b/>
        </w:rPr>
      </w:pPr>
    </w:p>
    <w:p w14:paraId="204AD55A" w14:textId="77777777" w:rsidR="00CA205E" w:rsidRDefault="00CA205E" w:rsidP="00CA205E">
      <w:pPr>
        <w:spacing w:line="276" w:lineRule="auto"/>
        <w:jc w:val="both"/>
        <w:rPr>
          <w:rFonts w:ascii="Century Gothic" w:eastAsia="Century Gothic" w:hAnsi="Century Gothic" w:cs="Century Gothic"/>
          <w:b/>
        </w:rPr>
      </w:pPr>
    </w:p>
    <w:p w14:paraId="71E79E48" w14:textId="77777777" w:rsidR="00CA205E" w:rsidRDefault="00CA205E" w:rsidP="00CA205E">
      <w:pPr>
        <w:spacing w:line="276" w:lineRule="auto"/>
        <w:jc w:val="both"/>
        <w:rPr>
          <w:rFonts w:ascii="Century Gothic" w:eastAsia="Century Gothic" w:hAnsi="Century Gothic" w:cs="Century Gothic"/>
          <w:b/>
        </w:rPr>
      </w:pPr>
      <w:r>
        <w:rPr>
          <w:rFonts w:ascii="Century Gothic" w:eastAsia="Century Gothic" w:hAnsi="Century Gothic" w:cs="Century Gothic"/>
          <w:b/>
        </w:rPr>
        <w:t xml:space="preserve">GERMAN BLANCO ALVAREZ </w:t>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t>CARLOS EDUARDO GUEVARA V</w:t>
      </w:r>
    </w:p>
    <w:p w14:paraId="5DB02006" w14:textId="77777777" w:rsidR="00CA205E" w:rsidRDefault="00CA205E" w:rsidP="00CA205E">
      <w:pPr>
        <w:spacing w:line="276" w:lineRule="auto"/>
        <w:jc w:val="both"/>
        <w:rPr>
          <w:rFonts w:ascii="Century Gothic" w:eastAsia="Century Gothic" w:hAnsi="Century Gothic" w:cs="Century Gothic"/>
        </w:rPr>
      </w:pPr>
      <w:r>
        <w:rPr>
          <w:rFonts w:ascii="Century Gothic" w:eastAsia="Century Gothic" w:hAnsi="Century Gothic" w:cs="Century Gothic"/>
          <w:b/>
        </w:rPr>
        <w:t>Senador de la República</w:t>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rPr>
        <w:t>Senador de la República</w:t>
      </w:r>
    </w:p>
    <w:p w14:paraId="48C9675D" w14:textId="77777777" w:rsidR="00CA205E" w:rsidRPr="0063102F" w:rsidRDefault="00CA205E" w:rsidP="00CA205E">
      <w:pPr>
        <w:spacing w:line="276" w:lineRule="auto"/>
        <w:jc w:val="both"/>
        <w:rPr>
          <w:rFonts w:ascii="Century Gothic" w:eastAsia="Century Gothic" w:hAnsi="Century Gothic" w:cs="Century Gothic"/>
        </w:rPr>
      </w:pP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rPr>
        <w:t>Partido MIRA</w:t>
      </w:r>
    </w:p>
    <w:p w14:paraId="718F24D0" w14:textId="77777777" w:rsidR="00CA205E" w:rsidRDefault="00CA205E" w:rsidP="00CA205E">
      <w:pPr>
        <w:spacing w:line="276" w:lineRule="auto"/>
        <w:jc w:val="both"/>
        <w:rPr>
          <w:rFonts w:ascii="Century Gothic" w:eastAsia="Century Gothic" w:hAnsi="Century Gothic" w:cs="Century Gothic"/>
          <w:b/>
        </w:rPr>
      </w:pPr>
    </w:p>
    <w:p w14:paraId="6F7F4777" w14:textId="2DB4BEE8" w:rsidR="00CA205E" w:rsidRDefault="00CA205E">
      <w:pPr>
        <w:spacing w:line="276" w:lineRule="auto"/>
        <w:jc w:val="both"/>
        <w:rPr>
          <w:rFonts w:ascii="Century Gothic" w:eastAsia="Century Gothic" w:hAnsi="Century Gothic" w:cs="Century Gothic"/>
          <w:b/>
        </w:rPr>
      </w:pPr>
      <w:r>
        <w:rPr>
          <w:noProof/>
        </w:rPr>
        <w:drawing>
          <wp:anchor distT="114300" distB="114300" distL="114300" distR="114300" simplePos="0" relativeHeight="251672576" behindDoc="0" locked="0" layoutInCell="1" hidden="0" allowOverlap="1" wp14:anchorId="40102B6A" wp14:editId="3A3715E6">
            <wp:simplePos x="0" y="0"/>
            <wp:positionH relativeFrom="column">
              <wp:posOffset>0</wp:posOffset>
            </wp:positionH>
            <wp:positionV relativeFrom="paragraph">
              <wp:posOffset>114935</wp:posOffset>
            </wp:positionV>
            <wp:extent cx="2251075" cy="578196"/>
            <wp:effectExtent l="0" t="0" r="0" b="0"/>
            <wp:wrapNone/>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8"/>
                    <a:srcRect t="36756"/>
                    <a:stretch/>
                  </pic:blipFill>
                  <pic:spPr bwMode="auto">
                    <a:xfrm>
                      <a:off x="0" y="0"/>
                      <a:ext cx="2251075" cy="578196"/>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4B29CEF" w14:textId="0A0C9F07" w:rsidR="00CA205E" w:rsidRDefault="00CA205E">
      <w:pPr>
        <w:spacing w:line="276" w:lineRule="auto"/>
        <w:jc w:val="both"/>
        <w:rPr>
          <w:rFonts w:ascii="Century Gothic" w:eastAsia="Century Gothic" w:hAnsi="Century Gothic" w:cs="Century Gothic"/>
          <w:b/>
        </w:rPr>
      </w:pPr>
    </w:p>
    <w:p w14:paraId="213D93BB" w14:textId="247EE411" w:rsidR="00CA205E" w:rsidRDefault="00CA205E">
      <w:pPr>
        <w:spacing w:line="276" w:lineRule="auto"/>
        <w:jc w:val="both"/>
        <w:rPr>
          <w:rFonts w:ascii="Century Gothic" w:eastAsia="Century Gothic" w:hAnsi="Century Gothic" w:cs="Century Gothic"/>
          <w:b/>
        </w:rPr>
      </w:pPr>
    </w:p>
    <w:p w14:paraId="330034C5" w14:textId="73C08C18" w:rsidR="00CA205E" w:rsidRDefault="00CA205E">
      <w:pPr>
        <w:spacing w:line="276" w:lineRule="auto"/>
        <w:jc w:val="both"/>
        <w:rPr>
          <w:rFonts w:ascii="Century Gothic" w:eastAsia="Century Gothic" w:hAnsi="Century Gothic" w:cs="Century Gothic"/>
          <w:b/>
        </w:rPr>
      </w:pPr>
    </w:p>
    <w:p w14:paraId="3CCB5BAC" w14:textId="77777777" w:rsidR="00D74583" w:rsidRDefault="00D74583">
      <w:pPr>
        <w:spacing w:line="276" w:lineRule="auto"/>
        <w:jc w:val="both"/>
        <w:rPr>
          <w:rFonts w:ascii="Century Gothic" w:eastAsia="Century Gothic" w:hAnsi="Century Gothic" w:cs="Century Gothic"/>
          <w:b/>
        </w:rPr>
      </w:pPr>
    </w:p>
    <w:p w14:paraId="0529BBC5" w14:textId="7DC29AAC" w:rsidR="00C3616A" w:rsidRDefault="00C3616A">
      <w:pPr>
        <w:spacing w:line="276" w:lineRule="auto"/>
        <w:jc w:val="both"/>
        <w:rPr>
          <w:rFonts w:ascii="Century Gothic" w:eastAsia="Century Gothic" w:hAnsi="Century Gothic" w:cs="Century Gothic"/>
          <w:b/>
        </w:rPr>
      </w:pPr>
    </w:p>
    <w:p w14:paraId="2D1528DE" w14:textId="77777777" w:rsidR="00C3616A" w:rsidRDefault="00000000">
      <w:pPr>
        <w:spacing w:line="276" w:lineRule="auto"/>
        <w:jc w:val="center"/>
        <w:rPr>
          <w:rFonts w:ascii="Century Gothic" w:eastAsia="Century Gothic" w:hAnsi="Century Gothic" w:cs="Century Gothic"/>
          <w:b/>
        </w:rPr>
      </w:pPr>
      <w:r>
        <w:rPr>
          <w:rFonts w:ascii="Century Gothic" w:eastAsia="Century Gothic" w:hAnsi="Century Gothic" w:cs="Century Gothic"/>
          <w:b/>
        </w:rPr>
        <w:t>EXPOSICIÓN DE MOTIVOS</w:t>
      </w:r>
    </w:p>
    <w:p w14:paraId="1FCD9E3F" w14:textId="77777777" w:rsidR="00C3616A" w:rsidRDefault="00C3616A">
      <w:pPr>
        <w:spacing w:line="276" w:lineRule="auto"/>
        <w:jc w:val="both"/>
        <w:rPr>
          <w:rFonts w:ascii="Century Gothic" w:eastAsia="Century Gothic" w:hAnsi="Century Gothic" w:cs="Century Gothic"/>
          <w:b/>
        </w:rPr>
      </w:pPr>
    </w:p>
    <w:p w14:paraId="2E3CA94F" w14:textId="77777777" w:rsidR="00C3616A" w:rsidRDefault="00000000">
      <w:pPr>
        <w:numPr>
          <w:ilvl w:val="0"/>
          <w:numId w:val="1"/>
        </w:numPr>
        <w:pBdr>
          <w:top w:val="nil"/>
          <w:left w:val="nil"/>
          <w:bottom w:val="nil"/>
          <w:right w:val="nil"/>
          <w:between w:val="nil"/>
        </w:pBdr>
        <w:spacing w:line="276"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 xml:space="preserve">OBJETO. </w:t>
      </w:r>
    </w:p>
    <w:p w14:paraId="68380E0B" w14:textId="77777777" w:rsidR="00C3616A" w:rsidRDefault="00C3616A">
      <w:pPr>
        <w:spacing w:line="276" w:lineRule="auto"/>
        <w:jc w:val="both"/>
        <w:rPr>
          <w:rFonts w:ascii="Century Gothic" w:eastAsia="Century Gothic" w:hAnsi="Century Gothic" w:cs="Century Gothic"/>
          <w:color w:val="000000"/>
        </w:rPr>
      </w:pPr>
    </w:p>
    <w:p w14:paraId="497FADBD" w14:textId="77777777" w:rsidR="00C3616A" w:rsidRDefault="00000000">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El objeto de la presente Ley es estimular y reducir los obstáculos para involucrarse en el proceso educativo llevado a cabo en el colegio, por parte de los padres de familia o tutores legales de los estudiantes. Lo anterior, si se tiene en cuenta que, actualmente, no se cuentan con mecanismos suficientes y eficaces dentro del ordenamiento laboral para conciliar, específicamente, en el ámbito laboral y el proceso educativo de los hijos.</w:t>
      </w:r>
    </w:p>
    <w:p w14:paraId="4238FB29" w14:textId="77777777" w:rsidR="00C3616A" w:rsidRDefault="00C3616A">
      <w:pPr>
        <w:spacing w:line="276" w:lineRule="auto"/>
        <w:jc w:val="both"/>
        <w:rPr>
          <w:rFonts w:ascii="Century Gothic" w:eastAsia="Century Gothic" w:hAnsi="Century Gothic" w:cs="Century Gothic"/>
          <w:color w:val="000000"/>
        </w:rPr>
      </w:pPr>
    </w:p>
    <w:p w14:paraId="1F082305" w14:textId="77777777" w:rsidR="00C3616A" w:rsidRDefault="00000000">
      <w:pPr>
        <w:spacing w:line="276"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Así las cosas, para obtener una efectiva protección de los trabajadores con responsabilidades familiares, se hace necesario proponer esta Ley, que le </w:t>
      </w:r>
      <w:r>
        <w:rPr>
          <w:rFonts w:ascii="Century Gothic" w:eastAsia="Century Gothic" w:hAnsi="Century Gothic" w:cs="Century Gothic"/>
          <w:color w:val="000000"/>
        </w:rPr>
        <w:lastRenderedPageBreak/>
        <w:t xml:space="preserve">permitirá al trabajador adecuar sus condiciones laborales con las necesidades familiares. </w:t>
      </w:r>
    </w:p>
    <w:p w14:paraId="16344977" w14:textId="77777777" w:rsidR="00C3616A" w:rsidRDefault="00C3616A">
      <w:pPr>
        <w:spacing w:line="276" w:lineRule="auto"/>
        <w:jc w:val="both"/>
        <w:rPr>
          <w:rFonts w:ascii="Century Gothic" w:eastAsia="Century Gothic" w:hAnsi="Century Gothic" w:cs="Century Gothic"/>
          <w:b/>
        </w:rPr>
      </w:pPr>
    </w:p>
    <w:p w14:paraId="6EF31B1E" w14:textId="77777777" w:rsidR="00C3616A" w:rsidRDefault="00000000">
      <w:pPr>
        <w:numPr>
          <w:ilvl w:val="0"/>
          <w:numId w:val="1"/>
        </w:numPr>
        <w:pBdr>
          <w:top w:val="nil"/>
          <w:left w:val="nil"/>
          <w:bottom w:val="nil"/>
          <w:right w:val="nil"/>
          <w:between w:val="nil"/>
        </w:pBdr>
        <w:rPr>
          <w:rFonts w:ascii="Century Gothic" w:eastAsia="Century Gothic" w:hAnsi="Century Gothic" w:cs="Century Gothic"/>
          <w:b/>
          <w:color w:val="000000"/>
        </w:rPr>
      </w:pPr>
      <w:r>
        <w:rPr>
          <w:rFonts w:ascii="Century Gothic" w:eastAsia="Century Gothic" w:hAnsi="Century Gothic" w:cs="Century Gothic"/>
          <w:b/>
          <w:color w:val="000000"/>
        </w:rPr>
        <w:t>NECESIDAD DE LA INICIATIVA</w:t>
      </w:r>
    </w:p>
    <w:p w14:paraId="7F643346" w14:textId="77777777" w:rsidR="00C3616A" w:rsidRDefault="00C3616A">
      <w:pPr>
        <w:pBdr>
          <w:top w:val="nil"/>
          <w:left w:val="nil"/>
          <w:bottom w:val="nil"/>
          <w:right w:val="nil"/>
          <w:between w:val="nil"/>
        </w:pBdr>
        <w:rPr>
          <w:rFonts w:ascii="Century Gothic" w:eastAsia="Century Gothic" w:hAnsi="Century Gothic" w:cs="Century Gothic"/>
          <w:color w:val="000000"/>
        </w:rPr>
      </w:pPr>
    </w:p>
    <w:p w14:paraId="420FFB7E" w14:textId="77777777" w:rsidR="00C3616A" w:rsidRDefault="00000000">
      <w:pPr>
        <w:pBdr>
          <w:top w:val="nil"/>
          <w:left w:val="nil"/>
          <w:bottom w:val="nil"/>
          <w:right w:val="nil"/>
          <w:between w:val="nil"/>
        </w:pBdr>
        <w:jc w:val="both"/>
        <w:rPr>
          <w:rFonts w:ascii="Century Gothic" w:eastAsia="Century Gothic" w:hAnsi="Century Gothic" w:cs="Century Gothic"/>
          <w:color w:val="000000"/>
        </w:rPr>
      </w:pPr>
      <w:r>
        <w:rPr>
          <w:rFonts w:ascii="Century Gothic" w:eastAsia="Century Gothic" w:hAnsi="Century Gothic" w:cs="Century Gothic"/>
          <w:color w:val="000000"/>
        </w:rPr>
        <w:t>La Organización Internacional del Trabajo, OIT, expidió la recomendación R.165 de 1981, sobre la igualdad de oportunidades y de trato entre Trabajadores y Trabajadoras con Responsabilidades Familiares, donde se recomienda adoptar medidas que permitan a los trabajadores con responsabilidades familiares conciliar sus obligaciones profesionales y familiares.</w:t>
      </w:r>
    </w:p>
    <w:p w14:paraId="7A2FDC5F" w14:textId="77777777" w:rsidR="00C3616A" w:rsidRDefault="00C3616A">
      <w:pPr>
        <w:spacing w:line="276" w:lineRule="auto"/>
        <w:jc w:val="both"/>
        <w:rPr>
          <w:rFonts w:ascii="Century Gothic" w:eastAsia="Century Gothic" w:hAnsi="Century Gothic" w:cs="Century Gothic"/>
        </w:rPr>
      </w:pPr>
    </w:p>
    <w:p w14:paraId="19263348"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Lo anterior supone, la implementación de medidas conciliatorias entre la vida familiar y la laboral, aplicado a todos los trabajadores que tengan responsabilidades familiares, sean hombres o mujeres, nacionales o no, que pertenezcan al sector público o privado, y sin importar el tipo de actividad económica o profesional en el que se desenvuelvan.</w:t>
      </w:r>
    </w:p>
    <w:p w14:paraId="698A13EA" w14:textId="77777777" w:rsidR="00C3616A" w:rsidRDefault="00C3616A">
      <w:pPr>
        <w:spacing w:line="276" w:lineRule="auto"/>
        <w:jc w:val="both"/>
        <w:rPr>
          <w:rFonts w:ascii="Century Gothic" w:eastAsia="Century Gothic" w:hAnsi="Century Gothic" w:cs="Century Gothic"/>
        </w:rPr>
      </w:pPr>
    </w:p>
    <w:p w14:paraId="712AF223"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Ahora bien, de conformidad con el Artículo 5 de la Constitución Política de Colombia, se establece que el Estado ampara a la familia como institución básica de la sociedad. Asimismo, el Artículo 42 dispone que la familia es el núcleo fundamental de la sociedad. En ese orden, al Estado le asiste el deber de proveer a las familias de herramientas para potenciar sus recursos afectivos, económicos, culturales, de solidaridad y criterios de autoridad democrática, de manera que los programas de atención a la familia y a sus miembros prioricen su unidad y la activación de recursos para que funcione como el instrumento protector por excelencia de sus integrantes.</w:t>
      </w:r>
    </w:p>
    <w:p w14:paraId="17982BC4" w14:textId="77777777" w:rsidR="00C3616A" w:rsidRDefault="00C3616A">
      <w:pPr>
        <w:spacing w:line="276" w:lineRule="auto"/>
        <w:jc w:val="both"/>
        <w:rPr>
          <w:rFonts w:ascii="Century Gothic" w:eastAsia="Century Gothic" w:hAnsi="Century Gothic" w:cs="Century Gothic"/>
        </w:rPr>
      </w:pPr>
    </w:p>
    <w:p w14:paraId="43D3CC34"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Por su parte, la Corte Constitucional en Sentencia C-005 de 2017 consideró que “</w:t>
      </w:r>
      <w:r>
        <w:rPr>
          <w:rFonts w:ascii="Century Gothic" w:eastAsia="Century Gothic" w:hAnsi="Century Gothic" w:cs="Century Gothic"/>
          <w:i/>
        </w:rPr>
        <w:t>en el estado actual del Derecho del trabajo, las medidas orientadas a promover la conciliación de trabajo y vida familiar están íntimamente relacionadas con la expansión del principio de igualdad de trato y de no discriminación, y con la efectiva igualdad de oportunidades entre hombres y mujeres en el plano laboral, toda vez que el acceso y permanencia de las mujeres en el mercado de trabajo depende, en gran medida, de la implementación de estas estrategia</w:t>
      </w:r>
      <w:r>
        <w:rPr>
          <w:rFonts w:ascii="Century Gothic" w:eastAsia="Century Gothic" w:hAnsi="Century Gothic" w:cs="Century Gothic"/>
        </w:rPr>
        <w:t>s”.</w:t>
      </w:r>
    </w:p>
    <w:p w14:paraId="2F4DC41A" w14:textId="77777777" w:rsidR="00C3616A" w:rsidRDefault="00C3616A">
      <w:pPr>
        <w:spacing w:line="276" w:lineRule="auto"/>
        <w:jc w:val="both"/>
        <w:rPr>
          <w:rFonts w:ascii="Century Gothic" w:eastAsia="Century Gothic" w:hAnsi="Century Gothic" w:cs="Century Gothic"/>
        </w:rPr>
      </w:pPr>
    </w:p>
    <w:p w14:paraId="5568F1C9"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lastRenderedPageBreak/>
        <w:t>También, en la citada sentencia, se puso en evidencia que la conciliación de la vida laboral y la familiar incumbe a toda la sociedad, y en razón de lo anterior, la conciliación entre trabajo y la vida familiar debe ser atendida como una política de familia, desarrollada tanto en el marco del mercado de trabajo, como el de la protección social.</w:t>
      </w:r>
    </w:p>
    <w:p w14:paraId="36108BC7" w14:textId="77777777" w:rsidR="00C3616A" w:rsidRDefault="00C3616A">
      <w:pPr>
        <w:spacing w:line="276" w:lineRule="auto"/>
        <w:jc w:val="both"/>
        <w:rPr>
          <w:rFonts w:ascii="Century Gothic" w:eastAsia="Century Gothic" w:hAnsi="Century Gothic" w:cs="Century Gothic"/>
        </w:rPr>
      </w:pPr>
    </w:p>
    <w:p w14:paraId="33CF3061"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Frente a la participación de la familia en los espacios formativos escolares, se trae a colación las iniciativas que se han fomentado recientemente en diferentes países. Para ejemplificar, el Ministerio de la Mujer, la Familia y los Derechos Humanos de la Secretaría Nacional de Protección Global de Brasil le ha dado prevalencia a la participación de los padres dentro del proceso educativo de sus hijos, buscando el fortalecimiento de los vínculos familiares, la promoción del equilibrio entre el trabajo y la familia, la promoción de políticas para combatir la discriminación contra la familia, entre otros. Por su parte, en los Estados Unidos existe “The Family-School Pathership Act”, la cual le permite a los padres y tutores tomar tiempo del trabajo para participar en actividades del niño, respecto a su vida escolar.</w:t>
      </w:r>
    </w:p>
    <w:p w14:paraId="2E7FBFF9" w14:textId="77777777" w:rsidR="00C3616A" w:rsidRDefault="00C3616A">
      <w:pPr>
        <w:spacing w:line="276" w:lineRule="auto"/>
        <w:jc w:val="both"/>
        <w:rPr>
          <w:rFonts w:ascii="Century Gothic" w:eastAsia="Century Gothic" w:hAnsi="Century Gothic" w:cs="Century Gothic"/>
        </w:rPr>
      </w:pPr>
    </w:p>
    <w:p w14:paraId="75F478EA"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Ahora bien, en Colombia, no existe antecedente legislativo que conceda licencia laboral para que los padres de familia que son empleados en las diferentes entidades del sector público o privado puedan participar en las reuniones y/o actividades escolares de los hijos donde se requiera de su asistencia, por lo que se hace necesario que estas iniciativas a favor de la familia, encuentre un apoyo en el ámbito laboral, pues el artículo 57 del Código Sustantivo del Trabajo sólo establece como obligaciones especiales del empleador</w:t>
      </w:r>
      <w:r>
        <w:rPr>
          <w:rFonts w:ascii="Century Gothic" w:eastAsia="Century Gothic" w:hAnsi="Century Gothic" w:cs="Century Gothic"/>
          <w:vertAlign w:val="superscript"/>
        </w:rPr>
        <w:footnoteReference w:id="1"/>
      </w:r>
      <w:r>
        <w:rPr>
          <w:rFonts w:ascii="Century Gothic" w:eastAsia="Century Gothic" w:hAnsi="Century Gothic" w:cs="Century Gothic"/>
        </w:rPr>
        <w:t xml:space="preserve"> licencias por calamidad doméstica, por maternidad y paternidad, entre otras.</w:t>
      </w:r>
    </w:p>
    <w:p w14:paraId="3ECF9175" w14:textId="77777777" w:rsidR="00C3616A" w:rsidRDefault="00C3616A">
      <w:pPr>
        <w:spacing w:line="276" w:lineRule="auto"/>
        <w:jc w:val="both"/>
        <w:rPr>
          <w:rFonts w:ascii="Century Gothic" w:eastAsia="Century Gothic" w:hAnsi="Century Gothic" w:cs="Century Gothic"/>
        </w:rPr>
      </w:pPr>
    </w:p>
    <w:p w14:paraId="3C0C1770"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Se puede evidenciar, entonces, que las condiciones de trabajo no están dadas para conciliar el ámbito familiar, especialmente, con el ámbito educativo y laboral. Si bien, la legislación Colombiana ha tenido muchos avances, no se ha logrado conciliar la responsabilidad de los padres o tutores legales dentro de la escuela con la responsabilidad laboral, dejando a discreción del empleador el otorgar estos permisos.</w:t>
      </w:r>
    </w:p>
    <w:p w14:paraId="36EBE6AD" w14:textId="77777777" w:rsidR="00C3616A" w:rsidRDefault="00C3616A">
      <w:pPr>
        <w:spacing w:line="276" w:lineRule="auto"/>
        <w:jc w:val="both"/>
        <w:rPr>
          <w:rFonts w:ascii="Century Gothic" w:eastAsia="Century Gothic" w:hAnsi="Century Gothic" w:cs="Century Gothic"/>
        </w:rPr>
      </w:pPr>
    </w:p>
    <w:p w14:paraId="12FD3D2A"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Con todo, es importante recalcar que no basta con que el niño ingrese a la escuela, se hace necesario un seguimiento y apoyo, ya que se trata de una </w:t>
      </w:r>
      <w:r>
        <w:rPr>
          <w:rFonts w:ascii="Century Gothic" w:eastAsia="Century Gothic" w:hAnsi="Century Gothic" w:cs="Century Gothic"/>
        </w:rPr>
        <w:lastRenderedPageBreak/>
        <w:t>alianza familia-escuela</w:t>
      </w:r>
      <w:r>
        <w:rPr>
          <w:rFonts w:ascii="Century Gothic" w:eastAsia="Century Gothic" w:hAnsi="Century Gothic" w:cs="Century Gothic"/>
          <w:vertAlign w:val="superscript"/>
        </w:rPr>
        <w:footnoteReference w:id="2"/>
      </w:r>
      <w:r>
        <w:rPr>
          <w:rFonts w:ascii="Century Gothic" w:eastAsia="Century Gothic" w:hAnsi="Century Gothic" w:cs="Century Gothic"/>
        </w:rPr>
        <w:t>. En general, sobre el papel fundamental e insustituible de la familia en la educación infantil, dice Nérici (1972, p. 12) “</w:t>
      </w:r>
      <w:r>
        <w:rPr>
          <w:rFonts w:ascii="Century Gothic" w:eastAsia="Century Gothic" w:hAnsi="Century Gothic" w:cs="Century Gothic"/>
          <w:i/>
        </w:rPr>
        <w:t>La educación debe orientar la formación del hombre para que pueda ser lo que es y de la mejor manera posible</w:t>
      </w:r>
      <w:r>
        <w:rPr>
          <w:rFonts w:ascii="Century Gothic" w:eastAsia="Century Gothic" w:hAnsi="Century Gothic" w:cs="Century Gothic"/>
        </w:rPr>
        <w:t>”</w:t>
      </w:r>
      <w:r>
        <w:rPr>
          <w:rFonts w:ascii="Century Gothic" w:eastAsia="Century Gothic" w:hAnsi="Century Gothic" w:cs="Century Gothic"/>
          <w:vertAlign w:val="superscript"/>
        </w:rPr>
        <w:footnoteReference w:id="3"/>
      </w:r>
      <w:r>
        <w:rPr>
          <w:rFonts w:ascii="Century Gothic" w:eastAsia="Century Gothic" w:hAnsi="Century Gothic" w:cs="Century Gothic"/>
        </w:rPr>
        <w:t>.</w:t>
      </w:r>
    </w:p>
    <w:p w14:paraId="18201E38" w14:textId="77777777" w:rsidR="00C3616A" w:rsidRDefault="00C3616A">
      <w:pPr>
        <w:spacing w:line="276" w:lineRule="auto"/>
        <w:jc w:val="both"/>
        <w:rPr>
          <w:rFonts w:ascii="Century Gothic" w:eastAsia="Century Gothic" w:hAnsi="Century Gothic" w:cs="Century Gothic"/>
        </w:rPr>
      </w:pPr>
    </w:p>
    <w:p w14:paraId="23341965"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En ese orden, el acompañamiento de los padres de familia dentro del proceso académico de los estudiantes es indispensable. Por ello, y de conformidad con el Artículo 2.3.4.3 del Decreto 1075 de 2015 se estableció el deber para los padres de acompañar el proceso educativo como primeros educadores de sus hijos. Lo anterior, con el fin de mejorar la orientación personal y el desarrollo de valores ciudadanos</w:t>
      </w:r>
      <w:r>
        <w:rPr>
          <w:rFonts w:ascii="Century Gothic" w:eastAsia="Century Gothic" w:hAnsi="Century Gothic" w:cs="Century Gothic"/>
          <w:vertAlign w:val="superscript"/>
        </w:rPr>
        <w:footnoteReference w:id="4"/>
      </w:r>
      <w:r>
        <w:rPr>
          <w:rFonts w:ascii="Century Gothic" w:eastAsia="Century Gothic" w:hAnsi="Century Gothic" w:cs="Century Gothic"/>
        </w:rPr>
        <w:t xml:space="preserve"> .</w:t>
      </w:r>
    </w:p>
    <w:p w14:paraId="20BF035F" w14:textId="77777777" w:rsidR="00C3616A" w:rsidRDefault="00C3616A">
      <w:pPr>
        <w:spacing w:line="276" w:lineRule="auto"/>
        <w:jc w:val="both"/>
        <w:rPr>
          <w:rFonts w:ascii="Century Gothic" w:eastAsia="Century Gothic" w:hAnsi="Century Gothic" w:cs="Century Gothic"/>
          <w:highlight w:val="yellow"/>
        </w:rPr>
      </w:pPr>
    </w:p>
    <w:p w14:paraId="5AF11885"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De ahí que la Ley 2025 de 2020</w:t>
      </w:r>
      <w:r>
        <w:rPr>
          <w:rFonts w:ascii="Century Gothic" w:eastAsia="Century Gothic" w:hAnsi="Century Gothic" w:cs="Century Gothic"/>
          <w:vertAlign w:val="superscript"/>
        </w:rPr>
        <w:footnoteReference w:id="5"/>
      </w:r>
      <w:r>
        <w:rPr>
          <w:rFonts w:ascii="Century Gothic" w:eastAsia="Century Gothic" w:hAnsi="Century Gothic" w:cs="Century Gothic"/>
        </w:rPr>
        <w:t xml:space="preserve"> establezca los lineamientos para la implementación de escuelas de padres de familia y cuidadores en las situaciones de educación preescolar, básica y media del país, con el objeto de fomentar la participación de las familias en los procesos educativos de los niños y adolescentes las cuales tienen carácter de obligatoriedad en las instituciones educativas públicas y privadas del país, y deben estar articuladas con los Proyectos Educativos Institucionales – PEI. </w:t>
      </w:r>
    </w:p>
    <w:p w14:paraId="6E468B51" w14:textId="77777777" w:rsidR="00C3616A" w:rsidRDefault="00C3616A">
      <w:pPr>
        <w:spacing w:line="276" w:lineRule="auto"/>
        <w:jc w:val="both"/>
        <w:rPr>
          <w:rFonts w:ascii="Century Gothic" w:eastAsia="Century Gothic" w:hAnsi="Century Gothic" w:cs="Century Gothic"/>
        </w:rPr>
      </w:pPr>
    </w:p>
    <w:p w14:paraId="235B9CF0"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 xml:space="preserve">Una realidad desafortunada para muchos estudiantes de nuestro país es la ausencia de muchos padres de familia en el acompañamiento dentro del proceso académico. Un claro ejemplo de esto, es el del Comité de Convivencia Municipal de Bucaramanga, el cual tomó la decisión de reportar ante el Instituto </w:t>
      </w:r>
      <w:r>
        <w:rPr>
          <w:rFonts w:ascii="Century Gothic" w:eastAsia="Century Gothic" w:hAnsi="Century Gothic" w:cs="Century Gothic"/>
        </w:rPr>
        <w:lastRenderedPageBreak/>
        <w:t>Colombiano de Bienestar Familiar a los padres de familia que tengan el hábito de faltar a las reuniones escolares que se realicen en las instituciones educativas, ya que, se conocieron casos muy repetitivos donde los padres de familia no asistían al ser convocados por las directivas de dichas instituciones</w:t>
      </w:r>
      <w:r>
        <w:rPr>
          <w:rFonts w:ascii="Century Gothic" w:eastAsia="Century Gothic" w:hAnsi="Century Gothic" w:cs="Century Gothic"/>
          <w:vertAlign w:val="superscript"/>
        </w:rPr>
        <w:footnoteReference w:id="6"/>
      </w:r>
      <w:r>
        <w:rPr>
          <w:rFonts w:ascii="Century Gothic" w:eastAsia="Century Gothic" w:hAnsi="Century Gothic" w:cs="Century Gothic"/>
        </w:rPr>
        <w:t xml:space="preserve">. </w:t>
      </w:r>
    </w:p>
    <w:p w14:paraId="0CA05611" w14:textId="77777777" w:rsidR="00C3616A" w:rsidRDefault="00C3616A">
      <w:pPr>
        <w:spacing w:line="276" w:lineRule="auto"/>
        <w:jc w:val="both"/>
        <w:rPr>
          <w:rFonts w:ascii="Century Gothic" w:eastAsia="Century Gothic" w:hAnsi="Century Gothic" w:cs="Century Gothic"/>
        </w:rPr>
      </w:pPr>
    </w:p>
    <w:p w14:paraId="7E128A76"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No obstante, esta ausencia de muchos padres de familia en el acompañamiento académico es una realidad social de nuestro país que en muchos de los casos no es por falta de interés, sino por no tener garantías legales que les permitan hacerlo sin que se vea perjudicado su empleo. Con este proyecto se acaban las excusas de falta de garantías laborales, al convertirse la licencia en un derecho.</w:t>
      </w:r>
    </w:p>
    <w:p w14:paraId="2856CB3A" w14:textId="77777777" w:rsidR="00C3616A" w:rsidRDefault="00C3616A">
      <w:pPr>
        <w:spacing w:line="276" w:lineRule="auto"/>
        <w:jc w:val="both"/>
        <w:rPr>
          <w:rFonts w:ascii="Century Gothic" w:eastAsia="Century Gothic" w:hAnsi="Century Gothic" w:cs="Century Gothic"/>
        </w:rPr>
      </w:pPr>
    </w:p>
    <w:p w14:paraId="24BF3B60"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En este aspecto es necesario resaltar el extracto del estudio Fundamentos de la familia como promotora del desarrollo infantil: parenting in focus, (Pluciennik, 2015, p. 98/99) que establece que “</w:t>
      </w:r>
      <w:r>
        <w:rPr>
          <w:rFonts w:ascii="Century Gothic" w:eastAsia="Century Gothic" w:hAnsi="Century Gothic" w:cs="Century Gothic"/>
          <w:i/>
        </w:rPr>
        <w:t>la escuela es uno de los principales agentes del desarrollo de los niños, pero no el único</w:t>
      </w:r>
      <w:r>
        <w:rPr>
          <w:rFonts w:ascii="Century Gothic" w:eastAsia="Century Gothic" w:hAnsi="Century Gothic" w:cs="Century Gothic"/>
        </w:rPr>
        <w:t>”</w:t>
      </w:r>
      <w:r>
        <w:rPr>
          <w:rFonts w:ascii="Century Gothic" w:eastAsia="Century Gothic" w:hAnsi="Century Gothic" w:cs="Century Gothic"/>
          <w:vertAlign w:val="superscript"/>
        </w:rPr>
        <w:footnoteReference w:id="7"/>
      </w:r>
      <w:r>
        <w:rPr>
          <w:rFonts w:ascii="Century Gothic" w:eastAsia="Century Gothic" w:hAnsi="Century Gothic" w:cs="Century Gothic"/>
        </w:rPr>
        <w:t>; pues indica que es en el seno de la familia donde se genera la mayor parte del desarrollo de los niños, por lo que es importante fortalecer el diálogo.</w:t>
      </w:r>
    </w:p>
    <w:p w14:paraId="57559A68" w14:textId="77777777" w:rsidR="00C3616A" w:rsidRDefault="00C3616A">
      <w:pPr>
        <w:jc w:val="both"/>
        <w:rPr>
          <w:rFonts w:ascii="Century Gothic" w:eastAsia="Century Gothic" w:hAnsi="Century Gothic" w:cs="Century Gothic"/>
        </w:rPr>
      </w:pPr>
    </w:p>
    <w:p w14:paraId="0A115B08"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Asimismo, menciona que es fundamental que la familia participe en la vida escolar de sus hijos, ya que su presencia motiva un mejor desempeño en las actividades escolares, que la familia esté en armonía con el plan educativo de la institución y ambas unan esfuerzos a favor del desarrollo de los niños y jóvenes, en primer lugar.</w:t>
      </w:r>
    </w:p>
    <w:p w14:paraId="56DDEDD0" w14:textId="77777777" w:rsidR="00C3616A" w:rsidRDefault="00C3616A">
      <w:pPr>
        <w:jc w:val="both"/>
        <w:rPr>
          <w:rFonts w:ascii="Century Gothic" w:eastAsia="Century Gothic" w:hAnsi="Century Gothic" w:cs="Century Gothic"/>
        </w:rPr>
      </w:pPr>
    </w:p>
    <w:p w14:paraId="1AF92F57"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En segundo lugar, indica que el papel de los padres es continuar el trabajo de la escuela, creando condiciones para que sus hijos tengan éxito tanto en el salón de clases como en la edad adulta.</w:t>
      </w:r>
    </w:p>
    <w:p w14:paraId="6499C9DC" w14:textId="77777777" w:rsidR="00C3616A" w:rsidRDefault="00C3616A">
      <w:pPr>
        <w:jc w:val="both"/>
        <w:rPr>
          <w:rFonts w:ascii="Century Gothic" w:eastAsia="Century Gothic" w:hAnsi="Century Gothic" w:cs="Century Gothic"/>
        </w:rPr>
      </w:pPr>
    </w:p>
    <w:p w14:paraId="7AE1F208"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 xml:space="preserve">Tercero, manifiesta que la ausencia de los padres en el proceso de educación integral de los estudiantes, se convierte en un problema social que trae consigo </w:t>
      </w:r>
      <w:r>
        <w:rPr>
          <w:rFonts w:ascii="Century Gothic" w:eastAsia="Century Gothic" w:hAnsi="Century Gothic" w:cs="Century Gothic"/>
        </w:rPr>
        <w:lastRenderedPageBreak/>
        <w:t>la falta de preparación y orientación familiar y el debilitamiento de los lazos familiares, provocando actitudes de indiferencia por parte de los padres de familia.</w:t>
      </w:r>
    </w:p>
    <w:p w14:paraId="490F1970" w14:textId="77777777" w:rsidR="00C3616A" w:rsidRDefault="00C3616A">
      <w:pPr>
        <w:jc w:val="both"/>
        <w:rPr>
          <w:rFonts w:ascii="Century Gothic" w:eastAsia="Century Gothic" w:hAnsi="Century Gothic" w:cs="Century Gothic"/>
        </w:rPr>
      </w:pPr>
    </w:p>
    <w:p w14:paraId="634FB354"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Cuarto, cuantas más familias se involucren en la educación de sus hijos y participen activamente en su vida escolar, mejores serán los resultados de aprendizaje académico</w:t>
      </w:r>
      <w:r>
        <w:rPr>
          <w:rFonts w:ascii="Century Gothic" w:eastAsia="Century Gothic" w:hAnsi="Century Gothic" w:cs="Century Gothic"/>
          <w:vertAlign w:val="superscript"/>
        </w:rPr>
        <w:footnoteReference w:id="8"/>
      </w:r>
      <w:r>
        <w:rPr>
          <w:rFonts w:ascii="Century Gothic" w:eastAsia="Century Gothic" w:hAnsi="Century Gothic" w:cs="Century Gothic"/>
        </w:rPr>
        <w:t>.</w:t>
      </w:r>
    </w:p>
    <w:p w14:paraId="039F8EF6" w14:textId="77777777" w:rsidR="00C3616A" w:rsidRDefault="00C3616A">
      <w:pPr>
        <w:jc w:val="both"/>
        <w:rPr>
          <w:rFonts w:ascii="Century Gothic" w:eastAsia="Century Gothic" w:hAnsi="Century Gothic" w:cs="Century Gothic"/>
        </w:rPr>
      </w:pPr>
    </w:p>
    <w:p w14:paraId="1B3C26FF" w14:textId="77777777" w:rsidR="00C3616A" w:rsidRDefault="00000000">
      <w:pPr>
        <w:jc w:val="both"/>
        <w:rPr>
          <w:rFonts w:ascii="Century Gothic" w:eastAsia="Century Gothic" w:hAnsi="Century Gothic" w:cs="Century Gothic"/>
        </w:rPr>
      </w:pPr>
      <w:r>
        <w:rPr>
          <w:rFonts w:ascii="Century Gothic" w:eastAsia="Century Gothic" w:hAnsi="Century Gothic" w:cs="Century Gothic"/>
        </w:rPr>
        <w:t>Finalmente, una mayor participación de los padres da como resultado mejores calificaciones, como se demostró en el informe publicado en febrero de 2016 por la Organización para la Cooperación Internacional y Desarrollo Económico (OCDE) y los resultados de Pisa (examen internacional de la entidad), apuntan a los impactos positivos en la mejora del ambiente escolar y la reducción de la indisciplina.</w:t>
      </w:r>
      <w:r>
        <w:rPr>
          <w:rFonts w:ascii="Century Gothic" w:eastAsia="Century Gothic" w:hAnsi="Century Gothic" w:cs="Century Gothic"/>
          <w:vertAlign w:val="superscript"/>
        </w:rPr>
        <w:footnoteReference w:id="9"/>
      </w:r>
    </w:p>
    <w:p w14:paraId="6DB0BDE1" w14:textId="77777777" w:rsidR="00C3616A" w:rsidRDefault="00C3616A">
      <w:pPr>
        <w:spacing w:line="276" w:lineRule="auto"/>
        <w:jc w:val="both"/>
        <w:rPr>
          <w:rFonts w:ascii="Century Gothic" w:eastAsia="Century Gothic" w:hAnsi="Century Gothic" w:cs="Century Gothic"/>
        </w:rPr>
      </w:pPr>
    </w:p>
    <w:p w14:paraId="30715840" w14:textId="77777777" w:rsidR="00C3616A" w:rsidRDefault="00000000">
      <w:pPr>
        <w:spacing w:line="276" w:lineRule="auto"/>
        <w:jc w:val="both"/>
        <w:rPr>
          <w:rFonts w:ascii="Century Gothic" w:eastAsia="Century Gothic" w:hAnsi="Century Gothic" w:cs="Century Gothic"/>
        </w:rPr>
      </w:pPr>
      <w:r>
        <w:rPr>
          <w:rFonts w:ascii="Century Gothic" w:eastAsia="Century Gothic" w:hAnsi="Century Gothic" w:cs="Century Gothic"/>
        </w:rPr>
        <w:t>Así las cosas, al Estado le resulta imperativo legislar sobre acciones necesarias que ponderen la participación de los padres o tutores legales en las actividades escolares, para un correcto equilibrio entre el ámbito laboral y sus deberes como padres.</w:t>
      </w:r>
    </w:p>
    <w:p w14:paraId="07535E4E" w14:textId="77777777" w:rsidR="00C3616A" w:rsidRDefault="00C3616A">
      <w:pPr>
        <w:spacing w:line="276" w:lineRule="auto"/>
        <w:ind w:left="720"/>
        <w:jc w:val="both"/>
        <w:rPr>
          <w:rFonts w:ascii="Century Gothic" w:eastAsia="Century Gothic" w:hAnsi="Century Gothic" w:cs="Century Gothic"/>
          <w:b/>
        </w:rPr>
      </w:pPr>
    </w:p>
    <w:p w14:paraId="24557BA7" w14:textId="77777777" w:rsidR="00C3616A" w:rsidRDefault="00C3616A">
      <w:pPr>
        <w:rPr>
          <w:rFonts w:ascii="Century Gothic" w:eastAsia="Century Gothic" w:hAnsi="Century Gothic" w:cs="Century Gothic"/>
        </w:rPr>
      </w:pPr>
    </w:p>
    <w:p w14:paraId="7E757AAC" w14:textId="77777777" w:rsidR="00C3616A" w:rsidRDefault="00000000">
      <w:pPr>
        <w:numPr>
          <w:ilvl w:val="0"/>
          <w:numId w:val="1"/>
        </w:numPr>
        <w:pBdr>
          <w:top w:val="nil"/>
          <w:left w:val="nil"/>
          <w:bottom w:val="nil"/>
          <w:right w:val="nil"/>
          <w:between w:val="nil"/>
        </w:pBdr>
        <w:spacing w:line="276" w:lineRule="auto"/>
        <w:rPr>
          <w:rFonts w:ascii="Century Gothic" w:eastAsia="Century Gothic" w:hAnsi="Century Gothic" w:cs="Century Gothic"/>
          <w:b/>
          <w:color w:val="000000"/>
        </w:rPr>
      </w:pPr>
      <w:r>
        <w:rPr>
          <w:rFonts w:ascii="Century Gothic" w:eastAsia="Century Gothic" w:hAnsi="Century Gothic" w:cs="Century Gothic"/>
          <w:b/>
          <w:color w:val="000000"/>
        </w:rPr>
        <w:t>CONFLICTO DE INTERESES</w:t>
      </w:r>
    </w:p>
    <w:p w14:paraId="7BF023D9" w14:textId="77777777" w:rsidR="00C3616A" w:rsidRDefault="00C3616A"/>
    <w:p w14:paraId="469C3657" w14:textId="77777777" w:rsidR="00C3616A" w:rsidRDefault="00C3616A"/>
    <w:p w14:paraId="71DD80D8" w14:textId="77777777" w:rsidR="00C3616A" w:rsidRDefault="00000000">
      <w:pPr>
        <w:spacing w:line="276"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Dando alcance a lo establecido en el artículo 3 de la Ley 2003 de 2019, “</w:t>
      </w:r>
      <w:r>
        <w:rPr>
          <w:rFonts w:ascii="Century Gothic" w:eastAsia="Century Gothic" w:hAnsi="Century Gothic" w:cs="Century Gothic"/>
          <w:i/>
          <w:highlight w:val="white"/>
        </w:rPr>
        <w:t>Por la cual se modifica parcialmente la Ley 5 de 1992</w:t>
      </w:r>
      <w:r>
        <w:rPr>
          <w:rFonts w:ascii="Century Gothic" w:eastAsia="Century Gothic" w:hAnsi="Century Gothic" w:cs="Century Gothic"/>
          <w:highlight w:val="white"/>
        </w:rPr>
        <w:t>”, 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59A4C51F" w14:textId="77777777" w:rsidR="00C3616A" w:rsidRDefault="00C3616A">
      <w:pPr>
        <w:spacing w:line="276" w:lineRule="auto"/>
        <w:jc w:val="both"/>
        <w:rPr>
          <w:rFonts w:ascii="Century Gothic" w:eastAsia="Century Gothic" w:hAnsi="Century Gothic" w:cs="Century Gothic"/>
          <w:highlight w:val="white"/>
        </w:rPr>
      </w:pPr>
    </w:p>
    <w:p w14:paraId="212B0A69" w14:textId="77777777" w:rsidR="00C3616A" w:rsidRDefault="00000000">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lastRenderedPageBreak/>
        <w:t>“</w:t>
      </w:r>
      <w:r>
        <w:rPr>
          <w:rFonts w:ascii="Century Gothic" w:eastAsia="Century Gothic" w:hAnsi="Century Gothic" w:cs="Century Gothic"/>
          <w:b/>
          <w:i/>
          <w:color w:val="000000"/>
          <w:highlight w:val="white"/>
        </w:rPr>
        <w:t>Artículo 286. Régimen de conflicto de interés de los congresistas.</w:t>
      </w:r>
      <w:r>
        <w:rPr>
          <w:rFonts w:ascii="Century Gothic" w:eastAsia="Century Gothic" w:hAnsi="Century Gothic" w:cs="Century Gothic"/>
          <w:i/>
          <w:color w:val="000000"/>
          <w:highlight w:val="white"/>
        </w:rPr>
        <w:t xml:space="preserve"> Todos los congresistas deberán declarar los conflictos De intereses que pudieran surgir en ejercicio de sus funciones.</w:t>
      </w:r>
    </w:p>
    <w:p w14:paraId="0B3B10F3" w14:textId="77777777" w:rsidR="00C3616A" w:rsidRDefault="00C3616A">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p>
    <w:p w14:paraId="7405F398" w14:textId="77777777" w:rsidR="00C3616A" w:rsidRDefault="00000000">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Se entiende como conflicto de interés una situación donde la discusión o votación de un proyecto de ley o acto legislativo o artículo, pueda resultar en un beneficio particular, actual y directo a favor del congresista. </w:t>
      </w:r>
    </w:p>
    <w:p w14:paraId="235F0CB3" w14:textId="77777777" w:rsidR="00C3616A" w:rsidRDefault="00C3616A">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p>
    <w:p w14:paraId="1076F9E2" w14:textId="77777777" w:rsidR="00C3616A" w:rsidRDefault="00000000">
      <w:pPr>
        <w:numPr>
          <w:ilvl w:val="0"/>
          <w:numId w:val="2"/>
        </w:numPr>
        <w:pBdr>
          <w:top w:val="nil"/>
          <w:left w:val="nil"/>
          <w:bottom w:val="nil"/>
          <w:right w:val="nil"/>
          <w:between w:val="nil"/>
        </w:pBdr>
        <w:tabs>
          <w:tab w:val="left" w:pos="993"/>
        </w:tabs>
        <w:spacing w:line="276" w:lineRule="auto"/>
        <w:ind w:left="1134" w:right="900" w:hanging="283"/>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F5D1830" w14:textId="77777777" w:rsidR="00C3616A" w:rsidRDefault="00C3616A">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p>
    <w:p w14:paraId="7175AF0B" w14:textId="77777777" w:rsidR="00C3616A" w:rsidRDefault="00000000">
      <w:pPr>
        <w:numPr>
          <w:ilvl w:val="0"/>
          <w:numId w:val="2"/>
        </w:numPr>
        <w:pBdr>
          <w:top w:val="nil"/>
          <w:left w:val="nil"/>
          <w:bottom w:val="nil"/>
          <w:right w:val="nil"/>
          <w:between w:val="nil"/>
        </w:pBdr>
        <w:tabs>
          <w:tab w:val="left" w:pos="993"/>
        </w:tabs>
        <w:spacing w:line="276" w:lineRule="auto"/>
        <w:ind w:left="1134" w:right="900" w:hanging="283"/>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Beneficio actual: aquel que efectivamente se configura en las circunstancias presentes y existentes al momento en el que el congresista participa de la decisión. </w:t>
      </w:r>
    </w:p>
    <w:p w14:paraId="4AC92F62" w14:textId="77777777" w:rsidR="00C3616A" w:rsidRDefault="00C3616A">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p>
    <w:p w14:paraId="232B9C25" w14:textId="77777777" w:rsidR="00C3616A" w:rsidRDefault="00000000">
      <w:pPr>
        <w:numPr>
          <w:ilvl w:val="0"/>
          <w:numId w:val="2"/>
        </w:numPr>
        <w:pBdr>
          <w:top w:val="nil"/>
          <w:left w:val="nil"/>
          <w:bottom w:val="nil"/>
          <w:right w:val="nil"/>
          <w:between w:val="nil"/>
        </w:pBdr>
        <w:tabs>
          <w:tab w:val="left" w:pos="993"/>
        </w:tabs>
        <w:spacing w:line="276" w:lineRule="auto"/>
        <w:ind w:left="1134" w:right="900" w:hanging="283"/>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Beneficio directo: aquel que se produzca de forma específica respecto del congresista, de su cónyuge, compañero o compañera permanente, o parientes dentro del segundo grado de consanguinidad, segundo de afinidad o primero civil.</w:t>
      </w:r>
    </w:p>
    <w:p w14:paraId="5B11ED3D" w14:textId="77777777" w:rsidR="00C3616A" w:rsidRDefault="00C3616A">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p>
    <w:p w14:paraId="59C72708" w14:textId="77777777" w:rsidR="00C3616A" w:rsidRDefault="00000000">
      <w:pPr>
        <w:pBdr>
          <w:top w:val="nil"/>
          <w:left w:val="nil"/>
          <w:bottom w:val="nil"/>
          <w:right w:val="nil"/>
          <w:between w:val="nil"/>
        </w:pBdr>
        <w:tabs>
          <w:tab w:val="left" w:pos="993"/>
        </w:tabs>
        <w:spacing w:line="276" w:lineRule="auto"/>
        <w:ind w:left="1134" w:right="900"/>
        <w:jc w:val="both"/>
        <w:rPr>
          <w:rFonts w:ascii="Century Gothic" w:eastAsia="Century Gothic" w:hAnsi="Century Gothic" w:cs="Century Gothic"/>
          <w:color w:val="000000"/>
          <w:highlight w:val="white"/>
        </w:rPr>
      </w:pPr>
      <w:r>
        <w:rPr>
          <w:rFonts w:ascii="Century Gothic" w:eastAsia="Century Gothic" w:hAnsi="Century Gothic" w:cs="Century Gothic"/>
          <w:color w:val="000000"/>
          <w:highlight w:val="white"/>
        </w:rPr>
        <w:t>(…)”</w:t>
      </w:r>
    </w:p>
    <w:p w14:paraId="483150FF" w14:textId="77777777" w:rsidR="00C3616A" w:rsidRDefault="00C3616A">
      <w:pPr>
        <w:spacing w:line="276" w:lineRule="auto"/>
        <w:jc w:val="both"/>
        <w:rPr>
          <w:rFonts w:ascii="Century Gothic" w:eastAsia="Century Gothic" w:hAnsi="Century Gothic" w:cs="Century Gothic"/>
          <w:highlight w:val="white"/>
        </w:rPr>
      </w:pPr>
    </w:p>
    <w:p w14:paraId="26FD207A" w14:textId="77777777" w:rsidR="00C3616A" w:rsidRDefault="00000000">
      <w:pPr>
        <w:spacing w:line="276"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Sobre este asunto la Sala Plena Contenciosa Administrativa del Honorable Consejo de Estado en su sentencia 02830 del 16 de julio de 2019, M.P. Carlos Enrique Moreno Rubio, señaló que:</w:t>
      </w:r>
    </w:p>
    <w:p w14:paraId="57D3B9FE" w14:textId="77777777" w:rsidR="00C3616A" w:rsidRDefault="00C3616A">
      <w:pPr>
        <w:spacing w:line="276" w:lineRule="auto"/>
        <w:jc w:val="both"/>
        <w:rPr>
          <w:rFonts w:ascii="Century Gothic" w:eastAsia="Century Gothic" w:hAnsi="Century Gothic" w:cs="Century Gothic"/>
          <w:highlight w:val="white"/>
        </w:rPr>
      </w:pPr>
    </w:p>
    <w:p w14:paraId="70931EA9" w14:textId="77777777" w:rsidR="00C3616A" w:rsidRDefault="00000000">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r>
        <w:rPr>
          <w:rFonts w:ascii="Century Gothic" w:eastAsia="Century Gothic" w:hAnsi="Century Gothic" w:cs="Century Gothic"/>
          <w:i/>
          <w:color w:val="000000"/>
          <w:highlight w:val="white"/>
        </w:rPr>
        <w:t xml:space="preserve">“No cualquier interés configura la causal de desinvestidura en comento, pues se sabe que sólo lo será aquél del que se pueda predicar que es directo, esto es, que per se el alegado beneficio, provecho o utilidad encuentre su fuente en el asunto que fue </w:t>
      </w:r>
      <w:r>
        <w:rPr>
          <w:rFonts w:ascii="Century Gothic" w:eastAsia="Century Gothic" w:hAnsi="Century Gothic" w:cs="Century Gothic"/>
          <w:i/>
          <w:color w:val="000000"/>
          <w:highlight w:val="white"/>
        </w:rPr>
        <w:lastRenderedPageBreak/>
        <w:t>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570C2DFB" w14:textId="77777777" w:rsidR="00C3616A" w:rsidRDefault="00C3616A">
      <w:pPr>
        <w:pBdr>
          <w:top w:val="nil"/>
          <w:left w:val="nil"/>
          <w:bottom w:val="nil"/>
          <w:right w:val="nil"/>
          <w:between w:val="nil"/>
        </w:pBdr>
        <w:spacing w:line="276" w:lineRule="auto"/>
        <w:ind w:left="851" w:right="900"/>
        <w:jc w:val="both"/>
        <w:rPr>
          <w:rFonts w:ascii="Century Gothic" w:eastAsia="Century Gothic" w:hAnsi="Century Gothic" w:cs="Century Gothic"/>
          <w:i/>
          <w:color w:val="000000"/>
          <w:highlight w:val="white"/>
        </w:rPr>
      </w:pPr>
    </w:p>
    <w:p w14:paraId="094CE84E" w14:textId="77777777" w:rsidR="00C3616A" w:rsidRDefault="00C3616A">
      <w:pPr>
        <w:spacing w:line="276" w:lineRule="auto"/>
        <w:jc w:val="both"/>
        <w:rPr>
          <w:rFonts w:ascii="Century Gothic" w:eastAsia="Century Gothic" w:hAnsi="Century Gothic" w:cs="Century Gothic"/>
          <w:highlight w:val="white"/>
        </w:rPr>
      </w:pPr>
    </w:p>
    <w:p w14:paraId="66789DF3" w14:textId="77777777" w:rsidR="00C3616A" w:rsidRDefault="00000000">
      <w:pPr>
        <w:spacing w:line="276" w:lineRule="auto"/>
        <w:jc w:val="both"/>
        <w:rPr>
          <w:rFonts w:ascii="Century Gothic" w:eastAsia="Century Gothic" w:hAnsi="Century Gothic" w:cs="Century Gothic"/>
          <w:highlight w:val="white"/>
        </w:rPr>
      </w:pPr>
      <w:r>
        <w:rPr>
          <w:rFonts w:ascii="Century Gothic" w:eastAsia="Century Gothic" w:hAnsi="Century Gothic" w:cs="Century Gothic"/>
          <w:highlight w:val="white"/>
        </w:rPr>
        <w:t>A partir de lo anterior, salvo mejor concepto, se estima que para la discusión y aprobación del presente Proyecto de Ley no existe conflicto de intereses al tratarse de un asunto de interés general. Con todo, 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o específicas en las que pueda estar inmerso.</w:t>
      </w:r>
    </w:p>
    <w:p w14:paraId="3C505429" w14:textId="77777777" w:rsidR="00C3616A" w:rsidRDefault="00C3616A">
      <w:pPr>
        <w:spacing w:line="276" w:lineRule="auto"/>
        <w:jc w:val="both"/>
        <w:rPr>
          <w:rFonts w:ascii="Century Gothic" w:eastAsia="Century Gothic" w:hAnsi="Century Gothic" w:cs="Century Gothic"/>
          <w:highlight w:val="white"/>
        </w:rPr>
      </w:pPr>
    </w:p>
    <w:p w14:paraId="70B97D69" w14:textId="77777777" w:rsidR="00C3616A" w:rsidRDefault="00C3616A">
      <w:pPr>
        <w:spacing w:line="276" w:lineRule="auto"/>
        <w:jc w:val="both"/>
        <w:rPr>
          <w:rFonts w:ascii="Century Gothic" w:eastAsia="Century Gothic" w:hAnsi="Century Gothic" w:cs="Century Gothic"/>
          <w:highlight w:val="white"/>
        </w:rPr>
      </w:pPr>
      <w:bookmarkStart w:id="4" w:name="_heading=h.3znysh7" w:colFirst="0" w:colLast="0"/>
      <w:bookmarkEnd w:id="4"/>
    </w:p>
    <w:p w14:paraId="170D2127" w14:textId="77777777" w:rsidR="00C3616A" w:rsidRDefault="00000000">
      <w:pPr>
        <w:spacing w:line="276" w:lineRule="auto"/>
        <w:rPr>
          <w:rFonts w:ascii="Century Gothic" w:eastAsia="Century Gothic" w:hAnsi="Century Gothic" w:cs="Century Gothic"/>
          <w:color w:val="000000"/>
        </w:rPr>
      </w:pPr>
      <w:r>
        <w:rPr>
          <w:rFonts w:ascii="Century Gothic" w:eastAsia="Century Gothic" w:hAnsi="Century Gothic" w:cs="Century Gothic"/>
          <w:color w:val="000000"/>
        </w:rPr>
        <w:t>De los Honorables Congresistas,</w:t>
      </w:r>
    </w:p>
    <w:p w14:paraId="6DBDA052" w14:textId="77777777" w:rsidR="00C3616A" w:rsidRDefault="00C3616A">
      <w:pPr>
        <w:spacing w:line="276" w:lineRule="auto"/>
        <w:rPr>
          <w:rFonts w:ascii="Century Gothic" w:eastAsia="Century Gothic" w:hAnsi="Century Gothic" w:cs="Century Gothic"/>
          <w:color w:val="000000"/>
        </w:rPr>
      </w:pPr>
    </w:p>
    <w:p w14:paraId="1EBC4AC0" w14:textId="77777777" w:rsidR="00C3616A" w:rsidRDefault="00C3616A">
      <w:pPr>
        <w:spacing w:line="276" w:lineRule="auto"/>
        <w:rPr>
          <w:rFonts w:ascii="Century Gothic" w:eastAsia="Century Gothic" w:hAnsi="Century Gothic" w:cs="Century Gothic"/>
          <w:b/>
          <w:sz w:val="22"/>
          <w:szCs w:val="22"/>
        </w:rPr>
      </w:pPr>
    </w:p>
    <w:p w14:paraId="3021B45A" w14:textId="5782143B" w:rsidR="00DC2CB7" w:rsidRDefault="00DC2CB7" w:rsidP="00DC2CB7">
      <w:pPr>
        <w:spacing w:line="276" w:lineRule="auto"/>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p>
    <w:p w14:paraId="21FA820E" w14:textId="77777777" w:rsidR="00CA205E" w:rsidRDefault="00CA205E" w:rsidP="00DC2CB7">
      <w:pPr>
        <w:spacing w:line="276" w:lineRule="auto"/>
        <w:rPr>
          <w:rFonts w:ascii="Century Gothic" w:eastAsia="Century Gothic" w:hAnsi="Century Gothic" w:cs="Century Gothic"/>
          <w:b/>
          <w:sz w:val="22"/>
          <w:szCs w:val="22"/>
        </w:rPr>
      </w:pPr>
    </w:p>
    <w:p w14:paraId="3FC2307E" w14:textId="77777777" w:rsidR="00CA205E" w:rsidRDefault="00CA205E" w:rsidP="00DC2CB7">
      <w:pPr>
        <w:spacing w:line="276" w:lineRule="auto"/>
        <w:rPr>
          <w:rFonts w:ascii="Century Gothic" w:eastAsia="Century Gothic" w:hAnsi="Century Gothic" w:cs="Century Gothic"/>
          <w:b/>
          <w:sz w:val="22"/>
          <w:szCs w:val="22"/>
        </w:rPr>
      </w:pPr>
    </w:p>
    <w:p w14:paraId="1810BF68" w14:textId="225C0896" w:rsidR="00DC2CB7" w:rsidRDefault="00DC2CB7" w:rsidP="00DC2CB7">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              </w:t>
      </w:r>
    </w:p>
    <w:p w14:paraId="558BC309" w14:textId="77777777" w:rsidR="00DC2CB7" w:rsidRDefault="00DC2CB7" w:rsidP="00DC2CB7">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ÓSCAR MAURICIO GIRALDO HERNÁNDEZ              LUIS MIGUEL LÓPEZ ARISTIZÁBAL </w:t>
      </w:r>
    </w:p>
    <w:p w14:paraId="6DC60A55" w14:textId="77777777" w:rsidR="00DC2CB7" w:rsidRDefault="00DC2CB7" w:rsidP="00DC2CB7">
      <w:pPr>
        <w:tabs>
          <w:tab w:val="left" w:pos="5625"/>
        </w:tabs>
        <w:spacing w:line="276" w:lineRule="auto"/>
        <w:ind w:left="1560" w:hanging="852"/>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Senador de la República                      Representante a la Cámara por Antioquia                                          </w:t>
      </w:r>
    </w:p>
    <w:p w14:paraId="61874574" w14:textId="77777777" w:rsidR="00DC2CB7" w:rsidRDefault="00DC2CB7" w:rsidP="00DC2CB7">
      <w:pPr>
        <w:tabs>
          <w:tab w:val="left" w:pos="5625"/>
        </w:tabs>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Partido Conservador Colombiano                     Partido Conservador Colombiano</w:t>
      </w:r>
    </w:p>
    <w:p w14:paraId="1D80669C" w14:textId="783D837D" w:rsidR="00DC2CB7" w:rsidRDefault="00DC2CB7" w:rsidP="00DC2CB7">
      <w:pPr>
        <w:tabs>
          <w:tab w:val="left" w:pos="5625"/>
        </w:tabs>
        <w:spacing w:line="276" w:lineRule="auto"/>
        <w:ind w:left="1560" w:hanging="852"/>
        <w:rPr>
          <w:rFonts w:ascii="Century Gothic" w:eastAsia="Century Gothic" w:hAnsi="Century Gothic" w:cs="Century Gothic"/>
          <w:sz w:val="22"/>
          <w:szCs w:val="22"/>
        </w:rPr>
      </w:pPr>
      <w:r>
        <w:rPr>
          <w:rFonts w:ascii="Century Gothic" w:eastAsia="Century Gothic" w:hAnsi="Century Gothic" w:cs="Century Gothic"/>
          <w:sz w:val="22"/>
          <w:szCs w:val="22"/>
        </w:rPr>
        <w:tab/>
        <w:t xml:space="preserve">Autor </w:t>
      </w:r>
      <w:r>
        <w:rPr>
          <w:rFonts w:ascii="Century Gothic" w:eastAsia="Century Gothic" w:hAnsi="Century Gothic" w:cs="Century Gothic"/>
          <w:sz w:val="22"/>
          <w:szCs w:val="22"/>
        </w:rPr>
        <w:tab/>
        <w:t xml:space="preserve">  </w:t>
      </w:r>
      <w:r>
        <w:rPr>
          <w:rFonts w:ascii="Century Gothic" w:eastAsia="Century Gothic" w:hAnsi="Century Gothic" w:cs="Century Gothic"/>
          <w:sz w:val="22"/>
          <w:szCs w:val="22"/>
        </w:rPr>
        <w:tab/>
        <w:t xml:space="preserve">             Autor</w:t>
      </w:r>
    </w:p>
    <w:p w14:paraId="6AEA535C" w14:textId="3A8CE17D" w:rsidR="0063102F" w:rsidRDefault="0063102F" w:rsidP="00DC2CB7">
      <w:pPr>
        <w:tabs>
          <w:tab w:val="left" w:pos="5625"/>
        </w:tabs>
        <w:spacing w:line="276" w:lineRule="auto"/>
        <w:ind w:left="1560" w:hanging="852"/>
        <w:rPr>
          <w:rFonts w:ascii="Century Gothic" w:eastAsia="Century Gothic" w:hAnsi="Century Gothic" w:cs="Century Gothic"/>
          <w:sz w:val="22"/>
          <w:szCs w:val="22"/>
        </w:rPr>
      </w:pPr>
    </w:p>
    <w:p w14:paraId="49B355FF" w14:textId="7FF6EC74" w:rsidR="0063102F" w:rsidRDefault="0063102F" w:rsidP="00DC2CB7">
      <w:pPr>
        <w:tabs>
          <w:tab w:val="left" w:pos="5625"/>
        </w:tabs>
        <w:spacing w:line="276" w:lineRule="auto"/>
        <w:ind w:left="1560" w:hanging="852"/>
        <w:rPr>
          <w:rFonts w:ascii="Century Gothic" w:eastAsia="Century Gothic" w:hAnsi="Century Gothic" w:cs="Century Gothic"/>
          <w:sz w:val="22"/>
          <w:szCs w:val="22"/>
        </w:rPr>
      </w:pPr>
    </w:p>
    <w:p w14:paraId="3EDA0FA8" w14:textId="4E978110" w:rsidR="0063102F" w:rsidRDefault="0063102F" w:rsidP="00DC2CB7">
      <w:pPr>
        <w:tabs>
          <w:tab w:val="left" w:pos="5625"/>
        </w:tabs>
        <w:spacing w:line="276" w:lineRule="auto"/>
        <w:ind w:left="1560" w:hanging="852"/>
        <w:rPr>
          <w:rFonts w:ascii="Century Gothic" w:eastAsia="Century Gothic" w:hAnsi="Century Gothic" w:cs="Century Gothic"/>
          <w:sz w:val="22"/>
          <w:szCs w:val="22"/>
        </w:rPr>
      </w:pPr>
    </w:p>
    <w:p w14:paraId="253F2545" w14:textId="77777777" w:rsidR="0063102F" w:rsidRDefault="0063102F" w:rsidP="00DC2CB7">
      <w:pPr>
        <w:tabs>
          <w:tab w:val="left" w:pos="5625"/>
        </w:tabs>
        <w:spacing w:line="276" w:lineRule="auto"/>
        <w:ind w:left="1560" w:hanging="852"/>
        <w:rPr>
          <w:rFonts w:ascii="Century Gothic" w:eastAsia="Century Gothic" w:hAnsi="Century Gothic" w:cs="Century Gothic"/>
          <w:sz w:val="22"/>
          <w:szCs w:val="22"/>
        </w:rPr>
      </w:pPr>
    </w:p>
    <w:p w14:paraId="61ED1EA0" w14:textId="77777777" w:rsidR="00DC2CB7" w:rsidRDefault="00DC2CB7" w:rsidP="00DC2CB7">
      <w:pPr>
        <w:rPr>
          <w:sz w:val="22"/>
          <w:szCs w:val="22"/>
        </w:rPr>
      </w:pPr>
    </w:p>
    <w:p w14:paraId="60BCC38E" w14:textId="77777777" w:rsidR="00DC2CB7" w:rsidRDefault="00DC2CB7" w:rsidP="00DC2CB7">
      <w:r>
        <w:rPr>
          <w:rFonts w:ascii="Arial Narrow" w:eastAsia="Arial Narrow" w:hAnsi="Arial Narrow" w:cs="Arial Narrow"/>
        </w:rPr>
        <w:t xml:space="preserve">                      </w:t>
      </w:r>
      <w:r>
        <w:rPr>
          <w:rFonts w:ascii="Arial Narrow" w:eastAsia="Arial Narrow" w:hAnsi="Arial Narrow" w:cs="Arial Narrow"/>
        </w:rPr>
        <w:tab/>
      </w:r>
    </w:p>
    <w:p w14:paraId="44A6F9D9" w14:textId="68D651E3" w:rsidR="00DC2CB7" w:rsidRDefault="00DC2CB7" w:rsidP="00DC2CB7">
      <w:pPr>
        <w:spacing w:before="240" w:line="276" w:lineRule="auto"/>
        <w:rPr>
          <w:rFonts w:ascii="Arial" w:eastAsia="Arial" w:hAnsi="Arial" w:cs="Arial"/>
          <w:b/>
        </w:rPr>
      </w:pPr>
    </w:p>
    <w:p w14:paraId="54CBDCD0" w14:textId="77777777" w:rsidR="00DC2CB7" w:rsidRDefault="00DC2CB7" w:rsidP="00DC2CB7">
      <w:pPr>
        <w:spacing w:before="240" w:line="276" w:lineRule="auto"/>
        <w:rPr>
          <w:rFonts w:ascii="Arial" w:eastAsia="Arial" w:hAnsi="Arial" w:cs="Arial"/>
          <w:b/>
        </w:rPr>
      </w:pPr>
      <w:r>
        <w:rPr>
          <w:rFonts w:ascii="Arial" w:eastAsia="Arial" w:hAnsi="Arial" w:cs="Arial"/>
          <w:b/>
        </w:rPr>
        <w:t xml:space="preserve">Nicolás Albeiro Echeverry Alvarán             Marcos Daniel Pineda Garcia                   </w:t>
      </w:r>
      <w:r>
        <w:rPr>
          <w:rFonts w:ascii="Arial" w:eastAsia="Arial" w:hAnsi="Arial" w:cs="Arial"/>
          <w:b/>
        </w:rPr>
        <w:tab/>
      </w:r>
    </w:p>
    <w:p w14:paraId="2BE2EF61" w14:textId="77777777" w:rsidR="00DC2CB7" w:rsidRDefault="00DC2CB7" w:rsidP="00DC2CB7">
      <w:pPr>
        <w:tabs>
          <w:tab w:val="left" w:pos="5625"/>
        </w:tabs>
        <w:spacing w:line="276" w:lineRule="auto"/>
        <w:ind w:left="1560" w:hanging="852"/>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Senador de la República                         Senador de la República                             </w:t>
      </w:r>
      <w:r>
        <w:rPr>
          <w:rFonts w:ascii="Century Gothic" w:eastAsia="Century Gothic" w:hAnsi="Century Gothic" w:cs="Century Gothic"/>
          <w:sz w:val="22"/>
          <w:szCs w:val="22"/>
        </w:rPr>
        <w:tab/>
      </w:r>
    </w:p>
    <w:p w14:paraId="3C063195" w14:textId="77777777" w:rsidR="00DC2CB7" w:rsidRDefault="00DC2CB7" w:rsidP="00DC2CB7">
      <w:pPr>
        <w:tabs>
          <w:tab w:val="left" w:pos="5625"/>
        </w:tabs>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    Partido Conservador Colombiano</w:t>
      </w:r>
    </w:p>
    <w:p w14:paraId="54A8F6B2" w14:textId="0110513A" w:rsidR="00DC2CB7" w:rsidRDefault="00DC2CB7" w:rsidP="00DC2CB7">
      <w:pPr>
        <w:tabs>
          <w:tab w:val="left" w:pos="5625"/>
        </w:tabs>
        <w:spacing w:line="276" w:lineRule="auto"/>
        <w:ind w:left="1560" w:hanging="852"/>
        <w:rPr>
          <w:rFonts w:ascii="Century Gothic" w:eastAsia="Century Gothic" w:hAnsi="Century Gothic" w:cs="Century Gothic"/>
        </w:rPr>
      </w:pPr>
      <w:r>
        <w:rPr>
          <w:rFonts w:ascii="Century Gothic" w:eastAsia="Century Gothic" w:hAnsi="Century Gothic" w:cs="Century Gothic"/>
          <w:sz w:val="22"/>
          <w:szCs w:val="22"/>
        </w:rPr>
        <w:tab/>
        <w:t>Coautor</w:t>
      </w:r>
    </w:p>
    <w:p w14:paraId="710CF522" w14:textId="7024F07A" w:rsidR="00DC2CB7" w:rsidRDefault="00DC2CB7" w:rsidP="00DC2CB7">
      <w:pPr>
        <w:spacing w:line="276" w:lineRule="auto"/>
        <w:rPr>
          <w:rFonts w:ascii="Century Gothic" w:eastAsia="Century Gothic" w:hAnsi="Century Gothic" w:cs="Century Gothic"/>
          <w:color w:val="000000"/>
        </w:rPr>
      </w:pPr>
    </w:p>
    <w:p w14:paraId="542A6F9B" w14:textId="3F22FE3D" w:rsidR="00CA205E" w:rsidRDefault="00CA205E" w:rsidP="00DC2CB7">
      <w:pPr>
        <w:spacing w:line="276" w:lineRule="auto"/>
        <w:rPr>
          <w:rFonts w:ascii="Century Gothic" w:eastAsia="Century Gothic" w:hAnsi="Century Gothic" w:cs="Century Gothic"/>
          <w:color w:val="000000"/>
        </w:rPr>
      </w:pPr>
    </w:p>
    <w:p w14:paraId="3C8040ED" w14:textId="77777777" w:rsidR="00CA205E" w:rsidRDefault="00CA205E" w:rsidP="00DC2CB7">
      <w:pPr>
        <w:spacing w:line="276" w:lineRule="auto"/>
        <w:rPr>
          <w:rFonts w:ascii="Century Gothic" w:eastAsia="Century Gothic" w:hAnsi="Century Gothic" w:cs="Century Gothic"/>
          <w:color w:val="000000"/>
        </w:rPr>
      </w:pPr>
    </w:p>
    <w:p w14:paraId="19251DD4" w14:textId="77777777" w:rsidR="00DC2CB7" w:rsidRDefault="00DC2CB7" w:rsidP="00DC2CB7">
      <w:pPr>
        <w:spacing w:line="276" w:lineRule="auto"/>
        <w:rPr>
          <w:rFonts w:ascii="Century Gothic" w:eastAsia="Century Gothic" w:hAnsi="Century Gothic" w:cs="Century Gothic"/>
        </w:rPr>
      </w:pPr>
    </w:p>
    <w:p w14:paraId="3FF606E3" w14:textId="77777777" w:rsidR="00DC2CB7" w:rsidRDefault="00DC2CB7" w:rsidP="00DC2CB7">
      <w:pPr>
        <w:spacing w:line="276" w:lineRule="auto"/>
        <w:rPr>
          <w:rFonts w:ascii="Century Gothic" w:eastAsia="Century Gothic" w:hAnsi="Century Gothic" w:cs="Century Gothic"/>
        </w:rPr>
      </w:pPr>
    </w:p>
    <w:p w14:paraId="5C730722" w14:textId="77777777" w:rsidR="00DC2CB7" w:rsidRDefault="00DC2CB7" w:rsidP="00DC2CB7">
      <w:pPr>
        <w:spacing w:line="276" w:lineRule="auto"/>
        <w:rPr>
          <w:rFonts w:ascii="Arial" w:eastAsia="Arial" w:hAnsi="Arial" w:cs="Arial"/>
          <w:b/>
        </w:rPr>
      </w:pPr>
      <w:r>
        <w:rPr>
          <w:rFonts w:ascii="Arial" w:eastAsia="Arial" w:hAnsi="Arial" w:cs="Arial"/>
          <w:b/>
        </w:rPr>
        <w:t>Nadia Blel Scaff</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t>Efraín Cepeda Sarabia</w:t>
      </w:r>
    </w:p>
    <w:p w14:paraId="43E586EE" w14:textId="1F47AAFA" w:rsidR="00DC2CB7" w:rsidRDefault="00DC2CB7" w:rsidP="00DC2CB7">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Senadora de la República </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Senador de la República</w:t>
      </w:r>
    </w:p>
    <w:p w14:paraId="577641A9" w14:textId="77777777" w:rsidR="00DC2CB7" w:rsidRDefault="00DC2CB7" w:rsidP="00DC2CB7">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Partido Conservador </w:t>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t>Partido Conservador</w:t>
      </w:r>
    </w:p>
    <w:p w14:paraId="59C3E86C" w14:textId="77777777" w:rsidR="0063102F" w:rsidRDefault="0063102F" w:rsidP="00DC2CB7">
      <w:pPr>
        <w:spacing w:line="276" w:lineRule="auto"/>
        <w:jc w:val="both"/>
        <w:rPr>
          <w:rFonts w:ascii="Century Gothic" w:eastAsia="Century Gothic" w:hAnsi="Century Gothic" w:cs="Century Gothic"/>
          <w:b/>
          <w:color w:val="000000"/>
        </w:rPr>
      </w:pPr>
    </w:p>
    <w:p w14:paraId="7802BA79" w14:textId="77777777" w:rsidR="0063102F" w:rsidRDefault="0063102F" w:rsidP="00DC2CB7">
      <w:pPr>
        <w:spacing w:line="276" w:lineRule="auto"/>
        <w:jc w:val="both"/>
        <w:rPr>
          <w:rFonts w:ascii="Century Gothic" w:eastAsia="Century Gothic" w:hAnsi="Century Gothic" w:cs="Century Gothic"/>
          <w:b/>
          <w:color w:val="000000"/>
        </w:rPr>
      </w:pPr>
    </w:p>
    <w:p w14:paraId="15CAD2C1" w14:textId="77777777" w:rsidR="0063102F" w:rsidRDefault="0063102F" w:rsidP="00DC2CB7">
      <w:pPr>
        <w:spacing w:line="276" w:lineRule="auto"/>
        <w:jc w:val="both"/>
        <w:rPr>
          <w:rFonts w:ascii="Century Gothic" w:eastAsia="Century Gothic" w:hAnsi="Century Gothic" w:cs="Century Gothic"/>
          <w:b/>
          <w:color w:val="000000"/>
        </w:rPr>
      </w:pPr>
    </w:p>
    <w:p w14:paraId="6EC1CB21" w14:textId="1B76FB5C" w:rsidR="00DC2CB7" w:rsidRDefault="00DC2CB7" w:rsidP="00DC2CB7">
      <w:pPr>
        <w:spacing w:line="276" w:lineRule="auto"/>
        <w:jc w:val="both"/>
        <w:rPr>
          <w:rFonts w:ascii="Century Gothic" w:eastAsia="Century Gothic" w:hAnsi="Century Gothic" w:cs="Century Gothic"/>
          <w:b/>
          <w:color w:val="000000"/>
        </w:rPr>
      </w:pPr>
    </w:p>
    <w:p w14:paraId="1B9AAFEB" w14:textId="77777777" w:rsidR="00DC2CB7" w:rsidRDefault="00DC2CB7" w:rsidP="00DC2CB7">
      <w:pPr>
        <w:spacing w:line="276" w:lineRule="auto"/>
        <w:jc w:val="both"/>
        <w:rPr>
          <w:rFonts w:ascii="Century Gothic" w:eastAsia="Century Gothic" w:hAnsi="Century Gothic" w:cs="Century Gothic"/>
          <w:b/>
        </w:rPr>
      </w:pPr>
    </w:p>
    <w:p w14:paraId="185B98D3" w14:textId="77777777" w:rsidR="00DC2CB7" w:rsidRDefault="00DC2CB7" w:rsidP="00DC2CB7">
      <w:pPr>
        <w:spacing w:line="276" w:lineRule="auto"/>
        <w:jc w:val="both"/>
        <w:rPr>
          <w:rFonts w:ascii="Century Gothic" w:eastAsia="Century Gothic" w:hAnsi="Century Gothic" w:cs="Century Gothic"/>
          <w:b/>
        </w:rPr>
      </w:pPr>
    </w:p>
    <w:p w14:paraId="0D0290F3" w14:textId="77777777" w:rsidR="00DC2CB7" w:rsidRDefault="00DC2CB7" w:rsidP="00DC2CB7">
      <w:pPr>
        <w:spacing w:line="276" w:lineRule="auto"/>
        <w:jc w:val="both"/>
        <w:rPr>
          <w:rFonts w:ascii="Century Gothic" w:eastAsia="Century Gothic" w:hAnsi="Century Gothic" w:cs="Century Gothic"/>
          <w:b/>
        </w:rPr>
      </w:pPr>
    </w:p>
    <w:p w14:paraId="367F79E4" w14:textId="77777777" w:rsidR="00DC2CB7" w:rsidRDefault="00DC2CB7" w:rsidP="00DC2CB7">
      <w:pPr>
        <w:spacing w:line="276" w:lineRule="auto"/>
        <w:jc w:val="both"/>
        <w:rPr>
          <w:rFonts w:ascii="Century Gothic" w:eastAsia="Century Gothic" w:hAnsi="Century Gothic" w:cs="Century Gothic"/>
          <w:b/>
        </w:rPr>
      </w:pPr>
      <w:r>
        <w:rPr>
          <w:rFonts w:ascii="Century Gothic" w:eastAsia="Century Gothic" w:hAnsi="Century Gothic" w:cs="Century Gothic"/>
          <w:b/>
        </w:rPr>
        <w:t xml:space="preserve">GERMAN BLANCO ALVAREZ </w:t>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t>CARLOS EDUARDO GUEVARA V</w:t>
      </w:r>
    </w:p>
    <w:p w14:paraId="537401D5" w14:textId="77777777" w:rsidR="00DC2CB7" w:rsidRDefault="00DC2CB7" w:rsidP="00DC2CB7">
      <w:pPr>
        <w:spacing w:line="276" w:lineRule="auto"/>
        <w:jc w:val="both"/>
        <w:rPr>
          <w:rFonts w:ascii="Century Gothic" w:eastAsia="Century Gothic" w:hAnsi="Century Gothic" w:cs="Century Gothic"/>
        </w:rPr>
      </w:pPr>
      <w:r>
        <w:rPr>
          <w:rFonts w:ascii="Century Gothic" w:eastAsia="Century Gothic" w:hAnsi="Century Gothic" w:cs="Century Gothic"/>
          <w:b/>
        </w:rPr>
        <w:t>Senador de la República</w:t>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rPr>
        <w:t>Senador de la República</w:t>
      </w:r>
    </w:p>
    <w:p w14:paraId="70BC4B25" w14:textId="6FA9FCCF" w:rsidR="0063102F" w:rsidRPr="0063102F" w:rsidRDefault="00DC2CB7" w:rsidP="00DC2CB7">
      <w:pPr>
        <w:spacing w:line="276" w:lineRule="auto"/>
        <w:jc w:val="both"/>
        <w:rPr>
          <w:rFonts w:ascii="Century Gothic" w:eastAsia="Century Gothic" w:hAnsi="Century Gothic" w:cs="Century Gothic"/>
        </w:rPr>
      </w:pP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b/>
        </w:rPr>
        <w:tab/>
      </w:r>
      <w:r>
        <w:rPr>
          <w:rFonts w:ascii="Century Gothic" w:eastAsia="Century Gothic" w:hAnsi="Century Gothic" w:cs="Century Gothic"/>
        </w:rPr>
        <w:t>Partido MIRA</w:t>
      </w:r>
    </w:p>
    <w:p w14:paraId="2E3B47CC" w14:textId="2F898D0A" w:rsidR="0063102F" w:rsidRDefault="0063102F" w:rsidP="00DC2CB7">
      <w:pPr>
        <w:spacing w:line="276" w:lineRule="auto"/>
        <w:jc w:val="both"/>
        <w:rPr>
          <w:rFonts w:ascii="Century Gothic" w:eastAsia="Century Gothic" w:hAnsi="Century Gothic" w:cs="Century Gothic"/>
          <w:b/>
        </w:rPr>
      </w:pPr>
    </w:p>
    <w:p w14:paraId="2AFEFC82" w14:textId="77E9C31A" w:rsidR="00C3616A" w:rsidRPr="0063102F" w:rsidRDefault="0063102F" w:rsidP="0063102F">
      <w:pPr>
        <w:spacing w:line="276" w:lineRule="auto"/>
        <w:jc w:val="both"/>
        <w:rPr>
          <w:rFonts w:ascii="Century Gothic" w:eastAsia="Century Gothic" w:hAnsi="Century Gothic" w:cs="Century Gothic"/>
          <w:b/>
        </w:rPr>
      </w:pPr>
      <w:r>
        <w:rPr>
          <w:noProof/>
        </w:rPr>
        <w:drawing>
          <wp:anchor distT="114300" distB="114300" distL="114300" distR="114300" simplePos="0" relativeHeight="251670528" behindDoc="0" locked="0" layoutInCell="1" hidden="0" allowOverlap="1" wp14:anchorId="59C328E6" wp14:editId="6946E5E9">
            <wp:simplePos x="0" y="0"/>
            <wp:positionH relativeFrom="column">
              <wp:posOffset>-190635</wp:posOffset>
            </wp:positionH>
            <wp:positionV relativeFrom="paragraph">
              <wp:posOffset>608532</wp:posOffset>
            </wp:positionV>
            <wp:extent cx="2251075" cy="578196"/>
            <wp:effectExtent l="0" t="0" r="0" b="0"/>
            <wp:wrapNone/>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8"/>
                    <a:srcRect t="36756"/>
                    <a:stretch/>
                  </pic:blipFill>
                  <pic:spPr bwMode="auto">
                    <a:xfrm>
                      <a:off x="0" y="0"/>
                      <a:ext cx="2251494" cy="57830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C3616A" w:rsidRPr="0063102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678EB" w14:textId="77777777" w:rsidR="006E7CD1" w:rsidRDefault="006E7CD1">
      <w:r>
        <w:separator/>
      </w:r>
    </w:p>
  </w:endnote>
  <w:endnote w:type="continuationSeparator" w:id="0">
    <w:p w14:paraId="0C3C5149" w14:textId="77777777" w:rsidR="006E7CD1" w:rsidRDefault="006E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3263" w14:textId="77777777" w:rsidR="00C3616A" w:rsidRDefault="00000000">
    <w:pPr>
      <w:tabs>
        <w:tab w:val="center" w:pos="4252"/>
        <w:tab w:val="right" w:pos="8504"/>
      </w:tabs>
      <w:jc w:val="center"/>
    </w:pPr>
    <w:r>
      <w:rPr>
        <w:noProof/>
      </w:rPr>
      <w:drawing>
        <wp:inline distT="0" distB="0" distL="0" distR="0" wp14:anchorId="1BC74724" wp14:editId="4700EA72">
          <wp:extent cx="3114675" cy="266700"/>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14:paraId="50B3B4F0" w14:textId="77777777" w:rsidR="00C3616A" w:rsidRDefault="00000000">
    <w:pPr>
      <w:tabs>
        <w:tab w:val="center" w:pos="4252"/>
        <w:tab w:val="right" w:pos="8504"/>
      </w:tabs>
      <w:jc w:val="center"/>
      <w:rPr>
        <w:rFonts w:ascii="Gill Sans" w:eastAsia="Gill Sans" w:hAnsi="Gill Sans" w:cs="Gill Sans"/>
        <w:sz w:val="20"/>
        <w:szCs w:val="20"/>
      </w:rPr>
    </w:pPr>
    <w:r>
      <w:rPr>
        <w:rFonts w:ascii="Gill Sans" w:eastAsia="Gill Sans" w:hAnsi="Gill Sans" w:cs="Gill Sans"/>
        <w:sz w:val="20"/>
        <w:szCs w:val="20"/>
      </w:rPr>
      <w:t xml:space="preserve">Edificio Nuevo del Congreso </w:t>
    </w:r>
  </w:p>
  <w:p w14:paraId="19314524" w14:textId="77777777" w:rsidR="00C3616A" w:rsidRDefault="00000000">
    <w:pPr>
      <w:tabs>
        <w:tab w:val="center" w:pos="4252"/>
        <w:tab w:val="right" w:pos="8504"/>
      </w:tabs>
      <w:jc w:val="center"/>
      <w:rPr>
        <w:rFonts w:ascii="Gill Sans" w:eastAsia="Gill Sans" w:hAnsi="Gill Sans" w:cs="Gill Sans"/>
        <w:sz w:val="20"/>
        <w:szCs w:val="20"/>
      </w:rPr>
    </w:pPr>
    <w:r>
      <w:rPr>
        <w:rFonts w:ascii="Gill Sans" w:eastAsia="Gill Sans" w:hAnsi="Gill Sans" w:cs="Gill Sans"/>
        <w:sz w:val="20"/>
        <w:szCs w:val="20"/>
      </w:rPr>
      <w:t>Carrera 7 No. 8-68 Of.637B y 615B-Bogotá, D.C.</w:t>
    </w:r>
  </w:p>
  <w:p w14:paraId="1236236A" w14:textId="77777777" w:rsidR="00C3616A" w:rsidRDefault="00C3616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246A" w14:textId="77777777" w:rsidR="006E7CD1" w:rsidRDefault="006E7CD1">
      <w:r>
        <w:separator/>
      </w:r>
    </w:p>
  </w:footnote>
  <w:footnote w:type="continuationSeparator" w:id="0">
    <w:p w14:paraId="67771E8A" w14:textId="77777777" w:rsidR="006E7CD1" w:rsidRDefault="006E7CD1">
      <w:r>
        <w:continuationSeparator/>
      </w:r>
    </w:p>
  </w:footnote>
  <w:footnote w:id="1">
    <w:p w14:paraId="092F045D"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Código Sustantivo del Trabajo. Decreto Ley 3743 de 1950. Artículo 57. 07 de junio de 1951. Obligaciones especiales del empleador.</w:t>
      </w:r>
    </w:p>
  </w:footnote>
  <w:footnote w:id="2">
    <w:p w14:paraId="6BC71B4E"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MALDONADO, 2002 Apud JARDIM, 2006, p.20</w:t>
      </w:r>
    </w:p>
  </w:footnote>
  <w:footnote w:id="3">
    <w:p w14:paraId="506F7007"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SOUZA, Arlete Luiza. Interacción entre Escuela y Familia en el Proceso de Enseñanza y Aprendizaje del Niño, en Portal de Educación. Disponible en: https://siteantigo.portaleducacao.com.br/conteudo/artigos/medicina/interacaoentre-escola-e-familia-no-processo-de-ensino-e-aprendizagem-da-crianca/57669.</w:t>
      </w:r>
    </w:p>
  </w:footnote>
  <w:footnote w:id="4">
    <w:p w14:paraId="5E299D93"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Decreto 1075 de 2015. Ministerio de Educación Nacional. Por medio del cual se expide el Decreto Único Reglamentario del Sector Educación.</w:t>
      </w:r>
    </w:p>
  </w:footnote>
  <w:footnote w:id="5">
    <w:p w14:paraId="7D8EF2DB"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Ley 2025 de 2020. Por medio de la cual se establecen lineamientos para la implementación de las escuelas para padres y madres de familia y cuidadores, en las instituciones de educación preescolar, básica y media del país, se deroga la ley 1404 de 2010 y se dictan otras disposiciones. Artículo 1. “</w:t>
      </w:r>
      <w:r>
        <w:rPr>
          <w:i/>
          <w:color w:val="000000"/>
          <w:sz w:val="20"/>
          <w:szCs w:val="20"/>
        </w:rPr>
        <w:t>Las instituciones educativas, atendiendo a su entorno y realidades particulares, propenderán por estimular la participación de los padres y madres de familia y cuidadores, con el objeto de fortalecer sus capacidades, para la formación integral y para detectar, informar y prevenir situaciones que atenten contra la salud física y mental de los niños, niñas y adolescentes</w:t>
      </w:r>
      <w:r>
        <w:rPr>
          <w:color w:val="000000"/>
          <w:sz w:val="20"/>
          <w:szCs w:val="20"/>
        </w:rPr>
        <w:t>”. Julio 23 de 2020.</w:t>
      </w:r>
    </w:p>
  </w:footnote>
  <w:footnote w:id="6">
    <w:p w14:paraId="7007AF52"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Édgar Sánchez, A. 2017.  Reporte de padres de familia que no asistan a reuniones de colegios serán conocidas por ICBF y Comisarías de familia. Prensa Alcaldía de Bucaramanga. https://versionantigua.bucaramanga.gov.co/noticias/reporte-de-padres-de-familia-que-no-asistan-a-reuniones-de-colegios-seran-conocidas-por-icbf-y-comisarias-de-familia/</w:t>
      </w:r>
    </w:p>
  </w:footnote>
  <w:footnote w:id="7">
    <w:p w14:paraId="71DDCF0D"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Fundamentos da família como promotora do desenvolvimento infantil: parentalidade em foco/ organizadores </w:t>
      </w:r>
    </w:p>
    <w:p w14:paraId="655D2613" w14:textId="77777777" w:rsidR="00C3616A" w:rsidRDefault="00000000">
      <w:pPr>
        <w:pBdr>
          <w:top w:val="nil"/>
          <w:left w:val="nil"/>
          <w:bottom w:val="nil"/>
          <w:right w:val="nil"/>
          <w:between w:val="nil"/>
        </w:pBdr>
        <w:rPr>
          <w:color w:val="000000"/>
          <w:sz w:val="20"/>
          <w:szCs w:val="20"/>
        </w:rPr>
      </w:pPr>
      <w:r>
        <w:rPr>
          <w:color w:val="000000"/>
          <w:sz w:val="20"/>
          <w:szCs w:val="20"/>
        </w:rPr>
        <w:t xml:space="preserve">Gabriela Aratang Pluciennik, Márcia Cristina Lazzari, Marina Fragata Chicaro. -- 1. ed. -- São Paulo: Fundação Maria </w:t>
      </w:r>
    </w:p>
    <w:p w14:paraId="418A8696" w14:textId="77777777" w:rsidR="00C3616A" w:rsidRDefault="00000000">
      <w:pPr>
        <w:pBdr>
          <w:top w:val="nil"/>
          <w:left w:val="nil"/>
          <w:bottom w:val="nil"/>
          <w:right w:val="nil"/>
          <w:between w:val="nil"/>
        </w:pBdr>
        <w:rPr>
          <w:color w:val="000000"/>
          <w:sz w:val="20"/>
          <w:szCs w:val="20"/>
        </w:rPr>
      </w:pPr>
      <w:r>
        <w:rPr>
          <w:color w:val="000000"/>
          <w:sz w:val="20"/>
          <w:szCs w:val="20"/>
        </w:rPr>
        <w:t>Cecília Souto Vidigal - FMCSV, 2015. (p. 98-99)</w:t>
      </w:r>
    </w:p>
  </w:footnote>
  <w:footnote w:id="8">
    <w:p w14:paraId="7A5A009B" w14:textId="77777777" w:rsidR="00C3616A" w:rsidRDefault="0000000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Gobierno Federal de Brasil. Ministerio de la Mujer, la Familia y los Derechos Humanos Secretaría Nacional para la Protección Global. Secretaría Nacional de Familia. Secretaría Nacional de Familia. Proyecto: Familia en la Escuela.</w:t>
      </w:r>
    </w:p>
    <w:bookmarkStart w:id="2" w:name="_heading=h.1fob9te" w:colFirst="0" w:colLast="0"/>
    <w:bookmarkEnd w:id="2"/>
  </w:footnote>
  <w:footnote w:id="9">
    <w:p w14:paraId="69D62B86" w14:textId="77777777" w:rsidR="00C3616A" w:rsidRDefault="00000000">
      <w:pPr>
        <w:pBdr>
          <w:top w:val="nil"/>
          <w:left w:val="nil"/>
          <w:bottom w:val="nil"/>
          <w:right w:val="nil"/>
          <w:between w:val="nil"/>
        </w:pBdr>
        <w:rPr>
          <w:color w:val="000000"/>
          <w:sz w:val="20"/>
          <w:szCs w:val="20"/>
        </w:rPr>
      </w:pPr>
      <w:bookmarkStart w:id="3" w:name="_heading=h.1fob9te" w:colFirst="0" w:colLast="0"/>
      <w:bookmarkEnd w:id="3"/>
      <w:r>
        <w:rPr>
          <w:vertAlign w:val="superscript"/>
        </w:rPr>
        <w:footnoteRef/>
      </w:r>
      <w:r>
        <w:rPr>
          <w:color w:val="000000"/>
          <w:sz w:val="20"/>
          <w:szCs w:val="20"/>
        </w:rPr>
        <w:t xml:space="preserve"> Ministerio de Educación de Brasil. El rendimiento de lectura en Pisa fue 80 puntos por debajo del promedio. Disponible en: http://portal.mec.gov.br/ultimas-noticias/222-537011943/42761-desempenho-em-leitura-nopisa-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C646" w14:textId="77777777" w:rsidR="00C3616A" w:rsidRDefault="00000000">
    <w:pPr>
      <w:pBdr>
        <w:top w:val="nil"/>
        <w:left w:val="nil"/>
        <w:bottom w:val="nil"/>
        <w:right w:val="nil"/>
        <w:between w:val="nil"/>
      </w:pBdr>
      <w:tabs>
        <w:tab w:val="center" w:pos="4252"/>
        <w:tab w:val="right" w:pos="8504"/>
      </w:tabs>
      <w:rPr>
        <w:color w:val="000000"/>
      </w:rPr>
    </w:pPr>
    <w:r>
      <w:rPr>
        <w:rFonts w:ascii="Calibri" w:eastAsia="Calibri" w:hAnsi="Calibri" w:cs="Calibri"/>
        <w:noProof/>
        <w:color w:val="000000"/>
      </w:rPr>
      <w:drawing>
        <wp:inline distT="0" distB="0" distL="0" distR="0" wp14:anchorId="5B4B4ABF" wp14:editId="727F615E">
          <wp:extent cx="5943600" cy="733425"/>
          <wp:effectExtent l="0" t="0" r="0" b="0"/>
          <wp:docPr id="21" name="image10.png" descr="../../../../../Captura%20de%20pantalla%202022-07-24%20a%20las%206.11.23%20p."/>
          <wp:cNvGraphicFramePr/>
          <a:graphic xmlns:a="http://schemas.openxmlformats.org/drawingml/2006/main">
            <a:graphicData uri="http://schemas.openxmlformats.org/drawingml/2006/picture">
              <pic:pic xmlns:pic="http://schemas.openxmlformats.org/drawingml/2006/picture">
                <pic:nvPicPr>
                  <pic:cNvPr id="0" name="image10.png" descr="../../../../../Captura%20de%20pantalla%202022-07-24%20a%20las%206.11.23%20p."/>
                  <pic:cNvPicPr preferRelativeResize="0"/>
                </pic:nvPicPr>
                <pic:blipFill>
                  <a:blip r:embed="rId1"/>
                  <a:srcRect/>
                  <a:stretch>
                    <a:fillRect/>
                  </a:stretch>
                </pic:blipFill>
                <pic:spPr>
                  <a:xfrm>
                    <a:off x="0" y="0"/>
                    <a:ext cx="5943600" cy="7334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E74AB"/>
    <w:multiLevelType w:val="multilevel"/>
    <w:tmpl w:val="38903378"/>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69B7685C"/>
    <w:multiLevelType w:val="multilevel"/>
    <w:tmpl w:val="CE5C226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40011478">
    <w:abstractNumId w:val="1"/>
  </w:num>
  <w:num w:numId="2" w16cid:durableId="2130318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16A"/>
    <w:rsid w:val="000109B9"/>
    <w:rsid w:val="0063102F"/>
    <w:rsid w:val="006E7CD1"/>
    <w:rsid w:val="00C3616A"/>
    <w:rsid w:val="00CA205E"/>
    <w:rsid w:val="00D74583"/>
    <w:rsid w:val="00DC2C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DB3797E"/>
  <w15:docId w15:val="{6E26501C-7ADC-1646-9588-BD16F579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7BD"/>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64480F"/>
    <w:rPr>
      <w:sz w:val="20"/>
      <w:szCs w:val="20"/>
    </w:rPr>
  </w:style>
  <w:style w:type="character" w:customStyle="1" w:styleId="TextonotapieCar">
    <w:name w:val="Texto nota pie Car"/>
    <w:basedOn w:val="Fuentedeprrafopredeter"/>
    <w:link w:val="Textonotapie"/>
    <w:uiPriority w:val="99"/>
    <w:semiHidden/>
    <w:rsid w:val="0064480F"/>
    <w:rPr>
      <w:sz w:val="20"/>
      <w:szCs w:val="20"/>
    </w:rPr>
  </w:style>
  <w:style w:type="character" w:styleId="Refdenotaalpie">
    <w:name w:val="footnote reference"/>
    <w:aliases w:val="Footnote Reference.SES,16 Point,Superscript 6 Point,Superscript 6 Point + 11 ...,Referencia nota al pie,Ref,de nota al pie,08 Ref. de nota al pie,Appel note de bas de page,Footnotes refss,Footnote number,referencia nota al pie,f"/>
    <w:basedOn w:val="Fuentedeprrafopredeter"/>
    <w:unhideWhenUsed/>
    <w:qFormat/>
    <w:rsid w:val="0064480F"/>
    <w:rPr>
      <w:rFonts w:ascii="Garamond" w:hAnsi="Garamond"/>
      <w:sz w:val="20"/>
      <w:vertAlign w:val="superscript"/>
    </w:rPr>
  </w:style>
  <w:style w:type="paragraph" w:styleId="Prrafodelista">
    <w:name w:val="List Paragraph"/>
    <w:basedOn w:val="Normal"/>
    <w:uiPriority w:val="34"/>
    <w:qFormat/>
    <w:rsid w:val="00BE274F"/>
    <w:pPr>
      <w:ind w:left="720"/>
      <w:contextualSpacing/>
    </w:pPr>
  </w:style>
  <w:style w:type="character" w:styleId="Refdecomentario">
    <w:name w:val="annotation reference"/>
    <w:basedOn w:val="Fuentedeprrafopredeter"/>
    <w:uiPriority w:val="99"/>
    <w:semiHidden/>
    <w:unhideWhenUsed/>
    <w:rsid w:val="002958BE"/>
    <w:rPr>
      <w:sz w:val="16"/>
      <w:szCs w:val="16"/>
    </w:rPr>
  </w:style>
  <w:style w:type="paragraph" w:styleId="Textocomentario">
    <w:name w:val="annotation text"/>
    <w:basedOn w:val="Normal"/>
    <w:link w:val="TextocomentarioCar"/>
    <w:uiPriority w:val="99"/>
    <w:semiHidden/>
    <w:unhideWhenUsed/>
    <w:rsid w:val="002958BE"/>
    <w:rPr>
      <w:sz w:val="20"/>
      <w:szCs w:val="20"/>
    </w:rPr>
  </w:style>
  <w:style w:type="character" w:customStyle="1" w:styleId="TextocomentarioCar">
    <w:name w:val="Texto comentario Car"/>
    <w:basedOn w:val="Fuentedeprrafopredeter"/>
    <w:link w:val="Textocomentario"/>
    <w:uiPriority w:val="99"/>
    <w:semiHidden/>
    <w:rsid w:val="002958BE"/>
    <w:rPr>
      <w:sz w:val="20"/>
      <w:szCs w:val="20"/>
    </w:rPr>
  </w:style>
  <w:style w:type="paragraph" w:styleId="Asuntodelcomentario">
    <w:name w:val="annotation subject"/>
    <w:basedOn w:val="Textocomentario"/>
    <w:next w:val="Textocomentario"/>
    <w:link w:val="AsuntodelcomentarioCar"/>
    <w:uiPriority w:val="99"/>
    <w:semiHidden/>
    <w:unhideWhenUsed/>
    <w:rsid w:val="002958BE"/>
    <w:rPr>
      <w:b/>
      <w:bCs/>
    </w:rPr>
  </w:style>
  <w:style w:type="character" w:customStyle="1" w:styleId="AsuntodelcomentarioCar">
    <w:name w:val="Asunto del comentario Car"/>
    <w:basedOn w:val="TextocomentarioCar"/>
    <w:link w:val="Asuntodelcomentario"/>
    <w:uiPriority w:val="99"/>
    <w:semiHidden/>
    <w:rsid w:val="002958BE"/>
    <w:rPr>
      <w:b/>
      <w:bCs/>
      <w:sz w:val="20"/>
      <w:szCs w:val="20"/>
    </w:rPr>
  </w:style>
  <w:style w:type="paragraph" w:styleId="Textodeglobo">
    <w:name w:val="Balloon Text"/>
    <w:basedOn w:val="Normal"/>
    <w:link w:val="TextodegloboCar"/>
    <w:uiPriority w:val="99"/>
    <w:semiHidden/>
    <w:unhideWhenUsed/>
    <w:rsid w:val="002958BE"/>
    <w:rPr>
      <w:sz w:val="18"/>
      <w:szCs w:val="18"/>
    </w:rPr>
  </w:style>
  <w:style w:type="character" w:customStyle="1" w:styleId="TextodegloboCar">
    <w:name w:val="Texto de globo Car"/>
    <w:basedOn w:val="Fuentedeprrafopredeter"/>
    <w:link w:val="Textodeglobo"/>
    <w:uiPriority w:val="99"/>
    <w:semiHidden/>
    <w:rsid w:val="002958BE"/>
    <w:rPr>
      <w:rFonts w:ascii="Times New Roman" w:hAnsi="Times New Roman" w:cs="Times New Roman"/>
      <w:sz w:val="18"/>
      <w:szCs w:val="18"/>
    </w:rPr>
  </w:style>
  <w:style w:type="character" w:customStyle="1" w:styleId="markedcontent">
    <w:name w:val="markedcontent"/>
    <w:basedOn w:val="Fuentedeprrafopredeter"/>
    <w:rsid w:val="00587672"/>
  </w:style>
  <w:style w:type="paragraph" w:customStyle="1" w:styleId="Default">
    <w:name w:val="Default"/>
    <w:rsid w:val="009161A9"/>
    <w:pPr>
      <w:autoSpaceDE w:val="0"/>
      <w:autoSpaceDN w:val="0"/>
      <w:adjustRightInd w:val="0"/>
    </w:pPr>
    <w:rPr>
      <w:rFonts w:ascii="Arial" w:hAnsi="Arial" w:cs="Arial"/>
      <w:color w:val="000000"/>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40EB9"/>
    <w:pPr>
      <w:tabs>
        <w:tab w:val="center" w:pos="4252"/>
        <w:tab w:val="right" w:pos="8504"/>
      </w:tabs>
    </w:pPr>
  </w:style>
  <w:style w:type="character" w:customStyle="1" w:styleId="EncabezadoCar">
    <w:name w:val="Encabezado Car"/>
    <w:basedOn w:val="Fuentedeprrafopredeter"/>
    <w:link w:val="Encabezado"/>
    <w:uiPriority w:val="99"/>
    <w:rsid w:val="00640EB9"/>
    <w:rPr>
      <w:lang w:eastAsia="es-ES_tradnl"/>
    </w:rPr>
  </w:style>
  <w:style w:type="paragraph" w:styleId="Piedepgina">
    <w:name w:val="footer"/>
    <w:basedOn w:val="Normal"/>
    <w:link w:val="PiedepginaCar"/>
    <w:uiPriority w:val="99"/>
    <w:unhideWhenUsed/>
    <w:rsid w:val="00640EB9"/>
    <w:pPr>
      <w:tabs>
        <w:tab w:val="center" w:pos="4252"/>
        <w:tab w:val="right" w:pos="8504"/>
      </w:tabs>
    </w:pPr>
  </w:style>
  <w:style w:type="character" w:customStyle="1" w:styleId="PiedepginaCar">
    <w:name w:val="Pie de página Car"/>
    <w:basedOn w:val="Fuentedeprrafopredeter"/>
    <w:link w:val="Piedepgina"/>
    <w:uiPriority w:val="99"/>
    <w:rsid w:val="00640EB9"/>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Bk9NAxDgoSalz355qRwP4CNmgw==">AMUW2mU4AFtGhbzTQ9KIvXsai5EaY+t6l74cXPof5iFJU4dZwA/hmL5ZmvSONHasyxHIvw4ISCuvWwbrBtLXqJe0iO0XR40vdyS98F9oJAimnbBmeCTLowvZhTREwf+2BTV6AyCJ1vIraqqNas8s7l4mrUI5rw9KhrFAAZxL6/qrGbIKJNTd2BU=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2537</Words>
  <Characters>13958</Characters>
  <Application>Microsoft Office Word</Application>
  <DocSecurity>0</DocSecurity>
  <Lines>116</Lines>
  <Paragraphs>32</Paragraphs>
  <ScaleCrop>false</ScaleCrop>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Luisa Fernanda Castaño Méndez</dc:creator>
  <cp:lastModifiedBy>Paola Carolina Moreno Benitez</cp:lastModifiedBy>
  <cp:revision>4</cp:revision>
  <dcterms:created xsi:type="dcterms:W3CDTF">2022-08-10T22:50:00Z</dcterms:created>
  <dcterms:modified xsi:type="dcterms:W3CDTF">2022-08-10T22:52:00Z</dcterms:modified>
</cp:coreProperties>
</file>