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41DD4" w14:textId="10471940" w:rsidR="007917A0" w:rsidRDefault="00000000">
      <w:pPr>
        <w:spacing w:line="276" w:lineRule="auto"/>
        <w:rPr>
          <w:rFonts w:ascii="Arial" w:eastAsia="Arial" w:hAnsi="Arial" w:cs="Arial"/>
          <w:color w:val="000000"/>
        </w:rPr>
      </w:pPr>
      <w:r>
        <w:rPr>
          <w:rFonts w:ascii="Arial" w:eastAsia="Arial" w:hAnsi="Arial" w:cs="Arial"/>
          <w:color w:val="000000"/>
        </w:rPr>
        <w:t xml:space="preserve">Bogotá D.C., </w:t>
      </w:r>
      <w:r w:rsidR="00E8582E">
        <w:rPr>
          <w:rFonts w:ascii="Arial" w:eastAsia="Arial" w:hAnsi="Arial" w:cs="Arial"/>
          <w:color w:val="000000"/>
        </w:rPr>
        <w:t>febrero</w:t>
      </w:r>
      <w:r>
        <w:rPr>
          <w:rFonts w:ascii="Arial" w:eastAsia="Arial" w:hAnsi="Arial" w:cs="Arial"/>
          <w:color w:val="000000"/>
        </w:rPr>
        <w:t xml:space="preserve"> de 20</w:t>
      </w:r>
      <w:r w:rsidR="00E8582E">
        <w:rPr>
          <w:rFonts w:ascii="Arial" w:eastAsia="Arial" w:hAnsi="Arial" w:cs="Arial"/>
          <w:color w:val="000000"/>
        </w:rPr>
        <w:t>24</w:t>
      </w:r>
    </w:p>
    <w:p w14:paraId="2BBF08AD" w14:textId="77777777" w:rsidR="00E8582E" w:rsidRDefault="00E8582E">
      <w:pPr>
        <w:rPr>
          <w:rFonts w:ascii="Arial" w:eastAsia="Arial" w:hAnsi="Arial" w:cs="Arial"/>
          <w:color w:val="000000"/>
        </w:rPr>
      </w:pPr>
    </w:p>
    <w:p w14:paraId="3BD90DA1" w14:textId="12A053E4" w:rsidR="007917A0" w:rsidRDefault="00000000">
      <w:pPr>
        <w:rPr>
          <w:rFonts w:ascii="Arial" w:eastAsia="Arial" w:hAnsi="Arial" w:cs="Arial"/>
          <w:color w:val="000000"/>
        </w:rPr>
      </w:pPr>
      <w:r>
        <w:rPr>
          <w:rFonts w:ascii="Arial" w:eastAsia="Arial" w:hAnsi="Arial" w:cs="Arial"/>
          <w:color w:val="000000"/>
        </w:rPr>
        <w:t>Doctor</w:t>
      </w:r>
    </w:p>
    <w:p w14:paraId="10ECBB7F" w14:textId="77777777" w:rsidR="007917A0" w:rsidRDefault="00000000">
      <w:pPr>
        <w:jc w:val="both"/>
        <w:rPr>
          <w:rFonts w:ascii="Arial" w:eastAsia="Arial" w:hAnsi="Arial" w:cs="Arial"/>
          <w:b/>
          <w:color w:val="000000"/>
        </w:rPr>
      </w:pPr>
      <w:r>
        <w:rPr>
          <w:rFonts w:ascii="Arial" w:eastAsia="Arial" w:hAnsi="Arial" w:cs="Arial"/>
          <w:b/>
          <w:color w:val="000000"/>
        </w:rPr>
        <w:t>Jaime Luis Lacouture Peñaloza</w:t>
      </w:r>
    </w:p>
    <w:p w14:paraId="64E1C117" w14:textId="77777777" w:rsidR="007917A0" w:rsidRDefault="00000000">
      <w:pPr>
        <w:rPr>
          <w:rFonts w:ascii="Arial" w:eastAsia="Arial" w:hAnsi="Arial" w:cs="Arial"/>
          <w:color w:val="000000"/>
        </w:rPr>
      </w:pPr>
      <w:r>
        <w:rPr>
          <w:rFonts w:ascii="Arial" w:eastAsia="Arial" w:hAnsi="Arial" w:cs="Arial"/>
          <w:b/>
          <w:color w:val="000000"/>
        </w:rPr>
        <w:t>Secretario General</w:t>
      </w:r>
    </w:p>
    <w:p w14:paraId="43B973E9" w14:textId="77777777" w:rsidR="007917A0" w:rsidRDefault="00000000">
      <w:pPr>
        <w:rPr>
          <w:rFonts w:ascii="Arial" w:eastAsia="Arial" w:hAnsi="Arial" w:cs="Arial"/>
          <w:color w:val="000000"/>
        </w:rPr>
      </w:pPr>
      <w:r>
        <w:rPr>
          <w:rFonts w:ascii="Arial" w:eastAsia="Arial" w:hAnsi="Arial" w:cs="Arial"/>
          <w:color w:val="000000"/>
        </w:rPr>
        <w:t>Cámara de Representantes</w:t>
      </w:r>
    </w:p>
    <w:p w14:paraId="3CA08258" w14:textId="77777777" w:rsidR="007917A0" w:rsidRDefault="00000000">
      <w:pPr>
        <w:rPr>
          <w:rFonts w:ascii="Arial" w:eastAsia="Arial" w:hAnsi="Arial" w:cs="Arial"/>
          <w:color w:val="000000"/>
        </w:rPr>
      </w:pPr>
      <w:r>
        <w:rPr>
          <w:rFonts w:ascii="Arial" w:eastAsia="Arial" w:hAnsi="Arial" w:cs="Arial"/>
          <w:color w:val="000000"/>
        </w:rPr>
        <w:t>Ciudad</w:t>
      </w:r>
    </w:p>
    <w:p w14:paraId="74B5357E" w14:textId="77777777" w:rsidR="007917A0" w:rsidRDefault="007917A0">
      <w:pPr>
        <w:spacing w:line="276" w:lineRule="auto"/>
        <w:rPr>
          <w:rFonts w:ascii="Arial" w:eastAsia="Arial" w:hAnsi="Arial" w:cs="Arial"/>
          <w:color w:val="000000"/>
        </w:rPr>
      </w:pPr>
    </w:p>
    <w:p w14:paraId="66D22692" w14:textId="77777777" w:rsidR="007917A0" w:rsidRDefault="007917A0">
      <w:pPr>
        <w:jc w:val="both"/>
        <w:rPr>
          <w:rFonts w:ascii="Arial" w:eastAsia="Arial" w:hAnsi="Arial" w:cs="Arial"/>
          <w:color w:val="000000"/>
        </w:rPr>
      </w:pPr>
    </w:p>
    <w:p w14:paraId="271E9C5C" w14:textId="77777777" w:rsidR="007917A0" w:rsidRDefault="00000000">
      <w:pPr>
        <w:ind w:left="1416"/>
        <w:jc w:val="both"/>
        <w:rPr>
          <w:rFonts w:ascii="Arial" w:eastAsia="Arial" w:hAnsi="Arial" w:cs="Arial"/>
          <w:color w:val="000000"/>
        </w:rPr>
      </w:pPr>
      <w:r>
        <w:rPr>
          <w:rFonts w:ascii="Arial" w:eastAsia="Arial" w:hAnsi="Arial" w:cs="Arial"/>
          <w:b/>
          <w:color w:val="000000"/>
        </w:rPr>
        <w:t xml:space="preserve">Asunto: </w:t>
      </w:r>
      <w:r>
        <w:rPr>
          <w:rFonts w:ascii="Arial" w:eastAsia="Arial" w:hAnsi="Arial" w:cs="Arial"/>
          <w:color w:val="000000"/>
        </w:rPr>
        <w:t xml:space="preserve">Radicación del Proyecto de Ley: “Por medio de la cual se establecen medidas contra el fraude al sistema general de seguridad social y se dictan otras disposiciones” </w:t>
      </w:r>
    </w:p>
    <w:p w14:paraId="5C614FC9" w14:textId="77777777" w:rsidR="007917A0" w:rsidRDefault="007917A0">
      <w:pPr>
        <w:ind w:left="2124"/>
        <w:jc w:val="both"/>
        <w:rPr>
          <w:rFonts w:ascii="Arial" w:eastAsia="Arial" w:hAnsi="Arial" w:cs="Arial"/>
          <w:b/>
          <w:i/>
          <w:color w:val="000000"/>
        </w:rPr>
      </w:pPr>
    </w:p>
    <w:p w14:paraId="1C3EAE1C" w14:textId="77777777" w:rsidR="007917A0" w:rsidRDefault="00000000">
      <w:pPr>
        <w:jc w:val="both"/>
        <w:rPr>
          <w:rFonts w:ascii="Arial" w:eastAsia="Arial" w:hAnsi="Arial" w:cs="Arial"/>
          <w:b/>
          <w:i/>
          <w:color w:val="000000"/>
        </w:rPr>
      </w:pPr>
      <w:r>
        <w:rPr>
          <w:rFonts w:ascii="Arial" w:eastAsia="Arial" w:hAnsi="Arial" w:cs="Arial"/>
          <w:b/>
          <w:i/>
          <w:color w:val="000000"/>
        </w:rPr>
        <w:t xml:space="preserve"> </w:t>
      </w:r>
    </w:p>
    <w:p w14:paraId="2BAA24B7" w14:textId="77777777" w:rsidR="007917A0" w:rsidRDefault="00000000">
      <w:pPr>
        <w:jc w:val="both"/>
        <w:rPr>
          <w:rFonts w:ascii="Arial" w:eastAsia="Arial" w:hAnsi="Arial" w:cs="Arial"/>
          <w:color w:val="000000"/>
        </w:rPr>
      </w:pPr>
      <w:r>
        <w:rPr>
          <w:rFonts w:ascii="Arial" w:eastAsia="Arial" w:hAnsi="Arial" w:cs="Arial"/>
          <w:color w:val="000000"/>
        </w:rPr>
        <w:t>Respetado Doctor Jaime Luis Lacouture Peñaloza:</w:t>
      </w:r>
    </w:p>
    <w:p w14:paraId="394F5154" w14:textId="77777777" w:rsidR="007917A0" w:rsidRDefault="007917A0">
      <w:pPr>
        <w:spacing w:line="276" w:lineRule="auto"/>
        <w:jc w:val="both"/>
        <w:rPr>
          <w:rFonts w:ascii="Arial" w:eastAsia="Arial" w:hAnsi="Arial" w:cs="Arial"/>
          <w:color w:val="000000"/>
        </w:rPr>
      </w:pPr>
    </w:p>
    <w:p w14:paraId="32EFDCFB" w14:textId="77777777" w:rsidR="007917A0" w:rsidRDefault="00000000">
      <w:pPr>
        <w:spacing w:line="276" w:lineRule="auto"/>
        <w:jc w:val="both"/>
        <w:rPr>
          <w:rFonts w:ascii="Arial" w:eastAsia="Arial" w:hAnsi="Arial" w:cs="Arial"/>
          <w:color w:val="000000"/>
        </w:rPr>
      </w:pPr>
      <w:r>
        <w:rPr>
          <w:rFonts w:ascii="Arial" w:eastAsia="Arial" w:hAnsi="Arial" w:cs="Arial"/>
          <w:color w:val="000000"/>
        </w:rPr>
        <w:t>Por medio de la presente, muy comedidamente me permito radicar el Proyecto de Ley del asunto. En tal sentido, respetuosamente solicito proceder según el trámite previsto legal y constitucionalmente para tales efectos.</w:t>
      </w:r>
    </w:p>
    <w:p w14:paraId="36FD5E61" w14:textId="77777777" w:rsidR="007917A0" w:rsidRDefault="007917A0">
      <w:pPr>
        <w:spacing w:line="276" w:lineRule="auto"/>
        <w:jc w:val="both"/>
        <w:rPr>
          <w:rFonts w:ascii="Arial" w:eastAsia="Arial" w:hAnsi="Arial" w:cs="Arial"/>
          <w:color w:val="000000"/>
        </w:rPr>
      </w:pPr>
    </w:p>
    <w:p w14:paraId="311A76DF" w14:textId="77777777" w:rsidR="007917A0" w:rsidRDefault="00000000">
      <w:pPr>
        <w:tabs>
          <w:tab w:val="left" w:pos="3915"/>
        </w:tabs>
        <w:spacing w:line="276" w:lineRule="auto"/>
        <w:jc w:val="both"/>
        <w:rPr>
          <w:rFonts w:ascii="Arial" w:eastAsia="Arial" w:hAnsi="Arial" w:cs="Arial"/>
          <w:color w:val="000000"/>
        </w:rPr>
      </w:pPr>
      <w:r>
        <w:rPr>
          <w:rFonts w:ascii="Arial" w:eastAsia="Arial" w:hAnsi="Arial" w:cs="Arial"/>
          <w:color w:val="000000"/>
        </w:rPr>
        <w:t xml:space="preserve">Cordialmente, </w:t>
      </w:r>
    </w:p>
    <w:p w14:paraId="5F4F155D" w14:textId="77777777" w:rsidR="007917A0" w:rsidRDefault="007917A0">
      <w:pPr>
        <w:jc w:val="center"/>
        <w:rPr>
          <w:rFonts w:ascii="Arial" w:eastAsia="Arial" w:hAnsi="Arial" w:cs="Arial"/>
          <w:b/>
          <w:color w:val="000000"/>
        </w:rPr>
      </w:pPr>
    </w:p>
    <w:p w14:paraId="77F36E25" w14:textId="77777777" w:rsidR="007917A0" w:rsidRDefault="007917A0">
      <w:pPr>
        <w:rPr>
          <w:rFonts w:ascii="Arial" w:eastAsia="Arial" w:hAnsi="Arial" w:cs="Arial"/>
          <w:color w:val="000000"/>
        </w:rPr>
      </w:pPr>
    </w:p>
    <w:p w14:paraId="50D567B8" w14:textId="77777777" w:rsidR="007917A0" w:rsidRDefault="007917A0">
      <w:pPr>
        <w:rPr>
          <w:rFonts w:ascii="Arial" w:eastAsia="Arial" w:hAnsi="Arial" w:cs="Arial"/>
          <w:color w:val="000000"/>
        </w:rPr>
      </w:pPr>
    </w:p>
    <w:p w14:paraId="25F8D570" w14:textId="77777777" w:rsidR="007917A0" w:rsidRDefault="007917A0">
      <w:pPr>
        <w:rPr>
          <w:rFonts w:ascii="Arial" w:eastAsia="Arial" w:hAnsi="Arial" w:cs="Arial"/>
          <w:color w:val="000000"/>
        </w:rPr>
      </w:pPr>
    </w:p>
    <w:p w14:paraId="5620EA20" w14:textId="77777777" w:rsidR="007917A0" w:rsidRDefault="007917A0">
      <w:pPr>
        <w:rPr>
          <w:rFonts w:ascii="Arial" w:eastAsia="Arial" w:hAnsi="Arial" w:cs="Arial"/>
          <w:color w:val="000000"/>
        </w:rPr>
      </w:pPr>
    </w:p>
    <w:p w14:paraId="47C2AF8E" w14:textId="77777777" w:rsidR="007917A0" w:rsidRDefault="00000000">
      <w:pPr>
        <w:tabs>
          <w:tab w:val="left" w:pos="3915"/>
        </w:tabs>
        <w:spacing w:line="276" w:lineRule="auto"/>
        <w:jc w:val="both"/>
        <w:rPr>
          <w:rFonts w:ascii="Arial" w:eastAsia="Arial" w:hAnsi="Arial" w:cs="Arial"/>
          <w:b/>
          <w:color w:val="000000"/>
        </w:rPr>
      </w:pPr>
      <w:r>
        <w:rPr>
          <w:rFonts w:ascii="Arial" w:eastAsia="Arial" w:hAnsi="Arial" w:cs="Arial"/>
          <w:b/>
          <w:color w:val="000000"/>
        </w:rPr>
        <w:t xml:space="preserve">HECTOR DAVID CHAPARRO </w:t>
      </w:r>
    </w:p>
    <w:p w14:paraId="12D5C3F0" w14:textId="77777777" w:rsidR="007917A0" w:rsidRDefault="00000000">
      <w:pPr>
        <w:jc w:val="both"/>
        <w:rPr>
          <w:rFonts w:ascii="Arial" w:eastAsia="Arial" w:hAnsi="Arial" w:cs="Arial"/>
          <w:color w:val="000000"/>
        </w:rPr>
      </w:pPr>
      <w:r>
        <w:rPr>
          <w:rFonts w:ascii="Arial" w:eastAsia="Arial" w:hAnsi="Arial" w:cs="Arial"/>
          <w:color w:val="000000"/>
        </w:rPr>
        <w:t>Representante a la Cámara</w:t>
      </w:r>
      <w:r>
        <w:rPr>
          <w:rFonts w:ascii="Arial" w:eastAsia="Arial" w:hAnsi="Arial" w:cs="Arial"/>
          <w:color w:val="000000"/>
        </w:rPr>
        <w:tab/>
      </w:r>
    </w:p>
    <w:p w14:paraId="2DCA9080" w14:textId="77777777" w:rsidR="007917A0" w:rsidRDefault="00000000">
      <w:pPr>
        <w:rPr>
          <w:rFonts w:ascii="Arial" w:eastAsia="Arial" w:hAnsi="Arial" w:cs="Arial"/>
          <w:b/>
          <w:color w:val="000000"/>
        </w:rPr>
      </w:pPr>
      <w:r>
        <w:rPr>
          <w:rFonts w:ascii="Arial" w:eastAsia="Arial" w:hAnsi="Arial" w:cs="Arial"/>
          <w:color w:val="000000"/>
        </w:rPr>
        <w:t>Partido Liberal</w:t>
      </w:r>
      <w:r>
        <w:rPr>
          <w:rFonts w:ascii="Arial" w:eastAsia="Arial" w:hAnsi="Arial" w:cs="Arial"/>
          <w:color w:val="000000"/>
        </w:rPr>
        <w:tab/>
      </w:r>
    </w:p>
    <w:p w14:paraId="4F164ED3" w14:textId="77777777" w:rsidR="007917A0" w:rsidRDefault="007917A0">
      <w:pPr>
        <w:rPr>
          <w:rFonts w:ascii="Arial" w:eastAsia="Arial" w:hAnsi="Arial" w:cs="Arial"/>
          <w:b/>
          <w:color w:val="000000"/>
        </w:rPr>
      </w:pPr>
    </w:p>
    <w:p w14:paraId="25DAC3B4" w14:textId="77777777" w:rsidR="007917A0" w:rsidRDefault="007917A0">
      <w:pPr>
        <w:rPr>
          <w:rFonts w:ascii="Arial" w:eastAsia="Arial" w:hAnsi="Arial" w:cs="Arial"/>
          <w:b/>
          <w:color w:val="000000"/>
        </w:rPr>
      </w:pPr>
    </w:p>
    <w:p w14:paraId="54929C11" w14:textId="77777777" w:rsidR="007917A0" w:rsidRDefault="007917A0">
      <w:pPr>
        <w:rPr>
          <w:rFonts w:ascii="Arial" w:eastAsia="Arial" w:hAnsi="Arial" w:cs="Arial"/>
          <w:b/>
          <w:color w:val="000000"/>
        </w:rPr>
      </w:pPr>
    </w:p>
    <w:p w14:paraId="177A238D" w14:textId="77777777" w:rsidR="007917A0" w:rsidRDefault="007917A0">
      <w:pPr>
        <w:rPr>
          <w:rFonts w:ascii="Arial" w:eastAsia="Arial" w:hAnsi="Arial" w:cs="Arial"/>
          <w:b/>
          <w:color w:val="000000"/>
        </w:rPr>
      </w:pPr>
    </w:p>
    <w:p w14:paraId="43B296DD" w14:textId="77777777" w:rsidR="007917A0" w:rsidRDefault="007917A0">
      <w:pPr>
        <w:rPr>
          <w:rFonts w:ascii="Arial" w:eastAsia="Arial" w:hAnsi="Arial" w:cs="Arial"/>
          <w:b/>
          <w:color w:val="000000"/>
        </w:rPr>
      </w:pPr>
    </w:p>
    <w:p w14:paraId="3552706E" w14:textId="77777777" w:rsidR="007917A0" w:rsidRDefault="007917A0">
      <w:pPr>
        <w:rPr>
          <w:rFonts w:ascii="Arial" w:eastAsia="Arial" w:hAnsi="Arial" w:cs="Arial"/>
          <w:b/>
          <w:color w:val="000000"/>
        </w:rPr>
      </w:pPr>
    </w:p>
    <w:p w14:paraId="36B00520" w14:textId="77777777" w:rsidR="007917A0" w:rsidRDefault="007917A0">
      <w:pPr>
        <w:rPr>
          <w:rFonts w:ascii="Arial" w:eastAsia="Arial" w:hAnsi="Arial" w:cs="Arial"/>
          <w:b/>
          <w:color w:val="000000"/>
        </w:rPr>
      </w:pPr>
    </w:p>
    <w:p w14:paraId="19C17C50" w14:textId="77777777" w:rsidR="007917A0" w:rsidRDefault="007917A0">
      <w:pPr>
        <w:rPr>
          <w:rFonts w:ascii="Arial" w:eastAsia="Arial" w:hAnsi="Arial" w:cs="Arial"/>
          <w:b/>
          <w:color w:val="000000"/>
        </w:rPr>
      </w:pPr>
    </w:p>
    <w:p w14:paraId="2ECABAD1" w14:textId="77777777" w:rsidR="007917A0" w:rsidRDefault="007917A0">
      <w:pPr>
        <w:rPr>
          <w:rFonts w:ascii="Arial" w:eastAsia="Arial" w:hAnsi="Arial" w:cs="Arial"/>
          <w:b/>
          <w:color w:val="000000"/>
        </w:rPr>
      </w:pPr>
    </w:p>
    <w:p w14:paraId="326DAEC8" w14:textId="77777777" w:rsidR="007917A0" w:rsidRDefault="007917A0">
      <w:pPr>
        <w:rPr>
          <w:rFonts w:ascii="Arial" w:eastAsia="Arial" w:hAnsi="Arial" w:cs="Arial"/>
          <w:b/>
          <w:color w:val="000000"/>
        </w:rPr>
      </w:pPr>
    </w:p>
    <w:p w14:paraId="34D6F3BE" w14:textId="77777777" w:rsidR="007917A0" w:rsidRDefault="007917A0">
      <w:pPr>
        <w:rPr>
          <w:rFonts w:ascii="Arial" w:eastAsia="Arial" w:hAnsi="Arial" w:cs="Arial"/>
          <w:b/>
          <w:color w:val="000000"/>
        </w:rPr>
      </w:pPr>
    </w:p>
    <w:p w14:paraId="355185A2" w14:textId="77777777" w:rsidR="007917A0" w:rsidRDefault="007917A0">
      <w:pPr>
        <w:rPr>
          <w:rFonts w:ascii="Arial" w:eastAsia="Arial" w:hAnsi="Arial" w:cs="Arial"/>
          <w:b/>
          <w:color w:val="000000"/>
        </w:rPr>
      </w:pPr>
    </w:p>
    <w:p w14:paraId="138067E1" w14:textId="134CEA33" w:rsidR="007917A0" w:rsidRDefault="00000000">
      <w:pPr>
        <w:jc w:val="center"/>
        <w:rPr>
          <w:rFonts w:ascii="Arial" w:eastAsia="Arial" w:hAnsi="Arial" w:cs="Arial"/>
          <w:b/>
          <w:color w:val="000000"/>
        </w:rPr>
      </w:pPr>
      <w:r>
        <w:rPr>
          <w:rFonts w:ascii="Arial" w:eastAsia="Arial" w:hAnsi="Arial" w:cs="Arial"/>
          <w:b/>
          <w:color w:val="000000"/>
        </w:rPr>
        <w:t>PROYECTO DE LEY No.________ DE 202</w:t>
      </w:r>
      <w:r w:rsidR="00E8582E">
        <w:rPr>
          <w:rFonts w:ascii="Arial" w:eastAsia="Arial" w:hAnsi="Arial" w:cs="Arial"/>
          <w:b/>
          <w:color w:val="000000"/>
        </w:rPr>
        <w:t>4</w:t>
      </w:r>
      <w:r>
        <w:rPr>
          <w:rFonts w:ascii="Arial" w:eastAsia="Arial" w:hAnsi="Arial" w:cs="Arial"/>
          <w:b/>
          <w:color w:val="000000"/>
        </w:rPr>
        <w:t xml:space="preserve"> CÁMARA</w:t>
      </w:r>
    </w:p>
    <w:p w14:paraId="401DD5EA" w14:textId="77777777" w:rsidR="007917A0" w:rsidRDefault="007917A0">
      <w:pPr>
        <w:jc w:val="center"/>
        <w:rPr>
          <w:rFonts w:ascii="Arial" w:eastAsia="Arial" w:hAnsi="Arial" w:cs="Arial"/>
          <w:b/>
          <w:color w:val="000000"/>
        </w:rPr>
      </w:pPr>
    </w:p>
    <w:p w14:paraId="53A44E2B" w14:textId="77777777" w:rsidR="007917A0" w:rsidRDefault="00000000">
      <w:pPr>
        <w:jc w:val="center"/>
        <w:rPr>
          <w:rFonts w:ascii="Arial" w:eastAsia="Arial" w:hAnsi="Arial" w:cs="Arial"/>
          <w:color w:val="000000"/>
        </w:rPr>
      </w:pPr>
      <w:r>
        <w:rPr>
          <w:rFonts w:ascii="Arial" w:eastAsia="Arial" w:hAnsi="Arial" w:cs="Arial"/>
          <w:color w:val="000000"/>
        </w:rPr>
        <w:t>“Por medio de la cual se establecen medidas contra el fraude al sistema general de seguridad social y se dictan otras disposiciones”</w:t>
      </w:r>
    </w:p>
    <w:p w14:paraId="6157B17E" w14:textId="77777777" w:rsidR="007917A0" w:rsidRDefault="007917A0">
      <w:pPr>
        <w:rPr>
          <w:rFonts w:ascii="Arial" w:eastAsia="Arial" w:hAnsi="Arial" w:cs="Arial"/>
          <w:b/>
          <w:color w:val="000000"/>
        </w:rPr>
      </w:pPr>
    </w:p>
    <w:p w14:paraId="7C4121DC" w14:textId="77777777" w:rsidR="007917A0" w:rsidRDefault="007917A0">
      <w:pPr>
        <w:rPr>
          <w:rFonts w:ascii="Arial" w:eastAsia="Arial" w:hAnsi="Arial" w:cs="Arial"/>
          <w:b/>
          <w:color w:val="000000"/>
        </w:rPr>
      </w:pPr>
    </w:p>
    <w:p w14:paraId="69BCF51F" w14:textId="77777777" w:rsidR="007917A0" w:rsidRDefault="00000000">
      <w:pPr>
        <w:jc w:val="center"/>
        <w:rPr>
          <w:rFonts w:ascii="Arial" w:eastAsia="Arial" w:hAnsi="Arial" w:cs="Arial"/>
          <w:b/>
          <w:color w:val="000000"/>
        </w:rPr>
      </w:pPr>
      <w:r>
        <w:rPr>
          <w:rFonts w:ascii="Arial" w:eastAsia="Arial" w:hAnsi="Arial" w:cs="Arial"/>
          <w:b/>
          <w:color w:val="000000"/>
        </w:rPr>
        <w:t>EL CONGRESO DE COLOMBIA</w:t>
      </w:r>
    </w:p>
    <w:p w14:paraId="11149E60" w14:textId="77777777" w:rsidR="007917A0" w:rsidRDefault="007917A0">
      <w:pPr>
        <w:jc w:val="both"/>
        <w:rPr>
          <w:rFonts w:ascii="Arial" w:eastAsia="Arial" w:hAnsi="Arial" w:cs="Arial"/>
          <w:b/>
          <w:color w:val="000000"/>
        </w:rPr>
      </w:pPr>
    </w:p>
    <w:p w14:paraId="5F0C82DE" w14:textId="77777777" w:rsidR="007917A0" w:rsidRDefault="00000000">
      <w:pPr>
        <w:jc w:val="center"/>
        <w:rPr>
          <w:rFonts w:ascii="Arial" w:eastAsia="Arial" w:hAnsi="Arial" w:cs="Arial"/>
          <w:b/>
          <w:color w:val="000000"/>
        </w:rPr>
      </w:pPr>
      <w:r>
        <w:rPr>
          <w:rFonts w:ascii="Arial" w:eastAsia="Arial" w:hAnsi="Arial" w:cs="Arial"/>
          <w:b/>
          <w:color w:val="000000"/>
        </w:rPr>
        <w:t>DECRETA</w:t>
      </w:r>
    </w:p>
    <w:p w14:paraId="7E056F1D" w14:textId="77777777" w:rsidR="007917A0" w:rsidRDefault="007917A0">
      <w:pPr>
        <w:pBdr>
          <w:top w:val="nil"/>
          <w:left w:val="nil"/>
          <w:bottom w:val="nil"/>
          <w:right w:val="nil"/>
          <w:between w:val="nil"/>
        </w:pBdr>
        <w:jc w:val="both"/>
        <w:rPr>
          <w:rFonts w:ascii="Arial" w:eastAsia="Arial" w:hAnsi="Arial" w:cs="Arial"/>
          <w:b/>
          <w:color w:val="000000"/>
        </w:rPr>
      </w:pPr>
    </w:p>
    <w:p w14:paraId="31849E07" w14:textId="77777777" w:rsidR="007917A0" w:rsidRDefault="007917A0">
      <w:pPr>
        <w:jc w:val="both"/>
        <w:rPr>
          <w:rFonts w:ascii="Arial" w:eastAsia="Arial" w:hAnsi="Arial" w:cs="Arial"/>
          <w:b/>
          <w:color w:val="000000"/>
        </w:rPr>
      </w:pPr>
    </w:p>
    <w:p w14:paraId="47AF3B00" w14:textId="77777777" w:rsidR="007917A0" w:rsidRDefault="00000000">
      <w:pPr>
        <w:jc w:val="both"/>
        <w:rPr>
          <w:rFonts w:ascii="Arial" w:eastAsia="Arial" w:hAnsi="Arial" w:cs="Arial"/>
          <w:color w:val="000000"/>
        </w:rPr>
      </w:pPr>
      <w:r>
        <w:rPr>
          <w:rFonts w:ascii="Arial" w:eastAsia="Arial" w:hAnsi="Arial" w:cs="Arial"/>
          <w:b/>
          <w:color w:val="000000"/>
        </w:rPr>
        <w:t>Artículo 1. Objeto.</w:t>
      </w:r>
      <w:r>
        <w:rPr>
          <w:rFonts w:ascii="Arial" w:eastAsia="Arial" w:hAnsi="Arial" w:cs="Arial"/>
          <w:color w:val="000000"/>
        </w:rPr>
        <w:t xml:space="preserve"> La presente ley tiene por objeto establecer medidas para luchar, prevenir y sancionar el fraude contra el sistema de seguridad social integral.  </w:t>
      </w:r>
    </w:p>
    <w:p w14:paraId="28773B47" w14:textId="77777777" w:rsidR="007917A0" w:rsidRDefault="007917A0">
      <w:pPr>
        <w:jc w:val="both"/>
        <w:rPr>
          <w:rFonts w:ascii="Arial" w:eastAsia="Arial" w:hAnsi="Arial" w:cs="Arial"/>
          <w:color w:val="000000"/>
        </w:rPr>
      </w:pPr>
    </w:p>
    <w:p w14:paraId="1AC57FB5" w14:textId="77777777" w:rsidR="00DE2A2A" w:rsidRDefault="00DE2A2A">
      <w:pPr>
        <w:jc w:val="both"/>
        <w:rPr>
          <w:rFonts w:ascii="Arial" w:eastAsia="Arial" w:hAnsi="Arial" w:cs="Arial"/>
          <w:b/>
          <w:color w:val="000000"/>
        </w:rPr>
      </w:pPr>
    </w:p>
    <w:p w14:paraId="0129E930" w14:textId="7D575785" w:rsidR="007917A0" w:rsidRDefault="00000000">
      <w:pPr>
        <w:jc w:val="both"/>
        <w:rPr>
          <w:rFonts w:ascii="Arial" w:eastAsia="Arial" w:hAnsi="Arial" w:cs="Arial"/>
          <w:b/>
          <w:color w:val="000000"/>
        </w:rPr>
      </w:pPr>
      <w:r>
        <w:rPr>
          <w:rFonts w:ascii="Arial" w:eastAsia="Arial" w:hAnsi="Arial" w:cs="Arial"/>
          <w:b/>
          <w:color w:val="000000"/>
        </w:rPr>
        <w:t xml:space="preserve">Artículo 2. Medidas contra el fraude al Sistema de Seguridad Social Integral. </w:t>
      </w:r>
    </w:p>
    <w:p w14:paraId="26AD0CE7" w14:textId="77777777" w:rsidR="007917A0" w:rsidRDefault="007917A0">
      <w:pPr>
        <w:jc w:val="both"/>
        <w:rPr>
          <w:rFonts w:ascii="Arial" w:eastAsia="Arial" w:hAnsi="Arial" w:cs="Arial"/>
          <w:color w:val="000000"/>
        </w:rPr>
      </w:pPr>
    </w:p>
    <w:p w14:paraId="57D4C632" w14:textId="77777777" w:rsidR="007917A0" w:rsidRDefault="00000000">
      <w:pPr>
        <w:jc w:val="both"/>
        <w:rPr>
          <w:rFonts w:ascii="Arial" w:eastAsia="Arial" w:hAnsi="Arial" w:cs="Arial"/>
          <w:color w:val="000000"/>
        </w:rPr>
      </w:pPr>
      <w:r>
        <w:rPr>
          <w:rFonts w:ascii="Arial" w:eastAsia="Arial" w:hAnsi="Arial" w:cs="Arial"/>
          <w:color w:val="000000"/>
        </w:rPr>
        <w:t xml:space="preserve">A partir de la entrada en vigencia de la presente Ley el Gobierno Nacional garantizará que todos los sistemas de consulta de la Planilla Integral de Liquidación de Aportes (PILA) estén actualizados en tiempo real y brinden información que permita verificar las condiciones reales de afiliación como mínimo la fecha de pago, el periodo cotizado y de afiliación, datos que el Gobierno Nacional reglamente. </w:t>
      </w:r>
    </w:p>
    <w:p w14:paraId="18C4428F" w14:textId="77777777" w:rsidR="007917A0" w:rsidRDefault="007917A0">
      <w:pPr>
        <w:jc w:val="both"/>
        <w:rPr>
          <w:rFonts w:ascii="Arial" w:eastAsia="Arial" w:hAnsi="Arial" w:cs="Arial"/>
          <w:color w:val="000000"/>
        </w:rPr>
      </w:pPr>
    </w:p>
    <w:p w14:paraId="3C3A2BFC" w14:textId="77777777" w:rsidR="007917A0" w:rsidRDefault="00000000">
      <w:pPr>
        <w:jc w:val="both"/>
        <w:rPr>
          <w:rFonts w:ascii="Arial" w:eastAsia="Arial" w:hAnsi="Arial" w:cs="Arial"/>
          <w:color w:val="000000"/>
        </w:rPr>
      </w:pPr>
      <w:r>
        <w:rPr>
          <w:rFonts w:ascii="Arial" w:eastAsia="Arial" w:hAnsi="Arial" w:cs="Arial"/>
          <w:color w:val="000000"/>
        </w:rPr>
        <w:t xml:space="preserve">Una vez hecha la afiliación se enviará un correo electrónico, mensaje de texto o cualquier otro mecanismo para que el afiliado pueda tener acceso inmediato para consultar y verificar todos los datos personales y de afiliación cargados a la Planilla Integral de Liquidación de Aportes (PILA). </w:t>
      </w:r>
    </w:p>
    <w:p w14:paraId="1EB639B1" w14:textId="77777777" w:rsidR="007917A0" w:rsidRDefault="007917A0">
      <w:pPr>
        <w:jc w:val="both"/>
        <w:rPr>
          <w:rFonts w:ascii="Arial" w:eastAsia="Arial" w:hAnsi="Arial" w:cs="Arial"/>
          <w:color w:val="000000"/>
        </w:rPr>
      </w:pPr>
    </w:p>
    <w:p w14:paraId="4FCFF84B" w14:textId="77777777" w:rsidR="007917A0" w:rsidRDefault="00000000">
      <w:pPr>
        <w:jc w:val="both"/>
        <w:rPr>
          <w:rFonts w:ascii="Arial" w:eastAsia="Arial" w:hAnsi="Arial" w:cs="Arial"/>
          <w:color w:val="000000"/>
        </w:rPr>
      </w:pPr>
      <w:r>
        <w:rPr>
          <w:rFonts w:ascii="Arial" w:eastAsia="Arial" w:hAnsi="Arial" w:cs="Arial"/>
          <w:color w:val="000000"/>
        </w:rPr>
        <w:t xml:space="preserve">Se deberá crear un mecanismo de verificación y autenticación que permita al contratante o empresa constatar la afiliación hecha directamente o por medio de Operadores de Información autorizados. </w:t>
      </w:r>
    </w:p>
    <w:p w14:paraId="7875298A" w14:textId="77777777" w:rsidR="007917A0" w:rsidRDefault="007917A0">
      <w:pPr>
        <w:jc w:val="both"/>
        <w:rPr>
          <w:rFonts w:ascii="Arial" w:eastAsia="Arial" w:hAnsi="Arial" w:cs="Arial"/>
          <w:color w:val="000000"/>
        </w:rPr>
      </w:pPr>
    </w:p>
    <w:p w14:paraId="41C77A3C" w14:textId="77777777" w:rsidR="007917A0" w:rsidRDefault="00000000">
      <w:pPr>
        <w:jc w:val="both"/>
        <w:rPr>
          <w:rFonts w:ascii="Arial" w:eastAsia="Arial" w:hAnsi="Arial" w:cs="Arial"/>
          <w:color w:val="000000"/>
        </w:rPr>
      </w:pPr>
      <w:r>
        <w:rPr>
          <w:rFonts w:ascii="Arial" w:eastAsia="Arial" w:hAnsi="Arial" w:cs="Arial"/>
          <w:color w:val="000000"/>
        </w:rPr>
        <w:t xml:space="preserve">No podrá desvincularse o desafiliarse a la persona antes de cumplirse el tiempo inicialmente cotizado, tampoco se podrá modificar la actividad inicialmente reportada, ni el valor reportado de ingresos. Cualquier modificación o error en la afiliación deberá ser reportada al contratante o empresa y al afiliado dentro de los 2 días siguientes de la detección, para que el afiliado pueda manifestarse u oponerse a dicha modificación o desafiliación. Frente aumentos significativos en los aportes de cotización se deberá revisar la veracidad y justificación de dichos aumentos. Los operadores autorizados podrán bloquear en el sistema de Planilla Integral de </w:t>
      </w:r>
      <w:r>
        <w:rPr>
          <w:rFonts w:ascii="Arial" w:eastAsia="Arial" w:hAnsi="Arial" w:cs="Arial"/>
          <w:color w:val="000000"/>
        </w:rPr>
        <w:lastRenderedPageBreak/>
        <w:t xml:space="preserve">Liquidación de Aportes (PILA) las cédulas cuando sea personal natural o </w:t>
      </w:r>
      <w:proofErr w:type="spellStart"/>
      <w:r>
        <w:rPr>
          <w:rFonts w:ascii="Arial" w:eastAsia="Arial" w:hAnsi="Arial" w:cs="Arial"/>
          <w:color w:val="000000"/>
        </w:rPr>
        <w:t>nit</w:t>
      </w:r>
      <w:proofErr w:type="spellEnd"/>
      <w:r>
        <w:rPr>
          <w:rFonts w:ascii="Arial" w:eastAsia="Arial" w:hAnsi="Arial" w:cs="Arial"/>
          <w:color w:val="000000"/>
        </w:rPr>
        <w:t xml:space="preserve"> cuando se trate de persona jurídica, cuando se evidencian incrementos, datos o situaciones que puedan representar un riesgo de fraude. </w:t>
      </w:r>
    </w:p>
    <w:p w14:paraId="1CA9273E" w14:textId="77777777" w:rsidR="007917A0" w:rsidRDefault="007917A0">
      <w:pPr>
        <w:jc w:val="both"/>
        <w:rPr>
          <w:rFonts w:ascii="Arial" w:eastAsia="Arial" w:hAnsi="Arial" w:cs="Arial"/>
          <w:color w:val="000000"/>
        </w:rPr>
      </w:pPr>
    </w:p>
    <w:p w14:paraId="20532807" w14:textId="77777777" w:rsidR="007917A0" w:rsidRDefault="00000000">
      <w:pPr>
        <w:jc w:val="both"/>
        <w:rPr>
          <w:rFonts w:ascii="Arial" w:eastAsia="Arial" w:hAnsi="Arial" w:cs="Arial"/>
          <w:color w:val="000000"/>
        </w:rPr>
      </w:pPr>
      <w:r>
        <w:rPr>
          <w:rFonts w:ascii="Arial" w:eastAsia="Arial" w:hAnsi="Arial" w:cs="Arial"/>
          <w:color w:val="000000"/>
        </w:rPr>
        <w:t>Los operadores, la UGPP, los Administradoras de Fondos de Pensiones, las Entidades Promotoras de Salud o quienes hagan sus veces y las demás que determine el gobierno nacional, en todo momento podrán requerir la información y documentación pertinente a fin de verificar el monto de los aportes, el tiempo de afiliación, el empleador o aportante.</w:t>
      </w:r>
    </w:p>
    <w:p w14:paraId="3133585B" w14:textId="77777777" w:rsidR="007917A0" w:rsidRDefault="007917A0">
      <w:pPr>
        <w:jc w:val="both"/>
        <w:rPr>
          <w:rFonts w:ascii="Arial" w:eastAsia="Arial" w:hAnsi="Arial" w:cs="Arial"/>
          <w:color w:val="000000"/>
        </w:rPr>
      </w:pPr>
    </w:p>
    <w:p w14:paraId="19D15D4C" w14:textId="77777777" w:rsidR="007917A0" w:rsidRDefault="00000000">
      <w:pPr>
        <w:jc w:val="both"/>
        <w:rPr>
          <w:rFonts w:ascii="Arial" w:eastAsia="Arial" w:hAnsi="Arial" w:cs="Arial"/>
          <w:color w:val="000000"/>
        </w:rPr>
      </w:pPr>
      <w:r>
        <w:rPr>
          <w:rFonts w:ascii="Arial" w:eastAsia="Arial" w:hAnsi="Arial" w:cs="Arial"/>
          <w:b/>
          <w:color w:val="000000"/>
        </w:rPr>
        <w:t>Parágrafo transitorio.</w:t>
      </w:r>
      <w:r>
        <w:rPr>
          <w:rFonts w:ascii="Arial" w:eastAsia="Arial" w:hAnsi="Arial" w:cs="Arial"/>
          <w:color w:val="000000"/>
        </w:rPr>
        <w:t xml:space="preserve"> A partir de la entrada en vigencia de la presente Ley se tendrán un (1) año para que los certificados de aportes a Seguridad Social sean complemente digitales y contenga en un único formato los elementos descritos en el presente artículo para que puedan ser consultados en línea. El gobierno nacional reglamentará el contenido de este parágrafo. </w:t>
      </w:r>
    </w:p>
    <w:p w14:paraId="0FF4F5F8" w14:textId="77777777" w:rsidR="007917A0" w:rsidRDefault="007917A0">
      <w:pPr>
        <w:jc w:val="both"/>
        <w:rPr>
          <w:rFonts w:ascii="Arial" w:eastAsia="Arial" w:hAnsi="Arial" w:cs="Arial"/>
          <w:b/>
          <w:color w:val="000000"/>
        </w:rPr>
      </w:pPr>
    </w:p>
    <w:p w14:paraId="76A7879F" w14:textId="77777777" w:rsidR="00DE2A2A" w:rsidRDefault="00DE2A2A">
      <w:pPr>
        <w:jc w:val="both"/>
        <w:rPr>
          <w:rFonts w:ascii="Arial" w:eastAsia="Arial" w:hAnsi="Arial" w:cs="Arial"/>
          <w:b/>
          <w:color w:val="000000"/>
        </w:rPr>
      </w:pPr>
    </w:p>
    <w:p w14:paraId="438CD7E7" w14:textId="1E48C107" w:rsidR="007917A0" w:rsidRDefault="00000000">
      <w:pPr>
        <w:jc w:val="both"/>
        <w:rPr>
          <w:rFonts w:ascii="Arial" w:eastAsia="Arial" w:hAnsi="Arial" w:cs="Arial"/>
          <w:b/>
          <w:color w:val="000000"/>
        </w:rPr>
      </w:pPr>
      <w:r>
        <w:rPr>
          <w:rFonts w:ascii="Arial" w:eastAsia="Arial" w:hAnsi="Arial" w:cs="Arial"/>
          <w:b/>
          <w:color w:val="000000"/>
        </w:rPr>
        <w:t>Artículo 3. Co</w:t>
      </w:r>
      <w:r w:rsidR="00874EDE">
        <w:rPr>
          <w:rFonts w:ascii="Arial" w:eastAsia="Arial" w:hAnsi="Arial" w:cs="Arial"/>
          <w:b/>
          <w:color w:val="000000"/>
        </w:rPr>
        <w:t>misión</w:t>
      </w:r>
      <w:r>
        <w:rPr>
          <w:rFonts w:ascii="Arial" w:eastAsia="Arial" w:hAnsi="Arial" w:cs="Arial"/>
          <w:b/>
          <w:color w:val="000000"/>
        </w:rPr>
        <w:t xml:space="preserve"> Nacional contra el fraude a la Protección Social. </w:t>
      </w:r>
      <w:r w:rsidR="00874EDE">
        <w:rPr>
          <w:rFonts w:ascii="Arial" w:eastAsia="Arial" w:hAnsi="Arial" w:cs="Arial"/>
          <w:bCs/>
          <w:color w:val="000000"/>
        </w:rPr>
        <w:t>Créase</w:t>
      </w:r>
      <w:r w:rsidR="005C3D10" w:rsidRPr="005C3D10">
        <w:rPr>
          <w:rFonts w:ascii="Arial" w:eastAsia="Arial" w:hAnsi="Arial" w:cs="Arial"/>
          <w:bCs/>
          <w:color w:val="000000"/>
        </w:rPr>
        <w:t xml:space="preserve"> </w:t>
      </w:r>
      <w:r w:rsidR="00874EDE">
        <w:rPr>
          <w:rFonts w:ascii="Arial" w:eastAsia="Arial" w:hAnsi="Arial" w:cs="Arial"/>
          <w:color w:val="000000"/>
        </w:rPr>
        <w:t>la Comisión Nacional</w:t>
      </w:r>
      <w:r>
        <w:rPr>
          <w:rFonts w:ascii="Arial" w:eastAsia="Arial" w:hAnsi="Arial" w:cs="Arial"/>
          <w:color w:val="000000"/>
        </w:rPr>
        <w:t xml:space="preserve"> </w:t>
      </w:r>
      <w:r w:rsidR="00874EDE" w:rsidRPr="00874EDE">
        <w:rPr>
          <w:rFonts w:ascii="Arial" w:eastAsia="Arial" w:hAnsi="Arial" w:cs="Arial"/>
          <w:bCs/>
          <w:color w:val="000000"/>
        </w:rPr>
        <w:t>contra el fraude a la Protección</w:t>
      </w:r>
      <w:r w:rsidR="00874EDE">
        <w:rPr>
          <w:rFonts w:ascii="Arial" w:eastAsia="Arial" w:hAnsi="Arial" w:cs="Arial"/>
          <w:b/>
          <w:color w:val="000000"/>
        </w:rPr>
        <w:t xml:space="preserve"> </w:t>
      </w:r>
      <w:r w:rsidR="00874EDE" w:rsidRPr="00874EDE">
        <w:rPr>
          <w:rFonts w:ascii="Arial" w:eastAsia="Arial" w:hAnsi="Arial" w:cs="Arial"/>
          <w:bCs/>
          <w:color w:val="000000"/>
        </w:rPr>
        <w:t>Social</w:t>
      </w:r>
      <w:r w:rsidR="00874EDE">
        <w:rPr>
          <w:rFonts w:ascii="Arial" w:eastAsia="Arial" w:hAnsi="Arial" w:cs="Arial"/>
          <w:color w:val="000000"/>
        </w:rPr>
        <w:t xml:space="preserve"> </w:t>
      </w:r>
      <w:r>
        <w:rPr>
          <w:rFonts w:ascii="Arial" w:eastAsia="Arial" w:hAnsi="Arial" w:cs="Arial"/>
          <w:color w:val="000000"/>
        </w:rPr>
        <w:t xml:space="preserve">como una instancia de coordinación, apoyo y asesoría, para generar acciones efectivas de atención y solución de los problemas de evasión y fraude en el Sistema de Seguridad Social Integral, mediante la implementación de estrategias de corto, mediano y largo plazo que busquen prevenir, gestionar y sancionar estos fenómenos. Para esto, se deberá diseñar e implementar una política pública que cuente con la participación de actores públicos y privados, la cual deberá ser revisada y actualizada cada dos (2) años de acuerdo al seguimiento de la ejecución que se haga de la misma. </w:t>
      </w:r>
    </w:p>
    <w:p w14:paraId="0D438439" w14:textId="77777777" w:rsidR="007917A0" w:rsidRDefault="007917A0">
      <w:pPr>
        <w:jc w:val="both"/>
        <w:rPr>
          <w:rFonts w:ascii="Arial" w:eastAsia="Arial" w:hAnsi="Arial" w:cs="Arial"/>
          <w:color w:val="000000"/>
        </w:rPr>
      </w:pPr>
    </w:p>
    <w:p w14:paraId="7234473C" w14:textId="30908830" w:rsidR="007917A0" w:rsidRDefault="00000000">
      <w:pPr>
        <w:jc w:val="both"/>
        <w:rPr>
          <w:rFonts w:ascii="Arial" w:eastAsia="Arial" w:hAnsi="Arial" w:cs="Arial"/>
          <w:color w:val="000000"/>
        </w:rPr>
      </w:pPr>
      <w:r>
        <w:rPr>
          <w:rFonts w:ascii="Arial" w:eastAsia="Arial" w:hAnsi="Arial" w:cs="Arial"/>
          <w:color w:val="000000"/>
        </w:rPr>
        <w:t>El Gobierno Nacional estará a cargo de la coordinación y dirección de est</w:t>
      </w:r>
      <w:r w:rsidR="00874EDE">
        <w:rPr>
          <w:rFonts w:ascii="Arial" w:eastAsia="Arial" w:hAnsi="Arial" w:cs="Arial"/>
          <w:color w:val="000000"/>
        </w:rPr>
        <w:t>a Comisión</w:t>
      </w:r>
      <w:r>
        <w:rPr>
          <w:rFonts w:ascii="Arial" w:eastAsia="Arial" w:hAnsi="Arial" w:cs="Arial"/>
          <w:color w:val="000000"/>
        </w:rPr>
        <w:t xml:space="preserve">, </w:t>
      </w:r>
      <w:r w:rsidR="00874EDE">
        <w:rPr>
          <w:rFonts w:ascii="Arial" w:eastAsia="Arial" w:hAnsi="Arial" w:cs="Arial"/>
          <w:color w:val="000000"/>
        </w:rPr>
        <w:t>la</w:t>
      </w:r>
      <w:r>
        <w:rPr>
          <w:rFonts w:ascii="Arial" w:eastAsia="Arial" w:hAnsi="Arial" w:cs="Arial"/>
          <w:color w:val="000000"/>
        </w:rPr>
        <w:t xml:space="preserve"> cual estará integrado por unos miembros permanentes como el Ministro(a) de Trabajo o su delegado, el Ministro (a) de Salud y Protección Social o su delegado, el Director de la Administradora de los Recursos del Sistema General de la Seguridad Social en Salud (ADRES) o su delegado, el Superintendente Financiero o su delegado, el Director de la Unidad de Gestión Pensional y Parafiscal (UGPP) o su delegado, el Director de la DIAN o su delegado, un representante de las Administradoras de Riesgos Laborales, un delegado del Procurador(a) General de La Nación, un delegado de la Fiscalía General de la Nación, un delegado de los Operadores de Información de la Planilla Integrada de Liquidación de Aportes, un delegado de la cajas de compensación familiar y dos congresistas elegidos por las Comisiones Constitucionales Séptimas de Cámara y Senado; y por unos miembros invitados según el tema que se aborde como delegados que representen las EPS </w:t>
      </w:r>
      <w:r>
        <w:rPr>
          <w:rFonts w:ascii="Arial" w:eastAsia="Arial" w:hAnsi="Arial" w:cs="Arial"/>
          <w:color w:val="000000"/>
        </w:rPr>
        <w:lastRenderedPageBreak/>
        <w:t xml:space="preserve">del régimen contributivo y de las del régimen subsidiado, delegados de los fondos o empresas aseguradoras. </w:t>
      </w:r>
    </w:p>
    <w:p w14:paraId="5A9DC267" w14:textId="77777777" w:rsidR="007917A0" w:rsidRDefault="007917A0">
      <w:pPr>
        <w:jc w:val="both"/>
        <w:rPr>
          <w:rFonts w:ascii="Arial" w:eastAsia="Arial" w:hAnsi="Arial" w:cs="Arial"/>
          <w:color w:val="000000"/>
        </w:rPr>
      </w:pPr>
    </w:p>
    <w:p w14:paraId="7137E220" w14:textId="263BF45E" w:rsidR="007917A0" w:rsidRDefault="00000000">
      <w:pPr>
        <w:jc w:val="both"/>
        <w:rPr>
          <w:rFonts w:ascii="Arial" w:eastAsia="Arial" w:hAnsi="Arial" w:cs="Arial"/>
          <w:color w:val="000000"/>
        </w:rPr>
      </w:pPr>
      <w:r>
        <w:rPr>
          <w:rFonts w:ascii="Arial" w:eastAsia="Arial" w:hAnsi="Arial" w:cs="Arial"/>
          <w:color w:val="000000"/>
        </w:rPr>
        <w:t>En est</w:t>
      </w:r>
      <w:r w:rsidR="00AA6681">
        <w:rPr>
          <w:rFonts w:ascii="Arial" w:eastAsia="Arial" w:hAnsi="Arial" w:cs="Arial"/>
          <w:color w:val="000000"/>
        </w:rPr>
        <w:t>a Comisión</w:t>
      </w:r>
      <w:r>
        <w:rPr>
          <w:rFonts w:ascii="Arial" w:eastAsia="Arial" w:hAnsi="Arial" w:cs="Arial"/>
          <w:color w:val="000000"/>
        </w:rPr>
        <w:t xml:space="preserve"> se diseñará una estrategia </w:t>
      </w:r>
      <w:r>
        <w:rPr>
          <w:rFonts w:ascii="Arial" w:eastAsia="Arial" w:hAnsi="Arial" w:cs="Arial"/>
          <w:color w:val="333333"/>
          <w:sz w:val="25"/>
          <w:szCs w:val="25"/>
          <w:highlight w:val="white"/>
        </w:rPr>
        <w:t xml:space="preserve">para que a través de los medios masivos de comunicación se adelanten campañas para sensibilizar e ilustrar a la ciudadanía frente a los riesgos que afrontan ante eventos de evasión o fraude al </w:t>
      </w:r>
      <w:r>
        <w:rPr>
          <w:rFonts w:ascii="Arial" w:eastAsia="Arial" w:hAnsi="Arial" w:cs="Arial"/>
          <w:color w:val="000000"/>
        </w:rPr>
        <w:t xml:space="preserve">el Sistema de Seguridad Social Integral. </w:t>
      </w:r>
    </w:p>
    <w:p w14:paraId="575500A5" w14:textId="77777777" w:rsidR="007917A0" w:rsidRDefault="007917A0">
      <w:pPr>
        <w:jc w:val="both"/>
        <w:rPr>
          <w:rFonts w:ascii="Arial" w:eastAsia="Arial" w:hAnsi="Arial" w:cs="Arial"/>
          <w:color w:val="000000"/>
        </w:rPr>
      </w:pPr>
    </w:p>
    <w:p w14:paraId="7306AF6D" w14:textId="77777777" w:rsidR="007917A0" w:rsidRDefault="00000000">
      <w:pPr>
        <w:jc w:val="both"/>
        <w:rPr>
          <w:rFonts w:ascii="Arial" w:eastAsia="Arial" w:hAnsi="Arial" w:cs="Arial"/>
          <w:color w:val="000000"/>
        </w:rPr>
      </w:pPr>
      <w:r>
        <w:rPr>
          <w:rFonts w:ascii="Arial" w:eastAsia="Arial" w:hAnsi="Arial" w:cs="Arial"/>
          <w:b/>
          <w:color w:val="000000"/>
        </w:rPr>
        <w:t>Parágrafo.</w:t>
      </w:r>
      <w:r>
        <w:rPr>
          <w:rFonts w:ascii="Arial" w:eastAsia="Arial" w:hAnsi="Arial" w:cs="Arial"/>
          <w:color w:val="000000"/>
        </w:rPr>
        <w:t xml:space="preserve"> El gobierno nacional reglamentará todo lo concerniente a esta norma dentro de los 6 meses siguientes a entrada a vigencia de la presente Ley. </w:t>
      </w:r>
    </w:p>
    <w:p w14:paraId="1ECFDEA3" w14:textId="77777777" w:rsidR="007917A0" w:rsidRDefault="007917A0">
      <w:pPr>
        <w:jc w:val="both"/>
        <w:rPr>
          <w:rFonts w:ascii="Open Sans" w:eastAsia="Open Sans" w:hAnsi="Open Sans" w:cs="Open Sans"/>
          <w:color w:val="4B4949"/>
          <w:sz w:val="18"/>
          <w:szCs w:val="18"/>
        </w:rPr>
      </w:pPr>
    </w:p>
    <w:p w14:paraId="086E174D" w14:textId="77777777" w:rsidR="005C3D10" w:rsidRDefault="005C3D10">
      <w:pPr>
        <w:jc w:val="both"/>
        <w:rPr>
          <w:rFonts w:ascii="Open Sans" w:eastAsia="Open Sans" w:hAnsi="Open Sans" w:cs="Open Sans"/>
          <w:color w:val="4B4949"/>
          <w:sz w:val="18"/>
          <w:szCs w:val="18"/>
        </w:rPr>
      </w:pPr>
    </w:p>
    <w:p w14:paraId="279CD933" w14:textId="2D784FF9" w:rsidR="007917A0" w:rsidRDefault="00000000">
      <w:pPr>
        <w:jc w:val="both"/>
        <w:rPr>
          <w:rFonts w:ascii="Arial" w:eastAsia="Arial" w:hAnsi="Arial" w:cs="Arial"/>
          <w:color w:val="000000"/>
        </w:rPr>
      </w:pPr>
      <w:r>
        <w:rPr>
          <w:rFonts w:ascii="Arial" w:eastAsia="Arial" w:hAnsi="Arial" w:cs="Arial"/>
          <w:b/>
          <w:color w:val="000000"/>
        </w:rPr>
        <w:t xml:space="preserve">Artículo 4. Informes al Congreso de la República. </w:t>
      </w:r>
      <w:r w:rsidR="00AA6681">
        <w:rPr>
          <w:rFonts w:ascii="Arial" w:eastAsia="Arial" w:hAnsi="Arial" w:cs="Arial"/>
          <w:color w:val="000000"/>
        </w:rPr>
        <w:t>La Comisión</w:t>
      </w:r>
      <w:r>
        <w:rPr>
          <w:rFonts w:ascii="Arial" w:eastAsia="Arial" w:hAnsi="Arial" w:cs="Arial"/>
          <w:color w:val="000000"/>
        </w:rPr>
        <w:t xml:space="preserve"> Nacional contra el fraude a la Protección Social remitirá al finalizar cada legislatura un informe a las Comisiones Constitucionales Séptimas de Cámara y Senado sobre la ejecución, resultados y acciones adelantadas en virtud de esta Ley. </w:t>
      </w:r>
    </w:p>
    <w:p w14:paraId="47454607" w14:textId="77777777" w:rsidR="007917A0" w:rsidRDefault="007917A0">
      <w:pPr>
        <w:jc w:val="both"/>
        <w:rPr>
          <w:rFonts w:ascii="Arial" w:eastAsia="Arial" w:hAnsi="Arial" w:cs="Arial"/>
          <w:b/>
          <w:color w:val="000000"/>
        </w:rPr>
      </w:pPr>
    </w:p>
    <w:p w14:paraId="0B0A5E66" w14:textId="77777777" w:rsidR="00DE2A2A" w:rsidRDefault="00DE2A2A">
      <w:pPr>
        <w:jc w:val="both"/>
        <w:rPr>
          <w:rFonts w:ascii="Arial" w:eastAsia="Arial" w:hAnsi="Arial" w:cs="Arial"/>
          <w:b/>
          <w:color w:val="000000"/>
        </w:rPr>
      </w:pPr>
    </w:p>
    <w:p w14:paraId="479C65D7" w14:textId="70C9DC03" w:rsidR="007917A0" w:rsidRDefault="00000000">
      <w:pPr>
        <w:jc w:val="both"/>
        <w:rPr>
          <w:rFonts w:ascii="Arial" w:eastAsia="Arial" w:hAnsi="Arial" w:cs="Arial"/>
          <w:b/>
          <w:color w:val="000000"/>
        </w:rPr>
      </w:pPr>
      <w:r>
        <w:rPr>
          <w:rFonts w:ascii="Arial" w:eastAsia="Arial" w:hAnsi="Arial" w:cs="Arial"/>
          <w:b/>
          <w:color w:val="000000"/>
        </w:rPr>
        <w:t xml:space="preserve">Artículo 5. </w:t>
      </w:r>
      <w:r>
        <w:rPr>
          <w:rFonts w:ascii="Arial" w:eastAsia="Arial" w:hAnsi="Arial" w:cs="Arial"/>
          <w:color w:val="000000"/>
        </w:rPr>
        <w:t xml:space="preserve">Autorícese a la Unidad de Gestión Pensional y Parafiscal (UGPP) para solicitar la información necesaria que requiera para el ejercicio de sus funciones a todas las entidades financieras, quienes tendrán 10 días calendario para entregar la información solicitada. En todo momento la UGPP deberá guardar la reserva de la información de conformidad con los principios del artículo 4 de la Ley 1581 de 2012 y tendrá el tratamiento de datos sensibles de acuerdo con la normatividad vigente.  </w:t>
      </w:r>
    </w:p>
    <w:p w14:paraId="55FBC724" w14:textId="77777777" w:rsidR="007917A0" w:rsidRDefault="007917A0">
      <w:pPr>
        <w:jc w:val="both"/>
        <w:rPr>
          <w:rFonts w:ascii="Arial" w:eastAsia="Arial" w:hAnsi="Arial" w:cs="Arial"/>
          <w:b/>
          <w:color w:val="000000"/>
        </w:rPr>
      </w:pPr>
    </w:p>
    <w:p w14:paraId="0DFEA6F2" w14:textId="77777777" w:rsidR="00DE2A2A" w:rsidRDefault="00DE2A2A">
      <w:pPr>
        <w:jc w:val="both"/>
        <w:rPr>
          <w:rFonts w:ascii="Arial" w:eastAsia="Arial" w:hAnsi="Arial" w:cs="Arial"/>
          <w:b/>
          <w:color w:val="000000"/>
        </w:rPr>
      </w:pPr>
    </w:p>
    <w:p w14:paraId="37138858" w14:textId="27D4138C" w:rsidR="007917A0" w:rsidRDefault="00000000">
      <w:pPr>
        <w:jc w:val="both"/>
        <w:rPr>
          <w:rFonts w:ascii="Arial" w:eastAsia="Arial" w:hAnsi="Arial" w:cs="Arial"/>
          <w:b/>
          <w:color w:val="000000"/>
        </w:rPr>
      </w:pPr>
      <w:r>
        <w:rPr>
          <w:rFonts w:ascii="Arial" w:eastAsia="Arial" w:hAnsi="Arial" w:cs="Arial"/>
          <w:b/>
          <w:color w:val="000000"/>
        </w:rPr>
        <w:t xml:space="preserve">Artículo 6. Adiciónese un parágrafo a los artículos 18 y 204 de la Ley 100 de 1993, así: </w:t>
      </w:r>
    </w:p>
    <w:p w14:paraId="036270C3" w14:textId="77777777" w:rsidR="007917A0" w:rsidRDefault="007917A0">
      <w:pPr>
        <w:jc w:val="both"/>
        <w:rPr>
          <w:rFonts w:ascii="Arial" w:eastAsia="Arial" w:hAnsi="Arial" w:cs="Arial"/>
          <w:b/>
          <w:color w:val="000000"/>
        </w:rPr>
      </w:pPr>
    </w:p>
    <w:p w14:paraId="7CBFE203" w14:textId="77777777" w:rsidR="00DE2A2A" w:rsidRDefault="00DE2A2A">
      <w:pPr>
        <w:ind w:left="708"/>
        <w:jc w:val="both"/>
        <w:rPr>
          <w:rFonts w:ascii="Arial" w:eastAsia="Arial" w:hAnsi="Arial" w:cs="Arial"/>
          <w:b/>
          <w:color w:val="000000"/>
        </w:rPr>
      </w:pPr>
    </w:p>
    <w:p w14:paraId="728CA5AE" w14:textId="6A8461FA" w:rsidR="007917A0" w:rsidRDefault="00000000">
      <w:pPr>
        <w:ind w:left="708"/>
        <w:jc w:val="both"/>
        <w:rPr>
          <w:rFonts w:ascii="Arial" w:eastAsia="Arial" w:hAnsi="Arial" w:cs="Arial"/>
          <w:color w:val="000000"/>
        </w:rPr>
      </w:pPr>
      <w:r>
        <w:rPr>
          <w:rFonts w:ascii="Arial" w:eastAsia="Arial" w:hAnsi="Arial" w:cs="Arial"/>
          <w:b/>
          <w:color w:val="000000"/>
        </w:rPr>
        <w:t xml:space="preserve">Parágrafo transitorio.   </w:t>
      </w:r>
      <w:r>
        <w:rPr>
          <w:rFonts w:ascii="Arial" w:eastAsia="Arial" w:hAnsi="Arial" w:cs="Arial"/>
          <w:color w:val="000000"/>
        </w:rPr>
        <w:t>Dentro de los 6 meses siguientes a la entrada en vigencia de la presente Ley, el gobierno nacional, junto con los integrantes de</w:t>
      </w:r>
      <w:r w:rsidR="00AA6681">
        <w:rPr>
          <w:rFonts w:ascii="Arial" w:eastAsia="Arial" w:hAnsi="Arial" w:cs="Arial"/>
          <w:color w:val="000000"/>
        </w:rPr>
        <w:t xml:space="preserve"> </w:t>
      </w:r>
      <w:r>
        <w:rPr>
          <w:rFonts w:ascii="Arial" w:eastAsia="Arial" w:hAnsi="Arial" w:cs="Arial"/>
          <w:color w:val="000000"/>
        </w:rPr>
        <w:t>l</w:t>
      </w:r>
      <w:r w:rsidR="00AA6681">
        <w:rPr>
          <w:rFonts w:ascii="Arial" w:eastAsia="Arial" w:hAnsi="Arial" w:cs="Arial"/>
          <w:color w:val="000000"/>
        </w:rPr>
        <w:t>a Comisión</w:t>
      </w:r>
      <w:r>
        <w:rPr>
          <w:rFonts w:ascii="Arial" w:eastAsia="Arial" w:hAnsi="Arial" w:cs="Arial"/>
          <w:color w:val="000000"/>
        </w:rPr>
        <w:t xml:space="preserve"> Nacional contra el fraude a la Protección Social, reglamentará la forma, el porcentaje y demás cuestiones necesarias para que las personas con contrato laboral, los contratistas y los trabajadores independientes que devenguen menos un salario mínimo realicen los aportes al sistema de seguridad social integral, en proporción a los ingresos o salarios percibidos. </w:t>
      </w:r>
    </w:p>
    <w:p w14:paraId="18BCF0EF" w14:textId="77777777" w:rsidR="007917A0" w:rsidRDefault="007917A0">
      <w:pPr>
        <w:ind w:left="708"/>
        <w:jc w:val="both"/>
        <w:rPr>
          <w:rFonts w:ascii="Arial" w:eastAsia="Arial" w:hAnsi="Arial" w:cs="Arial"/>
          <w:color w:val="000000"/>
        </w:rPr>
      </w:pPr>
    </w:p>
    <w:p w14:paraId="2373C9E2" w14:textId="77777777" w:rsidR="007917A0" w:rsidRDefault="00000000">
      <w:pPr>
        <w:ind w:left="708"/>
        <w:jc w:val="both"/>
        <w:rPr>
          <w:rFonts w:ascii="Arial" w:eastAsia="Arial" w:hAnsi="Arial" w:cs="Arial"/>
          <w:color w:val="000000"/>
        </w:rPr>
      </w:pPr>
      <w:r>
        <w:rPr>
          <w:rFonts w:ascii="Arial" w:eastAsia="Arial" w:hAnsi="Arial" w:cs="Arial"/>
          <w:color w:val="000000"/>
        </w:rPr>
        <w:lastRenderedPageBreak/>
        <w:t xml:space="preserve">Asimismo, reglamentará un porcentaje menor escalonado de cotización cuando la persona tenga diferentes ingresos en un mismo mes, a fin de que no deba cotizar en igual porcentaje en cada uno de ellos. </w:t>
      </w:r>
    </w:p>
    <w:p w14:paraId="2C149A66" w14:textId="77777777" w:rsidR="007917A0" w:rsidRDefault="007917A0">
      <w:pPr>
        <w:jc w:val="both"/>
        <w:rPr>
          <w:rFonts w:ascii="Arial" w:eastAsia="Arial" w:hAnsi="Arial" w:cs="Arial"/>
          <w:b/>
          <w:color w:val="000000"/>
        </w:rPr>
      </w:pPr>
    </w:p>
    <w:p w14:paraId="2D7416D8" w14:textId="77777777" w:rsidR="007917A0" w:rsidRDefault="00000000">
      <w:pPr>
        <w:jc w:val="both"/>
        <w:rPr>
          <w:rFonts w:ascii="Arial" w:eastAsia="Arial" w:hAnsi="Arial" w:cs="Arial"/>
          <w:color w:val="000000"/>
        </w:rPr>
      </w:pPr>
      <w:r>
        <w:rPr>
          <w:rFonts w:ascii="Arial" w:eastAsia="Arial" w:hAnsi="Arial" w:cs="Arial"/>
          <w:b/>
          <w:color w:val="000000"/>
        </w:rPr>
        <w:t>Artículo 7. Vigencia.</w:t>
      </w:r>
      <w:r>
        <w:rPr>
          <w:rFonts w:ascii="Arial" w:eastAsia="Arial" w:hAnsi="Arial" w:cs="Arial"/>
          <w:color w:val="000000"/>
        </w:rPr>
        <w:t xml:space="preserve"> La presente ley rige a partir de su publicación, y deroga todas aquellas que le sean contrarias. </w:t>
      </w:r>
    </w:p>
    <w:p w14:paraId="599D2380" w14:textId="77777777" w:rsidR="007917A0" w:rsidRDefault="007917A0">
      <w:pPr>
        <w:jc w:val="both"/>
        <w:rPr>
          <w:rFonts w:ascii="Arial" w:eastAsia="Arial" w:hAnsi="Arial" w:cs="Arial"/>
          <w:color w:val="000000"/>
        </w:rPr>
      </w:pPr>
    </w:p>
    <w:p w14:paraId="7C67C6D4" w14:textId="77777777" w:rsidR="007917A0" w:rsidRDefault="007917A0">
      <w:pPr>
        <w:tabs>
          <w:tab w:val="left" w:pos="3915"/>
        </w:tabs>
        <w:spacing w:line="276" w:lineRule="auto"/>
        <w:jc w:val="both"/>
        <w:rPr>
          <w:rFonts w:ascii="Arial" w:eastAsia="Arial" w:hAnsi="Arial" w:cs="Arial"/>
          <w:b/>
          <w:color w:val="000000"/>
        </w:rPr>
      </w:pPr>
    </w:p>
    <w:p w14:paraId="3443B159" w14:textId="77777777" w:rsidR="007917A0" w:rsidRDefault="007917A0">
      <w:pPr>
        <w:tabs>
          <w:tab w:val="left" w:pos="3915"/>
        </w:tabs>
        <w:spacing w:line="276" w:lineRule="auto"/>
        <w:jc w:val="both"/>
        <w:rPr>
          <w:rFonts w:ascii="Arial" w:eastAsia="Arial" w:hAnsi="Arial" w:cs="Arial"/>
          <w:b/>
          <w:color w:val="000000"/>
        </w:rPr>
      </w:pPr>
    </w:p>
    <w:p w14:paraId="23F76040" w14:textId="77777777" w:rsidR="007917A0" w:rsidRDefault="00000000">
      <w:pPr>
        <w:tabs>
          <w:tab w:val="left" w:pos="3915"/>
        </w:tabs>
        <w:spacing w:line="276" w:lineRule="auto"/>
        <w:jc w:val="both"/>
        <w:rPr>
          <w:rFonts w:ascii="Arial" w:eastAsia="Arial" w:hAnsi="Arial" w:cs="Arial"/>
          <w:b/>
          <w:color w:val="000000"/>
        </w:rPr>
      </w:pPr>
      <w:r>
        <w:rPr>
          <w:rFonts w:ascii="Arial" w:eastAsia="Arial" w:hAnsi="Arial" w:cs="Arial"/>
          <w:b/>
          <w:color w:val="000000"/>
        </w:rPr>
        <w:t xml:space="preserve">HECTOR DAVID CHAPARRO </w:t>
      </w:r>
    </w:p>
    <w:p w14:paraId="64344493" w14:textId="77777777" w:rsidR="007917A0" w:rsidRDefault="00000000">
      <w:pPr>
        <w:jc w:val="both"/>
        <w:rPr>
          <w:rFonts w:ascii="Arial" w:eastAsia="Arial" w:hAnsi="Arial" w:cs="Arial"/>
          <w:color w:val="000000"/>
        </w:rPr>
      </w:pPr>
      <w:r>
        <w:rPr>
          <w:rFonts w:ascii="Arial" w:eastAsia="Arial" w:hAnsi="Arial" w:cs="Arial"/>
          <w:color w:val="000000"/>
        </w:rPr>
        <w:t>Representante a la Cámara</w:t>
      </w:r>
      <w:r>
        <w:rPr>
          <w:rFonts w:ascii="Arial" w:eastAsia="Arial" w:hAnsi="Arial" w:cs="Arial"/>
          <w:color w:val="000000"/>
        </w:rPr>
        <w:tab/>
      </w:r>
    </w:p>
    <w:p w14:paraId="4437A6A0" w14:textId="77777777" w:rsidR="007917A0" w:rsidRDefault="00000000">
      <w:pPr>
        <w:rPr>
          <w:rFonts w:ascii="Arial" w:eastAsia="Arial" w:hAnsi="Arial" w:cs="Arial"/>
          <w:color w:val="000000"/>
        </w:rPr>
      </w:pPr>
      <w:r>
        <w:rPr>
          <w:rFonts w:ascii="Arial" w:eastAsia="Arial" w:hAnsi="Arial" w:cs="Arial"/>
          <w:color w:val="000000"/>
        </w:rPr>
        <w:t>Partido Liberal</w:t>
      </w:r>
      <w:r>
        <w:rPr>
          <w:rFonts w:ascii="Arial" w:eastAsia="Arial" w:hAnsi="Arial" w:cs="Arial"/>
          <w:color w:val="000000"/>
        </w:rPr>
        <w:tab/>
      </w:r>
    </w:p>
    <w:p w14:paraId="26001F32" w14:textId="77777777" w:rsidR="007917A0" w:rsidRDefault="007917A0">
      <w:pPr>
        <w:rPr>
          <w:rFonts w:ascii="Arial" w:eastAsia="Arial" w:hAnsi="Arial" w:cs="Arial"/>
          <w:color w:val="000000"/>
        </w:rPr>
      </w:pPr>
    </w:p>
    <w:p w14:paraId="6DB9772F" w14:textId="77777777" w:rsidR="007917A0" w:rsidRDefault="007917A0">
      <w:pPr>
        <w:rPr>
          <w:rFonts w:ascii="Arial" w:eastAsia="Arial" w:hAnsi="Arial" w:cs="Arial"/>
          <w:color w:val="000000"/>
        </w:rPr>
      </w:pPr>
    </w:p>
    <w:p w14:paraId="7F1E44D9" w14:textId="77777777" w:rsidR="007917A0" w:rsidRDefault="007917A0">
      <w:pPr>
        <w:rPr>
          <w:rFonts w:ascii="Arial" w:eastAsia="Arial" w:hAnsi="Arial" w:cs="Arial"/>
          <w:color w:val="000000"/>
        </w:rPr>
      </w:pPr>
    </w:p>
    <w:p w14:paraId="474445EC" w14:textId="77777777" w:rsidR="007917A0" w:rsidRDefault="007917A0">
      <w:pPr>
        <w:ind w:left="708" w:hanging="708"/>
        <w:rPr>
          <w:rFonts w:ascii="Arial" w:eastAsia="Arial" w:hAnsi="Arial" w:cs="Arial"/>
          <w:color w:val="000000"/>
        </w:rPr>
      </w:pPr>
    </w:p>
    <w:p w14:paraId="213B49C6" w14:textId="77777777" w:rsidR="007917A0" w:rsidRDefault="007917A0">
      <w:pPr>
        <w:rPr>
          <w:rFonts w:ascii="Arial" w:eastAsia="Arial" w:hAnsi="Arial" w:cs="Arial"/>
          <w:color w:val="000000"/>
        </w:rPr>
      </w:pPr>
    </w:p>
    <w:p w14:paraId="7A89FF00" w14:textId="77777777" w:rsidR="007917A0" w:rsidRDefault="007917A0">
      <w:pPr>
        <w:rPr>
          <w:rFonts w:ascii="Arial" w:eastAsia="Arial" w:hAnsi="Arial" w:cs="Arial"/>
          <w:color w:val="000000"/>
        </w:rPr>
      </w:pPr>
    </w:p>
    <w:p w14:paraId="1B08AD8C" w14:textId="77777777" w:rsidR="007917A0" w:rsidRDefault="007917A0">
      <w:pPr>
        <w:rPr>
          <w:rFonts w:ascii="Arial" w:eastAsia="Arial" w:hAnsi="Arial" w:cs="Arial"/>
          <w:color w:val="000000"/>
        </w:rPr>
      </w:pPr>
    </w:p>
    <w:p w14:paraId="36F681CB" w14:textId="77777777" w:rsidR="007917A0" w:rsidRDefault="007917A0">
      <w:pPr>
        <w:rPr>
          <w:rFonts w:ascii="Arial" w:eastAsia="Arial" w:hAnsi="Arial" w:cs="Arial"/>
          <w:color w:val="000000"/>
        </w:rPr>
      </w:pPr>
    </w:p>
    <w:p w14:paraId="29DE097C" w14:textId="77777777" w:rsidR="007917A0" w:rsidRDefault="007917A0">
      <w:pPr>
        <w:rPr>
          <w:rFonts w:ascii="Arial" w:eastAsia="Arial" w:hAnsi="Arial" w:cs="Arial"/>
          <w:color w:val="000000"/>
        </w:rPr>
      </w:pPr>
    </w:p>
    <w:p w14:paraId="461EB17D" w14:textId="77777777" w:rsidR="007917A0" w:rsidRDefault="007917A0">
      <w:pPr>
        <w:rPr>
          <w:rFonts w:ascii="Arial" w:eastAsia="Arial" w:hAnsi="Arial" w:cs="Arial"/>
          <w:color w:val="000000"/>
        </w:rPr>
      </w:pPr>
    </w:p>
    <w:p w14:paraId="228BE147" w14:textId="77777777" w:rsidR="007917A0" w:rsidRDefault="007917A0">
      <w:pPr>
        <w:rPr>
          <w:rFonts w:ascii="Arial" w:eastAsia="Arial" w:hAnsi="Arial" w:cs="Arial"/>
          <w:color w:val="000000"/>
        </w:rPr>
      </w:pPr>
    </w:p>
    <w:p w14:paraId="6B4E249A" w14:textId="77777777" w:rsidR="007917A0" w:rsidRDefault="007917A0">
      <w:pPr>
        <w:rPr>
          <w:rFonts w:ascii="Arial" w:eastAsia="Arial" w:hAnsi="Arial" w:cs="Arial"/>
          <w:color w:val="000000"/>
        </w:rPr>
      </w:pPr>
    </w:p>
    <w:p w14:paraId="2FDF108C" w14:textId="77777777" w:rsidR="007917A0" w:rsidRDefault="007917A0">
      <w:pPr>
        <w:rPr>
          <w:rFonts w:ascii="Arial" w:eastAsia="Arial" w:hAnsi="Arial" w:cs="Arial"/>
          <w:color w:val="000000"/>
        </w:rPr>
      </w:pPr>
    </w:p>
    <w:p w14:paraId="1B8A9437" w14:textId="77777777" w:rsidR="007917A0" w:rsidRDefault="007917A0">
      <w:pPr>
        <w:rPr>
          <w:rFonts w:ascii="Arial" w:eastAsia="Arial" w:hAnsi="Arial" w:cs="Arial"/>
          <w:color w:val="000000"/>
        </w:rPr>
      </w:pPr>
    </w:p>
    <w:p w14:paraId="2E64D527" w14:textId="77777777" w:rsidR="007917A0" w:rsidRDefault="007917A0">
      <w:pPr>
        <w:rPr>
          <w:rFonts w:ascii="Arial" w:eastAsia="Arial" w:hAnsi="Arial" w:cs="Arial"/>
          <w:color w:val="000000"/>
        </w:rPr>
      </w:pPr>
    </w:p>
    <w:p w14:paraId="6D520478" w14:textId="77777777" w:rsidR="007917A0" w:rsidRDefault="007917A0">
      <w:pPr>
        <w:rPr>
          <w:rFonts w:ascii="Arial" w:eastAsia="Arial" w:hAnsi="Arial" w:cs="Arial"/>
          <w:color w:val="000000"/>
        </w:rPr>
      </w:pPr>
    </w:p>
    <w:p w14:paraId="7E825E7C" w14:textId="77777777" w:rsidR="007917A0" w:rsidRDefault="007917A0">
      <w:pPr>
        <w:rPr>
          <w:rFonts w:ascii="Arial" w:eastAsia="Arial" w:hAnsi="Arial" w:cs="Arial"/>
          <w:color w:val="000000"/>
        </w:rPr>
      </w:pPr>
    </w:p>
    <w:p w14:paraId="6A6FB4A7" w14:textId="77777777" w:rsidR="007917A0" w:rsidRDefault="007917A0">
      <w:pPr>
        <w:rPr>
          <w:rFonts w:ascii="Arial" w:eastAsia="Arial" w:hAnsi="Arial" w:cs="Arial"/>
          <w:color w:val="000000"/>
        </w:rPr>
      </w:pPr>
    </w:p>
    <w:p w14:paraId="5A726360" w14:textId="77777777" w:rsidR="007917A0" w:rsidRDefault="007917A0">
      <w:pPr>
        <w:rPr>
          <w:rFonts w:ascii="Arial" w:eastAsia="Arial" w:hAnsi="Arial" w:cs="Arial"/>
          <w:color w:val="000000"/>
        </w:rPr>
      </w:pPr>
    </w:p>
    <w:p w14:paraId="715B4B9D" w14:textId="77777777" w:rsidR="007917A0" w:rsidRDefault="007917A0">
      <w:pPr>
        <w:rPr>
          <w:rFonts w:ascii="Arial" w:eastAsia="Arial" w:hAnsi="Arial" w:cs="Arial"/>
          <w:color w:val="000000"/>
        </w:rPr>
      </w:pPr>
    </w:p>
    <w:p w14:paraId="5670BBE5" w14:textId="77777777" w:rsidR="007917A0" w:rsidRDefault="007917A0">
      <w:pPr>
        <w:rPr>
          <w:rFonts w:ascii="Arial" w:eastAsia="Arial" w:hAnsi="Arial" w:cs="Arial"/>
          <w:color w:val="000000"/>
        </w:rPr>
      </w:pPr>
    </w:p>
    <w:p w14:paraId="3DE535C1" w14:textId="77777777" w:rsidR="007917A0" w:rsidRDefault="007917A0">
      <w:pPr>
        <w:rPr>
          <w:rFonts w:ascii="Arial" w:eastAsia="Arial" w:hAnsi="Arial" w:cs="Arial"/>
          <w:color w:val="000000"/>
        </w:rPr>
      </w:pPr>
    </w:p>
    <w:p w14:paraId="1D4C06BB" w14:textId="77777777" w:rsidR="007917A0" w:rsidRDefault="007917A0">
      <w:pPr>
        <w:rPr>
          <w:rFonts w:ascii="Arial" w:eastAsia="Arial" w:hAnsi="Arial" w:cs="Arial"/>
          <w:color w:val="000000"/>
        </w:rPr>
      </w:pPr>
    </w:p>
    <w:p w14:paraId="08AAF0B4" w14:textId="77777777" w:rsidR="007917A0" w:rsidRDefault="007917A0">
      <w:pPr>
        <w:rPr>
          <w:rFonts w:ascii="Arial" w:eastAsia="Arial" w:hAnsi="Arial" w:cs="Arial"/>
          <w:color w:val="000000"/>
        </w:rPr>
      </w:pPr>
    </w:p>
    <w:p w14:paraId="20E0E8C8" w14:textId="77777777" w:rsidR="007917A0" w:rsidRDefault="007917A0">
      <w:pPr>
        <w:rPr>
          <w:rFonts w:ascii="Arial" w:eastAsia="Arial" w:hAnsi="Arial" w:cs="Arial"/>
          <w:color w:val="000000"/>
        </w:rPr>
      </w:pPr>
    </w:p>
    <w:p w14:paraId="6F4F0DC1" w14:textId="77777777" w:rsidR="007917A0" w:rsidRDefault="007917A0">
      <w:pPr>
        <w:rPr>
          <w:rFonts w:ascii="Arial" w:eastAsia="Arial" w:hAnsi="Arial" w:cs="Arial"/>
          <w:color w:val="000000"/>
        </w:rPr>
      </w:pPr>
    </w:p>
    <w:p w14:paraId="46CFA1CB" w14:textId="77777777" w:rsidR="007917A0" w:rsidRDefault="007917A0">
      <w:pPr>
        <w:rPr>
          <w:rFonts w:ascii="Arial" w:eastAsia="Arial" w:hAnsi="Arial" w:cs="Arial"/>
          <w:color w:val="000000"/>
        </w:rPr>
      </w:pPr>
    </w:p>
    <w:p w14:paraId="1906953B" w14:textId="77777777" w:rsidR="005C3D10" w:rsidRDefault="005C3D10">
      <w:pPr>
        <w:rPr>
          <w:rFonts w:ascii="Arial" w:eastAsia="Arial" w:hAnsi="Arial" w:cs="Arial"/>
          <w:color w:val="000000"/>
        </w:rPr>
      </w:pPr>
    </w:p>
    <w:p w14:paraId="5234EC1C" w14:textId="77777777" w:rsidR="005C3D10" w:rsidRDefault="005C3D10">
      <w:pPr>
        <w:rPr>
          <w:rFonts w:ascii="Arial" w:eastAsia="Arial" w:hAnsi="Arial" w:cs="Arial"/>
          <w:color w:val="000000"/>
        </w:rPr>
      </w:pPr>
    </w:p>
    <w:p w14:paraId="2D3CA552" w14:textId="77777777" w:rsidR="005C3D10" w:rsidRDefault="005C3D10">
      <w:pPr>
        <w:rPr>
          <w:rFonts w:ascii="Arial" w:eastAsia="Arial" w:hAnsi="Arial" w:cs="Arial"/>
          <w:color w:val="000000"/>
        </w:rPr>
      </w:pPr>
    </w:p>
    <w:p w14:paraId="0F720981" w14:textId="77777777" w:rsidR="005C3D10" w:rsidRDefault="005C3D10">
      <w:pPr>
        <w:rPr>
          <w:rFonts w:ascii="Arial" w:eastAsia="Arial" w:hAnsi="Arial" w:cs="Arial"/>
          <w:color w:val="000000"/>
        </w:rPr>
      </w:pPr>
    </w:p>
    <w:p w14:paraId="42C10A3F" w14:textId="77777777" w:rsidR="005C3D10" w:rsidRDefault="005C3D10">
      <w:pPr>
        <w:rPr>
          <w:rFonts w:ascii="Arial" w:eastAsia="Arial" w:hAnsi="Arial" w:cs="Arial"/>
          <w:color w:val="000000"/>
        </w:rPr>
      </w:pPr>
    </w:p>
    <w:p w14:paraId="25A08833" w14:textId="77777777" w:rsidR="005C3D10" w:rsidRDefault="005C3D10">
      <w:pPr>
        <w:rPr>
          <w:rFonts w:ascii="Arial" w:eastAsia="Arial" w:hAnsi="Arial" w:cs="Arial"/>
          <w:color w:val="000000"/>
        </w:rPr>
      </w:pPr>
    </w:p>
    <w:p w14:paraId="028B7A26" w14:textId="77777777" w:rsidR="005C3D10" w:rsidRDefault="005C3D10">
      <w:pPr>
        <w:rPr>
          <w:rFonts w:ascii="Arial" w:eastAsia="Arial" w:hAnsi="Arial" w:cs="Arial"/>
          <w:color w:val="000000"/>
        </w:rPr>
      </w:pPr>
    </w:p>
    <w:p w14:paraId="267ECC2E" w14:textId="77777777" w:rsidR="007917A0" w:rsidRDefault="007917A0">
      <w:pPr>
        <w:rPr>
          <w:rFonts w:ascii="Arial" w:eastAsia="Arial" w:hAnsi="Arial" w:cs="Arial"/>
          <w:color w:val="000000"/>
        </w:rPr>
      </w:pPr>
    </w:p>
    <w:p w14:paraId="696BB59C" w14:textId="77777777" w:rsidR="007917A0" w:rsidRDefault="007917A0">
      <w:pPr>
        <w:rPr>
          <w:rFonts w:ascii="Arial" w:eastAsia="Arial" w:hAnsi="Arial" w:cs="Arial"/>
          <w:color w:val="000000"/>
        </w:rPr>
      </w:pPr>
    </w:p>
    <w:p w14:paraId="642304A6" w14:textId="77777777" w:rsidR="007917A0" w:rsidRDefault="007917A0">
      <w:pPr>
        <w:rPr>
          <w:rFonts w:ascii="Arial" w:eastAsia="Arial" w:hAnsi="Arial" w:cs="Arial"/>
          <w:color w:val="000000"/>
        </w:rPr>
      </w:pPr>
    </w:p>
    <w:p w14:paraId="2E76527C" w14:textId="77777777" w:rsidR="007917A0" w:rsidRDefault="00000000">
      <w:pPr>
        <w:jc w:val="center"/>
        <w:rPr>
          <w:rFonts w:ascii="Arial" w:eastAsia="Arial" w:hAnsi="Arial" w:cs="Arial"/>
          <w:color w:val="000000"/>
        </w:rPr>
      </w:pPr>
      <w:r>
        <w:rPr>
          <w:rFonts w:ascii="Arial" w:eastAsia="Arial" w:hAnsi="Arial" w:cs="Arial"/>
          <w:b/>
          <w:color w:val="000000"/>
        </w:rPr>
        <w:t>EXPOSICIÓN DE MOTIVOS</w:t>
      </w:r>
    </w:p>
    <w:p w14:paraId="0C473465" w14:textId="77777777" w:rsidR="007917A0" w:rsidRDefault="007917A0">
      <w:pPr>
        <w:jc w:val="both"/>
        <w:rPr>
          <w:rFonts w:ascii="Arial" w:eastAsia="Arial" w:hAnsi="Arial" w:cs="Arial"/>
          <w:color w:val="000000"/>
        </w:rPr>
      </w:pPr>
    </w:p>
    <w:p w14:paraId="22B1B5E6" w14:textId="77777777" w:rsidR="007917A0" w:rsidRDefault="00000000">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Objeto del proyecto de ley</w:t>
      </w:r>
    </w:p>
    <w:p w14:paraId="169BFCAB" w14:textId="77777777" w:rsidR="007917A0" w:rsidRDefault="007917A0">
      <w:pPr>
        <w:jc w:val="both"/>
        <w:rPr>
          <w:rFonts w:ascii="Arial" w:eastAsia="Arial" w:hAnsi="Arial" w:cs="Arial"/>
          <w:b/>
          <w:color w:val="000000"/>
        </w:rPr>
      </w:pPr>
    </w:p>
    <w:p w14:paraId="7938E3DD" w14:textId="77777777" w:rsidR="007917A0" w:rsidRDefault="00000000">
      <w:pPr>
        <w:jc w:val="both"/>
        <w:rPr>
          <w:rFonts w:ascii="Arial" w:eastAsia="Arial" w:hAnsi="Arial" w:cs="Arial"/>
          <w:color w:val="000000"/>
        </w:rPr>
      </w:pPr>
      <w:r>
        <w:rPr>
          <w:rFonts w:ascii="Arial" w:eastAsia="Arial" w:hAnsi="Arial" w:cs="Arial"/>
          <w:color w:val="000000"/>
        </w:rPr>
        <w:t xml:space="preserve">Este proyecto de Ley tiene por objeto generar medidas para para luchar, prevenir y sancionar el fraude contra el sistema de seguridad social integral.  </w:t>
      </w:r>
    </w:p>
    <w:p w14:paraId="168A9AE3" w14:textId="77777777" w:rsidR="007917A0" w:rsidRDefault="007917A0">
      <w:pPr>
        <w:jc w:val="both"/>
        <w:rPr>
          <w:rFonts w:ascii="Arial" w:eastAsia="Arial" w:hAnsi="Arial" w:cs="Arial"/>
          <w:color w:val="000000"/>
        </w:rPr>
      </w:pPr>
    </w:p>
    <w:p w14:paraId="5E64A4D8" w14:textId="77777777" w:rsidR="007917A0" w:rsidRDefault="007917A0">
      <w:pPr>
        <w:jc w:val="both"/>
        <w:rPr>
          <w:rFonts w:ascii="Arial" w:eastAsia="Arial" w:hAnsi="Arial" w:cs="Arial"/>
          <w:color w:val="000000"/>
        </w:rPr>
      </w:pPr>
    </w:p>
    <w:p w14:paraId="5614DD04" w14:textId="77777777" w:rsidR="007917A0" w:rsidRDefault="00000000">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 xml:space="preserve">Justificación del proyecto de ley </w:t>
      </w:r>
    </w:p>
    <w:p w14:paraId="796FC787" w14:textId="77777777" w:rsidR="007917A0" w:rsidRDefault="007917A0">
      <w:pPr>
        <w:ind w:left="567"/>
        <w:jc w:val="both"/>
        <w:rPr>
          <w:rFonts w:ascii="Arial" w:eastAsia="Arial" w:hAnsi="Arial" w:cs="Arial"/>
          <w:color w:val="000000"/>
        </w:rPr>
      </w:pPr>
    </w:p>
    <w:p w14:paraId="50468785" w14:textId="77777777" w:rsidR="007917A0" w:rsidRDefault="00000000">
      <w:pPr>
        <w:spacing w:line="264" w:lineRule="auto"/>
        <w:jc w:val="both"/>
        <w:rPr>
          <w:rFonts w:ascii="Arial" w:eastAsia="Arial" w:hAnsi="Arial" w:cs="Arial"/>
          <w:color w:val="000000"/>
        </w:rPr>
      </w:pPr>
      <w:r>
        <w:rPr>
          <w:rFonts w:ascii="Arial" w:eastAsia="Arial" w:hAnsi="Arial" w:cs="Arial"/>
          <w:color w:val="000000"/>
        </w:rPr>
        <w:t xml:space="preserve">De acuerdo con cifras del Ministerio del Trabajo en 2021 se reportaron casi 5 mil millones de pesos en estafas por fraudes en la afiliación al sistema general de seguridad social derivados de cotizaciones incorrectas dolosas o periodos de cotización inferiores. Sin embargo, las cifras pueden ser mayores si se considera que de acuerdo con el mismo Ministerio del Trabajo, en ese mismo año la UGPP recibió y gestionó alrededor de 400 denuncias relacionadas con 286 empresas que realizaban una intermediación de la afiliación y pago de aportes al Sistema de la Protección Social de aproximadamente 60.000 trabajadores independientes, actividad que desarrollaban sin la autorización del Ministerio de Salud y cometiendo irregularidades en el uso de la Planilla Integrada de Liquidación de Aportes PILA, por lo que podría estimarse que la cifra de defraudación alcanza los 12.000 millones de pesos. </w:t>
      </w:r>
    </w:p>
    <w:p w14:paraId="3CC9CE5C" w14:textId="77777777" w:rsidR="007917A0" w:rsidRDefault="007917A0">
      <w:pPr>
        <w:spacing w:line="264" w:lineRule="auto"/>
        <w:jc w:val="both"/>
        <w:rPr>
          <w:rFonts w:ascii="Arial" w:eastAsia="Arial" w:hAnsi="Arial" w:cs="Arial"/>
          <w:color w:val="000000"/>
        </w:rPr>
      </w:pPr>
    </w:p>
    <w:p w14:paraId="24FE7F7B" w14:textId="77777777" w:rsidR="007917A0" w:rsidRDefault="00000000">
      <w:pPr>
        <w:spacing w:line="264" w:lineRule="auto"/>
        <w:jc w:val="both"/>
        <w:rPr>
          <w:rFonts w:ascii="Arial" w:eastAsia="Arial" w:hAnsi="Arial" w:cs="Arial"/>
          <w:color w:val="000000"/>
        </w:rPr>
      </w:pPr>
      <w:r>
        <w:rPr>
          <w:rFonts w:ascii="Arial" w:eastAsia="Arial" w:hAnsi="Arial" w:cs="Arial"/>
          <w:color w:val="000000"/>
        </w:rPr>
        <w:t xml:space="preserve">Este artículo busca prevenir y evitar el fraude que se cometen a través de los intermediarios “de poste” que ofrecen afiliaciones por un costo muy inferior al valor real de cotización. Situación que no solo afecta a las personas, sino al sistema de seguridad social pues lo desfinancia y a las empresas o empleadores que deben afrontar procesos judiciales y costos altísimos por tener personas trabajando sin estar afiliadas que sufren accidentes “laborales”, tan solo en 2021 el Ministerio encontró 414 personas con estos problemas. </w:t>
      </w:r>
    </w:p>
    <w:p w14:paraId="526D6647" w14:textId="77777777" w:rsidR="007917A0" w:rsidRDefault="007917A0">
      <w:pPr>
        <w:spacing w:line="264" w:lineRule="auto"/>
        <w:jc w:val="both"/>
        <w:rPr>
          <w:rFonts w:ascii="Arial" w:eastAsia="Arial" w:hAnsi="Arial" w:cs="Arial"/>
          <w:color w:val="000000"/>
        </w:rPr>
      </w:pPr>
    </w:p>
    <w:p w14:paraId="49F98E67" w14:textId="77777777" w:rsidR="007917A0" w:rsidRDefault="00000000">
      <w:pPr>
        <w:spacing w:line="264" w:lineRule="auto"/>
        <w:jc w:val="both"/>
        <w:rPr>
          <w:rFonts w:ascii="Arial" w:eastAsia="Arial" w:hAnsi="Arial" w:cs="Arial"/>
          <w:color w:val="000000"/>
        </w:rPr>
      </w:pPr>
      <w:r>
        <w:rPr>
          <w:rFonts w:ascii="Arial" w:eastAsia="Arial" w:hAnsi="Arial" w:cs="Arial"/>
          <w:color w:val="000000"/>
        </w:rPr>
        <w:lastRenderedPageBreak/>
        <w:t xml:space="preserve">Se prevén asimismo algunas hipótesis para prevenir algunas situaciones recurrentes que se han denunciado. </w:t>
      </w:r>
    </w:p>
    <w:p w14:paraId="05D8F2BE" w14:textId="77777777" w:rsidR="007917A0" w:rsidRDefault="007917A0">
      <w:pPr>
        <w:spacing w:line="264" w:lineRule="auto"/>
        <w:jc w:val="both"/>
        <w:rPr>
          <w:rFonts w:ascii="Arial" w:eastAsia="Arial" w:hAnsi="Arial" w:cs="Arial"/>
          <w:color w:val="000000"/>
        </w:rPr>
      </w:pPr>
    </w:p>
    <w:p w14:paraId="6EE51705" w14:textId="77777777" w:rsidR="007917A0" w:rsidRDefault="00000000">
      <w:pPr>
        <w:jc w:val="both"/>
        <w:rPr>
          <w:rFonts w:ascii="Arial" w:eastAsia="Arial" w:hAnsi="Arial" w:cs="Arial"/>
          <w:color w:val="000000"/>
        </w:rPr>
      </w:pPr>
      <w:r>
        <w:rPr>
          <w:rFonts w:ascii="Arial" w:eastAsia="Arial" w:hAnsi="Arial" w:cs="Arial"/>
          <w:color w:val="000000"/>
        </w:rPr>
        <w:t xml:space="preserve">Se contempla finalmente una disposición en la que el gobierno coordine una política con diferentes actores interesados que puedan aportar acciones en la prevención y sanción de los fraudes. </w:t>
      </w:r>
    </w:p>
    <w:p w14:paraId="65B11D44" w14:textId="77777777" w:rsidR="007917A0" w:rsidRDefault="007917A0">
      <w:pPr>
        <w:jc w:val="both"/>
        <w:rPr>
          <w:rFonts w:ascii="Arial" w:eastAsia="Arial" w:hAnsi="Arial" w:cs="Arial"/>
          <w:color w:val="000000"/>
        </w:rPr>
      </w:pPr>
    </w:p>
    <w:p w14:paraId="56BC9CAF" w14:textId="77777777" w:rsidR="007917A0" w:rsidRDefault="00000000">
      <w:pPr>
        <w:jc w:val="both"/>
        <w:rPr>
          <w:rFonts w:ascii="Arial" w:eastAsia="Arial" w:hAnsi="Arial" w:cs="Arial"/>
          <w:color w:val="000000"/>
        </w:rPr>
      </w:pPr>
      <w:r>
        <w:rPr>
          <w:rFonts w:ascii="Arial" w:eastAsia="Arial" w:hAnsi="Arial" w:cs="Arial"/>
          <w:color w:val="000000"/>
        </w:rPr>
        <w:t>La situación la explicó de manera muy concreta el Ex Ministro del Trabajo, Ángel Custodio Cabrera quien manifestó: “Luego de conocer las denuncias de los ciudadanos, realizamos un trabajo juicioso con nuestros inspectores y fuimos a estos lugares para hacer una revisión a fondo, increíblemente encontramos que estas oficinas que serían captadoras de dinero, como se observa en los vídeos, cobran hasta $ 200.000 mensuales por afiliar a los trabajadores a EPS, ARL y Pensión, pero realmente los afilian sólo 1 o máximo 8 días, esto significa que, si el trabajador tiene un accidente y requiere servicios de salud, nadie le va a responder, porque las afiliaciones son por periodos inferiores al mes apenas por unos días”.</w:t>
      </w:r>
    </w:p>
    <w:p w14:paraId="1CD3BD65" w14:textId="77777777" w:rsidR="007917A0" w:rsidRDefault="007917A0">
      <w:pPr>
        <w:jc w:val="both"/>
        <w:rPr>
          <w:rFonts w:ascii="Arial" w:eastAsia="Arial" w:hAnsi="Arial" w:cs="Arial"/>
          <w:color w:val="000000"/>
        </w:rPr>
      </w:pPr>
    </w:p>
    <w:p w14:paraId="02157AAD" w14:textId="77777777" w:rsidR="007917A0" w:rsidRDefault="00000000">
      <w:pPr>
        <w:jc w:val="both"/>
        <w:rPr>
          <w:rFonts w:ascii="Arial" w:eastAsia="Arial" w:hAnsi="Arial" w:cs="Arial"/>
          <w:color w:val="000000"/>
        </w:rPr>
      </w:pPr>
      <w:r>
        <w:rPr>
          <w:rFonts w:ascii="Arial" w:eastAsia="Arial" w:hAnsi="Arial" w:cs="Arial"/>
          <w:color w:val="000000"/>
        </w:rPr>
        <w:t xml:space="preserve">Sumado a lo anterior, </w:t>
      </w:r>
      <w:proofErr w:type="spellStart"/>
      <w:r>
        <w:rPr>
          <w:rFonts w:ascii="Arial" w:eastAsia="Arial" w:hAnsi="Arial" w:cs="Arial"/>
          <w:color w:val="000000"/>
        </w:rPr>
        <w:t>Gestarsalud</w:t>
      </w:r>
      <w:proofErr w:type="spellEnd"/>
      <w:r>
        <w:rPr>
          <w:rFonts w:ascii="Arial" w:eastAsia="Arial" w:hAnsi="Arial" w:cs="Arial"/>
          <w:color w:val="000000"/>
        </w:rPr>
        <w:t xml:space="preserve"> ha hecho evidente que otro mecanismo de fraude es el usado por personas que buscan mujeres gestantes para hacer la ficción de emplearlas y afiliarlas como trabajadoras cotizándoles con una base de salario mínimo por los primeros meses; para luego, en los meses posteriores y previo al momento del parto, incrementar la base de cotización a salarios que en algunos casos pueden llegar a una variación de 200, 400 por ciento o más de lo inicialmente reportado, para de que de esa forma la EPS deba reconocer el pago de la licencia de maternidad sobre una base salarial alta. En la mayoría de los casos, las mujeres son engañadas y el dinero se queda en poder de los estafadores, haciendo un daño a la madre y al sistema de seguridad social de todos los colombianos. </w:t>
      </w:r>
    </w:p>
    <w:p w14:paraId="0D0FEE0E" w14:textId="77777777" w:rsidR="007917A0" w:rsidRDefault="007917A0">
      <w:pPr>
        <w:jc w:val="both"/>
        <w:rPr>
          <w:rFonts w:ascii="Arial" w:eastAsia="Arial" w:hAnsi="Arial" w:cs="Arial"/>
          <w:color w:val="000000"/>
        </w:rPr>
      </w:pPr>
    </w:p>
    <w:p w14:paraId="372C5333" w14:textId="77777777" w:rsidR="007917A0" w:rsidRDefault="00000000">
      <w:pPr>
        <w:jc w:val="both"/>
        <w:rPr>
          <w:rFonts w:ascii="Arial" w:eastAsia="Arial" w:hAnsi="Arial" w:cs="Arial"/>
          <w:color w:val="000000"/>
        </w:rPr>
      </w:pPr>
      <w:r>
        <w:rPr>
          <w:rFonts w:ascii="Arial" w:eastAsia="Arial" w:hAnsi="Arial" w:cs="Arial"/>
          <w:color w:val="000000"/>
        </w:rPr>
        <w:t>Por su parte, la UGPP realizó una estimación sobre el posible impacto al Sistema, en términos de los recursos que no logran ser recaudados debido a la existencia de afiliadoras no autorizadas, explicadas en el siguiente cuadro:</w:t>
      </w:r>
    </w:p>
    <w:p w14:paraId="3A809A45" w14:textId="77777777" w:rsidR="007917A0" w:rsidRDefault="007917A0">
      <w:pPr>
        <w:jc w:val="both"/>
        <w:rPr>
          <w:rFonts w:ascii="Arial" w:eastAsia="Arial" w:hAnsi="Arial" w:cs="Arial"/>
          <w:color w:val="000000"/>
        </w:rPr>
      </w:pPr>
    </w:p>
    <w:p w14:paraId="72AB0FF2" w14:textId="77777777" w:rsidR="007917A0" w:rsidRDefault="007917A0">
      <w:pPr>
        <w:jc w:val="both"/>
      </w:pPr>
    </w:p>
    <w:p w14:paraId="278FB0AD" w14:textId="77777777" w:rsidR="007917A0" w:rsidRDefault="00000000">
      <w:pPr>
        <w:jc w:val="both"/>
        <w:rPr>
          <w:rFonts w:ascii="Arial" w:eastAsia="Arial" w:hAnsi="Arial" w:cs="Arial"/>
          <w:color w:val="000000"/>
        </w:rPr>
      </w:pPr>
      <w:r>
        <w:rPr>
          <w:noProof/>
        </w:rPr>
        <w:lastRenderedPageBreak/>
        <w:drawing>
          <wp:inline distT="0" distB="0" distL="0" distR="0" wp14:anchorId="085607C5" wp14:editId="6774BF65">
            <wp:extent cx="6235537" cy="1726764"/>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23931" t="39847" r="9878" b="27551"/>
                    <a:stretch>
                      <a:fillRect/>
                    </a:stretch>
                  </pic:blipFill>
                  <pic:spPr>
                    <a:xfrm>
                      <a:off x="0" y="0"/>
                      <a:ext cx="6235537" cy="1726764"/>
                    </a:xfrm>
                    <a:prstGeom prst="rect">
                      <a:avLst/>
                    </a:prstGeom>
                    <a:ln/>
                  </pic:spPr>
                </pic:pic>
              </a:graphicData>
            </a:graphic>
          </wp:inline>
        </w:drawing>
      </w:r>
    </w:p>
    <w:p w14:paraId="4E7996C4" w14:textId="77777777" w:rsidR="007917A0" w:rsidRDefault="007917A0">
      <w:pPr>
        <w:jc w:val="both"/>
        <w:rPr>
          <w:rFonts w:ascii="Arial" w:eastAsia="Arial" w:hAnsi="Arial" w:cs="Arial"/>
          <w:color w:val="000000"/>
        </w:rPr>
      </w:pPr>
    </w:p>
    <w:p w14:paraId="2999C6B4" w14:textId="77777777" w:rsidR="007917A0" w:rsidRDefault="00000000">
      <w:pPr>
        <w:jc w:val="both"/>
        <w:rPr>
          <w:rFonts w:ascii="Arial" w:eastAsia="Arial" w:hAnsi="Arial" w:cs="Arial"/>
          <w:color w:val="000000"/>
        </w:rPr>
      </w:pPr>
      <w:r>
        <w:rPr>
          <w:rFonts w:ascii="Arial" w:eastAsia="Arial" w:hAnsi="Arial" w:cs="Arial"/>
          <w:color w:val="000000"/>
        </w:rPr>
        <w:t>Afirma la entidad que teniendo en cuenta que la estimación parte de un supuesto de 1SMLV para todos los cotizantes afectados, es probable que la estimación anual tenga una desviación al alza si los ingresos de los cotizantes en promedio se encuentran por encima de este supuesto.</w:t>
      </w:r>
    </w:p>
    <w:p w14:paraId="0B68B7A4" w14:textId="77777777" w:rsidR="007917A0" w:rsidRDefault="007917A0">
      <w:pPr>
        <w:rPr>
          <w:rFonts w:ascii="Arial" w:eastAsia="Arial" w:hAnsi="Arial" w:cs="Arial"/>
          <w:color w:val="000000"/>
        </w:rPr>
      </w:pPr>
    </w:p>
    <w:p w14:paraId="63F1D623" w14:textId="381F56DC" w:rsidR="00E8582E" w:rsidRDefault="00E8582E">
      <w:pPr>
        <w:jc w:val="both"/>
        <w:rPr>
          <w:rFonts w:ascii="Arial" w:eastAsia="Arial" w:hAnsi="Arial" w:cs="Arial"/>
          <w:color w:val="000000"/>
        </w:rPr>
      </w:pPr>
      <w:r>
        <w:rPr>
          <w:rFonts w:ascii="Arial" w:eastAsia="Arial" w:hAnsi="Arial" w:cs="Arial"/>
          <w:color w:val="000000"/>
        </w:rPr>
        <w:t>De acuerdo el portal web del periódico El Portafolio, se menciona que según la UGPP</w:t>
      </w:r>
      <w:r>
        <w:rPr>
          <w:rFonts w:ascii="Arial" w:hAnsi="Arial" w:cs="Arial"/>
          <w:color w:val="000000"/>
        </w:rPr>
        <w:t xml:space="preserve"> que 4 de cada 10 trabajadores independientes evaden el pago de los aportes a salud y pensión. Evasión que para el caso de los trabajadores independientes es 2,4 veces mayor que la de los dependientes y representan el 70% total de la evasión.</w:t>
      </w:r>
      <w:r>
        <w:rPr>
          <w:rStyle w:val="apple-converted-space"/>
          <w:rFonts w:ascii="Arial" w:hAnsi="Arial" w:cs="Arial"/>
          <w:color w:val="000000"/>
        </w:rPr>
        <w:t xml:space="preserve"> Los aportes dejados de pagar alcanzan </w:t>
      </w:r>
      <w:r>
        <w:rPr>
          <w:rFonts w:ascii="Arial" w:hAnsi="Arial" w:cs="Arial"/>
          <w:color w:val="000000"/>
        </w:rPr>
        <w:t>los $5.4 billones</w:t>
      </w:r>
      <w:r>
        <w:rPr>
          <w:rStyle w:val="Refdenotaalpie"/>
          <w:rFonts w:ascii="Arial" w:hAnsi="Arial" w:cs="Arial"/>
          <w:color w:val="000000"/>
        </w:rPr>
        <w:footnoteReference w:id="1"/>
      </w:r>
      <w:r>
        <w:rPr>
          <w:rFonts w:ascii="Arial" w:hAnsi="Arial" w:cs="Arial"/>
          <w:color w:val="000000"/>
        </w:rPr>
        <w:t xml:space="preserve">. </w:t>
      </w:r>
    </w:p>
    <w:p w14:paraId="4F5A494A" w14:textId="77777777" w:rsidR="00E8582E" w:rsidRDefault="00E8582E">
      <w:pPr>
        <w:jc w:val="both"/>
        <w:rPr>
          <w:rFonts w:ascii="Arial" w:eastAsia="Arial" w:hAnsi="Arial" w:cs="Arial"/>
          <w:color w:val="000000"/>
        </w:rPr>
      </w:pPr>
    </w:p>
    <w:p w14:paraId="4B59D6A9" w14:textId="4FB0DEA5" w:rsidR="007917A0" w:rsidRDefault="00000000">
      <w:pPr>
        <w:jc w:val="both"/>
        <w:rPr>
          <w:rFonts w:ascii="Arial" w:eastAsia="Arial" w:hAnsi="Arial" w:cs="Arial"/>
          <w:color w:val="000000"/>
        </w:rPr>
      </w:pPr>
      <w:r>
        <w:rPr>
          <w:rFonts w:ascii="Arial" w:eastAsia="Arial" w:hAnsi="Arial" w:cs="Arial"/>
          <w:color w:val="000000"/>
        </w:rPr>
        <w:t xml:space="preserve">Ante este panorama en donde el sistema de salud, de pensiones y de riesgos laborales se encuentra ante una evidente problemática, resulta necesario adoptar medidas que permitan tener un mayor control sobre la información y los aportes que realizan los ciudadanos, para evitar que el estado siga perdiendo miles de millones al año. </w:t>
      </w:r>
    </w:p>
    <w:p w14:paraId="508CE131" w14:textId="77777777" w:rsidR="007917A0" w:rsidRDefault="007917A0">
      <w:pPr>
        <w:jc w:val="both"/>
        <w:rPr>
          <w:rFonts w:ascii="Arial" w:eastAsia="Arial" w:hAnsi="Arial" w:cs="Arial"/>
          <w:color w:val="000000"/>
        </w:rPr>
      </w:pPr>
    </w:p>
    <w:p w14:paraId="47A7FFCC" w14:textId="77777777" w:rsidR="007917A0" w:rsidRDefault="00000000">
      <w:pPr>
        <w:pStyle w:val="Ttulo1"/>
        <w:numPr>
          <w:ilvl w:val="0"/>
          <w:numId w:val="1"/>
        </w:numPr>
        <w:tabs>
          <w:tab w:val="left" w:pos="822"/>
          <w:tab w:val="left" w:pos="9214"/>
        </w:tabs>
        <w:rPr>
          <w:color w:val="000000"/>
        </w:rPr>
      </w:pPr>
      <w:r>
        <w:rPr>
          <w:color w:val="000000"/>
        </w:rPr>
        <w:t>Posibles conflictos de interés</w:t>
      </w:r>
    </w:p>
    <w:p w14:paraId="130D1DA3" w14:textId="77777777" w:rsidR="007917A0" w:rsidRDefault="007917A0">
      <w:pPr>
        <w:pStyle w:val="Ttulo1"/>
        <w:tabs>
          <w:tab w:val="left" w:pos="822"/>
          <w:tab w:val="left" w:pos="9214"/>
        </w:tabs>
        <w:ind w:left="360"/>
        <w:rPr>
          <w:color w:val="000000"/>
        </w:rPr>
      </w:pPr>
    </w:p>
    <w:p w14:paraId="7936B899" w14:textId="77777777" w:rsidR="007917A0" w:rsidRDefault="00000000">
      <w:pPr>
        <w:pStyle w:val="Ttulo1"/>
        <w:tabs>
          <w:tab w:val="left" w:pos="822"/>
          <w:tab w:val="left" w:pos="9214"/>
        </w:tabs>
        <w:ind w:left="0"/>
        <w:jc w:val="both"/>
        <w:rPr>
          <w:b w:val="0"/>
          <w:color w:val="000000"/>
        </w:rPr>
      </w:pPr>
      <w:r>
        <w:rPr>
          <w:b w:val="0"/>
          <w:color w:val="000000"/>
        </w:rPr>
        <w:t xml:space="preserve">Con base en el artículo 3º de la Ley 2003 de 2019, según el cual </w:t>
      </w:r>
      <w:r>
        <w:rPr>
          <w:b w:val="0"/>
          <w:i/>
          <w:color w:val="000000"/>
        </w:rPr>
        <w:t>“El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r>
        <w:rPr>
          <w:b w:val="0"/>
          <w:color w:val="000000"/>
        </w:rPr>
        <w:t xml:space="preserve">. </w:t>
      </w:r>
    </w:p>
    <w:p w14:paraId="4354C33D" w14:textId="77777777" w:rsidR="007917A0" w:rsidRDefault="00000000">
      <w:pPr>
        <w:pStyle w:val="Ttulo1"/>
        <w:tabs>
          <w:tab w:val="left" w:pos="822"/>
          <w:tab w:val="left" w:pos="9214"/>
        </w:tabs>
        <w:ind w:left="0"/>
        <w:jc w:val="both"/>
        <w:rPr>
          <w:b w:val="0"/>
          <w:color w:val="000000"/>
        </w:rPr>
      </w:pPr>
      <w:r>
        <w:rPr>
          <w:b w:val="0"/>
          <w:color w:val="000000"/>
        </w:rPr>
        <w:t xml:space="preserve">A continuación, se pondrán de presente los criterios que la Ley 2003 de 2019 </w:t>
      </w:r>
      <w:r>
        <w:rPr>
          <w:b w:val="0"/>
          <w:color w:val="000000"/>
        </w:rPr>
        <w:lastRenderedPageBreak/>
        <w:t xml:space="preserve">contempla para hacer el análisis frente a los posibles impedimentos que se puedan presentar en razón a un conflicto de interés en el ejercicio de la función </w:t>
      </w:r>
      <w:proofErr w:type="spellStart"/>
      <w:r>
        <w:rPr>
          <w:b w:val="0"/>
          <w:color w:val="000000"/>
        </w:rPr>
        <w:t>congresional</w:t>
      </w:r>
      <w:proofErr w:type="spellEnd"/>
      <w:r>
        <w:rPr>
          <w:b w:val="0"/>
          <w:color w:val="000000"/>
        </w:rPr>
        <w:t xml:space="preserve">, entre ellas la legislativa.  </w:t>
      </w:r>
    </w:p>
    <w:p w14:paraId="25D2C62A" w14:textId="77777777" w:rsidR="007917A0" w:rsidRDefault="00000000">
      <w:pPr>
        <w:spacing w:before="280" w:after="280"/>
        <w:ind w:firstLine="720"/>
        <w:jc w:val="both"/>
        <w:rPr>
          <w:rFonts w:ascii="Arial" w:eastAsia="Arial" w:hAnsi="Arial" w:cs="Arial"/>
          <w:i/>
          <w:color w:val="000000"/>
        </w:rPr>
      </w:pPr>
      <w:r>
        <w:rPr>
          <w:rFonts w:ascii="Arial" w:eastAsia="Arial" w:hAnsi="Arial" w:cs="Arial"/>
          <w:color w:val="000000"/>
        </w:rPr>
        <w:t>“</w:t>
      </w:r>
      <w:r>
        <w:rPr>
          <w:rFonts w:ascii="Arial" w:eastAsia="Arial" w:hAnsi="Arial" w:cs="Arial"/>
          <w:i/>
          <w:color w:val="000000"/>
        </w:rPr>
        <w:t>Artículo 1º. El artículo </w:t>
      </w:r>
      <w:hyperlink r:id="rId9" w:anchor="286">
        <w:r>
          <w:rPr>
            <w:rFonts w:ascii="Arial" w:eastAsia="Arial" w:hAnsi="Arial" w:cs="Arial"/>
            <w:i/>
            <w:color w:val="000000"/>
            <w:u w:val="single"/>
          </w:rPr>
          <w:t>286</w:t>
        </w:r>
      </w:hyperlink>
      <w:r>
        <w:rPr>
          <w:rFonts w:ascii="Arial" w:eastAsia="Arial" w:hAnsi="Arial" w:cs="Arial"/>
          <w:i/>
          <w:color w:val="000000"/>
        </w:rPr>
        <w:t> de la Ley 5 de 1992 quedará así:</w:t>
      </w:r>
    </w:p>
    <w:p w14:paraId="22090C48" w14:textId="77777777" w:rsidR="007917A0" w:rsidRDefault="00000000">
      <w:pPr>
        <w:spacing w:before="280" w:after="280"/>
        <w:ind w:firstLine="720"/>
        <w:jc w:val="both"/>
        <w:rPr>
          <w:rFonts w:ascii="Arial" w:eastAsia="Arial" w:hAnsi="Arial" w:cs="Arial"/>
          <w:i/>
          <w:color w:val="000000"/>
        </w:rPr>
      </w:pPr>
      <w:r>
        <w:rPr>
          <w:rFonts w:ascii="Arial" w:eastAsia="Arial" w:hAnsi="Arial" w:cs="Arial"/>
          <w:i/>
          <w:color w:val="000000"/>
        </w:rPr>
        <w:t>(…)</w:t>
      </w:r>
    </w:p>
    <w:p w14:paraId="5028E386" w14:textId="77777777" w:rsidR="007917A0" w:rsidRDefault="00000000">
      <w:pPr>
        <w:spacing w:before="280" w:after="280"/>
        <w:ind w:left="720"/>
        <w:jc w:val="both"/>
        <w:rPr>
          <w:rFonts w:ascii="Arial" w:eastAsia="Arial" w:hAnsi="Arial" w:cs="Arial"/>
          <w:i/>
          <w:color w:val="000000"/>
        </w:rPr>
      </w:pPr>
      <w:r>
        <w:rPr>
          <w:rFonts w:ascii="Arial" w:eastAsia="Arial" w:hAnsi="Arial" w:cs="Arial"/>
          <w:i/>
          <w:color w:val="000000"/>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4BAD5C74" w14:textId="77777777" w:rsidR="007917A0" w:rsidRDefault="00000000">
      <w:pPr>
        <w:spacing w:before="280" w:after="280"/>
        <w:ind w:left="720"/>
        <w:jc w:val="both"/>
        <w:rPr>
          <w:rFonts w:ascii="Arial" w:eastAsia="Arial" w:hAnsi="Arial" w:cs="Arial"/>
          <w:i/>
          <w:color w:val="000000"/>
        </w:rPr>
      </w:pPr>
      <w:r>
        <w:rPr>
          <w:rFonts w:ascii="Arial" w:eastAsia="Arial" w:hAnsi="Arial" w:cs="Arial"/>
          <w:i/>
          <w:color w:val="000000"/>
        </w:rPr>
        <w:t>b) Beneficio actual: aquel que efectivamente se configura en las circunstancias presentes y existentes al momento en el que el congresista participa de la decisión.</w:t>
      </w:r>
    </w:p>
    <w:p w14:paraId="54C0A0A3" w14:textId="77777777" w:rsidR="007917A0" w:rsidRDefault="00000000">
      <w:pPr>
        <w:spacing w:before="280" w:after="280"/>
        <w:ind w:left="720"/>
        <w:jc w:val="both"/>
        <w:rPr>
          <w:rFonts w:ascii="Arial" w:eastAsia="Arial" w:hAnsi="Arial" w:cs="Arial"/>
          <w:i/>
          <w:color w:val="000000"/>
        </w:rPr>
      </w:pPr>
      <w:r>
        <w:rPr>
          <w:rFonts w:ascii="Arial" w:eastAsia="Arial" w:hAnsi="Arial" w:cs="Arial"/>
          <w:i/>
          <w:color w:val="000000"/>
        </w:rPr>
        <w:t>c) Beneficio directo: aquel que se produzca de forma específica respecto del congresista, de su cónyuge, compañero o compañera permanente, o parientes dentro del segundo grado de consanguinidad, segundo de afinidad o primero civil.</w:t>
      </w:r>
    </w:p>
    <w:p w14:paraId="7CDF6687" w14:textId="77777777" w:rsidR="007917A0" w:rsidRDefault="00000000">
      <w:pPr>
        <w:spacing w:before="280" w:after="280"/>
        <w:ind w:left="720"/>
        <w:jc w:val="both"/>
        <w:rPr>
          <w:rFonts w:ascii="Arial" w:eastAsia="Arial" w:hAnsi="Arial" w:cs="Arial"/>
          <w:i/>
          <w:color w:val="000000"/>
        </w:rPr>
      </w:pPr>
      <w:r>
        <w:rPr>
          <w:rFonts w:ascii="Arial" w:eastAsia="Arial" w:hAnsi="Arial" w:cs="Arial"/>
          <w:i/>
          <w:color w:val="000000"/>
        </w:rPr>
        <w:t>Para todos los efectos se entiende que no hay conflicto de interés en las siguientes circunstancias:</w:t>
      </w:r>
    </w:p>
    <w:p w14:paraId="216D36AA" w14:textId="77777777" w:rsidR="007917A0" w:rsidRDefault="00000000">
      <w:pPr>
        <w:spacing w:before="280" w:after="280"/>
        <w:ind w:left="720"/>
        <w:jc w:val="both"/>
        <w:rPr>
          <w:rFonts w:ascii="Arial" w:eastAsia="Arial" w:hAnsi="Arial" w:cs="Arial"/>
          <w:b/>
          <w:i/>
          <w:color w:val="000000"/>
          <w:u w:val="single"/>
        </w:rPr>
      </w:pPr>
      <w:r>
        <w:rPr>
          <w:rFonts w:ascii="Arial" w:eastAsia="Arial" w:hAnsi="Arial" w:cs="Arial"/>
          <w:b/>
          <w:i/>
          <w:color w:val="000000"/>
          <w:u w:val="single"/>
        </w:rPr>
        <w:t>a) Cuando el congresista participe, discuta, vote un proyecto de ley o de acto legislativo que otorgue beneficios o cargos de carácter general, es decir cuando el interés del congresista coincide o se fusione con los intereses de los electores.</w:t>
      </w:r>
    </w:p>
    <w:p w14:paraId="75D6E7B4" w14:textId="77777777" w:rsidR="007917A0" w:rsidRDefault="00000000">
      <w:pPr>
        <w:spacing w:before="280" w:after="280"/>
        <w:ind w:left="708" w:firstLine="12"/>
        <w:jc w:val="both"/>
        <w:rPr>
          <w:rFonts w:ascii="Arial" w:eastAsia="Arial" w:hAnsi="Arial" w:cs="Arial"/>
          <w:i/>
          <w:color w:val="000000"/>
        </w:rPr>
      </w:pPr>
      <w:r>
        <w:rPr>
          <w:rFonts w:ascii="Arial" w:eastAsia="Arial" w:hAnsi="Arial" w:cs="Arial"/>
          <w:i/>
          <w:color w:val="000000"/>
        </w:rPr>
        <w:t>b) Cuando el beneficio podría o no configurarse para el congresista en el futuro.</w:t>
      </w:r>
    </w:p>
    <w:p w14:paraId="5083DD53" w14:textId="77777777" w:rsidR="007917A0" w:rsidRDefault="00000000">
      <w:pPr>
        <w:spacing w:before="280" w:after="280"/>
        <w:ind w:left="720"/>
        <w:jc w:val="both"/>
        <w:rPr>
          <w:rFonts w:ascii="Arial" w:eastAsia="Arial" w:hAnsi="Arial" w:cs="Arial"/>
          <w:i/>
          <w:color w:val="000000"/>
        </w:rPr>
      </w:pPr>
      <w:r>
        <w:rPr>
          <w:rFonts w:ascii="Arial" w:eastAsia="Arial" w:hAnsi="Arial" w:cs="Arial"/>
          <w:i/>
          <w:color w:val="000000"/>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6DCE996F" w14:textId="77777777" w:rsidR="007917A0" w:rsidRDefault="00000000">
      <w:pPr>
        <w:spacing w:before="280" w:after="280"/>
        <w:ind w:left="720"/>
        <w:jc w:val="both"/>
        <w:rPr>
          <w:rFonts w:ascii="Arial" w:eastAsia="Arial" w:hAnsi="Arial" w:cs="Arial"/>
          <w:i/>
          <w:color w:val="000000"/>
        </w:rPr>
      </w:pPr>
      <w:r>
        <w:rPr>
          <w:rFonts w:ascii="Arial" w:eastAsia="Arial" w:hAnsi="Arial" w:cs="Arial"/>
          <w:i/>
          <w:color w:val="000000"/>
        </w:rPr>
        <w:lastRenderedPageBreak/>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29E120D3" w14:textId="77777777" w:rsidR="007917A0" w:rsidRDefault="00000000">
      <w:pPr>
        <w:spacing w:before="280" w:after="280"/>
        <w:ind w:left="720"/>
        <w:jc w:val="both"/>
        <w:rPr>
          <w:rFonts w:ascii="Arial" w:eastAsia="Arial" w:hAnsi="Arial" w:cs="Arial"/>
          <w:i/>
          <w:color w:val="000000"/>
        </w:rPr>
      </w:pPr>
      <w:r>
        <w:rPr>
          <w:rFonts w:ascii="Arial" w:eastAsia="Arial" w:hAnsi="Arial" w:cs="Arial"/>
          <w:i/>
          <w:color w:val="000000"/>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3CB50EE7" w14:textId="77777777" w:rsidR="007917A0" w:rsidRDefault="00000000">
      <w:pPr>
        <w:spacing w:before="280" w:after="280"/>
        <w:ind w:left="720"/>
        <w:jc w:val="both"/>
        <w:rPr>
          <w:rFonts w:ascii="Arial" w:eastAsia="Arial" w:hAnsi="Arial" w:cs="Arial"/>
          <w:i/>
          <w:color w:val="000000"/>
        </w:rPr>
      </w:pPr>
      <w:r>
        <w:rPr>
          <w:rFonts w:ascii="Arial" w:eastAsia="Arial" w:hAnsi="Arial" w:cs="Arial"/>
          <w:i/>
          <w:color w:val="000000"/>
        </w:rPr>
        <w:t xml:space="preserve">f) Cuando el congresista participa en la elección de otros servidores públicos mediante el voto secreto. Se exceptúan los casos en que se presenten inhabilidades referidas al parentesco con los candidatos (...)”. </w:t>
      </w:r>
      <w:r>
        <w:rPr>
          <w:rFonts w:ascii="Arial" w:eastAsia="Arial" w:hAnsi="Arial" w:cs="Arial"/>
          <w:color w:val="000000"/>
        </w:rPr>
        <w:t xml:space="preserve">(Subrayado y negrilla fuera de texto). </w:t>
      </w:r>
    </w:p>
    <w:p w14:paraId="09097C01" w14:textId="77777777" w:rsidR="007917A0" w:rsidRDefault="00000000">
      <w:pPr>
        <w:jc w:val="both"/>
        <w:rPr>
          <w:rFonts w:ascii="Arial" w:eastAsia="Arial" w:hAnsi="Arial" w:cs="Arial"/>
          <w:color w:val="000000"/>
        </w:rPr>
      </w:pPr>
      <w:r>
        <w:rPr>
          <w:rFonts w:ascii="Arial" w:eastAsia="Arial" w:hAnsi="Arial" w:cs="Arial"/>
          <w:color w:val="000000"/>
        </w:rPr>
        <w:t>De lo anterior, y de manera meramente orientativa, se considera que para la discusión y aprobación de este Proyecto de Ley pueden tener posible conflicto de interés quienes actualmente tengan inversiones o proyectos en los municipios objeto de la iniciativa o que cuenten con establecimientos que puedan ser beneficiados directamente con la iniciativa, de lo contrario se considera que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Salvo la hipótesis mencionada,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39FECB24" w14:textId="77777777" w:rsidR="007917A0" w:rsidRDefault="007917A0" w:rsidP="00C14A93">
      <w:pPr>
        <w:pBdr>
          <w:top w:val="nil"/>
          <w:left w:val="nil"/>
          <w:bottom w:val="nil"/>
          <w:right w:val="nil"/>
          <w:between w:val="nil"/>
        </w:pBdr>
        <w:jc w:val="both"/>
        <w:rPr>
          <w:rFonts w:ascii="Arial" w:eastAsia="Arial" w:hAnsi="Arial" w:cs="Arial"/>
          <w:color w:val="000000"/>
        </w:rPr>
      </w:pPr>
    </w:p>
    <w:p w14:paraId="7EC3E915" w14:textId="77777777" w:rsidR="007917A0" w:rsidRDefault="007917A0">
      <w:pPr>
        <w:jc w:val="both"/>
        <w:rPr>
          <w:rFonts w:ascii="Arial" w:eastAsia="Arial" w:hAnsi="Arial" w:cs="Arial"/>
        </w:rPr>
      </w:pPr>
    </w:p>
    <w:p w14:paraId="3CD1D5FF" w14:textId="77777777" w:rsidR="007917A0" w:rsidRDefault="00000000">
      <w:pPr>
        <w:spacing w:line="276" w:lineRule="auto"/>
        <w:jc w:val="both"/>
        <w:rPr>
          <w:rFonts w:ascii="Arial" w:eastAsia="Arial" w:hAnsi="Arial" w:cs="Arial"/>
          <w:color w:val="000000"/>
        </w:rPr>
      </w:pPr>
      <w:r>
        <w:rPr>
          <w:rFonts w:ascii="Arial" w:eastAsia="Arial" w:hAnsi="Arial" w:cs="Arial"/>
          <w:color w:val="000000"/>
        </w:rPr>
        <w:t>Por las razones planteadas, pongo a consideración este Proyecto de Ley para que sea aprobado y se puedan brindar herramientas necesarias para lucha contra el fraude y la evasión en las cotizaciones al sistema de seguridad social integral.</w:t>
      </w:r>
    </w:p>
    <w:p w14:paraId="590B6BC8" w14:textId="77777777" w:rsidR="007917A0" w:rsidRDefault="007917A0">
      <w:pPr>
        <w:jc w:val="both"/>
        <w:rPr>
          <w:rFonts w:ascii="Arial" w:eastAsia="Arial" w:hAnsi="Arial" w:cs="Arial"/>
          <w:color w:val="000000"/>
        </w:rPr>
      </w:pPr>
    </w:p>
    <w:p w14:paraId="2632B0D3" w14:textId="77777777" w:rsidR="007917A0" w:rsidRDefault="00000000">
      <w:pPr>
        <w:jc w:val="both"/>
        <w:rPr>
          <w:rFonts w:ascii="Arial" w:eastAsia="Arial" w:hAnsi="Arial" w:cs="Arial"/>
          <w:color w:val="000000"/>
        </w:rPr>
      </w:pPr>
      <w:r>
        <w:rPr>
          <w:rFonts w:ascii="Arial" w:eastAsia="Arial" w:hAnsi="Arial" w:cs="Arial"/>
          <w:color w:val="000000"/>
        </w:rPr>
        <w:t>Cordialmente,</w:t>
      </w:r>
    </w:p>
    <w:p w14:paraId="01B647FA" w14:textId="77777777" w:rsidR="007917A0" w:rsidRDefault="007917A0">
      <w:pPr>
        <w:jc w:val="both"/>
        <w:rPr>
          <w:rFonts w:ascii="Arial" w:eastAsia="Arial" w:hAnsi="Arial" w:cs="Arial"/>
          <w:color w:val="000000"/>
        </w:rPr>
      </w:pPr>
    </w:p>
    <w:p w14:paraId="48F3F393" w14:textId="77777777" w:rsidR="007917A0" w:rsidRDefault="007917A0">
      <w:pPr>
        <w:jc w:val="both"/>
        <w:rPr>
          <w:rFonts w:ascii="Arial" w:eastAsia="Arial" w:hAnsi="Arial" w:cs="Arial"/>
          <w:color w:val="000000"/>
        </w:rPr>
      </w:pPr>
    </w:p>
    <w:p w14:paraId="51D41942" w14:textId="77777777" w:rsidR="007917A0" w:rsidRDefault="007917A0">
      <w:pPr>
        <w:jc w:val="both"/>
        <w:rPr>
          <w:rFonts w:ascii="Arial" w:eastAsia="Arial" w:hAnsi="Arial" w:cs="Arial"/>
          <w:color w:val="000000"/>
        </w:rPr>
      </w:pPr>
    </w:p>
    <w:p w14:paraId="50D9D510" w14:textId="77777777" w:rsidR="007917A0" w:rsidRDefault="00000000">
      <w:pPr>
        <w:jc w:val="both"/>
        <w:rPr>
          <w:rFonts w:ascii="Arial" w:eastAsia="Arial" w:hAnsi="Arial" w:cs="Arial"/>
          <w:b/>
          <w:color w:val="000000"/>
        </w:rPr>
      </w:pPr>
      <w:r>
        <w:rPr>
          <w:rFonts w:ascii="Arial" w:eastAsia="Arial" w:hAnsi="Arial" w:cs="Arial"/>
          <w:b/>
          <w:color w:val="000000"/>
        </w:rPr>
        <w:lastRenderedPageBreak/>
        <w:t xml:space="preserve">HECTOR DAVID CHAPARRO </w:t>
      </w:r>
    </w:p>
    <w:p w14:paraId="4FCFA9B8" w14:textId="77777777" w:rsidR="007917A0" w:rsidRDefault="00000000">
      <w:pPr>
        <w:jc w:val="both"/>
        <w:rPr>
          <w:rFonts w:ascii="Arial" w:eastAsia="Arial" w:hAnsi="Arial" w:cs="Arial"/>
          <w:color w:val="000000"/>
        </w:rPr>
      </w:pPr>
      <w:r>
        <w:rPr>
          <w:rFonts w:ascii="Arial" w:eastAsia="Arial" w:hAnsi="Arial" w:cs="Arial"/>
          <w:color w:val="000000"/>
        </w:rPr>
        <w:t xml:space="preserve">Representante a la Cámara </w:t>
      </w:r>
    </w:p>
    <w:p w14:paraId="6CAEC8B0" w14:textId="77777777" w:rsidR="007917A0" w:rsidRDefault="00000000">
      <w:pPr>
        <w:jc w:val="both"/>
        <w:rPr>
          <w:rFonts w:ascii="Arial" w:eastAsia="Arial" w:hAnsi="Arial" w:cs="Arial"/>
          <w:color w:val="000000"/>
        </w:rPr>
      </w:pPr>
      <w:r>
        <w:rPr>
          <w:rFonts w:ascii="Arial" w:eastAsia="Arial" w:hAnsi="Arial" w:cs="Arial"/>
          <w:color w:val="000000"/>
        </w:rPr>
        <w:t>Partido Liberal</w:t>
      </w:r>
    </w:p>
    <w:p w14:paraId="3D7AF4DF" w14:textId="77777777" w:rsidR="00C14A93" w:rsidRDefault="00C14A93">
      <w:pPr>
        <w:jc w:val="both"/>
        <w:rPr>
          <w:rFonts w:ascii="Arial" w:eastAsia="Arial" w:hAnsi="Arial" w:cs="Arial"/>
          <w:color w:val="000000"/>
        </w:rPr>
      </w:pPr>
    </w:p>
    <w:p w14:paraId="72B5EE5D" w14:textId="77777777" w:rsidR="00C14A93" w:rsidRDefault="00C14A93">
      <w:pPr>
        <w:jc w:val="both"/>
        <w:rPr>
          <w:rFonts w:ascii="Arial" w:eastAsia="Arial" w:hAnsi="Arial" w:cs="Arial"/>
          <w:color w:val="000000"/>
        </w:rPr>
      </w:pPr>
    </w:p>
    <w:p w14:paraId="62F89B36" w14:textId="77777777" w:rsidR="00C14A93" w:rsidRDefault="00C14A93">
      <w:pPr>
        <w:jc w:val="both"/>
        <w:rPr>
          <w:rFonts w:ascii="Arial" w:eastAsia="Arial" w:hAnsi="Arial" w:cs="Arial"/>
          <w:color w:val="000000"/>
        </w:rPr>
      </w:pPr>
    </w:p>
    <w:p w14:paraId="76F7826F" w14:textId="77777777" w:rsidR="00C14A93" w:rsidRDefault="00C14A93">
      <w:pPr>
        <w:jc w:val="both"/>
        <w:rPr>
          <w:rFonts w:ascii="Arial" w:eastAsia="Arial" w:hAnsi="Arial" w:cs="Arial"/>
          <w:color w:val="000000"/>
        </w:rPr>
      </w:pPr>
    </w:p>
    <w:p w14:paraId="7A79CD38" w14:textId="77777777" w:rsidR="00C14A93" w:rsidRDefault="00C14A93">
      <w:pPr>
        <w:jc w:val="both"/>
        <w:rPr>
          <w:rFonts w:ascii="Arial" w:eastAsia="Arial" w:hAnsi="Arial" w:cs="Arial"/>
          <w:color w:val="000000"/>
        </w:rPr>
      </w:pPr>
    </w:p>
    <w:p w14:paraId="288BEC18" w14:textId="77777777" w:rsidR="00C14A93" w:rsidRDefault="00C14A93">
      <w:pPr>
        <w:jc w:val="both"/>
        <w:rPr>
          <w:rFonts w:ascii="Arial" w:eastAsia="Arial" w:hAnsi="Arial" w:cs="Arial"/>
          <w:color w:val="000000"/>
        </w:rPr>
      </w:pPr>
    </w:p>
    <w:p w14:paraId="1337CE24" w14:textId="77777777" w:rsidR="00C14A93" w:rsidRDefault="00C14A93">
      <w:pPr>
        <w:jc w:val="both"/>
        <w:rPr>
          <w:rFonts w:ascii="Arial" w:eastAsia="Arial" w:hAnsi="Arial" w:cs="Arial"/>
          <w:color w:val="000000"/>
        </w:rPr>
      </w:pPr>
    </w:p>
    <w:p w14:paraId="1BC6F3C9" w14:textId="77777777" w:rsidR="00C14A93" w:rsidRDefault="00C14A93">
      <w:pPr>
        <w:jc w:val="both"/>
        <w:rPr>
          <w:rFonts w:ascii="Arial" w:eastAsia="Arial" w:hAnsi="Arial" w:cs="Arial"/>
          <w:color w:val="000000"/>
        </w:rPr>
      </w:pPr>
    </w:p>
    <w:p w14:paraId="56C2DD47" w14:textId="77777777" w:rsidR="00C14A93" w:rsidRDefault="00C14A93">
      <w:pPr>
        <w:jc w:val="both"/>
        <w:rPr>
          <w:rFonts w:ascii="Arial" w:eastAsia="Arial" w:hAnsi="Arial" w:cs="Arial"/>
          <w:color w:val="000000"/>
        </w:rPr>
      </w:pPr>
    </w:p>
    <w:p w14:paraId="4D80F0BD" w14:textId="77777777" w:rsidR="00C14A93" w:rsidRDefault="00C14A93">
      <w:pPr>
        <w:jc w:val="both"/>
        <w:rPr>
          <w:rFonts w:ascii="Arial" w:eastAsia="Arial" w:hAnsi="Arial" w:cs="Arial"/>
          <w:color w:val="000000"/>
        </w:rPr>
      </w:pPr>
    </w:p>
    <w:p w14:paraId="33C3ECBF" w14:textId="77777777" w:rsidR="00C14A93" w:rsidRDefault="00C14A93">
      <w:pPr>
        <w:jc w:val="both"/>
        <w:rPr>
          <w:rFonts w:ascii="Arial" w:eastAsia="Arial" w:hAnsi="Arial" w:cs="Arial"/>
          <w:color w:val="000000"/>
        </w:rPr>
      </w:pPr>
    </w:p>
    <w:p w14:paraId="0923C1F1" w14:textId="77777777" w:rsidR="00C14A93" w:rsidRDefault="00C14A93" w:rsidP="00C14A93">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Bibliografía</w:t>
      </w:r>
    </w:p>
    <w:p w14:paraId="3BD3F9B7" w14:textId="77777777" w:rsidR="00C14A93" w:rsidRDefault="00C14A93" w:rsidP="00C14A93">
      <w:pPr>
        <w:pBdr>
          <w:top w:val="nil"/>
          <w:left w:val="nil"/>
          <w:bottom w:val="nil"/>
          <w:right w:val="nil"/>
          <w:between w:val="nil"/>
        </w:pBdr>
        <w:ind w:left="720"/>
        <w:jc w:val="both"/>
        <w:rPr>
          <w:rFonts w:ascii="Arial" w:eastAsia="Arial" w:hAnsi="Arial" w:cs="Arial"/>
          <w:color w:val="000000"/>
          <w:sz w:val="20"/>
          <w:szCs w:val="20"/>
        </w:rPr>
      </w:pPr>
    </w:p>
    <w:bookmarkStart w:id="0" w:name="_gjdgxs" w:colFirst="0" w:colLast="0"/>
    <w:bookmarkEnd w:id="0"/>
    <w:p w14:paraId="4E1FC00A" w14:textId="77777777" w:rsidR="00C14A93" w:rsidRDefault="00C14A93" w:rsidP="00C14A93">
      <w:pPr>
        <w:rPr>
          <w:rFonts w:ascii="Arial" w:eastAsia="Arial" w:hAnsi="Arial" w:cs="Arial"/>
          <w:sz w:val="22"/>
          <w:szCs w:val="22"/>
        </w:rPr>
      </w:pPr>
      <w:r>
        <w:fldChar w:fldCharType="begin"/>
      </w:r>
      <w:r>
        <w:instrText>HYPERLINK "https://gestarsalud.com/2021/10/28/comunicado-modalidad-de-fraude-al-sistema-de-salud-se-aprovecha-de-mujeres-gestantes/" \h</w:instrText>
      </w:r>
      <w:r>
        <w:fldChar w:fldCharType="separate"/>
      </w:r>
      <w:r>
        <w:rPr>
          <w:rFonts w:ascii="Arial" w:eastAsia="Arial" w:hAnsi="Arial" w:cs="Arial"/>
          <w:sz w:val="22"/>
          <w:szCs w:val="22"/>
        </w:rPr>
        <w:t>https://gestarsalud.com/2021/10/28/comunicado-modalidad-de-fraude-al-sistema-de-salud-se-aprovecha-de-mujeres-gestantes/</w:t>
      </w:r>
      <w:r>
        <w:rPr>
          <w:rFonts w:ascii="Arial" w:eastAsia="Arial" w:hAnsi="Arial" w:cs="Arial"/>
          <w:sz w:val="22"/>
          <w:szCs w:val="22"/>
        </w:rPr>
        <w:fldChar w:fldCharType="end"/>
      </w:r>
    </w:p>
    <w:p w14:paraId="33172251" w14:textId="77777777" w:rsidR="00C14A93" w:rsidRDefault="00000000" w:rsidP="00C14A93">
      <w:pPr>
        <w:rPr>
          <w:rFonts w:ascii="Arial" w:eastAsia="Arial" w:hAnsi="Arial" w:cs="Arial"/>
          <w:sz w:val="22"/>
          <w:szCs w:val="22"/>
        </w:rPr>
      </w:pPr>
      <w:hyperlink r:id="rId10">
        <w:r w:rsidR="00C14A93">
          <w:rPr>
            <w:rFonts w:ascii="Arial" w:eastAsia="Arial" w:hAnsi="Arial" w:cs="Arial"/>
            <w:sz w:val="22"/>
            <w:szCs w:val="22"/>
          </w:rPr>
          <w:t>https://www.ambitojuridico.com/noticias/laboral/laboral-y-seguridad-social/empleador-debe-informar-la-fiscalia-el-presunto-fraude</w:t>
        </w:r>
      </w:hyperlink>
    </w:p>
    <w:p w14:paraId="198C395F" w14:textId="77777777" w:rsidR="00C14A93" w:rsidRDefault="00000000" w:rsidP="00C14A93">
      <w:pPr>
        <w:rPr>
          <w:rFonts w:ascii="Arial" w:eastAsia="Arial" w:hAnsi="Arial" w:cs="Arial"/>
          <w:sz w:val="22"/>
          <w:szCs w:val="22"/>
        </w:rPr>
      </w:pPr>
      <w:hyperlink r:id="rId11">
        <w:r w:rsidR="00C14A93">
          <w:rPr>
            <w:rFonts w:ascii="Arial" w:eastAsia="Arial" w:hAnsi="Arial" w:cs="Arial"/>
            <w:sz w:val="22"/>
            <w:szCs w:val="22"/>
          </w:rPr>
          <w:t>https://www.redalyc.org/journal/5602/560259695004/html/</w:t>
        </w:r>
      </w:hyperlink>
    </w:p>
    <w:p w14:paraId="3381B0FA" w14:textId="77777777" w:rsidR="00C14A93" w:rsidRDefault="00000000" w:rsidP="00C14A93">
      <w:pPr>
        <w:rPr>
          <w:rFonts w:ascii="Arial" w:eastAsia="Arial" w:hAnsi="Arial" w:cs="Arial"/>
          <w:sz w:val="22"/>
          <w:szCs w:val="22"/>
        </w:rPr>
      </w:pPr>
      <w:hyperlink r:id="rId12">
        <w:r w:rsidR="00C14A93">
          <w:rPr>
            <w:rFonts w:ascii="Arial" w:eastAsia="Arial" w:hAnsi="Arial" w:cs="Arial"/>
            <w:sz w:val="22"/>
            <w:szCs w:val="22"/>
          </w:rPr>
          <w:t>https://www.arus.com.co/blog/afiliacion-ilegal-a-seguridad-social</w:t>
        </w:r>
      </w:hyperlink>
    </w:p>
    <w:p w14:paraId="116F3AE5" w14:textId="77777777" w:rsidR="00C14A93" w:rsidRDefault="00000000" w:rsidP="00C14A93">
      <w:pPr>
        <w:rPr>
          <w:rFonts w:ascii="Arial" w:eastAsia="Arial" w:hAnsi="Arial" w:cs="Arial"/>
          <w:sz w:val="22"/>
          <w:szCs w:val="22"/>
        </w:rPr>
      </w:pPr>
      <w:hyperlink r:id="rId13">
        <w:r w:rsidR="00C14A93">
          <w:rPr>
            <w:rFonts w:ascii="Arial" w:eastAsia="Arial" w:hAnsi="Arial" w:cs="Arial"/>
            <w:sz w:val="22"/>
            <w:szCs w:val="22"/>
          </w:rPr>
          <w:t>https://saludporcolombia.unbosque.edu.co/documentos/trabajodegrado-especializacioonseguridadsocial.pdf</w:t>
        </w:r>
      </w:hyperlink>
    </w:p>
    <w:p w14:paraId="73330F06" w14:textId="77777777" w:rsidR="00C14A93" w:rsidRDefault="00000000" w:rsidP="00C14A93">
      <w:pPr>
        <w:rPr>
          <w:rFonts w:ascii="Arial" w:eastAsia="Arial" w:hAnsi="Arial" w:cs="Arial"/>
          <w:sz w:val="22"/>
          <w:szCs w:val="22"/>
        </w:rPr>
      </w:pPr>
      <w:hyperlink r:id="rId14">
        <w:r w:rsidR="00C14A93">
          <w:rPr>
            <w:rFonts w:ascii="Arial" w:eastAsia="Arial" w:hAnsi="Arial" w:cs="Arial"/>
            <w:sz w:val="22"/>
            <w:szCs w:val="22"/>
          </w:rPr>
          <w:t>https://www.semana.com/nacion/articulo/esta-seguro-cientos-de-colombianos-caen-en-las-redes-de-estafadores-al-pagar-sus-aportes-a-seguridad-social/202125/</w:t>
        </w:r>
      </w:hyperlink>
    </w:p>
    <w:p w14:paraId="08D43CFD" w14:textId="77777777" w:rsidR="00C14A93" w:rsidRDefault="00000000" w:rsidP="00C14A93">
      <w:pPr>
        <w:rPr>
          <w:rFonts w:ascii="Arial" w:eastAsia="Arial" w:hAnsi="Arial" w:cs="Arial"/>
          <w:sz w:val="22"/>
          <w:szCs w:val="22"/>
        </w:rPr>
      </w:pPr>
      <w:hyperlink r:id="rId15">
        <w:r w:rsidR="00C14A93">
          <w:rPr>
            <w:rFonts w:ascii="Arial" w:eastAsia="Arial" w:hAnsi="Arial" w:cs="Arial"/>
            <w:sz w:val="22"/>
            <w:szCs w:val="22"/>
          </w:rPr>
          <w:t>https://www.infobae.com/america/colombia/2022/02/23/asi-estan-estafando-a-los-colombianos-con-la-afiliaciones-baratas-a-la-seguridad-social/</w:t>
        </w:r>
      </w:hyperlink>
    </w:p>
    <w:p w14:paraId="5134674A" w14:textId="77777777" w:rsidR="00C14A93" w:rsidRDefault="00000000" w:rsidP="00C14A93">
      <w:pPr>
        <w:rPr>
          <w:rFonts w:ascii="Arial" w:eastAsia="Arial" w:hAnsi="Arial" w:cs="Arial"/>
          <w:sz w:val="22"/>
          <w:szCs w:val="22"/>
        </w:rPr>
      </w:pPr>
      <w:hyperlink r:id="rId16">
        <w:r w:rsidR="00C14A93">
          <w:rPr>
            <w:rFonts w:ascii="Arial" w:eastAsia="Arial" w:hAnsi="Arial" w:cs="Arial"/>
            <w:sz w:val="22"/>
            <w:szCs w:val="22"/>
          </w:rPr>
          <w:t>https://www.asr.com.co/portal/novedades/el-fraude-de-la-seguridad-social-para-independientes-a-precio-de-huevo</w:t>
        </w:r>
      </w:hyperlink>
    </w:p>
    <w:p w14:paraId="626B5042" w14:textId="77777777" w:rsidR="00C14A93" w:rsidRDefault="00000000" w:rsidP="00C14A93">
      <w:pPr>
        <w:rPr>
          <w:rFonts w:ascii="Arial" w:eastAsia="Arial" w:hAnsi="Arial" w:cs="Arial"/>
          <w:sz w:val="22"/>
          <w:szCs w:val="22"/>
        </w:rPr>
      </w:pPr>
      <w:hyperlink r:id="rId17">
        <w:r w:rsidR="00C14A93">
          <w:rPr>
            <w:rFonts w:ascii="Arial" w:eastAsia="Arial" w:hAnsi="Arial" w:cs="Arial"/>
            <w:sz w:val="22"/>
            <w:szCs w:val="22"/>
          </w:rPr>
          <w:t>https://www.icef.com.co/component/k2/item/6060-mintrabajo-alerta-por-fraude-en-afiliacion-a-seguridad-social</w:t>
        </w:r>
      </w:hyperlink>
    </w:p>
    <w:p w14:paraId="49F2CDAA" w14:textId="77777777" w:rsidR="00C14A93" w:rsidRDefault="00000000" w:rsidP="00C14A93">
      <w:pPr>
        <w:jc w:val="both"/>
        <w:rPr>
          <w:rFonts w:ascii="Arial" w:eastAsia="Arial" w:hAnsi="Arial" w:cs="Arial"/>
          <w:sz w:val="22"/>
          <w:szCs w:val="22"/>
        </w:rPr>
      </w:pPr>
      <w:hyperlink r:id="rId18">
        <w:r w:rsidR="00C14A93">
          <w:rPr>
            <w:rFonts w:ascii="Arial" w:eastAsia="Arial" w:hAnsi="Arial" w:cs="Arial"/>
            <w:sz w:val="22"/>
            <w:szCs w:val="22"/>
          </w:rPr>
          <w:t>https://www.hklaw.com/-/media/files/insights/publications/2022/08/pl1182022c-reforma-tributaria.pdf</w:t>
        </w:r>
      </w:hyperlink>
    </w:p>
    <w:p w14:paraId="02C8DCDC" w14:textId="77777777" w:rsidR="00C14A93" w:rsidRDefault="00C14A93" w:rsidP="00C14A93">
      <w:pPr>
        <w:jc w:val="both"/>
        <w:rPr>
          <w:rFonts w:ascii="Arial" w:eastAsia="Arial" w:hAnsi="Arial" w:cs="Arial"/>
          <w:sz w:val="22"/>
          <w:szCs w:val="22"/>
        </w:rPr>
      </w:pPr>
      <w:r>
        <w:rPr>
          <w:rFonts w:ascii="Arial" w:eastAsia="Arial" w:hAnsi="Arial" w:cs="Arial"/>
          <w:sz w:val="22"/>
          <w:szCs w:val="22"/>
        </w:rPr>
        <w:t>https://www.mintrabajo.gov.co/web/guest/prensa/comunicados/2022/febrero/ministerio-del-trabajo-lanza-campa%C3%B1a-af%C3%ADliese-bien-no-asuma-riesgos-el-poste-no-afilia</w:t>
      </w:r>
    </w:p>
    <w:p w14:paraId="6ECD9F30" w14:textId="77777777" w:rsidR="00C14A93" w:rsidRDefault="00000000" w:rsidP="00C14A93">
      <w:pPr>
        <w:jc w:val="both"/>
        <w:rPr>
          <w:rFonts w:ascii="Arial" w:eastAsia="Arial" w:hAnsi="Arial" w:cs="Arial"/>
          <w:sz w:val="22"/>
          <w:szCs w:val="22"/>
        </w:rPr>
      </w:pPr>
      <w:hyperlink r:id="rId19">
        <w:r w:rsidR="00C14A93">
          <w:rPr>
            <w:rFonts w:ascii="Arial" w:eastAsia="Arial" w:hAnsi="Arial" w:cs="Arial"/>
            <w:sz w:val="22"/>
            <w:szCs w:val="22"/>
          </w:rPr>
          <w:t>https://saludporcolombia.unbosque.edu.co/documentos/trabajodegrado-especializacioonseguridadsocial.pdf</w:t>
        </w:r>
      </w:hyperlink>
    </w:p>
    <w:p w14:paraId="6160E847" w14:textId="77777777" w:rsidR="00C14A93" w:rsidRDefault="00000000" w:rsidP="00C14A93">
      <w:pPr>
        <w:pBdr>
          <w:top w:val="nil"/>
          <w:left w:val="nil"/>
          <w:bottom w:val="nil"/>
          <w:right w:val="nil"/>
          <w:between w:val="nil"/>
        </w:pBdr>
        <w:jc w:val="both"/>
        <w:rPr>
          <w:rFonts w:ascii="Arial" w:eastAsia="Arial" w:hAnsi="Arial" w:cs="Arial"/>
          <w:color w:val="000000"/>
          <w:sz w:val="22"/>
          <w:szCs w:val="22"/>
        </w:rPr>
      </w:pPr>
      <w:hyperlink r:id="rId20">
        <w:r w:rsidR="00C14A93">
          <w:rPr>
            <w:rFonts w:ascii="Arial" w:eastAsia="Arial" w:hAnsi="Arial" w:cs="Arial"/>
            <w:color w:val="000000"/>
            <w:sz w:val="22"/>
            <w:szCs w:val="22"/>
          </w:rPr>
          <w:t>https://www.gerencie.com/contratista-independiente.html</w:t>
        </w:r>
      </w:hyperlink>
    </w:p>
    <w:p w14:paraId="5DBBD584" w14:textId="77777777" w:rsidR="00C14A93" w:rsidRDefault="00C14A93" w:rsidP="00C14A93">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w:t>
      </w:r>
      <w:hyperlink r:id="rId21">
        <w:r>
          <w:rPr>
            <w:rFonts w:ascii="Arial" w:eastAsia="Arial" w:hAnsi="Arial" w:cs="Arial"/>
            <w:color w:val="000000"/>
            <w:sz w:val="22"/>
            <w:szCs w:val="22"/>
          </w:rPr>
          <w:t>https://www.gerencie.com/aportes-a-seguridad-social-cuando-se-devenga-menos-de-un-salario-minimo.html</w:t>
        </w:r>
      </w:hyperlink>
    </w:p>
    <w:p w14:paraId="09FB0E1C" w14:textId="77777777" w:rsidR="00C14A93" w:rsidRDefault="00000000" w:rsidP="00C14A93">
      <w:pPr>
        <w:pBdr>
          <w:top w:val="nil"/>
          <w:left w:val="nil"/>
          <w:bottom w:val="nil"/>
          <w:right w:val="nil"/>
          <w:between w:val="nil"/>
        </w:pBdr>
        <w:jc w:val="both"/>
        <w:rPr>
          <w:rFonts w:ascii="Arial" w:eastAsia="Arial" w:hAnsi="Arial" w:cs="Arial"/>
          <w:color w:val="000000"/>
          <w:sz w:val="22"/>
          <w:szCs w:val="22"/>
        </w:rPr>
      </w:pPr>
      <w:hyperlink r:id="rId22">
        <w:r w:rsidR="00C14A93">
          <w:rPr>
            <w:rFonts w:ascii="Arial" w:eastAsia="Arial" w:hAnsi="Arial" w:cs="Arial"/>
            <w:color w:val="000000"/>
            <w:sz w:val="22"/>
            <w:szCs w:val="22"/>
          </w:rPr>
          <w:t>https://www.gerencie.com/aportes-a-seguridad-social-en-los-trabajadores-que-trabajan-por-dias.html</w:t>
        </w:r>
      </w:hyperlink>
    </w:p>
    <w:p w14:paraId="7F5903E3" w14:textId="77777777" w:rsidR="00C14A93" w:rsidRDefault="00000000" w:rsidP="00C14A93">
      <w:pPr>
        <w:pBdr>
          <w:top w:val="nil"/>
          <w:left w:val="nil"/>
          <w:bottom w:val="nil"/>
          <w:right w:val="nil"/>
          <w:between w:val="nil"/>
        </w:pBdr>
        <w:jc w:val="both"/>
        <w:rPr>
          <w:rFonts w:ascii="Arial" w:eastAsia="Arial" w:hAnsi="Arial" w:cs="Arial"/>
          <w:color w:val="000000"/>
          <w:sz w:val="22"/>
          <w:szCs w:val="22"/>
        </w:rPr>
      </w:pPr>
      <w:hyperlink r:id="rId23">
        <w:r w:rsidR="00C14A93">
          <w:rPr>
            <w:rFonts w:ascii="Arial" w:eastAsia="Arial" w:hAnsi="Arial" w:cs="Arial"/>
            <w:color w:val="000000"/>
            <w:sz w:val="22"/>
            <w:szCs w:val="22"/>
          </w:rPr>
          <w:t>https://www.gerencie.com/ingreso-base-de-cotizacion-a-salud-en-salarios-inferiores-al-minimo.html</w:t>
        </w:r>
      </w:hyperlink>
    </w:p>
    <w:p w14:paraId="7E832B5E" w14:textId="02F33989" w:rsidR="00C14A93" w:rsidRDefault="00000000">
      <w:pPr>
        <w:jc w:val="both"/>
        <w:rPr>
          <w:rFonts w:ascii="Arial" w:eastAsia="Arial" w:hAnsi="Arial" w:cs="Arial"/>
          <w:color w:val="000000"/>
        </w:rPr>
      </w:pPr>
      <w:hyperlink r:id="rId24" w:history="1">
        <w:r w:rsidR="00551A8B" w:rsidRPr="00B56732">
          <w:rPr>
            <w:rStyle w:val="Hipervnculo"/>
            <w:rFonts w:ascii="Arial" w:eastAsia="Arial" w:hAnsi="Arial" w:cs="Arial"/>
          </w:rPr>
          <w:t>https://repository.unilibre.edu.co/bitstream/handle/10901/23830/TRABAJO_FINAL.docx.pdf?sequence=1&amp;isAllowed=y</w:t>
        </w:r>
      </w:hyperlink>
    </w:p>
    <w:p w14:paraId="6EC620F3" w14:textId="77777777" w:rsidR="00551A8B" w:rsidRDefault="00551A8B">
      <w:pPr>
        <w:jc w:val="both"/>
        <w:rPr>
          <w:rFonts w:ascii="Arial" w:eastAsia="Arial" w:hAnsi="Arial" w:cs="Arial"/>
          <w:color w:val="000000"/>
        </w:rPr>
      </w:pPr>
    </w:p>
    <w:p w14:paraId="0871B4D6" w14:textId="2C76DCB8" w:rsidR="00551A8B" w:rsidRDefault="00000000">
      <w:pPr>
        <w:jc w:val="both"/>
        <w:rPr>
          <w:rFonts w:ascii="Arial" w:eastAsia="Arial" w:hAnsi="Arial" w:cs="Arial"/>
          <w:color w:val="000000"/>
        </w:rPr>
      </w:pPr>
      <w:hyperlink r:id="rId25" w:history="1">
        <w:r w:rsidR="00551A8B" w:rsidRPr="00B56732">
          <w:rPr>
            <w:rStyle w:val="Hipervnculo"/>
            <w:rFonts w:ascii="Arial" w:eastAsia="Arial" w:hAnsi="Arial" w:cs="Arial"/>
          </w:rPr>
          <w:t>https://www.eltiempo.com/salud/cuidado-asi-puede-evitar-ser-victima-de-un-fraude-en-su-afiliacion-en-salud-815071</w:t>
        </w:r>
      </w:hyperlink>
    </w:p>
    <w:p w14:paraId="41AA27BA" w14:textId="77777777" w:rsidR="00551A8B" w:rsidRDefault="00551A8B">
      <w:pPr>
        <w:jc w:val="both"/>
        <w:rPr>
          <w:rFonts w:ascii="Arial" w:eastAsia="Arial" w:hAnsi="Arial" w:cs="Arial"/>
          <w:color w:val="000000"/>
        </w:rPr>
      </w:pPr>
    </w:p>
    <w:sectPr w:rsidR="00551A8B">
      <w:headerReference w:type="even" r:id="rId26"/>
      <w:headerReference w:type="default" r:id="rId27"/>
      <w:footerReference w:type="even" r:id="rId28"/>
      <w:footerReference w:type="default" r:id="rId29"/>
      <w:headerReference w:type="first" r:id="rId30"/>
      <w:footerReference w:type="first" r:id="rId31"/>
      <w:pgSz w:w="12240" w:h="15840"/>
      <w:pgMar w:top="2552" w:right="1701" w:bottom="1702"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22865" w14:textId="77777777" w:rsidR="00B37C79" w:rsidRDefault="00B37C79">
      <w:r>
        <w:separator/>
      </w:r>
    </w:p>
  </w:endnote>
  <w:endnote w:type="continuationSeparator" w:id="0">
    <w:p w14:paraId="2E0B3590" w14:textId="77777777" w:rsidR="00B37C79" w:rsidRDefault="00B3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C899" w14:textId="77777777" w:rsidR="00D562B2" w:rsidRDefault="00D562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3C8F" w14:textId="77777777" w:rsidR="007917A0" w:rsidRDefault="00000000">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Pr>
        <w:noProof/>
        <w:color w:val="000000"/>
      </w:rPr>
      <w:drawing>
        <wp:inline distT="0" distB="0" distL="0" distR="0" wp14:anchorId="3B160460" wp14:editId="56B29C1C">
          <wp:extent cx="1827730" cy="541469"/>
          <wp:effectExtent l="0" t="0" r="0" b="0"/>
          <wp:docPr id="4" name="image4.png" descr="http://tatacabello.com/wp-content/uploads/2015/06/logo-congreso.png"/>
          <wp:cNvGraphicFramePr/>
          <a:graphic xmlns:a="http://schemas.openxmlformats.org/drawingml/2006/main">
            <a:graphicData uri="http://schemas.openxmlformats.org/drawingml/2006/picture">
              <pic:pic xmlns:pic="http://schemas.openxmlformats.org/drawingml/2006/picture">
                <pic:nvPicPr>
                  <pic:cNvPr id="0" name="image4.png" descr="http://tatacabello.com/wp-content/uploads/2015/06/logo-congreso.png"/>
                  <pic:cNvPicPr preferRelativeResize="0"/>
                </pic:nvPicPr>
                <pic:blipFill>
                  <a:blip r:embed="rId1"/>
                  <a:srcRect/>
                  <a:stretch>
                    <a:fillRect/>
                  </a:stretch>
                </pic:blipFill>
                <pic:spPr>
                  <a:xfrm>
                    <a:off x="0" y="0"/>
                    <a:ext cx="1827730" cy="541469"/>
                  </a:xfrm>
                  <a:prstGeom prst="rect">
                    <a:avLst/>
                  </a:prstGeom>
                  <a:ln/>
                </pic:spPr>
              </pic:pic>
            </a:graphicData>
          </a:graphic>
        </wp:inline>
      </w:drawing>
    </w:r>
    <w:r>
      <w:rPr>
        <w:noProof/>
      </w:rPr>
      <w:drawing>
        <wp:anchor distT="0" distB="0" distL="0" distR="0" simplePos="0" relativeHeight="251658240" behindDoc="1" locked="0" layoutInCell="1" hidden="0" allowOverlap="1" wp14:anchorId="1D1BB1B8" wp14:editId="4A7DA7A0">
          <wp:simplePos x="0" y="0"/>
          <wp:positionH relativeFrom="column">
            <wp:posOffset>1394460</wp:posOffset>
          </wp:positionH>
          <wp:positionV relativeFrom="paragraph">
            <wp:posOffset>0</wp:posOffset>
          </wp:positionV>
          <wp:extent cx="2922905" cy="2000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922905" cy="200025"/>
                  </a:xfrm>
                  <a:prstGeom prst="rect">
                    <a:avLst/>
                  </a:prstGeom>
                  <a:ln/>
                </pic:spPr>
              </pic:pic>
            </a:graphicData>
          </a:graphic>
        </wp:anchor>
      </w:drawing>
    </w:r>
  </w:p>
  <w:p w14:paraId="666FEF5F" w14:textId="77777777" w:rsidR="007917A0" w:rsidRDefault="007917A0">
    <w:pPr>
      <w:pBdr>
        <w:top w:val="nil"/>
        <w:left w:val="nil"/>
        <w:bottom w:val="nil"/>
        <w:right w:val="nil"/>
        <w:between w:val="nil"/>
      </w:pBdr>
      <w:tabs>
        <w:tab w:val="center" w:pos="4419"/>
        <w:tab w:val="right" w:pos="8838"/>
        <w:tab w:val="left" w:pos="288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6788" w14:textId="77777777" w:rsidR="00D562B2" w:rsidRDefault="00D562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8838D" w14:textId="77777777" w:rsidR="00B37C79" w:rsidRDefault="00B37C79">
      <w:r>
        <w:separator/>
      </w:r>
    </w:p>
  </w:footnote>
  <w:footnote w:type="continuationSeparator" w:id="0">
    <w:p w14:paraId="1E245343" w14:textId="77777777" w:rsidR="00B37C79" w:rsidRDefault="00B37C79">
      <w:r>
        <w:continuationSeparator/>
      </w:r>
    </w:p>
  </w:footnote>
  <w:footnote w:id="1">
    <w:p w14:paraId="2554153C" w14:textId="0674D4B5" w:rsidR="00E8582E" w:rsidRPr="00E8582E" w:rsidRDefault="00E8582E">
      <w:pPr>
        <w:pStyle w:val="Textonotapie"/>
        <w:rPr>
          <w:lang w:val="en-US"/>
        </w:rPr>
      </w:pPr>
      <w:r>
        <w:rPr>
          <w:rStyle w:val="Refdenotaalpie"/>
        </w:rPr>
        <w:footnoteRef/>
      </w:r>
      <w:r>
        <w:t xml:space="preserve"> </w:t>
      </w:r>
      <w:r w:rsidRPr="00E8582E">
        <w:t>https://www.portafolio.co/economia/impuestos/cuatro-de-cada-10-independientes-evaden-aportes-a-salud-y-pension-523897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CD49" w14:textId="77777777" w:rsidR="00D562B2" w:rsidRDefault="00D562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75D6" w14:textId="77777777" w:rsidR="007917A0" w:rsidRDefault="00000000">
    <w:pPr>
      <w:pBdr>
        <w:top w:val="nil"/>
        <w:left w:val="nil"/>
        <w:bottom w:val="nil"/>
        <w:right w:val="nil"/>
        <w:between w:val="nil"/>
      </w:pBdr>
      <w:tabs>
        <w:tab w:val="center" w:pos="4419"/>
        <w:tab w:val="right" w:pos="8838"/>
      </w:tabs>
      <w:jc w:val="center"/>
      <w:rPr>
        <w:color w:val="000000"/>
      </w:rPr>
    </w:pPr>
    <w:r>
      <w:rPr>
        <w:noProof/>
        <w:color w:val="000000"/>
      </w:rPr>
      <w:drawing>
        <wp:inline distT="0" distB="0" distL="0" distR="0" wp14:anchorId="6A712C13" wp14:editId="12B4BF27">
          <wp:extent cx="3319638" cy="1106546"/>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4936" t="26565" r="17345" b="33286"/>
                  <a:stretch>
                    <a:fillRect/>
                  </a:stretch>
                </pic:blipFill>
                <pic:spPr>
                  <a:xfrm>
                    <a:off x="0" y="0"/>
                    <a:ext cx="3319638" cy="110654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E91D" w14:textId="77777777" w:rsidR="00D562B2" w:rsidRDefault="00D562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438D0"/>
    <w:multiLevelType w:val="multilevel"/>
    <w:tmpl w:val="76DE9346"/>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000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A0"/>
    <w:rsid w:val="00174F61"/>
    <w:rsid w:val="00275B20"/>
    <w:rsid w:val="00396F7F"/>
    <w:rsid w:val="00551A8B"/>
    <w:rsid w:val="005C3D10"/>
    <w:rsid w:val="00653575"/>
    <w:rsid w:val="007917A0"/>
    <w:rsid w:val="00874EDE"/>
    <w:rsid w:val="00AA6681"/>
    <w:rsid w:val="00B37C79"/>
    <w:rsid w:val="00C1106A"/>
    <w:rsid w:val="00C14A93"/>
    <w:rsid w:val="00D562B2"/>
    <w:rsid w:val="00D76541"/>
    <w:rsid w:val="00DE2A2A"/>
    <w:rsid w:val="00DE377C"/>
    <w:rsid w:val="00E858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8DAA0"/>
  <w15:docId w15:val="{11E80A90-3849-9745-808C-A389EDEC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widowControl w:val="0"/>
      <w:ind w:left="822"/>
      <w:outlineLvl w:val="0"/>
    </w:pPr>
    <w:rPr>
      <w:rFonts w:ascii="Arial" w:eastAsia="Arial" w:hAnsi="Arial" w:cs="Arial"/>
      <w:b/>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uiPriority w:val="9"/>
    <w:semiHidden/>
    <w:unhideWhenUsed/>
    <w:qFormat/>
    <w:pPr>
      <w:keepNext/>
      <w:keepLines/>
      <w:spacing w:before="200"/>
      <w:ind w:left="1080" w:hanging="720"/>
      <w:outlineLvl w:val="2"/>
    </w:pPr>
    <w:rPr>
      <w:b/>
      <w:color w:val="000000"/>
      <w:sz w:val="20"/>
      <w:szCs w:val="20"/>
    </w:rPr>
  </w:style>
  <w:style w:type="paragraph" w:styleId="Ttulo4">
    <w:name w:val="heading 4"/>
    <w:basedOn w:val="Normal"/>
    <w:next w:val="Normal"/>
    <w:uiPriority w:val="9"/>
    <w:semiHidden/>
    <w:unhideWhenUsed/>
    <w:qFormat/>
    <w:pPr>
      <w:keepNext/>
      <w:keepLines/>
      <w:pBdr>
        <w:bottom w:val="single" w:sz="6" w:space="5" w:color="CCCCCC"/>
      </w:pBdr>
      <w:shd w:val="clear" w:color="auto" w:fill="FFFFFF"/>
      <w:spacing w:before="200"/>
      <w:ind w:left="1224" w:hanging="864"/>
      <w:outlineLvl w:val="3"/>
    </w:pPr>
    <w:rPr>
      <w:rFonts w:ascii="Arial" w:eastAsia="Arial" w:hAnsi="Arial" w:cs="Arial"/>
      <w:color w:val="000000"/>
    </w:rPr>
  </w:style>
  <w:style w:type="paragraph" w:styleId="Ttulo5">
    <w:name w:val="heading 5"/>
    <w:basedOn w:val="Normal"/>
    <w:next w:val="Normal"/>
    <w:uiPriority w:val="9"/>
    <w:semiHidden/>
    <w:unhideWhenUsed/>
    <w:qFormat/>
    <w:pPr>
      <w:keepNext/>
      <w:keepLines/>
      <w:spacing w:before="200"/>
      <w:ind w:left="1368" w:hanging="1008"/>
      <w:outlineLvl w:val="4"/>
    </w:pPr>
    <w:rPr>
      <w:b/>
      <w:color w:val="000000"/>
    </w:rPr>
  </w:style>
  <w:style w:type="paragraph" w:styleId="Ttulo6">
    <w:name w:val="heading 6"/>
    <w:basedOn w:val="Normal"/>
    <w:next w:val="Normal"/>
    <w:uiPriority w:val="9"/>
    <w:semiHidden/>
    <w:unhideWhenUsed/>
    <w:qFormat/>
    <w:pPr>
      <w:keepNext/>
      <w:keepLines/>
      <w:spacing w:before="200"/>
      <w:ind w:left="1512" w:hanging="1152"/>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300"/>
    </w:pPr>
    <w:rPr>
      <w:rFonts w:ascii="Cambria" w:eastAsia="Cambria" w:hAnsi="Cambria" w:cs="Cambria"/>
      <w:b/>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Fuentedeprrafopredeter"/>
    <w:rsid w:val="00E8582E"/>
  </w:style>
  <w:style w:type="paragraph" w:styleId="Textonotapie">
    <w:name w:val="footnote text"/>
    <w:basedOn w:val="Normal"/>
    <w:link w:val="TextonotapieCar"/>
    <w:uiPriority w:val="99"/>
    <w:semiHidden/>
    <w:unhideWhenUsed/>
    <w:rsid w:val="00E8582E"/>
    <w:rPr>
      <w:sz w:val="20"/>
      <w:szCs w:val="20"/>
    </w:rPr>
  </w:style>
  <w:style w:type="character" w:customStyle="1" w:styleId="TextonotapieCar">
    <w:name w:val="Texto nota pie Car"/>
    <w:basedOn w:val="Fuentedeprrafopredeter"/>
    <w:link w:val="Textonotapie"/>
    <w:uiPriority w:val="99"/>
    <w:semiHidden/>
    <w:rsid w:val="00E8582E"/>
    <w:rPr>
      <w:sz w:val="20"/>
      <w:szCs w:val="20"/>
    </w:rPr>
  </w:style>
  <w:style w:type="character" w:styleId="Refdenotaalpie">
    <w:name w:val="footnote reference"/>
    <w:basedOn w:val="Fuentedeprrafopredeter"/>
    <w:uiPriority w:val="99"/>
    <w:semiHidden/>
    <w:unhideWhenUsed/>
    <w:rsid w:val="00E8582E"/>
    <w:rPr>
      <w:vertAlign w:val="superscript"/>
    </w:rPr>
  </w:style>
  <w:style w:type="character" w:styleId="Hipervnculo">
    <w:name w:val="Hyperlink"/>
    <w:basedOn w:val="Fuentedeprrafopredeter"/>
    <w:uiPriority w:val="99"/>
    <w:unhideWhenUsed/>
    <w:rsid w:val="00551A8B"/>
    <w:rPr>
      <w:color w:val="0000FF" w:themeColor="hyperlink"/>
      <w:u w:val="single"/>
    </w:rPr>
  </w:style>
  <w:style w:type="character" w:styleId="Mencinsinresolver">
    <w:name w:val="Unresolved Mention"/>
    <w:basedOn w:val="Fuentedeprrafopredeter"/>
    <w:uiPriority w:val="99"/>
    <w:semiHidden/>
    <w:unhideWhenUsed/>
    <w:rsid w:val="00551A8B"/>
    <w:rPr>
      <w:color w:val="605E5C"/>
      <w:shd w:val="clear" w:color="auto" w:fill="E1DFDD"/>
    </w:rPr>
  </w:style>
  <w:style w:type="paragraph" w:styleId="Encabezado">
    <w:name w:val="header"/>
    <w:basedOn w:val="Normal"/>
    <w:link w:val="EncabezadoCar"/>
    <w:uiPriority w:val="99"/>
    <w:unhideWhenUsed/>
    <w:rsid w:val="00D562B2"/>
    <w:pPr>
      <w:tabs>
        <w:tab w:val="center" w:pos="4252"/>
        <w:tab w:val="right" w:pos="8504"/>
      </w:tabs>
    </w:pPr>
  </w:style>
  <w:style w:type="character" w:customStyle="1" w:styleId="EncabezadoCar">
    <w:name w:val="Encabezado Car"/>
    <w:basedOn w:val="Fuentedeprrafopredeter"/>
    <w:link w:val="Encabezado"/>
    <w:uiPriority w:val="99"/>
    <w:rsid w:val="00D562B2"/>
  </w:style>
  <w:style w:type="paragraph" w:styleId="Piedepgina">
    <w:name w:val="footer"/>
    <w:basedOn w:val="Normal"/>
    <w:link w:val="PiedepginaCar"/>
    <w:uiPriority w:val="99"/>
    <w:unhideWhenUsed/>
    <w:rsid w:val="00D562B2"/>
    <w:pPr>
      <w:tabs>
        <w:tab w:val="center" w:pos="4252"/>
        <w:tab w:val="right" w:pos="8504"/>
      </w:tabs>
    </w:pPr>
  </w:style>
  <w:style w:type="character" w:customStyle="1" w:styleId="PiedepginaCar">
    <w:name w:val="Pie de página Car"/>
    <w:basedOn w:val="Fuentedeprrafopredeter"/>
    <w:link w:val="Piedepgina"/>
    <w:uiPriority w:val="99"/>
    <w:rsid w:val="00D56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saludporcolombia.unbosque.edu.co/documentos/trabajodegrado-especializacioonseguridadsocial.pdf" TargetMode="External"/><Relationship Id="rId18" Type="http://schemas.openxmlformats.org/officeDocument/2006/relationships/hyperlink" Target="https://www.hklaw.com/-/media/files/insights/publications/2022/08/pl1182022c-reforma-tributaria.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erencie.com/aportes-a-seguridad-social-cuando-se-devenga-menos-de-un-salario-minimo.html" TargetMode="External"/><Relationship Id="rId7" Type="http://schemas.openxmlformats.org/officeDocument/2006/relationships/endnotes" Target="endnotes.xml"/><Relationship Id="rId12" Type="http://schemas.openxmlformats.org/officeDocument/2006/relationships/hyperlink" Target="https://www.arus.com.co/blog/afiliacion-ilegal-a-seguridad-social" TargetMode="External"/><Relationship Id="rId17" Type="http://schemas.openxmlformats.org/officeDocument/2006/relationships/hyperlink" Target="https://www.icef.com.co/component/k2/item/6060-mintrabajo-alerta-por-fraude-en-afiliacion-a-seguridad-social" TargetMode="External"/><Relationship Id="rId25" Type="http://schemas.openxmlformats.org/officeDocument/2006/relationships/hyperlink" Target="https://www.eltiempo.com/salud/cuidado-asi-puede-evitar-ser-victima-de-un-fraude-en-su-afiliacion-en-salud-81507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sr.com.co/portal/novedades/el-fraude-de-la-seguridad-social-para-independientes-a-precio-de-huevo" TargetMode="External"/><Relationship Id="rId20" Type="http://schemas.openxmlformats.org/officeDocument/2006/relationships/hyperlink" Target="https://www.gerencie.com/contratista-independiente.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journal/5602/560259695004/html/" TargetMode="External"/><Relationship Id="rId24" Type="http://schemas.openxmlformats.org/officeDocument/2006/relationships/hyperlink" Target="https://repository.unilibre.edu.co/bitstream/handle/10901/23830/TRABAJO_FINAL.docx.pdf?sequence=1&amp;isAllowed=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fobae.com/america/colombia/2022/02/23/asi-estan-estafando-a-los-colombianos-con-la-afiliaciones-baratas-a-la-seguridad-social/" TargetMode="External"/><Relationship Id="rId23" Type="http://schemas.openxmlformats.org/officeDocument/2006/relationships/hyperlink" Target="https://www.gerencie.com/ingreso-base-de-cotizacion-a-salud-en-salarios-inferiores-al-minimo.html" TargetMode="External"/><Relationship Id="rId28" Type="http://schemas.openxmlformats.org/officeDocument/2006/relationships/footer" Target="footer1.xml"/><Relationship Id="rId10" Type="http://schemas.openxmlformats.org/officeDocument/2006/relationships/hyperlink" Target="https://www.ambitojuridico.com/noticias/laboral/laboral-y-seguridad-social/empleador-debe-informar-la-fiscalia-el-presunto-fraude" TargetMode="External"/><Relationship Id="rId19" Type="http://schemas.openxmlformats.org/officeDocument/2006/relationships/hyperlink" Target="https://saludporcolombia.unbosque.edu.co/documentos/trabajodegrado-especializacioonseguridadsocial.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ecretariasenado.gov.co/senado/basedoc/ley_0005_1992_pr007.html" TargetMode="External"/><Relationship Id="rId14" Type="http://schemas.openxmlformats.org/officeDocument/2006/relationships/hyperlink" Target="https://www.semana.com/nacion/articulo/esta-seguro-cientos-de-colombianos-caen-en-las-redes-de-estafadores-al-pagar-sus-aportes-a-seguridad-social/202125/" TargetMode="External"/><Relationship Id="rId22" Type="http://schemas.openxmlformats.org/officeDocument/2006/relationships/hyperlink" Target="https://www.gerencie.com/aportes-a-seguridad-social-en-los-trabajadores-que-trabajan-por-dias.htm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9C47E-5115-BD49-9B9F-535502A7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3297</Words>
  <Characters>18135</Characters>
  <Application>Microsoft Office Word</Application>
  <DocSecurity>0</DocSecurity>
  <Lines>151</Lines>
  <Paragraphs>42</Paragraphs>
  <ScaleCrop>false</ScaleCrop>
  <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dc:creator>
  <cp:lastModifiedBy>Bibi</cp:lastModifiedBy>
  <cp:revision>2</cp:revision>
  <dcterms:created xsi:type="dcterms:W3CDTF">2024-02-28T21:26:00Z</dcterms:created>
  <dcterms:modified xsi:type="dcterms:W3CDTF">2024-02-28T21:26:00Z</dcterms:modified>
</cp:coreProperties>
</file>