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F97" w:rsidRDefault="00521F97" w:rsidP="00D96D5B">
      <w:pPr>
        <w:spacing w:after="0"/>
        <w:jc w:val="both"/>
        <w:rPr>
          <w:rFonts w:ascii="Arial" w:hAnsi="Arial" w:cs="Arial"/>
          <w:sz w:val="24"/>
        </w:rPr>
      </w:pPr>
      <w:bookmarkStart w:id="0" w:name="_GoBack"/>
      <w:bookmarkEnd w:id="0"/>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DA7F47" w:rsidRPr="008120A5" w:rsidRDefault="00FD597B" w:rsidP="00DA7F47">
      <w:pPr>
        <w:spacing w:before="100" w:beforeAutospacing="1" w:after="100" w:afterAutospacing="1" w:line="240" w:lineRule="auto"/>
        <w:jc w:val="center"/>
        <w:rPr>
          <w:rFonts w:ascii="Times New Roman" w:eastAsia="Times New Roman" w:hAnsi="Times New Roman" w:cs="Times New Roman"/>
          <w:sz w:val="28"/>
          <w:szCs w:val="28"/>
          <w:lang w:eastAsia="es-CO"/>
        </w:rPr>
      </w:pPr>
      <w:r>
        <w:rPr>
          <w:rFonts w:ascii="Times New Roman" w:eastAsia="Times New Roman" w:hAnsi="Times New Roman" w:cs="Times New Roman"/>
          <w:b/>
          <w:bCs/>
          <w:sz w:val="28"/>
          <w:szCs w:val="28"/>
          <w:lang w:eastAsia="es-CO"/>
        </w:rPr>
        <w:t xml:space="preserve">PROYECTO DE LEY 018 </w:t>
      </w:r>
      <w:r w:rsidR="00DA7F47">
        <w:rPr>
          <w:rFonts w:ascii="Times New Roman" w:eastAsia="Times New Roman" w:hAnsi="Times New Roman" w:cs="Times New Roman"/>
          <w:b/>
          <w:bCs/>
          <w:sz w:val="28"/>
          <w:szCs w:val="28"/>
          <w:lang w:eastAsia="es-CO"/>
        </w:rPr>
        <w:t>DE 2017</w:t>
      </w:r>
      <w:r>
        <w:rPr>
          <w:rFonts w:ascii="Times New Roman" w:eastAsia="Times New Roman" w:hAnsi="Times New Roman" w:cs="Times New Roman"/>
          <w:b/>
          <w:bCs/>
          <w:sz w:val="28"/>
          <w:szCs w:val="28"/>
          <w:lang w:eastAsia="es-CO"/>
        </w:rPr>
        <w:t xml:space="preserve"> CAMARA</w:t>
      </w:r>
      <w:r w:rsidR="00DA7F47" w:rsidRPr="008120A5">
        <w:rPr>
          <w:rFonts w:ascii="Times New Roman" w:eastAsia="Times New Roman" w:hAnsi="Times New Roman" w:cs="Times New Roman"/>
          <w:b/>
          <w:bCs/>
          <w:sz w:val="28"/>
          <w:szCs w:val="28"/>
          <w:lang w:eastAsia="es-CO"/>
        </w:rPr>
        <w:t>.</w:t>
      </w:r>
    </w:p>
    <w:p w:rsidR="00DA7F47" w:rsidRPr="008120A5" w:rsidRDefault="00DA7F47" w:rsidP="00DA7F47">
      <w:pPr>
        <w:spacing w:after="0" w:line="240" w:lineRule="auto"/>
        <w:jc w:val="center"/>
        <w:rPr>
          <w:rFonts w:ascii="Times New Roman" w:eastAsia="Times New Roman" w:hAnsi="Times New Roman" w:cs="Times New Roman"/>
          <w:sz w:val="28"/>
          <w:szCs w:val="28"/>
          <w:lang w:eastAsia="es-CO"/>
        </w:rPr>
      </w:pPr>
      <w:r w:rsidRPr="008120A5">
        <w:rPr>
          <w:rFonts w:ascii="Times New Roman" w:eastAsia="Times New Roman" w:hAnsi="Times New Roman" w:cs="Times New Roman"/>
          <w:sz w:val="28"/>
          <w:szCs w:val="28"/>
          <w:lang w:eastAsia="es-CO"/>
        </w:rPr>
        <w:t>Por el cual se reforma el artículo 11 y se adiciona el artículo 11A al Decreto Ley 1793 de 2000</w:t>
      </w:r>
    </w:p>
    <w:p w:rsidR="00DA7F47" w:rsidRPr="008120A5" w:rsidRDefault="00DA7F47" w:rsidP="00DA7F47">
      <w:pPr>
        <w:spacing w:after="0" w:line="240" w:lineRule="auto"/>
        <w:jc w:val="center"/>
        <w:rPr>
          <w:rFonts w:ascii="Times New Roman" w:eastAsia="Times New Roman" w:hAnsi="Times New Roman" w:cs="Times New Roman"/>
          <w:sz w:val="28"/>
          <w:szCs w:val="28"/>
          <w:lang w:eastAsia="es-CO"/>
        </w:rPr>
      </w:pPr>
    </w:p>
    <w:p w:rsidR="00DA7F47" w:rsidRPr="008120A5" w:rsidRDefault="00DA7F47" w:rsidP="00DA7F47">
      <w:pPr>
        <w:spacing w:before="28" w:after="28" w:line="288" w:lineRule="atLeast"/>
        <w:jc w:val="center"/>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El Congreso de la República</w:t>
      </w:r>
    </w:p>
    <w:p w:rsidR="00DA7F47" w:rsidRPr="008120A5" w:rsidRDefault="00DA7F47" w:rsidP="00DA7F47">
      <w:pPr>
        <w:spacing w:before="28" w:after="28" w:line="288" w:lineRule="atLeast"/>
        <w:jc w:val="center"/>
        <w:textAlignment w:val="center"/>
        <w:rPr>
          <w:rFonts w:ascii="Times New Roman" w:eastAsia="Times New Roman" w:hAnsi="Times New Roman" w:cs="Times New Roman"/>
          <w:sz w:val="28"/>
          <w:szCs w:val="28"/>
          <w:lang w:eastAsia="es-CO"/>
        </w:rPr>
      </w:pPr>
    </w:p>
    <w:p w:rsidR="00DA7F47" w:rsidRPr="008120A5" w:rsidRDefault="00DA7F47" w:rsidP="00DA7F47">
      <w:pPr>
        <w:spacing w:before="28" w:after="28" w:line="288" w:lineRule="atLeast"/>
        <w:jc w:val="center"/>
        <w:textAlignment w:val="center"/>
        <w:rPr>
          <w:rFonts w:ascii="Times New Roman" w:eastAsia="Times New Roman" w:hAnsi="Times New Roman" w:cs="Times New Roman"/>
          <w:b/>
          <w:sz w:val="28"/>
          <w:szCs w:val="28"/>
          <w:lang w:val="es-ES_tradnl" w:eastAsia="es-CO"/>
        </w:rPr>
      </w:pPr>
      <w:r w:rsidRPr="008120A5">
        <w:rPr>
          <w:rFonts w:ascii="Times New Roman" w:eastAsia="Times New Roman" w:hAnsi="Times New Roman" w:cs="Times New Roman"/>
          <w:b/>
          <w:sz w:val="28"/>
          <w:szCs w:val="28"/>
          <w:lang w:val="es-ES_tradnl" w:eastAsia="es-CO"/>
        </w:rPr>
        <w:t>DECRETA:</w:t>
      </w:r>
    </w:p>
    <w:p w:rsidR="00DA7F47" w:rsidRPr="008120A5" w:rsidRDefault="00DA7F47" w:rsidP="00DA7F47">
      <w:pPr>
        <w:spacing w:before="28" w:after="28" w:line="288" w:lineRule="atLeast"/>
        <w:jc w:val="center"/>
        <w:textAlignment w:val="center"/>
        <w:rPr>
          <w:rFonts w:ascii="Times New Roman" w:eastAsia="Times New Roman" w:hAnsi="Times New Roman" w:cs="Times New Roman"/>
          <w:sz w:val="28"/>
          <w:szCs w:val="28"/>
          <w:lang w:eastAsia="es-CO"/>
        </w:rPr>
      </w:pPr>
    </w:p>
    <w:p w:rsidR="00DA7F47" w:rsidRPr="008120A5" w:rsidRDefault="00DA7F47" w:rsidP="00DA7F47">
      <w:pPr>
        <w:spacing w:before="28" w:after="28" w:line="288" w:lineRule="atLeast"/>
        <w:ind w:firstLine="283"/>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Artículo 1º. El artículo 11 del Decreto Ley 1793 de 2000 quedará así:</w:t>
      </w:r>
    </w:p>
    <w:p w:rsidR="00DA7F47" w:rsidRPr="008120A5" w:rsidRDefault="00DA7F47" w:rsidP="00DA7F47">
      <w:pPr>
        <w:spacing w:before="28" w:after="28" w:line="288" w:lineRule="atLeast"/>
        <w:ind w:firstLine="283"/>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88" w:lineRule="atLeast"/>
        <w:jc w:val="both"/>
        <w:textAlignment w:val="center"/>
        <w:rPr>
          <w:rFonts w:ascii="Times New Roman" w:eastAsia="Times New Roman" w:hAnsi="Times New Roman" w:cs="Times New Roman"/>
          <w:sz w:val="28"/>
          <w:szCs w:val="28"/>
          <w:lang w:eastAsia="es-CO"/>
        </w:rPr>
      </w:pPr>
      <w:r w:rsidRPr="008120A5">
        <w:rPr>
          <w:rFonts w:ascii="Times New Roman" w:eastAsia="Times New Roman" w:hAnsi="Times New Roman" w:cs="Times New Roman"/>
          <w:b/>
          <w:i/>
          <w:sz w:val="28"/>
          <w:szCs w:val="28"/>
          <w:lang w:val="es-ES_tradnl" w:eastAsia="es-CO"/>
        </w:rPr>
        <w:t xml:space="preserve">Artículo 11. Suspensión por detención preventiva. </w:t>
      </w:r>
      <w:r w:rsidRPr="008120A5">
        <w:rPr>
          <w:rFonts w:ascii="Times New Roman" w:eastAsia="Times New Roman" w:hAnsi="Times New Roman" w:cs="Times New Roman"/>
          <w:i/>
          <w:sz w:val="28"/>
          <w:szCs w:val="28"/>
          <w:lang w:val="es-ES_tradnl" w:eastAsia="es-CO"/>
        </w:rPr>
        <w:t>Cuando por mandato autoridad competente, penal o disciplinaria, según el caso, se disponga la suspensión de funciones de un Soldado Profesional o Infante de Marina Profesional, ésta se cumplirá mediante resolución</w:t>
      </w:r>
      <w:r>
        <w:rPr>
          <w:rFonts w:ascii="Times New Roman" w:eastAsia="Times New Roman" w:hAnsi="Times New Roman" w:cs="Times New Roman"/>
          <w:i/>
          <w:sz w:val="28"/>
          <w:szCs w:val="28"/>
          <w:lang w:val="es-ES_tradnl" w:eastAsia="es-CO"/>
        </w:rPr>
        <w:t xml:space="preserve"> expedida por</w:t>
      </w:r>
      <w:r w:rsidRPr="008120A5">
        <w:rPr>
          <w:rFonts w:ascii="Times New Roman" w:eastAsia="Times New Roman" w:hAnsi="Times New Roman" w:cs="Times New Roman"/>
          <w:i/>
          <w:sz w:val="28"/>
          <w:szCs w:val="28"/>
          <w:lang w:val="es-ES_tradnl" w:eastAsia="es-CO"/>
        </w:rPr>
        <w:t xml:space="preserve"> el Comandante de la respectiva Fuerza.</w:t>
      </w:r>
    </w:p>
    <w:p w:rsidR="00DA7F47" w:rsidRPr="008120A5" w:rsidRDefault="00DA7F47" w:rsidP="00DA7F47">
      <w:pPr>
        <w:spacing w:before="28" w:after="28" w:line="288" w:lineRule="atLeast"/>
        <w:jc w:val="both"/>
        <w:textAlignment w:val="center"/>
        <w:rPr>
          <w:rFonts w:ascii="Times New Roman" w:eastAsia="Times New Roman" w:hAnsi="Times New Roman" w:cs="Times New Roman"/>
          <w:b/>
          <w:i/>
          <w:sz w:val="28"/>
          <w:szCs w:val="28"/>
          <w:lang w:val="es-ES_tradnl" w:eastAsia="es-CO"/>
        </w:rPr>
      </w:pP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b/>
          <w:i/>
          <w:sz w:val="28"/>
          <w:szCs w:val="28"/>
          <w:lang w:val="es-ES_tradnl" w:eastAsia="es-CO"/>
        </w:rPr>
        <w:t xml:space="preserve">Parágrafo 1º. </w:t>
      </w:r>
      <w:r w:rsidRPr="008120A5">
        <w:rPr>
          <w:rFonts w:ascii="Times New Roman" w:eastAsia="Times New Roman" w:hAnsi="Times New Roman" w:cs="Times New Roman"/>
          <w:i/>
          <w:sz w:val="28"/>
          <w:szCs w:val="28"/>
          <w:lang w:val="es-ES_tradnl" w:eastAsia="es-CO"/>
        </w:rPr>
        <w:t xml:space="preserve">Durante el tiempo de la suspensión el Soldado Profesional o Infante de Marina Profesional percibirá las primas, subsidios y el </w:t>
      </w:r>
      <w:r>
        <w:rPr>
          <w:rFonts w:ascii="Times New Roman" w:eastAsia="Times New Roman" w:hAnsi="Times New Roman" w:cs="Times New Roman"/>
          <w:i/>
          <w:sz w:val="28"/>
          <w:szCs w:val="28"/>
          <w:lang w:val="es-ES_tradnl" w:eastAsia="es-CO"/>
        </w:rPr>
        <w:t>cincuenta por ciento (5</w:t>
      </w:r>
      <w:r w:rsidRPr="008120A5">
        <w:rPr>
          <w:rFonts w:ascii="Times New Roman" w:eastAsia="Times New Roman" w:hAnsi="Times New Roman" w:cs="Times New Roman"/>
          <w:i/>
          <w:sz w:val="28"/>
          <w:szCs w:val="28"/>
          <w:lang w:val="es-ES_tradnl" w:eastAsia="es-CO"/>
        </w:rPr>
        <w:t>0%) del salario básico. Si fuere absuelto o favorecido con preclusión de la investigación, cesación de procedimiento</w:t>
      </w:r>
      <w:r>
        <w:rPr>
          <w:rFonts w:ascii="Times New Roman" w:eastAsia="Times New Roman" w:hAnsi="Times New Roman" w:cs="Times New Roman"/>
          <w:i/>
          <w:sz w:val="28"/>
          <w:szCs w:val="28"/>
          <w:lang w:val="es-ES_tradnl" w:eastAsia="es-CO"/>
        </w:rPr>
        <w:t>, o excluido de la responsabilidad disciplinaria</w:t>
      </w:r>
      <w:r w:rsidRPr="008120A5">
        <w:rPr>
          <w:rFonts w:ascii="Times New Roman" w:eastAsia="Times New Roman" w:hAnsi="Times New Roman" w:cs="Times New Roman"/>
          <w:i/>
          <w:sz w:val="28"/>
          <w:szCs w:val="28"/>
          <w:lang w:val="es-ES_tradnl" w:eastAsia="es-CO"/>
        </w:rPr>
        <w:t>, deberá reintegrársele el porcentaje del salario básico retenido.</w:t>
      </w: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b/>
          <w:i/>
          <w:sz w:val="28"/>
          <w:szCs w:val="28"/>
          <w:lang w:val="es-ES_tradnl" w:eastAsia="es-CO"/>
        </w:rPr>
        <w:t xml:space="preserve">Parágrafo 2º. </w:t>
      </w:r>
      <w:r w:rsidRPr="008120A5">
        <w:rPr>
          <w:rFonts w:ascii="Times New Roman" w:eastAsia="Times New Roman" w:hAnsi="Times New Roman" w:cs="Times New Roman"/>
          <w:i/>
          <w:sz w:val="28"/>
          <w:szCs w:val="28"/>
          <w:lang w:val="es-ES_tradnl" w:eastAsia="es-CO"/>
        </w:rPr>
        <w:t xml:space="preserve">Cuando la sentencia o fallo definitivo fuere condenatorio o sancionatorio, las sumas retenidas en desarrollo de lo dispuesto en el presente artículo pasarán a formar parte de los recursos propios de la Caja de Retiro de las Fuerzas Militares. </w:t>
      </w: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b/>
          <w:i/>
          <w:sz w:val="28"/>
          <w:szCs w:val="28"/>
          <w:lang w:val="es-ES_tradnl" w:eastAsia="es-CO"/>
        </w:rPr>
        <w:t xml:space="preserve">Parágrafo 3º. </w:t>
      </w:r>
      <w:r w:rsidRPr="008120A5">
        <w:rPr>
          <w:rFonts w:ascii="Times New Roman" w:eastAsia="Times New Roman" w:hAnsi="Times New Roman" w:cs="Times New Roman"/>
          <w:i/>
          <w:sz w:val="28"/>
          <w:szCs w:val="28"/>
          <w:lang w:val="es-ES_tradnl" w:eastAsia="es-CO"/>
        </w:rPr>
        <w:t xml:space="preserve">Cuando el tiempo de la suspensión sea superior al de la condena impuesta por la autoridad competente, se reintegrará el excedente de los salarios retenidos. </w:t>
      </w:r>
    </w:p>
    <w:p w:rsidR="00DA7F47"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p>
    <w:p w:rsidR="00DA7F47"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b/>
          <w:i/>
          <w:sz w:val="28"/>
          <w:szCs w:val="28"/>
          <w:lang w:val="es-ES_tradnl" w:eastAsia="es-CO"/>
        </w:rPr>
        <w:t xml:space="preserve">Parágrafo 4º. </w:t>
      </w:r>
      <w:r>
        <w:rPr>
          <w:rFonts w:ascii="Times New Roman" w:eastAsia="Times New Roman" w:hAnsi="Times New Roman" w:cs="Times New Roman"/>
          <w:i/>
          <w:sz w:val="28"/>
          <w:szCs w:val="28"/>
          <w:lang w:val="es-ES_tradnl" w:eastAsia="es-CO"/>
        </w:rPr>
        <w:t>Cuando se conceda</w:t>
      </w:r>
      <w:r w:rsidRPr="008120A5">
        <w:rPr>
          <w:rFonts w:ascii="Times New Roman" w:eastAsia="Times New Roman" w:hAnsi="Times New Roman" w:cs="Times New Roman"/>
          <w:i/>
          <w:sz w:val="28"/>
          <w:szCs w:val="28"/>
          <w:lang w:val="es-ES_tradnl" w:eastAsia="es-CO"/>
        </w:rPr>
        <w:t xml:space="preserve"> el derecho de libertad provisional o condena de ejecución condicional no procederá la suspensión de funciones.</w:t>
      </w:r>
    </w:p>
    <w:p w:rsidR="00DA7F47" w:rsidRPr="008120A5"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88" w:lineRule="atLeast"/>
        <w:ind w:firstLine="283"/>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Artículo 2º. Adiciónese el artículo 11A al Decreto Ley 1793 de 2000, el cual quedará así:</w:t>
      </w:r>
    </w:p>
    <w:p w:rsidR="00DA7F47" w:rsidRPr="008120A5" w:rsidRDefault="00DA7F47" w:rsidP="00DA7F47">
      <w:pPr>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b/>
          <w:i/>
          <w:sz w:val="28"/>
          <w:szCs w:val="28"/>
          <w:lang w:val="es-ES_tradnl" w:eastAsia="es-CO"/>
        </w:rPr>
        <w:t xml:space="preserve">Artículo 11A. Levantamiento de la suspensión. </w:t>
      </w:r>
      <w:r w:rsidRPr="008120A5">
        <w:rPr>
          <w:rFonts w:ascii="Times New Roman" w:eastAsia="Times New Roman" w:hAnsi="Times New Roman" w:cs="Times New Roman"/>
          <w:i/>
          <w:sz w:val="28"/>
          <w:szCs w:val="28"/>
          <w:lang w:val="es-ES_tradnl" w:eastAsia="es-CO"/>
        </w:rPr>
        <w:t xml:space="preserve">El levantamiento de la suspensión en funciones del Soldado Profesional o Infante de Marina Profesional, procederá cuando así lo disponga en el curso de la investigación respectiva la autoridad que la había ordenado, cuando hubiere sentencia o fallo absolutorio, se hubiesen vencido los términos de la suspensión provisional sin que haya recibido comunicación de su prórroga, preclusión o archivo de la investigación penal o disciplinaria, cesación de procedimiento o revocatoria de la medida de aseguramiento.  El levantamiento de esta medida se dará por comunicación de autoridad competente, </w:t>
      </w:r>
      <w:r>
        <w:rPr>
          <w:rFonts w:ascii="Times New Roman" w:eastAsia="Times New Roman" w:hAnsi="Times New Roman" w:cs="Times New Roman"/>
          <w:i/>
          <w:sz w:val="28"/>
          <w:szCs w:val="28"/>
          <w:lang w:val="es-ES_tradnl" w:eastAsia="es-CO"/>
        </w:rPr>
        <w:t xml:space="preserve">a </w:t>
      </w:r>
      <w:r w:rsidRPr="008120A5">
        <w:rPr>
          <w:rFonts w:ascii="Times New Roman" w:eastAsia="Times New Roman" w:hAnsi="Times New Roman" w:cs="Times New Roman"/>
          <w:i/>
          <w:sz w:val="28"/>
          <w:szCs w:val="28"/>
          <w:lang w:val="es-ES_tradnl" w:eastAsia="es-CO"/>
        </w:rPr>
        <w:t xml:space="preserve">solicitud de parte o de oficio, según sea el caso. </w:t>
      </w: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A partir de la fecha de levantamiento de la suspensión, el Soldado o infante de Marina Profesional, devengarán la totalidad del salario mensual devengado.</w:t>
      </w:r>
    </w:p>
    <w:p w:rsidR="00DA7F47" w:rsidRPr="008120A5" w:rsidRDefault="00DA7F47" w:rsidP="00DA7F47">
      <w:pPr>
        <w:spacing w:before="28" w:after="28" w:line="288" w:lineRule="atLeast"/>
        <w:jc w:val="both"/>
        <w:textAlignment w:val="center"/>
        <w:rPr>
          <w:rFonts w:ascii="Times New Roman" w:eastAsia="Times New Roman" w:hAnsi="Times New Roman" w:cs="Times New Roman"/>
          <w:i/>
          <w:sz w:val="28"/>
          <w:szCs w:val="28"/>
          <w:lang w:val="es-ES_tradnl" w:eastAsia="es-CO"/>
        </w:rPr>
      </w:pPr>
    </w:p>
    <w:p w:rsidR="00DA7F47" w:rsidRPr="008120A5" w:rsidRDefault="00DA7F47" w:rsidP="00DA7F47">
      <w:pPr>
        <w:spacing w:before="28" w:after="28" w:line="288" w:lineRule="atLeast"/>
        <w:ind w:firstLine="283"/>
        <w:jc w:val="both"/>
        <w:textAlignment w:val="center"/>
        <w:rPr>
          <w:rFonts w:ascii="Times New Roman" w:eastAsia="Times New Roman" w:hAnsi="Times New Roman" w:cs="Times New Roman"/>
          <w:sz w:val="28"/>
          <w:szCs w:val="28"/>
          <w:lang w:eastAsia="es-CO"/>
        </w:rPr>
      </w:pPr>
      <w:r w:rsidRPr="008120A5">
        <w:rPr>
          <w:rFonts w:ascii="Times New Roman" w:eastAsia="Times New Roman" w:hAnsi="Times New Roman" w:cs="Times New Roman"/>
          <w:sz w:val="28"/>
          <w:szCs w:val="28"/>
          <w:lang w:val="es-ES_tradnl" w:eastAsia="es-CO"/>
        </w:rPr>
        <w:t>Artículo 3º. La presente Ley rige a partir de la fecha de su publicación y deroga las disposiciones que le sean contrarias.</w:t>
      </w:r>
    </w:p>
    <w:p w:rsidR="00DA7F47" w:rsidRPr="008120A5" w:rsidRDefault="00DA7F47" w:rsidP="00DA7F47">
      <w:pPr>
        <w:spacing w:before="28" w:after="28" w:line="288" w:lineRule="atLeast"/>
        <w:textAlignment w:val="center"/>
        <w:rPr>
          <w:rFonts w:ascii="Times New Roman" w:eastAsia="Times New Roman" w:hAnsi="Times New Roman" w:cs="Times New Roman"/>
          <w:sz w:val="28"/>
          <w:szCs w:val="28"/>
          <w:lang w:eastAsia="es-CO"/>
        </w:rPr>
      </w:pPr>
      <w:r w:rsidRPr="008120A5">
        <w:rPr>
          <w:rFonts w:ascii="Times New Roman" w:eastAsia="Times New Roman" w:hAnsi="Times New Roman" w:cs="Times New Roman"/>
          <w:sz w:val="28"/>
          <w:szCs w:val="28"/>
          <w:lang w:val="es-ES_tradnl" w:eastAsia="es-CO"/>
        </w:rPr>
        <w:t> </w:t>
      </w:r>
    </w:p>
    <w:p w:rsidR="00DA7F47" w:rsidRPr="008120A5"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De los Honorables Congresistas, </w:t>
      </w:r>
    </w:p>
    <w:p w:rsidR="00DA7F47" w:rsidRPr="008120A5"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88" w:lineRule="atLeast"/>
        <w:jc w:val="center"/>
        <w:textAlignment w:val="center"/>
        <w:rPr>
          <w:rFonts w:ascii="Times New Roman" w:eastAsia="Times New Roman" w:hAnsi="Times New Roman" w:cs="Times New Roman"/>
          <w:b/>
          <w:sz w:val="28"/>
          <w:szCs w:val="28"/>
          <w:lang w:val="es-ES_tradnl" w:eastAsia="es-CO"/>
        </w:rPr>
      </w:pPr>
      <w:r w:rsidRPr="008120A5">
        <w:rPr>
          <w:rFonts w:ascii="Times New Roman" w:eastAsia="Times New Roman" w:hAnsi="Times New Roman" w:cs="Times New Roman"/>
          <w:b/>
          <w:sz w:val="28"/>
          <w:szCs w:val="28"/>
          <w:lang w:val="es-ES_tradnl" w:eastAsia="es-CO"/>
        </w:rPr>
        <w:t>EXPOSICIÓN DE MOTIVOS</w:t>
      </w:r>
    </w:p>
    <w:p w:rsidR="00DA7F47" w:rsidRPr="008120A5" w:rsidRDefault="00DA7F47" w:rsidP="00DA7F47">
      <w:pPr>
        <w:spacing w:before="28" w:after="28" w:line="288" w:lineRule="atLeast"/>
        <w:textAlignment w:val="center"/>
        <w:rPr>
          <w:rFonts w:ascii="Times New Roman" w:eastAsia="Times New Roman" w:hAnsi="Times New Roman" w:cs="Times New Roman"/>
          <w:sz w:val="28"/>
          <w:szCs w:val="28"/>
          <w:lang w:val="es-ES_tradnl" w:eastAsia="es-CO"/>
        </w:rPr>
      </w:pPr>
    </w:p>
    <w:p w:rsidR="00DA7F47" w:rsidRDefault="00DA7F47" w:rsidP="00DA7F47">
      <w:pPr>
        <w:pStyle w:val="Prrafodelista"/>
        <w:numPr>
          <w:ilvl w:val="0"/>
          <w:numId w:val="14"/>
        </w:numPr>
        <w:spacing w:before="28" w:after="28" w:line="288" w:lineRule="atLeast"/>
        <w:textAlignment w:val="center"/>
        <w:rPr>
          <w:rFonts w:ascii="Times New Roman" w:eastAsia="Times New Roman" w:hAnsi="Times New Roman" w:cs="Times New Roman"/>
          <w:b/>
          <w:sz w:val="28"/>
          <w:szCs w:val="28"/>
          <w:lang w:val="es-ES_tradnl" w:eastAsia="es-CO"/>
        </w:rPr>
      </w:pPr>
      <w:r>
        <w:rPr>
          <w:rFonts w:ascii="Times New Roman" w:eastAsia="Times New Roman" w:hAnsi="Times New Roman" w:cs="Times New Roman"/>
          <w:b/>
          <w:sz w:val="28"/>
          <w:szCs w:val="28"/>
          <w:lang w:val="es-ES_tradnl" w:eastAsia="es-CO"/>
        </w:rPr>
        <w:t xml:space="preserve">TRÁMITE FALLIDO PARA LA APROBACIÓN. </w:t>
      </w:r>
    </w:p>
    <w:p w:rsidR="00DA7F47" w:rsidRDefault="00DA7F47" w:rsidP="00DA7F47">
      <w:pPr>
        <w:pStyle w:val="Prrafodelista"/>
        <w:spacing w:before="28" w:after="28" w:line="288" w:lineRule="atLeast"/>
        <w:ind w:left="360"/>
        <w:textAlignment w:val="center"/>
        <w:rPr>
          <w:rFonts w:ascii="Times New Roman" w:eastAsia="Times New Roman" w:hAnsi="Times New Roman" w:cs="Times New Roman"/>
          <w:b/>
          <w:sz w:val="28"/>
          <w:szCs w:val="28"/>
          <w:lang w:val="es-ES_tradnl" w:eastAsia="es-CO"/>
        </w:rPr>
      </w:pPr>
    </w:p>
    <w:p w:rsidR="00DA7F47" w:rsidRDefault="00DA7F47" w:rsidP="00DA7F47">
      <w:pPr>
        <w:pStyle w:val="Prrafodelista"/>
        <w:spacing w:before="28" w:after="28" w:line="288" w:lineRule="atLeast"/>
        <w:ind w:left="360"/>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Previo a exponer el alcance del presente proyecto, valga decir que el mismo fue aprobado en los cuatro debates requeridos para ser ley de la República (Rad. 003/15Senado- 280/16Cámara), pero no dio curso a la sanción presidencial correspondiente debido a que no fue oportunamente conciliado por mínimas modificaciones en los textos aprobados en una y otra Cámara antes del fenecimiento de la legislatura 2016-2017, como se pasa a detallarse: </w:t>
      </w:r>
    </w:p>
    <w:p w:rsidR="00DA7F47" w:rsidRDefault="00DA7F47" w:rsidP="00DA7F47">
      <w:pPr>
        <w:pStyle w:val="Prrafodelista"/>
        <w:spacing w:before="28" w:after="28" w:line="288" w:lineRule="atLeast"/>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pStyle w:val="Prrafodelista"/>
        <w:numPr>
          <w:ilvl w:val="0"/>
          <w:numId w:val="16"/>
        </w:numPr>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Radicación: 24 julio de 2015.</w:t>
      </w:r>
    </w:p>
    <w:p w:rsidR="00DA7F47" w:rsidRDefault="00DA7F47" w:rsidP="00DA7F47">
      <w:pPr>
        <w:pStyle w:val="Prrafodelista"/>
        <w:numPr>
          <w:ilvl w:val="0"/>
          <w:numId w:val="16"/>
        </w:numPr>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Primer debate en Senado: 05 de abril de 2016. Sin modificaciones al texto radicado, según Acta de Comisión #22.</w:t>
      </w:r>
    </w:p>
    <w:p w:rsidR="00DA7F47" w:rsidRDefault="00DA7F47" w:rsidP="00DA7F47">
      <w:pPr>
        <w:pStyle w:val="Prrafodelista"/>
        <w:numPr>
          <w:ilvl w:val="0"/>
          <w:numId w:val="16"/>
        </w:numPr>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Segundo debate en Senado: 16 de junio de 2016. Sin modificaciones al texto radicado y aprobado en primer debate. Texto definitivo publicado en gaceta 453/16.</w:t>
      </w:r>
    </w:p>
    <w:p w:rsidR="00DA7F47" w:rsidRDefault="00DA7F47" w:rsidP="00DA7F47">
      <w:pPr>
        <w:pStyle w:val="Prrafodelista"/>
        <w:numPr>
          <w:ilvl w:val="0"/>
          <w:numId w:val="16"/>
        </w:numPr>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Primer debate en Cámara: 04 de octubre de 2016. Se introdujeron dos cambios en el artículo 1º del proyecto, según Acta de Comisión #11.</w:t>
      </w: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tbl>
      <w:tblPr>
        <w:tblStyle w:val="Tablaconcuadrcula"/>
        <w:tblW w:w="0" w:type="auto"/>
        <w:tblInd w:w="720" w:type="dxa"/>
        <w:tblLook w:val="04A0" w:firstRow="1" w:lastRow="0" w:firstColumn="1" w:lastColumn="0" w:noHBand="0" w:noVBand="1"/>
      </w:tblPr>
      <w:tblGrid>
        <w:gridCol w:w="4028"/>
        <w:gridCol w:w="4080"/>
      </w:tblGrid>
      <w:tr w:rsidR="00DA7F47" w:rsidRPr="00062DB8" w:rsidTr="006056CA">
        <w:tc>
          <w:tcPr>
            <w:tcW w:w="4028" w:type="dxa"/>
          </w:tcPr>
          <w:p w:rsidR="00DA7F47" w:rsidRPr="00062DB8" w:rsidRDefault="00DA7F47" w:rsidP="006056CA">
            <w:pPr>
              <w:pStyle w:val="Prrafodelista"/>
              <w:ind w:left="0"/>
              <w:jc w:val="center"/>
              <w:textAlignment w:val="center"/>
              <w:rPr>
                <w:rFonts w:ascii="Times New Roman" w:eastAsia="Times New Roman" w:hAnsi="Times New Roman" w:cs="Times New Roman"/>
                <w:b/>
                <w:sz w:val="20"/>
                <w:szCs w:val="28"/>
                <w:lang w:val="es-ES_tradnl" w:eastAsia="es-CO"/>
              </w:rPr>
            </w:pPr>
            <w:r w:rsidRPr="00062DB8">
              <w:rPr>
                <w:rFonts w:ascii="Times New Roman" w:eastAsia="Times New Roman" w:hAnsi="Times New Roman" w:cs="Times New Roman"/>
                <w:b/>
                <w:sz w:val="20"/>
                <w:szCs w:val="28"/>
                <w:lang w:val="es-ES_tradnl" w:eastAsia="es-CO"/>
              </w:rPr>
              <w:t>Texto aprobado en Senado</w:t>
            </w:r>
          </w:p>
        </w:tc>
        <w:tc>
          <w:tcPr>
            <w:tcW w:w="4080" w:type="dxa"/>
          </w:tcPr>
          <w:p w:rsidR="00DA7F47" w:rsidRPr="00062DB8" w:rsidRDefault="00DA7F47" w:rsidP="006056CA">
            <w:pPr>
              <w:pStyle w:val="Prrafodelista"/>
              <w:ind w:left="0"/>
              <w:jc w:val="center"/>
              <w:textAlignment w:val="center"/>
              <w:rPr>
                <w:rFonts w:ascii="Times New Roman" w:eastAsia="Times New Roman" w:hAnsi="Times New Roman" w:cs="Times New Roman"/>
                <w:b/>
                <w:sz w:val="20"/>
                <w:szCs w:val="28"/>
                <w:lang w:val="es-ES_tradnl" w:eastAsia="es-CO"/>
              </w:rPr>
            </w:pPr>
            <w:r w:rsidRPr="00062DB8">
              <w:rPr>
                <w:rFonts w:ascii="Times New Roman" w:eastAsia="Times New Roman" w:hAnsi="Times New Roman" w:cs="Times New Roman"/>
                <w:b/>
                <w:sz w:val="20"/>
                <w:szCs w:val="28"/>
                <w:lang w:val="es-ES_tradnl" w:eastAsia="es-CO"/>
              </w:rPr>
              <w:t>Texto aprobado en primer debate Cámara de Representantes</w:t>
            </w:r>
          </w:p>
        </w:tc>
      </w:tr>
      <w:tr w:rsidR="00DA7F47" w:rsidRPr="00062DB8" w:rsidTr="006056CA">
        <w:tc>
          <w:tcPr>
            <w:tcW w:w="4028" w:type="dxa"/>
          </w:tcPr>
          <w:p w:rsidR="00DA7F47" w:rsidRPr="00062DB8" w:rsidRDefault="00DA7F47" w:rsidP="006056CA">
            <w:pPr>
              <w:jc w:val="both"/>
              <w:textAlignment w:val="center"/>
              <w:rPr>
                <w:rFonts w:ascii="Times New Roman" w:eastAsia="Times New Roman" w:hAnsi="Times New Roman" w:cs="Times New Roman"/>
                <w:sz w:val="20"/>
                <w:szCs w:val="28"/>
                <w:lang w:val="es-ES_tradnl" w:eastAsia="es-CO"/>
              </w:rPr>
            </w:pPr>
            <w:r w:rsidRPr="00062DB8">
              <w:rPr>
                <w:rFonts w:ascii="Times New Roman" w:eastAsia="Times New Roman" w:hAnsi="Times New Roman" w:cs="Times New Roman"/>
                <w:sz w:val="20"/>
                <w:szCs w:val="28"/>
                <w:lang w:val="es-ES_tradnl" w:eastAsia="es-CO"/>
              </w:rPr>
              <w:t>Artículo 1º. El artículo 11 del Decreto Ley 1793 de 2000 quedará así:</w:t>
            </w:r>
          </w:p>
          <w:p w:rsidR="00DA7F47" w:rsidRPr="00062DB8" w:rsidRDefault="00DA7F47" w:rsidP="006056CA">
            <w:pPr>
              <w:ind w:firstLine="283"/>
              <w:jc w:val="both"/>
              <w:textAlignment w:val="center"/>
              <w:rPr>
                <w:rFonts w:ascii="Times New Roman" w:eastAsia="Times New Roman" w:hAnsi="Times New Roman" w:cs="Times New Roman"/>
                <w:sz w:val="20"/>
                <w:szCs w:val="28"/>
                <w:lang w:val="es-ES_tradnl" w:eastAsia="es-CO"/>
              </w:rPr>
            </w:pPr>
          </w:p>
          <w:p w:rsidR="00DA7F47" w:rsidRPr="00062DB8" w:rsidRDefault="00DA7F47" w:rsidP="006056CA">
            <w:pPr>
              <w:jc w:val="both"/>
              <w:textAlignment w:val="center"/>
              <w:rPr>
                <w:rFonts w:ascii="Times New Roman" w:eastAsia="Times New Roman" w:hAnsi="Times New Roman" w:cs="Times New Roman"/>
                <w:sz w:val="20"/>
                <w:szCs w:val="28"/>
                <w:lang w:eastAsia="es-CO"/>
              </w:rPr>
            </w:pPr>
            <w:r w:rsidRPr="00062DB8">
              <w:rPr>
                <w:rFonts w:ascii="Times New Roman" w:eastAsia="Times New Roman" w:hAnsi="Times New Roman" w:cs="Times New Roman"/>
                <w:b/>
                <w:i/>
                <w:sz w:val="20"/>
                <w:szCs w:val="28"/>
                <w:lang w:val="es-ES_tradnl" w:eastAsia="es-CO"/>
              </w:rPr>
              <w:t xml:space="preserve">ARTÍCULO 11. SUSPENSIÓN POR DETENCIÓN PREVENTIVA. </w:t>
            </w:r>
            <w:r w:rsidRPr="00062DB8">
              <w:rPr>
                <w:rFonts w:ascii="Times New Roman" w:eastAsia="Times New Roman" w:hAnsi="Times New Roman" w:cs="Times New Roman"/>
                <w:i/>
                <w:sz w:val="20"/>
                <w:szCs w:val="28"/>
                <w:lang w:val="es-ES_tradnl" w:eastAsia="es-CO"/>
              </w:rPr>
              <w:t>Cuando por mandato autoridad competente, penal o disciplinaria, según el caso, se disponga la suspensión de funciones y atribuciones de un Soldado Profesional o Infante de Marina Profesional, ésta se cumplirá mediante resolución el Comandante de la respectiva Fuerza.</w:t>
            </w:r>
          </w:p>
          <w:p w:rsidR="00DA7F47" w:rsidRPr="00062DB8" w:rsidRDefault="00DA7F47" w:rsidP="006056CA">
            <w:pPr>
              <w:jc w:val="both"/>
              <w:textAlignment w:val="center"/>
              <w:rPr>
                <w:rFonts w:ascii="Times New Roman" w:eastAsia="Times New Roman" w:hAnsi="Times New Roman" w:cs="Times New Roman"/>
                <w:b/>
                <w:i/>
                <w:sz w:val="20"/>
                <w:szCs w:val="28"/>
                <w:lang w:val="es-ES_tradnl" w:eastAsia="es-CO"/>
              </w:rPr>
            </w:pPr>
          </w:p>
          <w:p w:rsidR="00DA7F47" w:rsidRPr="00062DB8" w:rsidRDefault="00DA7F47" w:rsidP="006056CA">
            <w:pPr>
              <w:jc w:val="both"/>
              <w:textAlignment w:val="center"/>
              <w:rPr>
                <w:rFonts w:ascii="Times New Roman" w:eastAsia="Times New Roman" w:hAnsi="Times New Roman" w:cs="Times New Roman"/>
                <w:i/>
                <w:sz w:val="20"/>
                <w:szCs w:val="28"/>
                <w:lang w:val="es-ES_tradnl" w:eastAsia="es-CO"/>
              </w:rPr>
            </w:pPr>
            <w:r w:rsidRPr="00062DB8">
              <w:rPr>
                <w:rFonts w:ascii="Times New Roman" w:eastAsia="Times New Roman" w:hAnsi="Times New Roman" w:cs="Times New Roman"/>
                <w:b/>
                <w:i/>
                <w:sz w:val="20"/>
                <w:szCs w:val="28"/>
                <w:lang w:val="es-ES_tradnl" w:eastAsia="es-CO"/>
              </w:rPr>
              <w:t xml:space="preserve">PARÁGRAFO 1º. </w:t>
            </w:r>
            <w:r w:rsidRPr="00062DB8">
              <w:rPr>
                <w:rFonts w:ascii="Times New Roman" w:eastAsia="Times New Roman" w:hAnsi="Times New Roman" w:cs="Times New Roman"/>
                <w:i/>
                <w:sz w:val="20"/>
                <w:szCs w:val="28"/>
                <w:lang w:val="es-ES_tradnl" w:eastAsia="es-CO"/>
              </w:rPr>
              <w:t>Durante el tiempo de la suspensión el Soldado Profesional o Infante de Marina Profesional percibirá las primas, subsidios y el cincuenta por ciento (50%) del salario básico. Si fuere absuelto o favorecido con preclusión de la investigación, cesación de procedimiento, deberá reintegrársele el porcentaje del salario básico retenido.</w:t>
            </w:r>
          </w:p>
          <w:p w:rsidR="00DA7F47" w:rsidRPr="00062DB8" w:rsidRDefault="00DA7F47" w:rsidP="006056CA">
            <w:pPr>
              <w:jc w:val="both"/>
              <w:textAlignment w:val="center"/>
              <w:rPr>
                <w:rFonts w:ascii="Times New Roman" w:eastAsia="Times New Roman" w:hAnsi="Times New Roman" w:cs="Times New Roman"/>
                <w:i/>
                <w:sz w:val="20"/>
                <w:szCs w:val="28"/>
                <w:lang w:val="es-ES_tradnl" w:eastAsia="es-CO"/>
              </w:rPr>
            </w:pPr>
          </w:p>
          <w:p w:rsidR="00DA7F47" w:rsidRPr="00062DB8" w:rsidRDefault="00DA7F47" w:rsidP="006056CA">
            <w:pPr>
              <w:jc w:val="both"/>
              <w:textAlignment w:val="center"/>
              <w:rPr>
                <w:rFonts w:ascii="Times New Roman" w:eastAsia="Times New Roman" w:hAnsi="Times New Roman" w:cs="Times New Roman"/>
                <w:i/>
                <w:sz w:val="20"/>
                <w:szCs w:val="28"/>
                <w:lang w:val="es-ES_tradnl" w:eastAsia="es-CO"/>
              </w:rPr>
            </w:pPr>
            <w:r w:rsidRPr="00062DB8">
              <w:rPr>
                <w:rFonts w:ascii="Times New Roman" w:eastAsia="Times New Roman" w:hAnsi="Times New Roman" w:cs="Times New Roman"/>
                <w:b/>
                <w:i/>
                <w:sz w:val="20"/>
                <w:szCs w:val="28"/>
                <w:lang w:val="es-ES_tradnl" w:eastAsia="es-CO"/>
              </w:rPr>
              <w:t xml:space="preserve">PARÁGRAFO 2º. </w:t>
            </w:r>
            <w:r w:rsidRPr="00062DB8">
              <w:rPr>
                <w:rFonts w:ascii="Times New Roman" w:eastAsia="Times New Roman" w:hAnsi="Times New Roman" w:cs="Times New Roman"/>
                <w:i/>
                <w:sz w:val="20"/>
                <w:szCs w:val="28"/>
                <w:lang w:val="es-ES_tradnl" w:eastAsia="es-CO"/>
              </w:rPr>
              <w:t xml:space="preserve">Cuando la sentencia o fallo definitivo fuere condenatorio o sancionatorio, las sumas retenidas en desarrollo de lo dispuesto en el presente artículo pasarán a formar parte de los recursos propios de la Caja de Retiro de las Fuerzas Militares. </w:t>
            </w:r>
          </w:p>
          <w:p w:rsidR="00DA7F47" w:rsidRPr="00062DB8" w:rsidRDefault="00DA7F47" w:rsidP="006056CA">
            <w:pPr>
              <w:jc w:val="both"/>
              <w:textAlignment w:val="center"/>
              <w:rPr>
                <w:rFonts w:ascii="Times New Roman" w:eastAsia="Times New Roman" w:hAnsi="Times New Roman" w:cs="Times New Roman"/>
                <w:i/>
                <w:sz w:val="20"/>
                <w:szCs w:val="28"/>
                <w:lang w:val="es-ES_tradnl" w:eastAsia="es-CO"/>
              </w:rPr>
            </w:pPr>
          </w:p>
          <w:p w:rsidR="00DA7F47" w:rsidRPr="00062DB8" w:rsidRDefault="00DA7F47" w:rsidP="006056CA">
            <w:pPr>
              <w:jc w:val="both"/>
              <w:textAlignment w:val="center"/>
              <w:rPr>
                <w:rFonts w:ascii="Times New Roman" w:eastAsia="Times New Roman" w:hAnsi="Times New Roman" w:cs="Times New Roman"/>
                <w:i/>
                <w:sz w:val="20"/>
                <w:szCs w:val="28"/>
                <w:lang w:val="es-ES_tradnl" w:eastAsia="es-CO"/>
              </w:rPr>
            </w:pPr>
            <w:r w:rsidRPr="00062DB8">
              <w:rPr>
                <w:rFonts w:ascii="Times New Roman" w:eastAsia="Times New Roman" w:hAnsi="Times New Roman" w:cs="Times New Roman"/>
                <w:b/>
                <w:i/>
                <w:sz w:val="20"/>
                <w:szCs w:val="28"/>
                <w:lang w:val="es-ES_tradnl" w:eastAsia="es-CO"/>
              </w:rPr>
              <w:t xml:space="preserve">PARÁGRAFO 3º. </w:t>
            </w:r>
            <w:r w:rsidRPr="00062DB8">
              <w:rPr>
                <w:rFonts w:ascii="Times New Roman" w:eastAsia="Times New Roman" w:hAnsi="Times New Roman" w:cs="Times New Roman"/>
                <w:i/>
                <w:sz w:val="20"/>
                <w:szCs w:val="28"/>
                <w:lang w:val="es-ES_tradnl" w:eastAsia="es-CO"/>
              </w:rPr>
              <w:t xml:space="preserve">Cuando el tiempo de la suspensión sea superior al de la condena impuesta por la autoridad competente, se reintegrará el excedente de los salarios retenidos. </w:t>
            </w:r>
          </w:p>
          <w:p w:rsidR="00DA7F47" w:rsidRPr="00062DB8" w:rsidRDefault="00DA7F47" w:rsidP="006056CA">
            <w:pPr>
              <w:jc w:val="both"/>
              <w:textAlignment w:val="center"/>
              <w:rPr>
                <w:rFonts w:ascii="Times New Roman" w:eastAsia="Times New Roman" w:hAnsi="Times New Roman" w:cs="Times New Roman"/>
                <w:i/>
                <w:sz w:val="20"/>
                <w:szCs w:val="28"/>
                <w:lang w:val="es-ES_tradnl" w:eastAsia="es-CO"/>
              </w:rPr>
            </w:pPr>
          </w:p>
          <w:p w:rsidR="00DA7F47" w:rsidRPr="00062DB8" w:rsidRDefault="00DA7F47" w:rsidP="006056CA">
            <w:pPr>
              <w:jc w:val="both"/>
              <w:textAlignment w:val="center"/>
              <w:rPr>
                <w:rFonts w:ascii="Times New Roman" w:eastAsia="Times New Roman" w:hAnsi="Times New Roman" w:cs="Times New Roman"/>
                <w:i/>
                <w:sz w:val="20"/>
                <w:szCs w:val="28"/>
                <w:lang w:val="es-ES_tradnl" w:eastAsia="es-CO"/>
              </w:rPr>
            </w:pPr>
            <w:r w:rsidRPr="00062DB8">
              <w:rPr>
                <w:rFonts w:ascii="Times New Roman" w:eastAsia="Times New Roman" w:hAnsi="Times New Roman" w:cs="Times New Roman"/>
                <w:b/>
                <w:i/>
                <w:sz w:val="20"/>
                <w:szCs w:val="28"/>
                <w:lang w:val="es-ES_tradnl" w:eastAsia="es-CO"/>
              </w:rPr>
              <w:t xml:space="preserve">PARÁGRAFO 4º. </w:t>
            </w:r>
            <w:r w:rsidRPr="00062DB8">
              <w:rPr>
                <w:rFonts w:ascii="Times New Roman" w:eastAsia="Times New Roman" w:hAnsi="Times New Roman" w:cs="Times New Roman"/>
                <w:i/>
                <w:sz w:val="20"/>
                <w:szCs w:val="28"/>
                <w:lang w:val="es-ES_tradnl" w:eastAsia="es-CO"/>
              </w:rPr>
              <w:t>Cuando se conceda el derecho de libertad provisional o condena de ejecución condicional no procederá la suspensión de funciones y atribuciones.</w:t>
            </w:r>
          </w:p>
          <w:p w:rsidR="00DA7F47" w:rsidRPr="00062DB8" w:rsidRDefault="00DA7F47" w:rsidP="006056CA">
            <w:pPr>
              <w:pStyle w:val="Prrafodelista"/>
              <w:ind w:left="0"/>
              <w:jc w:val="both"/>
              <w:textAlignment w:val="center"/>
              <w:rPr>
                <w:rFonts w:ascii="Times New Roman" w:eastAsia="Times New Roman" w:hAnsi="Times New Roman" w:cs="Times New Roman"/>
                <w:sz w:val="20"/>
                <w:szCs w:val="28"/>
                <w:lang w:val="es-ES_tradnl" w:eastAsia="es-CO"/>
              </w:rPr>
            </w:pPr>
          </w:p>
        </w:tc>
        <w:tc>
          <w:tcPr>
            <w:tcW w:w="4080" w:type="dxa"/>
          </w:tcPr>
          <w:p w:rsidR="00DA7F47" w:rsidRPr="000A4204" w:rsidRDefault="00DA7F47" w:rsidP="006056CA">
            <w:pPr>
              <w:jc w:val="both"/>
              <w:textAlignment w:val="center"/>
              <w:rPr>
                <w:rFonts w:ascii="Times New Roman" w:eastAsia="Times New Roman" w:hAnsi="Times New Roman" w:cs="Times New Roman"/>
                <w:color w:val="000000"/>
                <w:szCs w:val="24"/>
                <w:lang w:eastAsia="es-CO"/>
              </w:rPr>
            </w:pPr>
            <w:r w:rsidRPr="000A4204">
              <w:rPr>
                <w:rFonts w:ascii="Times New Roman" w:eastAsia="Times New Roman" w:hAnsi="Times New Roman" w:cs="Times New Roman"/>
                <w:bCs/>
                <w:color w:val="000000"/>
                <w:sz w:val="20"/>
                <w:lang w:val="es-ES_tradnl" w:eastAsia="es-CO"/>
              </w:rPr>
              <w:t>Artículo 1°. El artículo 11 del Decreto Ley 1793 de 2000 quedará así:</w:t>
            </w:r>
          </w:p>
          <w:p w:rsidR="00DA7F47" w:rsidRDefault="00DA7F47" w:rsidP="006056CA">
            <w:pPr>
              <w:jc w:val="both"/>
              <w:textAlignment w:val="center"/>
              <w:rPr>
                <w:rFonts w:ascii="Times New Roman" w:eastAsia="Times New Roman" w:hAnsi="Times New Roman" w:cs="Times New Roman"/>
                <w:b/>
                <w:bCs/>
                <w:i/>
                <w:iCs/>
                <w:color w:val="000000"/>
                <w:sz w:val="20"/>
                <w:lang w:val="es-ES_tradnl" w:eastAsia="es-CO"/>
              </w:rPr>
            </w:pPr>
          </w:p>
          <w:p w:rsidR="00DA7F47" w:rsidRDefault="00DA7F47" w:rsidP="006056CA">
            <w:pPr>
              <w:jc w:val="both"/>
              <w:textAlignment w:val="center"/>
              <w:rPr>
                <w:rFonts w:ascii="Times New Roman" w:eastAsia="Times New Roman" w:hAnsi="Times New Roman" w:cs="Times New Roman"/>
                <w:i/>
                <w:iCs/>
                <w:color w:val="000000"/>
                <w:sz w:val="20"/>
                <w:lang w:val="es-ES_tradnl" w:eastAsia="es-CO"/>
              </w:rPr>
            </w:pPr>
            <w:r w:rsidRPr="000A4204">
              <w:rPr>
                <w:rFonts w:ascii="Times New Roman" w:eastAsia="Times New Roman" w:hAnsi="Times New Roman" w:cs="Times New Roman"/>
                <w:b/>
                <w:bCs/>
                <w:i/>
                <w:iCs/>
                <w:color w:val="000000"/>
                <w:sz w:val="20"/>
                <w:lang w:val="es-ES_tradnl" w:eastAsia="es-CO"/>
              </w:rPr>
              <w:t>ARTÍCULO 11. SUSPENSIÓN POR DETENCIÓN PREVENTIVA.</w:t>
            </w:r>
            <w:r w:rsidRPr="000A4204">
              <w:rPr>
                <w:rFonts w:ascii="Times New Roman" w:eastAsia="Times New Roman" w:hAnsi="Times New Roman" w:cs="Times New Roman"/>
                <w:i/>
                <w:iCs/>
                <w:color w:val="000000"/>
                <w:sz w:val="20"/>
                <w:lang w:val="es-ES_tradnl" w:eastAsia="es-CO"/>
              </w:rPr>
              <w:t xml:space="preserve"> Cuando por mandato de autoridad competente, penal o disciplinaria, según el caso, se disponga la suspensión de funciones y atribuciones de un Soldado Profesional o Infante de Marina Profesional, esta se cumplirá mediante resolución </w:t>
            </w:r>
            <w:r w:rsidRPr="00274269">
              <w:rPr>
                <w:rFonts w:ascii="Times New Roman" w:eastAsia="Times New Roman" w:hAnsi="Times New Roman" w:cs="Times New Roman"/>
                <w:i/>
                <w:iCs/>
                <w:color w:val="000000"/>
                <w:sz w:val="20"/>
                <w:u w:val="single"/>
                <w:lang w:val="es-ES_tradnl" w:eastAsia="es-CO"/>
              </w:rPr>
              <w:t>expedida por</w:t>
            </w:r>
            <w:r w:rsidRPr="00274269">
              <w:rPr>
                <w:rFonts w:ascii="Times New Roman" w:eastAsia="Times New Roman" w:hAnsi="Times New Roman" w:cs="Times New Roman"/>
                <w:i/>
                <w:iCs/>
                <w:color w:val="000000"/>
                <w:sz w:val="20"/>
                <w:lang w:val="es-ES_tradnl" w:eastAsia="es-CO"/>
              </w:rPr>
              <w:t xml:space="preserve"> </w:t>
            </w:r>
            <w:r w:rsidRPr="000A4204">
              <w:rPr>
                <w:rFonts w:ascii="Times New Roman" w:eastAsia="Times New Roman" w:hAnsi="Times New Roman" w:cs="Times New Roman"/>
                <w:i/>
                <w:iCs/>
                <w:color w:val="000000"/>
                <w:sz w:val="20"/>
                <w:lang w:val="es-ES_tradnl" w:eastAsia="es-CO"/>
              </w:rPr>
              <w:t>el Comandante de la respectiva Fuerza.</w:t>
            </w:r>
          </w:p>
          <w:p w:rsidR="00DA7F47" w:rsidRPr="000A4204" w:rsidRDefault="00DA7F47" w:rsidP="006056CA">
            <w:pPr>
              <w:jc w:val="both"/>
              <w:textAlignment w:val="center"/>
              <w:rPr>
                <w:rFonts w:ascii="Times New Roman" w:eastAsia="Times New Roman" w:hAnsi="Times New Roman" w:cs="Times New Roman"/>
                <w:color w:val="000000"/>
                <w:szCs w:val="24"/>
                <w:lang w:eastAsia="es-CO"/>
              </w:rPr>
            </w:pPr>
          </w:p>
          <w:p w:rsidR="00DA7F47" w:rsidRPr="000A4204" w:rsidRDefault="00DA7F47" w:rsidP="006056CA">
            <w:pPr>
              <w:jc w:val="both"/>
              <w:textAlignment w:val="center"/>
              <w:rPr>
                <w:rFonts w:ascii="Times New Roman" w:eastAsia="Times New Roman" w:hAnsi="Times New Roman" w:cs="Times New Roman"/>
                <w:color w:val="000000"/>
                <w:szCs w:val="24"/>
                <w:lang w:eastAsia="es-CO"/>
              </w:rPr>
            </w:pPr>
            <w:r w:rsidRPr="000A4204">
              <w:rPr>
                <w:rFonts w:ascii="Times New Roman" w:eastAsia="Times New Roman" w:hAnsi="Times New Roman" w:cs="Times New Roman"/>
                <w:b/>
                <w:bCs/>
                <w:i/>
                <w:iCs/>
                <w:color w:val="000000"/>
                <w:sz w:val="20"/>
                <w:lang w:val="es-ES_tradnl" w:eastAsia="es-CO"/>
              </w:rPr>
              <w:t>PARÁGRAFO 1°.</w:t>
            </w:r>
            <w:r w:rsidRPr="000A4204">
              <w:rPr>
                <w:rFonts w:ascii="Times New Roman" w:eastAsia="Times New Roman" w:hAnsi="Times New Roman" w:cs="Times New Roman"/>
                <w:i/>
                <w:iCs/>
                <w:color w:val="000000"/>
                <w:sz w:val="20"/>
                <w:lang w:val="es-ES_tradnl" w:eastAsia="es-CO"/>
              </w:rPr>
              <w:t xml:space="preserve"> Durante el tiempo de la suspensión el Soldado Profesional o Infante de Marina Profesional percibirá las primas, subsidios y el cincuenta por ciento (50%) del salario básico. Si fuere absuelto o favorecido con preclusión de la investigación, cesación de procedimiento </w:t>
            </w:r>
            <w:r w:rsidRPr="00274269">
              <w:rPr>
                <w:rFonts w:ascii="Times New Roman" w:eastAsia="Times New Roman" w:hAnsi="Times New Roman" w:cs="Times New Roman"/>
                <w:i/>
                <w:iCs/>
                <w:color w:val="000000"/>
                <w:sz w:val="20"/>
                <w:u w:val="single"/>
                <w:lang w:val="es-ES_tradnl" w:eastAsia="es-CO"/>
              </w:rPr>
              <w:t>o excluido de la responsabilidad disciplinaria</w:t>
            </w:r>
            <w:r w:rsidRPr="000A4204">
              <w:rPr>
                <w:rFonts w:ascii="Times New Roman" w:eastAsia="Times New Roman" w:hAnsi="Times New Roman" w:cs="Times New Roman"/>
                <w:i/>
                <w:iCs/>
                <w:color w:val="000000"/>
                <w:sz w:val="20"/>
                <w:lang w:val="es-ES_tradnl" w:eastAsia="es-CO"/>
              </w:rPr>
              <w:t>, se deberá reintegrar el porcentaje del salario básico retenido.</w:t>
            </w:r>
          </w:p>
          <w:p w:rsidR="00DA7F47" w:rsidRPr="000A4204" w:rsidRDefault="00DA7F47" w:rsidP="006056CA">
            <w:pPr>
              <w:jc w:val="both"/>
              <w:textAlignment w:val="center"/>
              <w:rPr>
                <w:rFonts w:ascii="Times New Roman" w:eastAsia="Times New Roman" w:hAnsi="Times New Roman" w:cs="Times New Roman"/>
                <w:color w:val="000000"/>
                <w:szCs w:val="24"/>
                <w:lang w:eastAsia="es-CO"/>
              </w:rPr>
            </w:pPr>
            <w:r w:rsidRPr="000A4204">
              <w:rPr>
                <w:rFonts w:ascii="Times New Roman" w:eastAsia="Times New Roman" w:hAnsi="Times New Roman" w:cs="Times New Roman"/>
                <w:b/>
                <w:bCs/>
                <w:i/>
                <w:iCs/>
                <w:color w:val="000000"/>
                <w:sz w:val="20"/>
                <w:lang w:val="es-ES_tradnl" w:eastAsia="es-CO"/>
              </w:rPr>
              <w:t>PARÁGRAFO 2°.</w:t>
            </w:r>
            <w:r w:rsidRPr="000A4204">
              <w:rPr>
                <w:rFonts w:ascii="Times New Roman" w:eastAsia="Times New Roman" w:hAnsi="Times New Roman" w:cs="Times New Roman"/>
                <w:i/>
                <w:iCs/>
                <w:color w:val="000000"/>
                <w:sz w:val="20"/>
                <w:lang w:val="es-ES_tradnl" w:eastAsia="es-CO"/>
              </w:rPr>
              <w:t xml:space="preserve"> Cuando la sentencia o fallo </w:t>
            </w:r>
            <w:r>
              <w:rPr>
                <w:rFonts w:ascii="Times New Roman" w:eastAsia="Times New Roman" w:hAnsi="Times New Roman" w:cs="Times New Roman"/>
                <w:i/>
                <w:iCs/>
                <w:color w:val="000000"/>
                <w:sz w:val="20"/>
                <w:lang w:val="es-ES_tradnl" w:eastAsia="es-CO"/>
              </w:rPr>
              <w:t>definitivo fuere condenatorio o</w:t>
            </w:r>
            <w:r w:rsidRPr="000A4204">
              <w:rPr>
                <w:rFonts w:ascii="Times New Roman" w:eastAsia="Times New Roman" w:hAnsi="Times New Roman" w:cs="Times New Roman"/>
                <w:i/>
                <w:iCs/>
                <w:color w:val="000000"/>
                <w:sz w:val="20"/>
                <w:lang w:val="es-ES_tradnl" w:eastAsia="es-CO"/>
              </w:rPr>
              <w:t> sancionatorio, las sumas retenidas en desarrollo de lo dispuesto en el presente artículo pasarán a formar parte de los recursos propios de la Caja de Retiro de las Fuerzas Militares.</w:t>
            </w:r>
          </w:p>
          <w:p w:rsidR="00DA7F47" w:rsidRDefault="00DA7F47" w:rsidP="006056CA">
            <w:pPr>
              <w:jc w:val="both"/>
              <w:textAlignment w:val="center"/>
              <w:rPr>
                <w:rFonts w:ascii="Times New Roman" w:eastAsia="Times New Roman" w:hAnsi="Times New Roman" w:cs="Times New Roman"/>
                <w:b/>
                <w:bCs/>
                <w:i/>
                <w:iCs/>
                <w:color w:val="000000"/>
                <w:sz w:val="20"/>
                <w:lang w:val="es-ES_tradnl" w:eastAsia="es-CO"/>
              </w:rPr>
            </w:pPr>
          </w:p>
          <w:p w:rsidR="00DA7F47" w:rsidRPr="000A4204" w:rsidRDefault="00DA7F47" w:rsidP="006056CA">
            <w:pPr>
              <w:jc w:val="both"/>
              <w:textAlignment w:val="center"/>
              <w:rPr>
                <w:rFonts w:ascii="Times New Roman" w:eastAsia="Times New Roman" w:hAnsi="Times New Roman" w:cs="Times New Roman"/>
                <w:color w:val="000000"/>
                <w:szCs w:val="24"/>
                <w:lang w:eastAsia="es-CO"/>
              </w:rPr>
            </w:pPr>
            <w:r w:rsidRPr="000A4204">
              <w:rPr>
                <w:rFonts w:ascii="Times New Roman" w:eastAsia="Times New Roman" w:hAnsi="Times New Roman" w:cs="Times New Roman"/>
                <w:b/>
                <w:bCs/>
                <w:i/>
                <w:iCs/>
                <w:color w:val="000000"/>
                <w:sz w:val="20"/>
                <w:lang w:val="es-ES_tradnl" w:eastAsia="es-CO"/>
              </w:rPr>
              <w:t>PARÁGRAFO 3°.</w:t>
            </w:r>
            <w:r w:rsidRPr="000A4204">
              <w:rPr>
                <w:rFonts w:ascii="Times New Roman" w:eastAsia="Times New Roman" w:hAnsi="Times New Roman" w:cs="Times New Roman"/>
                <w:i/>
                <w:iCs/>
                <w:color w:val="000000"/>
                <w:sz w:val="20"/>
                <w:lang w:val="es-ES_tradnl" w:eastAsia="es-CO"/>
              </w:rPr>
              <w:t> Cuando el tiempo de la suspensión sea superior al de la condena o sanción impuesta por la autoridad competente, se reintegrará el excedente de los salarios retenidos.</w:t>
            </w:r>
          </w:p>
          <w:p w:rsidR="00DA7F47" w:rsidRDefault="00DA7F47" w:rsidP="006056CA">
            <w:pPr>
              <w:jc w:val="both"/>
              <w:textAlignment w:val="center"/>
              <w:rPr>
                <w:rFonts w:ascii="Times New Roman" w:eastAsia="Times New Roman" w:hAnsi="Times New Roman" w:cs="Times New Roman"/>
                <w:b/>
                <w:bCs/>
                <w:i/>
                <w:iCs/>
                <w:color w:val="000000"/>
                <w:spacing w:val="2"/>
                <w:sz w:val="20"/>
                <w:lang w:val="es-ES_tradnl" w:eastAsia="es-CO"/>
              </w:rPr>
            </w:pPr>
          </w:p>
          <w:p w:rsidR="00DA7F47" w:rsidRPr="000A4204" w:rsidRDefault="00DA7F47" w:rsidP="006056CA">
            <w:pPr>
              <w:jc w:val="both"/>
              <w:textAlignment w:val="center"/>
              <w:rPr>
                <w:rFonts w:ascii="Times New Roman" w:eastAsia="Times New Roman" w:hAnsi="Times New Roman" w:cs="Times New Roman"/>
                <w:color w:val="000000"/>
                <w:szCs w:val="24"/>
                <w:lang w:eastAsia="es-CO"/>
              </w:rPr>
            </w:pPr>
            <w:r w:rsidRPr="000A4204">
              <w:rPr>
                <w:rFonts w:ascii="Times New Roman" w:eastAsia="Times New Roman" w:hAnsi="Times New Roman" w:cs="Times New Roman"/>
                <w:b/>
                <w:bCs/>
                <w:i/>
                <w:iCs/>
                <w:color w:val="000000"/>
                <w:spacing w:val="2"/>
                <w:sz w:val="20"/>
                <w:lang w:val="es-ES_tradnl" w:eastAsia="es-CO"/>
              </w:rPr>
              <w:t>PARÁGRAFO 4°.</w:t>
            </w:r>
            <w:r w:rsidRPr="000A4204">
              <w:rPr>
                <w:rFonts w:ascii="Times New Roman" w:eastAsia="Times New Roman" w:hAnsi="Times New Roman" w:cs="Times New Roman"/>
                <w:i/>
                <w:iCs/>
                <w:color w:val="000000"/>
                <w:spacing w:val="2"/>
                <w:sz w:val="20"/>
                <w:lang w:val="es-ES_tradnl" w:eastAsia="es-CO"/>
              </w:rPr>
              <w:t> Cuando se concede el derecho de libertad provisional o condena de ejecución condicional no procederá la suspensión de funciones y atribuciones.</w:t>
            </w:r>
          </w:p>
          <w:p w:rsidR="00DA7F47" w:rsidRPr="00062DB8" w:rsidRDefault="00DA7F47" w:rsidP="006056CA">
            <w:pPr>
              <w:pStyle w:val="Prrafodelista"/>
              <w:ind w:left="0"/>
              <w:jc w:val="both"/>
              <w:textAlignment w:val="center"/>
              <w:rPr>
                <w:rFonts w:ascii="Times New Roman" w:eastAsia="Times New Roman" w:hAnsi="Times New Roman" w:cs="Times New Roman"/>
                <w:sz w:val="20"/>
                <w:szCs w:val="28"/>
                <w:lang w:val="es-ES_tradnl" w:eastAsia="es-CO"/>
              </w:rPr>
            </w:pPr>
          </w:p>
        </w:tc>
      </w:tr>
    </w:tbl>
    <w:p w:rsidR="00DA7F47" w:rsidRPr="00274269" w:rsidRDefault="00DA7F47" w:rsidP="00DA7F47">
      <w:pPr>
        <w:pStyle w:val="Prrafodelista"/>
        <w:spacing w:after="0" w:line="288" w:lineRule="atLeast"/>
        <w:jc w:val="both"/>
        <w:textAlignment w:val="center"/>
        <w:rPr>
          <w:rFonts w:ascii="Times New Roman" w:eastAsia="Times New Roman" w:hAnsi="Times New Roman" w:cs="Times New Roman"/>
          <w:sz w:val="20"/>
          <w:szCs w:val="28"/>
          <w:lang w:val="es-ES_tradnl" w:eastAsia="es-CO"/>
        </w:rPr>
      </w:pPr>
      <w:r w:rsidRPr="00274269">
        <w:rPr>
          <w:rFonts w:ascii="Times New Roman" w:eastAsia="Times New Roman" w:hAnsi="Times New Roman" w:cs="Times New Roman"/>
          <w:sz w:val="20"/>
          <w:szCs w:val="28"/>
          <w:lang w:val="es-ES_tradnl" w:eastAsia="es-CO"/>
        </w:rPr>
        <w:t>*Texto resaltado adicionado en Cámara de Representantes.</w:t>
      </w: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 </w:t>
      </w:r>
    </w:p>
    <w:p w:rsidR="00DA7F47" w:rsidRDefault="00DA7F47" w:rsidP="00DA7F47">
      <w:pPr>
        <w:pStyle w:val="Prrafodelista"/>
        <w:numPr>
          <w:ilvl w:val="0"/>
          <w:numId w:val="16"/>
        </w:numPr>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Segundo debate en Cámara: 07 y 13 de junio de 2017. Aprobado sin modificaciones el texto previamente aprobado en Comisión de Cámara, según Actas de Plenaria #223 y 224.</w:t>
      </w: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El texto definitivo aprobado en cuarto debate fue publicado el viernes 16 de junio de 2017, en la gaceta #505/17. El martes 20 de junio de 2017 fue el último día de sesiones del Congreso de la República.</w:t>
      </w: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Pr="000D2C7F"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A consecuencia de lo anterior, no obstante las mínimas modificaciones que había sufrido el texto en su trámite por la Cámara de Representantes, el proyecto no fue remitido oportunamente para la conciliación correspondiente, con lo cual terminó por archivarse con motivo del tránsito de legislatura. </w:t>
      </w:r>
    </w:p>
    <w:p w:rsidR="00DA7F47" w:rsidRDefault="00DA7F47" w:rsidP="00DA7F47">
      <w:pPr>
        <w:pStyle w:val="Prrafodelista"/>
        <w:spacing w:before="28" w:after="28" w:line="288" w:lineRule="atLeast"/>
        <w:ind w:left="360"/>
        <w:jc w:val="both"/>
        <w:textAlignment w:val="center"/>
        <w:rPr>
          <w:rFonts w:ascii="Times New Roman" w:eastAsia="Times New Roman" w:hAnsi="Times New Roman" w:cs="Times New Roman"/>
          <w:sz w:val="28"/>
          <w:szCs w:val="28"/>
          <w:lang w:val="es-ES_tradnl" w:eastAsia="es-CO"/>
        </w:rPr>
      </w:pPr>
    </w:p>
    <w:p w:rsidR="00DA7F47" w:rsidRPr="000D2C7F" w:rsidRDefault="00DA7F47" w:rsidP="00DA7F47">
      <w:pPr>
        <w:pStyle w:val="Prrafodelista"/>
        <w:spacing w:before="28" w:after="28" w:line="288" w:lineRule="atLeast"/>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numPr>
          <w:ilvl w:val="0"/>
          <w:numId w:val="14"/>
        </w:numPr>
        <w:spacing w:before="28" w:after="28" w:line="288" w:lineRule="atLeast"/>
        <w:textAlignment w:val="center"/>
        <w:rPr>
          <w:rFonts w:ascii="Times New Roman" w:eastAsia="Times New Roman" w:hAnsi="Times New Roman" w:cs="Times New Roman"/>
          <w:b/>
          <w:sz w:val="28"/>
          <w:szCs w:val="28"/>
          <w:lang w:val="es-ES_tradnl" w:eastAsia="es-CO"/>
        </w:rPr>
      </w:pPr>
      <w:r w:rsidRPr="008120A5">
        <w:rPr>
          <w:rFonts w:ascii="Times New Roman" w:eastAsia="Times New Roman" w:hAnsi="Times New Roman" w:cs="Times New Roman"/>
          <w:b/>
          <w:sz w:val="28"/>
          <w:szCs w:val="28"/>
          <w:lang w:val="es-ES_tradnl" w:eastAsia="es-CO"/>
        </w:rPr>
        <w:t xml:space="preserve">INTRODUCCIÓN. </w:t>
      </w:r>
    </w:p>
    <w:p w:rsidR="00DA7F47" w:rsidRPr="008120A5" w:rsidRDefault="00DA7F47" w:rsidP="00DA7F47">
      <w:pPr>
        <w:spacing w:before="28" w:after="28" w:line="276" w:lineRule="auto"/>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Mediante el Decreto Ley 1793 de 2000, el Gobierno Nacional, investido de facultades extraordinarias conferidas por la Ley 578 de 2000, expidió el </w:t>
      </w:r>
      <w:r w:rsidRPr="008120A5">
        <w:rPr>
          <w:rFonts w:ascii="Times New Roman" w:eastAsia="Times New Roman" w:hAnsi="Times New Roman" w:cs="Times New Roman"/>
          <w:i/>
          <w:sz w:val="28"/>
          <w:szCs w:val="28"/>
          <w:lang w:val="es-ES_tradnl" w:eastAsia="es-CO"/>
        </w:rPr>
        <w:t xml:space="preserve">Régimen de Carrera y Estatuto de Soldados Profesionales de las Fuerzas Militares. </w:t>
      </w:r>
    </w:p>
    <w:p w:rsidR="00DA7F47" w:rsidRDefault="00DA7F47" w:rsidP="00DA7F47">
      <w:pPr>
        <w:spacing w:before="28" w:after="28" w:line="276" w:lineRule="auto"/>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Dicha norma, parte por denominar a los Soldados profesionales como los “</w:t>
      </w:r>
      <w:r w:rsidRPr="008120A5">
        <w:rPr>
          <w:rFonts w:ascii="Times New Roman" w:eastAsia="Times New Roman" w:hAnsi="Times New Roman" w:cs="Times New Roman"/>
          <w:i/>
          <w:sz w:val="28"/>
          <w:szCs w:val="28"/>
          <w:lang w:val="es-ES_tradnl" w:eastAsia="es-CO"/>
        </w:rPr>
        <w:t>varones entrenados y capacitados con la finalidad principal de actuar en las unidades de combate y apoyo de combate de las Fuerzas Militares, en la ejecución de operaciones militares, para la conservación, restablecimiento del orden público y demás misiones que le sean asignadas.”</w:t>
      </w:r>
      <w:r w:rsidRPr="008120A5">
        <w:rPr>
          <w:rFonts w:ascii="Times New Roman" w:eastAsia="Times New Roman" w:hAnsi="Times New Roman" w:cs="Times New Roman"/>
          <w:sz w:val="28"/>
          <w:szCs w:val="28"/>
          <w:lang w:val="es-ES_tradnl" w:eastAsia="es-CO"/>
        </w:rPr>
        <w:t xml:space="preserve"> (Art. 1º). Enseguida, el Decreto fija reglas para la incorporación de esta categoría de militares, su retiro y reincorporación, describe y desarrolla situaciones administrativas como su destinación, traslado, licencias y comisiones, así como los programas de capacitación, entre otros asuntos. </w:t>
      </w: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En su artículo 11, objeto de la reforma propuesta, el Decreto en cita prevé como causal de retiro la prolongación de la privación de la libertad del Soldado Profesional por más de 60 días calendario, a consecuencia de la imposición de medida de aseguramiento consistente en detención preventiva:</w:t>
      </w:r>
    </w:p>
    <w:p w:rsidR="00DA7F47" w:rsidRPr="008120A5" w:rsidRDefault="00DA7F47" w:rsidP="00DA7F47">
      <w:pPr>
        <w:spacing w:before="28" w:after="28" w:line="288" w:lineRule="atLeast"/>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88" w:lineRule="atLeast"/>
        <w:ind w:left="1068"/>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b/>
          <w:i/>
          <w:sz w:val="28"/>
          <w:szCs w:val="28"/>
          <w:lang w:val="es-ES_tradnl" w:eastAsia="es-CO"/>
        </w:rPr>
        <w:t>“ARTICULO 11. RETIRO POR DETENCION PREVENTIVA.</w:t>
      </w:r>
      <w:r w:rsidRPr="008120A5">
        <w:rPr>
          <w:rFonts w:ascii="Times New Roman" w:eastAsia="Times New Roman" w:hAnsi="Times New Roman" w:cs="Times New Roman"/>
          <w:i/>
          <w:sz w:val="28"/>
          <w:szCs w:val="28"/>
          <w:lang w:val="es-ES_tradnl" w:eastAsia="es-CO"/>
        </w:rPr>
        <w:t xml:space="preserve"> El soldado profesional a quien se le profiera medida de aseguramiento consistente en detención preventiva que exceda de sesenta (60) días calendario, será retirado del servicio. “</w:t>
      </w:r>
      <w:r w:rsidRPr="008120A5">
        <w:rPr>
          <w:rFonts w:ascii="Times New Roman" w:eastAsia="Times New Roman" w:hAnsi="Times New Roman" w:cs="Times New Roman"/>
          <w:i/>
          <w:sz w:val="28"/>
          <w:szCs w:val="28"/>
          <w:lang w:val="es-ES_tradnl" w:eastAsia="es-CO"/>
        </w:rPr>
        <w:cr/>
      </w: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Se estableció de esta manera una causal objetiva de retiro para este tipo de servidores, no prevista en el régimen de carrera de oficiales y suboficiales de las Fuerzas Militares , y a todas luces contraria a los postulados de igualdad y dignidad que fundan el modelo constitucional colombiano, al tiempo que desconocedora del principio de presunción de inocencia, como expresamente fue admitido por la Corte Constitucional en sentencia C-289 de 2012 –a la que se hará alusión con mayor detalle más adelante.  </w:t>
      </w: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En efecto, el Decreto Ley 1790 del mismo año, </w:t>
      </w:r>
      <w:r w:rsidRPr="008120A5">
        <w:rPr>
          <w:rFonts w:ascii="Times New Roman" w:eastAsia="Times New Roman" w:hAnsi="Times New Roman" w:cs="Times New Roman"/>
          <w:i/>
          <w:sz w:val="28"/>
          <w:szCs w:val="28"/>
          <w:lang w:val="es-ES_tradnl" w:eastAsia="es-CO"/>
        </w:rPr>
        <w:t>Régimen de carrera de oficiales y suboficiales de las Fuerzas Militares</w:t>
      </w:r>
      <w:r w:rsidRPr="008120A5">
        <w:rPr>
          <w:rFonts w:ascii="Times New Roman" w:eastAsia="Times New Roman" w:hAnsi="Times New Roman" w:cs="Times New Roman"/>
          <w:sz w:val="28"/>
          <w:szCs w:val="28"/>
          <w:lang w:val="es-ES_tradnl" w:eastAsia="es-CO"/>
        </w:rPr>
        <w:t xml:space="preserve">, no prevé para este personal causal de retiro de la Institución de semejante naturaleza. El </w:t>
      </w: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artículo 100 de esta norma (modificado por el artículo 24 de la Ley 1104 de 2006) estableció como tales situaciones, las siguientes:</w:t>
      </w:r>
    </w:p>
    <w:p w:rsidR="00DA7F47" w:rsidRPr="008120A5" w:rsidRDefault="00DA7F47" w:rsidP="00DA7F47">
      <w:pPr>
        <w:spacing w:before="28" w:after="28" w:line="288" w:lineRule="atLeast"/>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numPr>
          <w:ilvl w:val="0"/>
          <w:numId w:val="11"/>
        </w:numPr>
        <w:spacing w:before="28" w:after="0" w:line="240" w:lineRule="auto"/>
        <w:ind w:left="108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Retiro temporal con pase a la reserva:</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Por solicitud propia.</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Por cumplir cuatro (4) años en el grado de General o Almirante, salvo lo dispuesto en la Ley 775 de 2002.</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Por llamamiento a calificar servicios.</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Por sobrepasar la edad correspondiente al grado.</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Por disminución de la capacidad psicofísica para la actividad militar.</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Por inasistencia al servicio sin causa justificada de acuerdo con el tiempo previsto en el Código Penal Militar para el delito de abandono del servicio.</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hAnsi="Times New Roman" w:cs="Times New Roman"/>
          <w:sz w:val="28"/>
          <w:szCs w:val="28"/>
        </w:rPr>
      </w:pPr>
      <w:r w:rsidRPr="008120A5">
        <w:rPr>
          <w:rFonts w:ascii="Times New Roman" w:eastAsia="Times New Roman" w:hAnsi="Times New Roman" w:cs="Times New Roman"/>
          <w:i/>
          <w:sz w:val="28"/>
          <w:szCs w:val="28"/>
          <w:lang w:val="es-ES_tradnl" w:eastAsia="es-CO"/>
        </w:rPr>
        <w:t>Por incapacidad profesional de conformidad con el artículo 108 literal a) de este decreto.</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hAnsi="Times New Roman" w:cs="Times New Roman"/>
          <w:i/>
          <w:sz w:val="28"/>
          <w:szCs w:val="28"/>
        </w:rPr>
      </w:pPr>
      <w:r w:rsidRPr="008120A5">
        <w:rPr>
          <w:rFonts w:ascii="Times New Roman" w:hAnsi="Times New Roman" w:cs="Times New Roman"/>
          <w:i/>
          <w:sz w:val="28"/>
          <w:szCs w:val="28"/>
        </w:rPr>
        <w:t xml:space="preserve">Por retiro discrecional de acuerdo con el artículo 104 de este decreto. </w:t>
      </w:r>
    </w:p>
    <w:p w:rsidR="00DA7F47" w:rsidRPr="008120A5" w:rsidRDefault="00DA7F47" w:rsidP="00DA7F47">
      <w:pPr>
        <w:pStyle w:val="Prrafodelista"/>
        <w:numPr>
          <w:ilvl w:val="0"/>
          <w:numId w:val="12"/>
        </w:numPr>
        <w:spacing w:before="28" w:after="0" w:line="240" w:lineRule="auto"/>
        <w:ind w:left="1440"/>
        <w:jc w:val="both"/>
        <w:textAlignment w:val="center"/>
        <w:rPr>
          <w:rFonts w:ascii="Times New Roman" w:hAnsi="Times New Roman" w:cs="Times New Roman"/>
          <w:i/>
          <w:sz w:val="28"/>
          <w:szCs w:val="28"/>
        </w:rPr>
      </w:pPr>
      <w:r w:rsidRPr="008120A5">
        <w:rPr>
          <w:rFonts w:ascii="Times New Roman" w:hAnsi="Times New Roman" w:cs="Times New Roman"/>
          <w:i/>
          <w:sz w:val="28"/>
          <w:szCs w:val="28"/>
        </w:rPr>
        <w:t xml:space="preserve">Por no superar el período de prueba; </w:t>
      </w:r>
    </w:p>
    <w:p w:rsidR="00DA7F47" w:rsidRPr="008120A5" w:rsidRDefault="00DA7F47" w:rsidP="00DA7F47">
      <w:pPr>
        <w:spacing w:before="28" w:after="0" w:line="240" w:lineRule="auto"/>
        <w:ind w:left="360"/>
        <w:jc w:val="both"/>
        <w:textAlignment w:val="center"/>
        <w:rPr>
          <w:rFonts w:ascii="Times New Roman" w:hAnsi="Times New Roman" w:cs="Times New Roman"/>
          <w:sz w:val="28"/>
          <w:szCs w:val="28"/>
        </w:rPr>
      </w:pPr>
    </w:p>
    <w:p w:rsidR="00DA7F47" w:rsidRPr="008120A5" w:rsidRDefault="00DA7F47" w:rsidP="00DA7F47">
      <w:pPr>
        <w:pStyle w:val="Prrafodelista"/>
        <w:numPr>
          <w:ilvl w:val="0"/>
          <w:numId w:val="11"/>
        </w:numPr>
        <w:spacing w:before="28" w:after="0" w:line="240" w:lineRule="auto"/>
        <w:ind w:left="108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 xml:space="preserve">Retiro absoluto: </w:t>
      </w:r>
    </w:p>
    <w:p w:rsidR="00DA7F47" w:rsidRPr="008120A5" w:rsidRDefault="00DA7F47" w:rsidP="00DA7F47">
      <w:pPr>
        <w:pStyle w:val="Prrafodelista"/>
        <w:numPr>
          <w:ilvl w:val="0"/>
          <w:numId w:val="13"/>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Por invalidez.</w:t>
      </w:r>
    </w:p>
    <w:p w:rsidR="00DA7F47" w:rsidRPr="008120A5" w:rsidRDefault="00DA7F47" w:rsidP="00DA7F47">
      <w:pPr>
        <w:pStyle w:val="Prrafodelista"/>
        <w:numPr>
          <w:ilvl w:val="0"/>
          <w:numId w:val="13"/>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hAnsi="Times New Roman" w:cs="Times New Roman"/>
          <w:i/>
          <w:sz w:val="28"/>
          <w:szCs w:val="28"/>
        </w:rPr>
        <w:t xml:space="preserve">Por conducta deficiente. </w:t>
      </w:r>
    </w:p>
    <w:p w:rsidR="00DA7F47" w:rsidRPr="008120A5" w:rsidRDefault="00DA7F47" w:rsidP="00DA7F47">
      <w:pPr>
        <w:pStyle w:val="Prrafodelista"/>
        <w:numPr>
          <w:ilvl w:val="0"/>
          <w:numId w:val="13"/>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hAnsi="Times New Roman" w:cs="Times New Roman"/>
          <w:i/>
          <w:sz w:val="28"/>
          <w:szCs w:val="28"/>
        </w:rPr>
        <w:t>Por haber cumplido la edad máxima permitida para los servidores públicos de acuerdo con la ley.</w:t>
      </w:r>
    </w:p>
    <w:p w:rsidR="00DA7F47" w:rsidRPr="008120A5" w:rsidRDefault="00DA7F47" w:rsidP="00DA7F47">
      <w:pPr>
        <w:pStyle w:val="Prrafodelista"/>
        <w:numPr>
          <w:ilvl w:val="0"/>
          <w:numId w:val="13"/>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hAnsi="Times New Roman" w:cs="Times New Roman"/>
          <w:i/>
          <w:sz w:val="28"/>
          <w:szCs w:val="28"/>
        </w:rPr>
        <w:t>Por muerte.</w:t>
      </w:r>
    </w:p>
    <w:p w:rsidR="00DA7F47" w:rsidRPr="008120A5" w:rsidRDefault="00DA7F47" w:rsidP="00DA7F47">
      <w:pPr>
        <w:pStyle w:val="Prrafodelista"/>
        <w:numPr>
          <w:ilvl w:val="0"/>
          <w:numId w:val="13"/>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hAnsi="Times New Roman" w:cs="Times New Roman"/>
          <w:i/>
          <w:sz w:val="28"/>
          <w:szCs w:val="28"/>
        </w:rPr>
        <w:t xml:space="preserve"> Por incapacidad profesional de conformidad con el artículo 108 literales b) y c) del presente decreto.</w:t>
      </w:r>
    </w:p>
    <w:p w:rsidR="00DA7F47" w:rsidRPr="008120A5" w:rsidRDefault="00DA7F47" w:rsidP="00DA7F47">
      <w:pPr>
        <w:pStyle w:val="Prrafodelista"/>
        <w:numPr>
          <w:ilvl w:val="0"/>
          <w:numId w:val="13"/>
        </w:numPr>
        <w:spacing w:before="28" w:after="0" w:line="240" w:lineRule="auto"/>
        <w:ind w:left="1440"/>
        <w:jc w:val="both"/>
        <w:textAlignment w:val="center"/>
        <w:rPr>
          <w:rFonts w:ascii="Times New Roman" w:eastAsia="Times New Roman" w:hAnsi="Times New Roman" w:cs="Times New Roman"/>
          <w:i/>
          <w:sz w:val="28"/>
          <w:szCs w:val="28"/>
          <w:lang w:val="es-ES_tradnl" w:eastAsia="es-CO"/>
        </w:rPr>
      </w:pPr>
      <w:r w:rsidRPr="008120A5">
        <w:rPr>
          <w:rFonts w:ascii="Times New Roman" w:hAnsi="Times New Roman" w:cs="Times New Roman"/>
          <w:i/>
          <w:sz w:val="28"/>
          <w:szCs w:val="28"/>
        </w:rPr>
        <w:t xml:space="preserve"> Por fuga del personal privado de la libertad por orden de autoridad judicial, sin perjuicio de la acción penal y disciplinaria que corresponda.</w:t>
      </w:r>
      <w:r w:rsidRPr="008120A5">
        <w:rPr>
          <w:rStyle w:val="Refdenotaalpie"/>
          <w:i/>
          <w:sz w:val="28"/>
          <w:szCs w:val="28"/>
        </w:rPr>
        <w:footnoteReference w:id="1"/>
      </w:r>
      <w:r w:rsidRPr="008120A5">
        <w:rPr>
          <w:rFonts w:ascii="Times New Roman" w:hAnsi="Times New Roman" w:cs="Times New Roman"/>
          <w:i/>
          <w:sz w:val="28"/>
          <w:szCs w:val="28"/>
        </w:rPr>
        <w:t xml:space="preserve"> </w:t>
      </w: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El artículo 95, relativo a la </w:t>
      </w:r>
      <w:r w:rsidRPr="008120A5">
        <w:rPr>
          <w:rFonts w:ascii="Times New Roman" w:eastAsia="Times New Roman" w:hAnsi="Times New Roman" w:cs="Times New Roman"/>
          <w:b/>
          <w:i/>
          <w:sz w:val="28"/>
          <w:szCs w:val="28"/>
          <w:lang w:val="es-ES_tradnl" w:eastAsia="es-CO"/>
        </w:rPr>
        <w:t>suspensión</w:t>
      </w:r>
      <w:r w:rsidRPr="008120A5">
        <w:rPr>
          <w:rFonts w:ascii="Times New Roman" w:eastAsia="Times New Roman" w:hAnsi="Times New Roman" w:cs="Times New Roman"/>
          <w:sz w:val="28"/>
          <w:szCs w:val="28"/>
          <w:lang w:val="es-ES_tradnl" w:eastAsia="es-CO"/>
        </w:rPr>
        <w:t xml:space="preserve">, dispone que esta medida administrativa procederá </w:t>
      </w:r>
      <w:r w:rsidRPr="008120A5">
        <w:rPr>
          <w:rFonts w:ascii="Times New Roman" w:eastAsia="Times New Roman" w:hAnsi="Times New Roman" w:cs="Times New Roman"/>
          <w:i/>
          <w:sz w:val="28"/>
          <w:szCs w:val="28"/>
          <w:lang w:val="es-ES_tradnl" w:eastAsia="es-CO"/>
        </w:rPr>
        <w:t>“</w:t>
      </w:r>
      <w:r w:rsidRPr="008120A5">
        <w:rPr>
          <w:rFonts w:ascii="Times New Roman" w:hAnsi="Times New Roman" w:cs="Times New Roman"/>
          <w:i/>
          <w:sz w:val="28"/>
          <w:szCs w:val="28"/>
        </w:rPr>
        <w:t>Cuando por autoridad competente, penal o disciplinaria, según el caso, se solicite la suspensión de funciones y atribuciones de un Oficial o Suboficial de las Fuerzas Militares, ésta se dispondrá por resolución ministerial o de su delegado para oficiales y por disposición del respectivo comando de fuerza para suboficiales.”</w:t>
      </w:r>
      <w:r w:rsidRPr="008120A5">
        <w:rPr>
          <w:rFonts w:ascii="Times New Roman" w:hAnsi="Times New Roman" w:cs="Times New Roman"/>
          <w:sz w:val="28"/>
          <w:szCs w:val="28"/>
        </w:rPr>
        <w:t xml:space="preserve"> En eventos como el descrito en esta disposición, el Oficial o suboficial que sea suspendido en funciones y atribuciones percibirá, durante el tiempo que dure la misma, las primas y subsidios y el cincuenta por ciento (50%) del sueldo básico que corresponda.  </w:t>
      </w: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El proyecto propuesto procura una reforma al estatuto de carrera de los Soldados Profesionales, la primera de las normas en cuestión, parcialmente fundamentado en lo considerado y decidido por la Corte Constitucional en sentencia C-289 de 2012, que condicionó la exequibilidad del artículo 11 del Decreto Ley 1793 de 2000 a que el término “retiro” fuera entendido como “suspensión”. De este modo, lo que en principio fue fijado por el legislador como una causal de retiro para Soldados Profesionales de las Fuerzas Militares pasó a ser una causal de suspensión por voluntad del máximo Tribunal constitucional colombiano. </w:t>
      </w: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Sin embargo, contrario a lo que pudiera esperarse, en lo resuelto por la sentencia C-289 de 2012 la Corte Constitucional sentó las bases de un trato discriminatorio en perjuicio de los derechos de los Soldados Profesionales, dando lugar a la expedición posterior del Decreto reglamentario 2367 de 2012, </w:t>
      </w:r>
      <w:r w:rsidRPr="008120A5">
        <w:rPr>
          <w:rFonts w:ascii="Times New Roman" w:eastAsia="Times New Roman" w:hAnsi="Times New Roman" w:cs="Times New Roman"/>
          <w:i/>
          <w:sz w:val="28"/>
          <w:szCs w:val="28"/>
          <w:lang w:val="es-ES_tradnl" w:eastAsia="es-CO"/>
        </w:rPr>
        <w:t>por medio del cual se reglamenta el artículo 11 del Decreto Ley 1793 de 2000 y se dictan otras disposiciones</w:t>
      </w:r>
      <w:r w:rsidRPr="008120A5">
        <w:rPr>
          <w:rFonts w:ascii="Times New Roman" w:eastAsia="Times New Roman" w:hAnsi="Times New Roman" w:cs="Times New Roman"/>
          <w:sz w:val="28"/>
          <w:szCs w:val="28"/>
          <w:lang w:val="es-ES_tradnl" w:eastAsia="es-CO"/>
        </w:rPr>
        <w:t xml:space="preserve">, en el que, a diferencia de lo que ocurre con los Oficiales y Suboficiales de las Fuerzas Militares en idéntica situación, la suspensión en funciones y atribuciones opera como una medida administrativa automática por parte de los Comandantes de </w:t>
      </w: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Fuerza al cumplimiento del término previsto, sin que sea necesaria la previa solicitud judicial o disciplinaria de la autoridad competente.</w:t>
      </w: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El presente proyecto, pretende homologar el tratamiento jurídico a toda clase de militares procesados judicial o disciplinariamente por actos cometidos durante el servicio y relacionados con el mismo, en atención a la premisa básica según la cual a igual situación de hecho igual tratamiento jurídico.  </w:t>
      </w: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A continuación, los antecedentes y razones que explican la necesidad de la reforma que se propone. </w:t>
      </w:r>
    </w:p>
    <w:p w:rsidR="00DA7F47" w:rsidRDefault="00DA7F47" w:rsidP="00DA7F47">
      <w:pPr>
        <w:spacing w:before="28" w:after="28" w:line="276" w:lineRule="auto"/>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numPr>
          <w:ilvl w:val="0"/>
          <w:numId w:val="14"/>
        </w:numPr>
        <w:spacing w:before="28" w:after="28" w:line="276" w:lineRule="auto"/>
        <w:jc w:val="both"/>
        <w:textAlignment w:val="center"/>
        <w:rPr>
          <w:rFonts w:ascii="Times New Roman" w:eastAsia="Times New Roman" w:hAnsi="Times New Roman" w:cs="Times New Roman"/>
          <w:b/>
          <w:sz w:val="28"/>
          <w:szCs w:val="28"/>
          <w:lang w:val="es-ES_tradnl" w:eastAsia="es-CO"/>
        </w:rPr>
      </w:pPr>
      <w:r w:rsidRPr="008120A5">
        <w:rPr>
          <w:rFonts w:ascii="Times New Roman" w:eastAsia="Times New Roman" w:hAnsi="Times New Roman" w:cs="Times New Roman"/>
          <w:b/>
          <w:sz w:val="28"/>
          <w:szCs w:val="28"/>
          <w:lang w:val="es-ES_tradnl" w:eastAsia="es-CO"/>
        </w:rPr>
        <w:t>ANTECEDENTES Y ESTADO ACTUAL DE LA SITUACIÓN A REGULAR</w:t>
      </w:r>
    </w:p>
    <w:p w:rsidR="00DA7F47" w:rsidRPr="008120A5" w:rsidRDefault="00DA7F47" w:rsidP="00DA7F47">
      <w:pPr>
        <w:spacing w:before="28" w:after="28" w:line="276" w:lineRule="auto"/>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En lo que respecta al aspecto por reformar, esto es, la posibilidad de suspender en funciones y atribuciones a los Soldados Profesionales e Infantes de Marina Profesionales de las Fuerzas Militares, como se viene de anotar, tenemos lo siguiente:</w:t>
      </w:r>
    </w:p>
    <w:p w:rsidR="00DA7F47" w:rsidRPr="008120A5" w:rsidRDefault="00DA7F47" w:rsidP="00DA7F47">
      <w:pPr>
        <w:spacing w:before="28" w:after="28" w:line="288" w:lineRule="atLeast"/>
        <w:ind w:left="360"/>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numPr>
          <w:ilvl w:val="0"/>
          <w:numId w:val="15"/>
        </w:numPr>
        <w:spacing w:before="28" w:after="28" w:line="288" w:lineRule="atLeast"/>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b/>
          <w:i/>
          <w:sz w:val="28"/>
          <w:szCs w:val="28"/>
          <w:lang w:val="es-ES_tradnl" w:eastAsia="es-CO"/>
        </w:rPr>
        <w:t xml:space="preserve">Norma originalmente aprobada. </w:t>
      </w: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El artículo 11 del Decreto Ley 1793 de 2000, originalmente prescribía como causal extraordinaria de retiro, para soldados profesionales, la prolongación de la detención preventiva que superara los sesenta (60) días calendario. </w:t>
      </w: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En virtud de esta disposición los soldados profesionales e infantes de marina profesionales cuya medida de aseguramiento consistente en detención preventiva sobrepasaba dicho término, eran retirados del servicio activo, aun cuando no existiera decisión judicial en firme que declarara su responsabilidad penal o disciplinaria.  </w:t>
      </w: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numPr>
          <w:ilvl w:val="0"/>
          <w:numId w:val="15"/>
        </w:numPr>
        <w:spacing w:before="28" w:after="28" w:line="288" w:lineRule="atLeast"/>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b/>
          <w:i/>
          <w:sz w:val="28"/>
          <w:szCs w:val="28"/>
          <w:lang w:val="es-ES_tradnl" w:eastAsia="es-CO"/>
        </w:rPr>
        <w:t>La exequibilidad condicionada de la norma.</w:t>
      </w: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sz w:val="28"/>
          <w:szCs w:val="28"/>
          <w:lang w:val="es-ES_tradnl" w:eastAsia="es-CO"/>
        </w:rPr>
        <w:t xml:space="preserve">En el año 2012, en ejercicio de la acción pública de inconstitucionalidad, consagrada en el artículo 241 de la Constitución Política, un ciudadano demandó el citado artículo 11 del Decreto Ley 1793 de 2000, aduciendo que el mismo violaba el artículo 13, 29 y 25 constitucionales, bajo los cargos de violación a los derechos a la </w:t>
      </w:r>
      <w:r w:rsidRPr="008120A5">
        <w:rPr>
          <w:rFonts w:ascii="Times New Roman" w:eastAsia="Times New Roman" w:hAnsi="Times New Roman" w:cs="Times New Roman"/>
          <w:i/>
          <w:sz w:val="28"/>
          <w:szCs w:val="28"/>
          <w:lang w:val="es-ES_tradnl" w:eastAsia="es-CO"/>
        </w:rPr>
        <w:t>igualdad, presunción de inocencia y al trabajo.</w:t>
      </w: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i/>
          <w:sz w:val="28"/>
          <w:szCs w:val="28"/>
          <w:lang w:val="es-ES_tradnl" w:eastAsia="es-CO"/>
        </w:rPr>
      </w:pP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Mediante sentencia C-289 de 2012, con ponencia del Magistrado Humberto Sierra Porto,  la Corte Constitucional resolvió declarar la exequibilidad del citado artículo 11 a condición de que se el término “retiro” se entendiera como “suspensión”, y en consecuencia excluyó del ordenamiento el artículo 8.a)3 del mismo decreto que consagraba como causal de retiro para Soldados Profesionales e Infantes de Marina la prolongación superior de sesenta (60) días calendario de la detención preventiva.</w:t>
      </w: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A consecuencia de lo resuelto por la Corte, en los eventos en los que un militar de esta categoría estuviere detenido preventivamente por más del término señalado, no podía ser retirado de la Institución, pero sí suspendido en el ejercicio de sus funciones. El problema no resuelto por la Corte consistió en que nada dijo de la forma en que ello se llevaría a cabo, esto es, si para que procediera dicha medida administrativa era necesaria la previa solicitud de la autoridad judicial o disciplinaria competente o, como finalmente opera en la actualidad, la suspensión se aplicaría en forma automática por parte de los Comandantes de cada Fuerza por el solo cumplimiento del término indicado. </w:t>
      </w:r>
    </w:p>
    <w:p w:rsidR="00DA7F47" w:rsidRPr="008120A5" w:rsidRDefault="00DA7F47" w:rsidP="00DA7F47">
      <w:pPr>
        <w:pStyle w:val="Prrafodelista"/>
        <w:spacing w:before="28" w:after="28" w:line="288" w:lineRule="atLeast"/>
        <w:jc w:val="both"/>
        <w:textAlignment w:val="center"/>
        <w:rPr>
          <w:rFonts w:ascii="Times New Roman" w:eastAsia="Times New Roman" w:hAnsi="Times New Roman" w:cs="Times New Roman"/>
          <w:i/>
          <w:sz w:val="28"/>
          <w:szCs w:val="28"/>
          <w:lang w:val="es-ES_tradnl" w:eastAsia="es-CO"/>
        </w:rPr>
      </w:pPr>
      <w:r w:rsidRPr="008120A5">
        <w:rPr>
          <w:rFonts w:ascii="Times New Roman" w:eastAsia="Times New Roman" w:hAnsi="Times New Roman" w:cs="Times New Roman"/>
          <w:i/>
          <w:sz w:val="28"/>
          <w:szCs w:val="28"/>
          <w:lang w:val="es-ES_tradnl" w:eastAsia="es-CO"/>
        </w:rPr>
        <w:t xml:space="preserve"> </w:t>
      </w:r>
    </w:p>
    <w:p w:rsidR="00DA7F47" w:rsidRPr="008120A5" w:rsidRDefault="00DA7F47" w:rsidP="00DA7F47">
      <w:pPr>
        <w:pStyle w:val="Prrafodelista"/>
        <w:numPr>
          <w:ilvl w:val="0"/>
          <w:numId w:val="15"/>
        </w:numPr>
        <w:spacing w:before="28" w:after="28" w:line="288" w:lineRule="atLeast"/>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b/>
          <w:i/>
          <w:sz w:val="28"/>
          <w:szCs w:val="28"/>
          <w:lang w:val="es-ES_tradnl" w:eastAsia="es-CO"/>
        </w:rPr>
        <w:t>Aclaración de la sentencia C-282 de 2012.</w:t>
      </w:r>
    </w:p>
    <w:p w:rsidR="00DA7F47" w:rsidRDefault="00DA7F47" w:rsidP="00DA7F47">
      <w:pPr>
        <w:pStyle w:val="Prrafodelista"/>
        <w:spacing w:before="28" w:after="28" w:line="288" w:lineRule="atLeast"/>
        <w:jc w:val="both"/>
        <w:textAlignment w:val="center"/>
        <w:rPr>
          <w:rFonts w:ascii="Times New Roman" w:hAnsi="Times New Roman" w:cs="Times New Roman"/>
          <w:i/>
          <w:sz w:val="28"/>
          <w:szCs w:val="28"/>
        </w:rPr>
      </w:pPr>
      <w:r w:rsidRPr="008120A5">
        <w:rPr>
          <w:rFonts w:ascii="Times New Roman" w:eastAsia="Times New Roman" w:hAnsi="Times New Roman" w:cs="Times New Roman"/>
          <w:sz w:val="28"/>
          <w:szCs w:val="28"/>
          <w:lang w:val="es-ES_tradnl" w:eastAsia="es-CO"/>
        </w:rPr>
        <w:t xml:space="preserve">En respuesta a una solicitud de aclaración de la sentencia C-282 elevada por el mismo ciudadano demandante de la norma, la Sala Plena de la Corte Constitucional indicó que </w:t>
      </w:r>
      <w:r w:rsidRPr="008120A5">
        <w:rPr>
          <w:rFonts w:ascii="Times New Roman" w:eastAsia="Times New Roman" w:hAnsi="Times New Roman" w:cs="Times New Roman"/>
          <w:i/>
          <w:sz w:val="28"/>
          <w:szCs w:val="28"/>
          <w:lang w:val="es-ES_tradnl" w:eastAsia="es-CO"/>
        </w:rPr>
        <w:t>“</w:t>
      </w:r>
      <w:r w:rsidRPr="008120A5">
        <w:rPr>
          <w:rFonts w:ascii="Times New Roman" w:hAnsi="Times New Roman" w:cs="Times New Roman"/>
          <w:i/>
          <w:sz w:val="28"/>
          <w:szCs w:val="28"/>
        </w:rPr>
        <w:t xml:space="preserve">si existiera tal “vacío jurídico”, sería un vacío de regulación que la Corte Constitucional no está llamada superar según sus competencias constitucionales.  Ello le correspondería, si fuera el caso, al legislador. Así mismo, las autoridades administrativas y judiciales que deban aplicar la norma declarada condicionalmente exequible cuentan con instrumentos jurídicos para llenarlo” (…) </w:t>
      </w:r>
      <w:r w:rsidRPr="008120A5">
        <w:rPr>
          <w:rFonts w:ascii="Times New Roman" w:eastAsia="Times New Roman" w:hAnsi="Times New Roman" w:cs="Times New Roman"/>
          <w:sz w:val="28"/>
          <w:szCs w:val="28"/>
          <w:lang w:val="es-ES_tradnl" w:eastAsia="es-CO"/>
        </w:rPr>
        <w:t>“</w:t>
      </w:r>
      <w:r w:rsidRPr="008120A5">
        <w:rPr>
          <w:rFonts w:ascii="Times New Roman" w:hAnsi="Times New Roman" w:cs="Times New Roman"/>
          <w:i/>
          <w:sz w:val="28"/>
          <w:szCs w:val="28"/>
        </w:rPr>
        <w:t xml:space="preserve">toda inconformidad con la manera en la </w:t>
      </w:r>
    </w:p>
    <w:p w:rsidR="00DA7F47" w:rsidRDefault="00DA7F47" w:rsidP="00DA7F47">
      <w:pPr>
        <w:pStyle w:val="Prrafodelista"/>
        <w:spacing w:before="28" w:after="28" w:line="288" w:lineRule="atLeast"/>
        <w:jc w:val="both"/>
        <w:textAlignment w:val="center"/>
        <w:rPr>
          <w:rFonts w:ascii="Times New Roman" w:hAnsi="Times New Roman" w:cs="Times New Roman"/>
          <w:i/>
          <w:sz w:val="28"/>
          <w:szCs w:val="28"/>
        </w:rPr>
      </w:pPr>
    </w:p>
    <w:p w:rsidR="00DA7F47" w:rsidRPr="008120A5" w:rsidRDefault="00DA7F47" w:rsidP="00DA7F47">
      <w:pPr>
        <w:pStyle w:val="Prrafodelista"/>
        <w:spacing w:before="28" w:after="28" w:line="288" w:lineRule="atLeast"/>
        <w:jc w:val="both"/>
        <w:textAlignment w:val="center"/>
        <w:rPr>
          <w:rFonts w:ascii="Times New Roman" w:hAnsi="Times New Roman" w:cs="Times New Roman"/>
          <w:sz w:val="28"/>
          <w:szCs w:val="28"/>
        </w:rPr>
      </w:pPr>
      <w:r w:rsidRPr="008120A5">
        <w:rPr>
          <w:rFonts w:ascii="Times New Roman" w:hAnsi="Times New Roman" w:cs="Times New Roman"/>
          <w:i/>
          <w:sz w:val="28"/>
          <w:szCs w:val="28"/>
        </w:rPr>
        <w:t>cual las autoridades administrativas apliquen la sentencia C-289 de 2012 deberá ser resuelta en su momento por las autoridades judiciales competentes.”</w:t>
      </w:r>
      <w:r w:rsidRPr="008120A5">
        <w:rPr>
          <w:rFonts w:ascii="Times New Roman" w:hAnsi="Times New Roman" w:cs="Times New Roman"/>
          <w:sz w:val="28"/>
          <w:szCs w:val="28"/>
        </w:rPr>
        <w:t xml:space="preserve"> (Auto 159 de 2012). </w:t>
      </w:r>
    </w:p>
    <w:p w:rsidR="00DA7F47" w:rsidRPr="008120A5" w:rsidRDefault="00DA7F47" w:rsidP="00DA7F47">
      <w:pPr>
        <w:pStyle w:val="Prrafodelista"/>
        <w:spacing w:before="28" w:after="28" w:line="288" w:lineRule="atLeast"/>
        <w:jc w:val="both"/>
        <w:textAlignment w:val="center"/>
        <w:rPr>
          <w:rFonts w:ascii="Times New Roman" w:hAnsi="Times New Roman" w:cs="Times New Roman"/>
          <w:sz w:val="28"/>
          <w:szCs w:val="28"/>
        </w:rPr>
      </w:pPr>
    </w:p>
    <w:p w:rsidR="00DA7F47" w:rsidRPr="008120A5" w:rsidRDefault="00DA7F47" w:rsidP="00DA7F47">
      <w:pPr>
        <w:pStyle w:val="Prrafodelista"/>
        <w:spacing w:before="28" w:after="28" w:line="288" w:lineRule="atLeast"/>
        <w:jc w:val="both"/>
        <w:textAlignment w:val="center"/>
        <w:rPr>
          <w:rFonts w:ascii="Times New Roman" w:hAnsi="Times New Roman" w:cs="Times New Roman"/>
          <w:i/>
          <w:sz w:val="28"/>
          <w:szCs w:val="28"/>
        </w:rPr>
      </w:pPr>
      <w:r w:rsidRPr="008120A5">
        <w:rPr>
          <w:rFonts w:ascii="Times New Roman" w:hAnsi="Times New Roman" w:cs="Times New Roman"/>
          <w:sz w:val="28"/>
          <w:szCs w:val="28"/>
        </w:rPr>
        <w:t xml:space="preserve">El actor había solicitado la aclaración en razón a que, en su sentir, </w:t>
      </w:r>
      <w:r w:rsidRPr="008120A5">
        <w:rPr>
          <w:rFonts w:ascii="Times New Roman" w:hAnsi="Times New Roman" w:cs="Times New Roman"/>
          <w:i/>
          <w:sz w:val="28"/>
          <w:szCs w:val="28"/>
        </w:rPr>
        <w:t>“el fallo deja dos problemas jurídicos interesantes: 1) En el estatuto jurídico del soldado profesional no existe el concepto de suspendido. Se plantea entonces el interrogante de qué debe entender el ejército nacional por suspendido, en remplazo de retirado. 2) Que hacer con los soldados profesionales que ya fueron retirados en aplicación del numeral 3, literal A del artículo 8 de decreto extraordinario 1793 de 2000, que fue declarado inexequible y del artículo 11 de esa misma ley, que es declarada exequible pero condicionalmente.”</w:t>
      </w:r>
    </w:p>
    <w:p w:rsidR="00DA7F47" w:rsidRPr="008120A5" w:rsidRDefault="00DA7F47" w:rsidP="00DA7F47">
      <w:pPr>
        <w:pStyle w:val="Prrafodelista"/>
        <w:rPr>
          <w:b/>
          <w:i/>
          <w:sz w:val="28"/>
          <w:szCs w:val="28"/>
        </w:rPr>
      </w:pPr>
    </w:p>
    <w:p w:rsidR="00DA7F47" w:rsidRPr="008120A5" w:rsidRDefault="00DA7F47" w:rsidP="00DA7F47">
      <w:pPr>
        <w:pStyle w:val="Prrafodelista"/>
        <w:numPr>
          <w:ilvl w:val="0"/>
          <w:numId w:val="15"/>
        </w:numPr>
        <w:spacing w:before="28" w:after="28" w:line="288" w:lineRule="atLeast"/>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b/>
          <w:i/>
          <w:sz w:val="28"/>
          <w:szCs w:val="28"/>
          <w:lang w:val="es-ES_tradnl" w:eastAsia="es-CO"/>
        </w:rPr>
        <w:t xml:space="preserve">Expedición del Decreto Reglamentario 2367 de 2012. </w:t>
      </w:r>
      <w:r w:rsidRPr="008120A5">
        <w:rPr>
          <w:rFonts w:ascii="Times New Roman" w:eastAsia="Times New Roman" w:hAnsi="Times New Roman" w:cs="Times New Roman"/>
          <w:sz w:val="28"/>
          <w:szCs w:val="28"/>
          <w:lang w:val="es-ES_tradnl" w:eastAsia="es-CO"/>
        </w:rPr>
        <w:t xml:space="preserve"> </w:t>
      </w:r>
    </w:p>
    <w:p w:rsidR="00DA7F47" w:rsidRPr="008120A5" w:rsidRDefault="00DA7F47" w:rsidP="00DA7F47">
      <w:pPr>
        <w:spacing w:before="28" w:after="28" w:line="288" w:lineRule="atLeast"/>
        <w:ind w:left="708"/>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Con fundamento a lo afirmado por la Corte en el Auto 159, el Gobierno Nacional expidió el Decreto 2367 de 2012, </w:t>
      </w:r>
      <w:r w:rsidRPr="008120A5">
        <w:rPr>
          <w:rFonts w:ascii="Times New Roman" w:eastAsia="Times New Roman" w:hAnsi="Times New Roman" w:cs="Times New Roman"/>
          <w:i/>
          <w:sz w:val="28"/>
          <w:szCs w:val="28"/>
          <w:lang w:val="es-ES_tradnl" w:eastAsia="es-CO"/>
        </w:rPr>
        <w:t xml:space="preserve">por medio del cual se reglamenta el artículo 11 del Decreto 1793 de 2000 y se dictan otras disposiciones, </w:t>
      </w:r>
      <w:r w:rsidRPr="008120A5">
        <w:rPr>
          <w:rFonts w:ascii="Times New Roman" w:eastAsia="Times New Roman" w:hAnsi="Times New Roman" w:cs="Times New Roman"/>
          <w:sz w:val="28"/>
          <w:szCs w:val="28"/>
          <w:lang w:val="es-ES_tradnl" w:eastAsia="es-CO"/>
        </w:rPr>
        <w:t xml:space="preserve">definiendo y regulando la figura de la </w:t>
      </w:r>
      <w:r w:rsidRPr="008120A5">
        <w:rPr>
          <w:rFonts w:ascii="Times New Roman" w:eastAsia="Times New Roman" w:hAnsi="Times New Roman" w:cs="Times New Roman"/>
          <w:i/>
          <w:sz w:val="28"/>
          <w:szCs w:val="28"/>
          <w:lang w:val="es-ES_tradnl" w:eastAsia="es-CO"/>
        </w:rPr>
        <w:t>“suspensión”</w:t>
      </w:r>
      <w:r w:rsidRPr="008120A5">
        <w:rPr>
          <w:rFonts w:ascii="Times New Roman" w:eastAsia="Times New Roman" w:hAnsi="Times New Roman" w:cs="Times New Roman"/>
          <w:sz w:val="28"/>
          <w:szCs w:val="28"/>
          <w:lang w:val="es-ES_tradnl" w:eastAsia="es-CO"/>
        </w:rPr>
        <w:t xml:space="preserve">, no prevista en el estatuto de carrera de los Soldados Profesionales e Infantes de Marina Profesionales. </w:t>
      </w:r>
    </w:p>
    <w:p w:rsidR="00DA7F47" w:rsidRPr="008120A5" w:rsidRDefault="00DA7F47" w:rsidP="00DA7F47">
      <w:pPr>
        <w:spacing w:before="28" w:after="28" w:line="288" w:lineRule="atLeast"/>
        <w:ind w:left="708"/>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40" w:lineRule="auto"/>
        <w:ind w:left="708"/>
        <w:jc w:val="both"/>
        <w:textAlignment w:val="center"/>
        <w:rPr>
          <w:rFonts w:ascii="Times New Roman" w:hAnsi="Times New Roman" w:cs="Times New Roman"/>
          <w:i/>
          <w:sz w:val="28"/>
          <w:szCs w:val="28"/>
        </w:rPr>
      </w:pPr>
      <w:r w:rsidRPr="008120A5">
        <w:rPr>
          <w:rFonts w:ascii="Times New Roman" w:hAnsi="Times New Roman" w:cs="Times New Roman"/>
          <w:b/>
          <w:bCs/>
          <w:i/>
          <w:sz w:val="28"/>
          <w:szCs w:val="28"/>
        </w:rPr>
        <w:t xml:space="preserve">“ARTÍCULO 1. SUSPENSIÓN POR DETENCIÓN PREVENTIVA. </w:t>
      </w:r>
      <w:r w:rsidRPr="008120A5">
        <w:rPr>
          <w:rFonts w:ascii="Times New Roman" w:hAnsi="Times New Roman" w:cs="Times New Roman"/>
          <w:i/>
          <w:sz w:val="28"/>
          <w:szCs w:val="28"/>
        </w:rPr>
        <w:t>El Soldado Profesional o Infante de Marina Profesional a quien se le profiera la medida de aseguramiento consistente en Detención Preventiva que exceda de 60 días calendario, será suspendido en funciones y atribuciones. Esta se dispondrá por el Comandante de la respectiva Fuerza.</w:t>
      </w:r>
    </w:p>
    <w:p w:rsidR="00DA7F47" w:rsidRPr="003542BF" w:rsidRDefault="00DA7F47" w:rsidP="00DA7F47">
      <w:pPr>
        <w:autoSpaceDE w:val="0"/>
        <w:autoSpaceDN w:val="0"/>
        <w:adjustRightInd w:val="0"/>
        <w:spacing w:after="0" w:line="240" w:lineRule="auto"/>
        <w:rPr>
          <w:rFonts w:ascii="Times New Roman" w:hAnsi="Times New Roman" w:cs="Times New Roman"/>
          <w:i/>
          <w:color w:val="000000"/>
          <w:sz w:val="28"/>
          <w:szCs w:val="28"/>
        </w:rPr>
      </w:pPr>
    </w:p>
    <w:p w:rsidR="00DA7F47" w:rsidRPr="003542BF" w:rsidRDefault="00DA7F47" w:rsidP="00DA7F47">
      <w:pPr>
        <w:autoSpaceDE w:val="0"/>
        <w:autoSpaceDN w:val="0"/>
        <w:adjustRightInd w:val="0"/>
        <w:spacing w:after="240" w:line="240" w:lineRule="auto"/>
        <w:ind w:left="772" w:right="382"/>
        <w:jc w:val="both"/>
        <w:rPr>
          <w:rFonts w:ascii="Times New Roman" w:hAnsi="Times New Roman" w:cs="Times New Roman"/>
          <w:i/>
          <w:sz w:val="28"/>
          <w:szCs w:val="28"/>
        </w:rPr>
      </w:pPr>
      <w:r w:rsidRPr="003542BF">
        <w:rPr>
          <w:rFonts w:ascii="Times New Roman" w:hAnsi="Times New Roman" w:cs="Times New Roman"/>
          <w:i/>
          <w:sz w:val="28"/>
          <w:szCs w:val="28"/>
        </w:rPr>
        <w:t xml:space="preserve">PARÁGRAFO 1. Durante el tiempo de la suspensión el Soldado o Infante de Marina Profesional, percibirá las primas, subsidios y el cincuenta por ciento (50%) del salario mensual devengado. Si fuere absuelto o favorecido con preclusión de la investigación, deberá reintegrársele el porcentaje del salario retenido. </w:t>
      </w:r>
    </w:p>
    <w:p w:rsidR="00DA7F47" w:rsidRDefault="00DA7F47" w:rsidP="00DA7F47">
      <w:pPr>
        <w:autoSpaceDE w:val="0"/>
        <w:autoSpaceDN w:val="0"/>
        <w:adjustRightInd w:val="0"/>
        <w:spacing w:after="240" w:line="240" w:lineRule="auto"/>
        <w:ind w:left="772" w:right="382"/>
        <w:jc w:val="both"/>
        <w:rPr>
          <w:rFonts w:ascii="Times New Roman" w:hAnsi="Times New Roman" w:cs="Times New Roman"/>
          <w:i/>
          <w:sz w:val="28"/>
          <w:szCs w:val="28"/>
        </w:rPr>
      </w:pPr>
      <w:r w:rsidRPr="003542BF">
        <w:rPr>
          <w:rFonts w:ascii="Times New Roman" w:hAnsi="Times New Roman" w:cs="Times New Roman"/>
          <w:i/>
          <w:sz w:val="28"/>
          <w:szCs w:val="28"/>
        </w:rPr>
        <w:t xml:space="preserve">PARÁGRAFO 2. Cuando la sentencia o fallo fuere condenatorio las sumas retenidas en desarrollo de lo dispuesto en el presente </w:t>
      </w:r>
    </w:p>
    <w:p w:rsidR="00DA7F47" w:rsidRDefault="00DA7F47" w:rsidP="00DA7F47">
      <w:pPr>
        <w:autoSpaceDE w:val="0"/>
        <w:autoSpaceDN w:val="0"/>
        <w:adjustRightInd w:val="0"/>
        <w:spacing w:after="240" w:line="240" w:lineRule="auto"/>
        <w:ind w:left="772" w:right="382"/>
        <w:jc w:val="both"/>
        <w:rPr>
          <w:rFonts w:ascii="Times New Roman" w:hAnsi="Times New Roman" w:cs="Times New Roman"/>
          <w:i/>
          <w:sz w:val="28"/>
          <w:szCs w:val="28"/>
        </w:rPr>
      </w:pPr>
    </w:p>
    <w:p w:rsidR="00DA7F47" w:rsidRPr="003542BF" w:rsidRDefault="00DA7F47" w:rsidP="00DA7F47">
      <w:pPr>
        <w:autoSpaceDE w:val="0"/>
        <w:autoSpaceDN w:val="0"/>
        <w:adjustRightInd w:val="0"/>
        <w:spacing w:after="240" w:line="240" w:lineRule="auto"/>
        <w:ind w:left="772" w:right="382"/>
        <w:jc w:val="both"/>
        <w:rPr>
          <w:rFonts w:ascii="Times New Roman" w:hAnsi="Times New Roman" w:cs="Times New Roman"/>
          <w:i/>
          <w:sz w:val="28"/>
          <w:szCs w:val="28"/>
        </w:rPr>
      </w:pPr>
      <w:r w:rsidRPr="003542BF">
        <w:rPr>
          <w:rFonts w:ascii="Times New Roman" w:hAnsi="Times New Roman" w:cs="Times New Roman"/>
          <w:i/>
          <w:sz w:val="28"/>
          <w:szCs w:val="28"/>
        </w:rPr>
        <w:t xml:space="preserve">artículo pasarán a formar parte de los recursos propios de la caja de Retiro de las Fuerzas Militares. </w:t>
      </w:r>
    </w:p>
    <w:p w:rsidR="00DA7F47" w:rsidRPr="003542BF" w:rsidRDefault="00DA7F47" w:rsidP="00DA7F47">
      <w:pPr>
        <w:autoSpaceDE w:val="0"/>
        <w:autoSpaceDN w:val="0"/>
        <w:adjustRightInd w:val="0"/>
        <w:spacing w:after="240" w:line="240" w:lineRule="auto"/>
        <w:ind w:left="772" w:right="382"/>
        <w:jc w:val="both"/>
        <w:rPr>
          <w:rFonts w:ascii="Times New Roman" w:hAnsi="Times New Roman" w:cs="Times New Roman"/>
          <w:i/>
          <w:sz w:val="28"/>
          <w:szCs w:val="28"/>
        </w:rPr>
      </w:pPr>
      <w:r w:rsidRPr="003542BF">
        <w:rPr>
          <w:rFonts w:ascii="Times New Roman" w:hAnsi="Times New Roman" w:cs="Times New Roman"/>
          <w:i/>
          <w:sz w:val="28"/>
          <w:szCs w:val="28"/>
        </w:rPr>
        <w:t xml:space="preserve">PARAGRAFO 3. Cuando el tiempo de la suspensión sea superior al de la condena impuesta por la autoridad competente, se reintegrará el excedente del salario retenido. </w:t>
      </w:r>
    </w:p>
    <w:p w:rsidR="00DA7F47" w:rsidRPr="003542BF" w:rsidRDefault="00DA7F47" w:rsidP="00DA7F47">
      <w:pPr>
        <w:autoSpaceDE w:val="0"/>
        <w:autoSpaceDN w:val="0"/>
        <w:adjustRightInd w:val="0"/>
        <w:spacing w:after="240" w:line="240" w:lineRule="auto"/>
        <w:ind w:left="772" w:right="382"/>
        <w:jc w:val="both"/>
        <w:rPr>
          <w:rFonts w:ascii="Times New Roman" w:hAnsi="Times New Roman" w:cs="Times New Roman"/>
          <w:i/>
          <w:sz w:val="28"/>
          <w:szCs w:val="28"/>
        </w:rPr>
      </w:pPr>
      <w:r w:rsidRPr="003542BF">
        <w:rPr>
          <w:rFonts w:ascii="Times New Roman" w:hAnsi="Times New Roman" w:cs="Times New Roman"/>
          <w:i/>
          <w:sz w:val="28"/>
          <w:szCs w:val="28"/>
        </w:rPr>
        <w:t xml:space="preserve">PARÁGRAFO 4. Cuando se conceda el derecho de libertad provisional o condena de ejecución condicional no, procederá la suspensión de funciones y atribuciones. </w:t>
      </w:r>
    </w:p>
    <w:p w:rsidR="00DA7F47" w:rsidRPr="003542BF" w:rsidRDefault="00DA7F47" w:rsidP="00DA7F47">
      <w:pPr>
        <w:autoSpaceDE w:val="0"/>
        <w:autoSpaceDN w:val="0"/>
        <w:adjustRightInd w:val="0"/>
        <w:spacing w:after="240" w:line="240" w:lineRule="auto"/>
        <w:ind w:left="772" w:right="382"/>
        <w:jc w:val="both"/>
        <w:rPr>
          <w:rFonts w:ascii="Times New Roman" w:hAnsi="Times New Roman" w:cs="Times New Roman"/>
          <w:i/>
          <w:sz w:val="28"/>
          <w:szCs w:val="28"/>
        </w:rPr>
      </w:pPr>
      <w:r w:rsidRPr="003542BF">
        <w:rPr>
          <w:rFonts w:ascii="Times New Roman" w:hAnsi="Times New Roman" w:cs="Times New Roman"/>
          <w:i/>
          <w:sz w:val="28"/>
          <w:szCs w:val="28"/>
        </w:rPr>
        <w:t xml:space="preserve">ARTÍCULO 2. LEVANTAMIENTO DE LA SUSPENSIÓN. Habrá lugar a levantar la suspensión del Soldado o Infante de Marina Profesional, con base en la comunicación de autoridad competente, a solicitud de parte, o de oficio, cuando hubiere sentencia o fallo absolutorio, se hubiesen vencido los términos de la suspensión provisional sin que se haya recibido comunicación de su prórroga, preclusión de la investigación, cesación de procedimiento o revocatoria del auto de detención. </w:t>
      </w:r>
    </w:p>
    <w:p w:rsidR="00DA7F47" w:rsidRPr="003542BF" w:rsidRDefault="00DA7F47" w:rsidP="00DA7F47">
      <w:pPr>
        <w:autoSpaceDE w:val="0"/>
        <w:autoSpaceDN w:val="0"/>
        <w:adjustRightInd w:val="0"/>
        <w:spacing w:after="240" w:line="240" w:lineRule="auto"/>
        <w:ind w:left="772" w:right="382"/>
        <w:jc w:val="both"/>
        <w:rPr>
          <w:rFonts w:ascii="Times New Roman" w:hAnsi="Times New Roman" w:cs="Times New Roman"/>
          <w:i/>
          <w:sz w:val="28"/>
          <w:szCs w:val="28"/>
        </w:rPr>
      </w:pPr>
      <w:r w:rsidRPr="003542BF">
        <w:rPr>
          <w:rFonts w:ascii="Times New Roman" w:hAnsi="Times New Roman" w:cs="Times New Roman"/>
          <w:i/>
          <w:sz w:val="28"/>
          <w:szCs w:val="28"/>
        </w:rPr>
        <w:t>A partir de la fecha del levantamiento de la suspensión, el Soldado o Infante de Marina Profesional, devengará la totalidad</w:t>
      </w:r>
      <w:r w:rsidRPr="008120A5">
        <w:rPr>
          <w:rFonts w:ascii="Times New Roman" w:hAnsi="Times New Roman" w:cs="Times New Roman"/>
          <w:i/>
          <w:sz w:val="28"/>
          <w:szCs w:val="28"/>
        </w:rPr>
        <w:t xml:space="preserve"> del salario mensual devengado.”</w:t>
      </w:r>
    </w:p>
    <w:p w:rsidR="00DA7F47" w:rsidRPr="008120A5" w:rsidRDefault="00DA7F47" w:rsidP="00DA7F47">
      <w:pPr>
        <w:spacing w:before="28" w:after="28" w:line="276" w:lineRule="auto"/>
        <w:ind w:left="708"/>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Como se observa, a pesar de que el artículo 1º trascrito coincide casi en su totalidad con el contenido del artículo 95 del Decreto Ley 1790 de 2000, régimen de carrera de Oficiales y Suboficiales de las Fuerzas Militares, ambas difieren sustancialmente en la forma en que se ha de aplicar la suspensión de  este personal y los Soldados Profesionales e infantes de Marina Profesionales, configurando un reprocha e injustificado trato discriminatorio a situaciones de hecho idénticas. </w:t>
      </w:r>
    </w:p>
    <w:p w:rsidR="00DA7F47" w:rsidRPr="008120A5" w:rsidRDefault="00DA7F47" w:rsidP="00DA7F47">
      <w:pPr>
        <w:spacing w:before="28" w:after="28" w:line="276" w:lineRule="auto"/>
        <w:ind w:left="708"/>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708"/>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Como ya se dijo, mientras que para que proceda la suspensión en el ejercicio de funciones y atribuciones de un Oficial o Suboficial de las Fuerzas Militares es requisito necesario la solicitud previa de la autoridad judicial o disciplinaria competente, para el caso de dar aplicación de la misma medida en los Soldados Profesionales ello no es </w:t>
      </w:r>
    </w:p>
    <w:p w:rsidR="00DA7F47" w:rsidRDefault="00DA7F47" w:rsidP="00DA7F47">
      <w:pPr>
        <w:spacing w:before="28" w:after="28" w:line="276" w:lineRule="auto"/>
        <w:ind w:left="708"/>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708"/>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necesario, pues basta con el simple hecho de que la detención preventiva se prolongue por un término superior a sesenta (60) días calendario para que proceda de manera automática la medida. </w:t>
      </w:r>
    </w:p>
    <w:p w:rsidR="00DA7F47" w:rsidRPr="008120A5" w:rsidRDefault="00DA7F47" w:rsidP="00DA7F47">
      <w:pPr>
        <w:spacing w:before="28" w:after="28" w:line="276" w:lineRule="auto"/>
        <w:ind w:left="708"/>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spacing w:before="28" w:after="28" w:line="276" w:lineRule="auto"/>
        <w:ind w:left="708"/>
        <w:jc w:val="both"/>
        <w:textAlignment w:val="center"/>
        <w:rPr>
          <w:rFonts w:ascii="Times New Roman" w:eastAsia="Times New Roman" w:hAnsi="Times New Roman" w:cs="Times New Roman"/>
          <w:sz w:val="28"/>
          <w:szCs w:val="28"/>
          <w:lang w:val="es-ES_tradnl" w:eastAsia="es-CO"/>
        </w:rPr>
      </w:pPr>
      <w:r w:rsidRPr="008120A5">
        <w:rPr>
          <w:rFonts w:ascii="Times New Roman" w:eastAsia="Times New Roman" w:hAnsi="Times New Roman" w:cs="Times New Roman"/>
          <w:sz w:val="28"/>
          <w:szCs w:val="28"/>
          <w:lang w:val="es-ES_tradnl" w:eastAsia="es-CO"/>
        </w:rPr>
        <w:t xml:space="preserve">De lo regulado por el Gobierno Nacional mediante el Decreto 2367 de 2012,  llama la atención que el artículo 2º corresponde sustancialmente a la misma descripción del artículo 96 del Decreto Ley 1790 de 2000, lo que resulta ser un contrasentido en razón a que prevé como causal para el levantamiento de la suspensión </w:t>
      </w:r>
      <w:r w:rsidRPr="008120A5">
        <w:rPr>
          <w:rFonts w:ascii="Times New Roman" w:eastAsia="Times New Roman" w:hAnsi="Times New Roman" w:cs="Times New Roman"/>
          <w:i/>
          <w:sz w:val="28"/>
          <w:szCs w:val="28"/>
          <w:lang w:val="es-ES_tradnl" w:eastAsia="es-CO"/>
        </w:rPr>
        <w:t>“la comunicación de la autoridad competente”</w:t>
      </w:r>
      <w:r w:rsidRPr="008120A5">
        <w:rPr>
          <w:rFonts w:ascii="Times New Roman" w:eastAsia="Times New Roman" w:hAnsi="Times New Roman" w:cs="Times New Roman"/>
          <w:sz w:val="28"/>
          <w:szCs w:val="28"/>
          <w:lang w:val="es-ES_tradnl" w:eastAsia="es-CO"/>
        </w:rPr>
        <w:t xml:space="preserve"> cuando para su imposición no se requiere de la solicitud previa de esta. </w:t>
      </w:r>
    </w:p>
    <w:p w:rsidR="00DA7F47" w:rsidRPr="008120A5" w:rsidRDefault="00DA7F47" w:rsidP="00DA7F47">
      <w:pPr>
        <w:spacing w:before="28" w:after="28" w:line="276" w:lineRule="auto"/>
        <w:ind w:left="708"/>
        <w:jc w:val="both"/>
        <w:textAlignment w:val="center"/>
        <w:rPr>
          <w:rFonts w:ascii="Times New Roman" w:eastAsia="Times New Roman" w:hAnsi="Times New Roman" w:cs="Times New Roman"/>
          <w:sz w:val="28"/>
          <w:szCs w:val="28"/>
          <w:lang w:val="es-ES_tradnl" w:eastAsia="es-CO"/>
        </w:rPr>
      </w:pPr>
    </w:p>
    <w:p w:rsidR="00DA7F47" w:rsidRPr="006130F2" w:rsidRDefault="00DA7F47" w:rsidP="00DA7F47">
      <w:pPr>
        <w:pStyle w:val="Prrafodelista"/>
        <w:numPr>
          <w:ilvl w:val="0"/>
          <w:numId w:val="15"/>
        </w:numPr>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b/>
          <w:i/>
          <w:sz w:val="28"/>
          <w:szCs w:val="28"/>
          <w:lang w:val="es-ES_tradnl" w:eastAsia="es-CO"/>
        </w:rPr>
        <w:t>Suspensión de funciones y atribuciones para Oficiales y Suboficiales de las Fuerzas Militares.</w:t>
      </w: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Necesariamente habrá de referirse a la regulación de la misma figura de la “suspensión” en el régimen o estatuto de carrera de Oficiales y suboficiales de las Fuerzas Militares, conforme lo dispuesto en el artículo 95 y siguientes del Decreto Ley 1790 de 2000.</w:t>
      </w: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Según se dijo antes, al trascribir y comentar el citado artículo, para el caso de Oficiales y Suboficiales la ley ha establecido como requisito necesario para que pueda aplicarse la suspensión en funciones y atribuciones, la solicitud en dicho sentido por parte de autoridad competente, judicial o disciplinaria. Hasta tanto no exista una solicitud o disposición judicial o disciplinaria en este sentido no es posible legalmente proceder con la suspensión del Oficial o el Suboficial, sin importar el tiempo en que se prolongue la medida de aseguramiento impuesta –consistente en detención preventiva—. </w:t>
      </w:r>
    </w:p>
    <w:p w:rsidR="00DA7F47"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Pr="006130F2" w:rsidRDefault="00DA7F47" w:rsidP="00DA7F47">
      <w:pPr>
        <w:pStyle w:val="Prrafodelista"/>
        <w:spacing w:before="28" w:after="28" w:line="288" w:lineRule="atLeast"/>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En consecuencia, entratándose de Oficiales o Suboficiales la restricción administrativa no opera de manera automática como si ocurre cuando el sujeto de la detención preventiva sea un Soldado Profesional o Infante de Marina. </w:t>
      </w:r>
    </w:p>
    <w:p w:rsidR="00DA7F47" w:rsidRDefault="00DA7F47" w:rsidP="00DA7F47">
      <w:pPr>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88" w:lineRule="atLeast"/>
        <w:jc w:val="both"/>
        <w:textAlignment w:val="center"/>
        <w:rPr>
          <w:rFonts w:ascii="Times New Roman" w:eastAsia="Times New Roman" w:hAnsi="Times New Roman" w:cs="Times New Roman"/>
          <w:sz w:val="28"/>
          <w:szCs w:val="28"/>
          <w:lang w:val="es-ES_tradnl" w:eastAsia="es-CO"/>
        </w:rPr>
      </w:pPr>
    </w:p>
    <w:p w:rsidR="00DA7F47" w:rsidRPr="008120A5" w:rsidRDefault="00DA7F47" w:rsidP="00DA7F47">
      <w:pPr>
        <w:pStyle w:val="Prrafodelista"/>
        <w:numPr>
          <w:ilvl w:val="0"/>
          <w:numId w:val="14"/>
        </w:numPr>
        <w:spacing w:before="28" w:after="28" w:line="288" w:lineRule="atLeast"/>
        <w:textAlignment w:val="center"/>
        <w:rPr>
          <w:rFonts w:ascii="Times New Roman" w:eastAsia="Times New Roman" w:hAnsi="Times New Roman" w:cs="Times New Roman"/>
          <w:b/>
          <w:sz w:val="28"/>
          <w:szCs w:val="28"/>
          <w:lang w:val="es-ES_tradnl" w:eastAsia="es-CO"/>
        </w:rPr>
      </w:pPr>
      <w:r w:rsidRPr="008120A5">
        <w:rPr>
          <w:rFonts w:ascii="Times New Roman" w:eastAsia="Times New Roman" w:hAnsi="Times New Roman" w:cs="Times New Roman"/>
          <w:b/>
          <w:sz w:val="28"/>
          <w:szCs w:val="28"/>
          <w:lang w:val="es-ES_tradnl" w:eastAsia="es-CO"/>
        </w:rPr>
        <w:t>JUSTIFICACIÓN DEL PROYECTO DE LEY</w:t>
      </w:r>
    </w:p>
    <w:p w:rsidR="00DA7F47" w:rsidRDefault="00DA7F47" w:rsidP="00DA7F47">
      <w:pPr>
        <w:spacing w:before="28" w:after="28" w:line="288" w:lineRule="atLeast"/>
        <w:ind w:left="360"/>
        <w:textAlignment w:val="center"/>
        <w:rPr>
          <w:rFonts w:ascii="Times New Roman" w:eastAsia="Times New Roman" w:hAnsi="Times New Roman" w:cs="Times New Roman"/>
          <w:b/>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sidRPr="00726722">
        <w:rPr>
          <w:rFonts w:ascii="Times New Roman" w:eastAsia="Times New Roman" w:hAnsi="Times New Roman" w:cs="Times New Roman"/>
          <w:sz w:val="28"/>
          <w:szCs w:val="28"/>
          <w:lang w:val="es-ES_tradnl" w:eastAsia="es-CO"/>
        </w:rPr>
        <w:t>De lo expuesto se evidencia con facilidad</w:t>
      </w:r>
      <w:r>
        <w:rPr>
          <w:rFonts w:ascii="Times New Roman" w:eastAsia="Times New Roman" w:hAnsi="Times New Roman" w:cs="Times New Roman"/>
          <w:sz w:val="28"/>
          <w:szCs w:val="28"/>
          <w:lang w:val="es-ES_tradnl" w:eastAsia="es-CO"/>
        </w:rPr>
        <w:t xml:space="preserve"> las razones de orden constitucional que justifican la aprobación de una reforma al artículo 11 del Decreto Ley 1793 de 2000. </w:t>
      </w:r>
    </w:p>
    <w:p w:rsidR="00DA7F47" w:rsidRDefault="00DA7F47" w:rsidP="00DA7F47">
      <w:pPr>
        <w:spacing w:before="28" w:after="28" w:line="276" w:lineRule="auto"/>
        <w:ind w:left="360"/>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El estado actual de la regulación del asunto ha mostrado una situación de desigualdad, odiosa a los postulados constitucionales de dignidad humana, igualdad y debido proceso, en detrimento de los intereses de los Soldados Profesionales e Infantes de Marina Profesionales de las Fuerzas Militares, para quienes la imposición de una medida de aseguramiento consistente en detención preventiva, no solo supone una circunstancia de vida sumamente penosa sino además motivo adicional para sentirse, con justa razón, sujetos de un trato discriminatorio.</w:t>
      </w: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Debe insistirse; el trato desigualitario que se acusa en este caso, se concreta en el hecho de que si bien tanto el Estatuto de Carrera para Oficiales y Suboficiales de las Fuerzas Militares (Decreto Ley 1790 de 2000) como el correspondiente a Soldados Profesionales (Decreto Ley 1793 de 2000 artículo 11, reglamentado por el Decreto 2367 de 2012) prevén la figura de la </w:t>
      </w:r>
      <w:r>
        <w:rPr>
          <w:rFonts w:ascii="Times New Roman" w:eastAsia="Times New Roman" w:hAnsi="Times New Roman" w:cs="Times New Roman"/>
          <w:i/>
          <w:sz w:val="28"/>
          <w:szCs w:val="28"/>
          <w:lang w:val="es-ES_tradnl" w:eastAsia="es-CO"/>
        </w:rPr>
        <w:t>“suspensión”,</w:t>
      </w:r>
      <w:r>
        <w:rPr>
          <w:rFonts w:ascii="Times New Roman" w:eastAsia="Times New Roman" w:hAnsi="Times New Roman" w:cs="Times New Roman"/>
          <w:sz w:val="28"/>
          <w:szCs w:val="28"/>
          <w:lang w:val="es-ES_tradnl" w:eastAsia="es-CO"/>
        </w:rPr>
        <w:t xml:space="preserve"> de modo injustificado se asocia la aplicación de esta medida administrativa para estos últimos servidores con la imposición de una medida de aseguramiento consistente en detención preventiva y a la simple prolongación de la restricción de la libertad por término superior a sesenta (60) días. Por el contrario, el artículo 95 del primero de los Estatutos de Carrera no lo ha previsto de esa manera, condicionando la suspensión del Oficial o suboficial a una solicitud –léase en la práctica “orden”—previa de una autoridad judicial o disciplinaria competente, mientras que cuando se trata de una medida de aseguramiento impuesta a un Soldado Profesional o Infante de Marina la suspensión opera como una medida automática. </w:t>
      </w: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La aplicación de estas disposiciones ha suscitado que en la práctica se presenten casos absurdos, como el que en un mismo proceso penal en el que un grupo de militares han sido detenidos preventivamente, sin que la autoridad judicial hubiere solicitado su suspensión en el ejercicio de funciones y atribuciones, los Oficiales y Suboficiales conserven en su integridad su sueldo básico, en tanto que los Soldados Profesionales –paradójicamente quienes menos perciben—son automáticamente suspendidos por disposición del Comandante de la Fuerza y, por ende, reducido a la mitad su asignación básica mensual. En no pocos casos el monto que finalmente termina percibiendo el soldado suspendido no garantiza siquiera el mínimo vital y conlleva graves crisis económicas en sus familias. </w:t>
      </w: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Siendo que se tratan de situaciones de hecho idénticas, no se explica el trato diferente que recibe uno y otro grupo de servidores, debiendo advertir que ello no cambia en sentido alguno por el grado o categoría que estos ostenten. Si la </w:t>
      </w:r>
      <w:r w:rsidRPr="00037387">
        <w:rPr>
          <w:rFonts w:ascii="Times New Roman" w:eastAsia="Times New Roman" w:hAnsi="Times New Roman" w:cs="Times New Roman"/>
          <w:i/>
          <w:sz w:val="28"/>
          <w:szCs w:val="28"/>
          <w:lang w:val="es-ES_tradnl" w:eastAsia="es-CO"/>
        </w:rPr>
        <w:t>suspensión</w:t>
      </w:r>
      <w:r>
        <w:rPr>
          <w:rFonts w:ascii="Times New Roman" w:eastAsia="Times New Roman" w:hAnsi="Times New Roman" w:cs="Times New Roman"/>
          <w:sz w:val="28"/>
          <w:szCs w:val="28"/>
          <w:lang w:val="es-ES_tradnl" w:eastAsia="es-CO"/>
        </w:rPr>
        <w:t xml:space="preserve"> en el ejercicio de funciones y atribuciones contemplada para Oficiales – Suboficiales y Soldados Profesionales está directamente relacionada con el devenir de un proceso sancionatorio, penal o disciplinario, es apenas necesario esperar que la misma proceda bajo idénticas condiciones. Lo contrario, como ocurre en la actualidad, constituye sin discusión alguna un tratamiento desigualitario.</w:t>
      </w: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r>
        <w:rPr>
          <w:rFonts w:ascii="Times New Roman" w:eastAsia="Times New Roman" w:hAnsi="Times New Roman" w:cs="Times New Roman"/>
          <w:sz w:val="28"/>
          <w:szCs w:val="28"/>
          <w:lang w:val="es-ES_tradnl" w:eastAsia="es-CO"/>
        </w:rPr>
        <w:t xml:space="preserve">La Corte Constitucional ya ha aceptado que, pese a las categorías y grados jerárquicos en que está organizada una institución castrense, y por tanto en principio inequiparables jurídicamente, es posible ubicarlos en un mismo plano en eventos en los que indistintamente de su condición se encuentran en una situación de hecho idéntica. En tale situaciones, corresponde, asimismo, idéntico tratamiento jurídico. </w:t>
      </w:r>
    </w:p>
    <w:p w:rsidR="00DA7F47" w:rsidRDefault="00DA7F47" w:rsidP="00DA7F47">
      <w:pPr>
        <w:spacing w:before="28" w:after="28" w:line="276" w:lineRule="auto"/>
        <w:ind w:left="360"/>
        <w:jc w:val="both"/>
        <w:textAlignment w:val="center"/>
        <w:rPr>
          <w:rFonts w:ascii="Times New Roman" w:eastAsia="Times New Roman" w:hAnsi="Times New Roman" w:cs="Times New Roman"/>
          <w:sz w:val="28"/>
          <w:szCs w:val="28"/>
          <w:lang w:val="es-ES_tradnl" w:eastAsia="es-CO"/>
        </w:rPr>
      </w:pPr>
    </w:p>
    <w:p w:rsidR="00DA7F47" w:rsidRDefault="00DA7F47" w:rsidP="00DA7F47">
      <w:pPr>
        <w:spacing w:after="0" w:line="276" w:lineRule="auto"/>
        <w:ind w:left="708" w:right="51"/>
        <w:jc w:val="both"/>
        <w:rPr>
          <w:rFonts w:ascii="Times New Roman" w:hAnsi="Times New Roman" w:cs="Times New Roman"/>
          <w:i/>
          <w:sz w:val="28"/>
          <w:szCs w:val="28"/>
        </w:rPr>
      </w:pPr>
      <w:r w:rsidRPr="00457568">
        <w:rPr>
          <w:rFonts w:ascii="Times New Roman" w:hAnsi="Times New Roman" w:cs="Times New Roman"/>
          <w:i/>
          <w:sz w:val="28"/>
          <w:szCs w:val="28"/>
        </w:rPr>
        <w:t xml:space="preserve">3.1 El derecho a la igualdad, consagrado en el artículo 13 de la Constitución, se traduce en la identidad de trato que debe darse a </w:t>
      </w:r>
    </w:p>
    <w:p w:rsidR="00DA7F47" w:rsidRDefault="00DA7F47" w:rsidP="00DA7F47">
      <w:pPr>
        <w:spacing w:after="0" w:line="276" w:lineRule="auto"/>
        <w:ind w:left="708" w:right="51"/>
        <w:jc w:val="both"/>
        <w:rPr>
          <w:rFonts w:ascii="Times New Roman" w:hAnsi="Times New Roman" w:cs="Times New Roman"/>
          <w:i/>
          <w:sz w:val="28"/>
          <w:szCs w:val="28"/>
        </w:rPr>
      </w:pPr>
    </w:p>
    <w:p w:rsidR="00DA7F47" w:rsidRPr="00457568" w:rsidRDefault="00DA7F47" w:rsidP="00DA7F47">
      <w:pPr>
        <w:spacing w:after="0" w:line="276" w:lineRule="auto"/>
        <w:ind w:left="708" w:right="51"/>
        <w:jc w:val="both"/>
        <w:rPr>
          <w:rFonts w:ascii="Times New Roman" w:hAnsi="Times New Roman" w:cs="Times New Roman"/>
          <w:i/>
          <w:sz w:val="28"/>
          <w:szCs w:val="28"/>
        </w:rPr>
      </w:pPr>
      <w:r w:rsidRPr="00457568">
        <w:rPr>
          <w:rFonts w:ascii="Times New Roman" w:hAnsi="Times New Roman" w:cs="Times New Roman"/>
          <w:i/>
          <w:sz w:val="28"/>
          <w:szCs w:val="28"/>
        </w:rPr>
        <w:t>aquellas personas que se encuentren en una misma situación de igualdad y en la divergencia de trato respecto de las que presenten características diferentes</w:t>
      </w:r>
      <w:r w:rsidRPr="00457568">
        <w:rPr>
          <w:rFonts w:ascii="Times New Roman" w:hAnsi="Times New Roman" w:cs="Times New Roman"/>
          <w:i/>
          <w:sz w:val="28"/>
          <w:szCs w:val="28"/>
          <w:vertAlign w:val="superscript"/>
        </w:rPr>
        <w:footnoteReference w:id="2"/>
      </w:r>
      <w:r w:rsidRPr="00457568">
        <w:rPr>
          <w:rFonts w:ascii="Times New Roman" w:hAnsi="Times New Roman" w:cs="Times New Roman"/>
          <w:i/>
          <w:sz w:val="28"/>
          <w:szCs w:val="28"/>
        </w:rPr>
        <w:t xml:space="preserve">. </w:t>
      </w:r>
      <w:r w:rsidRPr="008A14CA">
        <w:rPr>
          <w:rFonts w:ascii="Times New Roman" w:hAnsi="Times New Roman" w:cs="Times New Roman"/>
          <w:b/>
          <w:i/>
          <w:sz w:val="28"/>
          <w:szCs w:val="28"/>
          <w:u w:val="single"/>
        </w:rPr>
        <w:t>El legislador debe tratar con identidad a las personas que se encuentren en una misma situación fáctica</w:t>
      </w:r>
      <w:r w:rsidRPr="00457568">
        <w:rPr>
          <w:rFonts w:ascii="Times New Roman" w:hAnsi="Times New Roman" w:cs="Times New Roman"/>
          <w:i/>
          <w:sz w:val="28"/>
          <w:szCs w:val="28"/>
        </w:rPr>
        <w:t xml:space="preserve"> y dar un trato divergente a quienes se encuentren en situaciones diversas. </w:t>
      </w:r>
    </w:p>
    <w:p w:rsidR="00DA7F47" w:rsidRPr="00457568" w:rsidRDefault="00DA7F47" w:rsidP="00DA7F47">
      <w:pPr>
        <w:spacing w:after="0" w:line="276" w:lineRule="auto"/>
        <w:ind w:left="708" w:right="51"/>
        <w:jc w:val="both"/>
        <w:rPr>
          <w:rFonts w:ascii="Times New Roman" w:hAnsi="Times New Roman" w:cs="Times New Roman"/>
          <w:i/>
          <w:sz w:val="28"/>
          <w:szCs w:val="28"/>
        </w:rPr>
      </w:pPr>
      <w:r w:rsidRPr="00457568">
        <w:rPr>
          <w:rFonts w:ascii="Times New Roman" w:hAnsi="Times New Roman" w:cs="Times New Roman"/>
          <w:i/>
          <w:sz w:val="28"/>
          <w:szCs w:val="28"/>
        </w:rPr>
        <w:t>(…)</w:t>
      </w:r>
    </w:p>
    <w:p w:rsidR="00DA7F47" w:rsidRPr="00457568" w:rsidRDefault="00DA7F47" w:rsidP="00DA7F47">
      <w:pPr>
        <w:spacing w:after="0" w:line="276" w:lineRule="auto"/>
        <w:ind w:left="708" w:right="51"/>
        <w:jc w:val="both"/>
        <w:rPr>
          <w:rFonts w:ascii="Times New Roman" w:hAnsi="Times New Roman" w:cs="Times New Roman"/>
          <w:i/>
          <w:sz w:val="28"/>
          <w:szCs w:val="28"/>
        </w:rPr>
      </w:pPr>
      <w:r w:rsidRPr="008A14CA">
        <w:rPr>
          <w:rFonts w:ascii="Times New Roman" w:hAnsi="Times New Roman" w:cs="Times New Roman"/>
          <w:i/>
          <w:sz w:val="28"/>
          <w:szCs w:val="28"/>
          <w:u w:val="single"/>
        </w:rPr>
        <w:t>Para que se verifique un trato discriminatorio es necesario que esa diferenciación plasmada por el legislador sea odiosa y no responda a principios de razonabilidad y proporcionalidad</w:t>
      </w:r>
      <w:r w:rsidRPr="00457568">
        <w:rPr>
          <w:rFonts w:ascii="Times New Roman" w:hAnsi="Times New Roman" w:cs="Times New Roman"/>
          <w:i/>
          <w:sz w:val="28"/>
          <w:szCs w:val="28"/>
          <w:vertAlign w:val="superscript"/>
        </w:rPr>
        <w:footnoteReference w:id="3"/>
      </w:r>
      <w:r w:rsidRPr="00457568">
        <w:rPr>
          <w:rFonts w:ascii="Times New Roman" w:hAnsi="Times New Roman" w:cs="Times New Roman"/>
          <w:i/>
          <w:sz w:val="28"/>
          <w:szCs w:val="28"/>
        </w:rPr>
        <w:t>.</w:t>
      </w:r>
    </w:p>
    <w:p w:rsidR="00DA7F47" w:rsidRPr="00457568" w:rsidRDefault="00DA7F47" w:rsidP="00DA7F47">
      <w:pPr>
        <w:pStyle w:val="Textoindependiente"/>
        <w:spacing w:after="0" w:line="276" w:lineRule="auto"/>
        <w:ind w:left="708"/>
        <w:rPr>
          <w:i/>
          <w:sz w:val="28"/>
          <w:szCs w:val="28"/>
        </w:rPr>
      </w:pPr>
      <w:r>
        <w:rPr>
          <w:i/>
          <w:sz w:val="28"/>
          <w:szCs w:val="28"/>
        </w:rPr>
        <w:t>(…)</w:t>
      </w:r>
    </w:p>
    <w:p w:rsidR="00DA7F47" w:rsidRPr="00457568" w:rsidRDefault="00DA7F47" w:rsidP="00DA7F47">
      <w:pPr>
        <w:spacing w:after="0" w:line="276" w:lineRule="auto"/>
        <w:ind w:left="708"/>
        <w:jc w:val="both"/>
        <w:rPr>
          <w:rFonts w:ascii="Times New Roman" w:hAnsi="Times New Roman" w:cs="Times New Roman"/>
          <w:i/>
          <w:sz w:val="28"/>
          <w:szCs w:val="28"/>
        </w:rPr>
      </w:pPr>
      <w:r w:rsidRPr="00457568">
        <w:rPr>
          <w:rFonts w:ascii="Times New Roman" w:hAnsi="Times New Roman" w:cs="Times New Roman"/>
          <w:i/>
          <w:sz w:val="28"/>
          <w:szCs w:val="28"/>
        </w:rPr>
        <w:t>3.5. En el marco específico de este régimen especial, la jurisprudencia ha aceptado que es posible entrar a comparar las eventuales diferencias de trato que se establecen en su interior entre dos grupos de personas: los oficiales y suboficiales miembros de las Fuerzas Militares</w:t>
      </w:r>
      <w:r w:rsidRPr="00457568">
        <w:rPr>
          <w:rFonts w:ascii="Times New Roman" w:hAnsi="Times New Roman" w:cs="Times New Roman"/>
          <w:i/>
          <w:sz w:val="28"/>
          <w:szCs w:val="28"/>
          <w:vertAlign w:val="superscript"/>
        </w:rPr>
        <w:footnoteReference w:id="4"/>
      </w:r>
      <w:r w:rsidRPr="00457568">
        <w:rPr>
          <w:rFonts w:ascii="Times New Roman" w:hAnsi="Times New Roman" w:cs="Times New Roman"/>
          <w:i/>
          <w:sz w:val="28"/>
          <w:szCs w:val="28"/>
        </w:rPr>
        <w:t xml:space="preserve">. </w:t>
      </w:r>
    </w:p>
    <w:p w:rsidR="00DA7F47" w:rsidRPr="00457568" w:rsidRDefault="00DA7F47" w:rsidP="00DA7F47">
      <w:pPr>
        <w:spacing w:after="0" w:line="276" w:lineRule="auto"/>
        <w:ind w:left="708"/>
        <w:jc w:val="both"/>
        <w:rPr>
          <w:rFonts w:ascii="Times New Roman" w:hAnsi="Times New Roman" w:cs="Times New Roman"/>
          <w:i/>
          <w:sz w:val="28"/>
          <w:szCs w:val="28"/>
        </w:rPr>
      </w:pPr>
    </w:p>
    <w:p w:rsidR="00DA7F47" w:rsidRDefault="00DA7F47" w:rsidP="00DA7F47">
      <w:pPr>
        <w:spacing w:after="0" w:line="276" w:lineRule="auto"/>
        <w:ind w:left="708"/>
        <w:jc w:val="both"/>
        <w:rPr>
          <w:rFonts w:ascii="Times New Roman" w:hAnsi="Times New Roman" w:cs="Times New Roman"/>
          <w:i/>
          <w:sz w:val="28"/>
          <w:szCs w:val="28"/>
        </w:rPr>
      </w:pPr>
      <w:r w:rsidRPr="00457568">
        <w:rPr>
          <w:rFonts w:ascii="Times New Roman" w:hAnsi="Times New Roman" w:cs="Times New Roman"/>
          <w:i/>
          <w:sz w:val="28"/>
          <w:szCs w:val="28"/>
        </w:rPr>
        <w:t xml:space="preserve">Ha justificado esta posibilidad en varias consideraciones: (i) Se trata de grupos que si bien no son idénticos si se encuentran en la misma situación de hecho; (ii) Las razones que justifican excluir a los oficiales del régimen prestacional general, son las mismas que justifican excluir a los suboficiales; (iii) Las especiales condiciones laborales, de entrenamiento, de disciplina, y demás, en que se encuentran los miembros de las Fuerzas Militares es lo que lleva a la Constitución (artículo 217) y a la ley (artículo 279 de la Ley 100 de 1993) a ordenar al legislador expedir un régimen prestacional especial para ellos, sin distinguir entre oficiales o suboficiales; (iv) la regulación se efectuó mediante un solo decreto, el Decreto Ley 1211 de 1990, en el cual se contemplan varias normas que los cobijan a ambos grupos, en las que </w:t>
      </w:r>
    </w:p>
    <w:p w:rsidR="00DA7F47" w:rsidRDefault="00DA7F47" w:rsidP="00DA7F47">
      <w:pPr>
        <w:spacing w:after="0" w:line="276" w:lineRule="auto"/>
        <w:ind w:left="708"/>
        <w:jc w:val="both"/>
        <w:rPr>
          <w:rFonts w:ascii="Times New Roman" w:hAnsi="Times New Roman" w:cs="Times New Roman"/>
          <w:i/>
          <w:sz w:val="28"/>
          <w:szCs w:val="28"/>
        </w:rPr>
      </w:pPr>
    </w:p>
    <w:p w:rsidR="00DA7F47" w:rsidRDefault="00DA7F47" w:rsidP="00DA7F47">
      <w:pPr>
        <w:spacing w:after="0" w:line="276" w:lineRule="auto"/>
        <w:ind w:left="708"/>
        <w:jc w:val="both"/>
        <w:rPr>
          <w:rFonts w:ascii="Times New Roman" w:hAnsi="Times New Roman" w:cs="Times New Roman"/>
          <w:i/>
          <w:sz w:val="28"/>
          <w:szCs w:val="28"/>
        </w:rPr>
      </w:pPr>
    </w:p>
    <w:p w:rsidR="00DA7F47" w:rsidRDefault="00DA7F47" w:rsidP="00DA7F47">
      <w:pPr>
        <w:spacing w:after="0" w:line="276" w:lineRule="auto"/>
        <w:ind w:left="708"/>
        <w:jc w:val="both"/>
        <w:rPr>
          <w:rFonts w:ascii="Times New Roman" w:hAnsi="Times New Roman" w:cs="Times New Roman"/>
          <w:i/>
          <w:sz w:val="28"/>
          <w:szCs w:val="28"/>
        </w:rPr>
      </w:pPr>
    </w:p>
    <w:p w:rsidR="00DA7F47" w:rsidRPr="00457568" w:rsidRDefault="00DA7F47" w:rsidP="00DA7F47">
      <w:pPr>
        <w:spacing w:after="0" w:line="276" w:lineRule="auto"/>
        <w:ind w:left="708"/>
        <w:jc w:val="both"/>
        <w:rPr>
          <w:rFonts w:ascii="Times New Roman" w:hAnsi="Times New Roman" w:cs="Times New Roman"/>
          <w:i/>
          <w:sz w:val="28"/>
          <w:szCs w:val="28"/>
        </w:rPr>
      </w:pPr>
      <w:r w:rsidRPr="00457568">
        <w:rPr>
          <w:rFonts w:ascii="Times New Roman" w:hAnsi="Times New Roman" w:cs="Times New Roman"/>
          <w:i/>
          <w:sz w:val="28"/>
          <w:szCs w:val="28"/>
        </w:rPr>
        <w:t>se establecen las mismas reglas y consecuencias  jurídicas para oficiales y suboficiales</w:t>
      </w:r>
      <w:r w:rsidRPr="00457568">
        <w:rPr>
          <w:rFonts w:ascii="Times New Roman" w:hAnsi="Times New Roman" w:cs="Times New Roman"/>
          <w:i/>
          <w:sz w:val="28"/>
          <w:szCs w:val="28"/>
          <w:vertAlign w:val="superscript"/>
        </w:rPr>
        <w:footnoteReference w:id="5"/>
      </w:r>
      <w:r w:rsidRPr="00457568">
        <w:rPr>
          <w:rFonts w:ascii="Times New Roman" w:hAnsi="Times New Roman" w:cs="Times New Roman"/>
          <w:i/>
          <w:sz w:val="28"/>
          <w:szCs w:val="28"/>
        </w:rPr>
        <w:t>”</w:t>
      </w:r>
      <w:r w:rsidRPr="00457568">
        <w:rPr>
          <w:rFonts w:ascii="Times New Roman" w:hAnsi="Times New Roman" w:cs="Times New Roman"/>
          <w:i/>
          <w:sz w:val="28"/>
          <w:szCs w:val="28"/>
          <w:vertAlign w:val="superscript"/>
        </w:rPr>
        <w:footnoteReference w:id="6"/>
      </w:r>
    </w:p>
    <w:p w:rsidR="00DA7F47" w:rsidRPr="00457568" w:rsidRDefault="00DA7F47" w:rsidP="00DA7F47">
      <w:pPr>
        <w:spacing w:after="0" w:line="276" w:lineRule="auto"/>
        <w:ind w:left="360"/>
        <w:jc w:val="both"/>
        <w:rPr>
          <w:rFonts w:ascii="Times New Roman" w:hAnsi="Times New Roman" w:cs="Times New Roman"/>
          <w:i/>
          <w:sz w:val="28"/>
          <w:szCs w:val="28"/>
        </w:rPr>
      </w:pPr>
    </w:p>
    <w:p w:rsidR="00DA7F47" w:rsidRDefault="00DA7F47" w:rsidP="00DA7F47">
      <w:pPr>
        <w:spacing w:before="28" w:after="28" w:line="276" w:lineRule="auto"/>
        <w:jc w:val="both"/>
        <w:textAlignment w:val="center"/>
        <w:rPr>
          <w:rFonts w:ascii="Times New Roman" w:hAnsi="Times New Roman" w:cs="Times New Roman"/>
          <w:sz w:val="28"/>
          <w:szCs w:val="28"/>
        </w:rPr>
      </w:pPr>
      <w:r>
        <w:rPr>
          <w:rFonts w:ascii="Times New Roman" w:hAnsi="Times New Roman" w:cs="Times New Roman"/>
          <w:sz w:val="28"/>
          <w:szCs w:val="28"/>
        </w:rPr>
        <w:t xml:space="preserve">Incuestionable resulta que la diferente condición jurídica de esto dos grupos de militares, Oficiales – Suboficiales y Soldados Profesionales, necesariamente no puede proyectarse al plano de lo fáctico en todos los casos, para enmascarar tratamientos discriminatorios. </w:t>
      </w:r>
    </w:p>
    <w:p w:rsidR="00DA7F47" w:rsidRDefault="00DA7F47" w:rsidP="00DA7F47">
      <w:pPr>
        <w:spacing w:before="28" w:after="28" w:line="276" w:lineRule="auto"/>
        <w:jc w:val="both"/>
        <w:textAlignment w:val="center"/>
        <w:rPr>
          <w:rFonts w:ascii="Times New Roman" w:hAnsi="Times New Roman" w:cs="Times New Roman"/>
          <w:sz w:val="28"/>
          <w:szCs w:val="28"/>
        </w:rPr>
      </w:pPr>
    </w:p>
    <w:p w:rsidR="00DA7F47" w:rsidRPr="008A14CA" w:rsidRDefault="00DA7F47" w:rsidP="00DA7F47">
      <w:pPr>
        <w:spacing w:before="28" w:after="28" w:line="276" w:lineRule="auto"/>
        <w:jc w:val="both"/>
        <w:textAlignment w:val="center"/>
        <w:rPr>
          <w:rFonts w:ascii="Times New Roman" w:eastAsia="Times New Roman" w:hAnsi="Times New Roman" w:cs="Times New Roman"/>
          <w:sz w:val="28"/>
          <w:szCs w:val="28"/>
          <w:lang w:val="es-ES_tradnl" w:eastAsia="es-CO"/>
        </w:rPr>
      </w:pPr>
      <w:r>
        <w:rPr>
          <w:rFonts w:ascii="Times New Roman" w:hAnsi="Times New Roman" w:cs="Times New Roman"/>
          <w:sz w:val="28"/>
          <w:szCs w:val="28"/>
        </w:rPr>
        <w:t xml:space="preserve">Frente a tan grave incorrección normativa, y por la naturaleza de la norma que la origina, el legislador está llamado a implementar reajustes regulatorios urgentes, como el presente, a fin de resanar las evidentes grietas que ello implica en la arquitectura del modelo constitucional vigente.  </w:t>
      </w:r>
    </w:p>
    <w:p w:rsidR="00DA7F47" w:rsidRPr="008120A5" w:rsidRDefault="00DA7F47" w:rsidP="00DA7F47">
      <w:pPr>
        <w:spacing w:before="28" w:after="28" w:line="288" w:lineRule="atLeast"/>
        <w:textAlignment w:val="center"/>
        <w:rPr>
          <w:rFonts w:ascii="Times New Roman" w:eastAsia="Times New Roman" w:hAnsi="Times New Roman" w:cs="Times New Roman"/>
          <w:sz w:val="28"/>
          <w:szCs w:val="28"/>
          <w:lang w:eastAsia="es-CO"/>
        </w:rPr>
      </w:pPr>
      <w:r w:rsidRPr="008120A5">
        <w:rPr>
          <w:rFonts w:ascii="Times New Roman" w:eastAsia="Times New Roman" w:hAnsi="Times New Roman" w:cs="Times New Roman"/>
          <w:sz w:val="28"/>
          <w:szCs w:val="28"/>
          <w:lang w:val="es-ES_tradnl" w:eastAsia="es-CO"/>
        </w:rPr>
        <w:t> </w:t>
      </w: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Default="00105F49"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p>
    <w:p w:rsidR="00105F49" w:rsidRPr="008E6C92" w:rsidRDefault="00105F49" w:rsidP="008E6C92">
      <w:pPr>
        <w:spacing w:before="100" w:beforeAutospacing="1" w:after="100" w:afterAutospacing="1" w:line="240" w:lineRule="auto"/>
        <w:jc w:val="both"/>
        <w:rPr>
          <w:rFonts w:ascii="Times New Roman" w:eastAsia="Times New Roman" w:hAnsi="Times New Roman" w:cs="Times New Roman"/>
          <w:sz w:val="24"/>
          <w:szCs w:val="24"/>
          <w:lang w:val="es-ES" w:eastAsia="es-ES"/>
        </w:rPr>
      </w:pPr>
    </w:p>
    <w:p w:rsidR="008E6C92" w:rsidRPr="008E6C92" w:rsidRDefault="008E6C92" w:rsidP="008E6C92">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 xml:space="preserve">No hay nada más falso y ruin que la paz que le han querido vender al país y a la comunidad internacional. Como prueba de ello, este fin de semana se presentó el vil asesinato en Caloto (Cauca) del Patrullero </w:t>
      </w:r>
      <w:r w:rsidRPr="008E6C92">
        <w:rPr>
          <w:rFonts w:ascii="Times New Roman" w:eastAsia="Times New Roman" w:hAnsi="Times New Roman" w:cs="Times New Roman"/>
          <w:b/>
          <w:bCs/>
          <w:sz w:val="28"/>
          <w:szCs w:val="28"/>
          <w:lang w:eastAsia="es-ES"/>
        </w:rPr>
        <w:t>OSWALDO ANTONIO LANCE GÓMEZ</w:t>
      </w:r>
      <w:r w:rsidRPr="008E6C92">
        <w:rPr>
          <w:rFonts w:ascii="Times New Roman" w:eastAsia="Times New Roman" w:hAnsi="Times New Roman" w:cs="Times New Roman"/>
          <w:sz w:val="28"/>
          <w:szCs w:val="28"/>
          <w:lang w:eastAsia="es-ES"/>
        </w:rPr>
        <w:t xml:space="preserve">, por parte de un francotirador el ELN. En igual sentido, este grupo criminal perpetró un atentado en el que salió ileso el Comandante del Décimo Distrito de la Policía en Santafé de Antioquia. </w:t>
      </w:r>
    </w:p>
    <w:p w:rsidR="008E6C92" w:rsidRPr="008E6C92" w:rsidRDefault="008E6C92" w:rsidP="008E6C92">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 xml:space="preserve">Al ELN también se le atribuye el ataque con carro bomba en cercanías del municipio de Pailitas, en el Cesar, dejando como resultado a un civil muerto y dos patrulleros heridos,  así como el asesinato del Intendente </w:t>
      </w:r>
      <w:r w:rsidRPr="008E6C92">
        <w:rPr>
          <w:rFonts w:ascii="Times New Roman" w:eastAsia="Times New Roman" w:hAnsi="Times New Roman" w:cs="Times New Roman"/>
          <w:b/>
          <w:bCs/>
          <w:sz w:val="28"/>
          <w:szCs w:val="28"/>
          <w:lang w:eastAsia="es-ES"/>
        </w:rPr>
        <w:t>JAIME LEONEL MARIÑO</w:t>
      </w:r>
      <w:r w:rsidRPr="008E6C92">
        <w:rPr>
          <w:rFonts w:ascii="Times New Roman" w:eastAsia="Times New Roman" w:hAnsi="Times New Roman" w:cs="Times New Roman"/>
          <w:sz w:val="28"/>
          <w:szCs w:val="28"/>
          <w:lang w:eastAsia="es-ES"/>
        </w:rPr>
        <w:t xml:space="preserve">, comandante de la policía en el municipio de Teorama, Norte de Santander. A lo anterior hay que sumarle el enorme daño ambiental y de salud pública que estos delincuentes ocasionaron al volar en días pasados un tramo del oleoducto Caño Limón -  Coveñas. </w:t>
      </w:r>
    </w:p>
    <w:p w:rsidR="008E6C92" w:rsidRDefault="008E6C92" w:rsidP="008E6C92">
      <w:pPr>
        <w:spacing w:before="100" w:beforeAutospacing="1" w:after="100" w:afterAutospacing="1" w:line="240" w:lineRule="auto"/>
        <w:jc w:val="both"/>
        <w:rPr>
          <w:rFonts w:ascii="Times New Roman" w:eastAsia="Times New Roman" w:hAnsi="Times New Roman" w:cs="Times New Roman"/>
          <w:sz w:val="28"/>
          <w:szCs w:val="28"/>
          <w:lang w:eastAsia="es-ES"/>
        </w:rPr>
      </w:pPr>
      <w:r w:rsidRPr="008E6C92">
        <w:rPr>
          <w:rFonts w:ascii="Times New Roman" w:eastAsia="Times New Roman" w:hAnsi="Times New Roman" w:cs="Times New Roman"/>
          <w:sz w:val="28"/>
          <w:szCs w:val="28"/>
          <w:lang w:eastAsia="es-ES"/>
        </w:rPr>
        <w:t xml:space="preserve">Como si fuese poco, esta mañana se registró un nuevo hecho, cuando guerrilleros del ELN emboscaron una unidad militar en zona rural del municipio de Tibú, Norte de Santander, en el que murió un soldado y otros tres resultaron heridos. </w:t>
      </w:r>
    </w:p>
    <w:p w:rsidR="008E6C92" w:rsidRPr="008E6C92" w:rsidRDefault="008E6C92" w:rsidP="008E6C92">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Señor presidente,</w:t>
      </w:r>
      <w:r w:rsidR="00321DD4">
        <w:rPr>
          <w:rFonts w:ascii="Times New Roman" w:eastAsia="Times New Roman" w:hAnsi="Times New Roman" w:cs="Times New Roman"/>
          <w:sz w:val="28"/>
          <w:szCs w:val="28"/>
          <w:lang w:eastAsia="es-ES"/>
        </w:rPr>
        <w:t xml:space="preserve"> hoy</w:t>
      </w:r>
      <w:r w:rsidRPr="008E6C92">
        <w:rPr>
          <w:rFonts w:ascii="Times New Roman" w:eastAsia="Times New Roman" w:hAnsi="Times New Roman" w:cs="Times New Roman"/>
          <w:sz w:val="28"/>
          <w:szCs w:val="28"/>
          <w:lang w:eastAsia="es-ES"/>
        </w:rPr>
        <w:t xml:space="preserve"> solicito un minuto de silencio</w:t>
      </w:r>
      <w:r w:rsidR="00321DD4">
        <w:rPr>
          <w:rFonts w:ascii="Times New Roman" w:eastAsia="Times New Roman" w:hAnsi="Times New Roman" w:cs="Times New Roman"/>
          <w:sz w:val="28"/>
          <w:szCs w:val="28"/>
          <w:lang w:eastAsia="es-ES"/>
        </w:rPr>
        <w:t xml:space="preserve"> para estos hombres y también </w:t>
      </w:r>
      <w:r w:rsidRPr="008E6C92">
        <w:rPr>
          <w:rFonts w:ascii="Times New Roman" w:eastAsia="Times New Roman" w:hAnsi="Times New Roman" w:cs="Times New Roman"/>
          <w:sz w:val="28"/>
          <w:szCs w:val="28"/>
          <w:lang w:eastAsia="es-ES"/>
        </w:rPr>
        <w:t xml:space="preserve"> en memoria de la tripulación del Ejército Nacional, </w:t>
      </w:r>
      <w:r w:rsidR="00321DD4">
        <w:rPr>
          <w:rFonts w:ascii="Times New Roman" w:eastAsia="Times New Roman" w:hAnsi="Times New Roman" w:cs="Times New Roman"/>
          <w:sz w:val="28"/>
          <w:szCs w:val="28"/>
          <w:lang w:eastAsia="es-ES"/>
        </w:rPr>
        <w:t xml:space="preserve"> de la avioneta Cessna Caravan </w:t>
      </w:r>
      <w:r w:rsidRPr="008E6C92">
        <w:rPr>
          <w:rFonts w:ascii="Times New Roman" w:eastAsia="Times New Roman" w:hAnsi="Times New Roman" w:cs="Times New Roman"/>
          <w:sz w:val="28"/>
          <w:szCs w:val="28"/>
          <w:lang w:eastAsia="es-ES"/>
        </w:rPr>
        <w:t>que cayó accidentada aye</w:t>
      </w:r>
      <w:r w:rsidR="00321DD4">
        <w:rPr>
          <w:rFonts w:ascii="Times New Roman" w:eastAsia="Times New Roman" w:hAnsi="Times New Roman" w:cs="Times New Roman"/>
          <w:sz w:val="28"/>
          <w:szCs w:val="28"/>
          <w:lang w:eastAsia="es-ES"/>
        </w:rPr>
        <w:t>r en el municipio de Facatativá, conformada por:</w:t>
      </w:r>
    </w:p>
    <w:p w:rsidR="008E6C92" w:rsidRPr="008E6C92" w:rsidRDefault="008E6C92" w:rsidP="008E6C92">
      <w:pPr>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 xml:space="preserve">Mayor Jefferson Parada Ramírez – Jefe al mando. </w:t>
      </w:r>
    </w:p>
    <w:p w:rsidR="008E6C92" w:rsidRPr="008E6C92" w:rsidRDefault="008E6C92" w:rsidP="008E6C92">
      <w:pPr>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Teniente Carlos Narváez Lineros – Piloto.</w:t>
      </w:r>
    </w:p>
    <w:p w:rsidR="008E6C92" w:rsidRPr="00321DD4" w:rsidRDefault="008E6C92" w:rsidP="008E6C92">
      <w:pPr>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Sargento Segundo Iván Darío Herrera Castillo – Tripulante de vu</w:t>
      </w:r>
      <w:r w:rsidR="00321DD4">
        <w:rPr>
          <w:rFonts w:ascii="Times New Roman" w:eastAsia="Times New Roman" w:hAnsi="Times New Roman" w:cs="Times New Roman"/>
          <w:sz w:val="28"/>
          <w:szCs w:val="28"/>
          <w:lang w:eastAsia="es-ES"/>
        </w:rPr>
        <w:t>elo</w:t>
      </w:r>
    </w:p>
    <w:p w:rsidR="00321DD4" w:rsidRPr="008E6C92" w:rsidRDefault="00321DD4" w:rsidP="001929BA">
      <w:pPr>
        <w:spacing w:before="100" w:beforeAutospacing="1" w:after="100" w:afterAutospacing="1" w:line="240" w:lineRule="auto"/>
        <w:ind w:left="720"/>
        <w:rPr>
          <w:rFonts w:ascii="Times New Roman" w:eastAsia="Times New Roman" w:hAnsi="Times New Roman" w:cs="Times New Roman"/>
          <w:sz w:val="24"/>
          <w:szCs w:val="24"/>
          <w:lang w:val="es-ES" w:eastAsia="es-ES"/>
        </w:rPr>
      </w:pPr>
    </w:p>
    <w:p w:rsidR="008E6C92" w:rsidRPr="008E6C92" w:rsidRDefault="008E6C92" w:rsidP="008E6C92">
      <w:pPr>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Teniente Coronel Rafael Gómez Caraballo</w:t>
      </w:r>
    </w:p>
    <w:p w:rsidR="008E6C92" w:rsidRPr="008E6C92" w:rsidRDefault="008E6C92" w:rsidP="008E6C92">
      <w:pPr>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Cabo Primero Andrés Morales Quintero</w:t>
      </w:r>
    </w:p>
    <w:p w:rsidR="008E6C92" w:rsidRPr="008E6C92" w:rsidRDefault="008E6C92" w:rsidP="008E6C92">
      <w:pPr>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Mónica Pineda Cañón</w:t>
      </w:r>
    </w:p>
    <w:p w:rsidR="008E6C92" w:rsidRPr="008E6C92" w:rsidRDefault="008E6C92" w:rsidP="008E6C92">
      <w:pPr>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Karen Maldonado Veloza</w:t>
      </w:r>
    </w:p>
    <w:p w:rsidR="008E6C92" w:rsidRPr="008E6C92" w:rsidRDefault="008E6C92" w:rsidP="008E6C92">
      <w:pPr>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ES"/>
        </w:rPr>
      </w:pPr>
      <w:r w:rsidRPr="008E6C92">
        <w:rPr>
          <w:rFonts w:ascii="Times New Roman" w:eastAsia="Times New Roman" w:hAnsi="Times New Roman" w:cs="Times New Roman"/>
          <w:sz w:val="28"/>
          <w:szCs w:val="28"/>
          <w:lang w:eastAsia="es-ES"/>
        </w:rPr>
        <w:t xml:space="preserve">Leydi Tatiana Vargas </w:t>
      </w:r>
    </w:p>
    <w:p w:rsidR="008E6C92" w:rsidRDefault="00321DD4" w:rsidP="00321DD4">
      <w:pPr>
        <w:spacing w:before="100" w:beforeAutospacing="1" w:after="100" w:afterAutospacing="1" w:line="24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Paz en la tumba de todos estos colombianos.</w:t>
      </w:r>
      <w:r w:rsidR="008E6C92" w:rsidRPr="008E6C92">
        <w:rPr>
          <w:rFonts w:ascii="Times New Roman" w:eastAsia="Times New Roman" w:hAnsi="Times New Roman" w:cs="Times New Roman"/>
          <w:sz w:val="28"/>
          <w:szCs w:val="28"/>
          <w:lang w:eastAsia="es-ES"/>
        </w:rPr>
        <w:t xml:space="preserve"> </w:t>
      </w:r>
    </w:p>
    <w:p w:rsidR="008E6C92" w:rsidRDefault="008E6C92" w:rsidP="008E6C92">
      <w:pPr>
        <w:spacing w:before="100" w:beforeAutospacing="1" w:after="100" w:afterAutospacing="1" w:line="240" w:lineRule="auto"/>
        <w:ind w:left="360"/>
        <w:jc w:val="both"/>
        <w:rPr>
          <w:rFonts w:ascii="Times New Roman" w:eastAsia="Times New Roman" w:hAnsi="Times New Roman" w:cs="Times New Roman"/>
          <w:sz w:val="28"/>
          <w:szCs w:val="28"/>
          <w:lang w:eastAsia="es-ES"/>
        </w:rPr>
      </w:pPr>
    </w:p>
    <w:p w:rsidR="008E6C92" w:rsidRPr="008E6C92" w:rsidRDefault="008E6C92" w:rsidP="008E6C92">
      <w:pPr>
        <w:spacing w:before="100" w:beforeAutospacing="1" w:after="100" w:afterAutospacing="1" w:line="240" w:lineRule="auto"/>
        <w:ind w:left="360"/>
        <w:jc w:val="both"/>
        <w:rPr>
          <w:rFonts w:ascii="Times New Roman" w:eastAsia="Times New Roman" w:hAnsi="Times New Roman" w:cs="Times New Roman"/>
          <w:sz w:val="24"/>
          <w:szCs w:val="24"/>
          <w:lang w:val="es-ES" w:eastAsia="es-ES"/>
        </w:rPr>
      </w:pPr>
    </w:p>
    <w:p w:rsidR="008E6C92" w:rsidRPr="00285D51" w:rsidRDefault="008E6C92" w:rsidP="008E6C92">
      <w:pPr>
        <w:spacing w:after="0"/>
        <w:jc w:val="both"/>
        <w:rPr>
          <w:rFonts w:ascii="Times New Roman" w:hAnsi="Times New Roman" w:cs="Times New Roman"/>
          <w:sz w:val="28"/>
          <w:szCs w:val="28"/>
        </w:rPr>
      </w:pPr>
      <w:r w:rsidRPr="00285D51">
        <w:rPr>
          <w:rFonts w:ascii="Times New Roman" w:hAnsi="Times New Roman" w:cs="Times New Roman"/>
          <w:sz w:val="28"/>
          <w:szCs w:val="28"/>
        </w:rPr>
        <w:t>__________________________</w:t>
      </w:r>
    </w:p>
    <w:p w:rsidR="008E6C92" w:rsidRPr="00285D51" w:rsidRDefault="003466B5" w:rsidP="008E6C92">
      <w:pPr>
        <w:spacing w:after="0"/>
        <w:jc w:val="both"/>
        <w:rPr>
          <w:rFonts w:ascii="Times New Roman" w:hAnsi="Times New Roman" w:cs="Times New Roman"/>
          <w:b/>
          <w:sz w:val="28"/>
          <w:szCs w:val="28"/>
        </w:rPr>
      </w:pPr>
      <w:r>
        <w:rPr>
          <w:rFonts w:ascii="Times New Roman" w:hAnsi="Times New Roman" w:cs="Times New Roman"/>
          <w:b/>
          <w:sz w:val="28"/>
          <w:szCs w:val="28"/>
        </w:rPr>
        <w:t>THANIA VEGA DE PLAZAS</w:t>
      </w:r>
    </w:p>
    <w:p w:rsidR="008E6C92" w:rsidRPr="00285D51" w:rsidRDefault="008E6C92" w:rsidP="008E6C92">
      <w:pPr>
        <w:spacing w:after="0"/>
        <w:jc w:val="both"/>
        <w:rPr>
          <w:rFonts w:ascii="Times New Roman" w:hAnsi="Times New Roman" w:cs="Times New Roman"/>
          <w:sz w:val="28"/>
          <w:szCs w:val="28"/>
        </w:rPr>
      </w:pPr>
      <w:r w:rsidRPr="00285D51">
        <w:rPr>
          <w:rFonts w:ascii="Times New Roman" w:hAnsi="Times New Roman" w:cs="Times New Roman"/>
          <w:sz w:val="28"/>
          <w:szCs w:val="28"/>
        </w:rPr>
        <w:t>Senadora de la República</w:t>
      </w:r>
    </w:p>
    <w:p w:rsidR="008E6C92" w:rsidRDefault="008E6C92" w:rsidP="008E6C92">
      <w:pPr>
        <w:spacing w:after="0"/>
        <w:jc w:val="both"/>
        <w:rPr>
          <w:rFonts w:ascii="Times New Roman" w:hAnsi="Times New Roman" w:cs="Times New Roman"/>
          <w:sz w:val="28"/>
          <w:szCs w:val="28"/>
        </w:rPr>
      </w:pPr>
      <w:r w:rsidRPr="00285D51">
        <w:rPr>
          <w:rFonts w:ascii="Times New Roman" w:hAnsi="Times New Roman" w:cs="Times New Roman"/>
          <w:sz w:val="28"/>
          <w:szCs w:val="28"/>
        </w:rPr>
        <w:t xml:space="preserve">     </w:t>
      </w:r>
    </w:p>
    <w:p w:rsidR="008E6C92" w:rsidRDefault="008E6C92" w:rsidP="008E6C92">
      <w:pPr>
        <w:spacing w:after="0"/>
        <w:jc w:val="both"/>
        <w:rPr>
          <w:rFonts w:ascii="Times New Roman" w:hAnsi="Times New Roman" w:cs="Times New Roman"/>
          <w:sz w:val="28"/>
          <w:szCs w:val="28"/>
        </w:rPr>
      </w:pPr>
    </w:p>
    <w:p w:rsidR="008E6C92" w:rsidRDefault="008E6C92" w:rsidP="008E6C92">
      <w:pPr>
        <w:spacing w:after="0"/>
        <w:jc w:val="both"/>
        <w:rPr>
          <w:rFonts w:ascii="Times New Roman" w:hAnsi="Times New Roman" w:cs="Times New Roman"/>
          <w:sz w:val="28"/>
          <w:szCs w:val="28"/>
        </w:rPr>
      </w:pPr>
    </w:p>
    <w:p w:rsidR="008E6C92" w:rsidRDefault="008E6C92" w:rsidP="008E6C92">
      <w:pPr>
        <w:spacing w:after="0"/>
        <w:jc w:val="both"/>
        <w:rPr>
          <w:rFonts w:ascii="Times New Roman" w:hAnsi="Times New Roman" w:cs="Times New Roman"/>
          <w:sz w:val="28"/>
          <w:szCs w:val="28"/>
        </w:rPr>
      </w:pPr>
    </w:p>
    <w:p w:rsidR="008E6C92" w:rsidRPr="00D17ABD" w:rsidRDefault="008E6C92" w:rsidP="008E6C92">
      <w:pPr>
        <w:spacing w:after="0"/>
        <w:jc w:val="both"/>
        <w:rPr>
          <w:rFonts w:ascii="Arial" w:hAnsi="Arial" w:cs="Arial"/>
          <w:sz w:val="18"/>
          <w:szCs w:val="18"/>
        </w:rPr>
      </w:pPr>
      <w:r w:rsidRPr="00D17ABD">
        <w:rPr>
          <w:rFonts w:ascii="Arial" w:hAnsi="Arial" w:cs="Arial"/>
          <w:sz w:val="18"/>
          <w:szCs w:val="18"/>
        </w:rPr>
        <w:t>TVP/Jfcv</w:t>
      </w:r>
    </w:p>
    <w:p w:rsidR="008E6C92" w:rsidRPr="00285D51" w:rsidRDefault="008E6C92" w:rsidP="008E6C92">
      <w:pPr>
        <w:spacing w:line="240" w:lineRule="auto"/>
        <w:jc w:val="both"/>
        <w:rPr>
          <w:rFonts w:ascii="Times New Roman" w:eastAsia="Times New Roman" w:hAnsi="Times New Roman" w:cs="Times New Roman"/>
          <w:sz w:val="28"/>
          <w:szCs w:val="28"/>
          <w:lang w:val="es-ES" w:eastAsia="es-ES"/>
        </w:rPr>
      </w:pPr>
    </w:p>
    <w:p w:rsidR="00285D51" w:rsidRPr="00285D51" w:rsidRDefault="00285D51" w:rsidP="00285D51">
      <w:pPr>
        <w:spacing w:line="240" w:lineRule="auto"/>
        <w:rPr>
          <w:rFonts w:ascii="Arial" w:hAnsi="Arial" w:cs="Arial"/>
          <w:sz w:val="28"/>
          <w:szCs w:val="28"/>
        </w:rPr>
      </w:pPr>
    </w:p>
    <w:sectPr w:rsidR="00285D51" w:rsidRPr="00285D51" w:rsidSect="00B92486">
      <w:headerReference w:type="default" r:id="rId7"/>
      <w:footerReference w:type="default" r:id="rId8"/>
      <w:pgSz w:w="12240" w:h="15840"/>
      <w:pgMar w:top="1417" w:right="1701" w:bottom="1417" w:left="1701" w:header="964"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8F" w:rsidRDefault="00762A8F" w:rsidP="00EE3D89">
      <w:pPr>
        <w:spacing w:after="0" w:line="240" w:lineRule="auto"/>
      </w:pPr>
      <w:r>
        <w:separator/>
      </w:r>
    </w:p>
  </w:endnote>
  <w:endnote w:type="continuationSeparator" w:id="0">
    <w:p w:rsidR="00762A8F" w:rsidRDefault="00762A8F" w:rsidP="00EE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486" w:rsidRDefault="00B92486">
    <w:pPr>
      <w:pStyle w:val="Piedepgina"/>
    </w:pPr>
  </w:p>
  <w:p w:rsidR="00B92486" w:rsidRPr="00B92486" w:rsidRDefault="00B92486" w:rsidP="00B92486">
    <w:pPr>
      <w:pStyle w:val="Piedepgina"/>
      <w:jc w:val="center"/>
      <w:rPr>
        <w:rFonts w:ascii="Lucida Calligraphy" w:hAnsi="Lucida Calligraphy"/>
      </w:rPr>
    </w:pPr>
    <w:r w:rsidRPr="00B92486">
      <w:rPr>
        <w:rFonts w:ascii="Lucida Calligraphy" w:hAnsi="Lucida Calligraphy"/>
      </w:rPr>
      <w:t>Carrera 7 N. 8-68- Oficina 704B</w:t>
    </w:r>
  </w:p>
  <w:p w:rsidR="00B92486" w:rsidRPr="00B92486" w:rsidRDefault="00B92486" w:rsidP="00B92486">
    <w:pPr>
      <w:pStyle w:val="Piedepgina"/>
      <w:jc w:val="center"/>
      <w:rPr>
        <w:rFonts w:ascii="Lucida Calligraphy" w:hAnsi="Lucida Calligraphy"/>
      </w:rPr>
    </w:pPr>
    <w:r w:rsidRPr="00B92486">
      <w:rPr>
        <w:rFonts w:ascii="Lucida Calligraphy" w:hAnsi="Lucida Calligraphy"/>
      </w:rPr>
      <w:t>Teléfono 3823057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8F" w:rsidRDefault="00762A8F" w:rsidP="00EE3D89">
      <w:pPr>
        <w:spacing w:after="0" w:line="240" w:lineRule="auto"/>
      </w:pPr>
      <w:r>
        <w:separator/>
      </w:r>
    </w:p>
  </w:footnote>
  <w:footnote w:type="continuationSeparator" w:id="0">
    <w:p w:rsidR="00762A8F" w:rsidRDefault="00762A8F" w:rsidP="00EE3D89">
      <w:pPr>
        <w:spacing w:after="0" w:line="240" w:lineRule="auto"/>
      </w:pPr>
      <w:r>
        <w:continuationSeparator/>
      </w:r>
    </w:p>
  </w:footnote>
  <w:footnote w:id="1">
    <w:p w:rsidR="00DA7F47" w:rsidRPr="00552294" w:rsidRDefault="00DA7F47" w:rsidP="00DA7F47">
      <w:pPr>
        <w:pStyle w:val="Textonotapie"/>
        <w:rPr>
          <w:rFonts w:asciiTheme="minorHAnsi" w:hAnsiTheme="minorHAnsi"/>
          <w:szCs w:val="28"/>
        </w:rPr>
      </w:pPr>
      <w:r w:rsidRPr="00552294">
        <w:rPr>
          <w:rStyle w:val="Refdenotaalpie"/>
          <w:rFonts w:asciiTheme="minorHAnsi" w:hAnsiTheme="minorHAnsi"/>
        </w:rPr>
        <w:footnoteRef/>
      </w:r>
      <w:r w:rsidRPr="00552294">
        <w:rPr>
          <w:rFonts w:asciiTheme="minorHAnsi" w:hAnsiTheme="minorHAnsi"/>
        </w:rPr>
        <w:t xml:space="preserve"> </w:t>
      </w:r>
      <w:r w:rsidRPr="00552294">
        <w:rPr>
          <w:rFonts w:asciiTheme="minorHAnsi" w:hAnsiTheme="minorHAnsi"/>
          <w:szCs w:val="28"/>
        </w:rPr>
        <w:t xml:space="preserve">Entretanto, el artículo 8.a.3. del Decreto Ley 1793 de 2000 prevé: </w:t>
      </w:r>
    </w:p>
    <w:p w:rsidR="00DA7F47" w:rsidRPr="00552294" w:rsidRDefault="00DA7F47" w:rsidP="00DA7F47">
      <w:pPr>
        <w:pStyle w:val="Textonotapie"/>
        <w:rPr>
          <w:rFonts w:asciiTheme="minorHAnsi" w:hAnsiTheme="minorHAnsi"/>
          <w:szCs w:val="28"/>
        </w:rPr>
      </w:pPr>
    </w:p>
    <w:p w:rsidR="00DA7F47" w:rsidRPr="00552294" w:rsidRDefault="00DA7F47" w:rsidP="00DA7F47">
      <w:pPr>
        <w:pStyle w:val="Textonotapie"/>
        <w:rPr>
          <w:rFonts w:asciiTheme="minorHAnsi" w:hAnsiTheme="minorHAnsi"/>
          <w:lang w:val="es-CO"/>
        </w:rPr>
      </w:pPr>
      <w:r w:rsidRPr="00552294">
        <w:rPr>
          <w:rFonts w:asciiTheme="minorHAnsi" w:hAnsiTheme="minorHAnsi"/>
          <w:i/>
          <w:szCs w:val="28"/>
        </w:rPr>
        <w:t>“Artículo 8. Clasificación. El retiro del servicio activo de los soldados profesionales, según su forma y causales, se clasifica así:</w:t>
      </w:r>
    </w:p>
    <w:p w:rsidR="00DA7F47" w:rsidRPr="00552294" w:rsidRDefault="00DA7F47" w:rsidP="00DA7F47">
      <w:pPr>
        <w:spacing w:after="0" w:line="240" w:lineRule="auto"/>
        <w:ind w:right="-232"/>
        <w:jc w:val="both"/>
        <w:rPr>
          <w:i/>
          <w:sz w:val="20"/>
          <w:szCs w:val="28"/>
        </w:rPr>
      </w:pPr>
      <w:r w:rsidRPr="00552294">
        <w:rPr>
          <w:i/>
          <w:sz w:val="20"/>
          <w:szCs w:val="28"/>
        </w:rPr>
        <w:t>a. Retiro temporal con pase a la reserva</w:t>
      </w:r>
    </w:p>
    <w:p w:rsidR="00DA7F47" w:rsidRPr="00552294" w:rsidRDefault="00DA7F47" w:rsidP="00DA7F47">
      <w:pPr>
        <w:spacing w:after="0" w:line="240" w:lineRule="auto"/>
        <w:ind w:right="-232"/>
        <w:jc w:val="both"/>
        <w:rPr>
          <w:i/>
          <w:sz w:val="20"/>
          <w:szCs w:val="28"/>
        </w:rPr>
      </w:pPr>
      <w:r w:rsidRPr="00552294">
        <w:rPr>
          <w:i/>
          <w:sz w:val="20"/>
          <w:szCs w:val="28"/>
        </w:rPr>
        <w:t>1. Por solicitud propia.</w:t>
      </w:r>
    </w:p>
    <w:p w:rsidR="00DA7F47" w:rsidRPr="00552294" w:rsidRDefault="00DA7F47" w:rsidP="00DA7F47">
      <w:pPr>
        <w:spacing w:after="0" w:line="240" w:lineRule="auto"/>
        <w:ind w:right="-232"/>
        <w:jc w:val="both"/>
        <w:rPr>
          <w:i/>
          <w:sz w:val="20"/>
          <w:szCs w:val="28"/>
        </w:rPr>
      </w:pPr>
      <w:r w:rsidRPr="00552294">
        <w:rPr>
          <w:i/>
          <w:sz w:val="20"/>
          <w:szCs w:val="28"/>
        </w:rPr>
        <w:t>2. Por disminución de la capacidad psicofísica.</w:t>
      </w:r>
    </w:p>
    <w:p w:rsidR="00DA7F47" w:rsidRPr="00552294" w:rsidRDefault="00DA7F47" w:rsidP="00DA7F47">
      <w:pPr>
        <w:spacing w:after="0" w:line="240" w:lineRule="auto"/>
        <w:ind w:right="-232"/>
        <w:jc w:val="both"/>
        <w:rPr>
          <w:i/>
          <w:sz w:val="20"/>
          <w:szCs w:val="28"/>
          <w:u w:val="single"/>
        </w:rPr>
      </w:pPr>
      <w:r w:rsidRPr="00552294">
        <w:rPr>
          <w:i/>
          <w:sz w:val="20"/>
          <w:szCs w:val="28"/>
          <w:u w:val="single"/>
        </w:rPr>
        <w:t>3. Por existir en su contra detención preventiva que exceda de sesenta (60) días calendario.</w:t>
      </w:r>
    </w:p>
    <w:p w:rsidR="00DA7F47" w:rsidRPr="00552294" w:rsidRDefault="00DA7F47" w:rsidP="00DA7F47">
      <w:pPr>
        <w:spacing w:after="0" w:line="240" w:lineRule="auto"/>
        <w:ind w:right="-232"/>
        <w:jc w:val="both"/>
        <w:rPr>
          <w:i/>
          <w:sz w:val="20"/>
          <w:szCs w:val="28"/>
        </w:rPr>
      </w:pPr>
      <w:r w:rsidRPr="00552294">
        <w:rPr>
          <w:i/>
          <w:sz w:val="20"/>
          <w:szCs w:val="28"/>
        </w:rPr>
        <w:t>b. Retiro absoluto</w:t>
      </w:r>
    </w:p>
    <w:p w:rsidR="00DA7F47" w:rsidRPr="00552294" w:rsidRDefault="00DA7F47" w:rsidP="00DA7F47">
      <w:pPr>
        <w:spacing w:after="0" w:line="240" w:lineRule="auto"/>
        <w:ind w:right="-232"/>
        <w:jc w:val="both"/>
      </w:pPr>
      <w:r w:rsidRPr="00552294">
        <w:rPr>
          <w:i/>
          <w:sz w:val="20"/>
          <w:szCs w:val="28"/>
        </w:rPr>
        <w:t>(…)”</w:t>
      </w:r>
    </w:p>
  </w:footnote>
  <w:footnote w:id="2">
    <w:p w:rsidR="00DA7F47" w:rsidRPr="00552294" w:rsidRDefault="00DA7F47" w:rsidP="00DA7F47">
      <w:pPr>
        <w:pStyle w:val="Textonotapie"/>
        <w:jc w:val="both"/>
        <w:rPr>
          <w:rFonts w:asciiTheme="minorHAnsi" w:hAnsiTheme="minorHAnsi"/>
        </w:rPr>
      </w:pPr>
      <w:r w:rsidRPr="00552294">
        <w:rPr>
          <w:rFonts w:asciiTheme="minorHAnsi" w:hAnsiTheme="minorHAnsi"/>
          <w:vertAlign w:val="superscript"/>
        </w:rPr>
        <w:footnoteRef/>
      </w:r>
      <w:r w:rsidRPr="00552294">
        <w:rPr>
          <w:rFonts w:asciiTheme="minorHAnsi" w:hAnsiTheme="minorHAnsi"/>
        </w:rPr>
        <w:t xml:space="preserve"> Sobre el tema de la igualdad se ha pronunciado </w:t>
      </w:r>
      <w:smartTag w:uri="urn:schemas-microsoft-com:office:smarttags" w:element="PersonName">
        <w:smartTagPr>
          <w:attr w:name="ProductID" w:val="la Corte"/>
        </w:smartTagPr>
        <w:r w:rsidRPr="00552294">
          <w:rPr>
            <w:rFonts w:asciiTheme="minorHAnsi" w:hAnsiTheme="minorHAnsi"/>
          </w:rPr>
          <w:t>la Corte</w:t>
        </w:r>
      </w:smartTag>
      <w:r w:rsidRPr="00552294">
        <w:rPr>
          <w:rFonts w:asciiTheme="minorHAnsi" w:hAnsiTheme="minorHAnsi"/>
        </w:rPr>
        <w:t xml:space="preserve"> en múltiples sentencias, entre las cuales se pueden consultar </w:t>
      </w:r>
      <w:smartTag w:uri="urn:schemas-microsoft-com:office:smarttags" w:element="PersonName">
        <w:smartTagPr>
          <w:attr w:name="ProductID" w:val="la T-597"/>
        </w:smartTagPr>
        <w:r w:rsidRPr="00552294">
          <w:rPr>
            <w:rFonts w:asciiTheme="minorHAnsi" w:hAnsiTheme="minorHAnsi"/>
          </w:rPr>
          <w:t>la T-597</w:t>
        </w:r>
      </w:smartTag>
      <w:r w:rsidRPr="00552294">
        <w:rPr>
          <w:rFonts w:asciiTheme="minorHAnsi" w:hAnsiTheme="minorHAnsi"/>
        </w:rPr>
        <w:t xml:space="preserve"> de 1993; C-461 de 1995; C-230 1994; C-101 de 2003 (sobre regímenes especiales).</w:t>
      </w:r>
    </w:p>
  </w:footnote>
  <w:footnote w:id="3">
    <w:p w:rsidR="00DA7F47" w:rsidRPr="00552294" w:rsidRDefault="00DA7F47" w:rsidP="00DA7F47">
      <w:pPr>
        <w:pStyle w:val="Textonotapie"/>
        <w:jc w:val="both"/>
        <w:rPr>
          <w:rFonts w:asciiTheme="minorHAnsi" w:hAnsiTheme="minorHAnsi"/>
        </w:rPr>
      </w:pPr>
      <w:r w:rsidRPr="00552294">
        <w:rPr>
          <w:rFonts w:asciiTheme="minorHAnsi" w:hAnsiTheme="minorHAnsi"/>
          <w:vertAlign w:val="superscript"/>
        </w:rPr>
        <w:footnoteRef/>
      </w:r>
      <w:r w:rsidRPr="00552294">
        <w:rPr>
          <w:rFonts w:asciiTheme="minorHAnsi" w:hAnsiTheme="minorHAnsi"/>
        </w:rPr>
        <w:t xml:space="preserve"> Ver, entre otras, las sentencias T-422 del 19 de junio de 1992 </w:t>
      </w:r>
      <w:r>
        <w:rPr>
          <w:rFonts w:asciiTheme="minorHAnsi" w:hAnsiTheme="minorHAnsi"/>
        </w:rPr>
        <w:t>y C-022 del 23 de enero de 1996.</w:t>
      </w:r>
    </w:p>
  </w:footnote>
  <w:footnote w:id="4">
    <w:p w:rsidR="00DA7F47" w:rsidRPr="00552294" w:rsidRDefault="00DA7F47" w:rsidP="00DA7F47">
      <w:pPr>
        <w:pStyle w:val="Textonotapie"/>
        <w:rPr>
          <w:rFonts w:asciiTheme="minorHAnsi" w:hAnsiTheme="minorHAnsi"/>
        </w:rPr>
      </w:pPr>
      <w:r w:rsidRPr="00552294">
        <w:rPr>
          <w:rFonts w:asciiTheme="minorHAnsi" w:hAnsiTheme="minorHAnsi"/>
          <w:vertAlign w:val="superscript"/>
        </w:rPr>
        <w:footnoteRef/>
      </w:r>
      <w:r>
        <w:rPr>
          <w:rFonts w:asciiTheme="minorHAnsi" w:hAnsiTheme="minorHAnsi"/>
        </w:rPr>
        <w:t xml:space="preserve"> Corte </w:t>
      </w:r>
      <w:r w:rsidRPr="00552294">
        <w:rPr>
          <w:rFonts w:asciiTheme="minorHAnsi" w:hAnsiTheme="minorHAnsi"/>
        </w:rPr>
        <w:t>Constitucional, sentencia C-888 de 2002.</w:t>
      </w:r>
    </w:p>
  </w:footnote>
  <w:footnote w:id="5">
    <w:p w:rsidR="00DA7F47" w:rsidRPr="00552294" w:rsidRDefault="00DA7F47" w:rsidP="00DA7F47">
      <w:pPr>
        <w:pStyle w:val="Textonotapie"/>
        <w:jc w:val="both"/>
        <w:rPr>
          <w:rFonts w:asciiTheme="minorHAnsi" w:hAnsiTheme="minorHAnsi"/>
        </w:rPr>
      </w:pPr>
      <w:r w:rsidRPr="00552294">
        <w:rPr>
          <w:rFonts w:asciiTheme="minorHAnsi" w:hAnsiTheme="minorHAnsi"/>
          <w:vertAlign w:val="superscript"/>
        </w:rPr>
        <w:footnoteRef/>
      </w:r>
      <w:r w:rsidRPr="00552294">
        <w:rPr>
          <w:rFonts w:asciiTheme="minorHAnsi" w:hAnsiTheme="minorHAnsi"/>
        </w:rPr>
        <w:t xml:space="preserve"> Dos de las situaciones en que el Decreto Ley 1211 de 1990 establecen tratos idénticos para oficiales y suboficiales, son por ejemplo el período de prueba (Art. 35) y el subsidio familiar (Art. 79).</w:t>
      </w:r>
    </w:p>
  </w:footnote>
  <w:footnote w:id="6">
    <w:p w:rsidR="00DA7F47" w:rsidRPr="00552294" w:rsidRDefault="00DA7F47" w:rsidP="00DA7F47">
      <w:pPr>
        <w:pStyle w:val="Textonotapie"/>
        <w:rPr>
          <w:rFonts w:asciiTheme="minorHAnsi" w:hAnsiTheme="minorHAnsi"/>
        </w:rPr>
      </w:pPr>
      <w:r w:rsidRPr="00552294">
        <w:rPr>
          <w:rFonts w:asciiTheme="minorHAnsi" w:hAnsiTheme="minorHAnsi"/>
          <w:vertAlign w:val="superscript"/>
        </w:rPr>
        <w:footnoteRef/>
      </w:r>
      <w:r w:rsidRPr="00552294">
        <w:rPr>
          <w:rFonts w:asciiTheme="minorHAnsi" w:hAnsiTheme="minorHAnsi"/>
        </w:rPr>
        <w:t>Corte  Constitucional, sentencia C-888 de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89" w:rsidRDefault="00EE3D89">
    <w:pPr>
      <w:pStyle w:val="Encabezado"/>
    </w:pPr>
    <w:r>
      <w:rPr>
        <w:noProof/>
        <w:lang w:eastAsia="es-CO"/>
      </w:rPr>
      <w:drawing>
        <wp:anchor distT="0" distB="0" distL="114300" distR="114300" simplePos="0" relativeHeight="251659264" behindDoc="1" locked="0" layoutInCell="1" allowOverlap="1" wp14:anchorId="319A84DD" wp14:editId="0FE7F21F">
          <wp:simplePos x="0" y="0"/>
          <wp:positionH relativeFrom="margin">
            <wp:align>left</wp:align>
          </wp:positionH>
          <wp:positionV relativeFrom="paragraph">
            <wp:posOffset>-314960</wp:posOffset>
          </wp:positionV>
          <wp:extent cx="1716405" cy="758190"/>
          <wp:effectExtent l="0" t="0" r="0" b="3810"/>
          <wp:wrapNone/>
          <wp:docPr id="3" name="Imagen 3" descr="http://ts3.mm.bing.net/th?id=HN.607991812560718068&amp;w=234&amp;h=155&amp;c=7&amp;rs=1&amp;url=http%3a%2f%2fwww.flickr.com%2fphotos%2fjosedavidname%2f4924480514%2f&amp;pid=1.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3.mm.bing.net/th?id=HN.607991812560718068&amp;w=234&amp;h=155&amp;c=7&amp;rs=1&amp;url=http%3a%2f%2fwww.flickr.com%2fphotos%2fjosedavidname%2f4924480514%2f&amp;pid=1.7">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b="33406"/>
                  <a:stretch>
                    <a:fillRect/>
                  </a:stretch>
                </pic:blipFill>
                <pic:spPr bwMode="auto">
                  <a:xfrm>
                    <a:off x="0" y="0"/>
                    <a:ext cx="1716405" cy="758190"/>
                  </a:xfrm>
                  <a:prstGeom prst="rect">
                    <a:avLst/>
                  </a:prstGeom>
                  <a:noFill/>
                  <a:ln>
                    <a:noFill/>
                  </a:ln>
                </pic:spPr>
              </pic:pic>
            </a:graphicData>
          </a:graphic>
        </wp:anchor>
      </w:drawing>
    </w:r>
    <w:r>
      <w:rPr>
        <w:noProof/>
        <w:lang w:eastAsia="es-CO"/>
      </w:rPr>
      <w:drawing>
        <wp:anchor distT="0" distB="0" distL="114300" distR="114300" simplePos="0" relativeHeight="251661312" behindDoc="1" locked="0" layoutInCell="1" allowOverlap="1" wp14:anchorId="50404EF3" wp14:editId="4E21A940">
          <wp:simplePos x="0" y="0"/>
          <wp:positionH relativeFrom="column">
            <wp:posOffset>2838450</wp:posOffset>
          </wp:positionH>
          <wp:positionV relativeFrom="paragraph">
            <wp:posOffset>-183515</wp:posOffset>
          </wp:positionV>
          <wp:extent cx="2804795" cy="626745"/>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4795" cy="6267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63B9"/>
    <w:multiLevelType w:val="hybridMultilevel"/>
    <w:tmpl w:val="0FFA5AA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F003333"/>
    <w:multiLevelType w:val="hybridMultilevel"/>
    <w:tmpl w:val="60CABCAA"/>
    <w:lvl w:ilvl="0" w:tplc="08947B0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5443D2"/>
    <w:multiLevelType w:val="hybridMultilevel"/>
    <w:tmpl w:val="E8AA51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CB87F36"/>
    <w:multiLevelType w:val="hybridMultilevel"/>
    <w:tmpl w:val="6908D258"/>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F8432A6"/>
    <w:multiLevelType w:val="hybridMultilevel"/>
    <w:tmpl w:val="84B6AE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24019C2"/>
    <w:multiLevelType w:val="multilevel"/>
    <w:tmpl w:val="D8C245CA"/>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nsid w:val="230B27CB"/>
    <w:multiLevelType w:val="hybridMultilevel"/>
    <w:tmpl w:val="A150E51A"/>
    <w:lvl w:ilvl="0" w:tplc="A70C24E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2EE959BB"/>
    <w:multiLevelType w:val="hybridMultilevel"/>
    <w:tmpl w:val="C356776E"/>
    <w:lvl w:ilvl="0" w:tplc="C276B784">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A1C727E"/>
    <w:multiLevelType w:val="multilevel"/>
    <w:tmpl w:val="5E96F4B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F0032E8"/>
    <w:multiLevelType w:val="multilevel"/>
    <w:tmpl w:val="49EAE34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0746A6C"/>
    <w:multiLevelType w:val="hybridMultilevel"/>
    <w:tmpl w:val="F0BAB7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440B0BC9"/>
    <w:multiLevelType w:val="multilevel"/>
    <w:tmpl w:val="972A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6326E6"/>
    <w:multiLevelType w:val="hybridMultilevel"/>
    <w:tmpl w:val="25AC8B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0444D66"/>
    <w:multiLevelType w:val="hybridMultilevel"/>
    <w:tmpl w:val="B1FC8536"/>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60FC5E42"/>
    <w:multiLevelType w:val="hybridMultilevel"/>
    <w:tmpl w:val="CE8C6EBE"/>
    <w:lvl w:ilvl="0" w:tplc="F1E2F59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7E0B5060"/>
    <w:multiLevelType w:val="hybridMultilevel"/>
    <w:tmpl w:val="06649770"/>
    <w:lvl w:ilvl="0" w:tplc="7CD09418">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0"/>
  </w:num>
  <w:num w:numId="5">
    <w:abstractNumId w:val="8"/>
  </w:num>
  <w:num w:numId="6">
    <w:abstractNumId w:val="9"/>
  </w:num>
  <w:num w:numId="7">
    <w:abstractNumId w:val="12"/>
  </w:num>
  <w:num w:numId="8">
    <w:abstractNumId w:val="2"/>
  </w:num>
  <w:num w:numId="9">
    <w:abstractNumId w:val="1"/>
  </w:num>
  <w:num w:numId="10">
    <w:abstractNumId w:val="11"/>
  </w:num>
  <w:num w:numId="11">
    <w:abstractNumId w:val="4"/>
  </w:num>
  <w:num w:numId="12">
    <w:abstractNumId w:val="14"/>
  </w:num>
  <w:num w:numId="13">
    <w:abstractNumId w:val="6"/>
  </w:num>
  <w:num w:numId="14">
    <w:abstractNumId w:val="1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A3"/>
    <w:rsid w:val="00017B77"/>
    <w:rsid w:val="0002093C"/>
    <w:rsid w:val="0005667C"/>
    <w:rsid w:val="000613B0"/>
    <w:rsid w:val="0006364D"/>
    <w:rsid w:val="000643FF"/>
    <w:rsid w:val="00067AA1"/>
    <w:rsid w:val="00076BF7"/>
    <w:rsid w:val="000A1E88"/>
    <w:rsid w:val="000A5568"/>
    <w:rsid w:val="00105F49"/>
    <w:rsid w:val="001138DC"/>
    <w:rsid w:val="001615CA"/>
    <w:rsid w:val="0017003B"/>
    <w:rsid w:val="001717BC"/>
    <w:rsid w:val="00191EA4"/>
    <w:rsid w:val="001929BA"/>
    <w:rsid w:val="001A6CA1"/>
    <w:rsid w:val="001C0E4B"/>
    <w:rsid w:val="00222B4C"/>
    <w:rsid w:val="002773AA"/>
    <w:rsid w:val="00285D51"/>
    <w:rsid w:val="002B0F77"/>
    <w:rsid w:val="003032BE"/>
    <w:rsid w:val="00311F38"/>
    <w:rsid w:val="00321DD4"/>
    <w:rsid w:val="003466B5"/>
    <w:rsid w:val="00373BE0"/>
    <w:rsid w:val="00390BCE"/>
    <w:rsid w:val="0039349F"/>
    <w:rsid w:val="003F7D72"/>
    <w:rsid w:val="004047E7"/>
    <w:rsid w:val="00406912"/>
    <w:rsid w:val="00414B2F"/>
    <w:rsid w:val="00414F55"/>
    <w:rsid w:val="00440899"/>
    <w:rsid w:val="0047493C"/>
    <w:rsid w:val="00481019"/>
    <w:rsid w:val="005148B4"/>
    <w:rsid w:val="00521F97"/>
    <w:rsid w:val="005670AE"/>
    <w:rsid w:val="005F041E"/>
    <w:rsid w:val="0060165C"/>
    <w:rsid w:val="00651D39"/>
    <w:rsid w:val="006771D8"/>
    <w:rsid w:val="00685670"/>
    <w:rsid w:val="00685D8A"/>
    <w:rsid w:val="006A7517"/>
    <w:rsid w:val="006C649A"/>
    <w:rsid w:val="006D3097"/>
    <w:rsid w:val="006E5E4F"/>
    <w:rsid w:val="00700024"/>
    <w:rsid w:val="0072171E"/>
    <w:rsid w:val="0072572D"/>
    <w:rsid w:val="00762A8F"/>
    <w:rsid w:val="00776455"/>
    <w:rsid w:val="00777368"/>
    <w:rsid w:val="007B2D01"/>
    <w:rsid w:val="007C0F9C"/>
    <w:rsid w:val="007C2CFE"/>
    <w:rsid w:val="007F1221"/>
    <w:rsid w:val="00801DDD"/>
    <w:rsid w:val="0083572B"/>
    <w:rsid w:val="00843770"/>
    <w:rsid w:val="008538F9"/>
    <w:rsid w:val="00856A62"/>
    <w:rsid w:val="008575FD"/>
    <w:rsid w:val="00865742"/>
    <w:rsid w:val="00882478"/>
    <w:rsid w:val="008B78A6"/>
    <w:rsid w:val="008C17AC"/>
    <w:rsid w:val="008E6C92"/>
    <w:rsid w:val="00931240"/>
    <w:rsid w:val="00984822"/>
    <w:rsid w:val="009B72A0"/>
    <w:rsid w:val="00A039A3"/>
    <w:rsid w:val="00A1049D"/>
    <w:rsid w:val="00A757B8"/>
    <w:rsid w:val="00A760C0"/>
    <w:rsid w:val="00AA1C03"/>
    <w:rsid w:val="00AB3ACF"/>
    <w:rsid w:val="00AE1755"/>
    <w:rsid w:val="00B038A7"/>
    <w:rsid w:val="00B25969"/>
    <w:rsid w:val="00B4796D"/>
    <w:rsid w:val="00B6054C"/>
    <w:rsid w:val="00B627DE"/>
    <w:rsid w:val="00B9121F"/>
    <w:rsid w:val="00B92486"/>
    <w:rsid w:val="00BA3C72"/>
    <w:rsid w:val="00BC44BA"/>
    <w:rsid w:val="00BC76A0"/>
    <w:rsid w:val="00BE5082"/>
    <w:rsid w:val="00BF5704"/>
    <w:rsid w:val="00C02B4B"/>
    <w:rsid w:val="00C055A5"/>
    <w:rsid w:val="00C75364"/>
    <w:rsid w:val="00CC2A29"/>
    <w:rsid w:val="00CF6738"/>
    <w:rsid w:val="00D17ABD"/>
    <w:rsid w:val="00D358FA"/>
    <w:rsid w:val="00D517EC"/>
    <w:rsid w:val="00D70A77"/>
    <w:rsid w:val="00D84A2B"/>
    <w:rsid w:val="00D96D5B"/>
    <w:rsid w:val="00DA7F47"/>
    <w:rsid w:val="00DB68D0"/>
    <w:rsid w:val="00DC39B2"/>
    <w:rsid w:val="00DE7DC7"/>
    <w:rsid w:val="00E35B51"/>
    <w:rsid w:val="00E4174F"/>
    <w:rsid w:val="00E94E6C"/>
    <w:rsid w:val="00EA7A5F"/>
    <w:rsid w:val="00EB0115"/>
    <w:rsid w:val="00EB0B3C"/>
    <w:rsid w:val="00EB2A24"/>
    <w:rsid w:val="00EC6F21"/>
    <w:rsid w:val="00EC6FD6"/>
    <w:rsid w:val="00ED13E8"/>
    <w:rsid w:val="00ED2A18"/>
    <w:rsid w:val="00EE3D89"/>
    <w:rsid w:val="00EF3E8F"/>
    <w:rsid w:val="00F12A4B"/>
    <w:rsid w:val="00F16110"/>
    <w:rsid w:val="00F6534A"/>
    <w:rsid w:val="00FB26B7"/>
    <w:rsid w:val="00FD597B"/>
    <w:rsid w:val="00FE3713"/>
    <w:rsid w:val="00FF76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4FAAD8F-9101-4832-BF7E-8C75296D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5364"/>
    <w:pPr>
      <w:ind w:left="720"/>
      <w:contextualSpacing/>
    </w:pPr>
  </w:style>
  <w:style w:type="paragraph" w:styleId="Encabezado">
    <w:name w:val="header"/>
    <w:basedOn w:val="Normal"/>
    <w:link w:val="EncabezadoCar"/>
    <w:uiPriority w:val="99"/>
    <w:unhideWhenUsed/>
    <w:rsid w:val="00EE3D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3D89"/>
  </w:style>
  <w:style w:type="paragraph" w:styleId="Piedepgina">
    <w:name w:val="footer"/>
    <w:basedOn w:val="Normal"/>
    <w:link w:val="PiedepginaCar"/>
    <w:uiPriority w:val="99"/>
    <w:unhideWhenUsed/>
    <w:rsid w:val="00EE3D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3D89"/>
  </w:style>
  <w:style w:type="paragraph" w:styleId="Textodeglobo">
    <w:name w:val="Balloon Text"/>
    <w:basedOn w:val="Normal"/>
    <w:link w:val="TextodegloboCar"/>
    <w:uiPriority w:val="99"/>
    <w:semiHidden/>
    <w:unhideWhenUsed/>
    <w:rsid w:val="00373B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BE0"/>
    <w:rPr>
      <w:rFonts w:ascii="Tahoma" w:hAnsi="Tahoma" w:cs="Tahoma"/>
      <w:sz w:val="16"/>
      <w:szCs w:val="16"/>
    </w:rPr>
  </w:style>
  <w:style w:type="paragraph" w:styleId="NormalWeb">
    <w:name w:val="Normal (Web)"/>
    <w:basedOn w:val="Normal"/>
    <w:uiPriority w:val="99"/>
    <w:semiHidden/>
    <w:unhideWhenUsed/>
    <w:rsid w:val="00F6534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3973224056msonormal">
    <w:name w:val="yiv3973224056msonormal"/>
    <w:basedOn w:val="Normal"/>
    <w:rsid w:val="00E94E6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Ref. de nota al pie1,Texto de nota al pie,referencia nota al pie,Nota de pie,Texto nota al pie,Appel note de bas de page"/>
    <w:basedOn w:val="Normal"/>
    <w:link w:val="TextonotapieCar1"/>
    <w:uiPriority w:val="99"/>
    <w:unhideWhenUsed/>
    <w:rsid w:val="00DA7F47"/>
    <w:pPr>
      <w:overflowPunct w:val="0"/>
      <w:autoSpaceDE w:val="0"/>
      <w:autoSpaceDN w:val="0"/>
      <w:adjustRightInd w:val="0"/>
      <w:spacing w:after="0" w:line="240" w:lineRule="auto"/>
    </w:pPr>
    <w:rPr>
      <w:rFonts w:ascii="Arial" w:eastAsia="Times New Roman" w:hAnsi="Arial" w:cs="Times New Roman"/>
      <w:sz w:val="20"/>
      <w:szCs w:val="20"/>
      <w:lang w:val="es-ES_tradnl" w:eastAsia="es-ES"/>
    </w:rPr>
  </w:style>
  <w:style w:type="character" w:customStyle="1" w:styleId="TextonotapieCar">
    <w:name w:val="Texto nota pie Car"/>
    <w:basedOn w:val="Fuentedeprrafopredeter"/>
    <w:uiPriority w:val="99"/>
    <w:semiHidden/>
    <w:rsid w:val="00DA7F47"/>
    <w:rPr>
      <w:sz w:val="20"/>
      <w:szCs w:val="20"/>
    </w:rPr>
  </w:style>
  <w:style w:type="character" w:customStyle="1" w:styleId="TextonotapieCar1">
    <w:name w:val="Texto nota pie Car1"/>
    <w:aliases w:val="Ref. de nota al pie1 Car,Texto de nota al pie Car,referencia nota al pie Car,Nota de pie Car,Texto nota al pie Car,Appel note de bas de page Car"/>
    <w:basedOn w:val="Fuentedeprrafopredeter"/>
    <w:link w:val="Textonotapie"/>
    <w:uiPriority w:val="99"/>
    <w:rsid w:val="00DA7F47"/>
    <w:rPr>
      <w:rFonts w:ascii="Arial" w:eastAsia="Times New Roman" w:hAnsi="Arial" w:cs="Times New Roman"/>
      <w:sz w:val="20"/>
      <w:szCs w:val="20"/>
      <w:lang w:val="es-ES_tradnl" w:eastAsia="es-ES"/>
    </w:rPr>
  </w:style>
  <w:style w:type="character" w:styleId="Refdenotaalpie">
    <w:name w:val="footnote reference"/>
    <w:basedOn w:val="Fuentedeprrafopredeter"/>
    <w:uiPriority w:val="99"/>
    <w:unhideWhenUsed/>
    <w:rsid w:val="00DA7F47"/>
    <w:rPr>
      <w:vertAlign w:val="superscript"/>
    </w:rPr>
  </w:style>
  <w:style w:type="paragraph" w:styleId="Textoindependiente">
    <w:name w:val="Body Text"/>
    <w:basedOn w:val="Normal"/>
    <w:link w:val="TextoindependienteCar"/>
    <w:uiPriority w:val="99"/>
    <w:rsid w:val="00DA7F47"/>
    <w:pPr>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DA7F47"/>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DA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713">
      <w:bodyDiv w:val="1"/>
      <w:marLeft w:val="0"/>
      <w:marRight w:val="0"/>
      <w:marTop w:val="0"/>
      <w:marBottom w:val="0"/>
      <w:divBdr>
        <w:top w:val="none" w:sz="0" w:space="0" w:color="auto"/>
        <w:left w:val="none" w:sz="0" w:space="0" w:color="auto"/>
        <w:bottom w:val="none" w:sz="0" w:space="0" w:color="auto"/>
        <w:right w:val="none" w:sz="0" w:space="0" w:color="auto"/>
      </w:divBdr>
      <w:divsChild>
        <w:div w:id="1332489299">
          <w:marLeft w:val="0"/>
          <w:marRight w:val="0"/>
          <w:marTop w:val="0"/>
          <w:marBottom w:val="0"/>
          <w:divBdr>
            <w:top w:val="none" w:sz="0" w:space="0" w:color="auto"/>
            <w:left w:val="none" w:sz="0" w:space="0" w:color="auto"/>
            <w:bottom w:val="none" w:sz="0" w:space="0" w:color="auto"/>
            <w:right w:val="none" w:sz="0" w:space="0" w:color="auto"/>
          </w:divBdr>
          <w:divsChild>
            <w:div w:id="1030842024">
              <w:marLeft w:val="0"/>
              <w:marRight w:val="0"/>
              <w:marTop w:val="0"/>
              <w:marBottom w:val="0"/>
              <w:divBdr>
                <w:top w:val="none" w:sz="0" w:space="0" w:color="auto"/>
                <w:left w:val="none" w:sz="0" w:space="0" w:color="auto"/>
                <w:bottom w:val="none" w:sz="0" w:space="0" w:color="auto"/>
                <w:right w:val="none" w:sz="0" w:space="0" w:color="auto"/>
              </w:divBdr>
              <w:divsChild>
                <w:div w:id="1062366257">
                  <w:marLeft w:val="0"/>
                  <w:marRight w:val="0"/>
                  <w:marTop w:val="0"/>
                  <w:marBottom w:val="0"/>
                  <w:divBdr>
                    <w:top w:val="none" w:sz="0" w:space="0" w:color="auto"/>
                    <w:left w:val="none" w:sz="0" w:space="0" w:color="auto"/>
                    <w:bottom w:val="none" w:sz="0" w:space="0" w:color="auto"/>
                    <w:right w:val="none" w:sz="0" w:space="0" w:color="auto"/>
                  </w:divBdr>
                  <w:divsChild>
                    <w:div w:id="188950746">
                      <w:marLeft w:val="0"/>
                      <w:marRight w:val="0"/>
                      <w:marTop w:val="0"/>
                      <w:marBottom w:val="0"/>
                      <w:divBdr>
                        <w:top w:val="none" w:sz="0" w:space="0" w:color="auto"/>
                        <w:left w:val="none" w:sz="0" w:space="0" w:color="auto"/>
                        <w:bottom w:val="none" w:sz="0" w:space="0" w:color="auto"/>
                        <w:right w:val="none" w:sz="0" w:space="0" w:color="auto"/>
                      </w:divBdr>
                      <w:divsChild>
                        <w:div w:id="319507325">
                          <w:marLeft w:val="0"/>
                          <w:marRight w:val="0"/>
                          <w:marTop w:val="0"/>
                          <w:marBottom w:val="0"/>
                          <w:divBdr>
                            <w:top w:val="none" w:sz="0" w:space="0" w:color="auto"/>
                            <w:left w:val="none" w:sz="0" w:space="0" w:color="auto"/>
                            <w:bottom w:val="none" w:sz="0" w:space="0" w:color="auto"/>
                            <w:right w:val="none" w:sz="0" w:space="0" w:color="auto"/>
                          </w:divBdr>
                          <w:divsChild>
                            <w:div w:id="709644868">
                              <w:marLeft w:val="0"/>
                              <w:marRight w:val="0"/>
                              <w:marTop w:val="0"/>
                              <w:marBottom w:val="0"/>
                              <w:divBdr>
                                <w:top w:val="none" w:sz="0" w:space="0" w:color="auto"/>
                                <w:left w:val="none" w:sz="0" w:space="0" w:color="auto"/>
                                <w:bottom w:val="none" w:sz="0" w:space="0" w:color="auto"/>
                                <w:right w:val="none" w:sz="0" w:space="0" w:color="auto"/>
                              </w:divBdr>
                              <w:divsChild>
                                <w:div w:id="622736092">
                                  <w:marLeft w:val="0"/>
                                  <w:marRight w:val="0"/>
                                  <w:marTop w:val="0"/>
                                  <w:marBottom w:val="0"/>
                                  <w:divBdr>
                                    <w:top w:val="none" w:sz="0" w:space="0" w:color="auto"/>
                                    <w:left w:val="none" w:sz="0" w:space="0" w:color="auto"/>
                                    <w:bottom w:val="none" w:sz="0" w:space="0" w:color="auto"/>
                                    <w:right w:val="none" w:sz="0" w:space="0" w:color="auto"/>
                                  </w:divBdr>
                                  <w:divsChild>
                                    <w:div w:id="233857125">
                                      <w:marLeft w:val="0"/>
                                      <w:marRight w:val="0"/>
                                      <w:marTop w:val="0"/>
                                      <w:marBottom w:val="0"/>
                                      <w:divBdr>
                                        <w:top w:val="none" w:sz="0" w:space="0" w:color="auto"/>
                                        <w:left w:val="none" w:sz="0" w:space="0" w:color="auto"/>
                                        <w:bottom w:val="none" w:sz="0" w:space="0" w:color="auto"/>
                                        <w:right w:val="none" w:sz="0" w:space="0" w:color="auto"/>
                                      </w:divBdr>
                                      <w:divsChild>
                                        <w:div w:id="522524470">
                                          <w:marLeft w:val="0"/>
                                          <w:marRight w:val="0"/>
                                          <w:marTop w:val="0"/>
                                          <w:marBottom w:val="0"/>
                                          <w:divBdr>
                                            <w:top w:val="none" w:sz="0" w:space="0" w:color="auto"/>
                                            <w:left w:val="none" w:sz="0" w:space="0" w:color="auto"/>
                                            <w:bottom w:val="none" w:sz="0" w:space="0" w:color="auto"/>
                                            <w:right w:val="none" w:sz="0" w:space="0" w:color="auto"/>
                                          </w:divBdr>
                                          <w:divsChild>
                                            <w:div w:id="1686133136">
                                              <w:marLeft w:val="0"/>
                                              <w:marRight w:val="0"/>
                                              <w:marTop w:val="0"/>
                                              <w:marBottom w:val="0"/>
                                              <w:divBdr>
                                                <w:top w:val="none" w:sz="0" w:space="0" w:color="auto"/>
                                                <w:left w:val="none" w:sz="0" w:space="0" w:color="auto"/>
                                                <w:bottom w:val="none" w:sz="0" w:space="0" w:color="auto"/>
                                                <w:right w:val="none" w:sz="0" w:space="0" w:color="auto"/>
                                              </w:divBdr>
                                              <w:divsChild>
                                                <w:div w:id="1714965685">
                                                  <w:marLeft w:val="0"/>
                                                  <w:marRight w:val="0"/>
                                                  <w:marTop w:val="0"/>
                                                  <w:marBottom w:val="0"/>
                                                  <w:divBdr>
                                                    <w:top w:val="none" w:sz="0" w:space="0" w:color="auto"/>
                                                    <w:left w:val="none" w:sz="0" w:space="0" w:color="auto"/>
                                                    <w:bottom w:val="none" w:sz="0" w:space="0" w:color="auto"/>
                                                    <w:right w:val="none" w:sz="0" w:space="0" w:color="auto"/>
                                                  </w:divBdr>
                                                  <w:divsChild>
                                                    <w:div w:id="335378156">
                                                      <w:marLeft w:val="0"/>
                                                      <w:marRight w:val="0"/>
                                                      <w:marTop w:val="0"/>
                                                      <w:marBottom w:val="0"/>
                                                      <w:divBdr>
                                                        <w:top w:val="none" w:sz="0" w:space="0" w:color="auto"/>
                                                        <w:left w:val="none" w:sz="0" w:space="0" w:color="auto"/>
                                                        <w:bottom w:val="none" w:sz="0" w:space="0" w:color="auto"/>
                                                        <w:right w:val="none" w:sz="0" w:space="0" w:color="auto"/>
                                                      </w:divBdr>
                                                      <w:divsChild>
                                                        <w:div w:id="345249891">
                                                          <w:marLeft w:val="0"/>
                                                          <w:marRight w:val="0"/>
                                                          <w:marTop w:val="0"/>
                                                          <w:marBottom w:val="0"/>
                                                          <w:divBdr>
                                                            <w:top w:val="none" w:sz="0" w:space="0" w:color="auto"/>
                                                            <w:left w:val="none" w:sz="0" w:space="0" w:color="auto"/>
                                                            <w:bottom w:val="none" w:sz="0" w:space="0" w:color="auto"/>
                                                            <w:right w:val="none" w:sz="0" w:space="0" w:color="auto"/>
                                                          </w:divBdr>
                                                          <w:divsChild>
                                                            <w:div w:id="345256680">
                                                              <w:marLeft w:val="0"/>
                                                              <w:marRight w:val="0"/>
                                                              <w:marTop w:val="0"/>
                                                              <w:marBottom w:val="0"/>
                                                              <w:divBdr>
                                                                <w:top w:val="none" w:sz="0" w:space="0" w:color="auto"/>
                                                                <w:left w:val="none" w:sz="0" w:space="0" w:color="auto"/>
                                                                <w:bottom w:val="none" w:sz="0" w:space="0" w:color="auto"/>
                                                                <w:right w:val="none" w:sz="0" w:space="0" w:color="auto"/>
                                                              </w:divBdr>
                                                              <w:divsChild>
                                                                <w:div w:id="5291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8430395">
      <w:bodyDiv w:val="1"/>
      <w:marLeft w:val="0"/>
      <w:marRight w:val="0"/>
      <w:marTop w:val="0"/>
      <w:marBottom w:val="0"/>
      <w:divBdr>
        <w:top w:val="none" w:sz="0" w:space="0" w:color="auto"/>
        <w:left w:val="none" w:sz="0" w:space="0" w:color="auto"/>
        <w:bottom w:val="none" w:sz="0" w:space="0" w:color="auto"/>
        <w:right w:val="none" w:sz="0" w:space="0" w:color="auto"/>
      </w:divBdr>
    </w:div>
    <w:div w:id="824980429">
      <w:bodyDiv w:val="1"/>
      <w:marLeft w:val="0"/>
      <w:marRight w:val="0"/>
      <w:marTop w:val="0"/>
      <w:marBottom w:val="0"/>
      <w:divBdr>
        <w:top w:val="none" w:sz="0" w:space="0" w:color="auto"/>
        <w:left w:val="none" w:sz="0" w:space="0" w:color="auto"/>
        <w:bottom w:val="none" w:sz="0" w:space="0" w:color="auto"/>
        <w:right w:val="none" w:sz="0" w:space="0" w:color="auto"/>
      </w:divBdr>
    </w:div>
    <w:div w:id="898907968">
      <w:bodyDiv w:val="1"/>
      <w:marLeft w:val="0"/>
      <w:marRight w:val="0"/>
      <w:marTop w:val="0"/>
      <w:marBottom w:val="0"/>
      <w:divBdr>
        <w:top w:val="none" w:sz="0" w:space="0" w:color="auto"/>
        <w:left w:val="none" w:sz="0" w:space="0" w:color="auto"/>
        <w:bottom w:val="none" w:sz="0" w:space="0" w:color="auto"/>
        <w:right w:val="none" w:sz="0" w:space="0" w:color="auto"/>
      </w:divBdr>
    </w:div>
    <w:div w:id="986783072">
      <w:bodyDiv w:val="1"/>
      <w:marLeft w:val="0"/>
      <w:marRight w:val="0"/>
      <w:marTop w:val="0"/>
      <w:marBottom w:val="0"/>
      <w:divBdr>
        <w:top w:val="none" w:sz="0" w:space="0" w:color="auto"/>
        <w:left w:val="none" w:sz="0" w:space="0" w:color="auto"/>
        <w:bottom w:val="none" w:sz="0" w:space="0" w:color="auto"/>
        <w:right w:val="none" w:sz="0" w:space="0" w:color="auto"/>
      </w:divBdr>
    </w:div>
    <w:div w:id="1110928559">
      <w:bodyDiv w:val="1"/>
      <w:marLeft w:val="0"/>
      <w:marRight w:val="0"/>
      <w:marTop w:val="0"/>
      <w:marBottom w:val="0"/>
      <w:divBdr>
        <w:top w:val="none" w:sz="0" w:space="0" w:color="auto"/>
        <w:left w:val="none" w:sz="0" w:space="0" w:color="auto"/>
        <w:bottom w:val="none" w:sz="0" w:space="0" w:color="auto"/>
        <w:right w:val="none" w:sz="0" w:space="0" w:color="auto"/>
      </w:divBdr>
    </w:div>
    <w:div w:id="1186476616">
      <w:bodyDiv w:val="1"/>
      <w:marLeft w:val="0"/>
      <w:marRight w:val="0"/>
      <w:marTop w:val="0"/>
      <w:marBottom w:val="0"/>
      <w:divBdr>
        <w:top w:val="none" w:sz="0" w:space="0" w:color="auto"/>
        <w:left w:val="none" w:sz="0" w:space="0" w:color="auto"/>
        <w:bottom w:val="none" w:sz="0" w:space="0" w:color="auto"/>
        <w:right w:val="none" w:sz="0" w:space="0" w:color="auto"/>
      </w:divBdr>
      <w:divsChild>
        <w:div w:id="975640906">
          <w:marLeft w:val="0"/>
          <w:marRight w:val="0"/>
          <w:marTop w:val="0"/>
          <w:marBottom w:val="0"/>
          <w:divBdr>
            <w:top w:val="none" w:sz="0" w:space="0" w:color="auto"/>
            <w:left w:val="none" w:sz="0" w:space="0" w:color="auto"/>
            <w:bottom w:val="none" w:sz="0" w:space="0" w:color="auto"/>
            <w:right w:val="none" w:sz="0" w:space="0" w:color="auto"/>
          </w:divBdr>
          <w:divsChild>
            <w:div w:id="1489512559">
              <w:marLeft w:val="0"/>
              <w:marRight w:val="0"/>
              <w:marTop w:val="0"/>
              <w:marBottom w:val="0"/>
              <w:divBdr>
                <w:top w:val="none" w:sz="0" w:space="0" w:color="auto"/>
                <w:left w:val="none" w:sz="0" w:space="0" w:color="auto"/>
                <w:bottom w:val="none" w:sz="0" w:space="0" w:color="auto"/>
                <w:right w:val="none" w:sz="0" w:space="0" w:color="auto"/>
              </w:divBdr>
              <w:divsChild>
                <w:div w:id="1960986131">
                  <w:marLeft w:val="0"/>
                  <w:marRight w:val="0"/>
                  <w:marTop w:val="0"/>
                  <w:marBottom w:val="0"/>
                  <w:divBdr>
                    <w:top w:val="none" w:sz="0" w:space="0" w:color="auto"/>
                    <w:left w:val="none" w:sz="0" w:space="0" w:color="auto"/>
                    <w:bottom w:val="none" w:sz="0" w:space="0" w:color="auto"/>
                    <w:right w:val="none" w:sz="0" w:space="0" w:color="auto"/>
                  </w:divBdr>
                  <w:divsChild>
                    <w:div w:id="538204940">
                      <w:marLeft w:val="0"/>
                      <w:marRight w:val="0"/>
                      <w:marTop w:val="0"/>
                      <w:marBottom w:val="0"/>
                      <w:divBdr>
                        <w:top w:val="none" w:sz="0" w:space="0" w:color="auto"/>
                        <w:left w:val="none" w:sz="0" w:space="0" w:color="auto"/>
                        <w:bottom w:val="none" w:sz="0" w:space="0" w:color="auto"/>
                        <w:right w:val="none" w:sz="0" w:space="0" w:color="auto"/>
                      </w:divBdr>
                      <w:divsChild>
                        <w:div w:id="1359812760">
                          <w:marLeft w:val="0"/>
                          <w:marRight w:val="0"/>
                          <w:marTop w:val="0"/>
                          <w:marBottom w:val="0"/>
                          <w:divBdr>
                            <w:top w:val="none" w:sz="0" w:space="0" w:color="auto"/>
                            <w:left w:val="none" w:sz="0" w:space="0" w:color="auto"/>
                            <w:bottom w:val="none" w:sz="0" w:space="0" w:color="auto"/>
                            <w:right w:val="none" w:sz="0" w:space="0" w:color="auto"/>
                          </w:divBdr>
                          <w:divsChild>
                            <w:div w:id="88359622">
                              <w:marLeft w:val="0"/>
                              <w:marRight w:val="0"/>
                              <w:marTop w:val="0"/>
                              <w:marBottom w:val="0"/>
                              <w:divBdr>
                                <w:top w:val="none" w:sz="0" w:space="0" w:color="auto"/>
                                <w:left w:val="none" w:sz="0" w:space="0" w:color="auto"/>
                                <w:bottom w:val="none" w:sz="0" w:space="0" w:color="auto"/>
                                <w:right w:val="none" w:sz="0" w:space="0" w:color="auto"/>
                              </w:divBdr>
                              <w:divsChild>
                                <w:div w:id="234782549">
                                  <w:marLeft w:val="0"/>
                                  <w:marRight w:val="0"/>
                                  <w:marTop w:val="0"/>
                                  <w:marBottom w:val="0"/>
                                  <w:divBdr>
                                    <w:top w:val="none" w:sz="0" w:space="0" w:color="auto"/>
                                    <w:left w:val="none" w:sz="0" w:space="0" w:color="auto"/>
                                    <w:bottom w:val="none" w:sz="0" w:space="0" w:color="auto"/>
                                    <w:right w:val="none" w:sz="0" w:space="0" w:color="auto"/>
                                  </w:divBdr>
                                  <w:divsChild>
                                    <w:div w:id="1967464731">
                                      <w:marLeft w:val="0"/>
                                      <w:marRight w:val="0"/>
                                      <w:marTop w:val="0"/>
                                      <w:marBottom w:val="0"/>
                                      <w:divBdr>
                                        <w:top w:val="none" w:sz="0" w:space="0" w:color="auto"/>
                                        <w:left w:val="none" w:sz="0" w:space="0" w:color="auto"/>
                                        <w:bottom w:val="none" w:sz="0" w:space="0" w:color="auto"/>
                                        <w:right w:val="none" w:sz="0" w:space="0" w:color="auto"/>
                                      </w:divBdr>
                                      <w:divsChild>
                                        <w:div w:id="117918718">
                                          <w:marLeft w:val="0"/>
                                          <w:marRight w:val="0"/>
                                          <w:marTop w:val="0"/>
                                          <w:marBottom w:val="0"/>
                                          <w:divBdr>
                                            <w:top w:val="none" w:sz="0" w:space="0" w:color="auto"/>
                                            <w:left w:val="none" w:sz="0" w:space="0" w:color="auto"/>
                                            <w:bottom w:val="none" w:sz="0" w:space="0" w:color="auto"/>
                                            <w:right w:val="none" w:sz="0" w:space="0" w:color="auto"/>
                                          </w:divBdr>
                                          <w:divsChild>
                                            <w:div w:id="1339697255">
                                              <w:marLeft w:val="0"/>
                                              <w:marRight w:val="0"/>
                                              <w:marTop w:val="0"/>
                                              <w:marBottom w:val="0"/>
                                              <w:divBdr>
                                                <w:top w:val="none" w:sz="0" w:space="0" w:color="auto"/>
                                                <w:left w:val="none" w:sz="0" w:space="0" w:color="auto"/>
                                                <w:bottom w:val="none" w:sz="0" w:space="0" w:color="auto"/>
                                                <w:right w:val="none" w:sz="0" w:space="0" w:color="auto"/>
                                              </w:divBdr>
                                              <w:divsChild>
                                                <w:div w:id="190730014">
                                                  <w:marLeft w:val="0"/>
                                                  <w:marRight w:val="0"/>
                                                  <w:marTop w:val="0"/>
                                                  <w:marBottom w:val="0"/>
                                                  <w:divBdr>
                                                    <w:top w:val="none" w:sz="0" w:space="0" w:color="auto"/>
                                                    <w:left w:val="none" w:sz="0" w:space="0" w:color="auto"/>
                                                    <w:bottom w:val="none" w:sz="0" w:space="0" w:color="auto"/>
                                                    <w:right w:val="none" w:sz="0" w:space="0" w:color="auto"/>
                                                  </w:divBdr>
                                                  <w:divsChild>
                                                    <w:div w:id="273561808">
                                                      <w:marLeft w:val="0"/>
                                                      <w:marRight w:val="0"/>
                                                      <w:marTop w:val="0"/>
                                                      <w:marBottom w:val="0"/>
                                                      <w:divBdr>
                                                        <w:top w:val="none" w:sz="0" w:space="0" w:color="auto"/>
                                                        <w:left w:val="none" w:sz="0" w:space="0" w:color="auto"/>
                                                        <w:bottom w:val="none" w:sz="0" w:space="0" w:color="auto"/>
                                                        <w:right w:val="none" w:sz="0" w:space="0" w:color="auto"/>
                                                      </w:divBdr>
                                                      <w:divsChild>
                                                        <w:div w:id="583803036">
                                                          <w:marLeft w:val="0"/>
                                                          <w:marRight w:val="0"/>
                                                          <w:marTop w:val="0"/>
                                                          <w:marBottom w:val="0"/>
                                                          <w:divBdr>
                                                            <w:top w:val="none" w:sz="0" w:space="0" w:color="auto"/>
                                                            <w:left w:val="none" w:sz="0" w:space="0" w:color="auto"/>
                                                            <w:bottom w:val="none" w:sz="0" w:space="0" w:color="auto"/>
                                                            <w:right w:val="none" w:sz="0" w:space="0" w:color="auto"/>
                                                          </w:divBdr>
                                                          <w:divsChild>
                                                            <w:div w:id="625965109">
                                                              <w:marLeft w:val="0"/>
                                                              <w:marRight w:val="0"/>
                                                              <w:marTop w:val="0"/>
                                                              <w:marBottom w:val="0"/>
                                                              <w:divBdr>
                                                                <w:top w:val="none" w:sz="0" w:space="0" w:color="auto"/>
                                                                <w:left w:val="none" w:sz="0" w:space="0" w:color="auto"/>
                                                                <w:bottom w:val="none" w:sz="0" w:space="0" w:color="auto"/>
                                                                <w:right w:val="none" w:sz="0" w:space="0" w:color="auto"/>
                                                              </w:divBdr>
                                                              <w:divsChild>
                                                                <w:div w:id="1901551690">
                                                                  <w:marLeft w:val="0"/>
                                                                  <w:marRight w:val="0"/>
                                                                  <w:marTop w:val="0"/>
                                                                  <w:marBottom w:val="0"/>
                                                                  <w:divBdr>
                                                                    <w:top w:val="none" w:sz="0" w:space="0" w:color="auto"/>
                                                                    <w:left w:val="none" w:sz="0" w:space="0" w:color="auto"/>
                                                                    <w:bottom w:val="none" w:sz="0" w:space="0" w:color="auto"/>
                                                                    <w:right w:val="none" w:sz="0" w:space="0" w:color="auto"/>
                                                                  </w:divBdr>
                                                                  <w:divsChild>
                                                                    <w:div w:id="2881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6023436">
      <w:bodyDiv w:val="1"/>
      <w:marLeft w:val="0"/>
      <w:marRight w:val="0"/>
      <w:marTop w:val="0"/>
      <w:marBottom w:val="0"/>
      <w:divBdr>
        <w:top w:val="none" w:sz="0" w:space="0" w:color="auto"/>
        <w:left w:val="none" w:sz="0" w:space="0" w:color="auto"/>
        <w:bottom w:val="none" w:sz="0" w:space="0" w:color="auto"/>
        <w:right w:val="none" w:sz="0" w:space="0" w:color="auto"/>
      </w:divBdr>
    </w:div>
    <w:div w:id="1252277620">
      <w:bodyDiv w:val="1"/>
      <w:marLeft w:val="0"/>
      <w:marRight w:val="0"/>
      <w:marTop w:val="0"/>
      <w:marBottom w:val="0"/>
      <w:divBdr>
        <w:top w:val="none" w:sz="0" w:space="0" w:color="auto"/>
        <w:left w:val="none" w:sz="0" w:space="0" w:color="auto"/>
        <w:bottom w:val="none" w:sz="0" w:space="0" w:color="auto"/>
        <w:right w:val="none" w:sz="0" w:space="0" w:color="auto"/>
      </w:divBdr>
      <w:divsChild>
        <w:div w:id="1671062190">
          <w:marLeft w:val="0"/>
          <w:marRight w:val="0"/>
          <w:marTop w:val="0"/>
          <w:marBottom w:val="0"/>
          <w:divBdr>
            <w:top w:val="none" w:sz="0" w:space="0" w:color="auto"/>
            <w:left w:val="none" w:sz="0" w:space="0" w:color="auto"/>
            <w:bottom w:val="none" w:sz="0" w:space="0" w:color="auto"/>
            <w:right w:val="none" w:sz="0" w:space="0" w:color="auto"/>
          </w:divBdr>
          <w:divsChild>
            <w:div w:id="46614102">
              <w:marLeft w:val="0"/>
              <w:marRight w:val="0"/>
              <w:marTop w:val="0"/>
              <w:marBottom w:val="0"/>
              <w:divBdr>
                <w:top w:val="none" w:sz="0" w:space="0" w:color="auto"/>
                <w:left w:val="none" w:sz="0" w:space="0" w:color="auto"/>
                <w:bottom w:val="none" w:sz="0" w:space="0" w:color="auto"/>
                <w:right w:val="none" w:sz="0" w:space="0" w:color="auto"/>
              </w:divBdr>
              <w:divsChild>
                <w:div w:id="1603537003">
                  <w:marLeft w:val="0"/>
                  <w:marRight w:val="0"/>
                  <w:marTop w:val="0"/>
                  <w:marBottom w:val="0"/>
                  <w:divBdr>
                    <w:top w:val="none" w:sz="0" w:space="0" w:color="auto"/>
                    <w:left w:val="none" w:sz="0" w:space="0" w:color="auto"/>
                    <w:bottom w:val="none" w:sz="0" w:space="0" w:color="auto"/>
                    <w:right w:val="none" w:sz="0" w:space="0" w:color="auto"/>
                  </w:divBdr>
                  <w:divsChild>
                    <w:div w:id="516432377">
                      <w:marLeft w:val="0"/>
                      <w:marRight w:val="0"/>
                      <w:marTop w:val="0"/>
                      <w:marBottom w:val="0"/>
                      <w:divBdr>
                        <w:top w:val="none" w:sz="0" w:space="0" w:color="auto"/>
                        <w:left w:val="none" w:sz="0" w:space="0" w:color="auto"/>
                        <w:bottom w:val="none" w:sz="0" w:space="0" w:color="auto"/>
                        <w:right w:val="none" w:sz="0" w:space="0" w:color="auto"/>
                      </w:divBdr>
                      <w:divsChild>
                        <w:div w:id="722412200">
                          <w:marLeft w:val="0"/>
                          <w:marRight w:val="0"/>
                          <w:marTop w:val="0"/>
                          <w:marBottom w:val="0"/>
                          <w:divBdr>
                            <w:top w:val="none" w:sz="0" w:space="0" w:color="auto"/>
                            <w:left w:val="none" w:sz="0" w:space="0" w:color="auto"/>
                            <w:bottom w:val="none" w:sz="0" w:space="0" w:color="auto"/>
                            <w:right w:val="none" w:sz="0" w:space="0" w:color="auto"/>
                          </w:divBdr>
                          <w:divsChild>
                            <w:div w:id="1359306963">
                              <w:marLeft w:val="0"/>
                              <w:marRight w:val="0"/>
                              <w:marTop w:val="0"/>
                              <w:marBottom w:val="0"/>
                              <w:divBdr>
                                <w:top w:val="none" w:sz="0" w:space="0" w:color="auto"/>
                                <w:left w:val="none" w:sz="0" w:space="0" w:color="auto"/>
                                <w:bottom w:val="none" w:sz="0" w:space="0" w:color="auto"/>
                                <w:right w:val="none" w:sz="0" w:space="0" w:color="auto"/>
                              </w:divBdr>
                              <w:divsChild>
                                <w:div w:id="1053115699">
                                  <w:marLeft w:val="0"/>
                                  <w:marRight w:val="0"/>
                                  <w:marTop w:val="0"/>
                                  <w:marBottom w:val="0"/>
                                  <w:divBdr>
                                    <w:top w:val="none" w:sz="0" w:space="0" w:color="auto"/>
                                    <w:left w:val="none" w:sz="0" w:space="0" w:color="auto"/>
                                    <w:bottom w:val="none" w:sz="0" w:space="0" w:color="auto"/>
                                    <w:right w:val="none" w:sz="0" w:space="0" w:color="auto"/>
                                  </w:divBdr>
                                  <w:divsChild>
                                    <w:div w:id="1003121126">
                                      <w:marLeft w:val="0"/>
                                      <w:marRight w:val="0"/>
                                      <w:marTop w:val="0"/>
                                      <w:marBottom w:val="0"/>
                                      <w:divBdr>
                                        <w:top w:val="none" w:sz="0" w:space="0" w:color="auto"/>
                                        <w:left w:val="none" w:sz="0" w:space="0" w:color="auto"/>
                                        <w:bottom w:val="none" w:sz="0" w:space="0" w:color="auto"/>
                                        <w:right w:val="none" w:sz="0" w:space="0" w:color="auto"/>
                                      </w:divBdr>
                                      <w:divsChild>
                                        <w:div w:id="1005982649">
                                          <w:marLeft w:val="0"/>
                                          <w:marRight w:val="0"/>
                                          <w:marTop w:val="0"/>
                                          <w:marBottom w:val="0"/>
                                          <w:divBdr>
                                            <w:top w:val="none" w:sz="0" w:space="0" w:color="auto"/>
                                            <w:left w:val="none" w:sz="0" w:space="0" w:color="auto"/>
                                            <w:bottom w:val="none" w:sz="0" w:space="0" w:color="auto"/>
                                            <w:right w:val="none" w:sz="0" w:space="0" w:color="auto"/>
                                          </w:divBdr>
                                          <w:divsChild>
                                            <w:div w:id="1095631543">
                                              <w:marLeft w:val="0"/>
                                              <w:marRight w:val="0"/>
                                              <w:marTop w:val="0"/>
                                              <w:marBottom w:val="0"/>
                                              <w:divBdr>
                                                <w:top w:val="none" w:sz="0" w:space="0" w:color="auto"/>
                                                <w:left w:val="none" w:sz="0" w:space="0" w:color="auto"/>
                                                <w:bottom w:val="none" w:sz="0" w:space="0" w:color="auto"/>
                                                <w:right w:val="none" w:sz="0" w:space="0" w:color="auto"/>
                                              </w:divBdr>
                                              <w:divsChild>
                                                <w:div w:id="1263799552">
                                                  <w:marLeft w:val="0"/>
                                                  <w:marRight w:val="0"/>
                                                  <w:marTop w:val="0"/>
                                                  <w:marBottom w:val="0"/>
                                                  <w:divBdr>
                                                    <w:top w:val="none" w:sz="0" w:space="0" w:color="auto"/>
                                                    <w:left w:val="none" w:sz="0" w:space="0" w:color="auto"/>
                                                    <w:bottom w:val="none" w:sz="0" w:space="0" w:color="auto"/>
                                                    <w:right w:val="none" w:sz="0" w:space="0" w:color="auto"/>
                                                  </w:divBdr>
                                                  <w:divsChild>
                                                    <w:div w:id="1070611969">
                                                      <w:marLeft w:val="0"/>
                                                      <w:marRight w:val="0"/>
                                                      <w:marTop w:val="0"/>
                                                      <w:marBottom w:val="0"/>
                                                      <w:divBdr>
                                                        <w:top w:val="none" w:sz="0" w:space="0" w:color="auto"/>
                                                        <w:left w:val="none" w:sz="0" w:space="0" w:color="auto"/>
                                                        <w:bottom w:val="none" w:sz="0" w:space="0" w:color="auto"/>
                                                        <w:right w:val="none" w:sz="0" w:space="0" w:color="auto"/>
                                                      </w:divBdr>
                                                      <w:divsChild>
                                                        <w:div w:id="218370808">
                                                          <w:marLeft w:val="0"/>
                                                          <w:marRight w:val="0"/>
                                                          <w:marTop w:val="0"/>
                                                          <w:marBottom w:val="0"/>
                                                          <w:divBdr>
                                                            <w:top w:val="none" w:sz="0" w:space="0" w:color="auto"/>
                                                            <w:left w:val="none" w:sz="0" w:space="0" w:color="auto"/>
                                                            <w:bottom w:val="none" w:sz="0" w:space="0" w:color="auto"/>
                                                            <w:right w:val="none" w:sz="0" w:space="0" w:color="auto"/>
                                                          </w:divBdr>
                                                          <w:divsChild>
                                                            <w:div w:id="1300458831">
                                                              <w:marLeft w:val="0"/>
                                                              <w:marRight w:val="0"/>
                                                              <w:marTop w:val="0"/>
                                                              <w:marBottom w:val="0"/>
                                                              <w:divBdr>
                                                                <w:top w:val="none" w:sz="0" w:space="0" w:color="auto"/>
                                                                <w:left w:val="none" w:sz="0" w:space="0" w:color="auto"/>
                                                                <w:bottom w:val="none" w:sz="0" w:space="0" w:color="auto"/>
                                                                <w:right w:val="none" w:sz="0" w:space="0" w:color="auto"/>
                                                              </w:divBdr>
                                                              <w:divsChild>
                                                                <w:div w:id="18420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1625595">
      <w:bodyDiv w:val="1"/>
      <w:marLeft w:val="0"/>
      <w:marRight w:val="0"/>
      <w:marTop w:val="0"/>
      <w:marBottom w:val="0"/>
      <w:divBdr>
        <w:top w:val="none" w:sz="0" w:space="0" w:color="auto"/>
        <w:left w:val="none" w:sz="0" w:space="0" w:color="auto"/>
        <w:bottom w:val="none" w:sz="0" w:space="0" w:color="auto"/>
        <w:right w:val="none" w:sz="0" w:space="0" w:color="auto"/>
      </w:divBdr>
      <w:divsChild>
        <w:div w:id="310061821">
          <w:marLeft w:val="0"/>
          <w:marRight w:val="0"/>
          <w:marTop w:val="0"/>
          <w:marBottom w:val="0"/>
          <w:divBdr>
            <w:top w:val="none" w:sz="0" w:space="0" w:color="auto"/>
            <w:left w:val="none" w:sz="0" w:space="0" w:color="auto"/>
            <w:bottom w:val="none" w:sz="0" w:space="0" w:color="auto"/>
            <w:right w:val="none" w:sz="0" w:space="0" w:color="auto"/>
          </w:divBdr>
          <w:divsChild>
            <w:div w:id="1469013039">
              <w:marLeft w:val="0"/>
              <w:marRight w:val="0"/>
              <w:marTop w:val="0"/>
              <w:marBottom w:val="0"/>
              <w:divBdr>
                <w:top w:val="none" w:sz="0" w:space="0" w:color="auto"/>
                <w:left w:val="none" w:sz="0" w:space="0" w:color="auto"/>
                <w:bottom w:val="none" w:sz="0" w:space="0" w:color="auto"/>
                <w:right w:val="none" w:sz="0" w:space="0" w:color="auto"/>
              </w:divBdr>
              <w:divsChild>
                <w:div w:id="126170608">
                  <w:marLeft w:val="0"/>
                  <w:marRight w:val="0"/>
                  <w:marTop w:val="0"/>
                  <w:marBottom w:val="0"/>
                  <w:divBdr>
                    <w:top w:val="none" w:sz="0" w:space="0" w:color="auto"/>
                    <w:left w:val="none" w:sz="0" w:space="0" w:color="auto"/>
                    <w:bottom w:val="none" w:sz="0" w:space="0" w:color="auto"/>
                    <w:right w:val="none" w:sz="0" w:space="0" w:color="auto"/>
                  </w:divBdr>
                  <w:divsChild>
                    <w:div w:id="893659763">
                      <w:marLeft w:val="0"/>
                      <w:marRight w:val="0"/>
                      <w:marTop w:val="0"/>
                      <w:marBottom w:val="0"/>
                      <w:divBdr>
                        <w:top w:val="none" w:sz="0" w:space="0" w:color="auto"/>
                        <w:left w:val="none" w:sz="0" w:space="0" w:color="auto"/>
                        <w:bottom w:val="none" w:sz="0" w:space="0" w:color="auto"/>
                        <w:right w:val="none" w:sz="0" w:space="0" w:color="auto"/>
                      </w:divBdr>
                      <w:divsChild>
                        <w:div w:id="305742617">
                          <w:marLeft w:val="0"/>
                          <w:marRight w:val="0"/>
                          <w:marTop w:val="0"/>
                          <w:marBottom w:val="0"/>
                          <w:divBdr>
                            <w:top w:val="none" w:sz="0" w:space="0" w:color="auto"/>
                            <w:left w:val="none" w:sz="0" w:space="0" w:color="auto"/>
                            <w:bottom w:val="none" w:sz="0" w:space="0" w:color="auto"/>
                            <w:right w:val="none" w:sz="0" w:space="0" w:color="auto"/>
                          </w:divBdr>
                          <w:divsChild>
                            <w:div w:id="270825367">
                              <w:marLeft w:val="0"/>
                              <w:marRight w:val="0"/>
                              <w:marTop w:val="0"/>
                              <w:marBottom w:val="0"/>
                              <w:divBdr>
                                <w:top w:val="none" w:sz="0" w:space="0" w:color="auto"/>
                                <w:left w:val="none" w:sz="0" w:space="0" w:color="auto"/>
                                <w:bottom w:val="none" w:sz="0" w:space="0" w:color="auto"/>
                                <w:right w:val="none" w:sz="0" w:space="0" w:color="auto"/>
                              </w:divBdr>
                              <w:divsChild>
                                <w:div w:id="1396318180">
                                  <w:marLeft w:val="0"/>
                                  <w:marRight w:val="0"/>
                                  <w:marTop w:val="0"/>
                                  <w:marBottom w:val="0"/>
                                  <w:divBdr>
                                    <w:top w:val="none" w:sz="0" w:space="0" w:color="auto"/>
                                    <w:left w:val="none" w:sz="0" w:space="0" w:color="auto"/>
                                    <w:bottom w:val="none" w:sz="0" w:space="0" w:color="auto"/>
                                    <w:right w:val="none" w:sz="0" w:space="0" w:color="auto"/>
                                  </w:divBdr>
                                  <w:divsChild>
                                    <w:div w:id="495846486">
                                      <w:marLeft w:val="0"/>
                                      <w:marRight w:val="0"/>
                                      <w:marTop w:val="0"/>
                                      <w:marBottom w:val="0"/>
                                      <w:divBdr>
                                        <w:top w:val="none" w:sz="0" w:space="0" w:color="auto"/>
                                        <w:left w:val="none" w:sz="0" w:space="0" w:color="auto"/>
                                        <w:bottom w:val="none" w:sz="0" w:space="0" w:color="auto"/>
                                        <w:right w:val="none" w:sz="0" w:space="0" w:color="auto"/>
                                      </w:divBdr>
                                      <w:divsChild>
                                        <w:div w:id="2101290821">
                                          <w:marLeft w:val="0"/>
                                          <w:marRight w:val="0"/>
                                          <w:marTop w:val="0"/>
                                          <w:marBottom w:val="0"/>
                                          <w:divBdr>
                                            <w:top w:val="none" w:sz="0" w:space="0" w:color="auto"/>
                                            <w:left w:val="none" w:sz="0" w:space="0" w:color="auto"/>
                                            <w:bottom w:val="none" w:sz="0" w:space="0" w:color="auto"/>
                                            <w:right w:val="none" w:sz="0" w:space="0" w:color="auto"/>
                                          </w:divBdr>
                                          <w:divsChild>
                                            <w:div w:id="1584073288">
                                              <w:marLeft w:val="0"/>
                                              <w:marRight w:val="0"/>
                                              <w:marTop w:val="0"/>
                                              <w:marBottom w:val="0"/>
                                              <w:divBdr>
                                                <w:top w:val="none" w:sz="0" w:space="0" w:color="auto"/>
                                                <w:left w:val="none" w:sz="0" w:space="0" w:color="auto"/>
                                                <w:bottom w:val="none" w:sz="0" w:space="0" w:color="auto"/>
                                                <w:right w:val="none" w:sz="0" w:space="0" w:color="auto"/>
                                              </w:divBdr>
                                              <w:divsChild>
                                                <w:div w:id="802389170">
                                                  <w:marLeft w:val="0"/>
                                                  <w:marRight w:val="0"/>
                                                  <w:marTop w:val="0"/>
                                                  <w:marBottom w:val="0"/>
                                                  <w:divBdr>
                                                    <w:top w:val="none" w:sz="0" w:space="0" w:color="auto"/>
                                                    <w:left w:val="none" w:sz="0" w:space="0" w:color="auto"/>
                                                    <w:bottom w:val="none" w:sz="0" w:space="0" w:color="auto"/>
                                                    <w:right w:val="none" w:sz="0" w:space="0" w:color="auto"/>
                                                  </w:divBdr>
                                                  <w:divsChild>
                                                    <w:div w:id="1751923250">
                                                      <w:marLeft w:val="0"/>
                                                      <w:marRight w:val="0"/>
                                                      <w:marTop w:val="0"/>
                                                      <w:marBottom w:val="0"/>
                                                      <w:divBdr>
                                                        <w:top w:val="none" w:sz="0" w:space="0" w:color="auto"/>
                                                        <w:left w:val="none" w:sz="0" w:space="0" w:color="auto"/>
                                                        <w:bottom w:val="none" w:sz="0" w:space="0" w:color="auto"/>
                                                        <w:right w:val="none" w:sz="0" w:space="0" w:color="auto"/>
                                                      </w:divBdr>
                                                      <w:divsChild>
                                                        <w:div w:id="1549074902">
                                                          <w:marLeft w:val="0"/>
                                                          <w:marRight w:val="0"/>
                                                          <w:marTop w:val="0"/>
                                                          <w:marBottom w:val="0"/>
                                                          <w:divBdr>
                                                            <w:top w:val="none" w:sz="0" w:space="0" w:color="auto"/>
                                                            <w:left w:val="none" w:sz="0" w:space="0" w:color="auto"/>
                                                            <w:bottom w:val="none" w:sz="0" w:space="0" w:color="auto"/>
                                                            <w:right w:val="none" w:sz="0" w:space="0" w:color="auto"/>
                                                          </w:divBdr>
                                                          <w:divsChild>
                                                            <w:div w:id="942567394">
                                                              <w:marLeft w:val="0"/>
                                                              <w:marRight w:val="0"/>
                                                              <w:marTop w:val="0"/>
                                                              <w:marBottom w:val="0"/>
                                                              <w:divBdr>
                                                                <w:top w:val="none" w:sz="0" w:space="0" w:color="auto"/>
                                                                <w:left w:val="none" w:sz="0" w:space="0" w:color="auto"/>
                                                                <w:bottom w:val="none" w:sz="0" w:space="0" w:color="auto"/>
                                                                <w:right w:val="none" w:sz="0" w:space="0" w:color="auto"/>
                                                              </w:divBdr>
                                                              <w:divsChild>
                                                                <w:div w:id="602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6808873">
      <w:bodyDiv w:val="1"/>
      <w:marLeft w:val="0"/>
      <w:marRight w:val="0"/>
      <w:marTop w:val="0"/>
      <w:marBottom w:val="0"/>
      <w:divBdr>
        <w:top w:val="none" w:sz="0" w:space="0" w:color="auto"/>
        <w:left w:val="none" w:sz="0" w:space="0" w:color="auto"/>
        <w:bottom w:val="none" w:sz="0" w:space="0" w:color="auto"/>
        <w:right w:val="none" w:sz="0" w:space="0" w:color="auto"/>
      </w:divBdr>
      <w:divsChild>
        <w:div w:id="681589379">
          <w:marLeft w:val="0"/>
          <w:marRight w:val="0"/>
          <w:marTop w:val="0"/>
          <w:marBottom w:val="0"/>
          <w:divBdr>
            <w:top w:val="none" w:sz="0" w:space="0" w:color="auto"/>
            <w:left w:val="none" w:sz="0" w:space="0" w:color="auto"/>
            <w:bottom w:val="none" w:sz="0" w:space="0" w:color="auto"/>
            <w:right w:val="none" w:sz="0" w:space="0" w:color="auto"/>
          </w:divBdr>
        </w:div>
      </w:divsChild>
    </w:div>
    <w:div w:id="1386248251">
      <w:bodyDiv w:val="1"/>
      <w:marLeft w:val="0"/>
      <w:marRight w:val="0"/>
      <w:marTop w:val="0"/>
      <w:marBottom w:val="0"/>
      <w:divBdr>
        <w:top w:val="none" w:sz="0" w:space="0" w:color="auto"/>
        <w:left w:val="none" w:sz="0" w:space="0" w:color="auto"/>
        <w:bottom w:val="none" w:sz="0" w:space="0" w:color="auto"/>
        <w:right w:val="none" w:sz="0" w:space="0" w:color="auto"/>
      </w:divBdr>
    </w:div>
    <w:div w:id="1440370344">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52423621">
      <w:bodyDiv w:val="1"/>
      <w:marLeft w:val="0"/>
      <w:marRight w:val="0"/>
      <w:marTop w:val="0"/>
      <w:marBottom w:val="0"/>
      <w:divBdr>
        <w:top w:val="none" w:sz="0" w:space="0" w:color="auto"/>
        <w:left w:val="none" w:sz="0" w:space="0" w:color="auto"/>
        <w:bottom w:val="none" w:sz="0" w:space="0" w:color="auto"/>
        <w:right w:val="none" w:sz="0" w:space="0" w:color="auto"/>
      </w:divBdr>
    </w:div>
    <w:div w:id="1597786700">
      <w:bodyDiv w:val="1"/>
      <w:marLeft w:val="0"/>
      <w:marRight w:val="0"/>
      <w:marTop w:val="0"/>
      <w:marBottom w:val="0"/>
      <w:divBdr>
        <w:top w:val="none" w:sz="0" w:space="0" w:color="auto"/>
        <w:left w:val="none" w:sz="0" w:space="0" w:color="auto"/>
        <w:bottom w:val="none" w:sz="0" w:space="0" w:color="auto"/>
        <w:right w:val="none" w:sz="0" w:space="0" w:color="auto"/>
      </w:divBdr>
    </w:div>
    <w:div w:id="1699428617">
      <w:bodyDiv w:val="1"/>
      <w:marLeft w:val="0"/>
      <w:marRight w:val="0"/>
      <w:marTop w:val="0"/>
      <w:marBottom w:val="0"/>
      <w:divBdr>
        <w:top w:val="none" w:sz="0" w:space="0" w:color="auto"/>
        <w:left w:val="none" w:sz="0" w:space="0" w:color="auto"/>
        <w:bottom w:val="none" w:sz="0" w:space="0" w:color="auto"/>
        <w:right w:val="none" w:sz="0" w:space="0" w:color="auto"/>
      </w:divBdr>
    </w:div>
    <w:div w:id="1946572718">
      <w:bodyDiv w:val="1"/>
      <w:marLeft w:val="0"/>
      <w:marRight w:val="0"/>
      <w:marTop w:val="0"/>
      <w:marBottom w:val="0"/>
      <w:divBdr>
        <w:top w:val="none" w:sz="0" w:space="0" w:color="auto"/>
        <w:left w:val="none" w:sz="0" w:space="0" w:color="auto"/>
        <w:bottom w:val="none" w:sz="0" w:space="0" w:color="auto"/>
        <w:right w:val="none" w:sz="0" w:space="0" w:color="auto"/>
      </w:divBdr>
      <w:divsChild>
        <w:div w:id="2124421912">
          <w:marLeft w:val="0"/>
          <w:marRight w:val="0"/>
          <w:marTop w:val="0"/>
          <w:marBottom w:val="0"/>
          <w:divBdr>
            <w:top w:val="none" w:sz="0" w:space="0" w:color="auto"/>
            <w:left w:val="none" w:sz="0" w:space="0" w:color="auto"/>
            <w:bottom w:val="none" w:sz="0" w:space="0" w:color="auto"/>
            <w:right w:val="none" w:sz="0" w:space="0" w:color="auto"/>
          </w:divBdr>
          <w:divsChild>
            <w:div w:id="795559924">
              <w:marLeft w:val="0"/>
              <w:marRight w:val="0"/>
              <w:marTop w:val="0"/>
              <w:marBottom w:val="0"/>
              <w:divBdr>
                <w:top w:val="none" w:sz="0" w:space="0" w:color="auto"/>
                <w:left w:val="none" w:sz="0" w:space="0" w:color="auto"/>
                <w:bottom w:val="none" w:sz="0" w:space="0" w:color="auto"/>
                <w:right w:val="none" w:sz="0" w:space="0" w:color="auto"/>
              </w:divBdr>
              <w:divsChild>
                <w:div w:id="1550190734">
                  <w:marLeft w:val="0"/>
                  <w:marRight w:val="0"/>
                  <w:marTop w:val="0"/>
                  <w:marBottom w:val="0"/>
                  <w:divBdr>
                    <w:top w:val="none" w:sz="0" w:space="0" w:color="auto"/>
                    <w:left w:val="none" w:sz="0" w:space="0" w:color="auto"/>
                    <w:bottom w:val="none" w:sz="0" w:space="0" w:color="auto"/>
                    <w:right w:val="none" w:sz="0" w:space="0" w:color="auto"/>
                  </w:divBdr>
                  <w:divsChild>
                    <w:div w:id="1300693605">
                      <w:marLeft w:val="0"/>
                      <w:marRight w:val="0"/>
                      <w:marTop w:val="0"/>
                      <w:marBottom w:val="0"/>
                      <w:divBdr>
                        <w:top w:val="none" w:sz="0" w:space="0" w:color="auto"/>
                        <w:left w:val="none" w:sz="0" w:space="0" w:color="auto"/>
                        <w:bottom w:val="none" w:sz="0" w:space="0" w:color="auto"/>
                        <w:right w:val="none" w:sz="0" w:space="0" w:color="auto"/>
                      </w:divBdr>
                      <w:divsChild>
                        <w:div w:id="347411716">
                          <w:marLeft w:val="0"/>
                          <w:marRight w:val="0"/>
                          <w:marTop w:val="0"/>
                          <w:marBottom w:val="0"/>
                          <w:divBdr>
                            <w:top w:val="none" w:sz="0" w:space="0" w:color="auto"/>
                            <w:left w:val="none" w:sz="0" w:space="0" w:color="auto"/>
                            <w:bottom w:val="none" w:sz="0" w:space="0" w:color="auto"/>
                            <w:right w:val="none" w:sz="0" w:space="0" w:color="auto"/>
                          </w:divBdr>
                          <w:divsChild>
                            <w:div w:id="787894378">
                              <w:marLeft w:val="0"/>
                              <w:marRight w:val="0"/>
                              <w:marTop w:val="0"/>
                              <w:marBottom w:val="0"/>
                              <w:divBdr>
                                <w:top w:val="none" w:sz="0" w:space="0" w:color="auto"/>
                                <w:left w:val="none" w:sz="0" w:space="0" w:color="auto"/>
                                <w:bottom w:val="none" w:sz="0" w:space="0" w:color="auto"/>
                                <w:right w:val="none" w:sz="0" w:space="0" w:color="auto"/>
                              </w:divBdr>
                              <w:divsChild>
                                <w:div w:id="1911042973">
                                  <w:marLeft w:val="0"/>
                                  <w:marRight w:val="0"/>
                                  <w:marTop w:val="0"/>
                                  <w:marBottom w:val="0"/>
                                  <w:divBdr>
                                    <w:top w:val="none" w:sz="0" w:space="0" w:color="auto"/>
                                    <w:left w:val="none" w:sz="0" w:space="0" w:color="auto"/>
                                    <w:bottom w:val="none" w:sz="0" w:space="0" w:color="auto"/>
                                    <w:right w:val="none" w:sz="0" w:space="0" w:color="auto"/>
                                  </w:divBdr>
                                  <w:divsChild>
                                    <w:div w:id="1223521314">
                                      <w:marLeft w:val="0"/>
                                      <w:marRight w:val="0"/>
                                      <w:marTop w:val="0"/>
                                      <w:marBottom w:val="0"/>
                                      <w:divBdr>
                                        <w:top w:val="none" w:sz="0" w:space="0" w:color="auto"/>
                                        <w:left w:val="none" w:sz="0" w:space="0" w:color="auto"/>
                                        <w:bottom w:val="none" w:sz="0" w:space="0" w:color="auto"/>
                                        <w:right w:val="none" w:sz="0" w:space="0" w:color="auto"/>
                                      </w:divBdr>
                                      <w:divsChild>
                                        <w:div w:id="1489705914">
                                          <w:marLeft w:val="0"/>
                                          <w:marRight w:val="0"/>
                                          <w:marTop w:val="0"/>
                                          <w:marBottom w:val="0"/>
                                          <w:divBdr>
                                            <w:top w:val="none" w:sz="0" w:space="0" w:color="auto"/>
                                            <w:left w:val="none" w:sz="0" w:space="0" w:color="auto"/>
                                            <w:bottom w:val="none" w:sz="0" w:space="0" w:color="auto"/>
                                            <w:right w:val="none" w:sz="0" w:space="0" w:color="auto"/>
                                          </w:divBdr>
                                          <w:divsChild>
                                            <w:div w:id="56051612">
                                              <w:marLeft w:val="0"/>
                                              <w:marRight w:val="0"/>
                                              <w:marTop w:val="0"/>
                                              <w:marBottom w:val="0"/>
                                              <w:divBdr>
                                                <w:top w:val="none" w:sz="0" w:space="0" w:color="auto"/>
                                                <w:left w:val="none" w:sz="0" w:space="0" w:color="auto"/>
                                                <w:bottom w:val="none" w:sz="0" w:space="0" w:color="auto"/>
                                                <w:right w:val="none" w:sz="0" w:space="0" w:color="auto"/>
                                              </w:divBdr>
                                              <w:divsChild>
                                                <w:div w:id="1655141694">
                                                  <w:marLeft w:val="0"/>
                                                  <w:marRight w:val="0"/>
                                                  <w:marTop w:val="0"/>
                                                  <w:marBottom w:val="0"/>
                                                  <w:divBdr>
                                                    <w:top w:val="none" w:sz="0" w:space="0" w:color="auto"/>
                                                    <w:left w:val="none" w:sz="0" w:space="0" w:color="auto"/>
                                                    <w:bottom w:val="none" w:sz="0" w:space="0" w:color="auto"/>
                                                    <w:right w:val="none" w:sz="0" w:space="0" w:color="auto"/>
                                                  </w:divBdr>
                                                  <w:divsChild>
                                                    <w:div w:id="358969167">
                                                      <w:marLeft w:val="0"/>
                                                      <w:marRight w:val="0"/>
                                                      <w:marTop w:val="0"/>
                                                      <w:marBottom w:val="0"/>
                                                      <w:divBdr>
                                                        <w:top w:val="none" w:sz="0" w:space="0" w:color="auto"/>
                                                        <w:left w:val="none" w:sz="0" w:space="0" w:color="auto"/>
                                                        <w:bottom w:val="none" w:sz="0" w:space="0" w:color="auto"/>
                                                        <w:right w:val="none" w:sz="0" w:space="0" w:color="auto"/>
                                                      </w:divBdr>
                                                      <w:divsChild>
                                                        <w:div w:id="129564679">
                                                          <w:marLeft w:val="0"/>
                                                          <w:marRight w:val="0"/>
                                                          <w:marTop w:val="0"/>
                                                          <w:marBottom w:val="0"/>
                                                          <w:divBdr>
                                                            <w:top w:val="none" w:sz="0" w:space="0" w:color="auto"/>
                                                            <w:left w:val="none" w:sz="0" w:space="0" w:color="auto"/>
                                                            <w:bottom w:val="none" w:sz="0" w:space="0" w:color="auto"/>
                                                            <w:right w:val="none" w:sz="0" w:space="0" w:color="auto"/>
                                                          </w:divBdr>
                                                          <w:divsChild>
                                                            <w:div w:id="1727020984">
                                                              <w:marLeft w:val="0"/>
                                                              <w:marRight w:val="0"/>
                                                              <w:marTop w:val="0"/>
                                                              <w:marBottom w:val="0"/>
                                                              <w:divBdr>
                                                                <w:top w:val="none" w:sz="0" w:space="0" w:color="auto"/>
                                                                <w:left w:val="none" w:sz="0" w:space="0" w:color="auto"/>
                                                                <w:bottom w:val="none" w:sz="0" w:space="0" w:color="auto"/>
                                                                <w:right w:val="none" w:sz="0" w:space="0" w:color="auto"/>
                                                              </w:divBdr>
                                                              <w:divsChild>
                                                                <w:div w:id="19126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4760508">
      <w:bodyDiv w:val="1"/>
      <w:marLeft w:val="0"/>
      <w:marRight w:val="0"/>
      <w:marTop w:val="0"/>
      <w:marBottom w:val="0"/>
      <w:divBdr>
        <w:top w:val="none" w:sz="0" w:space="0" w:color="auto"/>
        <w:left w:val="none" w:sz="0" w:space="0" w:color="auto"/>
        <w:bottom w:val="none" w:sz="0" w:space="0" w:color="auto"/>
        <w:right w:val="none" w:sz="0" w:space="0" w:color="auto"/>
      </w:divBdr>
    </w:div>
    <w:div w:id="212765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ts3.mm.bing.net/th?id=HN.607991812560718068&amp;w=234&amp;h=155&amp;c=7&amp;rs=1&amp;url=http%3a%2f%2fwww.flickr.com%2fphotos%2fjosedavidname%2f4924480514%2f&amp;pid=1.7" TargetMode="External"/><Relationship Id="rId2" Type="http://schemas.openxmlformats.org/officeDocument/2006/relationships/image" Target="media/image1.jpeg"/><Relationship Id="rId1" Type="http://schemas.openxmlformats.org/officeDocument/2006/relationships/hyperlink" Target="http://www.bing.com/images/search?q=senado+de+la+republica+de+colombia&amp;FORM=HDRSC2#view=detail&amp;id=6CA055E1D556E31B0D5CAE8081FA994FBD94D512&amp;selectedIndex=5" TargetMode="External"/><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186</Pages>
  <Words>5140</Words>
  <Characters>28271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elkin herrera novoa</dc:creator>
  <cp:lastModifiedBy>pc</cp:lastModifiedBy>
  <cp:revision>2</cp:revision>
  <cp:lastPrinted>2017-07-25T13:56:00Z</cp:lastPrinted>
  <dcterms:created xsi:type="dcterms:W3CDTF">2017-07-25T20:45:00Z</dcterms:created>
  <dcterms:modified xsi:type="dcterms:W3CDTF">2017-07-25T20:45:00Z</dcterms:modified>
</cp:coreProperties>
</file>