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A3A" w:rsidRPr="00E60B44" w:rsidRDefault="00330A3A" w:rsidP="00172BC1">
      <w:pPr>
        <w:spacing w:before="100" w:beforeAutospacing="1" w:after="100" w:afterAutospacing="1" w:line="240" w:lineRule="auto"/>
        <w:jc w:val="center"/>
        <w:rPr>
          <w:rFonts w:ascii="Arial" w:eastAsia="Times New Roman" w:hAnsi="Arial" w:cs="Arial"/>
          <w:b/>
          <w:bCs/>
          <w:color w:val="191970"/>
          <w:sz w:val="26"/>
          <w:szCs w:val="26"/>
          <w:lang w:eastAsia="es-CO"/>
        </w:rPr>
      </w:pPr>
    </w:p>
    <w:p w:rsidR="00172BC1" w:rsidRPr="00E60B44" w:rsidRDefault="00172BC1" w:rsidP="00172BC1">
      <w:pPr>
        <w:spacing w:before="100" w:beforeAutospacing="1" w:after="100" w:afterAutospacing="1" w:line="240" w:lineRule="auto"/>
        <w:jc w:val="center"/>
        <w:rPr>
          <w:rFonts w:ascii="Arial" w:eastAsia="Times New Roman" w:hAnsi="Arial" w:cs="Arial"/>
          <w:color w:val="000000"/>
          <w:sz w:val="26"/>
          <w:szCs w:val="26"/>
          <w:lang w:eastAsia="es-CO"/>
        </w:rPr>
      </w:pPr>
      <w:r w:rsidRPr="00E60B44">
        <w:rPr>
          <w:rFonts w:ascii="Arial" w:eastAsia="Times New Roman" w:hAnsi="Arial" w:cs="Arial"/>
          <w:b/>
          <w:bCs/>
          <w:sz w:val="26"/>
          <w:szCs w:val="26"/>
          <w:lang w:eastAsia="es-CO"/>
        </w:rPr>
        <w:t>PROYECTO DE LEY</w:t>
      </w:r>
      <w:r w:rsidR="00340454" w:rsidRPr="00E60B44">
        <w:rPr>
          <w:rFonts w:ascii="Arial" w:eastAsia="Times New Roman" w:hAnsi="Arial" w:cs="Arial"/>
          <w:b/>
          <w:bCs/>
          <w:sz w:val="26"/>
          <w:szCs w:val="26"/>
          <w:lang w:eastAsia="es-CO"/>
        </w:rPr>
        <w:t xml:space="preserve">       </w:t>
      </w:r>
      <w:r w:rsidRPr="00E60B44">
        <w:rPr>
          <w:rFonts w:ascii="Arial" w:eastAsia="Times New Roman" w:hAnsi="Arial" w:cs="Arial"/>
          <w:b/>
          <w:bCs/>
          <w:sz w:val="26"/>
          <w:szCs w:val="26"/>
          <w:lang w:eastAsia="es-CO"/>
        </w:rPr>
        <w:t xml:space="preserve"> </w:t>
      </w:r>
      <w:r w:rsidR="00E60B44" w:rsidRPr="00E60B44">
        <w:rPr>
          <w:rFonts w:ascii="Arial" w:eastAsia="Times New Roman" w:hAnsi="Arial" w:cs="Arial"/>
          <w:b/>
          <w:bCs/>
          <w:sz w:val="26"/>
          <w:szCs w:val="26"/>
          <w:lang w:eastAsia="es-CO"/>
        </w:rPr>
        <w:t>DE 2017</w:t>
      </w:r>
      <w:r w:rsidR="00340454" w:rsidRPr="00E60B44">
        <w:rPr>
          <w:rFonts w:ascii="Arial" w:eastAsia="Times New Roman" w:hAnsi="Arial" w:cs="Arial"/>
          <w:b/>
          <w:bCs/>
          <w:sz w:val="26"/>
          <w:szCs w:val="26"/>
          <w:lang w:eastAsia="es-CO"/>
        </w:rPr>
        <w:t xml:space="preserve"> CÁMARA  </w:t>
      </w:r>
    </w:p>
    <w:p w:rsidR="00172BC1" w:rsidRPr="00E60B44" w:rsidRDefault="00FB679E" w:rsidP="00E60B44">
      <w:pPr>
        <w:spacing w:after="0" w:line="240" w:lineRule="auto"/>
        <w:jc w:val="both"/>
        <w:rPr>
          <w:rFonts w:ascii="Arial" w:eastAsia="Times New Roman" w:hAnsi="Arial" w:cs="Arial"/>
          <w:b/>
          <w:color w:val="000000"/>
          <w:sz w:val="26"/>
          <w:szCs w:val="26"/>
          <w:lang w:eastAsia="es-CO"/>
        </w:rPr>
      </w:pPr>
      <w:r w:rsidRPr="00E60B44">
        <w:rPr>
          <w:rFonts w:ascii="Arial" w:hAnsi="Arial" w:cs="Arial"/>
          <w:b/>
          <w:sz w:val="26"/>
          <w:szCs w:val="26"/>
        </w:rPr>
        <w:t>Por la cual se establecen las condiciones de disposición final segura de los aceites lubricantes usados y de los aceites industriales usados en el territorio nacional y se prohíbe la combustión de los mismos o su reutilización parcial o total sin tratamiento de transformación.</w:t>
      </w:r>
    </w:p>
    <w:p w:rsidR="00FB679E" w:rsidRPr="00E60B44" w:rsidRDefault="00FB679E" w:rsidP="00172BC1">
      <w:pPr>
        <w:spacing w:before="57" w:after="57" w:line="288" w:lineRule="atLeast"/>
        <w:ind w:firstLine="283"/>
        <w:jc w:val="both"/>
        <w:textAlignment w:val="center"/>
        <w:rPr>
          <w:rFonts w:ascii="Arial" w:eastAsia="Times New Roman" w:hAnsi="Arial" w:cs="Arial"/>
          <w:color w:val="000000"/>
          <w:sz w:val="26"/>
          <w:szCs w:val="26"/>
          <w:lang w:eastAsia="es-CO"/>
        </w:rPr>
      </w:pPr>
    </w:p>
    <w:p w:rsidR="00E60B44" w:rsidRPr="00E60B44" w:rsidRDefault="00E60B44" w:rsidP="00E60B44">
      <w:pPr>
        <w:spacing w:before="100" w:beforeAutospacing="1" w:after="100" w:afterAutospacing="1" w:line="240" w:lineRule="auto"/>
        <w:jc w:val="center"/>
        <w:rPr>
          <w:rFonts w:ascii="Arial" w:eastAsia="Times New Roman" w:hAnsi="Arial" w:cs="Arial"/>
          <w:b/>
          <w:bCs/>
          <w:sz w:val="26"/>
          <w:szCs w:val="26"/>
          <w:lang w:eastAsia="es-CO"/>
        </w:rPr>
      </w:pPr>
      <w:r w:rsidRPr="00E60B44">
        <w:rPr>
          <w:rFonts w:ascii="Arial" w:eastAsia="Times New Roman" w:hAnsi="Arial" w:cs="Arial"/>
          <w:b/>
          <w:bCs/>
          <w:sz w:val="26"/>
          <w:szCs w:val="26"/>
          <w:lang w:eastAsia="es-CO"/>
        </w:rPr>
        <w:t xml:space="preserve">EXPOSICIÓN DE MOTIVOS  </w:t>
      </w:r>
    </w:p>
    <w:p w:rsidR="00330A3A" w:rsidRPr="00E60B44" w:rsidRDefault="00330A3A" w:rsidP="00330A3A">
      <w:pPr>
        <w:spacing w:before="57" w:after="57" w:line="288" w:lineRule="atLeast"/>
        <w:jc w:val="both"/>
        <w:textAlignment w:val="center"/>
        <w:rPr>
          <w:rFonts w:ascii="Arial" w:eastAsia="Times New Roman" w:hAnsi="Arial" w:cs="Arial"/>
          <w:color w:val="000000"/>
          <w:sz w:val="26"/>
          <w:szCs w:val="26"/>
          <w:lang w:eastAsia="es-CO"/>
        </w:rPr>
      </w:pPr>
      <w:r w:rsidRPr="00E60B44">
        <w:rPr>
          <w:rFonts w:ascii="Arial" w:eastAsia="Times New Roman" w:hAnsi="Arial" w:cs="Arial"/>
          <w:b/>
          <w:bCs/>
          <w:color w:val="000000"/>
          <w:sz w:val="26"/>
          <w:szCs w:val="26"/>
          <w:lang w:val="es-ES_tradnl" w:eastAsia="es-CO"/>
        </w:rPr>
        <w:t>Consideraciones</w:t>
      </w:r>
    </w:p>
    <w:p w:rsidR="00330A3A" w:rsidRPr="00E60B44" w:rsidRDefault="00330A3A" w:rsidP="00330A3A">
      <w:pPr>
        <w:spacing w:before="57" w:after="57" w:line="288" w:lineRule="atLeast"/>
        <w:jc w:val="both"/>
        <w:textAlignment w:val="center"/>
        <w:rPr>
          <w:rFonts w:ascii="Arial" w:eastAsia="Times New Roman" w:hAnsi="Arial" w:cs="Arial"/>
          <w:color w:val="000000"/>
          <w:sz w:val="26"/>
          <w:szCs w:val="26"/>
          <w:lang w:val="es-ES_tradnl" w:eastAsia="es-CO"/>
        </w:rPr>
      </w:pPr>
    </w:p>
    <w:p w:rsidR="00330A3A" w:rsidRPr="00E60B44" w:rsidRDefault="00E60B44" w:rsidP="00330A3A">
      <w:pPr>
        <w:spacing w:before="57" w:after="57" w:line="288" w:lineRule="atLeast"/>
        <w:jc w:val="both"/>
        <w:textAlignment w:val="center"/>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C</w:t>
      </w:r>
      <w:r w:rsidR="00330A3A" w:rsidRPr="00E60B44">
        <w:rPr>
          <w:rFonts w:ascii="Arial" w:eastAsia="Times New Roman" w:hAnsi="Arial" w:cs="Arial"/>
          <w:color w:val="000000"/>
          <w:sz w:val="26"/>
          <w:szCs w:val="26"/>
          <w:lang w:val="es-ES_tradnl" w:eastAsia="es-CO"/>
        </w:rPr>
        <w:t>on la presentación del presente proyecto de ley se busca llenar un vacío en la legislación colombiana, en un tema de vital importancia para la preservación de un medio ambiente sano, así mismo eliminar la actual contradicción entre la Resolución número 1446 del 2005 que permite quemar los aceites usados y las nuevas regulaciones emitidas por el Ministerio de Ambiente y Desarrollo Sostenible con relación a calidad del aire independientemente de su volumen o relación de mezcla.</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También se debe considerar que los aceites lubricantes usados son clasificados como Residuos Peligrosos en el Anexo I, Numerales 8 y 9 del Convenio de Basilea sobre el control de los movimientos transfronterizos de los desechos peligrosos y su eliminación, adoptado por la Conferencia de Plenipotenciarios de la ONU del 22 de marzo de 1989 y vigente a partir del 5 de mayo de 1992. Este Convenio fue ratificado por Colombia mediante la Ley 253 de enero 9 de 1996, que considera el aceite lubricante usado como uno de los desechos peligrosos para controlar, debido a los contaminantes altamente tóxicos que lo componen y que afectan a los seres vivos y al ambiente en su conjunto. En consonancia con lo anterior, el Decreto 4741 de 2005 del Ministerio de Ambiente y Desarrollo Sostenible, clasifica los aceites usados como residuo peligroso y reglamentó parcialmente su manejo, ya que su inadecuada disposición contradice el artículo 79 de la Constitución Política Nacional que establece que todas las personas tienen derecho a gozar de un ambiente sano.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 Mediante la Resolución 1446 de 2005 en Colombia se acepta que los aceites usados puedan ser quemados y siempre existe el riesgo de que las inadecuadas prácticas de uso en hornos y calderas por fuera de los estándares definidos en esta Resolución, generen daños severos a la salud y al ambiente.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Los aceites usados tienen componentes que lo convierten en un residuo altamente peligroso, como: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numPr>
          <w:ilvl w:val="0"/>
          <w:numId w:val="21"/>
        </w:numPr>
        <w:spacing w:after="34"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Partículas metálicas, generadas por el desgaste de las piezas en movimiento y fricción.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Compuestos organometálicos con contenido de plomo procedente de las gasolinas. </w:t>
      </w:r>
    </w:p>
    <w:p w:rsidR="00330A3A" w:rsidRPr="00E60B44" w:rsidRDefault="00330A3A" w:rsidP="00330A3A">
      <w:pPr>
        <w:pStyle w:val="Default"/>
        <w:numPr>
          <w:ilvl w:val="0"/>
          <w:numId w:val="21"/>
        </w:numPr>
        <w:spacing w:after="37"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Ácidos orgánicos o inorgánicos originados por oxidación o por azufre de los combustibles. </w:t>
      </w:r>
    </w:p>
    <w:p w:rsidR="00330A3A" w:rsidRPr="00E60B44" w:rsidRDefault="00330A3A" w:rsidP="00330A3A">
      <w:pPr>
        <w:pStyle w:val="Default"/>
        <w:numPr>
          <w:ilvl w:val="0"/>
          <w:numId w:val="21"/>
        </w:numPr>
        <w:spacing w:after="37"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Compuestos de azufre. </w:t>
      </w:r>
    </w:p>
    <w:p w:rsidR="00330A3A" w:rsidRPr="00E60B44" w:rsidRDefault="00330A3A" w:rsidP="00330A3A">
      <w:pPr>
        <w:pStyle w:val="Default"/>
        <w:numPr>
          <w:ilvl w:val="0"/>
          <w:numId w:val="21"/>
        </w:numPr>
        <w:spacing w:after="37"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Restos de aditivos: Fenoles, compuestos de cinc, cloro y fósforo. </w:t>
      </w:r>
    </w:p>
    <w:p w:rsidR="00330A3A" w:rsidRPr="00E60B44" w:rsidRDefault="00330A3A" w:rsidP="00330A3A">
      <w:pPr>
        <w:pStyle w:val="Default"/>
        <w:numPr>
          <w:ilvl w:val="0"/>
          <w:numId w:val="21"/>
        </w:numPr>
        <w:spacing w:after="37"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Compuestos clorados: Disolventes, </w:t>
      </w:r>
      <w:proofErr w:type="spellStart"/>
      <w:r w:rsidRPr="00E60B44">
        <w:rPr>
          <w:rFonts w:ascii="Arial" w:eastAsia="Times New Roman" w:hAnsi="Arial" w:cs="Arial"/>
          <w:sz w:val="26"/>
          <w:szCs w:val="26"/>
          <w:lang w:val="es-ES_tradnl" w:eastAsia="es-CO"/>
        </w:rPr>
        <w:t>PCBs</w:t>
      </w:r>
      <w:proofErr w:type="spellEnd"/>
      <w:r w:rsidRPr="00E60B44">
        <w:rPr>
          <w:rFonts w:ascii="Arial" w:eastAsia="Times New Roman" w:hAnsi="Arial" w:cs="Arial"/>
          <w:sz w:val="26"/>
          <w:szCs w:val="26"/>
          <w:lang w:val="es-ES_tradnl" w:eastAsia="es-CO"/>
        </w:rPr>
        <w:t xml:space="preserve"> y </w:t>
      </w:r>
      <w:proofErr w:type="spellStart"/>
      <w:r w:rsidRPr="00E60B44">
        <w:rPr>
          <w:rFonts w:ascii="Arial" w:eastAsia="Times New Roman" w:hAnsi="Arial" w:cs="Arial"/>
          <w:sz w:val="26"/>
          <w:szCs w:val="26"/>
          <w:lang w:val="es-ES_tradnl" w:eastAsia="es-CO"/>
        </w:rPr>
        <w:t>PCTs</w:t>
      </w:r>
      <w:proofErr w:type="spellEnd"/>
      <w:r w:rsidRPr="00E60B44">
        <w:rPr>
          <w:rFonts w:ascii="Arial" w:eastAsia="Times New Roman" w:hAnsi="Arial" w:cs="Arial"/>
          <w:sz w:val="26"/>
          <w:szCs w:val="26"/>
          <w:lang w:val="es-ES_tradnl" w:eastAsia="es-CO"/>
        </w:rPr>
        <w:t xml:space="preserve">.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Hidrocarburos Polinucleares Aromáticos (PNA).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Muchos de los generadores de aceites usados en Colombia mezclan estos residuos con otras sustancias peligrosas de cualquier tipo, como los pesticidas, con el fin de disminuir costos asociados con la correcta gestión y disposición final de las mismas. Posteriormente, venden estas peligrosas mezclas de residuos a empresarios determinados a ahorrar costos en los combustibles para hornos y calderas.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La combustión en hornos y calderas, es uno de los usos más frecuentes y problemáticos del aceite usado de motor en Colombia, debido a la gran cantidad de emisiones de gases altamente contaminantes que se le generan al ambiente. Otros usos importantes son la falsificación de lubricantes y la utilización en la producción de cocaína.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Factores de emisión del aceite usado, la gasolina y el diésel. Al comparar esta variable, se puede concluir que: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La combustión de aceites usados siempre genera una mayor cantidad de emisiones al aire, que son variables dependiendo del tipo de especie química analizada.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Sobresalen los casos de material particulado, plomo, óxidos de nitrógeno, óxidos de azufre, y varios de los hidrocarburos aromáticos policíclicos, en varios de los casos en cantidades realmente mayores en sus efectos.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En relación con el Material Particulado -MP- igual o mayor a 10 micras, quemar un galón de aceite usado tiene el mismo efecto en la generación de este contaminante que quemar 3.42 galones de gasolina.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Respecto a los Hidrocarburos Aromáticos Policíclicos, quemar un galón de aceite usado equivale a quemar de 10 a 40 galones de ACPM.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Las emisiones de CO</w:t>
      </w:r>
      <w:r w:rsidRPr="00E60B44">
        <w:rPr>
          <w:rFonts w:ascii="Arial" w:eastAsia="Times New Roman" w:hAnsi="Arial" w:cs="Arial"/>
          <w:sz w:val="26"/>
          <w:szCs w:val="26"/>
          <w:vertAlign w:val="subscript"/>
          <w:lang w:val="es-ES_tradnl" w:eastAsia="es-CO"/>
        </w:rPr>
        <w:t>2</w:t>
      </w:r>
      <w:r w:rsidRPr="00E60B44">
        <w:rPr>
          <w:rFonts w:ascii="Arial" w:eastAsia="Times New Roman" w:hAnsi="Arial" w:cs="Arial"/>
          <w:sz w:val="26"/>
          <w:szCs w:val="26"/>
          <w:lang w:val="es-ES_tradnl" w:eastAsia="es-CO"/>
        </w:rPr>
        <w:t xml:space="preserve"> son las mismas que puede generar la combustión del ACPM, es decir 11 mil kg de CO</w:t>
      </w:r>
      <w:r w:rsidRPr="00E60B44">
        <w:rPr>
          <w:rFonts w:ascii="Arial" w:eastAsia="Times New Roman" w:hAnsi="Arial" w:cs="Arial"/>
          <w:sz w:val="26"/>
          <w:szCs w:val="26"/>
          <w:vertAlign w:val="subscript"/>
          <w:lang w:val="es-ES_tradnl" w:eastAsia="es-CO"/>
        </w:rPr>
        <w:t>2</w:t>
      </w:r>
      <w:r w:rsidRPr="00E60B44">
        <w:rPr>
          <w:rFonts w:ascii="Arial" w:eastAsia="Times New Roman" w:hAnsi="Arial" w:cs="Arial"/>
          <w:sz w:val="26"/>
          <w:szCs w:val="26"/>
          <w:lang w:val="es-ES_tradnl" w:eastAsia="es-CO"/>
        </w:rPr>
        <w:t xml:space="preserve"> por cada mil galones de este combustible.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En relación con el contenido de azufre (S), los aceites usados tienen un contenido aproximado de 6000 a 7000 ppm de S; en Colombia, los combustibles como la gasolina y el diésel, contienen máximo 50 ppm de azufre, lo cual implica que: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Las emisiones de azufre al ambiente que genera cada galón de aceite usado quemado equivalen a quemar de 120 a 140 galones de diésel o gasolina.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Si algún día el diésel es de 15 ppm de azufre, entonces, quemar el contenido de una sola tractomula de aceite usado de 10.000 galones, sin ningún tipo de tratamiento, como lo hacen las empresas que usan este residuo como combustible, equivaldría a que se queme el equivalente al de 467 tractomulas de 10.000 galones de diésel.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Las empresas que consumen y preparan estos combustibles, los mezclan en su mayoría de veces con crudos residuales u otros hidrocarburos casi siempre con peores calidades que las de un aceite usado superando en muchos casos concentraciones del 1% de masa, la cantidad de azufre. Y esto sin contar los sólidos en suspensión, las cenizas y las poderosas moléculas contaminantes presentes en los mismos, antes descritas.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Las cenizas en los aceites usados de acuerdo a la Guía Técnica de Re-refinado u otros re-usos de aceites usados del Convenio de Basilea, es de aproximadamente 0,7% en peso; y según datos técnicos del diésel en Colombia, el contenido de cenizas es de 0,0015% en peso. Esto implica que: </w:t>
      </w:r>
    </w:p>
    <w:p w:rsidR="00E60B44" w:rsidRPr="00E60B44" w:rsidRDefault="00E60B44"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Por cada galón de aceite quemado se produce la misma cantidad de cenizas que si se realiza la combustión de aproximadamente 460 galones de diésel.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Por cada tractomula de 10.000 gal de aceite usado quemado se produce la misma cantidad de cenizas que si se realiza la combustión de aproximadamente 70 tractomulas de 10.000 gal/cada una de diésel.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Los aceites pueden contener pequeñas cantidades de Compuestos Aromáticos Policíclicos -PHA- que, debido a la descomposición de los distintos componentes y a las reacciones catalizadas por metales, se incrementan durante la utilización del lubricante. Para muchos de los PHA que son arrojados a la atmósfera, está plenamente demostrado un efecto marcadamente cancerígeno.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En relación con la capacidad </w:t>
      </w:r>
      <w:proofErr w:type="spellStart"/>
      <w:r w:rsidRPr="00E60B44">
        <w:rPr>
          <w:rFonts w:ascii="Arial" w:eastAsia="Times New Roman" w:hAnsi="Arial" w:cs="Arial"/>
          <w:sz w:val="26"/>
          <w:szCs w:val="26"/>
          <w:lang w:val="es-ES_tradnl" w:eastAsia="es-CO"/>
        </w:rPr>
        <w:t>mutagénica</w:t>
      </w:r>
      <w:proofErr w:type="spellEnd"/>
      <w:r w:rsidRPr="00E60B44">
        <w:rPr>
          <w:rFonts w:ascii="Arial" w:eastAsia="Times New Roman" w:hAnsi="Arial" w:cs="Arial"/>
          <w:sz w:val="26"/>
          <w:szCs w:val="26"/>
          <w:lang w:val="es-ES_tradnl" w:eastAsia="es-CO"/>
        </w:rPr>
        <w:t xml:space="preserve"> del aceite de motor usado, se ha detectado que: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El 70% de estos efectos son causados por PHA con más de tres anillos, que representan el 1% del volumen de un aceite usado.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Según la International Agency </w:t>
      </w:r>
      <w:proofErr w:type="spellStart"/>
      <w:r w:rsidRPr="00E60B44">
        <w:rPr>
          <w:rFonts w:ascii="Arial" w:eastAsia="Times New Roman" w:hAnsi="Arial" w:cs="Arial"/>
          <w:sz w:val="26"/>
          <w:szCs w:val="26"/>
          <w:lang w:val="es-ES_tradnl" w:eastAsia="es-CO"/>
        </w:rPr>
        <w:t>on</w:t>
      </w:r>
      <w:proofErr w:type="spellEnd"/>
      <w:r w:rsidRPr="00E60B44">
        <w:rPr>
          <w:rFonts w:ascii="Arial" w:eastAsia="Times New Roman" w:hAnsi="Arial" w:cs="Arial"/>
          <w:sz w:val="26"/>
          <w:szCs w:val="26"/>
          <w:lang w:val="es-ES_tradnl" w:eastAsia="es-CO"/>
        </w:rPr>
        <w:t xml:space="preserve"> </w:t>
      </w:r>
      <w:proofErr w:type="spellStart"/>
      <w:r w:rsidRPr="00E60B44">
        <w:rPr>
          <w:rFonts w:ascii="Arial" w:eastAsia="Times New Roman" w:hAnsi="Arial" w:cs="Arial"/>
          <w:sz w:val="26"/>
          <w:szCs w:val="26"/>
          <w:lang w:val="es-ES_tradnl" w:eastAsia="es-CO"/>
        </w:rPr>
        <w:t>Research</w:t>
      </w:r>
      <w:proofErr w:type="spellEnd"/>
      <w:r w:rsidRPr="00E60B44">
        <w:rPr>
          <w:rFonts w:ascii="Arial" w:eastAsia="Times New Roman" w:hAnsi="Arial" w:cs="Arial"/>
          <w:sz w:val="26"/>
          <w:szCs w:val="26"/>
          <w:lang w:val="es-ES_tradnl" w:eastAsia="es-CO"/>
        </w:rPr>
        <w:t xml:space="preserve"> </w:t>
      </w:r>
      <w:proofErr w:type="spellStart"/>
      <w:r w:rsidRPr="00E60B44">
        <w:rPr>
          <w:rFonts w:ascii="Arial" w:eastAsia="Times New Roman" w:hAnsi="Arial" w:cs="Arial"/>
          <w:sz w:val="26"/>
          <w:szCs w:val="26"/>
          <w:lang w:val="es-ES_tradnl" w:eastAsia="es-CO"/>
        </w:rPr>
        <w:t>for</w:t>
      </w:r>
      <w:proofErr w:type="spellEnd"/>
      <w:r w:rsidRPr="00E60B44">
        <w:rPr>
          <w:rFonts w:ascii="Arial" w:eastAsia="Times New Roman" w:hAnsi="Arial" w:cs="Arial"/>
          <w:sz w:val="26"/>
          <w:szCs w:val="26"/>
          <w:lang w:val="es-ES_tradnl" w:eastAsia="es-CO"/>
        </w:rPr>
        <w:t xml:space="preserve"> Cáncer (IARC), el 18% del efecto </w:t>
      </w:r>
      <w:proofErr w:type="spellStart"/>
      <w:r w:rsidRPr="00E60B44">
        <w:rPr>
          <w:rFonts w:ascii="Arial" w:eastAsia="Times New Roman" w:hAnsi="Arial" w:cs="Arial"/>
          <w:sz w:val="26"/>
          <w:szCs w:val="26"/>
          <w:lang w:val="es-ES_tradnl" w:eastAsia="es-CO"/>
        </w:rPr>
        <w:t>mutacional</w:t>
      </w:r>
      <w:proofErr w:type="spellEnd"/>
      <w:r w:rsidRPr="00E60B44">
        <w:rPr>
          <w:rFonts w:ascii="Arial" w:eastAsia="Times New Roman" w:hAnsi="Arial" w:cs="Arial"/>
          <w:sz w:val="26"/>
          <w:szCs w:val="26"/>
          <w:lang w:val="es-ES_tradnl" w:eastAsia="es-CO"/>
        </w:rPr>
        <w:t xml:space="preserve"> lo produce el </w:t>
      </w:r>
      <w:proofErr w:type="spellStart"/>
      <w:r w:rsidRPr="00E60B44">
        <w:rPr>
          <w:rFonts w:ascii="Arial" w:eastAsia="Times New Roman" w:hAnsi="Arial" w:cs="Arial"/>
          <w:sz w:val="26"/>
          <w:szCs w:val="26"/>
          <w:lang w:val="es-ES_tradnl" w:eastAsia="es-CO"/>
        </w:rPr>
        <w:t>benzo</w:t>
      </w:r>
      <w:proofErr w:type="spellEnd"/>
      <w:r w:rsidRPr="00E60B44">
        <w:rPr>
          <w:rFonts w:ascii="Arial" w:eastAsia="Times New Roman" w:hAnsi="Arial" w:cs="Arial"/>
          <w:sz w:val="26"/>
          <w:szCs w:val="26"/>
          <w:lang w:val="es-ES_tradnl" w:eastAsia="es-CO"/>
        </w:rPr>
        <w:t>-a-</w:t>
      </w:r>
      <w:proofErr w:type="spellStart"/>
      <w:r w:rsidRPr="00E60B44">
        <w:rPr>
          <w:rFonts w:ascii="Arial" w:eastAsia="Times New Roman" w:hAnsi="Arial" w:cs="Arial"/>
          <w:sz w:val="26"/>
          <w:szCs w:val="26"/>
          <w:lang w:val="es-ES_tradnl" w:eastAsia="es-CO"/>
        </w:rPr>
        <w:t>pireno</w:t>
      </w:r>
      <w:proofErr w:type="spellEnd"/>
      <w:r w:rsidRPr="00E60B44">
        <w:rPr>
          <w:rFonts w:ascii="Arial" w:eastAsia="Times New Roman" w:hAnsi="Arial" w:cs="Arial"/>
          <w:sz w:val="26"/>
          <w:szCs w:val="26"/>
          <w:lang w:val="es-ES_tradnl" w:eastAsia="es-CO"/>
        </w:rPr>
        <w:t xml:space="preserve"> que se ha encontrado en cantidades que varían entre 400 y 1.600 mg/kg en los crudos de aceite mineral.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En diversos estudios, se considera que esta sustancia, así como el </w:t>
      </w:r>
      <w:proofErr w:type="spellStart"/>
      <w:r w:rsidRPr="00E60B44">
        <w:rPr>
          <w:rFonts w:ascii="Arial" w:eastAsia="Times New Roman" w:hAnsi="Arial" w:cs="Arial"/>
          <w:sz w:val="26"/>
          <w:szCs w:val="26"/>
          <w:lang w:val="es-ES_tradnl" w:eastAsia="es-CO"/>
        </w:rPr>
        <w:t>benzo</w:t>
      </w:r>
      <w:proofErr w:type="spellEnd"/>
      <w:r w:rsidRPr="00E60B44">
        <w:rPr>
          <w:rFonts w:ascii="Arial" w:eastAsia="Times New Roman" w:hAnsi="Arial" w:cs="Arial"/>
          <w:sz w:val="26"/>
          <w:szCs w:val="26"/>
          <w:lang w:val="es-ES_tradnl" w:eastAsia="es-CO"/>
        </w:rPr>
        <w:t>-e-</w:t>
      </w:r>
      <w:proofErr w:type="spellStart"/>
      <w:r w:rsidRPr="00E60B44">
        <w:rPr>
          <w:rFonts w:ascii="Arial" w:eastAsia="Times New Roman" w:hAnsi="Arial" w:cs="Arial"/>
          <w:sz w:val="26"/>
          <w:szCs w:val="26"/>
          <w:lang w:val="es-ES_tradnl" w:eastAsia="es-CO"/>
        </w:rPr>
        <w:t>pireno</w:t>
      </w:r>
      <w:proofErr w:type="spellEnd"/>
      <w:r w:rsidRPr="00E60B44">
        <w:rPr>
          <w:rFonts w:ascii="Arial" w:eastAsia="Times New Roman" w:hAnsi="Arial" w:cs="Arial"/>
          <w:sz w:val="26"/>
          <w:szCs w:val="26"/>
          <w:lang w:val="es-ES_tradnl" w:eastAsia="es-CO"/>
        </w:rPr>
        <w:t xml:space="preserve">, el </w:t>
      </w:r>
      <w:proofErr w:type="spellStart"/>
      <w:r w:rsidRPr="00E60B44">
        <w:rPr>
          <w:rFonts w:ascii="Arial" w:eastAsia="Times New Roman" w:hAnsi="Arial" w:cs="Arial"/>
          <w:sz w:val="26"/>
          <w:szCs w:val="26"/>
          <w:lang w:val="es-ES_tradnl" w:eastAsia="es-CO"/>
        </w:rPr>
        <w:t>benzo</w:t>
      </w:r>
      <w:proofErr w:type="spellEnd"/>
      <w:r w:rsidRPr="00E60B44">
        <w:rPr>
          <w:rFonts w:ascii="Arial" w:eastAsia="Times New Roman" w:hAnsi="Arial" w:cs="Arial"/>
          <w:sz w:val="26"/>
          <w:szCs w:val="26"/>
          <w:lang w:val="es-ES_tradnl" w:eastAsia="es-CO"/>
        </w:rPr>
        <w:t xml:space="preserve">-a-antraceno y el </w:t>
      </w:r>
      <w:proofErr w:type="spellStart"/>
      <w:r w:rsidRPr="00E60B44">
        <w:rPr>
          <w:rFonts w:ascii="Arial" w:eastAsia="Times New Roman" w:hAnsi="Arial" w:cs="Arial"/>
          <w:sz w:val="26"/>
          <w:szCs w:val="26"/>
          <w:lang w:val="es-ES_tradnl" w:eastAsia="es-CO"/>
        </w:rPr>
        <w:t>criseno</w:t>
      </w:r>
      <w:proofErr w:type="spellEnd"/>
      <w:r w:rsidRPr="00E60B44">
        <w:rPr>
          <w:rFonts w:ascii="Arial" w:eastAsia="Times New Roman" w:hAnsi="Arial" w:cs="Arial"/>
          <w:sz w:val="26"/>
          <w:szCs w:val="26"/>
          <w:lang w:val="es-ES_tradnl" w:eastAsia="es-CO"/>
        </w:rPr>
        <w:t xml:space="preserve">, tiene un elevado potencial carcinogénico. </w:t>
      </w:r>
    </w:p>
    <w:p w:rsidR="00330A3A" w:rsidRPr="00E60B44" w:rsidRDefault="00330A3A" w:rsidP="00330A3A">
      <w:pPr>
        <w:pStyle w:val="Default"/>
        <w:numPr>
          <w:ilvl w:val="0"/>
          <w:numId w:val="21"/>
        </w:numPr>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Entre el 40 y 70% de los PHA que se emiten en los gases, procede del aceite de motor; el resto se origina en el proceso de combustión. La utilización de esteres sintéticos ayuda a reducir considerablemente estas emisiones.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La combustión de aceites usados en la industria genera gran cantidad de material particulado, compuestos de azufre, CO y CO</w:t>
      </w:r>
      <w:r w:rsidRPr="00E60B44">
        <w:rPr>
          <w:rFonts w:ascii="Arial" w:eastAsia="Times New Roman" w:hAnsi="Arial" w:cs="Arial"/>
          <w:sz w:val="26"/>
          <w:szCs w:val="26"/>
          <w:vertAlign w:val="subscript"/>
          <w:lang w:val="es-ES_tradnl" w:eastAsia="es-CO"/>
        </w:rPr>
        <w:t>2</w:t>
      </w:r>
      <w:r w:rsidRPr="00E60B44">
        <w:rPr>
          <w:rFonts w:ascii="Arial" w:eastAsia="Times New Roman" w:hAnsi="Arial" w:cs="Arial"/>
          <w:sz w:val="26"/>
          <w:szCs w:val="26"/>
          <w:lang w:val="es-ES_tradnl" w:eastAsia="es-CO"/>
        </w:rPr>
        <w:t xml:space="preserve">, compuestos aromáticos, aldehídos, cetonas y ácidos orgánicos, todos ellos productos de una combustión no adecuada de este tipo de aceites. Si se quema una lata de 5 litros de aceite usado, solo o con algún combustible, la combustión incontrolada emitirá metales y gases tóxicos, contaminando un volumen de aire equivalente al que respira un adulto a lo largo de 3 años de su vida. </w:t>
      </w: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p>
    <w:p w:rsidR="00330A3A" w:rsidRPr="00E60B44" w:rsidRDefault="00330A3A" w:rsidP="00330A3A">
      <w:pPr>
        <w:pStyle w:val="Default"/>
        <w:spacing w:line="276" w:lineRule="auto"/>
        <w:jc w:val="both"/>
        <w:rPr>
          <w:rFonts w:ascii="Arial" w:eastAsia="Times New Roman" w:hAnsi="Arial" w:cs="Arial"/>
          <w:sz w:val="26"/>
          <w:szCs w:val="26"/>
          <w:lang w:val="es-ES_tradnl" w:eastAsia="es-CO"/>
        </w:rPr>
      </w:pPr>
      <w:r w:rsidRPr="00E60B44">
        <w:rPr>
          <w:rFonts w:ascii="Arial" w:eastAsia="Times New Roman" w:hAnsi="Arial" w:cs="Arial"/>
          <w:sz w:val="26"/>
          <w:szCs w:val="26"/>
          <w:lang w:val="es-ES_tradnl" w:eastAsia="es-CO"/>
        </w:rPr>
        <w:t xml:space="preserve">Según datos del Fondo de Aceites Usados publicados por el diario El Tiempo en la Separata “Huella Social” publicada en junio de 2012, de los 50 millones de galones de aceite lubricante que cada año se consumen en Colombia, los potencialmente recuperables corresponden a 17,7 millones de galones; entre éstos, solo se recuperan adecuadamente el 5%, ya que el otro 95% se quema como combustible industrial. </w:t>
      </w:r>
    </w:p>
    <w:p w:rsidR="00FB679E" w:rsidRPr="00E60B44" w:rsidRDefault="00FB679E" w:rsidP="00172BC1">
      <w:pPr>
        <w:spacing w:before="57" w:after="57" w:line="288" w:lineRule="atLeast"/>
        <w:ind w:firstLine="283"/>
        <w:jc w:val="both"/>
        <w:textAlignment w:val="center"/>
        <w:rPr>
          <w:rFonts w:ascii="Arial" w:eastAsia="Times New Roman" w:hAnsi="Arial" w:cs="Arial"/>
          <w:color w:val="000000"/>
          <w:sz w:val="26"/>
          <w:szCs w:val="26"/>
          <w:lang w:val="es-ES_tradnl" w:eastAsia="es-CO"/>
        </w:rPr>
      </w:pPr>
    </w:p>
    <w:p w:rsidR="00172BC1" w:rsidRPr="00E60B44" w:rsidRDefault="00172BC1" w:rsidP="00330A3A">
      <w:pPr>
        <w:spacing w:before="57" w:after="57" w:line="288" w:lineRule="atLeast"/>
        <w:jc w:val="both"/>
        <w:textAlignment w:val="center"/>
        <w:rPr>
          <w:rFonts w:ascii="Arial" w:eastAsia="Times New Roman" w:hAnsi="Arial" w:cs="Arial"/>
          <w:color w:val="000000"/>
          <w:sz w:val="26"/>
          <w:szCs w:val="26"/>
          <w:lang w:eastAsia="es-CO"/>
        </w:rPr>
      </w:pPr>
      <w:r w:rsidRPr="00E60B44">
        <w:rPr>
          <w:rFonts w:ascii="Arial" w:eastAsia="Times New Roman" w:hAnsi="Arial" w:cs="Arial"/>
          <w:b/>
          <w:bCs/>
          <w:color w:val="000000"/>
          <w:sz w:val="26"/>
          <w:szCs w:val="26"/>
          <w:lang w:val="es-ES_tradnl" w:eastAsia="es-CO"/>
        </w:rPr>
        <w:t>Objeto</w:t>
      </w:r>
    </w:p>
    <w:p w:rsidR="00172BC1" w:rsidRPr="00E60B44" w:rsidRDefault="00172BC1" w:rsidP="00330A3A">
      <w:pPr>
        <w:spacing w:before="57" w:after="57" w:line="288" w:lineRule="atLeast"/>
        <w:jc w:val="both"/>
        <w:textAlignment w:val="center"/>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El proyecto de ley tiene por objeto establecer los requerimientos para la disposición ambientalmente segura de</w:t>
      </w:r>
      <w:r w:rsidR="00FB679E" w:rsidRPr="00E60B44">
        <w:rPr>
          <w:rFonts w:ascii="Arial" w:eastAsia="Times New Roman" w:hAnsi="Arial" w:cs="Arial"/>
          <w:color w:val="000000"/>
          <w:sz w:val="26"/>
          <w:szCs w:val="26"/>
          <w:lang w:val="es-ES_tradnl" w:eastAsia="es-CO"/>
        </w:rPr>
        <w:t xml:space="preserve"> los aceites lubricantes usados y</w:t>
      </w:r>
      <w:r w:rsidRPr="00E60B44">
        <w:rPr>
          <w:rFonts w:ascii="Arial" w:eastAsia="Times New Roman" w:hAnsi="Arial" w:cs="Arial"/>
          <w:color w:val="000000"/>
          <w:sz w:val="26"/>
          <w:szCs w:val="26"/>
          <w:lang w:val="es-ES_tradnl" w:eastAsia="es-CO"/>
        </w:rPr>
        <w:t xml:space="preserve"> de los aceites industriales u</w:t>
      </w:r>
      <w:r w:rsidR="00FB679E" w:rsidRPr="00E60B44">
        <w:rPr>
          <w:rFonts w:ascii="Arial" w:eastAsia="Times New Roman" w:hAnsi="Arial" w:cs="Arial"/>
          <w:color w:val="000000"/>
          <w:sz w:val="26"/>
          <w:szCs w:val="26"/>
          <w:lang w:val="es-ES_tradnl" w:eastAsia="es-CO"/>
        </w:rPr>
        <w:t>sados.</w:t>
      </w:r>
    </w:p>
    <w:p w:rsidR="00330A3A" w:rsidRPr="00E60B44" w:rsidRDefault="00330A3A" w:rsidP="00330A3A">
      <w:pPr>
        <w:spacing w:before="57" w:after="57" w:line="288" w:lineRule="atLeast"/>
        <w:jc w:val="both"/>
        <w:textAlignment w:val="center"/>
        <w:rPr>
          <w:rFonts w:ascii="Arial" w:eastAsia="Times New Roman" w:hAnsi="Arial" w:cs="Arial"/>
          <w:color w:val="000000"/>
          <w:sz w:val="26"/>
          <w:szCs w:val="26"/>
          <w:lang w:eastAsia="es-CO"/>
        </w:rPr>
      </w:pPr>
    </w:p>
    <w:p w:rsidR="00172BC1" w:rsidRPr="00E60B44" w:rsidRDefault="00172BC1" w:rsidP="00330A3A">
      <w:pPr>
        <w:spacing w:before="57" w:after="57" w:line="288" w:lineRule="atLeast"/>
        <w:jc w:val="both"/>
        <w:textAlignment w:val="center"/>
        <w:rPr>
          <w:rFonts w:ascii="Arial" w:eastAsia="Times New Roman" w:hAnsi="Arial" w:cs="Arial"/>
          <w:color w:val="000000"/>
          <w:sz w:val="26"/>
          <w:szCs w:val="26"/>
          <w:lang w:eastAsia="es-CO"/>
        </w:rPr>
      </w:pPr>
      <w:r w:rsidRPr="00E60B44">
        <w:rPr>
          <w:rFonts w:ascii="Arial" w:eastAsia="Times New Roman" w:hAnsi="Arial" w:cs="Arial"/>
          <w:b/>
          <w:bCs/>
          <w:color w:val="000000"/>
          <w:sz w:val="26"/>
          <w:szCs w:val="26"/>
          <w:lang w:val="es-ES_tradnl" w:eastAsia="es-CO"/>
        </w:rPr>
        <w:t>Contenido</w:t>
      </w:r>
    </w:p>
    <w:p w:rsidR="00172BC1" w:rsidRPr="00E60B44" w:rsidRDefault="00172BC1" w:rsidP="00330A3A">
      <w:pPr>
        <w:spacing w:before="57" w:after="57" w:line="288" w:lineRule="atLeast"/>
        <w:jc w:val="both"/>
        <w:textAlignment w:val="center"/>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El proyecto de ley originalmente radicado cuenta con 1</w:t>
      </w:r>
      <w:r w:rsidR="00E612F0" w:rsidRPr="00E60B44">
        <w:rPr>
          <w:rFonts w:ascii="Arial" w:eastAsia="Times New Roman" w:hAnsi="Arial" w:cs="Arial"/>
          <w:color w:val="000000"/>
          <w:sz w:val="26"/>
          <w:szCs w:val="26"/>
          <w:lang w:val="es-ES_tradnl" w:eastAsia="es-CO"/>
        </w:rPr>
        <w:t>8</w:t>
      </w:r>
      <w:r w:rsidRPr="00E60B44">
        <w:rPr>
          <w:rFonts w:ascii="Arial" w:eastAsia="Times New Roman" w:hAnsi="Arial" w:cs="Arial"/>
          <w:color w:val="000000"/>
          <w:sz w:val="26"/>
          <w:szCs w:val="26"/>
          <w:lang w:val="es-ES_tradnl" w:eastAsia="es-CO"/>
        </w:rPr>
        <w:t xml:space="preserve"> artículos, incluyendo su vigencia, en los cuales se establecen los requerimientos para la disposición ambientalmente segura de los aceites lubricantes usados</w:t>
      </w:r>
      <w:r w:rsidR="00E612F0" w:rsidRPr="00E60B44">
        <w:rPr>
          <w:rFonts w:ascii="Arial" w:eastAsia="Times New Roman" w:hAnsi="Arial" w:cs="Arial"/>
          <w:color w:val="000000"/>
          <w:sz w:val="26"/>
          <w:szCs w:val="26"/>
          <w:lang w:val="es-ES_tradnl" w:eastAsia="es-CO"/>
        </w:rPr>
        <w:t xml:space="preserve"> y</w:t>
      </w:r>
      <w:r w:rsidRPr="00E60B44">
        <w:rPr>
          <w:rFonts w:ascii="Arial" w:eastAsia="Times New Roman" w:hAnsi="Arial" w:cs="Arial"/>
          <w:color w:val="000000"/>
          <w:sz w:val="26"/>
          <w:szCs w:val="26"/>
          <w:lang w:val="es-ES_tradnl" w:eastAsia="es-CO"/>
        </w:rPr>
        <w:t xml:space="preserve"> de los aceites industriales usados.</w:t>
      </w:r>
    </w:p>
    <w:p w:rsidR="00330A3A" w:rsidRPr="00E60B44" w:rsidRDefault="00330A3A" w:rsidP="00330A3A">
      <w:pPr>
        <w:spacing w:before="57" w:after="57" w:line="288" w:lineRule="atLeast"/>
        <w:jc w:val="both"/>
        <w:textAlignment w:val="center"/>
        <w:rPr>
          <w:rFonts w:ascii="Arial" w:eastAsia="Times New Roman" w:hAnsi="Arial" w:cs="Arial"/>
          <w:color w:val="000000"/>
          <w:sz w:val="26"/>
          <w:szCs w:val="26"/>
          <w:lang w:eastAsia="es-CO"/>
        </w:rPr>
      </w:pPr>
    </w:p>
    <w:p w:rsidR="00172BC1" w:rsidRPr="00E60B44" w:rsidRDefault="00172BC1" w:rsidP="00330A3A">
      <w:pPr>
        <w:spacing w:before="57" w:after="57" w:line="288" w:lineRule="atLeast"/>
        <w:jc w:val="both"/>
        <w:textAlignment w:val="center"/>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En el articulado se desarrollan, entre otras, la obligación de recolectar y reciclar aceites usados o contaminados, la prohibición de vertimiento de esas sustancias en agua o suelo o su incineración, adicional a ello contempla las obligaciones y responsabilidades de los productores, importadores, generadores y procesadores de ese tipo de aceites, así como las obligaciones de la autoridad ambiental competente, y las sanciones a que haya lugar por el incumplimiento de la ley.</w:t>
      </w:r>
    </w:p>
    <w:p w:rsidR="00E612F0" w:rsidRPr="00E60B44" w:rsidRDefault="00E612F0" w:rsidP="00172BC1">
      <w:pPr>
        <w:spacing w:before="57" w:after="57" w:line="288" w:lineRule="atLeast"/>
        <w:ind w:firstLine="283"/>
        <w:jc w:val="both"/>
        <w:textAlignment w:val="center"/>
        <w:rPr>
          <w:rFonts w:ascii="Arial" w:eastAsia="Times New Roman" w:hAnsi="Arial" w:cs="Arial"/>
          <w:color w:val="000000"/>
          <w:sz w:val="26"/>
          <w:szCs w:val="26"/>
          <w:lang w:eastAsia="es-CO"/>
        </w:rPr>
      </w:pPr>
    </w:p>
    <w:p w:rsidR="00172BC1" w:rsidRPr="00E60B44" w:rsidRDefault="00172BC1" w:rsidP="00330A3A">
      <w:pPr>
        <w:spacing w:before="57" w:after="57" w:line="288" w:lineRule="atLeast"/>
        <w:jc w:val="both"/>
        <w:textAlignment w:val="center"/>
        <w:rPr>
          <w:rFonts w:ascii="Arial" w:eastAsia="Times New Roman" w:hAnsi="Arial" w:cs="Arial"/>
          <w:color w:val="000000"/>
          <w:sz w:val="26"/>
          <w:szCs w:val="26"/>
          <w:lang w:eastAsia="es-CO"/>
        </w:rPr>
      </w:pPr>
      <w:r w:rsidRPr="00E60B44">
        <w:rPr>
          <w:rFonts w:ascii="Arial" w:eastAsia="Times New Roman" w:hAnsi="Arial" w:cs="Arial"/>
          <w:b/>
          <w:bCs/>
          <w:color w:val="000000"/>
          <w:sz w:val="26"/>
          <w:szCs w:val="26"/>
          <w:lang w:val="es-ES_tradnl" w:eastAsia="es-CO"/>
        </w:rPr>
        <w:t>Marco Jurídico</w:t>
      </w:r>
    </w:p>
    <w:p w:rsidR="00E71406" w:rsidRPr="00E60B44" w:rsidRDefault="00E71406" w:rsidP="00E71406">
      <w:pPr>
        <w:spacing w:before="57" w:after="57" w:line="288" w:lineRule="atLeast"/>
        <w:jc w:val="both"/>
        <w:textAlignment w:val="center"/>
        <w:rPr>
          <w:rFonts w:ascii="Arial" w:eastAsia="Times New Roman" w:hAnsi="Arial" w:cs="Arial"/>
          <w:color w:val="000000"/>
          <w:sz w:val="26"/>
          <w:szCs w:val="26"/>
          <w:lang w:val="es-ES_tradnl" w:eastAsia="es-CO"/>
        </w:rPr>
      </w:pPr>
    </w:p>
    <w:p w:rsidR="00172BC1" w:rsidRPr="00E60B44" w:rsidRDefault="00172BC1" w:rsidP="00E71406">
      <w:pPr>
        <w:spacing w:before="57" w:after="57" w:line="288" w:lineRule="atLeast"/>
        <w:jc w:val="both"/>
        <w:textAlignment w:val="center"/>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val="es-ES_tradnl" w:eastAsia="es-CO"/>
        </w:rPr>
        <w:t xml:space="preserve">El proyecto de ley a que hace referencia la presente </w:t>
      </w:r>
      <w:r w:rsidR="00E71406" w:rsidRPr="00E60B44">
        <w:rPr>
          <w:rFonts w:ascii="Arial" w:eastAsia="Times New Roman" w:hAnsi="Arial" w:cs="Arial"/>
          <w:color w:val="000000"/>
          <w:sz w:val="26"/>
          <w:szCs w:val="26"/>
          <w:lang w:val="es-ES_tradnl" w:eastAsia="es-CO"/>
        </w:rPr>
        <w:t>proyecto</w:t>
      </w:r>
      <w:r w:rsidRPr="00E60B44">
        <w:rPr>
          <w:rFonts w:ascii="Arial" w:eastAsia="Times New Roman" w:hAnsi="Arial" w:cs="Arial"/>
          <w:color w:val="000000"/>
          <w:sz w:val="26"/>
          <w:szCs w:val="26"/>
          <w:lang w:val="es-ES_tradnl" w:eastAsia="es-CO"/>
        </w:rPr>
        <w:t xml:space="preserve"> cumple con lo establecido en los artículos 140 numeral 1 de la Ley 5ª de 1992.</w:t>
      </w:r>
    </w:p>
    <w:p w:rsidR="00E71406" w:rsidRPr="00E60B44" w:rsidRDefault="00E71406" w:rsidP="00E71406">
      <w:pPr>
        <w:spacing w:before="57" w:after="57" w:line="288" w:lineRule="atLeast"/>
        <w:jc w:val="both"/>
        <w:textAlignment w:val="center"/>
        <w:rPr>
          <w:rFonts w:ascii="Arial" w:eastAsia="Times New Roman" w:hAnsi="Arial" w:cs="Arial"/>
          <w:color w:val="000000"/>
          <w:sz w:val="26"/>
          <w:szCs w:val="26"/>
          <w:lang w:val="es-ES_tradnl" w:eastAsia="es-CO"/>
        </w:rPr>
      </w:pPr>
    </w:p>
    <w:p w:rsidR="00172BC1" w:rsidRPr="00E60B44" w:rsidRDefault="00172BC1" w:rsidP="00E71406">
      <w:pPr>
        <w:spacing w:before="57" w:after="57" w:line="288" w:lineRule="atLeast"/>
        <w:jc w:val="both"/>
        <w:textAlignment w:val="center"/>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val="es-ES_tradnl" w:eastAsia="es-CO"/>
        </w:rPr>
        <w:t>Cumple además con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E71406" w:rsidRPr="00E60B44" w:rsidRDefault="00E71406" w:rsidP="00E71406">
      <w:pPr>
        <w:spacing w:before="57" w:after="57" w:line="288" w:lineRule="atLeast"/>
        <w:jc w:val="both"/>
        <w:textAlignment w:val="center"/>
        <w:rPr>
          <w:rFonts w:ascii="Arial" w:eastAsia="Times New Roman" w:hAnsi="Arial" w:cs="Arial"/>
          <w:color w:val="000000"/>
          <w:sz w:val="26"/>
          <w:szCs w:val="26"/>
          <w:lang w:val="es-ES_tradnl" w:eastAsia="es-CO"/>
        </w:rPr>
      </w:pPr>
    </w:p>
    <w:p w:rsidR="00172BC1" w:rsidRPr="00E60B44" w:rsidRDefault="00172BC1" w:rsidP="00E71406">
      <w:pPr>
        <w:spacing w:before="57" w:after="57" w:line="288" w:lineRule="atLeast"/>
        <w:jc w:val="both"/>
        <w:textAlignment w:val="center"/>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val="es-ES_tradnl" w:eastAsia="es-CO"/>
        </w:rPr>
        <w:t>E</w:t>
      </w:r>
      <w:r w:rsidR="00E71406" w:rsidRPr="00E60B44">
        <w:rPr>
          <w:rFonts w:ascii="Arial" w:eastAsia="Times New Roman" w:hAnsi="Arial" w:cs="Arial"/>
          <w:color w:val="000000"/>
          <w:sz w:val="26"/>
          <w:szCs w:val="26"/>
          <w:lang w:val="es-ES_tradnl" w:eastAsia="es-CO"/>
        </w:rPr>
        <w:t xml:space="preserve">sta </w:t>
      </w:r>
      <w:r w:rsidRPr="00E60B44">
        <w:rPr>
          <w:rFonts w:ascii="Arial" w:eastAsia="Times New Roman" w:hAnsi="Arial" w:cs="Arial"/>
          <w:color w:val="000000"/>
          <w:sz w:val="26"/>
          <w:szCs w:val="26"/>
          <w:lang w:val="es-ES_tradnl" w:eastAsia="es-CO"/>
        </w:rPr>
        <w:t xml:space="preserve"> iniciativa tiene en cuenta lo establecido en los artículos 79 y 80 de la Constitución, en los cuales se indican, entre otros, el derecho a un ambiente sano y la obligación del Estado de prevenir y controlar los factores de deterioro ambiental. Además de lo establecido en la Ley 1252 de 2008 sobre prohibiciones en materia ambiental, el Decreto número 4741 de 2005, en relación a la reglamentación de la prevención y el manejo de residuos peligrosos.</w:t>
      </w:r>
    </w:p>
    <w:p w:rsidR="00F35DEB" w:rsidRPr="00E60B44" w:rsidRDefault="00F35DEB" w:rsidP="00172BC1">
      <w:pPr>
        <w:spacing w:before="57" w:after="57" w:line="288" w:lineRule="atLeast"/>
        <w:ind w:firstLine="283"/>
        <w:jc w:val="both"/>
        <w:textAlignment w:val="center"/>
        <w:rPr>
          <w:rFonts w:ascii="Arial" w:eastAsia="Times New Roman" w:hAnsi="Arial" w:cs="Arial"/>
          <w:color w:val="000000"/>
          <w:sz w:val="26"/>
          <w:szCs w:val="26"/>
          <w:lang w:val="es-ES_tradnl" w:eastAsia="es-CO"/>
        </w:rPr>
      </w:pPr>
    </w:p>
    <w:p w:rsidR="00330A3A" w:rsidRPr="00E60B44" w:rsidRDefault="00330A3A" w:rsidP="00330A3A">
      <w:pPr>
        <w:pStyle w:val="Sinespaciado"/>
        <w:jc w:val="both"/>
        <w:rPr>
          <w:sz w:val="26"/>
          <w:szCs w:val="26"/>
          <w:lang w:val="es-CO"/>
        </w:rPr>
      </w:pPr>
      <w:r w:rsidRPr="00E60B44">
        <w:rPr>
          <w:sz w:val="26"/>
          <w:szCs w:val="26"/>
          <w:lang w:val="es-CO"/>
        </w:rPr>
        <w:t>Cordialmente,</w:t>
      </w:r>
    </w:p>
    <w:p w:rsidR="00330A3A" w:rsidRPr="00E60B44" w:rsidRDefault="00330A3A" w:rsidP="00330A3A">
      <w:pPr>
        <w:pStyle w:val="Sinespaciado"/>
        <w:jc w:val="both"/>
        <w:rPr>
          <w:sz w:val="26"/>
          <w:szCs w:val="26"/>
          <w:lang w:val="es-CO"/>
        </w:rPr>
      </w:pPr>
    </w:p>
    <w:p w:rsidR="00330A3A" w:rsidRPr="00E60B44" w:rsidRDefault="00330A3A" w:rsidP="00330A3A">
      <w:pPr>
        <w:pStyle w:val="Sinespaciado"/>
        <w:jc w:val="both"/>
        <w:rPr>
          <w:sz w:val="26"/>
          <w:szCs w:val="26"/>
          <w:lang w:val="es-CO"/>
        </w:rPr>
      </w:pPr>
    </w:p>
    <w:p w:rsidR="00330A3A" w:rsidRPr="00E60B44" w:rsidRDefault="00330A3A" w:rsidP="00330A3A">
      <w:pPr>
        <w:pStyle w:val="Sinespaciado"/>
        <w:jc w:val="both"/>
        <w:rPr>
          <w:sz w:val="26"/>
          <w:szCs w:val="26"/>
          <w:lang w:val="es-CO"/>
        </w:rPr>
      </w:pPr>
    </w:p>
    <w:p w:rsidR="00330A3A" w:rsidRPr="00E60B44" w:rsidRDefault="00330A3A" w:rsidP="00330A3A">
      <w:pPr>
        <w:pStyle w:val="Sinespaciado"/>
        <w:jc w:val="both"/>
        <w:rPr>
          <w:sz w:val="26"/>
          <w:szCs w:val="26"/>
          <w:lang w:val="es-CO"/>
        </w:rPr>
      </w:pPr>
    </w:p>
    <w:p w:rsidR="00330A3A" w:rsidRPr="00E60B44" w:rsidRDefault="00330A3A" w:rsidP="00330A3A">
      <w:pPr>
        <w:spacing w:after="0" w:line="240" w:lineRule="auto"/>
        <w:ind w:right="-7"/>
        <w:jc w:val="both"/>
        <w:rPr>
          <w:rFonts w:ascii="Arial" w:hAnsi="Arial" w:cs="Arial"/>
          <w:b/>
          <w:sz w:val="26"/>
          <w:szCs w:val="26"/>
        </w:rPr>
      </w:pPr>
      <w:r w:rsidRPr="00E60B44">
        <w:rPr>
          <w:rFonts w:ascii="Arial" w:hAnsi="Arial" w:cs="Arial"/>
          <w:b/>
          <w:sz w:val="26"/>
          <w:szCs w:val="26"/>
        </w:rPr>
        <w:t>NICOLÁS ALBEIRO ECHEVERRY ALVARÁN</w:t>
      </w:r>
    </w:p>
    <w:p w:rsidR="00330A3A" w:rsidRPr="00E60B44" w:rsidRDefault="00330A3A" w:rsidP="00330A3A">
      <w:pPr>
        <w:spacing w:after="0" w:line="240" w:lineRule="auto"/>
        <w:ind w:right="-7"/>
        <w:jc w:val="both"/>
        <w:rPr>
          <w:rFonts w:ascii="Arial" w:hAnsi="Arial" w:cs="Arial"/>
          <w:b/>
          <w:sz w:val="26"/>
          <w:szCs w:val="26"/>
        </w:rPr>
      </w:pPr>
      <w:r w:rsidRPr="00E60B44">
        <w:rPr>
          <w:rFonts w:ascii="Arial" w:hAnsi="Arial" w:cs="Arial"/>
          <w:b/>
          <w:sz w:val="26"/>
          <w:szCs w:val="26"/>
        </w:rPr>
        <w:t>Representante a la Cámara</w:t>
      </w:r>
    </w:p>
    <w:p w:rsidR="00330A3A" w:rsidRPr="00E60B44" w:rsidRDefault="00330A3A" w:rsidP="00330A3A">
      <w:pPr>
        <w:spacing w:after="0" w:line="240" w:lineRule="auto"/>
        <w:ind w:right="-7"/>
        <w:jc w:val="both"/>
        <w:rPr>
          <w:rFonts w:ascii="Arial" w:hAnsi="Arial" w:cs="Arial"/>
          <w:b/>
          <w:sz w:val="26"/>
          <w:szCs w:val="26"/>
        </w:rPr>
      </w:pPr>
      <w:r w:rsidRPr="00E60B44">
        <w:rPr>
          <w:rFonts w:ascii="Arial" w:hAnsi="Arial" w:cs="Arial"/>
          <w:b/>
          <w:sz w:val="26"/>
          <w:szCs w:val="26"/>
        </w:rPr>
        <w:t>Departamento de Antioquia</w:t>
      </w:r>
    </w:p>
    <w:p w:rsidR="00330A3A" w:rsidRPr="00E60B44" w:rsidRDefault="00330A3A" w:rsidP="00330A3A">
      <w:pPr>
        <w:spacing w:after="0" w:line="240" w:lineRule="auto"/>
        <w:ind w:right="-7"/>
        <w:jc w:val="both"/>
        <w:rPr>
          <w:rFonts w:ascii="Arial" w:hAnsi="Arial" w:cs="Arial"/>
          <w:b/>
          <w:sz w:val="26"/>
          <w:szCs w:val="26"/>
        </w:rPr>
      </w:pPr>
      <w:r w:rsidRPr="00E60B44">
        <w:rPr>
          <w:rFonts w:ascii="Arial" w:hAnsi="Arial" w:cs="Arial"/>
          <w:b/>
          <w:sz w:val="26"/>
          <w:szCs w:val="26"/>
        </w:rPr>
        <w:t>Partido Conservador Colombiano</w:t>
      </w:r>
    </w:p>
    <w:p w:rsidR="00F35DEB" w:rsidRPr="00E60B44" w:rsidRDefault="00F35DEB" w:rsidP="00330A3A">
      <w:pPr>
        <w:spacing w:before="57" w:after="57" w:line="288" w:lineRule="atLeast"/>
        <w:jc w:val="both"/>
        <w:textAlignment w:val="center"/>
        <w:rPr>
          <w:rFonts w:ascii="Arial" w:eastAsia="Times New Roman" w:hAnsi="Arial" w:cs="Arial"/>
          <w:color w:val="000000"/>
          <w:sz w:val="26"/>
          <w:szCs w:val="26"/>
          <w:lang w:val="es-ES_tradnl" w:eastAsia="es-CO"/>
        </w:rPr>
      </w:pPr>
    </w:p>
    <w:p w:rsidR="00330A3A" w:rsidRPr="00E60B44" w:rsidRDefault="00330A3A" w:rsidP="00330A3A">
      <w:pPr>
        <w:spacing w:before="57" w:after="57" w:line="288" w:lineRule="atLeast"/>
        <w:jc w:val="both"/>
        <w:textAlignment w:val="center"/>
        <w:rPr>
          <w:rFonts w:ascii="Arial" w:eastAsia="Times New Roman" w:hAnsi="Arial" w:cs="Arial"/>
          <w:color w:val="000000"/>
          <w:sz w:val="26"/>
          <w:szCs w:val="26"/>
          <w:lang w:val="es-ES_tradnl" w:eastAsia="es-CO"/>
        </w:rPr>
      </w:pPr>
    </w:p>
    <w:p w:rsidR="00330A3A" w:rsidRPr="00E60B44" w:rsidRDefault="00330A3A" w:rsidP="00F35DEB">
      <w:pPr>
        <w:jc w:val="center"/>
        <w:rPr>
          <w:rFonts w:ascii="Arial" w:eastAsia="Times New Roman" w:hAnsi="Arial" w:cs="Arial"/>
          <w:color w:val="000000"/>
          <w:sz w:val="26"/>
          <w:szCs w:val="26"/>
          <w:lang w:val="es-ES_tradnl" w:eastAsia="es-CO"/>
        </w:rPr>
      </w:pP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val="es-ES_tradnl" w:eastAsia="es-CO"/>
        </w:rPr>
      </w:pPr>
    </w:p>
    <w:p w:rsidR="00330A3A" w:rsidRPr="00E60B44" w:rsidRDefault="00330A3A">
      <w:pPr>
        <w:rPr>
          <w:rFonts w:ascii="Arial" w:eastAsia="Times New Roman" w:hAnsi="Arial" w:cs="Arial"/>
          <w:b/>
          <w:bCs/>
          <w:color w:val="000000"/>
          <w:sz w:val="26"/>
          <w:szCs w:val="26"/>
          <w:lang w:val="es-ES_tradnl" w:eastAsia="es-CO"/>
        </w:rPr>
      </w:pPr>
      <w:r w:rsidRPr="00E60B44">
        <w:rPr>
          <w:rFonts w:ascii="Arial" w:eastAsia="Times New Roman" w:hAnsi="Arial" w:cs="Arial"/>
          <w:b/>
          <w:bCs/>
          <w:color w:val="000000"/>
          <w:sz w:val="26"/>
          <w:szCs w:val="26"/>
          <w:lang w:val="es-ES_tradnl" w:eastAsia="es-CO"/>
        </w:rPr>
        <w:br w:type="page"/>
      </w:r>
    </w:p>
    <w:p w:rsidR="00F35DEB" w:rsidRPr="00E60B44" w:rsidRDefault="00F35DEB" w:rsidP="00F35DEB">
      <w:pPr>
        <w:spacing w:before="57" w:after="57" w:line="288" w:lineRule="atLeast"/>
        <w:jc w:val="center"/>
        <w:textAlignment w:val="center"/>
        <w:rPr>
          <w:rFonts w:ascii="Arial" w:eastAsia="Times New Roman" w:hAnsi="Arial" w:cs="Arial"/>
          <w:color w:val="000000"/>
          <w:sz w:val="26"/>
          <w:szCs w:val="26"/>
          <w:lang w:eastAsia="es-CO"/>
        </w:rPr>
      </w:pPr>
      <w:r w:rsidRPr="00E60B44">
        <w:rPr>
          <w:rFonts w:ascii="Arial" w:eastAsia="Times New Roman" w:hAnsi="Arial" w:cs="Arial"/>
          <w:b/>
          <w:bCs/>
          <w:color w:val="000000"/>
          <w:sz w:val="26"/>
          <w:szCs w:val="26"/>
          <w:lang w:val="es-ES_tradnl" w:eastAsia="es-CO"/>
        </w:rPr>
        <w:t xml:space="preserve">PROYECTO DE LEY </w:t>
      </w:r>
      <w:r w:rsidR="00E60B44">
        <w:rPr>
          <w:rFonts w:ascii="Arial" w:eastAsia="Times New Roman" w:hAnsi="Arial" w:cs="Arial"/>
          <w:b/>
          <w:bCs/>
          <w:color w:val="000000"/>
          <w:sz w:val="26"/>
          <w:szCs w:val="26"/>
          <w:lang w:val="es-ES_tradnl" w:eastAsia="es-CO"/>
        </w:rPr>
        <w:t xml:space="preserve">    </w:t>
      </w:r>
      <w:r w:rsidR="00330A3A" w:rsidRPr="00E60B44">
        <w:rPr>
          <w:rFonts w:ascii="Arial" w:eastAsia="Times New Roman" w:hAnsi="Arial" w:cs="Arial"/>
          <w:b/>
          <w:bCs/>
          <w:color w:val="000000"/>
          <w:sz w:val="26"/>
          <w:szCs w:val="26"/>
          <w:lang w:val="es-ES_tradnl" w:eastAsia="es-CO"/>
        </w:rPr>
        <w:t xml:space="preserve"> </w:t>
      </w:r>
      <w:r w:rsidRPr="00E60B44">
        <w:rPr>
          <w:rFonts w:ascii="Arial" w:eastAsia="Times New Roman" w:hAnsi="Arial" w:cs="Arial"/>
          <w:b/>
          <w:bCs/>
          <w:color w:val="000000"/>
          <w:sz w:val="26"/>
          <w:szCs w:val="26"/>
          <w:lang w:val="es-ES_tradnl" w:eastAsia="es-CO"/>
        </w:rPr>
        <w:t>DE 201</w:t>
      </w:r>
      <w:r w:rsidR="00330A3A" w:rsidRPr="00E60B44">
        <w:rPr>
          <w:rFonts w:ascii="Arial" w:eastAsia="Times New Roman" w:hAnsi="Arial" w:cs="Arial"/>
          <w:b/>
          <w:bCs/>
          <w:color w:val="000000"/>
          <w:sz w:val="26"/>
          <w:szCs w:val="26"/>
          <w:lang w:val="es-ES_tradnl" w:eastAsia="es-CO"/>
        </w:rPr>
        <w:t>7</w:t>
      </w:r>
      <w:r w:rsidRPr="00E60B44">
        <w:rPr>
          <w:rFonts w:ascii="Arial" w:eastAsia="Times New Roman" w:hAnsi="Arial" w:cs="Arial"/>
          <w:b/>
          <w:bCs/>
          <w:color w:val="000000"/>
          <w:sz w:val="26"/>
          <w:szCs w:val="26"/>
          <w:lang w:val="es-ES_tradnl" w:eastAsia="es-CO"/>
        </w:rPr>
        <w:t xml:space="preserve"> CÁMARA</w:t>
      </w:r>
    </w:p>
    <w:p w:rsidR="00F35DEB" w:rsidRPr="00E60B44" w:rsidRDefault="00F35DEB" w:rsidP="00F35DEB">
      <w:pPr>
        <w:jc w:val="center"/>
        <w:rPr>
          <w:rFonts w:ascii="Arial" w:hAnsi="Arial" w:cs="Arial"/>
          <w:b/>
          <w:sz w:val="26"/>
          <w:szCs w:val="26"/>
          <w:highlight w:val="yellow"/>
        </w:rPr>
      </w:pPr>
    </w:p>
    <w:p w:rsidR="00F35DEB" w:rsidRPr="00E60B44" w:rsidRDefault="00F35DEB" w:rsidP="00F35DEB">
      <w:pPr>
        <w:jc w:val="center"/>
        <w:rPr>
          <w:rFonts w:ascii="Arial" w:hAnsi="Arial" w:cs="Arial"/>
          <w:b/>
          <w:sz w:val="26"/>
          <w:szCs w:val="26"/>
        </w:rPr>
      </w:pPr>
      <w:r w:rsidRPr="00E60B44">
        <w:rPr>
          <w:rFonts w:ascii="Arial" w:hAnsi="Arial" w:cs="Arial"/>
          <w:b/>
          <w:sz w:val="26"/>
          <w:szCs w:val="26"/>
        </w:rPr>
        <w:t>Por la cual se establecen las condiciones de disposición final segura de los aceites lubricantes usados y de los aceites industriales usados en el territorio nacional y se prohíbe la combustión de los mismos o su reutilización parcial o total sin tratamiento de transformación.</w:t>
      </w:r>
    </w:p>
    <w:p w:rsidR="00F35DEB" w:rsidRPr="00E60B44" w:rsidRDefault="00F35DEB" w:rsidP="00F35DEB">
      <w:pPr>
        <w:spacing w:before="57" w:after="57" w:line="288" w:lineRule="atLeast"/>
        <w:jc w:val="center"/>
        <w:textAlignment w:val="center"/>
        <w:rPr>
          <w:rFonts w:ascii="Arial" w:eastAsia="Times New Roman" w:hAnsi="Arial" w:cs="Arial"/>
          <w:color w:val="000000"/>
          <w:sz w:val="26"/>
          <w:szCs w:val="26"/>
          <w:lang w:val="es-ES_tradnl" w:eastAsia="es-CO"/>
        </w:rPr>
      </w:pPr>
    </w:p>
    <w:p w:rsidR="00F35DEB" w:rsidRPr="00E60B44" w:rsidRDefault="00F35DEB" w:rsidP="00F35DEB">
      <w:pPr>
        <w:spacing w:before="57" w:after="57" w:line="288" w:lineRule="atLeast"/>
        <w:jc w:val="center"/>
        <w:textAlignment w:val="center"/>
        <w:rPr>
          <w:rFonts w:ascii="Arial" w:eastAsia="Times New Roman" w:hAnsi="Arial" w:cs="Arial"/>
          <w:b/>
          <w:color w:val="000000"/>
          <w:sz w:val="26"/>
          <w:szCs w:val="26"/>
          <w:lang w:eastAsia="es-CO"/>
        </w:rPr>
      </w:pPr>
      <w:r w:rsidRPr="00E60B44">
        <w:rPr>
          <w:rFonts w:ascii="Arial" w:eastAsia="Times New Roman" w:hAnsi="Arial" w:cs="Arial"/>
          <w:b/>
          <w:color w:val="000000"/>
          <w:sz w:val="26"/>
          <w:szCs w:val="26"/>
          <w:lang w:val="es-ES_tradnl" w:eastAsia="es-CO"/>
        </w:rPr>
        <w:t>El Congreso de Colombia</w:t>
      </w:r>
    </w:p>
    <w:p w:rsidR="00F35DEB" w:rsidRPr="00E60B44" w:rsidRDefault="00F35DEB" w:rsidP="00F35DEB">
      <w:pPr>
        <w:spacing w:before="57" w:after="57" w:line="288" w:lineRule="atLeast"/>
        <w:jc w:val="center"/>
        <w:textAlignment w:val="center"/>
        <w:rPr>
          <w:rFonts w:ascii="Arial" w:eastAsia="Times New Roman" w:hAnsi="Arial" w:cs="Arial"/>
          <w:b/>
          <w:color w:val="000000"/>
          <w:sz w:val="26"/>
          <w:szCs w:val="26"/>
          <w:lang w:eastAsia="es-CO"/>
        </w:rPr>
      </w:pPr>
      <w:r w:rsidRPr="00E60B44">
        <w:rPr>
          <w:rFonts w:ascii="Arial" w:eastAsia="Times New Roman" w:hAnsi="Arial" w:cs="Arial"/>
          <w:b/>
          <w:color w:val="000000"/>
          <w:sz w:val="26"/>
          <w:szCs w:val="26"/>
          <w:lang w:val="es-ES_tradnl" w:eastAsia="es-CO"/>
        </w:rPr>
        <w:t>DECRETA:</w:t>
      </w:r>
    </w:p>
    <w:p w:rsidR="00E60B44" w:rsidRDefault="00E60B44" w:rsidP="00E60B44">
      <w:pPr>
        <w:spacing w:before="57" w:after="57" w:line="288" w:lineRule="atLeast"/>
        <w:jc w:val="both"/>
        <w:textAlignment w:val="center"/>
        <w:rPr>
          <w:rFonts w:ascii="Arial" w:eastAsia="Times New Roman" w:hAnsi="Arial" w:cs="Arial"/>
          <w:i/>
          <w:color w:val="000000"/>
          <w:sz w:val="26"/>
          <w:szCs w:val="26"/>
          <w:lang w:val="es-ES_tradnl" w:eastAsia="es-CO"/>
        </w:rPr>
      </w:pPr>
    </w:p>
    <w:p w:rsidR="00F35DEB" w:rsidRPr="00E60B44" w:rsidRDefault="00F35DEB" w:rsidP="00E60B44">
      <w:pPr>
        <w:spacing w:before="57" w:after="57" w:line="288" w:lineRule="atLeast"/>
        <w:jc w:val="both"/>
        <w:textAlignment w:val="center"/>
        <w:rPr>
          <w:rFonts w:ascii="Arial" w:eastAsia="Times New Roman" w:hAnsi="Arial" w:cs="Arial"/>
          <w:color w:val="000000"/>
          <w:sz w:val="26"/>
          <w:szCs w:val="26"/>
          <w:lang w:val="es-ES_tradnl" w:eastAsia="es-CO"/>
        </w:rPr>
      </w:pPr>
      <w:r w:rsidRPr="00E60B44">
        <w:rPr>
          <w:rFonts w:ascii="Arial" w:eastAsia="Times New Roman" w:hAnsi="Arial" w:cs="Arial"/>
          <w:b/>
          <w:sz w:val="26"/>
          <w:szCs w:val="26"/>
          <w:lang w:val="es-ES_tradnl" w:eastAsia="es-CO"/>
        </w:rPr>
        <w:t>Artículo 1. </w:t>
      </w:r>
      <w:r w:rsidRPr="00E60B44">
        <w:rPr>
          <w:rFonts w:ascii="Arial" w:eastAsia="Times New Roman" w:hAnsi="Arial" w:cs="Arial"/>
          <w:b/>
          <w:iCs/>
          <w:sz w:val="26"/>
          <w:szCs w:val="26"/>
          <w:lang w:val="es-ES_tradnl" w:eastAsia="es-CO"/>
        </w:rPr>
        <w:t>Objeto</w:t>
      </w:r>
      <w:r w:rsidRPr="00E60B44">
        <w:rPr>
          <w:rFonts w:ascii="Arial" w:eastAsia="Times New Roman" w:hAnsi="Arial" w:cs="Arial"/>
          <w:b/>
          <w:sz w:val="26"/>
          <w:szCs w:val="26"/>
          <w:lang w:val="es-ES_tradnl" w:eastAsia="es-CO"/>
        </w:rPr>
        <w:t>.</w:t>
      </w:r>
      <w:r w:rsidRPr="00E60B44">
        <w:rPr>
          <w:rFonts w:ascii="Arial" w:eastAsia="Times New Roman" w:hAnsi="Arial" w:cs="Arial"/>
          <w:sz w:val="26"/>
          <w:szCs w:val="26"/>
          <w:lang w:val="es-ES_tradnl" w:eastAsia="es-CO"/>
        </w:rPr>
        <w:t xml:space="preserve"> </w:t>
      </w:r>
      <w:r w:rsidRPr="00E60B44">
        <w:rPr>
          <w:rFonts w:ascii="Arial" w:eastAsia="Times New Roman" w:hAnsi="Arial" w:cs="Arial"/>
          <w:color w:val="000000"/>
          <w:sz w:val="26"/>
          <w:szCs w:val="26"/>
          <w:lang w:val="es-ES_tradnl" w:eastAsia="es-CO"/>
        </w:rPr>
        <w:t>La presente ley tiene por objeto establecer los requerimientos para la disposición ambientalmente segura de los aceites lubricantes usados y de los aceites industriales usados.</w:t>
      </w:r>
    </w:p>
    <w:p w:rsidR="00E60B44" w:rsidRPr="00E60B44" w:rsidRDefault="00E60B44" w:rsidP="00E60B44">
      <w:pPr>
        <w:spacing w:after="0" w:line="288" w:lineRule="atLeast"/>
        <w:jc w:val="both"/>
        <w:textAlignment w:val="center"/>
        <w:rPr>
          <w:rFonts w:ascii="Arial" w:eastAsia="Times New Roman" w:hAnsi="Arial" w:cs="Arial"/>
          <w:color w:val="000000"/>
          <w:sz w:val="26"/>
          <w:szCs w:val="26"/>
          <w:lang w:val="es-ES_tradnl" w:eastAsia="es-CO"/>
        </w:rPr>
      </w:pPr>
    </w:p>
    <w:p w:rsidR="00F35DEB" w:rsidRPr="00E60B44" w:rsidRDefault="00F35DEB" w:rsidP="00E60B44">
      <w:pPr>
        <w:spacing w:after="0" w:line="288" w:lineRule="atLeast"/>
        <w:jc w:val="both"/>
        <w:textAlignment w:val="center"/>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2. </w:t>
      </w:r>
      <w:r w:rsidRPr="00E60B44">
        <w:rPr>
          <w:rFonts w:ascii="Arial" w:eastAsia="Times New Roman" w:hAnsi="Arial" w:cs="Arial"/>
          <w:b/>
          <w:iCs/>
          <w:color w:val="000000"/>
          <w:sz w:val="26"/>
          <w:szCs w:val="26"/>
          <w:lang w:val="es-ES_tradnl" w:eastAsia="es-CO"/>
        </w:rPr>
        <w:t>Ámbito de aplicación</w:t>
      </w:r>
      <w:r w:rsidRPr="00E60B44">
        <w:rPr>
          <w:rFonts w:ascii="Arial" w:eastAsia="Times New Roman" w:hAnsi="Arial" w:cs="Arial"/>
          <w:iCs/>
          <w:color w:val="000000"/>
          <w:sz w:val="26"/>
          <w:szCs w:val="26"/>
          <w:lang w:val="es-ES_tradnl" w:eastAsia="es-CO"/>
        </w:rPr>
        <w:t>.</w:t>
      </w:r>
      <w:r w:rsidRPr="00E60B44">
        <w:rPr>
          <w:rFonts w:ascii="Arial" w:eastAsia="Times New Roman" w:hAnsi="Arial" w:cs="Arial"/>
          <w:color w:val="000000"/>
          <w:sz w:val="26"/>
          <w:szCs w:val="26"/>
          <w:lang w:val="es-ES_tradnl" w:eastAsia="es-CO"/>
        </w:rPr>
        <w:t> Las disposiciones de la presente ley aplican a toda la cadena de valor que comprende el productor y/o importador, generador, gestor, procesador final o dispositor de aceite lubricante usado y/o aceites industriales usados. El procesador final de los aceites usados a que se refiere este artículo deberá tratarlos de manera que solo puedan ser dispuestos mediante procesos que faciliten su completa transformación y adecuada refinación para la eliminación de todos los contaminantes y que permita que los productos obtenidos de tales refinaciones sean utilizados sin deterioro del ambiente; y de manera que no puedan verterse a fuentes hídricas o al suelo o desecharse mediante combustión directa solos o mezclados.</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val="es-ES_tradnl" w:eastAsia="es-CO"/>
        </w:rPr>
      </w:pPr>
    </w:p>
    <w:p w:rsidR="00F35DEB" w:rsidRPr="00E60B44" w:rsidRDefault="00F35DEB" w:rsidP="00E60B44">
      <w:pPr>
        <w:spacing w:before="57" w:after="57" w:line="288" w:lineRule="atLeast"/>
        <w:jc w:val="both"/>
        <w:textAlignment w:val="center"/>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3. </w:t>
      </w:r>
      <w:r w:rsidRPr="00E60B44">
        <w:rPr>
          <w:rFonts w:ascii="Arial" w:eastAsia="Times New Roman" w:hAnsi="Arial" w:cs="Arial"/>
          <w:b/>
          <w:iCs/>
          <w:color w:val="000000"/>
          <w:sz w:val="26"/>
          <w:szCs w:val="26"/>
          <w:lang w:val="es-ES_tradnl" w:eastAsia="es-CO"/>
        </w:rPr>
        <w:t>Definiciones</w:t>
      </w:r>
      <w:r w:rsidRPr="00E60B44">
        <w:rPr>
          <w:rFonts w:ascii="Arial" w:eastAsia="Times New Roman" w:hAnsi="Arial" w:cs="Arial"/>
          <w:color w:val="000000"/>
          <w:sz w:val="26"/>
          <w:szCs w:val="26"/>
          <w:lang w:val="es-ES_tradnl" w:eastAsia="es-CO"/>
        </w:rPr>
        <w:t>. Para los fines de la presente ley, se adoptan las siguientes definiciones:</w:t>
      </w:r>
    </w:p>
    <w:p w:rsidR="00F35DEB" w:rsidRPr="00E60B44" w:rsidRDefault="00F35DEB" w:rsidP="00F35DEB">
      <w:pPr>
        <w:jc w:val="both"/>
        <w:rPr>
          <w:rFonts w:ascii="Arial" w:eastAsia="Times New Roman" w:hAnsi="Arial" w:cs="Arial"/>
          <w:color w:val="000000"/>
          <w:sz w:val="26"/>
          <w:szCs w:val="26"/>
          <w:highlight w:val="yellow"/>
          <w:lang w:val="es-ES_tradnl" w:eastAsia="es-CO"/>
        </w:rPr>
      </w:pP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Aceite lubricante terminado:</w:t>
      </w:r>
      <w:r w:rsidRPr="00E60B44">
        <w:rPr>
          <w:rFonts w:ascii="Arial" w:eastAsia="Times New Roman" w:hAnsi="Arial" w:cs="Arial"/>
          <w:color w:val="000000"/>
          <w:sz w:val="26"/>
          <w:szCs w:val="26"/>
          <w:lang w:val="es-ES_tradnl" w:eastAsia="es-CO"/>
        </w:rPr>
        <w:t> producto formulado a partir de bases lubricantes, y que puede contener aditivos.</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Aceite de Desecho o Usado:</w:t>
      </w:r>
      <w:r w:rsidRPr="00E60B44">
        <w:rPr>
          <w:rFonts w:ascii="Arial" w:eastAsia="Times New Roman" w:hAnsi="Arial" w:cs="Arial"/>
          <w:color w:val="000000"/>
          <w:sz w:val="26"/>
          <w:szCs w:val="26"/>
          <w:lang w:val="es-ES_tradnl" w:eastAsia="es-CO"/>
        </w:rPr>
        <w:t xml:space="preserve"> Todo aceite lubricante, de motor, de transmisión o hidráulico con base mineral o sintética de desecho que por efectos de su utilización, se haya vuelto inadecuado para el uso asignado inicialmente. Estos aceites son clasificados como residuo peligroso por el Anexo I, numerales 8 y 9 del Convenio de Basilea, el cual fue ratificado por Colombia mediante la Ley 253 de enero 9 de 1996. Así mismo esta listado como desecho peligroso en el Anexo I 1 (numeral Y8) del Decreto 4741 de 2005.</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Acopiador:</w:t>
      </w:r>
      <w:r w:rsidRPr="00E60B44">
        <w:rPr>
          <w:rFonts w:ascii="Arial" w:eastAsia="Times New Roman" w:hAnsi="Arial" w:cs="Arial"/>
          <w:color w:val="000000"/>
          <w:sz w:val="26"/>
          <w:szCs w:val="26"/>
          <w:lang w:val="es-ES_tradnl" w:eastAsia="es-CO"/>
        </w:rPr>
        <w:t xml:space="preserve"> Persona natural o jurídica, de carácter público o privado, que cuenta con los permisos requeridos por la autoridad competente y que en desarrollo de su actividad acopia y almacena temporalmente aceites usados provenientes de uno o varios establecimientos generadores.</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Almacenador:</w:t>
      </w:r>
      <w:r w:rsidRPr="00E60B44">
        <w:rPr>
          <w:rFonts w:ascii="Arial" w:eastAsia="Times New Roman" w:hAnsi="Arial" w:cs="Arial"/>
          <w:color w:val="000000"/>
          <w:sz w:val="26"/>
          <w:szCs w:val="26"/>
          <w:lang w:val="es-ES_tradnl" w:eastAsia="es-CO"/>
        </w:rPr>
        <w:t xml:space="preserve"> Persona natural o jurídica, de carácter público o privado, que cuenta con los permisos requeridos por las autoridades competentes de conformidad con la normatividad vigente, y que en desarrollo de su actividad almacena y comercializa aceites usados.</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Base lubricante:</w:t>
      </w:r>
      <w:r w:rsidRPr="00E60B44">
        <w:rPr>
          <w:rFonts w:ascii="Arial" w:eastAsia="Times New Roman" w:hAnsi="Arial" w:cs="Arial"/>
          <w:color w:val="000000"/>
          <w:sz w:val="26"/>
          <w:szCs w:val="26"/>
          <w:lang w:val="es-ES_tradnl" w:eastAsia="es-CO"/>
        </w:rPr>
        <w:t> principal constituyente del aceite lubricante, que se reúne según la legislación pertinente.</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Procesador o Refinador:</w:t>
      </w:r>
      <w:r w:rsidRPr="00E60B44">
        <w:rPr>
          <w:rFonts w:ascii="Arial" w:eastAsia="Times New Roman" w:hAnsi="Arial" w:cs="Arial"/>
          <w:color w:val="000000"/>
          <w:sz w:val="26"/>
          <w:szCs w:val="26"/>
          <w:lang w:val="es-ES_tradnl" w:eastAsia="es-CO"/>
        </w:rPr>
        <w:t xml:space="preserve"> Persona natural o jurídica, de carácter público o privado, que debidamente autorizada por la autoridad ambiental competente recibe y trata aceites usados para transformarlos de residuos a productos para su adecuado aprovechamiento mediante procesos de re-refinanciación debidamente aprobados mediante la Licencia Ambiental por la autoridad ambiental competente y mediante la Licencia de Refinador por el Ministerio de Minas y Energía.</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Certificado de recolección:</w:t>
      </w:r>
      <w:r w:rsidRPr="00E60B44">
        <w:rPr>
          <w:rFonts w:ascii="Arial" w:eastAsia="Times New Roman" w:hAnsi="Arial" w:cs="Arial"/>
          <w:color w:val="000000"/>
          <w:sz w:val="26"/>
          <w:szCs w:val="26"/>
          <w:lang w:val="es-ES_tradnl" w:eastAsia="es-CO"/>
        </w:rPr>
        <w:t> Documento establecido por las normas jurídicas vigentes que muestran los volúmenes de aceite usado o contaminado recolectado.</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Certificado de recepción:</w:t>
      </w:r>
      <w:r w:rsidRPr="00E60B44">
        <w:rPr>
          <w:rFonts w:ascii="Arial" w:eastAsia="Times New Roman" w:hAnsi="Arial" w:cs="Arial"/>
          <w:color w:val="000000"/>
          <w:sz w:val="26"/>
          <w:szCs w:val="26"/>
          <w:lang w:val="es-ES_tradnl" w:eastAsia="es-CO"/>
        </w:rPr>
        <w:t> Documento establecido por las normas legales vigentes que prueban la entrega de aceite lubricante usado o contaminado por el recolector para el re-refinador.</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Establecimiento generador:</w:t>
      </w:r>
      <w:r w:rsidRPr="00E60B44">
        <w:rPr>
          <w:rFonts w:ascii="Arial" w:eastAsia="Times New Roman" w:hAnsi="Arial" w:cs="Arial"/>
          <w:color w:val="000000"/>
          <w:sz w:val="26"/>
          <w:szCs w:val="26"/>
          <w:lang w:val="es-ES_tradnl" w:eastAsia="es-CO"/>
        </w:rPr>
        <w:t xml:space="preserve"> Lugar donde se realiza una actividad comercial, industrial o especial, generadora de residuos de aceite en el cual se evacúan continua o discontinuamente vertidos. Los mismos deben estar registrados como generadores ante la autoridad competente.</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Generador:</w:t>
      </w:r>
      <w:r w:rsidRPr="00E60B44">
        <w:rPr>
          <w:rFonts w:ascii="Arial" w:eastAsia="Times New Roman" w:hAnsi="Arial" w:cs="Arial"/>
          <w:color w:val="000000"/>
          <w:sz w:val="26"/>
          <w:szCs w:val="26"/>
          <w:lang w:val="es-ES_tradnl" w:eastAsia="es-CO"/>
        </w:rPr>
        <w:t> Cualquier persona o entidad que, como resultado de su actividad, produce aceite lubricante o industrial usado o contaminado.</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Importador:</w:t>
      </w:r>
      <w:r w:rsidRPr="00E60B44">
        <w:rPr>
          <w:rFonts w:ascii="Arial" w:eastAsia="Times New Roman" w:hAnsi="Arial" w:cs="Arial"/>
          <w:color w:val="000000"/>
          <w:sz w:val="26"/>
          <w:szCs w:val="26"/>
          <w:lang w:val="es-ES_tradnl" w:eastAsia="es-CO"/>
        </w:rPr>
        <w:t> Persona natural o jurídica, de carácter público o privado, que realiza la importación de aceite lubricante original o virgen para uso original o primer uso, y que luego de su utilización genera como residuo peligroso aceite lubricante usado; debidamente autorizados para ejercer la actividad.</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Reciclado:</w:t>
      </w:r>
      <w:r w:rsidRPr="00E60B44">
        <w:rPr>
          <w:rFonts w:ascii="Arial" w:eastAsia="Times New Roman" w:hAnsi="Arial" w:cs="Arial"/>
          <w:color w:val="000000"/>
          <w:sz w:val="26"/>
          <w:szCs w:val="26"/>
          <w:lang w:val="es-ES_tradnl" w:eastAsia="es-CO"/>
        </w:rPr>
        <w:t> Transformación del aceite lubricante o industrial usado o contaminado, y que sus productos de transformación sean insumo para otros procesos o productos finales y que la trasformación sea total y completa.</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Recolección:</w:t>
      </w:r>
      <w:r w:rsidRPr="00E60B44">
        <w:rPr>
          <w:rFonts w:ascii="Arial" w:eastAsia="Times New Roman" w:hAnsi="Arial" w:cs="Arial"/>
          <w:color w:val="000000"/>
          <w:sz w:val="26"/>
          <w:szCs w:val="26"/>
          <w:lang w:val="es-ES_tradnl" w:eastAsia="es-CO"/>
        </w:rPr>
        <w:t> Actividad de retirar el aceite usado o contaminado de su lugar de recolección y transportado a tratamiento ambientalmente adecuado por el re-refinador.</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Recolector:</w:t>
      </w:r>
      <w:r w:rsidRPr="00E60B44">
        <w:rPr>
          <w:rFonts w:ascii="Arial" w:eastAsia="Times New Roman" w:hAnsi="Arial" w:cs="Arial"/>
          <w:color w:val="000000"/>
          <w:sz w:val="26"/>
          <w:szCs w:val="26"/>
          <w:lang w:val="es-ES_tradnl" w:eastAsia="es-CO"/>
        </w:rPr>
        <w:t> Persona natural o jurídica debidamente autorizada por el Ministerio de Transporte para transportar sustancias peligrosas y autorizada por el órgano ambiental competente para llevar a cabo la actividad de recolección de aceite lubricante usado o contaminado.</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Re-refinado:</w:t>
      </w:r>
      <w:r w:rsidRPr="00E60B44">
        <w:rPr>
          <w:rFonts w:ascii="Arial" w:eastAsia="Times New Roman" w:hAnsi="Arial" w:cs="Arial"/>
          <w:color w:val="000000"/>
          <w:sz w:val="26"/>
          <w:szCs w:val="26"/>
          <w:lang w:val="es-ES_tradnl" w:eastAsia="es-CO"/>
        </w:rPr>
        <w:t> Categoría de proceso industrial de eliminación de contaminantes, productos de la degradación y aditivos de los aceites lubricantes usados o contaminados, dando las mismas características de los aceites básicos vírgenes de primera refinación de crudo sin hidrotratamiento. Este es el único método de reciclaje aceptado en Colombia para la adecuada disposición final ambientalmente segura de los aceites lubricantes e industriales usados.</w:t>
      </w:r>
    </w:p>
    <w:p w:rsidR="00F35DEB" w:rsidRPr="00E60B44" w:rsidRDefault="00F35DEB" w:rsidP="00E60B44">
      <w:pPr>
        <w:pStyle w:val="Prrafodelista"/>
        <w:numPr>
          <w:ilvl w:val="0"/>
          <w:numId w:val="26"/>
        </w:num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Tratamiento:</w:t>
      </w:r>
      <w:r w:rsidRPr="00E60B44">
        <w:rPr>
          <w:rFonts w:ascii="Arial" w:eastAsia="Times New Roman" w:hAnsi="Arial" w:cs="Arial"/>
          <w:color w:val="000000"/>
          <w:sz w:val="26"/>
          <w:szCs w:val="26"/>
          <w:lang w:val="es-ES_tradnl" w:eastAsia="es-CO"/>
        </w:rPr>
        <w:t xml:space="preserve"> Resultado de la transformación de los residuos de aceites usados, dentro de un proceso de producción para la obtención de otro producto de composición diferente al anterior que no produzca contaminación en el medio ambiente y que se desarrolle con la debida licencia ambiental generada por la autoridad competente.</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eastAsia="es-CO"/>
        </w:rPr>
      </w:pP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4. Reciclaje</w:t>
      </w:r>
      <w:r w:rsidRPr="00E60B44">
        <w:rPr>
          <w:rFonts w:ascii="Arial" w:eastAsia="Times New Roman" w:hAnsi="Arial" w:cs="Arial"/>
          <w:color w:val="000000"/>
          <w:sz w:val="26"/>
          <w:szCs w:val="26"/>
          <w:lang w:val="es-ES_tradnl" w:eastAsia="es-CO"/>
        </w:rPr>
        <w:t>. Todo aceite lubricante o industrial usado o contaminado debe ser recogido para su reciclaje a través del proceso de re-refinación.  La re-refinación es el único método de reciclaje aceptado en Colombia para la adecuada disposición final ambientalmente segura de los aceites lubricantes e industriales usados.</w:t>
      </w:r>
    </w:p>
    <w:p w:rsidR="00F35DEB" w:rsidRPr="00E60B44" w:rsidRDefault="00F35DEB" w:rsidP="00E60B44">
      <w:pPr>
        <w:spacing w:before="57" w:after="57" w:line="288" w:lineRule="atLeast"/>
        <w:jc w:val="both"/>
        <w:textAlignment w:val="center"/>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Parágrafo.</w:t>
      </w:r>
      <w:r w:rsidRPr="00E60B44">
        <w:rPr>
          <w:rFonts w:ascii="Arial" w:eastAsia="Times New Roman" w:hAnsi="Arial" w:cs="Arial"/>
          <w:color w:val="000000"/>
          <w:sz w:val="26"/>
          <w:szCs w:val="26"/>
          <w:lang w:val="es-ES_tradnl" w:eastAsia="es-CO"/>
        </w:rPr>
        <w:t xml:space="preserve"> El aceite lubricante o industrial usado debe ser entregado para disposición final únicamente a empresas con la tecnología disponible para su completa transformación mediante destilación y que cumplan con los requerimientos técnicos, ambientales y de seguridad. Se deberá asegurar la utilización máxima de la capacidad instalada en Colombia para su transformación, con el propósito de cumplir los compromisos de política nacional y los internacionales, en materia ambiental, salvaguardando su uso prioritario en Colombia; pudiéndose exportar solo los excedentes siempre que se demuestre que no hay capacidad instalada mientras entra en total vigencia esta ley según el plan de gradualidad definido en el artículo 9; y que su exportación se ejecute en total cumplimiento de los protocolos y normativa del Convenio de Basilea y sus actualizaciones.</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eastAsia="es-CO"/>
        </w:rPr>
      </w:pP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5. Prohibición de vertimiento de aceite</w:t>
      </w:r>
      <w:r w:rsidRPr="00E60B44">
        <w:rPr>
          <w:rFonts w:ascii="Arial" w:eastAsia="Times New Roman" w:hAnsi="Arial" w:cs="Arial"/>
          <w:color w:val="000000"/>
          <w:sz w:val="26"/>
          <w:szCs w:val="26"/>
          <w:lang w:val="es-ES_tradnl" w:eastAsia="es-CO"/>
        </w:rPr>
        <w:t>. Se prohíbe cualquier vertido de aceites usados o contaminados en el suelo, aguas superficiales, aguas subterráneas, el mar territorial o en los sistemas de alcantarillado o de eliminación de aguas residuales. Así mismo se prohíbe acumular residuos de aceites mezclados con otras sustancias, cualquiera sea la naturaleza y lugar en que se depositen, que constituyan o puedan constituir un peligro de contaminación del suelo, de las aguas superficiales y subterráneas o pueda causar daño a los conductos subterráneos o al ambiente de las ciudades objeto de la presente ley. Dichos residuos deberán ser recolectados, transportados, tratados y dispuestos fuera de sus establecimientos, por un Recolector debidamente autorizado por la entidad ambiental competente.</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6. Prohibición de la Combustión o Incineración del Aceite Usado.</w:t>
      </w:r>
      <w:r w:rsidRPr="00E60B44">
        <w:rPr>
          <w:rFonts w:ascii="Arial" w:eastAsia="Times New Roman" w:hAnsi="Arial" w:cs="Arial"/>
          <w:color w:val="000000"/>
          <w:sz w:val="26"/>
          <w:szCs w:val="26"/>
          <w:lang w:val="es-ES_tradnl" w:eastAsia="es-CO"/>
        </w:rPr>
        <w:t xml:space="preserve"> Para efectos de esta ley no se considera la combustión o incineración de aceite lubricante o industrial usado o contaminado como una forma de reciclado o eliminación correcta y por lo tanto queda prohibida, aun si el aceite usado ha sido sometido a deshidratación y/o a filtración primaria.</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7. Mezclas.</w:t>
      </w:r>
      <w:r w:rsidRPr="00E60B44">
        <w:rPr>
          <w:rFonts w:ascii="Arial" w:eastAsia="Times New Roman" w:hAnsi="Arial" w:cs="Arial"/>
          <w:color w:val="000000"/>
          <w:sz w:val="26"/>
          <w:szCs w:val="26"/>
          <w:lang w:val="es-ES_tradnl" w:eastAsia="es-CO"/>
        </w:rPr>
        <w:t xml:space="preserve"> El aceite usado o contaminado no re-</w:t>
      </w:r>
      <w:proofErr w:type="spellStart"/>
      <w:r w:rsidRPr="00E60B44">
        <w:rPr>
          <w:rFonts w:ascii="Arial" w:eastAsia="Times New Roman" w:hAnsi="Arial" w:cs="Arial"/>
          <w:color w:val="000000"/>
          <w:sz w:val="26"/>
          <w:szCs w:val="26"/>
          <w:lang w:val="es-ES_tradnl" w:eastAsia="es-CO"/>
        </w:rPr>
        <w:t>refinable</w:t>
      </w:r>
      <w:proofErr w:type="spellEnd"/>
      <w:r w:rsidRPr="00E60B44">
        <w:rPr>
          <w:rFonts w:ascii="Arial" w:eastAsia="Times New Roman" w:hAnsi="Arial" w:cs="Arial"/>
          <w:color w:val="000000"/>
          <w:sz w:val="26"/>
          <w:szCs w:val="26"/>
          <w:lang w:val="es-ES_tradnl" w:eastAsia="es-CO"/>
        </w:rPr>
        <w:t>, tales como emulsiones de aceite y aceites mezclados con otros contaminantes deben ser recogidos y finalmente separados de acuerdo a su naturaleza, quedando prohibida la mezcla con aceites usados o contaminados re-</w:t>
      </w:r>
      <w:proofErr w:type="spellStart"/>
      <w:r w:rsidRPr="00E60B44">
        <w:rPr>
          <w:rFonts w:ascii="Arial" w:eastAsia="Times New Roman" w:hAnsi="Arial" w:cs="Arial"/>
          <w:color w:val="000000"/>
          <w:sz w:val="26"/>
          <w:szCs w:val="26"/>
          <w:lang w:val="es-ES_tradnl" w:eastAsia="es-CO"/>
        </w:rPr>
        <w:t>refinables</w:t>
      </w:r>
      <w:proofErr w:type="spellEnd"/>
      <w:r w:rsidRPr="00E60B44">
        <w:rPr>
          <w:rFonts w:ascii="Arial" w:eastAsia="Times New Roman" w:hAnsi="Arial" w:cs="Arial"/>
          <w:color w:val="000000"/>
          <w:sz w:val="26"/>
          <w:szCs w:val="26"/>
          <w:lang w:val="es-ES_tradnl" w:eastAsia="es-CO"/>
        </w:rPr>
        <w:t xml:space="preserve"> y solo pueden ser dispuestos en hornos de disposición final que tengan sistemas de poscombustión a alta temperatura y que puedan cumplir completamente las normas sobre emisiones de dioxinas y furanos.</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8. Aseguramiento de la recolección de aceite usado</w:t>
      </w:r>
      <w:r w:rsidRPr="00E60B44">
        <w:rPr>
          <w:rFonts w:ascii="Arial" w:eastAsia="Times New Roman" w:hAnsi="Arial" w:cs="Arial"/>
          <w:color w:val="000000"/>
          <w:sz w:val="26"/>
          <w:szCs w:val="26"/>
          <w:lang w:val="es-ES_tradnl" w:eastAsia="es-CO"/>
        </w:rPr>
        <w:t>. El generador del aceite lubricante o industrial usado debe reunir o asegurar la recolección y dar destino final al aceite lubricante o industrial usado o contaminado de acuerdo con esta ley, en proporción al volumen total de aceite virgen comercializado o consumido.</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Parágrafo 1°.</w:t>
      </w:r>
      <w:r w:rsidRPr="00E60B44">
        <w:rPr>
          <w:rFonts w:ascii="Arial" w:eastAsia="Times New Roman" w:hAnsi="Arial" w:cs="Arial"/>
          <w:color w:val="000000"/>
          <w:sz w:val="26"/>
          <w:szCs w:val="26"/>
          <w:lang w:val="es-ES_tradnl" w:eastAsia="es-CO"/>
        </w:rPr>
        <w:t xml:space="preserve"> A fin de cumplir la obligación prevista en este artículo, el productor, el importador, y el generador puede:</w:t>
      </w:r>
    </w:p>
    <w:p w:rsidR="00F35DEB" w:rsidRPr="00E60B44" w:rsidRDefault="00F35DEB" w:rsidP="00F35DEB">
      <w:pPr>
        <w:pStyle w:val="Prrafodelista"/>
        <w:numPr>
          <w:ilvl w:val="0"/>
          <w:numId w:val="6"/>
        </w:numPr>
        <w:jc w:val="both"/>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Contratar empresas recolectoras registradas como gestores de residuos peligrosos ante la autoridad ambiental, o</w:t>
      </w:r>
    </w:p>
    <w:p w:rsidR="00F35DEB" w:rsidRPr="00E60B44" w:rsidRDefault="00F35DEB" w:rsidP="00F35DEB">
      <w:pPr>
        <w:pStyle w:val="Prrafodelista"/>
        <w:numPr>
          <w:ilvl w:val="0"/>
          <w:numId w:val="6"/>
        </w:numPr>
        <w:jc w:val="both"/>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Calificar para constituirse en gestor de residuos peligrosos según la normatividad vigente.</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Parágrafo 2°.</w:t>
      </w:r>
      <w:r w:rsidRPr="00E60B44">
        <w:rPr>
          <w:rFonts w:ascii="Arial" w:eastAsia="Times New Roman" w:hAnsi="Arial" w:cs="Arial"/>
          <w:color w:val="000000"/>
          <w:sz w:val="26"/>
          <w:szCs w:val="26"/>
          <w:lang w:val="es-ES_tradnl" w:eastAsia="es-CO"/>
        </w:rPr>
        <w:t xml:space="preserve"> La contratación de terceros como recolectores no exime al generador según sea el caso de la responsabilidad de la recolección y disposición legal del aceite usado o contaminado.</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Parágrafo 3°.</w:t>
      </w:r>
      <w:r w:rsidRPr="00E60B44">
        <w:rPr>
          <w:rFonts w:ascii="Arial" w:eastAsia="Times New Roman" w:hAnsi="Arial" w:cs="Arial"/>
          <w:color w:val="000000"/>
          <w:sz w:val="26"/>
          <w:szCs w:val="26"/>
          <w:lang w:val="es-ES_tradnl" w:eastAsia="es-CO"/>
        </w:rPr>
        <w:t xml:space="preserve"> El generador responderá por las acciones y omisiones de los recolectores o gestores.</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9. Porcentaje mínimo de recolección</w:t>
      </w:r>
      <w:r w:rsidRPr="00E60B44">
        <w:rPr>
          <w:rFonts w:ascii="Arial" w:eastAsia="Times New Roman" w:hAnsi="Arial" w:cs="Arial"/>
          <w:color w:val="000000"/>
          <w:sz w:val="26"/>
          <w:szCs w:val="26"/>
          <w:lang w:val="es-ES_tradnl" w:eastAsia="es-CO"/>
        </w:rPr>
        <w:t>. El Ministerio de Ambiente y Desarrollo Sostenible establecerá, por lo menos una vez al año, el porcentaje mínimo de recolección de aceite usado o contaminado que los generadores tienen obligación de disponer por el método reconocido por esta ley, el cual no podrá ser inferior al 20% (veinte por ciento) para los dos primeros años de vigencia de esta ley, en relación con el aceite lubricante virgen comercializado con base en:</w:t>
      </w:r>
    </w:p>
    <w:p w:rsidR="00F35DEB" w:rsidRPr="00E60B44" w:rsidRDefault="00F35DEB" w:rsidP="00F35DEB">
      <w:pPr>
        <w:pStyle w:val="Prrafodelista"/>
        <w:numPr>
          <w:ilvl w:val="0"/>
          <w:numId w:val="7"/>
        </w:numPr>
        <w:jc w:val="both"/>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Análisis del mercado de los aceites lubricantes o industriales vírgenes, que se consideraran de los datos de los últimos tres años.</w:t>
      </w:r>
    </w:p>
    <w:p w:rsidR="00F35DEB" w:rsidRPr="00E60B44" w:rsidRDefault="00F35DEB" w:rsidP="00F35DEB">
      <w:pPr>
        <w:pStyle w:val="Prrafodelista"/>
        <w:numPr>
          <w:ilvl w:val="0"/>
          <w:numId w:val="7"/>
        </w:numPr>
        <w:jc w:val="both"/>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Evolución de la flota nacional tanto por carretera, ferrocarril, mar o aire, así como la evolución del combustible consumido por el parque de maquinarias industriales, incluyendo la agroindustria.</w:t>
      </w:r>
    </w:p>
    <w:p w:rsidR="00F35DEB" w:rsidRPr="00E60B44" w:rsidRDefault="00F35DEB" w:rsidP="00F35DEB">
      <w:pPr>
        <w:pStyle w:val="Prrafodelista"/>
        <w:numPr>
          <w:ilvl w:val="0"/>
          <w:numId w:val="7"/>
        </w:numPr>
        <w:jc w:val="both"/>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La capacidad instalada de re-refinación en el país. Para los tres primeros años de vigencia de esta ley tal capacidad se estima en un 20% de la generación total de aceites lubricantes o industriales usados.</w:t>
      </w:r>
    </w:p>
    <w:p w:rsidR="00F35DEB" w:rsidRPr="00E60B44" w:rsidRDefault="00F35DEB" w:rsidP="00F35DEB">
      <w:pPr>
        <w:pStyle w:val="Prrafodelista"/>
        <w:numPr>
          <w:ilvl w:val="0"/>
          <w:numId w:val="7"/>
        </w:numPr>
        <w:jc w:val="both"/>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Evaluación del sistema de recolección y eliminación de aceite usado o contaminado.</w:t>
      </w:r>
    </w:p>
    <w:p w:rsidR="00F35DEB" w:rsidRPr="00E60B44" w:rsidRDefault="00F35DEB" w:rsidP="00F35DEB">
      <w:pPr>
        <w:pStyle w:val="Prrafodelista"/>
        <w:numPr>
          <w:ilvl w:val="0"/>
          <w:numId w:val="7"/>
        </w:numPr>
        <w:jc w:val="both"/>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val="es-ES_tradnl" w:eastAsia="es-CO"/>
        </w:rPr>
        <w:t>Las cantidades de aceite usado o contaminado efectivamente recolectadas.</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 xml:space="preserve">Parágrafo. </w:t>
      </w:r>
      <w:r w:rsidRPr="00E60B44">
        <w:rPr>
          <w:rFonts w:ascii="Arial" w:eastAsia="Times New Roman" w:hAnsi="Arial" w:cs="Arial"/>
          <w:color w:val="000000"/>
          <w:sz w:val="26"/>
          <w:szCs w:val="26"/>
          <w:lang w:val="es-ES_tradnl" w:eastAsia="es-CO"/>
        </w:rPr>
        <w:t>Esta cantidad del 20% (vei</w:t>
      </w:r>
      <w:r w:rsidR="000A0399">
        <w:rPr>
          <w:rFonts w:ascii="Arial" w:eastAsia="Times New Roman" w:hAnsi="Arial" w:cs="Arial"/>
          <w:color w:val="000000"/>
          <w:sz w:val="26"/>
          <w:szCs w:val="26"/>
          <w:lang w:val="es-ES_tradnl" w:eastAsia="es-CO"/>
        </w:rPr>
        <w:t>n</w:t>
      </w:r>
      <w:r w:rsidRPr="00E60B44">
        <w:rPr>
          <w:rFonts w:ascii="Arial" w:eastAsia="Times New Roman" w:hAnsi="Arial" w:cs="Arial"/>
          <w:color w:val="000000"/>
          <w:sz w:val="26"/>
          <w:szCs w:val="26"/>
          <w:lang w:val="es-ES_tradnl" w:eastAsia="es-CO"/>
        </w:rPr>
        <w:t>te por ciento) será incremental en un 25% cada tres años hasta llegar al 100% y dependiendo de la capacidad instalada de re-refinación para aceites lubricantes e industriales usados en el país. El Ministerio de Ambiente y Desarrollo Sostenible reglamentará y comunicará estas nuevas metas mediante modificaciones a esta ley.</w:t>
      </w:r>
    </w:p>
    <w:p w:rsidR="00F35DEB" w:rsidRPr="00E60B44" w:rsidRDefault="00F35DEB" w:rsidP="00F35DEB">
      <w:pPr>
        <w:jc w:val="both"/>
        <w:rPr>
          <w:rFonts w:ascii="Arial" w:eastAsia="Times New Roman" w:hAnsi="Arial" w:cs="Arial"/>
          <w:color w:val="000000"/>
          <w:sz w:val="26"/>
          <w:szCs w:val="26"/>
          <w:lang w:val="es-ES_tradnl" w:eastAsia="es-CO"/>
        </w:rPr>
      </w:pPr>
      <w:r w:rsidRPr="00E60B44">
        <w:rPr>
          <w:rFonts w:ascii="Arial" w:eastAsia="Times New Roman" w:hAnsi="Arial" w:cs="Arial"/>
          <w:b/>
          <w:color w:val="000000"/>
          <w:sz w:val="26"/>
          <w:szCs w:val="26"/>
          <w:lang w:val="es-ES_tradnl" w:eastAsia="es-CO"/>
        </w:rPr>
        <w:t>Artículo 10. Responsabilidad de los productores, importadores, distribuidores, generadores en la recolección del aceite usado</w:t>
      </w:r>
      <w:r w:rsidRPr="00E60B44">
        <w:rPr>
          <w:rFonts w:ascii="Arial" w:eastAsia="Times New Roman" w:hAnsi="Arial" w:cs="Arial"/>
          <w:color w:val="000000"/>
          <w:sz w:val="26"/>
          <w:szCs w:val="26"/>
          <w:lang w:val="es-ES_tradnl" w:eastAsia="es-CO"/>
        </w:rPr>
        <w:t>. El productor, importador y distribuidor de aceite lubricante o industrial virgen también como el generador del aceite lubricante o industrial usado, son responsables de garantizar que el aceite usado o contaminado sea tratado dentro de los límites de las competencias previstas en la presente ley; y tiene la obligación de que dichos residuos sean dispuestos de manera adecuada con el objetivo de que cumplan con las normas ambientales y sanitarias.</w:t>
      </w:r>
    </w:p>
    <w:p w:rsidR="00F35DEB" w:rsidRPr="00E60B44" w:rsidRDefault="00F35DEB" w:rsidP="00E60B44">
      <w:pPr>
        <w:spacing w:before="57" w:after="57" w:line="288" w:lineRule="atLeast"/>
        <w:jc w:val="both"/>
        <w:textAlignment w:val="center"/>
        <w:rPr>
          <w:rFonts w:ascii="Arial" w:eastAsia="Times New Roman" w:hAnsi="Arial" w:cs="Arial"/>
          <w:color w:val="000000"/>
          <w:sz w:val="26"/>
          <w:szCs w:val="26"/>
          <w:lang w:eastAsia="es-CO"/>
        </w:rPr>
      </w:pPr>
      <w:r w:rsidRPr="00E60B44">
        <w:rPr>
          <w:rFonts w:ascii="Arial" w:eastAsia="Times New Roman" w:hAnsi="Arial" w:cs="Arial"/>
          <w:b/>
          <w:color w:val="000000"/>
          <w:sz w:val="26"/>
          <w:szCs w:val="26"/>
          <w:lang w:val="es-ES_tradnl" w:eastAsia="es-CO"/>
        </w:rPr>
        <w:t>Parágrafo</w:t>
      </w:r>
      <w:r w:rsidRPr="00E60B44">
        <w:rPr>
          <w:rFonts w:ascii="Arial" w:eastAsia="Times New Roman" w:hAnsi="Arial" w:cs="Arial"/>
          <w:color w:val="000000"/>
          <w:sz w:val="26"/>
          <w:szCs w:val="26"/>
          <w:lang w:val="es-ES_tradnl" w:eastAsia="es-CO"/>
        </w:rPr>
        <w:t xml:space="preserve"> </w:t>
      </w:r>
      <w:r w:rsidRPr="00E60B44">
        <w:rPr>
          <w:rFonts w:ascii="Arial" w:eastAsia="Times New Roman" w:hAnsi="Arial" w:cs="Arial"/>
          <w:iCs/>
          <w:color w:val="000000"/>
          <w:sz w:val="26"/>
          <w:szCs w:val="26"/>
          <w:lang w:val="es-ES_tradnl" w:eastAsia="es-CO"/>
        </w:rPr>
        <w:t>Subsistencia de la responsabilidad del generador. </w:t>
      </w:r>
      <w:r w:rsidRPr="00E60B44">
        <w:rPr>
          <w:rFonts w:ascii="Arial" w:eastAsia="Times New Roman" w:hAnsi="Arial" w:cs="Arial"/>
          <w:color w:val="000000"/>
          <w:sz w:val="26"/>
          <w:szCs w:val="26"/>
          <w:lang w:val="es-ES_tradnl" w:eastAsia="es-CO"/>
        </w:rPr>
        <w:t>La responsabilidad integral del generador subsiste hasta que el aceite usado sea completamente transformado en los procesadores finales en los términos de esta ley y de exigir el certificado de disposición final donde se demuestre que el aceite no fue vertido en agua o tierra, ni fue utilizado en ninguna forma de combustión.</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eastAsia="es-CO"/>
        </w:rPr>
      </w:pPr>
    </w:p>
    <w:p w:rsidR="00F35DEB" w:rsidRPr="00E60B44" w:rsidRDefault="00F35DEB" w:rsidP="00F35DEB">
      <w:pPr>
        <w:jc w:val="both"/>
        <w:rPr>
          <w:rFonts w:ascii="Arial" w:eastAsia="Times New Roman" w:hAnsi="Arial" w:cs="Arial"/>
          <w:b/>
          <w:color w:val="000000"/>
          <w:spacing w:val="-2"/>
          <w:sz w:val="26"/>
          <w:szCs w:val="26"/>
          <w:lang w:val="es-ES_tradnl" w:eastAsia="es-CO"/>
        </w:rPr>
      </w:pPr>
      <w:r w:rsidRPr="00E60B44">
        <w:rPr>
          <w:rFonts w:ascii="Arial" w:eastAsia="Times New Roman" w:hAnsi="Arial" w:cs="Arial"/>
          <w:b/>
          <w:color w:val="000000"/>
          <w:spacing w:val="-2"/>
          <w:sz w:val="26"/>
          <w:szCs w:val="26"/>
          <w:lang w:val="es-ES_tradnl" w:eastAsia="es-CO"/>
        </w:rPr>
        <w:t>Artículo 11. Obligaciones del generador del aceite lubricante o industrial usado:</w:t>
      </w:r>
    </w:p>
    <w:p w:rsidR="00F35DEB" w:rsidRDefault="00F35DEB" w:rsidP="00F35DEB">
      <w:pPr>
        <w:pStyle w:val="Prrafodelista"/>
        <w:numPr>
          <w:ilvl w:val="0"/>
          <w:numId w:val="8"/>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 xml:space="preserve">Garantizar la recolección mensual de aceite lubricante o industrial usado o contaminado, en la cantidad mínima establecida por el Ministerio de Ambiente y Desarrollo Sostenible, en concordancia con el artículo </w:t>
      </w:r>
      <w:r w:rsidR="000A0399">
        <w:rPr>
          <w:rFonts w:ascii="Arial" w:eastAsia="Times New Roman" w:hAnsi="Arial" w:cs="Arial"/>
          <w:color w:val="000000"/>
          <w:spacing w:val="-2"/>
          <w:sz w:val="26"/>
          <w:szCs w:val="26"/>
          <w:lang w:val="es-ES_tradnl" w:eastAsia="es-CO"/>
        </w:rPr>
        <w:t>09</w:t>
      </w:r>
      <w:bookmarkStart w:id="0" w:name="_GoBack"/>
      <w:bookmarkEnd w:id="0"/>
      <w:r w:rsidRPr="00E60B44">
        <w:rPr>
          <w:rFonts w:ascii="Arial" w:eastAsia="Times New Roman" w:hAnsi="Arial" w:cs="Arial"/>
          <w:color w:val="000000"/>
          <w:spacing w:val="-2"/>
          <w:sz w:val="26"/>
          <w:szCs w:val="26"/>
          <w:lang w:val="es-ES_tradnl" w:eastAsia="es-CO"/>
        </w:rPr>
        <w:t xml:space="preserve"> de esta ley.</w:t>
      </w:r>
    </w:p>
    <w:p w:rsidR="00AE4C73" w:rsidRPr="00E60B44" w:rsidRDefault="00AE4C73" w:rsidP="00AE4C73">
      <w:pPr>
        <w:pStyle w:val="Prrafodelista"/>
        <w:jc w:val="both"/>
        <w:rPr>
          <w:rFonts w:ascii="Arial" w:eastAsia="Times New Roman" w:hAnsi="Arial" w:cs="Arial"/>
          <w:color w:val="000000"/>
          <w:spacing w:val="-2"/>
          <w:sz w:val="26"/>
          <w:szCs w:val="26"/>
          <w:lang w:val="es-ES_tradnl" w:eastAsia="es-CO"/>
        </w:rPr>
      </w:pPr>
    </w:p>
    <w:p w:rsidR="00F35DEB" w:rsidRDefault="00F35DEB" w:rsidP="00F35DEB">
      <w:pPr>
        <w:pStyle w:val="Prrafodelista"/>
        <w:numPr>
          <w:ilvl w:val="0"/>
          <w:numId w:val="8"/>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Presentar a la autoridad ambiental, con una frecuencia semestral, la información mensual relativa a los volúmenes:</w:t>
      </w:r>
    </w:p>
    <w:p w:rsidR="00E60B44" w:rsidRPr="00E60B44" w:rsidRDefault="00E60B44" w:rsidP="00E60B44">
      <w:pPr>
        <w:pStyle w:val="Prrafodelista"/>
        <w:jc w:val="both"/>
        <w:rPr>
          <w:rFonts w:ascii="Arial" w:eastAsia="Times New Roman" w:hAnsi="Arial" w:cs="Arial"/>
          <w:color w:val="000000"/>
          <w:spacing w:val="-2"/>
          <w:sz w:val="26"/>
          <w:szCs w:val="26"/>
          <w:lang w:val="es-ES_tradnl" w:eastAsia="es-CO"/>
        </w:rPr>
      </w:pPr>
    </w:p>
    <w:p w:rsidR="00F35DEB" w:rsidRPr="00E60B44" w:rsidRDefault="00F35DEB" w:rsidP="00F35DEB">
      <w:pPr>
        <w:pStyle w:val="Prrafodelista"/>
        <w:numPr>
          <w:ilvl w:val="0"/>
          <w:numId w:val="9"/>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Los aceites lubricantes o industriales comercializados, por tipo, incluidos los que están exentos de la recolección;</w:t>
      </w:r>
    </w:p>
    <w:p w:rsidR="00F35DEB" w:rsidRPr="00E60B44" w:rsidRDefault="00F35DEB" w:rsidP="00F35DEB">
      <w:pPr>
        <w:pStyle w:val="Prrafodelista"/>
        <w:numPr>
          <w:ilvl w:val="0"/>
          <w:numId w:val="9"/>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La recolección contratada, mediante un recolector;</w:t>
      </w:r>
    </w:p>
    <w:p w:rsidR="00F35DEB" w:rsidRPr="00E60B44" w:rsidRDefault="00F35DEB" w:rsidP="00F35DEB">
      <w:pPr>
        <w:pStyle w:val="Prrafodelista"/>
        <w:numPr>
          <w:ilvl w:val="0"/>
          <w:numId w:val="9"/>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Los certificados de disposición final correspondiente al aceite usado entregado a la planta de re-refinación para su adecuada disposición final.</w:t>
      </w:r>
    </w:p>
    <w:p w:rsidR="00F35DEB" w:rsidRDefault="00F35DEB" w:rsidP="00F35DEB">
      <w:pPr>
        <w:pStyle w:val="Prrafodelista"/>
        <w:numPr>
          <w:ilvl w:val="0"/>
          <w:numId w:val="8"/>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Recibir el aceite usado o contaminado no reciclable por el uso de las personas físicas, y destinadas al proceso de tratamiento aprobado por el órgano ambiental competente.</w:t>
      </w:r>
    </w:p>
    <w:p w:rsidR="00AE4C73" w:rsidRPr="00E60B44" w:rsidRDefault="00AE4C73" w:rsidP="00AE4C73">
      <w:pPr>
        <w:pStyle w:val="Prrafodelista"/>
        <w:jc w:val="both"/>
        <w:rPr>
          <w:rFonts w:ascii="Arial" w:eastAsia="Times New Roman" w:hAnsi="Arial" w:cs="Arial"/>
          <w:color w:val="000000"/>
          <w:spacing w:val="-2"/>
          <w:sz w:val="26"/>
          <w:szCs w:val="26"/>
          <w:lang w:val="es-ES_tradnl" w:eastAsia="es-CO"/>
        </w:rPr>
      </w:pPr>
    </w:p>
    <w:p w:rsidR="00F35DEB" w:rsidRDefault="00F35DEB" w:rsidP="00F35DEB">
      <w:pPr>
        <w:pStyle w:val="Prrafodelista"/>
        <w:numPr>
          <w:ilvl w:val="0"/>
          <w:numId w:val="8"/>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Mantener bajo su custodia, para fines de fiscalización, los certificados de disposición final emitidos por el re-refinador y otros documentos legales requeridos po</w:t>
      </w:r>
      <w:r w:rsidR="00AE4C73">
        <w:rPr>
          <w:rFonts w:ascii="Arial" w:eastAsia="Times New Roman" w:hAnsi="Arial" w:cs="Arial"/>
          <w:color w:val="000000"/>
          <w:spacing w:val="-2"/>
          <w:sz w:val="26"/>
          <w:szCs w:val="26"/>
          <w:lang w:val="es-ES_tradnl" w:eastAsia="es-CO"/>
        </w:rPr>
        <w:t>r un período de cinco (5) años.</w:t>
      </w:r>
    </w:p>
    <w:p w:rsidR="00AE4C73" w:rsidRPr="00AE4C73" w:rsidRDefault="00AE4C73" w:rsidP="00AE4C73">
      <w:pPr>
        <w:pStyle w:val="Prrafodelista"/>
        <w:rPr>
          <w:rFonts w:ascii="Arial" w:eastAsia="Times New Roman" w:hAnsi="Arial" w:cs="Arial"/>
          <w:color w:val="000000"/>
          <w:spacing w:val="-2"/>
          <w:sz w:val="26"/>
          <w:szCs w:val="26"/>
          <w:lang w:val="es-ES_tradnl" w:eastAsia="es-CO"/>
        </w:rPr>
      </w:pPr>
    </w:p>
    <w:p w:rsidR="00F35DEB" w:rsidRPr="00E60B44" w:rsidRDefault="00F35DEB" w:rsidP="00F35DEB">
      <w:pPr>
        <w:pStyle w:val="Prrafodelista"/>
        <w:numPr>
          <w:ilvl w:val="0"/>
          <w:numId w:val="8"/>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Adoptar las medidas necesarias para evitar que el aceite usado generado lubricante y/o industrial se contamine o se mezcle con productos químicos, combustibles, solventes, agua y otras sustancias, evitando la imposibilidad de reciclaje.</w:t>
      </w:r>
    </w:p>
    <w:p w:rsidR="00F35DEB" w:rsidRPr="00E60B44" w:rsidRDefault="00F35DEB" w:rsidP="00F35DEB">
      <w:p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b/>
          <w:color w:val="000000"/>
          <w:spacing w:val="-2"/>
          <w:sz w:val="26"/>
          <w:szCs w:val="26"/>
          <w:lang w:val="es-ES_tradnl" w:eastAsia="es-CO"/>
        </w:rPr>
        <w:t>Parágrafo 1°.</w:t>
      </w:r>
      <w:r w:rsidRPr="00E60B44">
        <w:rPr>
          <w:rFonts w:ascii="Arial" w:eastAsia="Times New Roman" w:hAnsi="Arial" w:cs="Arial"/>
          <w:color w:val="000000"/>
          <w:spacing w:val="-2"/>
          <w:sz w:val="26"/>
          <w:szCs w:val="26"/>
          <w:lang w:val="es-ES_tradnl" w:eastAsia="es-CO"/>
        </w:rPr>
        <w:t xml:space="preserve"> El generador que contrate a un tercero como recolector deberá realizar con este un contrato para la recolección, con la responsabilidad para su eliminación adecuada únicamente mediante los métodos de disposición aceptados en esta ley.</w:t>
      </w:r>
    </w:p>
    <w:p w:rsidR="00F35DEB" w:rsidRPr="00E60B44" w:rsidRDefault="00F35DEB" w:rsidP="00F35DEB">
      <w:p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b/>
          <w:color w:val="000000"/>
          <w:spacing w:val="-2"/>
          <w:sz w:val="26"/>
          <w:szCs w:val="26"/>
          <w:lang w:val="es-ES_tradnl" w:eastAsia="es-CO"/>
        </w:rPr>
        <w:t>Parágrafo 2°.</w:t>
      </w:r>
      <w:r w:rsidRPr="00E60B44">
        <w:rPr>
          <w:rFonts w:ascii="Arial" w:eastAsia="Times New Roman" w:hAnsi="Arial" w:cs="Arial"/>
          <w:color w:val="000000"/>
          <w:spacing w:val="-2"/>
          <w:sz w:val="26"/>
          <w:szCs w:val="26"/>
          <w:lang w:val="es-ES_tradnl" w:eastAsia="es-CO"/>
        </w:rPr>
        <w:t xml:space="preserve"> Una copia del contrato de recolección del parágrafo anterior se presentará para su aprobación por la autoridad ambiental local, donde el contratante tenga su sede central, por un período mínimo de cinco (5) años a partir de la fecha del contrato.</w:t>
      </w:r>
    </w:p>
    <w:p w:rsidR="00F35DEB" w:rsidRPr="00E60B44" w:rsidRDefault="00F35DEB" w:rsidP="00F35DEB">
      <w:pPr>
        <w:jc w:val="both"/>
        <w:rPr>
          <w:rFonts w:ascii="Arial" w:eastAsia="Times New Roman" w:hAnsi="Arial" w:cs="Arial"/>
          <w:color w:val="000000"/>
          <w:spacing w:val="-2"/>
          <w:sz w:val="26"/>
          <w:szCs w:val="26"/>
          <w:lang w:val="es-ES_tradnl" w:eastAsia="es-CO"/>
        </w:rPr>
      </w:pPr>
    </w:p>
    <w:p w:rsidR="00F35DEB" w:rsidRPr="00E60B44" w:rsidRDefault="00F35DEB" w:rsidP="00F35DEB">
      <w:pPr>
        <w:jc w:val="both"/>
        <w:rPr>
          <w:rFonts w:ascii="Arial" w:eastAsia="Times New Roman" w:hAnsi="Arial" w:cs="Arial"/>
          <w:b/>
          <w:color w:val="000000"/>
          <w:spacing w:val="-2"/>
          <w:sz w:val="26"/>
          <w:szCs w:val="26"/>
          <w:lang w:val="es-ES_tradnl" w:eastAsia="es-CO"/>
        </w:rPr>
      </w:pPr>
      <w:r w:rsidRPr="00E60B44">
        <w:rPr>
          <w:rFonts w:ascii="Arial" w:eastAsia="Times New Roman" w:hAnsi="Arial" w:cs="Arial"/>
          <w:b/>
          <w:color w:val="000000"/>
          <w:spacing w:val="-2"/>
          <w:sz w:val="26"/>
          <w:szCs w:val="26"/>
          <w:lang w:val="es-ES_tradnl" w:eastAsia="es-CO"/>
        </w:rPr>
        <w:t>Artículo 12. Obligaciones del importador o productor de aceites lubricantes o industriales terminados:</w:t>
      </w:r>
    </w:p>
    <w:p w:rsidR="00F35DEB" w:rsidRDefault="00F35DEB" w:rsidP="00F35DEB">
      <w:pPr>
        <w:pStyle w:val="Prrafodelista"/>
        <w:numPr>
          <w:ilvl w:val="0"/>
          <w:numId w:val="10"/>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Divulgar en todos los envases de lubricantes terminados, así como informes técnicos, el destino y el camino de recuperación de los aceites lubricantes usados o contaminados reciclables o no, de acuerdo con las disposiciones de la presente ley.</w:t>
      </w:r>
    </w:p>
    <w:p w:rsidR="00AE4C73" w:rsidRPr="00E60B44" w:rsidRDefault="00AE4C73" w:rsidP="00AE4C73">
      <w:pPr>
        <w:pStyle w:val="Prrafodelista"/>
        <w:jc w:val="both"/>
        <w:rPr>
          <w:rFonts w:ascii="Arial" w:eastAsia="Times New Roman" w:hAnsi="Arial" w:cs="Arial"/>
          <w:color w:val="000000"/>
          <w:spacing w:val="-2"/>
          <w:sz w:val="26"/>
          <w:szCs w:val="26"/>
          <w:lang w:val="es-ES_tradnl" w:eastAsia="es-CO"/>
        </w:rPr>
      </w:pPr>
    </w:p>
    <w:p w:rsidR="00F35DEB" w:rsidRPr="00E60B44" w:rsidRDefault="00F35DEB" w:rsidP="00F35DEB">
      <w:pPr>
        <w:pStyle w:val="Prrafodelista"/>
        <w:numPr>
          <w:ilvl w:val="0"/>
          <w:numId w:val="10"/>
        </w:numPr>
        <w:jc w:val="both"/>
        <w:rPr>
          <w:rFonts w:ascii="Arial" w:eastAsia="Times New Roman" w:hAnsi="Arial" w:cs="Arial"/>
          <w:color w:val="000000"/>
          <w:spacing w:val="-2"/>
          <w:sz w:val="26"/>
          <w:szCs w:val="26"/>
          <w:lang w:val="es-ES_tradnl" w:eastAsia="es-CO"/>
        </w:rPr>
      </w:pPr>
      <w:r w:rsidRPr="00E60B44">
        <w:rPr>
          <w:rFonts w:ascii="Arial" w:eastAsia="Times New Roman" w:hAnsi="Arial" w:cs="Arial"/>
          <w:color w:val="000000"/>
          <w:spacing w:val="-2"/>
          <w:sz w:val="26"/>
          <w:szCs w:val="26"/>
          <w:lang w:val="es-ES_tradnl" w:eastAsia="es-CO"/>
        </w:rPr>
        <w:t>Después de un año de la publicación de la presente ley, todo importador o productor de lubricantes o industriales terminados deberá divulgar en todos los envases de lubricantes terminados, así como en los informes de publicidad, de marketing y técnico, el daño que puede causar a la población y al medio ambiente la eliminación inadecuada de aceite usado o contaminado.</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eastAsia="es-CO"/>
        </w:rPr>
      </w:pPr>
    </w:p>
    <w:p w:rsidR="00F35DEB" w:rsidRPr="00AE4C73" w:rsidRDefault="00F35DEB" w:rsidP="00F35DEB">
      <w:pPr>
        <w:jc w:val="both"/>
        <w:rPr>
          <w:rFonts w:ascii="Arial" w:eastAsia="Times New Roman" w:hAnsi="Arial" w:cs="Arial"/>
          <w:b/>
          <w:color w:val="000000"/>
          <w:sz w:val="26"/>
          <w:szCs w:val="26"/>
          <w:lang w:eastAsia="es-CO"/>
        </w:rPr>
      </w:pPr>
      <w:r w:rsidRPr="00AE4C73">
        <w:rPr>
          <w:rFonts w:ascii="Arial" w:eastAsia="Times New Roman" w:hAnsi="Arial" w:cs="Arial"/>
          <w:b/>
          <w:color w:val="000000"/>
          <w:sz w:val="26"/>
          <w:szCs w:val="26"/>
          <w:lang w:eastAsia="es-CO"/>
        </w:rPr>
        <w:t>Artículo 13. Obligaciones de los gestores. </w:t>
      </w:r>
    </w:p>
    <w:p w:rsidR="00F35DEB" w:rsidRDefault="00F35DEB" w:rsidP="00F35DEB">
      <w:pPr>
        <w:pStyle w:val="Prrafodelista"/>
        <w:numPr>
          <w:ilvl w:val="0"/>
          <w:numId w:val="2"/>
        </w:numPr>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 xml:space="preserve">Garantizar el manejo y/o transporte ambientalmente seguro, capacitar al personal encargado de la gestión y manejo en sus instalaciones, contar con el análisis de riesgos durante el manejo, almacenamiento y el plan de contingencia para atender cualquier accidente o eventualidad que se presente dentro de sus instalaciones. Entregar la totalidad del aceite usado a </w:t>
      </w:r>
      <w:proofErr w:type="spellStart"/>
      <w:r w:rsidRPr="00E60B44">
        <w:rPr>
          <w:rFonts w:ascii="Arial" w:eastAsia="Times New Roman" w:hAnsi="Arial" w:cs="Arial"/>
          <w:color w:val="000000"/>
          <w:sz w:val="26"/>
          <w:szCs w:val="26"/>
          <w:lang w:eastAsia="es-CO"/>
        </w:rPr>
        <w:t>dispositores</w:t>
      </w:r>
      <w:proofErr w:type="spellEnd"/>
      <w:r w:rsidRPr="00E60B44">
        <w:rPr>
          <w:rFonts w:ascii="Arial" w:eastAsia="Times New Roman" w:hAnsi="Arial" w:cs="Arial"/>
          <w:color w:val="000000"/>
          <w:sz w:val="26"/>
          <w:szCs w:val="26"/>
          <w:lang w:eastAsia="es-CO"/>
        </w:rPr>
        <w:t xml:space="preserve"> finales que cumplan con todos los requerimientos técnicos, ambientales y de seguridad y estar legalmente aprobados por la autoridad para el almacenamiento y transporte de residuos peligrosos.</w:t>
      </w:r>
    </w:p>
    <w:p w:rsidR="00AE4C73" w:rsidRPr="00E60B44" w:rsidRDefault="00AE4C73" w:rsidP="00AE4C73">
      <w:pPr>
        <w:pStyle w:val="Prrafodelista"/>
        <w:jc w:val="both"/>
        <w:rPr>
          <w:rFonts w:ascii="Arial" w:eastAsia="Times New Roman" w:hAnsi="Arial" w:cs="Arial"/>
          <w:color w:val="000000"/>
          <w:sz w:val="26"/>
          <w:szCs w:val="26"/>
          <w:lang w:eastAsia="es-CO"/>
        </w:rPr>
      </w:pPr>
    </w:p>
    <w:p w:rsidR="00F35DEB" w:rsidRDefault="00F35DEB" w:rsidP="00F35DEB">
      <w:pPr>
        <w:pStyle w:val="Prrafodelista"/>
        <w:numPr>
          <w:ilvl w:val="0"/>
          <w:numId w:val="2"/>
        </w:numPr>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Adoptar las medidas necesarias para evitar que el aceite usado se contamine o se mezcle con productos químicos, combustibles, solventes, agua y otras sustancias, evitando la imposibilidad de sus re-refinación.</w:t>
      </w:r>
    </w:p>
    <w:p w:rsidR="00AE4C73" w:rsidRPr="00AE4C73" w:rsidRDefault="00AE4C73" w:rsidP="00AE4C73">
      <w:pPr>
        <w:pStyle w:val="Prrafodelista"/>
        <w:rPr>
          <w:rFonts w:ascii="Arial" w:eastAsia="Times New Roman" w:hAnsi="Arial" w:cs="Arial"/>
          <w:color w:val="000000"/>
          <w:sz w:val="26"/>
          <w:szCs w:val="26"/>
          <w:lang w:eastAsia="es-CO"/>
        </w:rPr>
      </w:pPr>
    </w:p>
    <w:p w:rsidR="00F35DEB" w:rsidRPr="00E60B44" w:rsidRDefault="00F35DEB" w:rsidP="00F35DEB">
      <w:pPr>
        <w:pStyle w:val="Prrafodelista"/>
        <w:numPr>
          <w:ilvl w:val="0"/>
          <w:numId w:val="2"/>
        </w:numPr>
        <w:jc w:val="both"/>
        <w:rPr>
          <w:rFonts w:ascii="Arial" w:eastAsia="Times New Roman" w:hAnsi="Arial" w:cs="Arial"/>
          <w:color w:val="000000"/>
          <w:sz w:val="26"/>
          <w:szCs w:val="26"/>
          <w:lang w:val="es-ES_tradnl" w:eastAsia="es-CO"/>
        </w:rPr>
      </w:pPr>
      <w:r w:rsidRPr="00E60B44">
        <w:rPr>
          <w:rFonts w:ascii="Arial" w:eastAsia="Times New Roman" w:hAnsi="Arial" w:cs="Arial"/>
          <w:color w:val="000000"/>
          <w:sz w:val="26"/>
          <w:szCs w:val="26"/>
          <w:lang w:eastAsia="es-CO"/>
        </w:rPr>
        <w:t>Garantizar control y manejo sobre toda la cadena de custodia del residuo para permitir su completa trazabilidad</w:t>
      </w:r>
      <w:r w:rsidRPr="00E60B44">
        <w:rPr>
          <w:rFonts w:ascii="Arial" w:eastAsia="Times New Roman" w:hAnsi="Arial" w:cs="Arial"/>
          <w:color w:val="000000"/>
          <w:sz w:val="26"/>
          <w:szCs w:val="26"/>
          <w:lang w:val="es-ES_tradnl" w:eastAsia="es-CO"/>
        </w:rPr>
        <w:t xml:space="preserve">. </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val="es-ES_tradnl" w:eastAsia="es-CO"/>
        </w:rPr>
      </w:pPr>
    </w:p>
    <w:p w:rsidR="00F35DEB" w:rsidRPr="00AE4C73" w:rsidRDefault="00F35DEB" w:rsidP="00F35DEB">
      <w:pPr>
        <w:jc w:val="both"/>
        <w:rPr>
          <w:rFonts w:ascii="Arial" w:eastAsia="Times New Roman" w:hAnsi="Arial" w:cs="Arial"/>
          <w:b/>
          <w:color w:val="000000"/>
          <w:sz w:val="26"/>
          <w:szCs w:val="26"/>
          <w:lang w:eastAsia="es-CO"/>
        </w:rPr>
      </w:pPr>
      <w:r w:rsidRPr="00AE4C73">
        <w:rPr>
          <w:rFonts w:ascii="Arial" w:eastAsia="Times New Roman" w:hAnsi="Arial" w:cs="Arial"/>
          <w:b/>
          <w:color w:val="000000"/>
          <w:sz w:val="26"/>
          <w:szCs w:val="26"/>
          <w:lang w:eastAsia="es-CO"/>
        </w:rPr>
        <w:t>Artículo 14. Obligaciones del procesador del aceite lubricante y/o industrial usado:</w:t>
      </w:r>
    </w:p>
    <w:p w:rsidR="00F35DEB" w:rsidRDefault="00F35DEB" w:rsidP="00F35DEB">
      <w:pPr>
        <w:pStyle w:val="Prrafodelista"/>
        <w:numPr>
          <w:ilvl w:val="0"/>
          <w:numId w:val="3"/>
        </w:numPr>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Recibir todo el aceite lubricante o industrial usado o contaminado exclusivamente de los recolectores/gestores o de los generadores, emitiendo el respectivo certificado de disposición final donde garantice que el residuo no fue utilizado en un ningún tipo de combustión en instalaciones propias o de terceros.</w:t>
      </w:r>
    </w:p>
    <w:p w:rsidR="00AE4C73" w:rsidRPr="00E60B44" w:rsidRDefault="00AE4C73" w:rsidP="00AE4C73">
      <w:pPr>
        <w:pStyle w:val="Prrafodelista"/>
        <w:jc w:val="both"/>
        <w:rPr>
          <w:rFonts w:ascii="Arial" w:eastAsia="Times New Roman" w:hAnsi="Arial" w:cs="Arial"/>
          <w:color w:val="000000"/>
          <w:sz w:val="26"/>
          <w:szCs w:val="26"/>
          <w:lang w:eastAsia="es-CO"/>
        </w:rPr>
      </w:pPr>
    </w:p>
    <w:p w:rsidR="00F35DEB" w:rsidRDefault="00F35DEB" w:rsidP="00F35DEB">
      <w:pPr>
        <w:pStyle w:val="Prrafodelista"/>
        <w:numPr>
          <w:ilvl w:val="0"/>
          <w:numId w:val="3"/>
        </w:numPr>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Mantener al día y disponibles para fines de fiscalización los registros de emisión de certificados de recepción y de disposición final y de sus cadenas de custodia, así como otros documentos legales requeridos, por un período de cinco (5) años.</w:t>
      </w:r>
    </w:p>
    <w:p w:rsidR="00AE4C73" w:rsidRPr="00AE4C73" w:rsidRDefault="00AE4C73" w:rsidP="00AE4C73">
      <w:pPr>
        <w:pStyle w:val="Prrafodelista"/>
        <w:rPr>
          <w:rFonts w:ascii="Arial" w:eastAsia="Times New Roman" w:hAnsi="Arial" w:cs="Arial"/>
          <w:color w:val="000000"/>
          <w:sz w:val="26"/>
          <w:szCs w:val="26"/>
          <w:lang w:eastAsia="es-CO"/>
        </w:rPr>
      </w:pPr>
    </w:p>
    <w:p w:rsidR="00AE4C73" w:rsidRPr="00E60B44" w:rsidRDefault="00AE4C73" w:rsidP="00AE4C73">
      <w:pPr>
        <w:pStyle w:val="Prrafodelista"/>
        <w:jc w:val="both"/>
        <w:rPr>
          <w:rFonts w:ascii="Arial" w:eastAsia="Times New Roman" w:hAnsi="Arial" w:cs="Arial"/>
          <w:color w:val="000000"/>
          <w:sz w:val="26"/>
          <w:szCs w:val="26"/>
          <w:lang w:eastAsia="es-CO"/>
        </w:rPr>
      </w:pPr>
    </w:p>
    <w:p w:rsidR="00F35DEB" w:rsidRDefault="00F35DEB" w:rsidP="00F35DEB">
      <w:pPr>
        <w:pStyle w:val="Prrafodelista"/>
        <w:numPr>
          <w:ilvl w:val="0"/>
          <w:numId w:val="3"/>
        </w:numPr>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Presentar a la autoridad ambiental, con una frecuencia semestral, la información sobre:</w:t>
      </w:r>
    </w:p>
    <w:p w:rsidR="00AE4C73" w:rsidRPr="00E60B44" w:rsidRDefault="00AE4C73" w:rsidP="00AE4C73">
      <w:pPr>
        <w:pStyle w:val="Prrafodelista"/>
        <w:jc w:val="both"/>
        <w:rPr>
          <w:rFonts w:ascii="Arial" w:eastAsia="Times New Roman" w:hAnsi="Arial" w:cs="Arial"/>
          <w:color w:val="000000"/>
          <w:sz w:val="26"/>
          <w:szCs w:val="26"/>
          <w:lang w:eastAsia="es-CO"/>
        </w:rPr>
      </w:pPr>
    </w:p>
    <w:p w:rsidR="00F35DEB" w:rsidRPr="00E60B44" w:rsidRDefault="00F35DEB" w:rsidP="00F35DEB">
      <w:pPr>
        <w:pStyle w:val="Prrafodelista"/>
        <w:numPr>
          <w:ilvl w:val="0"/>
          <w:numId w:val="4"/>
        </w:numPr>
        <w:spacing w:after="0"/>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El volumen de aceite usado o contaminado recibido de los recolectores/gestores o de los generadores;</w:t>
      </w:r>
    </w:p>
    <w:p w:rsidR="00F35DEB" w:rsidRPr="00E60B44" w:rsidRDefault="00F35DEB" w:rsidP="00F35DEB">
      <w:pPr>
        <w:pStyle w:val="Prrafodelista"/>
        <w:numPr>
          <w:ilvl w:val="0"/>
          <w:numId w:val="4"/>
        </w:numPr>
        <w:spacing w:after="0"/>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El volumen de productos obtenidos de su transformación producidos y comercializados.</w:t>
      </w:r>
    </w:p>
    <w:p w:rsidR="00F35DEB" w:rsidRPr="00E60B44" w:rsidRDefault="00F35DEB" w:rsidP="00F35DEB">
      <w:pPr>
        <w:jc w:val="both"/>
        <w:rPr>
          <w:rFonts w:ascii="Arial" w:eastAsia="Times New Roman" w:hAnsi="Arial" w:cs="Arial"/>
          <w:color w:val="000000"/>
          <w:sz w:val="26"/>
          <w:szCs w:val="26"/>
          <w:lang w:eastAsia="es-CO"/>
        </w:rPr>
      </w:pPr>
    </w:p>
    <w:p w:rsidR="00F35DEB" w:rsidRPr="00E60B44" w:rsidRDefault="00F35DEB" w:rsidP="00F35DEB">
      <w:pPr>
        <w:jc w:val="both"/>
        <w:rPr>
          <w:rFonts w:ascii="Arial" w:eastAsia="Times New Roman" w:hAnsi="Arial" w:cs="Arial"/>
          <w:color w:val="000000"/>
          <w:sz w:val="26"/>
          <w:szCs w:val="26"/>
          <w:lang w:eastAsia="es-CO"/>
        </w:rPr>
      </w:pPr>
      <w:r w:rsidRPr="00AE4C73">
        <w:rPr>
          <w:rFonts w:ascii="Arial" w:eastAsia="Times New Roman" w:hAnsi="Arial" w:cs="Arial"/>
          <w:b/>
          <w:color w:val="000000"/>
          <w:sz w:val="26"/>
          <w:szCs w:val="26"/>
          <w:lang w:eastAsia="es-CO"/>
        </w:rPr>
        <w:t>Parágrafo 1°.</w:t>
      </w:r>
      <w:r w:rsidRPr="00E60B44">
        <w:rPr>
          <w:rFonts w:ascii="Arial" w:eastAsia="Times New Roman" w:hAnsi="Arial" w:cs="Arial"/>
          <w:color w:val="000000"/>
          <w:sz w:val="26"/>
          <w:szCs w:val="26"/>
          <w:lang w:eastAsia="es-CO"/>
        </w:rPr>
        <w:t xml:space="preserve"> Los productos obtenidos de la re-refinación deben cumplir las normas ambientales exigidas según su aplicación final.</w:t>
      </w:r>
    </w:p>
    <w:p w:rsidR="00F35DEB" w:rsidRPr="00E60B44" w:rsidRDefault="00F35DEB" w:rsidP="00F35DEB">
      <w:pPr>
        <w:jc w:val="both"/>
        <w:rPr>
          <w:rFonts w:ascii="Arial" w:eastAsia="Times New Roman" w:hAnsi="Arial" w:cs="Arial"/>
          <w:color w:val="000000"/>
          <w:sz w:val="26"/>
          <w:szCs w:val="26"/>
          <w:lang w:eastAsia="es-CO"/>
        </w:rPr>
      </w:pPr>
      <w:r w:rsidRPr="00AE4C73">
        <w:rPr>
          <w:rFonts w:ascii="Arial" w:eastAsia="Times New Roman" w:hAnsi="Arial" w:cs="Arial"/>
          <w:b/>
          <w:color w:val="000000"/>
          <w:sz w:val="26"/>
          <w:szCs w:val="26"/>
          <w:lang w:eastAsia="es-CO"/>
        </w:rPr>
        <w:t>Parágrafo 2°.</w:t>
      </w:r>
      <w:r w:rsidRPr="00E60B44">
        <w:rPr>
          <w:rFonts w:ascii="Arial" w:eastAsia="Times New Roman" w:hAnsi="Arial" w:cs="Arial"/>
          <w:color w:val="000000"/>
          <w:sz w:val="26"/>
          <w:szCs w:val="26"/>
          <w:lang w:eastAsia="es-CO"/>
        </w:rPr>
        <w:t xml:space="preserve"> Los residuos inutilizables generados en el proceso de re-refinación serán tratados como peligrosos, salvo prueba contrario basado en informes de laboratorio debidamente acreditados por el órgano ambiental competente.</w:t>
      </w:r>
    </w:p>
    <w:p w:rsidR="00F35DEB" w:rsidRPr="00E60B44" w:rsidRDefault="00F35DEB" w:rsidP="00F35DEB">
      <w:pPr>
        <w:jc w:val="both"/>
        <w:rPr>
          <w:rFonts w:ascii="Arial" w:eastAsia="Times New Roman" w:hAnsi="Arial" w:cs="Arial"/>
          <w:color w:val="000000"/>
          <w:sz w:val="26"/>
          <w:szCs w:val="26"/>
          <w:lang w:eastAsia="es-CO"/>
        </w:rPr>
      </w:pPr>
      <w:r w:rsidRPr="00AE4C73">
        <w:rPr>
          <w:rFonts w:ascii="Arial" w:eastAsia="Times New Roman" w:hAnsi="Arial" w:cs="Arial"/>
          <w:b/>
          <w:color w:val="000000"/>
          <w:sz w:val="26"/>
          <w:szCs w:val="26"/>
          <w:lang w:eastAsia="es-CO"/>
        </w:rPr>
        <w:t>Parágrafo 3°.</w:t>
      </w:r>
      <w:r w:rsidRPr="00E60B44">
        <w:rPr>
          <w:rFonts w:ascii="Arial" w:eastAsia="Times New Roman" w:hAnsi="Arial" w:cs="Arial"/>
          <w:color w:val="000000"/>
          <w:sz w:val="26"/>
          <w:szCs w:val="26"/>
          <w:lang w:eastAsia="es-CO"/>
        </w:rPr>
        <w:t xml:space="preserve"> La planta de re-refinación deberá contar con licencias de los siguientes organismos:</w:t>
      </w:r>
    </w:p>
    <w:p w:rsidR="00F35DEB" w:rsidRPr="00E60B44" w:rsidRDefault="00F35DEB" w:rsidP="00F35DEB">
      <w:pPr>
        <w:pStyle w:val="Prrafodelista"/>
        <w:numPr>
          <w:ilvl w:val="0"/>
          <w:numId w:val="5"/>
        </w:numPr>
        <w:spacing w:after="0"/>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Licencia Ambiental de la autoridad ambiental local para la actividad específica;</w:t>
      </w:r>
    </w:p>
    <w:p w:rsidR="00F35DEB" w:rsidRPr="00E60B44" w:rsidRDefault="00F35DEB" w:rsidP="00F35DEB">
      <w:pPr>
        <w:pStyle w:val="Prrafodelista"/>
        <w:numPr>
          <w:ilvl w:val="0"/>
          <w:numId w:val="5"/>
        </w:numPr>
        <w:spacing w:after="0"/>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Para el caso de re-refinador: Licencia como re-refinador del Ministerio de Minas y Energía;</w:t>
      </w:r>
    </w:p>
    <w:p w:rsidR="00F35DEB" w:rsidRPr="00E60B44" w:rsidRDefault="00F35DEB" w:rsidP="00F35DEB">
      <w:pPr>
        <w:pStyle w:val="Prrafodelista"/>
        <w:numPr>
          <w:ilvl w:val="0"/>
          <w:numId w:val="5"/>
        </w:numPr>
        <w:spacing w:after="0"/>
        <w:jc w:val="both"/>
        <w:rPr>
          <w:rFonts w:ascii="Arial" w:eastAsia="Times New Roman" w:hAnsi="Arial" w:cs="Arial"/>
          <w:color w:val="000000"/>
          <w:sz w:val="26"/>
          <w:szCs w:val="26"/>
          <w:lang w:eastAsia="es-CO"/>
        </w:rPr>
      </w:pPr>
      <w:r w:rsidRPr="00E60B44">
        <w:rPr>
          <w:rFonts w:ascii="Arial" w:eastAsia="Times New Roman" w:hAnsi="Arial" w:cs="Arial"/>
          <w:color w:val="000000"/>
          <w:sz w:val="26"/>
          <w:szCs w:val="26"/>
          <w:lang w:eastAsia="es-CO"/>
        </w:rPr>
        <w:t>Certificado de aprobación para manejo de sustancias controladas y de sustancias especiales de parte del Ministerio de Justicia.</w:t>
      </w:r>
    </w:p>
    <w:p w:rsidR="00F35DEB" w:rsidRPr="00E60B44" w:rsidRDefault="00F35DEB" w:rsidP="00F35DEB">
      <w:pPr>
        <w:spacing w:before="57" w:after="57" w:line="288" w:lineRule="atLeast"/>
        <w:jc w:val="both"/>
        <w:textAlignment w:val="center"/>
        <w:rPr>
          <w:rFonts w:ascii="Arial" w:eastAsia="Times New Roman" w:hAnsi="Arial" w:cs="Arial"/>
          <w:color w:val="000000"/>
          <w:sz w:val="26"/>
          <w:szCs w:val="26"/>
          <w:lang w:eastAsia="es-CO"/>
        </w:rPr>
      </w:pPr>
    </w:p>
    <w:p w:rsidR="00F35DEB" w:rsidRPr="00E60B44" w:rsidRDefault="00F35DEB" w:rsidP="00AE4C73">
      <w:pPr>
        <w:spacing w:before="57" w:after="57" w:line="288" w:lineRule="atLeast"/>
        <w:jc w:val="both"/>
        <w:textAlignment w:val="center"/>
        <w:rPr>
          <w:rFonts w:ascii="Arial" w:eastAsia="Times New Roman" w:hAnsi="Arial" w:cs="Arial"/>
          <w:color w:val="000000"/>
          <w:sz w:val="26"/>
          <w:szCs w:val="26"/>
          <w:lang w:val="es-ES_tradnl" w:eastAsia="es-CO"/>
        </w:rPr>
      </w:pPr>
      <w:r w:rsidRPr="00AE4C73">
        <w:rPr>
          <w:rFonts w:ascii="Arial" w:eastAsia="Times New Roman" w:hAnsi="Arial" w:cs="Arial"/>
          <w:b/>
          <w:color w:val="000000"/>
          <w:sz w:val="26"/>
          <w:szCs w:val="26"/>
          <w:lang w:val="es-ES_tradnl" w:eastAsia="es-CO"/>
        </w:rPr>
        <w:t>Artículo 15. </w:t>
      </w:r>
      <w:r w:rsidRPr="00AE4C73">
        <w:rPr>
          <w:rFonts w:ascii="Arial" w:eastAsia="Times New Roman" w:hAnsi="Arial" w:cs="Arial"/>
          <w:b/>
          <w:iCs/>
          <w:color w:val="000000"/>
          <w:sz w:val="26"/>
          <w:szCs w:val="26"/>
          <w:lang w:val="es-ES_tradnl" w:eastAsia="es-CO"/>
        </w:rPr>
        <w:t>Obligaciones de la autoridad ambiental. </w:t>
      </w:r>
      <w:r w:rsidRPr="00E60B44">
        <w:rPr>
          <w:rFonts w:ascii="Arial" w:eastAsia="Times New Roman" w:hAnsi="Arial" w:cs="Arial"/>
          <w:color w:val="000000"/>
          <w:sz w:val="26"/>
          <w:szCs w:val="26"/>
          <w:lang w:val="es-ES_tradnl" w:eastAsia="es-CO"/>
        </w:rPr>
        <w:t>La autoridad ambiental debe realizar vigilancia y control a los generadores, gestores y procesadores del aceite usado con el objeto de comprobar el cumplimiento de lo establecido en la presente ley y las disposiciones pertinentes.</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eastAsia="es-CO"/>
        </w:rPr>
      </w:pPr>
    </w:p>
    <w:p w:rsidR="00F35DEB" w:rsidRPr="00E60B44" w:rsidRDefault="00F35DEB" w:rsidP="00AE4C73">
      <w:pPr>
        <w:spacing w:before="57" w:after="57" w:line="288" w:lineRule="atLeast"/>
        <w:jc w:val="both"/>
        <w:textAlignment w:val="center"/>
        <w:rPr>
          <w:rFonts w:ascii="Arial" w:eastAsia="Times New Roman" w:hAnsi="Arial" w:cs="Arial"/>
          <w:color w:val="000000"/>
          <w:spacing w:val="-2"/>
          <w:sz w:val="26"/>
          <w:szCs w:val="26"/>
          <w:lang w:val="es-ES_tradnl" w:eastAsia="es-CO"/>
        </w:rPr>
      </w:pPr>
      <w:r w:rsidRPr="00AE4C73">
        <w:rPr>
          <w:rFonts w:ascii="Arial" w:eastAsia="Times New Roman" w:hAnsi="Arial" w:cs="Arial"/>
          <w:b/>
          <w:color w:val="000000"/>
          <w:spacing w:val="-2"/>
          <w:sz w:val="26"/>
          <w:szCs w:val="26"/>
          <w:lang w:val="es-ES_tradnl" w:eastAsia="es-CO"/>
        </w:rPr>
        <w:t>Artículo 16. </w:t>
      </w:r>
      <w:r w:rsidRPr="00AE4C73">
        <w:rPr>
          <w:rFonts w:ascii="Arial" w:eastAsia="Times New Roman" w:hAnsi="Arial" w:cs="Arial"/>
          <w:b/>
          <w:iCs/>
          <w:color w:val="000000"/>
          <w:spacing w:val="-2"/>
          <w:sz w:val="26"/>
          <w:szCs w:val="26"/>
          <w:lang w:val="es-ES_tradnl" w:eastAsia="es-CO"/>
        </w:rPr>
        <w:t>Monitoreo, control y vigilancia</w:t>
      </w:r>
      <w:r w:rsidRPr="00E60B44">
        <w:rPr>
          <w:rFonts w:ascii="Arial" w:eastAsia="Times New Roman" w:hAnsi="Arial" w:cs="Arial"/>
          <w:color w:val="000000"/>
          <w:spacing w:val="-2"/>
          <w:sz w:val="26"/>
          <w:szCs w:val="26"/>
          <w:lang w:val="es-ES_tradnl" w:eastAsia="es-CO"/>
        </w:rPr>
        <w:t>. El monitoreo, control y vigilancia del cumplimiento de la presente ley estará a cargo de las autoridades competentes, según sea el caso. Lo anterior, sin perjuicio de las funciones de prevención, inspección, control y vigilancia que compete a las autoridades ambientales, sanitarias, policivas, de comercio exterior, aduanas y transporte; desde el ámbito de sus respectivas competencias.</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eastAsia="es-CO"/>
        </w:rPr>
      </w:pPr>
    </w:p>
    <w:p w:rsidR="00F35DEB" w:rsidRPr="00E60B44" w:rsidRDefault="00F35DEB" w:rsidP="00AE4C73">
      <w:pPr>
        <w:spacing w:before="57" w:after="57" w:line="288" w:lineRule="atLeast"/>
        <w:jc w:val="both"/>
        <w:textAlignment w:val="center"/>
        <w:rPr>
          <w:rFonts w:ascii="Arial" w:eastAsia="Times New Roman" w:hAnsi="Arial" w:cs="Arial"/>
          <w:color w:val="000000"/>
          <w:sz w:val="26"/>
          <w:szCs w:val="26"/>
          <w:lang w:val="es-ES_tradnl" w:eastAsia="es-CO"/>
        </w:rPr>
      </w:pPr>
      <w:r w:rsidRPr="00AE4C73">
        <w:rPr>
          <w:rFonts w:ascii="Arial" w:eastAsia="Times New Roman" w:hAnsi="Arial" w:cs="Arial"/>
          <w:b/>
          <w:color w:val="000000"/>
          <w:sz w:val="26"/>
          <w:szCs w:val="26"/>
          <w:lang w:val="es-ES_tradnl" w:eastAsia="es-CO"/>
        </w:rPr>
        <w:t>Artículo 17. </w:t>
      </w:r>
      <w:r w:rsidRPr="00AE4C73">
        <w:rPr>
          <w:rFonts w:ascii="Arial" w:eastAsia="Times New Roman" w:hAnsi="Arial" w:cs="Arial"/>
          <w:b/>
          <w:iCs/>
          <w:color w:val="000000"/>
          <w:sz w:val="26"/>
          <w:szCs w:val="26"/>
          <w:lang w:val="es-ES_tradnl" w:eastAsia="es-CO"/>
        </w:rPr>
        <w:t>Sanciones</w:t>
      </w:r>
      <w:r w:rsidRPr="00E60B44">
        <w:rPr>
          <w:rFonts w:ascii="Arial" w:eastAsia="Times New Roman" w:hAnsi="Arial" w:cs="Arial"/>
          <w:color w:val="000000"/>
          <w:sz w:val="26"/>
          <w:szCs w:val="26"/>
          <w:lang w:val="es-ES_tradnl" w:eastAsia="es-CO"/>
        </w:rPr>
        <w:t>. En caso de incumplimiento de lo dispuesto en la presente ley se impondrán las medidas preventivas y sancionatorias a que haya lugar, de conformidad con lo dispuesto en la Ley 1333 de 2009, o la norma que la adicione, modifique o sustituya.</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eastAsia="es-CO"/>
        </w:rPr>
      </w:pPr>
    </w:p>
    <w:p w:rsidR="00F35DEB" w:rsidRPr="00E60B44" w:rsidRDefault="00F35DEB" w:rsidP="00AE4C73">
      <w:pPr>
        <w:spacing w:before="57" w:after="57" w:line="288" w:lineRule="atLeast"/>
        <w:jc w:val="both"/>
        <w:textAlignment w:val="center"/>
        <w:rPr>
          <w:rFonts w:ascii="Arial" w:eastAsia="Times New Roman" w:hAnsi="Arial" w:cs="Arial"/>
          <w:color w:val="000000"/>
          <w:sz w:val="26"/>
          <w:szCs w:val="26"/>
          <w:lang w:eastAsia="es-CO"/>
        </w:rPr>
      </w:pPr>
      <w:r w:rsidRPr="00AE4C73">
        <w:rPr>
          <w:rFonts w:ascii="Arial" w:eastAsia="Times New Roman" w:hAnsi="Arial" w:cs="Arial"/>
          <w:b/>
          <w:color w:val="000000"/>
          <w:sz w:val="26"/>
          <w:szCs w:val="26"/>
          <w:lang w:val="es-ES_tradnl" w:eastAsia="es-CO"/>
        </w:rPr>
        <w:t>Artículo 18. </w:t>
      </w:r>
      <w:r w:rsidRPr="00AE4C73">
        <w:rPr>
          <w:rFonts w:ascii="Arial" w:eastAsia="Times New Roman" w:hAnsi="Arial" w:cs="Arial"/>
          <w:b/>
          <w:iCs/>
          <w:color w:val="000000"/>
          <w:sz w:val="26"/>
          <w:szCs w:val="26"/>
          <w:lang w:val="es-ES_tradnl" w:eastAsia="es-CO"/>
        </w:rPr>
        <w:t>Vigencia y derogatorias</w:t>
      </w:r>
      <w:r w:rsidRPr="00E60B44">
        <w:rPr>
          <w:rFonts w:ascii="Arial" w:eastAsia="Times New Roman" w:hAnsi="Arial" w:cs="Arial"/>
          <w:color w:val="000000"/>
          <w:sz w:val="26"/>
          <w:szCs w:val="26"/>
          <w:lang w:val="es-ES_tradnl" w:eastAsia="es-CO"/>
        </w:rPr>
        <w:t>. La presente ley entra en vigencia a los seis (6) meses, contados a partir de la fecha de su publicación en el </w:t>
      </w:r>
      <w:r w:rsidRPr="00E60B44">
        <w:rPr>
          <w:rFonts w:ascii="Arial" w:eastAsia="Times New Roman" w:hAnsi="Arial" w:cs="Arial"/>
          <w:b/>
          <w:bCs/>
          <w:iCs/>
          <w:color w:val="000000"/>
          <w:sz w:val="26"/>
          <w:szCs w:val="26"/>
          <w:lang w:val="es-ES_tradnl" w:eastAsia="es-CO"/>
        </w:rPr>
        <w:t>Diario Oficial</w:t>
      </w:r>
      <w:r w:rsidRPr="00E60B44">
        <w:rPr>
          <w:rFonts w:ascii="Arial" w:eastAsia="Times New Roman" w:hAnsi="Arial" w:cs="Arial"/>
          <w:color w:val="000000"/>
          <w:sz w:val="26"/>
          <w:szCs w:val="26"/>
          <w:lang w:val="es-ES_tradnl" w:eastAsia="es-CO"/>
        </w:rPr>
        <w:t> y deroga a partir de la misma fecha la Resolución número 1446 de octubre 9 de 2005, y demás normas que le sean contrarias.</w:t>
      </w:r>
    </w:p>
    <w:p w:rsidR="00330A3A" w:rsidRPr="00E60B44" w:rsidRDefault="00330A3A" w:rsidP="00330A3A">
      <w:pPr>
        <w:pStyle w:val="Sinespaciado"/>
        <w:jc w:val="both"/>
        <w:rPr>
          <w:sz w:val="26"/>
          <w:szCs w:val="26"/>
          <w:lang w:val="es-CO"/>
        </w:rPr>
      </w:pPr>
      <w:r w:rsidRPr="00E60B44">
        <w:rPr>
          <w:sz w:val="26"/>
          <w:szCs w:val="26"/>
          <w:lang w:val="es-CO"/>
        </w:rPr>
        <w:t>Cordialmente,</w:t>
      </w:r>
    </w:p>
    <w:p w:rsidR="00330A3A" w:rsidRPr="00E60B44" w:rsidRDefault="00330A3A" w:rsidP="00330A3A">
      <w:pPr>
        <w:pStyle w:val="Sinespaciado"/>
        <w:jc w:val="both"/>
        <w:rPr>
          <w:sz w:val="26"/>
          <w:szCs w:val="26"/>
          <w:lang w:val="es-CO"/>
        </w:rPr>
      </w:pPr>
    </w:p>
    <w:p w:rsidR="00330A3A" w:rsidRPr="00E60B44" w:rsidRDefault="00330A3A" w:rsidP="00330A3A">
      <w:pPr>
        <w:pStyle w:val="Sinespaciado"/>
        <w:jc w:val="both"/>
        <w:rPr>
          <w:sz w:val="26"/>
          <w:szCs w:val="26"/>
          <w:lang w:val="es-CO"/>
        </w:rPr>
      </w:pPr>
    </w:p>
    <w:p w:rsidR="00330A3A" w:rsidRPr="00E60B44" w:rsidRDefault="00330A3A" w:rsidP="00330A3A">
      <w:pPr>
        <w:pStyle w:val="Sinespaciado"/>
        <w:jc w:val="both"/>
        <w:rPr>
          <w:sz w:val="26"/>
          <w:szCs w:val="26"/>
          <w:lang w:val="es-CO"/>
        </w:rPr>
      </w:pPr>
    </w:p>
    <w:p w:rsidR="00330A3A" w:rsidRPr="00E60B44" w:rsidRDefault="00330A3A" w:rsidP="00330A3A">
      <w:pPr>
        <w:pStyle w:val="Sinespaciado"/>
        <w:jc w:val="both"/>
        <w:rPr>
          <w:sz w:val="26"/>
          <w:szCs w:val="26"/>
          <w:lang w:val="es-CO"/>
        </w:rPr>
      </w:pPr>
    </w:p>
    <w:p w:rsidR="00330A3A" w:rsidRPr="00E60B44" w:rsidRDefault="00330A3A" w:rsidP="00330A3A">
      <w:pPr>
        <w:spacing w:after="0" w:line="240" w:lineRule="auto"/>
        <w:ind w:right="-7"/>
        <w:jc w:val="both"/>
        <w:rPr>
          <w:rFonts w:ascii="Arial" w:hAnsi="Arial" w:cs="Arial"/>
          <w:b/>
          <w:sz w:val="26"/>
          <w:szCs w:val="26"/>
        </w:rPr>
      </w:pPr>
      <w:r w:rsidRPr="00E60B44">
        <w:rPr>
          <w:rFonts w:ascii="Arial" w:hAnsi="Arial" w:cs="Arial"/>
          <w:b/>
          <w:sz w:val="26"/>
          <w:szCs w:val="26"/>
        </w:rPr>
        <w:t>NICOLÁS ALBEIRO ECHEVERRY ALVARÁN</w:t>
      </w:r>
    </w:p>
    <w:p w:rsidR="00330A3A" w:rsidRPr="00E60B44" w:rsidRDefault="00330A3A" w:rsidP="00330A3A">
      <w:pPr>
        <w:spacing w:after="0" w:line="240" w:lineRule="auto"/>
        <w:ind w:right="-7"/>
        <w:jc w:val="both"/>
        <w:rPr>
          <w:rFonts w:ascii="Arial" w:hAnsi="Arial" w:cs="Arial"/>
          <w:b/>
          <w:sz w:val="26"/>
          <w:szCs w:val="26"/>
        </w:rPr>
      </w:pPr>
      <w:r w:rsidRPr="00E60B44">
        <w:rPr>
          <w:rFonts w:ascii="Arial" w:hAnsi="Arial" w:cs="Arial"/>
          <w:b/>
          <w:sz w:val="26"/>
          <w:szCs w:val="26"/>
        </w:rPr>
        <w:t>Representante a la Cámara</w:t>
      </w:r>
    </w:p>
    <w:p w:rsidR="00330A3A" w:rsidRPr="00E60B44" w:rsidRDefault="00330A3A" w:rsidP="00330A3A">
      <w:pPr>
        <w:spacing w:after="0" w:line="240" w:lineRule="auto"/>
        <w:ind w:right="-7"/>
        <w:jc w:val="both"/>
        <w:rPr>
          <w:rFonts w:ascii="Arial" w:hAnsi="Arial" w:cs="Arial"/>
          <w:b/>
          <w:sz w:val="26"/>
          <w:szCs w:val="26"/>
        </w:rPr>
      </w:pPr>
      <w:r w:rsidRPr="00E60B44">
        <w:rPr>
          <w:rFonts w:ascii="Arial" w:hAnsi="Arial" w:cs="Arial"/>
          <w:b/>
          <w:sz w:val="26"/>
          <w:szCs w:val="26"/>
        </w:rPr>
        <w:t>Departamento de Antioquia</w:t>
      </w:r>
    </w:p>
    <w:p w:rsidR="00330A3A" w:rsidRPr="00E60B44" w:rsidRDefault="00330A3A" w:rsidP="00330A3A">
      <w:pPr>
        <w:spacing w:after="0" w:line="240" w:lineRule="auto"/>
        <w:ind w:right="-7"/>
        <w:jc w:val="both"/>
        <w:rPr>
          <w:rFonts w:ascii="Arial" w:hAnsi="Arial" w:cs="Arial"/>
          <w:b/>
          <w:sz w:val="26"/>
          <w:szCs w:val="26"/>
        </w:rPr>
      </w:pPr>
      <w:r w:rsidRPr="00E60B44">
        <w:rPr>
          <w:rFonts w:ascii="Arial" w:hAnsi="Arial" w:cs="Arial"/>
          <w:b/>
          <w:sz w:val="26"/>
          <w:szCs w:val="26"/>
        </w:rPr>
        <w:t>Partido Conservador Colombiano</w:t>
      </w:r>
    </w:p>
    <w:p w:rsidR="00F35DEB" w:rsidRPr="00E60B44" w:rsidRDefault="00F35DEB" w:rsidP="00F35DEB">
      <w:pPr>
        <w:spacing w:before="57" w:after="57" w:line="288" w:lineRule="atLeast"/>
        <w:ind w:firstLine="283"/>
        <w:jc w:val="both"/>
        <w:textAlignment w:val="center"/>
        <w:rPr>
          <w:rFonts w:ascii="Arial" w:eastAsia="Times New Roman" w:hAnsi="Arial" w:cs="Arial"/>
          <w:color w:val="000000"/>
          <w:sz w:val="26"/>
          <w:szCs w:val="26"/>
          <w:lang w:val="es-ES_tradnl" w:eastAsia="es-CO"/>
        </w:rPr>
      </w:pPr>
    </w:p>
    <w:sectPr w:rsidR="00F35DEB" w:rsidRPr="00E60B4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FA3" w:rsidRDefault="00934FA3" w:rsidP="000A70D7">
      <w:pPr>
        <w:spacing w:after="0" w:line="240" w:lineRule="auto"/>
      </w:pPr>
      <w:r>
        <w:separator/>
      </w:r>
    </w:p>
  </w:endnote>
  <w:endnote w:type="continuationSeparator" w:id="0">
    <w:p w:rsidR="00934FA3" w:rsidRDefault="00934FA3" w:rsidP="000A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0D7" w:rsidRDefault="000A70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0D7" w:rsidRDefault="000A70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0D7" w:rsidRDefault="000A70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FA3" w:rsidRDefault="00934FA3" w:rsidP="000A70D7">
      <w:pPr>
        <w:spacing w:after="0" w:line="240" w:lineRule="auto"/>
      </w:pPr>
      <w:r>
        <w:separator/>
      </w:r>
    </w:p>
  </w:footnote>
  <w:footnote w:type="continuationSeparator" w:id="0">
    <w:p w:rsidR="00934FA3" w:rsidRDefault="00934FA3" w:rsidP="000A7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0D7" w:rsidRDefault="000A70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0D7" w:rsidRDefault="000A70D7" w:rsidP="000A70D7">
    <w:pPr>
      <w:pStyle w:val="Encabezado"/>
      <w:jc w:val="center"/>
    </w:pPr>
    <w:r>
      <w:rPr>
        <w:rFonts w:ascii="Comic Sans MS" w:hAnsi="Comic Sans MS"/>
        <w:noProof/>
        <w:sz w:val="24"/>
        <w:szCs w:val="24"/>
        <w:lang w:eastAsia="es-CO"/>
      </w:rPr>
      <w:drawing>
        <wp:inline distT="0" distB="0" distL="0" distR="0" wp14:anchorId="54654646" wp14:editId="4C45C797">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0A70D7" w:rsidRDefault="000A70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0D7" w:rsidRDefault="000A70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8FE78E"/>
    <w:multiLevelType w:val="hybridMultilevel"/>
    <w:tmpl w:val="8D8BFB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9408D3"/>
    <w:multiLevelType w:val="hybridMultilevel"/>
    <w:tmpl w:val="CCA8B0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8891D2"/>
    <w:multiLevelType w:val="hybridMultilevel"/>
    <w:tmpl w:val="CBF5EF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E10E4E"/>
    <w:multiLevelType w:val="hybridMultilevel"/>
    <w:tmpl w:val="C4A1AD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D506699"/>
    <w:multiLevelType w:val="hybridMultilevel"/>
    <w:tmpl w:val="639D05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3126C40"/>
    <w:multiLevelType w:val="hybridMultilevel"/>
    <w:tmpl w:val="28913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8C440BE"/>
    <w:multiLevelType w:val="hybridMultilevel"/>
    <w:tmpl w:val="0AEEAC7A"/>
    <w:lvl w:ilvl="0" w:tplc="E9CA89A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865C53"/>
    <w:multiLevelType w:val="hybridMultilevel"/>
    <w:tmpl w:val="65C48E30"/>
    <w:lvl w:ilvl="0" w:tplc="3D902D1E">
      <w:start w:val="1"/>
      <w:numFmt w:val="decimal"/>
      <w:lvlText w:val="%1."/>
      <w:lvlJc w:val="left"/>
      <w:pPr>
        <w:ind w:left="643" w:hanging="360"/>
      </w:pPr>
      <w:rPr>
        <w:rFonts w:hint="default"/>
        <w:i/>
        <w:sz w:val="22"/>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208D7F0F"/>
    <w:multiLevelType w:val="hybridMultilevel"/>
    <w:tmpl w:val="E7B00666"/>
    <w:lvl w:ilvl="0" w:tplc="0409000F">
      <w:start w:val="1"/>
      <w:numFmt w:val="decimal"/>
      <w:lvlText w:val="%1."/>
      <w:lvlJc w:val="left"/>
      <w:pPr>
        <w:ind w:left="720" w:hanging="360"/>
      </w:pPr>
      <w:rPr>
        <w:rFonts w:hint="default"/>
      </w:rPr>
    </w:lvl>
    <w:lvl w:ilvl="1" w:tplc="FBBC29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80E52"/>
    <w:multiLevelType w:val="hybridMultilevel"/>
    <w:tmpl w:val="45427A4A"/>
    <w:lvl w:ilvl="0" w:tplc="E9CA89A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53FB9"/>
    <w:multiLevelType w:val="hybridMultilevel"/>
    <w:tmpl w:val="A08A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57FAB"/>
    <w:multiLevelType w:val="hybridMultilevel"/>
    <w:tmpl w:val="2CDC5198"/>
    <w:lvl w:ilvl="0" w:tplc="E9CA89A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66BBB"/>
    <w:multiLevelType w:val="hybridMultilevel"/>
    <w:tmpl w:val="758C034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35AB2209"/>
    <w:multiLevelType w:val="hybridMultilevel"/>
    <w:tmpl w:val="D034F1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9357B"/>
    <w:multiLevelType w:val="hybridMultilevel"/>
    <w:tmpl w:val="C08433BE"/>
    <w:lvl w:ilvl="0" w:tplc="E9CA89A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A1496"/>
    <w:multiLevelType w:val="hybridMultilevel"/>
    <w:tmpl w:val="202A2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C34585D"/>
    <w:multiLevelType w:val="hybridMultilevel"/>
    <w:tmpl w:val="663C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E55BA"/>
    <w:multiLevelType w:val="hybridMultilevel"/>
    <w:tmpl w:val="430416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7884F9E"/>
    <w:multiLevelType w:val="hybridMultilevel"/>
    <w:tmpl w:val="0978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3F47CD"/>
    <w:multiLevelType w:val="hybridMultilevel"/>
    <w:tmpl w:val="8DDC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C87E4E"/>
    <w:multiLevelType w:val="hybridMultilevel"/>
    <w:tmpl w:val="77BE6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D0B0653"/>
    <w:multiLevelType w:val="hybridMultilevel"/>
    <w:tmpl w:val="2AC65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DDED02"/>
    <w:multiLevelType w:val="hybridMultilevel"/>
    <w:tmpl w:val="A74F83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D03CCB"/>
    <w:multiLevelType w:val="hybridMultilevel"/>
    <w:tmpl w:val="EA3C8C94"/>
    <w:lvl w:ilvl="0" w:tplc="E9CA89A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4316E"/>
    <w:multiLevelType w:val="hybridMultilevel"/>
    <w:tmpl w:val="6DD0388C"/>
    <w:lvl w:ilvl="0" w:tplc="2B802F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212E56"/>
    <w:multiLevelType w:val="hybridMultilevel"/>
    <w:tmpl w:val="56DE148E"/>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7"/>
  </w:num>
  <w:num w:numId="2">
    <w:abstractNumId w:val="21"/>
  </w:num>
  <w:num w:numId="3">
    <w:abstractNumId w:val="8"/>
  </w:num>
  <w:num w:numId="4">
    <w:abstractNumId w:val="24"/>
  </w:num>
  <w:num w:numId="5">
    <w:abstractNumId w:val="13"/>
  </w:num>
  <w:num w:numId="6">
    <w:abstractNumId w:val="18"/>
  </w:num>
  <w:num w:numId="7">
    <w:abstractNumId w:val="19"/>
  </w:num>
  <w:num w:numId="8">
    <w:abstractNumId w:val="16"/>
  </w:num>
  <w:num w:numId="9">
    <w:abstractNumId w:val="25"/>
  </w:num>
  <w:num w:numId="10">
    <w:abstractNumId w:val="10"/>
  </w:num>
  <w:num w:numId="11">
    <w:abstractNumId w:val="2"/>
  </w:num>
  <w:num w:numId="12">
    <w:abstractNumId w:val="0"/>
  </w:num>
  <w:num w:numId="13">
    <w:abstractNumId w:val="1"/>
  </w:num>
  <w:num w:numId="14">
    <w:abstractNumId w:val="20"/>
  </w:num>
  <w:num w:numId="15">
    <w:abstractNumId w:val="22"/>
  </w:num>
  <w:num w:numId="16">
    <w:abstractNumId w:val="4"/>
  </w:num>
  <w:num w:numId="17">
    <w:abstractNumId w:val="17"/>
  </w:num>
  <w:num w:numId="18">
    <w:abstractNumId w:val="3"/>
  </w:num>
  <w:num w:numId="19">
    <w:abstractNumId w:val="5"/>
  </w:num>
  <w:num w:numId="20">
    <w:abstractNumId w:val="12"/>
  </w:num>
  <w:num w:numId="21">
    <w:abstractNumId w:val="6"/>
  </w:num>
  <w:num w:numId="22">
    <w:abstractNumId w:val="9"/>
  </w:num>
  <w:num w:numId="23">
    <w:abstractNumId w:val="23"/>
  </w:num>
  <w:num w:numId="24">
    <w:abstractNumId w:val="14"/>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C1"/>
    <w:rsid w:val="000A0399"/>
    <w:rsid w:val="000A70D7"/>
    <w:rsid w:val="00172BC1"/>
    <w:rsid w:val="00330A3A"/>
    <w:rsid w:val="00340454"/>
    <w:rsid w:val="003465D3"/>
    <w:rsid w:val="00483656"/>
    <w:rsid w:val="006046E6"/>
    <w:rsid w:val="00752A08"/>
    <w:rsid w:val="0078052B"/>
    <w:rsid w:val="00934FA3"/>
    <w:rsid w:val="00AE4C73"/>
    <w:rsid w:val="00E60B44"/>
    <w:rsid w:val="00E612F0"/>
    <w:rsid w:val="00E71406"/>
    <w:rsid w:val="00E87B02"/>
    <w:rsid w:val="00F35DEB"/>
    <w:rsid w:val="00FB67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36D0D-58CD-42DE-850F-1266F9FF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5DEB"/>
    <w:pPr>
      <w:ind w:left="720"/>
      <w:contextualSpacing/>
    </w:pPr>
  </w:style>
  <w:style w:type="paragraph" w:customStyle="1" w:styleId="Default">
    <w:name w:val="Default"/>
    <w:rsid w:val="003465D3"/>
    <w:pPr>
      <w:autoSpaceDE w:val="0"/>
      <w:autoSpaceDN w:val="0"/>
      <w:adjustRightInd w:val="0"/>
      <w:spacing w:after="0" w:line="240" w:lineRule="auto"/>
    </w:pPr>
    <w:rPr>
      <w:rFonts w:ascii="Calibri" w:hAnsi="Calibri" w:cs="Calibri"/>
      <w:color w:val="000000"/>
      <w:sz w:val="24"/>
      <w:szCs w:val="24"/>
      <w:lang w:val="en-US"/>
    </w:rPr>
  </w:style>
  <w:style w:type="paragraph" w:styleId="Sinespaciado">
    <w:name w:val="No Spacing"/>
    <w:uiPriority w:val="1"/>
    <w:qFormat/>
    <w:rsid w:val="00330A3A"/>
    <w:pPr>
      <w:spacing w:after="0" w:line="240" w:lineRule="auto"/>
    </w:pPr>
    <w:rPr>
      <w:rFonts w:ascii="Arial" w:hAnsi="Arial" w:cs="Arial"/>
      <w:sz w:val="24"/>
      <w:szCs w:val="24"/>
      <w:lang w:val="es-ES"/>
    </w:rPr>
  </w:style>
  <w:style w:type="paragraph" w:styleId="Encabezado">
    <w:name w:val="header"/>
    <w:basedOn w:val="Normal"/>
    <w:link w:val="EncabezadoCar"/>
    <w:uiPriority w:val="99"/>
    <w:unhideWhenUsed/>
    <w:rsid w:val="000A70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70D7"/>
  </w:style>
  <w:style w:type="paragraph" w:styleId="Piedepgina">
    <w:name w:val="footer"/>
    <w:basedOn w:val="Normal"/>
    <w:link w:val="PiedepginaCar"/>
    <w:uiPriority w:val="99"/>
    <w:unhideWhenUsed/>
    <w:rsid w:val="000A70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1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4439</Words>
  <Characters>24419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Juan Carlos</cp:lastModifiedBy>
  <cp:revision>8</cp:revision>
  <dcterms:created xsi:type="dcterms:W3CDTF">2017-07-17T16:56:00Z</dcterms:created>
  <dcterms:modified xsi:type="dcterms:W3CDTF">2017-07-20T20:36:00Z</dcterms:modified>
</cp:coreProperties>
</file>