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0F4CC" w14:textId="77777777" w:rsidR="001A35D3" w:rsidRDefault="007E50E1">
      <w:pPr>
        <w:jc w:val="right"/>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Bogotá D.C.</w:t>
      </w:r>
    </w:p>
    <w:p w14:paraId="3D0C40F4" w14:textId="77777777" w:rsidR="001A35D3" w:rsidRDefault="001A35D3">
      <w:pPr>
        <w:rPr>
          <w:rFonts w:ascii="Bookman Old Style" w:eastAsia="Bookman Old Style" w:hAnsi="Bookman Old Style" w:cs="Bookman Old Style"/>
          <w:b/>
          <w:sz w:val="20"/>
          <w:szCs w:val="20"/>
        </w:rPr>
      </w:pPr>
    </w:p>
    <w:p w14:paraId="1A249A73" w14:textId="77777777" w:rsidR="001A35D3" w:rsidRDefault="001A35D3">
      <w:pPr>
        <w:rPr>
          <w:rFonts w:ascii="Bookman Old Style" w:eastAsia="Bookman Old Style" w:hAnsi="Bookman Old Style" w:cs="Bookman Old Style"/>
          <w:sz w:val="20"/>
          <w:szCs w:val="20"/>
        </w:rPr>
      </w:pPr>
    </w:p>
    <w:p w14:paraId="0945DE09" w14:textId="77777777" w:rsidR="001A35D3" w:rsidRDefault="007E50E1">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Doctor:</w:t>
      </w:r>
    </w:p>
    <w:p w14:paraId="5863B1D8" w14:textId="77777777" w:rsidR="001A35D3" w:rsidRDefault="007E50E1">
      <w:pP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Jaime Luis Lacouture Peñaloza</w:t>
      </w:r>
    </w:p>
    <w:p w14:paraId="03AA9C9D" w14:textId="77777777" w:rsidR="001A35D3" w:rsidRDefault="007E50E1">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Secretario General </w:t>
      </w:r>
    </w:p>
    <w:p w14:paraId="4346F127" w14:textId="77777777" w:rsidR="001A35D3" w:rsidRDefault="007E50E1">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Honorable Cámara de Representantes</w:t>
      </w:r>
    </w:p>
    <w:p w14:paraId="139E2EE7" w14:textId="77777777" w:rsidR="001A35D3" w:rsidRDefault="007E50E1">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Ciudad </w:t>
      </w:r>
    </w:p>
    <w:p w14:paraId="3679FD34" w14:textId="77777777" w:rsidR="001A35D3" w:rsidRDefault="001A35D3">
      <w:pPr>
        <w:rPr>
          <w:rFonts w:ascii="Bookman Old Style" w:eastAsia="Bookman Old Style" w:hAnsi="Bookman Old Style" w:cs="Bookman Old Style"/>
          <w:b/>
          <w:sz w:val="20"/>
          <w:szCs w:val="20"/>
        </w:rPr>
      </w:pPr>
    </w:p>
    <w:p w14:paraId="00F390F5" w14:textId="77777777" w:rsidR="001A35D3" w:rsidRDefault="001A35D3">
      <w:pPr>
        <w:rPr>
          <w:rFonts w:ascii="Bookman Old Style" w:eastAsia="Bookman Old Style" w:hAnsi="Bookman Old Style" w:cs="Bookman Old Style"/>
          <w:b/>
          <w:sz w:val="20"/>
          <w:szCs w:val="20"/>
        </w:rPr>
      </w:pPr>
    </w:p>
    <w:p w14:paraId="1B0CAB0C" w14:textId="77777777" w:rsidR="001A35D3" w:rsidRDefault="001A35D3">
      <w:pPr>
        <w:rPr>
          <w:rFonts w:ascii="Bookman Old Style" w:eastAsia="Bookman Old Style" w:hAnsi="Bookman Old Style" w:cs="Bookman Old Style"/>
          <w:b/>
          <w:sz w:val="20"/>
          <w:szCs w:val="20"/>
        </w:rPr>
      </w:pPr>
    </w:p>
    <w:p w14:paraId="500AACFF" w14:textId="77777777" w:rsidR="001A35D3" w:rsidRDefault="007E50E1">
      <w:pPr>
        <w:jc w:val="right"/>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REF: RADICACIÓN PROYECTO DE LEY</w:t>
      </w:r>
    </w:p>
    <w:p w14:paraId="449B9C79" w14:textId="77777777" w:rsidR="001A35D3" w:rsidRDefault="001A35D3">
      <w:pPr>
        <w:jc w:val="right"/>
        <w:rPr>
          <w:rFonts w:ascii="Bookman Old Style" w:eastAsia="Bookman Old Style" w:hAnsi="Bookman Old Style" w:cs="Bookman Old Style"/>
          <w:b/>
          <w:sz w:val="20"/>
          <w:szCs w:val="20"/>
        </w:rPr>
      </w:pPr>
    </w:p>
    <w:p w14:paraId="20CEAA6C" w14:textId="77777777" w:rsidR="001A35D3" w:rsidRDefault="001A35D3">
      <w:pPr>
        <w:rPr>
          <w:rFonts w:ascii="Bookman Old Style" w:eastAsia="Bookman Old Style" w:hAnsi="Bookman Old Style" w:cs="Bookman Old Style"/>
          <w:b/>
          <w:sz w:val="20"/>
          <w:szCs w:val="20"/>
        </w:rPr>
      </w:pPr>
    </w:p>
    <w:p w14:paraId="336CAA42" w14:textId="0C5D9209" w:rsidR="001A35D3" w:rsidRDefault="007E50E1">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El suscrito representante a la Cámara, en uso del derecho consagrado en el artículo 150 de la Constitución Política de Colombia, por su digno conducto me permito poner a consideración de la Honorable Cámara de Representantes el siguiente proyecto de ley  “</w:t>
      </w:r>
      <w:r>
        <w:rPr>
          <w:rFonts w:ascii="Times New Roman" w:eastAsia="Times New Roman" w:hAnsi="Times New Roman" w:cs="Times New Roman"/>
          <w:i/>
          <w:sz w:val="24"/>
          <w:szCs w:val="24"/>
        </w:rPr>
        <w:t>Por medio del cual se reconoce a</w:t>
      </w:r>
      <w:r w:rsidR="00682272">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 río el Cravo</w:t>
      </w:r>
      <w:r w:rsidR="002A28F5">
        <w:rPr>
          <w:rFonts w:ascii="Times New Roman" w:eastAsia="Times New Roman" w:hAnsi="Times New Roman" w:cs="Times New Roman"/>
          <w:i/>
          <w:sz w:val="24"/>
          <w:szCs w:val="24"/>
        </w:rPr>
        <w:t xml:space="preserve"> Sur</w:t>
      </w:r>
      <w:r>
        <w:rPr>
          <w:rFonts w:ascii="Times New Roman" w:eastAsia="Times New Roman" w:hAnsi="Times New Roman" w:cs="Times New Roman"/>
          <w:i/>
          <w:sz w:val="24"/>
          <w:szCs w:val="24"/>
        </w:rPr>
        <w:t>, sus cuencas y afluentes hídricos como sujetos de derechos y se dictan otras disposiciones</w:t>
      </w:r>
      <w:r>
        <w:rPr>
          <w:rFonts w:ascii="Bookman Old Style" w:eastAsia="Bookman Old Style" w:hAnsi="Bookman Old Style" w:cs="Bookman Old Style"/>
          <w:sz w:val="20"/>
          <w:szCs w:val="20"/>
        </w:rPr>
        <w:t>”.</w:t>
      </w:r>
    </w:p>
    <w:p w14:paraId="6ACC6237" w14:textId="77777777" w:rsidR="001A35D3" w:rsidRDefault="001A35D3">
      <w:pPr>
        <w:jc w:val="both"/>
        <w:rPr>
          <w:rFonts w:ascii="Bookman Old Style" w:eastAsia="Bookman Old Style" w:hAnsi="Bookman Old Style" w:cs="Bookman Old Style"/>
          <w:sz w:val="20"/>
          <w:szCs w:val="20"/>
        </w:rPr>
      </w:pPr>
    </w:p>
    <w:p w14:paraId="3DE0D9AF" w14:textId="77777777" w:rsidR="001A35D3" w:rsidRDefault="007E50E1">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Cordialmente, </w:t>
      </w:r>
    </w:p>
    <w:p w14:paraId="760BD23B" w14:textId="77777777" w:rsidR="001A35D3" w:rsidRDefault="001A35D3">
      <w:pPr>
        <w:tabs>
          <w:tab w:val="right" w:pos="8838"/>
        </w:tabs>
        <w:rPr>
          <w:rFonts w:ascii="Bookman Old Style" w:eastAsia="Bookman Old Style" w:hAnsi="Bookman Old Style" w:cs="Bookman Old Style"/>
          <w:b/>
          <w:sz w:val="20"/>
          <w:szCs w:val="20"/>
        </w:rPr>
      </w:pPr>
    </w:p>
    <w:p w14:paraId="3E8D2276" w14:textId="39CD7937" w:rsidR="001A35D3" w:rsidRDefault="001A35D3">
      <w:pPr>
        <w:tabs>
          <w:tab w:val="right" w:pos="8838"/>
        </w:tabs>
        <w:jc w:val="center"/>
        <w:rPr>
          <w:noProof/>
          <w:sz w:val="20"/>
          <w:szCs w:val="20"/>
          <w:lang w:val="es-MX" w:eastAsia="es-MX"/>
        </w:rPr>
      </w:pPr>
    </w:p>
    <w:p w14:paraId="1AB00F85" w14:textId="77777777" w:rsidR="001D1409" w:rsidRDefault="001D1409">
      <w:pPr>
        <w:tabs>
          <w:tab w:val="right" w:pos="8838"/>
        </w:tabs>
        <w:jc w:val="center"/>
        <w:rPr>
          <w:rFonts w:ascii="Bookman Old Style" w:eastAsia="Bookman Old Style" w:hAnsi="Bookman Old Style" w:cs="Bookman Old Style"/>
          <w:b/>
          <w:sz w:val="20"/>
          <w:szCs w:val="20"/>
        </w:rPr>
      </w:pPr>
    </w:p>
    <w:p w14:paraId="476FDA9D" w14:textId="77777777" w:rsidR="001A35D3" w:rsidRDefault="007E50E1">
      <w:pPr>
        <w:tabs>
          <w:tab w:val="right" w:pos="8838"/>
        </w:tabs>
        <w:spacing w:after="0"/>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EDINSON VLADIMIR OLAYA MANCIPE</w:t>
      </w:r>
    </w:p>
    <w:p w14:paraId="29229965" w14:textId="77777777" w:rsidR="001A35D3" w:rsidRDefault="007E50E1">
      <w:pPr>
        <w:tabs>
          <w:tab w:val="right" w:pos="8838"/>
        </w:tabs>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Representante a la Cámara por Casanare</w:t>
      </w:r>
    </w:p>
    <w:p w14:paraId="2F6381CC" w14:textId="5EED050C" w:rsidR="001A35D3" w:rsidRDefault="007E50E1">
      <w:pPr>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Partido Centro Democrático</w:t>
      </w:r>
    </w:p>
    <w:p w14:paraId="45E78416" w14:textId="5DC31AF4" w:rsidR="00135BD7" w:rsidRDefault="00135BD7">
      <w:pPr>
        <w:spacing w:after="0"/>
        <w:jc w:val="center"/>
        <w:rPr>
          <w:rFonts w:ascii="Bookman Old Style" w:eastAsia="Bookman Old Style" w:hAnsi="Bookman Old Style" w:cs="Bookman Old Style"/>
          <w:sz w:val="20"/>
          <w:szCs w:val="20"/>
        </w:rPr>
      </w:pPr>
    </w:p>
    <w:p w14:paraId="20EDF01D" w14:textId="63214A78" w:rsidR="00135BD7" w:rsidRDefault="00135BD7">
      <w:pPr>
        <w:spacing w:after="0"/>
        <w:jc w:val="center"/>
        <w:rPr>
          <w:rFonts w:ascii="Bookman Old Style" w:eastAsia="Bookman Old Style" w:hAnsi="Bookman Old Style" w:cs="Bookman Old Style"/>
          <w:sz w:val="20"/>
          <w:szCs w:val="20"/>
        </w:rPr>
      </w:pPr>
    </w:p>
    <w:p w14:paraId="0F32D7CE" w14:textId="2C8DB721" w:rsidR="00135BD7" w:rsidRDefault="00135BD7">
      <w:pPr>
        <w:spacing w:after="0"/>
        <w:jc w:val="center"/>
        <w:rPr>
          <w:rFonts w:ascii="Bookman Old Style" w:eastAsia="Bookman Old Style" w:hAnsi="Bookman Old Style" w:cs="Bookman Old Style"/>
          <w:sz w:val="20"/>
          <w:szCs w:val="20"/>
        </w:rPr>
      </w:pPr>
    </w:p>
    <w:p w14:paraId="53B736CB" w14:textId="36BDE05D" w:rsidR="00135BD7" w:rsidRDefault="00135BD7">
      <w:pPr>
        <w:spacing w:after="0"/>
        <w:jc w:val="center"/>
        <w:rPr>
          <w:rFonts w:ascii="Bookman Old Style" w:eastAsia="Bookman Old Style" w:hAnsi="Bookman Old Style" w:cs="Bookman Old Style"/>
          <w:sz w:val="20"/>
          <w:szCs w:val="20"/>
        </w:rPr>
      </w:pPr>
    </w:p>
    <w:p w14:paraId="2D5528BA" w14:textId="3708325A" w:rsidR="00135BD7" w:rsidRDefault="00135BD7">
      <w:pPr>
        <w:spacing w:after="0"/>
        <w:jc w:val="center"/>
        <w:rPr>
          <w:rFonts w:ascii="Bookman Old Style" w:eastAsia="Bookman Old Style" w:hAnsi="Bookman Old Style" w:cs="Bookman Old Style"/>
          <w:sz w:val="20"/>
          <w:szCs w:val="20"/>
        </w:rPr>
      </w:pPr>
    </w:p>
    <w:p w14:paraId="508064CF" w14:textId="68A8494A" w:rsidR="00135BD7" w:rsidRDefault="00135BD7">
      <w:pPr>
        <w:spacing w:after="0"/>
        <w:jc w:val="center"/>
        <w:rPr>
          <w:rFonts w:ascii="Bookman Old Style" w:eastAsia="Bookman Old Style" w:hAnsi="Bookman Old Style" w:cs="Bookman Old Style"/>
          <w:sz w:val="20"/>
          <w:szCs w:val="20"/>
        </w:rPr>
      </w:pPr>
    </w:p>
    <w:p w14:paraId="1B1091E6" w14:textId="65B9DB40" w:rsidR="00135BD7" w:rsidRDefault="00135BD7">
      <w:pPr>
        <w:spacing w:after="0"/>
        <w:jc w:val="center"/>
        <w:rPr>
          <w:rFonts w:ascii="Bookman Old Style" w:eastAsia="Bookman Old Style" w:hAnsi="Bookman Old Style" w:cs="Bookman Old Style"/>
          <w:sz w:val="20"/>
          <w:szCs w:val="20"/>
        </w:rPr>
      </w:pPr>
    </w:p>
    <w:p w14:paraId="261D1705" w14:textId="4508DC74" w:rsidR="00135BD7" w:rsidRDefault="00135BD7" w:rsidP="00135BD7">
      <w:pPr>
        <w:spacing w:after="0"/>
        <w:rPr>
          <w:rFonts w:ascii="Bookman Old Style" w:eastAsia="Bookman Old Style" w:hAnsi="Bookman Old Style" w:cs="Bookman Old Style"/>
          <w:sz w:val="20"/>
          <w:szCs w:val="20"/>
        </w:rPr>
      </w:pPr>
    </w:p>
    <w:p w14:paraId="7FFE2C79" w14:textId="54FD1218" w:rsidR="00135BD7" w:rsidRDefault="00135BD7" w:rsidP="00135BD7">
      <w:pPr>
        <w:spacing w:after="0"/>
        <w:rPr>
          <w:rFonts w:ascii="Bookman Old Style" w:eastAsia="Bookman Old Style" w:hAnsi="Bookman Old Style" w:cs="Bookman Old Style"/>
          <w:sz w:val="20"/>
          <w:szCs w:val="20"/>
        </w:rPr>
      </w:pPr>
    </w:p>
    <w:p w14:paraId="1FCEB629" w14:textId="77777777" w:rsidR="00307429" w:rsidRPr="00153212" w:rsidRDefault="00307429" w:rsidP="00307429">
      <w:pPr>
        <w:spacing w:after="0"/>
        <w:rPr>
          <w:rFonts w:ascii="Arial" w:hAnsi="Arial" w:cs="Arial"/>
          <w:sz w:val="24"/>
          <w:szCs w:val="24"/>
        </w:rPr>
      </w:pPr>
      <w:r w:rsidRPr="00153212">
        <w:rPr>
          <w:rFonts w:ascii="Arial" w:hAnsi="Arial" w:cs="Arial"/>
          <w:noProof/>
          <w:sz w:val="24"/>
          <w:szCs w:val="24"/>
        </w:rPr>
        <w:drawing>
          <wp:inline distT="0" distB="0" distL="0" distR="0" wp14:anchorId="02FE368F" wp14:editId="59405BC9">
            <wp:extent cx="1600200" cy="794670"/>
            <wp:effectExtent l="0" t="0" r="0" b="0"/>
            <wp:docPr id="1541201001" name="Imagen 154120100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01001" name="Imagen 1541201001" descr="Form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0957" cy="800012"/>
                    </a:xfrm>
                    <a:prstGeom prst="rect">
                      <a:avLst/>
                    </a:prstGeom>
                  </pic:spPr>
                </pic:pic>
              </a:graphicData>
            </a:graphic>
          </wp:inline>
        </w:drawing>
      </w:r>
    </w:p>
    <w:p w14:paraId="582F0940" w14:textId="77777777" w:rsidR="00307429" w:rsidRPr="00153212" w:rsidRDefault="00307429" w:rsidP="00307429">
      <w:pPr>
        <w:spacing w:after="0"/>
        <w:rPr>
          <w:rFonts w:ascii="Arial" w:hAnsi="Arial" w:cs="Arial"/>
          <w:b/>
          <w:bCs/>
          <w:sz w:val="24"/>
          <w:szCs w:val="24"/>
        </w:rPr>
      </w:pPr>
      <w:r w:rsidRPr="00153212">
        <w:rPr>
          <w:rFonts w:ascii="Arial" w:hAnsi="Arial" w:cs="Arial"/>
          <w:b/>
          <w:bCs/>
          <w:sz w:val="24"/>
          <w:szCs w:val="24"/>
        </w:rPr>
        <w:t xml:space="preserve">JUAN ESPINAL </w:t>
      </w:r>
    </w:p>
    <w:p w14:paraId="1F82CB99" w14:textId="150E1CFE" w:rsidR="00307429" w:rsidRPr="00153212" w:rsidRDefault="00307429" w:rsidP="00307429">
      <w:pPr>
        <w:spacing w:after="0"/>
        <w:rPr>
          <w:rFonts w:ascii="Arial" w:hAnsi="Arial" w:cs="Arial"/>
          <w:sz w:val="24"/>
          <w:szCs w:val="24"/>
        </w:rPr>
      </w:pPr>
      <w:r w:rsidRPr="00153212">
        <w:rPr>
          <w:rFonts w:ascii="Arial" w:hAnsi="Arial" w:cs="Arial"/>
          <w:sz w:val="24"/>
          <w:szCs w:val="24"/>
        </w:rPr>
        <w:t xml:space="preserve">Representante a la Cámara </w:t>
      </w:r>
    </w:p>
    <w:p w14:paraId="77C95CE8" w14:textId="77777777" w:rsidR="00307429" w:rsidRPr="00153212" w:rsidRDefault="00307429" w:rsidP="00307429">
      <w:pPr>
        <w:spacing w:after="0"/>
        <w:rPr>
          <w:rFonts w:ascii="Arial" w:hAnsi="Arial" w:cs="Arial"/>
          <w:sz w:val="24"/>
          <w:szCs w:val="24"/>
        </w:rPr>
      </w:pPr>
      <w:r w:rsidRPr="00153212">
        <w:rPr>
          <w:rFonts w:ascii="Arial" w:hAnsi="Arial" w:cs="Arial"/>
          <w:sz w:val="24"/>
          <w:szCs w:val="24"/>
        </w:rPr>
        <w:t>Partido Centro Democrático</w:t>
      </w:r>
    </w:p>
    <w:p w14:paraId="0BAC118B" w14:textId="6329A768" w:rsidR="00135BD7" w:rsidRDefault="00135BD7" w:rsidP="00135BD7">
      <w:pPr>
        <w:spacing w:after="0"/>
        <w:rPr>
          <w:rFonts w:ascii="Bookman Old Style" w:eastAsia="Bookman Old Style" w:hAnsi="Bookman Old Style" w:cs="Bookman Old Style"/>
          <w:sz w:val="20"/>
          <w:szCs w:val="20"/>
        </w:rPr>
      </w:pPr>
    </w:p>
    <w:p w14:paraId="50083D89" w14:textId="672D9B2A" w:rsidR="00135BD7" w:rsidRDefault="00135BD7" w:rsidP="00135BD7">
      <w:pPr>
        <w:spacing w:after="0"/>
        <w:rPr>
          <w:rFonts w:ascii="Bookman Old Style" w:eastAsia="Bookman Old Style" w:hAnsi="Bookman Old Style" w:cs="Bookman Old Style"/>
          <w:sz w:val="20"/>
          <w:szCs w:val="20"/>
        </w:rPr>
      </w:pPr>
    </w:p>
    <w:p w14:paraId="5BA697C3" w14:textId="0E145174"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C858E02" w14:textId="6AA5A569" w:rsidR="00135BD7" w:rsidRDefault="00135BD7" w:rsidP="00135BD7">
      <w:pPr>
        <w:spacing w:after="0"/>
        <w:rPr>
          <w:rFonts w:ascii="Bookman Old Style" w:eastAsia="Bookman Old Style" w:hAnsi="Bookman Old Style" w:cs="Bookman Old Style"/>
          <w:sz w:val="20"/>
          <w:szCs w:val="20"/>
        </w:rPr>
      </w:pPr>
    </w:p>
    <w:p w14:paraId="6FC7A04F" w14:textId="585DD781" w:rsidR="00135BD7" w:rsidRDefault="00135BD7" w:rsidP="00135BD7">
      <w:pPr>
        <w:spacing w:after="0"/>
        <w:rPr>
          <w:rFonts w:ascii="Bookman Old Style" w:eastAsia="Bookman Old Style" w:hAnsi="Bookman Old Style" w:cs="Bookman Old Style"/>
          <w:sz w:val="20"/>
          <w:szCs w:val="20"/>
        </w:rPr>
      </w:pPr>
    </w:p>
    <w:p w14:paraId="232163C8" w14:textId="52FDA30E" w:rsidR="00135BD7" w:rsidRDefault="00135BD7" w:rsidP="00135BD7">
      <w:pPr>
        <w:spacing w:after="0"/>
        <w:rPr>
          <w:rFonts w:ascii="Bookman Old Style" w:eastAsia="Bookman Old Style" w:hAnsi="Bookman Old Style" w:cs="Bookman Old Style"/>
          <w:sz w:val="20"/>
          <w:szCs w:val="20"/>
        </w:rPr>
      </w:pPr>
    </w:p>
    <w:p w14:paraId="67654127" w14:textId="328152AE" w:rsidR="00135BD7" w:rsidRDefault="00135BD7" w:rsidP="00135BD7">
      <w:pPr>
        <w:spacing w:after="0"/>
        <w:rPr>
          <w:rFonts w:ascii="Bookman Old Style" w:eastAsia="Bookman Old Style" w:hAnsi="Bookman Old Style" w:cs="Bookman Old Style"/>
          <w:sz w:val="20"/>
          <w:szCs w:val="20"/>
        </w:rPr>
      </w:pPr>
    </w:p>
    <w:p w14:paraId="264DAB10" w14:textId="0A1D0F99"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7EC08AC" w14:textId="551568C7" w:rsidR="00135BD7" w:rsidRDefault="00135BD7" w:rsidP="00135BD7">
      <w:pPr>
        <w:spacing w:after="0"/>
        <w:rPr>
          <w:rFonts w:ascii="Bookman Old Style" w:eastAsia="Bookman Old Style" w:hAnsi="Bookman Old Style" w:cs="Bookman Old Style"/>
          <w:sz w:val="20"/>
          <w:szCs w:val="20"/>
        </w:rPr>
      </w:pPr>
    </w:p>
    <w:p w14:paraId="31618046" w14:textId="0482B914" w:rsidR="00135BD7" w:rsidRDefault="00135BD7" w:rsidP="00135BD7">
      <w:pPr>
        <w:spacing w:after="0"/>
        <w:rPr>
          <w:rFonts w:ascii="Bookman Old Style" w:eastAsia="Bookman Old Style" w:hAnsi="Bookman Old Style" w:cs="Bookman Old Style"/>
          <w:sz w:val="20"/>
          <w:szCs w:val="20"/>
        </w:rPr>
      </w:pPr>
    </w:p>
    <w:p w14:paraId="2602D7DC" w14:textId="561FD11D" w:rsidR="00135BD7" w:rsidRDefault="00135BD7" w:rsidP="00135BD7">
      <w:pPr>
        <w:spacing w:after="0"/>
        <w:rPr>
          <w:rFonts w:ascii="Bookman Old Style" w:eastAsia="Bookman Old Style" w:hAnsi="Bookman Old Style" w:cs="Bookman Old Style"/>
          <w:sz w:val="20"/>
          <w:szCs w:val="20"/>
        </w:rPr>
      </w:pPr>
    </w:p>
    <w:p w14:paraId="1DA6163C" w14:textId="07AFC754" w:rsidR="00135BD7" w:rsidRDefault="00135BD7" w:rsidP="00135BD7">
      <w:pPr>
        <w:spacing w:after="0"/>
        <w:rPr>
          <w:rFonts w:ascii="Bookman Old Style" w:eastAsia="Bookman Old Style" w:hAnsi="Bookman Old Style" w:cs="Bookman Old Style"/>
          <w:sz w:val="20"/>
          <w:szCs w:val="20"/>
        </w:rPr>
      </w:pPr>
    </w:p>
    <w:p w14:paraId="7D7E9896" w14:textId="5BE3FAEE"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41E746C" w14:textId="2F65340B" w:rsidR="00135BD7" w:rsidRDefault="00135BD7" w:rsidP="00135BD7">
      <w:pPr>
        <w:spacing w:after="0"/>
        <w:rPr>
          <w:rFonts w:ascii="Bookman Old Style" w:eastAsia="Bookman Old Style" w:hAnsi="Bookman Old Style" w:cs="Bookman Old Style"/>
          <w:sz w:val="20"/>
          <w:szCs w:val="20"/>
        </w:rPr>
      </w:pPr>
    </w:p>
    <w:p w14:paraId="588A578C" w14:textId="4E4D6F9F" w:rsidR="00135BD7" w:rsidRDefault="00135BD7" w:rsidP="00135BD7">
      <w:pPr>
        <w:spacing w:after="0"/>
        <w:rPr>
          <w:rFonts w:ascii="Bookman Old Style" w:eastAsia="Bookman Old Style" w:hAnsi="Bookman Old Style" w:cs="Bookman Old Style"/>
          <w:sz w:val="20"/>
          <w:szCs w:val="20"/>
        </w:rPr>
      </w:pPr>
    </w:p>
    <w:p w14:paraId="0BC017D5" w14:textId="635EFD86" w:rsidR="00135BD7" w:rsidRDefault="00135BD7" w:rsidP="00135BD7">
      <w:pPr>
        <w:spacing w:after="0"/>
        <w:rPr>
          <w:rFonts w:ascii="Bookman Old Style" w:eastAsia="Bookman Old Style" w:hAnsi="Bookman Old Style" w:cs="Bookman Old Style"/>
          <w:sz w:val="20"/>
          <w:szCs w:val="20"/>
        </w:rPr>
      </w:pPr>
    </w:p>
    <w:p w14:paraId="4E30F1E5" w14:textId="46BCAD77" w:rsidR="00135BD7" w:rsidRDefault="00135BD7" w:rsidP="00135BD7">
      <w:pPr>
        <w:spacing w:after="0"/>
        <w:rPr>
          <w:rFonts w:ascii="Bookman Old Style" w:eastAsia="Bookman Old Style" w:hAnsi="Bookman Old Style" w:cs="Bookman Old Style"/>
          <w:sz w:val="20"/>
          <w:szCs w:val="20"/>
        </w:rPr>
      </w:pPr>
    </w:p>
    <w:p w14:paraId="4F578ED0" w14:textId="3398061E"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A2F8071" w14:textId="3B5F68B3" w:rsidR="00135BD7" w:rsidRDefault="00135BD7" w:rsidP="00135BD7">
      <w:pPr>
        <w:spacing w:after="0"/>
        <w:rPr>
          <w:rFonts w:ascii="Bookman Old Style" w:eastAsia="Bookman Old Style" w:hAnsi="Bookman Old Style" w:cs="Bookman Old Style"/>
          <w:sz w:val="20"/>
          <w:szCs w:val="20"/>
        </w:rPr>
      </w:pPr>
    </w:p>
    <w:p w14:paraId="56405D90" w14:textId="7E52428A" w:rsidR="00135BD7" w:rsidRDefault="00135BD7" w:rsidP="00135BD7">
      <w:pPr>
        <w:spacing w:after="0"/>
        <w:rPr>
          <w:rFonts w:ascii="Bookman Old Style" w:eastAsia="Bookman Old Style" w:hAnsi="Bookman Old Style" w:cs="Bookman Old Style"/>
          <w:sz w:val="20"/>
          <w:szCs w:val="20"/>
        </w:rPr>
      </w:pPr>
    </w:p>
    <w:p w14:paraId="34CF912F" w14:textId="1A018507" w:rsidR="00135BD7" w:rsidRDefault="00135BD7" w:rsidP="00135BD7">
      <w:pPr>
        <w:spacing w:after="0"/>
        <w:rPr>
          <w:rFonts w:ascii="Bookman Old Style" w:eastAsia="Bookman Old Style" w:hAnsi="Bookman Old Style" w:cs="Bookman Old Style"/>
          <w:sz w:val="20"/>
          <w:szCs w:val="20"/>
        </w:rPr>
      </w:pPr>
    </w:p>
    <w:p w14:paraId="475925EC" w14:textId="4210BA68" w:rsidR="00135BD7" w:rsidRDefault="00135BD7" w:rsidP="00135BD7">
      <w:pPr>
        <w:spacing w:after="0"/>
        <w:rPr>
          <w:rFonts w:ascii="Bookman Old Style" w:eastAsia="Bookman Old Style" w:hAnsi="Bookman Old Style" w:cs="Bookman Old Style"/>
          <w:sz w:val="20"/>
          <w:szCs w:val="20"/>
        </w:rPr>
      </w:pPr>
    </w:p>
    <w:p w14:paraId="16CC024C" w14:textId="4AAD1E4D"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E704A1C" w14:textId="64D801B7" w:rsidR="00135BD7" w:rsidRDefault="00135BD7" w:rsidP="00135BD7">
      <w:pPr>
        <w:spacing w:after="0"/>
        <w:rPr>
          <w:rFonts w:ascii="Bookman Old Style" w:eastAsia="Bookman Old Style" w:hAnsi="Bookman Old Style" w:cs="Bookman Old Style"/>
          <w:sz w:val="20"/>
          <w:szCs w:val="20"/>
        </w:rPr>
      </w:pPr>
    </w:p>
    <w:p w14:paraId="4DC6B8E6" w14:textId="5BB02D37" w:rsidR="00135BD7" w:rsidRDefault="00135BD7" w:rsidP="00135BD7">
      <w:pPr>
        <w:spacing w:after="0"/>
        <w:rPr>
          <w:rFonts w:ascii="Bookman Old Style" w:eastAsia="Bookman Old Style" w:hAnsi="Bookman Old Style" w:cs="Bookman Old Style"/>
          <w:sz w:val="20"/>
          <w:szCs w:val="20"/>
        </w:rPr>
      </w:pPr>
    </w:p>
    <w:p w14:paraId="10C372C5" w14:textId="3516B699" w:rsidR="00135BD7" w:rsidRDefault="00135BD7" w:rsidP="00135BD7">
      <w:pPr>
        <w:spacing w:after="0"/>
        <w:rPr>
          <w:rFonts w:ascii="Bookman Old Style" w:eastAsia="Bookman Old Style" w:hAnsi="Bookman Old Style" w:cs="Bookman Old Style"/>
          <w:sz w:val="20"/>
          <w:szCs w:val="20"/>
        </w:rPr>
      </w:pPr>
    </w:p>
    <w:p w14:paraId="4367ECEA" w14:textId="04F8A4FA" w:rsidR="00135BD7" w:rsidRDefault="00135BD7" w:rsidP="00135BD7">
      <w:pPr>
        <w:spacing w:after="0"/>
        <w:rPr>
          <w:rFonts w:ascii="Bookman Old Style" w:eastAsia="Bookman Old Style" w:hAnsi="Bookman Old Style" w:cs="Bookman Old Style"/>
          <w:sz w:val="20"/>
          <w:szCs w:val="20"/>
        </w:rPr>
      </w:pPr>
    </w:p>
    <w:p w14:paraId="51DDC7BC" w14:textId="2A8DC82C"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C450E96" w14:textId="204D58BA" w:rsidR="00135BD7" w:rsidRDefault="00135BD7" w:rsidP="00135BD7">
      <w:pPr>
        <w:spacing w:after="0"/>
        <w:rPr>
          <w:rFonts w:ascii="Bookman Old Style" w:eastAsia="Bookman Old Style" w:hAnsi="Bookman Old Style" w:cs="Bookman Old Style"/>
          <w:sz w:val="20"/>
          <w:szCs w:val="20"/>
        </w:rPr>
      </w:pPr>
    </w:p>
    <w:p w14:paraId="52518EF1" w14:textId="1DE5964F" w:rsidR="00135BD7" w:rsidRDefault="00135BD7" w:rsidP="00135BD7">
      <w:pPr>
        <w:spacing w:after="0"/>
        <w:rPr>
          <w:rFonts w:ascii="Bookman Old Style" w:eastAsia="Bookman Old Style" w:hAnsi="Bookman Old Style" w:cs="Bookman Old Style"/>
          <w:sz w:val="20"/>
          <w:szCs w:val="20"/>
        </w:rPr>
      </w:pPr>
    </w:p>
    <w:p w14:paraId="0BC4179D" w14:textId="7CCA9D60" w:rsidR="00135BD7" w:rsidRDefault="00135BD7" w:rsidP="00135BD7">
      <w:pPr>
        <w:spacing w:after="0"/>
        <w:rPr>
          <w:rFonts w:ascii="Bookman Old Style" w:eastAsia="Bookman Old Style" w:hAnsi="Bookman Old Style" w:cs="Bookman Old Style"/>
          <w:sz w:val="20"/>
          <w:szCs w:val="20"/>
        </w:rPr>
      </w:pPr>
    </w:p>
    <w:p w14:paraId="040466B0" w14:textId="37E41653" w:rsidR="00135BD7" w:rsidRDefault="00135BD7" w:rsidP="00135BD7">
      <w:pPr>
        <w:spacing w:after="0"/>
        <w:rPr>
          <w:rFonts w:ascii="Bookman Old Style" w:eastAsia="Bookman Old Style" w:hAnsi="Bookman Old Style" w:cs="Bookman Old Style"/>
          <w:sz w:val="20"/>
          <w:szCs w:val="20"/>
        </w:rPr>
      </w:pPr>
    </w:p>
    <w:p w14:paraId="44394452" w14:textId="4285587A"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0A00F4D" w14:textId="6777A92E" w:rsidR="00135BD7" w:rsidRDefault="00135BD7" w:rsidP="00135BD7">
      <w:pPr>
        <w:spacing w:after="0"/>
        <w:rPr>
          <w:rFonts w:ascii="Bookman Old Style" w:eastAsia="Bookman Old Style" w:hAnsi="Bookman Old Style" w:cs="Bookman Old Style"/>
          <w:sz w:val="20"/>
          <w:szCs w:val="20"/>
        </w:rPr>
      </w:pPr>
    </w:p>
    <w:p w14:paraId="74A229FE" w14:textId="0C31DEC7" w:rsidR="00135BD7" w:rsidRDefault="00135BD7" w:rsidP="00135BD7">
      <w:pPr>
        <w:spacing w:after="0"/>
        <w:rPr>
          <w:rFonts w:ascii="Bookman Old Style" w:eastAsia="Bookman Old Style" w:hAnsi="Bookman Old Style" w:cs="Bookman Old Style"/>
          <w:sz w:val="20"/>
          <w:szCs w:val="20"/>
        </w:rPr>
      </w:pPr>
    </w:p>
    <w:p w14:paraId="703C222D" w14:textId="4DF806CB" w:rsidR="00135BD7" w:rsidRDefault="00135BD7" w:rsidP="00135BD7">
      <w:pPr>
        <w:spacing w:after="0"/>
        <w:rPr>
          <w:rFonts w:ascii="Bookman Old Style" w:eastAsia="Bookman Old Style" w:hAnsi="Bookman Old Style" w:cs="Bookman Old Style"/>
          <w:sz w:val="20"/>
          <w:szCs w:val="20"/>
        </w:rPr>
      </w:pPr>
    </w:p>
    <w:p w14:paraId="3F2969B2" w14:textId="32C8A43C" w:rsidR="00135BD7" w:rsidRDefault="00135BD7" w:rsidP="00135BD7">
      <w:pPr>
        <w:spacing w:after="0"/>
        <w:rPr>
          <w:rFonts w:ascii="Bookman Old Style" w:eastAsia="Bookman Old Style" w:hAnsi="Bookman Old Style" w:cs="Bookman Old Style"/>
          <w:sz w:val="20"/>
          <w:szCs w:val="20"/>
        </w:rPr>
      </w:pPr>
    </w:p>
    <w:p w14:paraId="56517214" w14:textId="4557B7A6"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w:t>
      </w:r>
    </w:p>
    <w:p w14:paraId="512D3EF5" w14:textId="4FD52D2C" w:rsidR="00135BD7" w:rsidRDefault="00135BD7" w:rsidP="00135BD7">
      <w:pPr>
        <w:spacing w:after="0"/>
        <w:rPr>
          <w:rFonts w:ascii="Bookman Old Style" w:eastAsia="Bookman Old Style" w:hAnsi="Bookman Old Style" w:cs="Bookman Old Style"/>
          <w:sz w:val="20"/>
          <w:szCs w:val="20"/>
        </w:rPr>
      </w:pPr>
    </w:p>
    <w:p w14:paraId="4032C79A" w14:textId="772037E2" w:rsidR="00135BD7" w:rsidRDefault="00135BD7" w:rsidP="00135BD7">
      <w:pPr>
        <w:spacing w:after="0"/>
        <w:rPr>
          <w:rFonts w:ascii="Bookman Old Style" w:eastAsia="Bookman Old Style" w:hAnsi="Bookman Old Style" w:cs="Bookman Old Style"/>
          <w:sz w:val="20"/>
          <w:szCs w:val="20"/>
        </w:rPr>
      </w:pPr>
    </w:p>
    <w:p w14:paraId="2A0CCA3F" w14:textId="47B79127" w:rsidR="00135BD7" w:rsidRDefault="00135BD7" w:rsidP="00135BD7">
      <w:pPr>
        <w:spacing w:after="0"/>
        <w:rPr>
          <w:rFonts w:ascii="Bookman Old Style" w:eastAsia="Bookman Old Style" w:hAnsi="Bookman Old Style" w:cs="Bookman Old Style"/>
          <w:sz w:val="20"/>
          <w:szCs w:val="20"/>
        </w:rPr>
      </w:pPr>
    </w:p>
    <w:p w14:paraId="68485CD5" w14:textId="3B1E4526" w:rsidR="00135BD7" w:rsidRDefault="00135BD7" w:rsidP="00135BD7">
      <w:pPr>
        <w:spacing w:after="0"/>
        <w:rPr>
          <w:rFonts w:ascii="Bookman Old Style" w:eastAsia="Bookman Old Style" w:hAnsi="Bookman Old Style" w:cs="Bookman Old Style"/>
          <w:sz w:val="20"/>
          <w:szCs w:val="20"/>
        </w:rPr>
      </w:pPr>
    </w:p>
    <w:p w14:paraId="134FA09E" w14:textId="0F4D4727" w:rsidR="00135BD7" w:rsidRDefault="00135BD7" w:rsidP="00135BD7">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7773B3D" w14:textId="77777777" w:rsidR="001A35D3" w:rsidRDefault="001A35D3">
      <w:pPr>
        <w:rPr>
          <w:rFonts w:ascii="Bookman Old Style" w:eastAsia="Bookman Old Style" w:hAnsi="Bookman Old Style" w:cs="Bookman Old Style"/>
          <w:b/>
          <w:sz w:val="20"/>
          <w:szCs w:val="20"/>
        </w:rPr>
      </w:pPr>
    </w:p>
    <w:p w14:paraId="61186D5F" w14:textId="3E36AB9C" w:rsidR="001D1409" w:rsidRDefault="001D1409">
      <w:pPr>
        <w:rPr>
          <w:rFonts w:ascii="Bookman Old Style" w:eastAsia="Bookman Old Style" w:hAnsi="Bookman Old Style" w:cs="Bookman Old Style"/>
          <w:b/>
          <w:sz w:val="20"/>
          <w:szCs w:val="20"/>
        </w:rPr>
      </w:pPr>
    </w:p>
    <w:p w14:paraId="253B2B3E" w14:textId="77777777" w:rsidR="001A35D3" w:rsidRDefault="001A35D3">
      <w:pPr>
        <w:rPr>
          <w:rFonts w:ascii="Bookman Old Style" w:eastAsia="Bookman Old Style" w:hAnsi="Bookman Old Style" w:cs="Bookman Old Style"/>
          <w:b/>
          <w:sz w:val="20"/>
          <w:szCs w:val="20"/>
        </w:rPr>
      </w:pPr>
    </w:p>
    <w:p w14:paraId="69F6AD8E" w14:textId="77777777" w:rsidR="001A35D3" w:rsidRDefault="007E50E1">
      <w:pPr>
        <w:jc w:val="center"/>
        <w:rPr>
          <w:rFonts w:ascii="Bookman Old Style" w:eastAsia="Bookman Old Style" w:hAnsi="Bookman Old Style" w:cs="Bookman Old Style"/>
          <w:b/>
        </w:rPr>
      </w:pPr>
      <w:r>
        <w:rPr>
          <w:rFonts w:ascii="Bookman Old Style" w:eastAsia="Bookman Old Style" w:hAnsi="Bookman Old Style" w:cs="Bookman Old Style"/>
          <w:b/>
        </w:rPr>
        <w:t>PROYECTO DE LEY</w:t>
      </w:r>
    </w:p>
    <w:p w14:paraId="376D1E17" w14:textId="77777777" w:rsidR="001A35D3" w:rsidRDefault="001A35D3">
      <w:pPr>
        <w:jc w:val="center"/>
        <w:rPr>
          <w:rFonts w:ascii="Bookman Old Style" w:eastAsia="Bookman Old Style" w:hAnsi="Bookman Old Style" w:cs="Bookman Old Style"/>
          <w:b/>
        </w:rPr>
      </w:pPr>
    </w:p>
    <w:p w14:paraId="70283BB5" w14:textId="1D6E9A46" w:rsidR="001A35D3" w:rsidRDefault="007E50E1">
      <w:pPr>
        <w:jc w:val="center"/>
        <w:rPr>
          <w:rFonts w:ascii="Bookman Old Style" w:eastAsia="Bookman Old Style" w:hAnsi="Bookman Old Style" w:cs="Bookman Old Style"/>
        </w:rPr>
      </w:pPr>
      <w:r>
        <w:rPr>
          <w:rFonts w:ascii="Bookman Old Style" w:eastAsia="Bookman Old Style" w:hAnsi="Bookman Old Style" w:cs="Bookman Old Style"/>
        </w:rPr>
        <w:t>“</w:t>
      </w:r>
      <w:r>
        <w:rPr>
          <w:rFonts w:ascii="Times New Roman" w:eastAsia="Times New Roman" w:hAnsi="Times New Roman" w:cs="Times New Roman"/>
          <w:i/>
          <w:sz w:val="24"/>
          <w:szCs w:val="24"/>
        </w:rPr>
        <w:t>Por medio del cual se reconoce a</w:t>
      </w:r>
      <w:r w:rsidR="009E3DB9">
        <w:rPr>
          <w:rFonts w:ascii="Times New Roman" w:eastAsia="Times New Roman" w:hAnsi="Times New Roman" w:cs="Times New Roman"/>
          <w:i/>
          <w:sz w:val="24"/>
          <w:szCs w:val="24"/>
        </w:rPr>
        <w:t>l río</w:t>
      </w:r>
      <w:r>
        <w:rPr>
          <w:rFonts w:ascii="Times New Roman" w:eastAsia="Times New Roman" w:hAnsi="Times New Roman" w:cs="Times New Roman"/>
          <w:i/>
          <w:sz w:val="24"/>
          <w:szCs w:val="24"/>
        </w:rPr>
        <w:t xml:space="preserve"> el Cravo</w:t>
      </w:r>
      <w:r w:rsidR="002A28F5">
        <w:rPr>
          <w:rFonts w:ascii="Times New Roman" w:eastAsia="Times New Roman" w:hAnsi="Times New Roman" w:cs="Times New Roman"/>
          <w:i/>
          <w:sz w:val="24"/>
          <w:szCs w:val="24"/>
        </w:rPr>
        <w:t xml:space="preserve"> Sur</w:t>
      </w:r>
      <w:r>
        <w:rPr>
          <w:rFonts w:ascii="Times New Roman" w:eastAsia="Times New Roman" w:hAnsi="Times New Roman" w:cs="Times New Roman"/>
          <w:i/>
          <w:sz w:val="24"/>
          <w:szCs w:val="24"/>
        </w:rPr>
        <w:t>, sus cuencas y afluentes hídricos como sujeto</w:t>
      </w:r>
      <w:r w:rsidR="009E3DB9">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de derechos y se dictan otras disposiciones</w:t>
      </w:r>
      <w:r>
        <w:rPr>
          <w:rFonts w:ascii="Bookman Old Style" w:eastAsia="Bookman Old Style" w:hAnsi="Bookman Old Style" w:cs="Bookman Old Style"/>
        </w:rPr>
        <w:t>”</w:t>
      </w:r>
    </w:p>
    <w:p w14:paraId="52878969" w14:textId="77777777" w:rsidR="001A35D3" w:rsidRDefault="001A35D3">
      <w:pPr>
        <w:rPr>
          <w:rFonts w:ascii="Bookman Old Style" w:eastAsia="Bookman Old Style" w:hAnsi="Bookman Old Style" w:cs="Bookman Old Style"/>
          <w:b/>
        </w:rPr>
      </w:pPr>
    </w:p>
    <w:p w14:paraId="34AF6852" w14:textId="77777777" w:rsidR="001A35D3" w:rsidRDefault="007E50E1">
      <w:pPr>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 xml:space="preserve">EL CONGRESO DE LA REPÚBLICA </w:t>
      </w:r>
    </w:p>
    <w:p w14:paraId="4841F033" w14:textId="77777777" w:rsidR="001A35D3" w:rsidRDefault="001A35D3">
      <w:pPr>
        <w:jc w:val="center"/>
        <w:rPr>
          <w:rFonts w:ascii="Bookman Old Style" w:eastAsia="Bookman Old Style" w:hAnsi="Bookman Old Style" w:cs="Bookman Old Style"/>
          <w:b/>
          <w:color w:val="000000"/>
          <w:sz w:val="20"/>
          <w:szCs w:val="20"/>
        </w:rPr>
      </w:pPr>
    </w:p>
    <w:p w14:paraId="24A8A946" w14:textId="77777777" w:rsidR="001A35D3" w:rsidRDefault="007E50E1">
      <w:pPr>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DECRETA:</w:t>
      </w:r>
    </w:p>
    <w:p w14:paraId="7572A69D" w14:textId="3CEDC141" w:rsidR="001A35D3" w:rsidRDefault="007E50E1">
      <w:pPr>
        <w:spacing w:line="360" w:lineRule="auto"/>
        <w:jc w:val="both"/>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Artículo 1º. Objeto.</w:t>
      </w:r>
      <w:r>
        <w:rPr>
          <w:rFonts w:ascii="Bookman Old Style" w:eastAsia="Bookman Old Style" w:hAnsi="Bookman Old Style" w:cs="Bookman Old Style"/>
          <w:sz w:val="20"/>
          <w:szCs w:val="20"/>
        </w:rPr>
        <w:t xml:space="preserve"> La presente ley tiene por objeto reconocer a</w:t>
      </w:r>
      <w:r w:rsidR="009E3DB9">
        <w:rPr>
          <w:rFonts w:ascii="Bookman Old Style" w:eastAsia="Bookman Old Style" w:hAnsi="Bookman Old Style" w:cs="Bookman Old Style"/>
          <w:sz w:val="20"/>
          <w:szCs w:val="20"/>
        </w:rPr>
        <w:t>l</w:t>
      </w:r>
      <w:r>
        <w:rPr>
          <w:rFonts w:ascii="Bookman Old Style" w:eastAsia="Bookman Old Style" w:hAnsi="Bookman Old Style" w:cs="Bookman Old Style"/>
          <w:sz w:val="20"/>
          <w:szCs w:val="20"/>
        </w:rPr>
        <w:t xml:space="preserve">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sus afluentes como unas entidades sujeto de derechos. Esta designación busca garantizar la protección, conservación, mantenimiento y restauración de estos ecosistemas hídricos. Las responsabilidades derivadas de este reconocimiento recaerá</w:t>
      </w:r>
      <w:r w:rsidR="009E3DB9">
        <w:rPr>
          <w:rFonts w:ascii="Bookman Old Style" w:eastAsia="Bookman Old Style" w:hAnsi="Bookman Old Style" w:cs="Bookman Old Style"/>
          <w:sz w:val="20"/>
          <w:szCs w:val="20"/>
        </w:rPr>
        <w:t>n</w:t>
      </w:r>
      <w:r>
        <w:rPr>
          <w:rFonts w:ascii="Bookman Old Style" w:eastAsia="Bookman Old Style" w:hAnsi="Bookman Old Style" w:cs="Bookman Old Style"/>
          <w:sz w:val="20"/>
          <w:szCs w:val="20"/>
        </w:rPr>
        <w:t xml:space="preserve"> en el Estado, así como en las comunidades que habitan en la zona de influencia </w:t>
      </w:r>
      <w:r w:rsidR="009E3DB9">
        <w:rPr>
          <w:rFonts w:ascii="Bookman Old Style" w:eastAsia="Bookman Old Style" w:hAnsi="Bookman Old Style" w:cs="Bookman Old Style"/>
          <w:sz w:val="20"/>
          <w:szCs w:val="20"/>
        </w:rPr>
        <w:t>del Río</w:t>
      </w:r>
      <w:r>
        <w:rPr>
          <w:rFonts w:ascii="Bookman Old Style" w:eastAsia="Bookman Old Style" w:hAnsi="Bookman Old Style" w:cs="Bookman Old Style"/>
          <w:sz w:val="20"/>
          <w:szCs w:val="20"/>
        </w:rPr>
        <w:t xml:space="preserve">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Además, se fomentará la participación activa de la sociedad civil y las organizaciones ambientales en la implementación y monitoreo de las acciones correspondientes.</w:t>
      </w:r>
    </w:p>
    <w:p w14:paraId="4A6EBA1D" w14:textId="59335279" w:rsidR="001A35D3" w:rsidRDefault="007E50E1">
      <w:pPr>
        <w:spacing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2º. Reconocimiento.</w:t>
      </w:r>
      <w:r>
        <w:rPr>
          <w:rFonts w:ascii="Bookman Old Style" w:eastAsia="Bookman Old Style" w:hAnsi="Bookman Old Style" w:cs="Bookman Old Style"/>
          <w:sz w:val="20"/>
          <w:szCs w:val="20"/>
        </w:rPr>
        <w:t xml:space="preserve"> Reconocer </w:t>
      </w:r>
      <w:r w:rsidR="009E3DB9">
        <w:rPr>
          <w:rFonts w:ascii="Bookman Old Style" w:eastAsia="Bookman Old Style" w:hAnsi="Bookman Old Style" w:cs="Bookman Old Style"/>
          <w:sz w:val="20"/>
          <w:szCs w:val="20"/>
        </w:rPr>
        <w:t>al</w:t>
      </w:r>
      <w:r>
        <w:rPr>
          <w:rFonts w:ascii="Bookman Old Style" w:eastAsia="Bookman Old Style" w:hAnsi="Bookman Old Style" w:cs="Bookman Old Style"/>
          <w:sz w:val="20"/>
          <w:szCs w:val="20"/>
        </w:rPr>
        <w:t xml:space="preserve">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w:t>
      </w:r>
      <w:r w:rsidR="009E3DB9">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sus cuencas y sus afluentes como unas entidades sujeto de derechos, con el propósito de garantizar su protección, conservación, mantenimiento y restauración. Estas responsabilidades serán asumidas por el Estado, así como por las comunidades que habitan en la zona de influencia.</w:t>
      </w:r>
    </w:p>
    <w:p w14:paraId="14E6C5BA" w14:textId="1010C8BF"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3º. Representantes legales.</w:t>
      </w:r>
      <w:r>
        <w:rPr>
          <w:rFonts w:ascii="Bookman Old Style" w:eastAsia="Bookman Old Style" w:hAnsi="Bookman Old Style" w:cs="Bookman Old Style"/>
          <w:sz w:val="20"/>
          <w:szCs w:val="20"/>
        </w:rPr>
        <w:t xml:space="preserve"> El Gobierno Nacional, a través del Ministerio de Ambiente y Desarrollo Sostenible o la entidad que lo sustituya, </w:t>
      </w:r>
      <w:r w:rsidR="007747F3">
        <w:rPr>
          <w:rFonts w:ascii="Bookman Old Style" w:eastAsia="Bookman Old Style" w:hAnsi="Bookman Old Style" w:cs="Bookman Old Style"/>
          <w:sz w:val="20"/>
          <w:szCs w:val="20"/>
        </w:rPr>
        <w:t xml:space="preserve">la Corporación Autónoma Regional de la Orinoquia, </w:t>
      </w:r>
      <w:r w:rsidR="006635DC">
        <w:rPr>
          <w:rFonts w:ascii="Bookman Old Style" w:eastAsia="Bookman Old Style" w:hAnsi="Bookman Old Style" w:cs="Bookman Old Style"/>
          <w:sz w:val="20"/>
          <w:szCs w:val="20"/>
        </w:rPr>
        <w:t>CORPORINOQUIA</w:t>
      </w:r>
      <w:r w:rsidR="007747F3">
        <w:rPr>
          <w:rFonts w:ascii="Bookman Old Style" w:eastAsia="Bookman Old Style" w:hAnsi="Bookman Old Style" w:cs="Bookman Old Style"/>
          <w:sz w:val="20"/>
          <w:szCs w:val="20"/>
        </w:rPr>
        <w:t>,</w:t>
      </w:r>
      <w:r w:rsidR="006635DC">
        <w:rPr>
          <w:rFonts w:ascii="Bookman Old Style" w:eastAsia="Bookman Old Style" w:hAnsi="Bookman Old Style" w:cs="Bookman Old Style"/>
          <w:sz w:val="20"/>
          <w:szCs w:val="20"/>
        </w:rPr>
        <w:t xml:space="preserve"> y</w:t>
      </w:r>
      <w:r w:rsidR="007747F3">
        <w:rPr>
          <w:rFonts w:ascii="Bookman Old Style" w:eastAsia="Bookman Old Style" w:hAnsi="Bookman Old Style" w:cs="Bookman Old Style"/>
          <w:sz w:val="20"/>
          <w:szCs w:val="20"/>
        </w:rPr>
        <w:t xml:space="preserve"> </w:t>
      </w:r>
      <w:r w:rsidR="006635DC">
        <w:rPr>
          <w:rFonts w:ascii="Bookman Old Style" w:eastAsia="Bookman Old Style" w:hAnsi="Bookman Old Style" w:cs="Bookman Old Style"/>
          <w:sz w:val="20"/>
          <w:szCs w:val="20"/>
        </w:rPr>
        <w:t xml:space="preserve">la Corporación Autónoma Regional de Boyacá, CORPOBOYACÁ, y </w:t>
      </w:r>
      <w:r>
        <w:rPr>
          <w:rFonts w:ascii="Bookman Old Style" w:eastAsia="Bookman Old Style" w:hAnsi="Bookman Old Style" w:cs="Bookman Old Style"/>
          <w:sz w:val="20"/>
          <w:szCs w:val="20"/>
        </w:rPr>
        <w:t xml:space="preserve"> las comunidades que habitan la zona de influencia de</w:t>
      </w:r>
      <w:r w:rsidR="009E3DB9">
        <w:rPr>
          <w:rFonts w:ascii="Bookman Old Style" w:eastAsia="Bookman Old Style" w:hAnsi="Bookman Old Style" w:cs="Bookman Old Style"/>
          <w:sz w:val="20"/>
          <w:szCs w:val="20"/>
        </w:rPr>
        <w:t>l</w:t>
      </w:r>
      <w:r>
        <w:rPr>
          <w:rFonts w:ascii="Bookman Old Style" w:eastAsia="Bookman Old Style" w:hAnsi="Bookman Old Style" w:cs="Bookman Old Style"/>
          <w:sz w:val="20"/>
          <w:szCs w:val="20"/>
        </w:rPr>
        <w:t xml:space="preserve">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designarán cada uno un (1) representante. La representación legal de</w:t>
      </w:r>
      <w:r w:rsidR="009E3DB9">
        <w:rPr>
          <w:rFonts w:ascii="Bookman Old Style" w:eastAsia="Bookman Old Style" w:hAnsi="Bookman Old Style" w:cs="Bookman Old Style"/>
          <w:sz w:val="20"/>
          <w:szCs w:val="20"/>
        </w:rPr>
        <w:t>l Río</w:t>
      </w:r>
      <w:r>
        <w:rPr>
          <w:rFonts w:ascii="Bookman Old Style" w:eastAsia="Bookman Old Style" w:hAnsi="Bookman Old Style" w:cs="Bookman Old Style"/>
          <w:sz w:val="20"/>
          <w:szCs w:val="20"/>
        </w:rPr>
        <w:t xml:space="preserve"> Cravo</w:t>
      </w:r>
      <w:r w:rsidR="002A28F5">
        <w:rPr>
          <w:rFonts w:ascii="Bookman Old Style" w:eastAsia="Bookman Old Style" w:hAnsi="Bookman Old Style" w:cs="Bookman Old Style"/>
          <w:sz w:val="20"/>
          <w:szCs w:val="20"/>
        </w:rPr>
        <w:t xml:space="preserve"> </w:t>
      </w:r>
      <w:r w:rsidR="002A28F5">
        <w:rPr>
          <w:rFonts w:ascii="Bookman Old Style" w:eastAsia="Bookman Old Style" w:hAnsi="Bookman Old Style" w:cs="Bookman Old Style"/>
          <w:sz w:val="20"/>
          <w:szCs w:val="20"/>
        </w:rPr>
        <w:lastRenderedPageBreak/>
        <w:t>Sur</w:t>
      </w:r>
      <w:r>
        <w:rPr>
          <w:rFonts w:ascii="Bookman Old Style" w:eastAsia="Bookman Old Style" w:hAnsi="Bookman Old Style" w:cs="Bookman Old Style"/>
          <w:sz w:val="20"/>
          <w:szCs w:val="20"/>
        </w:rPr>
        <w:t xml:space="preserve">, estará a cargo de estos </w:t>
      </w:r>
      <w:r w:rsidR="006635DC">
        <w:rPr>
          <w:rFonts w:ascii="Bookman Old Style" w:eastAsia="Bookman Old Style" w:hAnsi="Bookman Old Style" w:cs="Bookman Old Style"/>
          <w:sz w:val="20"/>
          <w:szCs w:val="20"/>
        </w:rPr>
        <w:t>cuatro</w:t>
      </w:r>
      <w:r>
        <w:rPr>
          <w:rFonts w:ascii="Bookman Old Style" w:eastAsia="Bookman Old Style" w:hAnsi="Bookman Old Style" w:cs="Bookman Old Style"/>
          <w:sz w:val="20"/>
          <w:szCs w:val="20"/>
        </w:rPr>
        <w:t xml:space="preserve"> delegados, quienes serán responsables de ejercer la tutela, cuidado y garantía de los derechos de</w:t>
      </w:r>
      <w:r w:rsidR="009E3DB9">
        <w:rPr>
          <w:rFonts w:ascii="Bookman Old Style" w:eastAsia="Bookman Old Style" w:hAnsi="Bookman Old Style" w:cs="Bookman Old Style"/>
          <w:sz w:val="20"/>
          <w:szCs w:val="20"/>
        </w:rPr>
        <w:t>l Río</w:t>
      </w:r>
      <w:r>
        <w:rPr>
          <w:rFonts w:ascii="Bookman Old Style" w:eastAsia="Bookman Old Style" w:hAnsi="Bookman Old Style" w:cs="Bookman Old Style"/>
          <w:sz w:val="20"/>
          <w:szCs w:val="20"/>
        </w:rPr>
        <w:t>.</w:t>
      </w:r>
    </w:p>
    <w:p w14:paraId="743C2637" w14:textId="7777777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1.</w:t>
      </w:r>
      <w:r>
        <w:rPr>
          <w:rFonts w:ascii="Bookman Old Style" w:eastAsia="Bookman Old Style" w:hAnsi="Bookman Old Style" w:cs="Bookman Old Style"/>
          <w:sz w:val="20"/>
          <w:szCs w:val="20"/>
        </w:rPr>
        <w:t xml:space="preserve"> Los representantes mencionados en el presente artículo serán elegidos dentro de los seis (6) meses siguientes a la entrada en vigencia de la presente ley, por un período de cuatro (4) años. Podrán ser reelegidos por una única vez por un período igual al anterior.</w:t>
      </w:r>
    </w:p>
    <w:p w14:paraId="42930E48" w14:textId="7777777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2.</w:t>
      </w:r>
      <w:r>
        <w:rPr>
          <w:rFonts w:ascii="Bookman Old Style" w:eastAsia="Bookman Old Style" w:hAnsi="Bookman Old Style" w:cs="Bookman Old Style"/>
          <w:sz w:val="20"/>
          <w:szCs w:val="20"/>
        </w:rPr>
        <w:t xml:space="preserve"> El Representante Legal del Gobierno Nacional será designado por el Ministerio de Ambiente y Desarrollo Sostenible.</w:t>
      </w:r>
    </w:p>
    <w:p w14:paraId="1E97B534" w14:textId="2508B1F8"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3.</w:t>
      </w:r>
      <w:r>
        <w:rPr>
          <w:rFonts w:ascii="Bookman Old Style" w:eastAsia="Bookman Old Style" w:hAnsi="Bookman Old Style" w:cs="Bookman Old Style"/>
          <w:sz w:val="20"/>
          <w:szCs w:val="20"/>
        </w:rPr>
        <w:t xml:space="preserve"> El procedimiento de elección de los Representantes Legales de las comunidades que habitan la zona de influencia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se realizará </w:t>
      </w:r>
      <w:r w:rsidR="009F5F13">
        <w:rPr>
          <w:rFonts w:ascii="Bookman Old Style" w:eastAsia="Bookman Old Style" w:hAnsi="Bookman Old Style" w:cs="Bookman Old Style"/>
          <w:sz w:val="20"/>
          <w:szCs w:val="20"/>
        </w:rPr>
        <w:t>a través de una convocatoria pública, democrática y abierta para que se inscriban y participen aquellos que, perteneciendo a las comunidades colindantes con el río Cravo Sur, tengan no solo un interés legítimo sino que, además, cuenten con la idoneidad respecto a temáticas medioambientales.</w:t>
      </w:r>
    </w:p>
    <w:p w14:paraId="3D0F4596" w14:textId="1F34F90F"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 xml:space="preserve">Artículo 4º. Comisión de Guardianes </w:t>
      </w:r>
      <w:r w:rsidR="009E3DB9">
        <w:rPr>
          <w:rFonts w:ascii="Bookman Old Style" w:eastAsia="Bookman Old Style" w:hAnsi="Bookman Old Style" w:cs="Bookman Old Style"/>
          <w:b/>
          <w:sz w:val="20"/>
          <w:szCs w:val="20"/>
        </w:rPr>
        <w:t>del Río Cravo</w:t>
      </w:r>
      <w:r w:rsidR="002A28F5">
        <w:rPr>
          <w:rFonts w:ascii="Bookman Old Style" w:eastAsia="Bookman Old Style" w:hAnsi="Bookman Old Style" w:cs="Bookman Old Style"/>
          <w:b/>
          <w:sz w:val="20"/>
          <w:szCs w:val="20"/>
        </w:rPr>
        <w:t xml:space="preserve"> Sur</w:t>
      </w:r>
      <w:r>
        <w:rPr>
          <w:rFonts w:ascii="Bookman Old Style" w:eastAsia="Bookman Old Style" w:hAnsi="Bookman Old Style" w:cs="Bookman Old Style"/>
          <w:b/>
          <w:sz w:val="20"/>
          <w:szCs w:val="20"/>
        </w:rPr>
        <w:t>.</w:t>
      </w:r>
      <w:r>
        <w:rPr>
          <w:rFonts w:ascii="Bookman Old Style" w:eastAsia="Bookman Old Style" w:hAnsi="Bookman Old Style" w:cs="Bookman Old Style"/>
          <w:sz w:val="20"/>
          <w:szCs w:val="20"/>
        </w:rPr>
        <w:t xml:space="preserve"> El Ministerio de Ambiente y Desarrollo Sostenible y los Representantes Legales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dentro de los dos (2) meses siguientes a su elección y designación, crearán la Comisión de Guardianes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sidR="009E3DB9">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Esta comisión estará conformada obligatoriamente por la Corporación Autónoma Regional de la Orinoquia (CORPORINOQUIA)</w:t>
      </w:r>
      <w:r w:rsidR="00394211">
        <w:rPr>
          <w:rFonts w:ascii="Bookman Old Style" w:eastAsia="Bookman Old Style" w:hAnsi="Bookman Old Style" w:cs="Bookman Old Style"/>
          <w:sz w:val="20"/>
          <w:szCs w:val="20"/>
        </w:rPr>
        <w:t xml:space="preserve"> y la Corporación Autónoma Regional de Boyacá (CORPOBOYACA)</w:t>
      </w:r>
      <w:r>
        <w:rPr>
          <w:rFonts w:ascii="Bookman Old Style" w:eastAsia="Bookman Old Style" w:hAnsi="Bookman Old Style" w:cs="Bookman Old Style"/>
          <w:sz w:val="20"/>
          <w:szCs w:val="20"/>
        </w:rPr>
        <w:t xml:space="preserve"> y </w:t>
      </w:r>
      <w:r w:rsidR="000859D9">
        <w:rPr>
          <w:rFonts w:ascii="Bookman Old Style" w:eastAsia="Bookman Old Style" w:hAnsi="Bookman Old Style" w:cs="Bookman Old Style"/>
          <w:sz w:val="20"/>
          <w:szCs w:val="20"/>
        </w:rPr>
        <w:t>un solo delegado</w:t>
      </w:r>
      <w:r>
        <w:rPr>
          <w:rFonts w:ascii="Bookman Old Style" w:eastAsia="Bookman Old Style" w:hAnsi="Bookman Old Style" w:cs="Bookman Old Style"/>
          <w:sz w:val="20"/>
          <w:szCs w:val="20"/>
        </w:rPr>
        <w:t xml:space="preserve"> de la Gobernación del Casanare, quienes deberán participar y cooperar de forma activa en la Comisión.</w:t>
      </w:r>
    </w:p>
    <w:p w14:paraId="0DED6017" w14:textId="0C901C7E"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La Comisión también deberá incluir a todas las </w:t>
      </w:r>
      <w:r w:rsidR="00B201F6">
        <w:rPr>
          <w:rFonts w:ascii="Bookman Old Style" w:eastAsia="Bookman Old Style" w:hAnsi="Bookman Old Style" w:cs="Bookman Old Style"/>
          <w:sz w:val="20"/>
          <w:szCs w:val="20"/>
        </w:rPr>
        <w:t>alcaldías</w:t>
      </w:r>
      <w:r>
        <w:rPr>
          <w:rFonts w:ascii="Bookman Old Style" w:eastAsia="Bookman Old Style" w:hAnsi="Bookman Old Style" w:cs="Bookman Old Style"/>
          <w:sz w:val="20"/>
          <w:szCs w:val="20"/>
        </w:rPr>
        <w:t xml:space="preserve"> y</w:t>
      </w:r>
      <w:r w:rsidR="00B201F6">
        <w:rPr>
          <w:rFonts w:ascii="Bookman Old Style" w:eastAsia="Bookman Old Style" w:hAnsi="Bookman Old Style" w:cs="Bookman Old Style"/>
          <w:sz w:val="20"/>
          <w:szCs w:val="20"/>
        </w:rPr>
        <w:t xml:space="preserve"> entidades</w:t>
      </w:r>
      <w:r>
        <w:rPr>
          <w:rFonts w:ascii="Bookman Old Style" w:eastAsia="Bookman Old Style" w:hAnsi="Bookman Old Style" w:cs="Bookman Old Style"/>
          <w:sz w:val="20"/>
          <w:szCs w:val="20"/>
        </w:rPr>
        <w:t xml:space="preserve"> privadas ubicadas en la zona de influencia, universidades (regionales y nacionales), centros académicos y de investigación en recursos naturales, y organizaciones ambientales (nacionales e internacionales), comunitarias y de la sociedad civil que deseen vincularse al proyecto de protección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afluentes.</w:t>
      </w:r>
    </w:p>
    <w:p w14:paraId="668C089A" w14:textId="59A04B9D"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1.</w:t>
      </w:r>
      <w:r>
        <w:rPr>
          <w:rFonts w:ascii="Bookman Old Style" w:eastAsia="Bookman Old Style" w:hAnsi="Bookman Old Style" w:cs="Bookman Old Style"/>
          <w:sz w:val="20"/>
          <w:szCs w:val="20"/>
        </w:rPr>
        <w:t xml:space="preserve"> Los Representantes Legales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definirán el reglamento para la conformación de la Comisión de Guardianes en un plazo no mayor a dos (2) meses después de la entrada en vigencia de la presente Ley.</w:t>
      </w:r>
    </w:p>
    <w:p w14:paraId="2532E945" w14:textId="049119F6"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lastRenderedPageBreak/>
        <w:t>Artículo 5º. Plan de protección.</w:t>
      </w:r>
      <w:r>
        <w:rPr>
          <w:rFonts w:ascii="Bookman Old Style" w:eastAsia="Bookman Old Style" w:hAnsi="Bookman Old Style" w:cs="Bookman Old Style"/>
          <w:sz w:val="20"/>
          <w:szCs w:val="20"/>
        </w:rPr>
        <w:t xml:space="preserve"> La Comisión de Guardianes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conformada por los Representantes Legales y el equipo asesor designado por el Ministerio de Ambiente y Desarrollo Sostenible, elaborará un Plan de Protección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sus afluentes. Este plan incluirá medidas para la descontaminación, conservación y protección de las aguas y los territorios ribereños, la recuperación de los ecosistemas, la reforestación, así como la prevención de daños adicionales en la región. El plan debe contener medidas de corto, mediano y largo plazo.</w:t>
      </w:r>
    </w:p>
    <w:p w14:paraId="2D2BB011" w14:textId="6FC6D882"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1.</w:t>
      </w:r>
      <w:r>
        <w:rPr>
          <w:rFonts w:ascii="Bookman Old Style" w:eastAsia="Bookman Old Style" w:hAnsi="Bookman Old Style" w:cs="Bookman Old Style"/>
          <w:sz w:val="20"/>
          <w:szCs w:val="20"/>
        </w:rPr>
        <w:t xml:space="preserve"> El Plan de Protección se elaborará en un plazo máximo de doce (12) meses, a partir de la conformación de la Comisión de Guardianes mencionada en el artículo anterior, en concordancia con el Plan de Ordenamiento y Manejo de Cuencas Hidrográficas (POMCA)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Contará con la participación de las comunidades que habitan en la zona de influencia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sus afluentes.</w:t>
      </w:r>
    </w:p>
    <w:p w14:paraId="000E5844" w14:textId="539B8F4F"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2.</w:t>
      </w:r>
      <w:r>
        <w:rPr>
          <w:rFonts w:ascii="Bookman Old Style" w:eastAsia="Bookman Old Style" w:hAnsi="Bookman Old Style" w:cs="Bookman Old Style"/>
          <w:sz w:val="20"/>
          <w:szCs w:val="20"/>
        </w:rPr>
        <w:t xml:space="preserve"> La elaboración y ejecución del Plan de Protección será financiada por el Ministerio de Ambiente y Desarrollo Sostenible, el Departamento del Casanare</w:t>
      </w:r>
      <w:r w:rsidR="00763C3E">
        <w:rPr>
          <w:rFonts w:ascii="Bookman Old Style" w:eastAsia="Bookman Old Style" w:hAnsi="Bookman Old Style" w:cs="Bookman Old Style"/>
          <w:sz w:val="20"/>
          <w:szCs w:val="20"/>
        </w:rPr>
        <w:t>, el Departamento de Boyacá</w:t>
      </w:r>
      <w:r>
        <w:rPr>
          <w:rFonts w:ascii="Bookman Old Style" w:eastAsia="Bookman Old Style" w:hAnsi="Bookman Old Style" w:cs="Bookman Old Style"/>
          <w:sz w:val="20"/>
          <w:szCs w:val="20"/>
        </w:rPr>
        <w:t xml:space="preserve"> y la Corporación Autónoma Regional de la Orinoquia (CORPORINOQUIA)</w:t>
      </w:r>
      <w:r w:rsidR="00763C3E">
        <w:rPr>
          <w:rFonts w:ascii="Bookman Old Style" w:eastAsia="Bookman Old Style" w:hAnsi="Bookman Old Style" w:cs="Bookman Old Style"/>
          <w:sz w:val="20"/>
          <w:szCs w:val="20"/>
        </w:rPr>
        <w:t xml:space="preserve"> y  la Corporación Autónoma Regional de Boyacá (CORPOBOYACA).</w:t>
      </w:r>
    </w:p>
    <w:p w14:paraId="415CE53F" w14:textId="1A3A7C58"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 3.</w:t>
      </w:r>
      <w:r>
        <w:rPr>
          <w:rFonts w:ascii="Bookman Old Style" w:eastAsia="Bookman Old Style" w:hAnsi="Bookman Old Style" w:cs="Bookman Old Style"/>
          <w:sz w:val="20"/>
          <w:szCs w:val="20"/>
        </w:rPr>
        <w:t xml:space="preserve"> El Plan de Protección será aprobado por la Corporación Autónoma Regional de la Orinoquia (CORPORINOQUIA) </w:t>
      </w:r>
      <w:r w:rsidR="006635DC">
        <w:rPr>
          <w:rFonts w:ascii="Bookman Old Style" w:eastAsia="Bookman Old Style" w:hAnsi="Bookman Old Style" w:cs="Bookman Old Style"/>
          <w:sz w:val="20"/>
          <w:szCs w:val="20"/>
        </w:rPr>
        <w:t xml:space="preserve">y  la Corporación Autónoma Regional de Boyacá (CORPOBOYACA) </w:t>
      </w:r>
      <w:r>
        <w:rPr>
          <w:rFonts w:ascii="Bookman Old Style" w:eastAsia="Bookman Old Style" w:hAnsi="Bookman Old Style" w:cs="Bookman Old Style"/>
          <w:sz w:val="20"/>
          <w:szCs w:val="20"/>
        </w:rPr>
        <w:t>y deberá contar con indicadores claros para medir su eficacia. Tendrá una vigencia de diez (10) años.</w:t>
      </w:r>
    </w:p>
    <w:p w14:paraId="23D372BD" w14:textId="5BD7DD48"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 xml:space="preserve">Artículo 6º. Mecanismos de funcionamiento y toma de decisiones de la Comisión de Guardianes </w:t>
      </w:r>
      <w:r w:rsidR="009E3DB9">
        <w:rPr>
          <w:rFonts w:ascii="Bookman Old Style" w:eastAsia="Bookman Old Style" w:hAnsi="Bookman Old Style" w:cs="Bookman Old Style"/>
          <w:b/>
          <w:sz w:val="20"/>
          <w:szCs w:val="20"/>
        </w:rPr>
        <w:t>del Río Cravo</w:t>
      </w:r>
      <w:r w:rsidR="002A28F5">
        <w:rPr>
          <w:rFonts w:ascii="Bookman Old Style" w:eastAsia="Bookman Old Style" w:hAnsi="Bookman Old Style" w:cs="Bookman Old Style"/>
          <w:b/>
          <w:sz w:val="20"/>
          <w:szCs w:val="20"/>
        </w:rPr>
        <w:t xml:space="preserve"> Sur</w:t>
      </w:r>
      <w:r>
        <w:rPr>
          <w:rFonts w:ascii="Bookman Old Style" w:eastAsia="Bookman Old Style" w:hAnsi="Bookman Old Style" w:cs="Bookman Old Style"/>
          <w:b/>
          <w:sz w:val="20"/>
          <w:szCs w:val="20"/>
        </w:rPr>
        <w:t>.</w:t>
      </w:r>
      <w:r>
        <w:rPr>
          <w:rFonts w:ascii="Bookman Old Style" w:eastAsia="Bookman Old Style" w:hAnsi="Bookman Old Style" w:cs="Bookman Old Style"/>
          <w:sz w:val="20"/>
          <w:szCs w:val="20"/>
        </w:rPr>
        <w:t xml:space="preserve"> El Ministerio de Ambiente y Desarrollo Sostenible, junto con la Comisión de Guardianes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presidida por los Representantes Legales del mismo, establecerán el reglamento para el funcionamiento y la toma de decisiones de la Comisión de manera democrática y participativa. Este reglamento tendrá como objetivo la conservación y protección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sus afluentes, así como la tutela y salvaguarda de sus derechos conforme al Plan de Protección elaborado.</w:t>
      </w:r>
    </w:p>
    <w:p w14:paraId="01E57D67" w14:textId="3EF9D112"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Parágrafo.</w:t>
      </w:r>
      <w:r>
        <w:rPr>
          <w:rFonts w:ascii="Bookman Old Style" w:eastAsia="Bookman Old Style" w:hAnsi="Bookman Old Style" w:cs="Bookman Old Style"/>
          <w:sz w:val="20"/>
          <w:szCs w:val="20"/>
        </w:rPr>
        <w:t xml:space="preserve"> La Comisión de Guardianes </w:t>
      </w:r>
      <w:r w:rsidR="009E3DB9">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presentará un informe semestral a la comunidad en general sobre las actividades y labores realizadas, incluyendo los </w:t>
      </w:r>
      <w:r>
        <w:rPr>
          <w:rFonts w:ascii="Bookman Old Style" w:eastAsia="Bookman Old Style" w:hAnsi="Bookman Old Style" w:cs="Bookman Old Style"/>
          <w:sz w:val="20"/>
          <w:szCs w:val="20"/>
        </w:rPr>
        <w:lastRenderedPageBreak/>
        <w:t>mecanismos de corrección y actualización necesarios para implementar el Plan de Protección.</w:t>
      </w:r>
    </w:p>
    <w:p w14:paraId="5C08897F" w14:textId="174F5BD4"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7º. Acompañamiento permanente.</w:t>
      </w:r>
      <w:r>
        <w:rPr>
          <w:rFonts w:ascii="Bookman Old Style" w:eastAsia="Bookman Old Style" w:hAnsi="Bookman Old Style" w:cs="Bookman Old Style"/>
          <w:sz w:val="20"/>
          <w:szCs w:val="20"/>
        </w:rPr>
        <w:t xml:space="preserve"> La Procuraduría General de la Nación y la Defensoría del Pueblo, </w:t>
      </w:r>
      <w:r w:rsidR="00B52BA8">
        <w:rPr>
          <w:rFonts w:ascii="Bookman Old Style" w:eastAsia="Bookman Old Style" w:hAnsi="Bookman Old Style" w:cs="Bookman Old Style"/>
          <w:sz w:val="20"/>
          <w:szCs w:val="20"/>
        </w:rPr>
        <w:t xml:space="preserve">además de las personerías municipales, </w:t>
      </w:r>
      <w:r>
        <w:rPr>
          <w:rFonts w:ascii="Bookman Old Style" w:eastAsia="Bookman Old Style" w:hAnsi="Bookman Old Style" w:cs="Bookman Old Style"/>
          <w:sz w:val="20"/>
          <w:szCs w:val="20"/>
        </w:rPr>
        <w:t>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a CORPORINOQUIA,</w:t>
      </w:r>
      <w:r w:rsidR="00B52BA8">
        <w:rPr>
          <w:rFonts w:ascii="Bookman Old Style" w:eastAsia="Bookman Old Style" w:hAnsi="Bookman Old Style" w:cs="Bookman Old Style"/>
          <w:sz w:val="20"/>
          <w:szCs w:val="20"/>
        </w:rPr>
        <w:t xml:space="preserve"> a CORPOBOYACA,</w:t>
      </w:r>
      <w:r w:rsidR="006635DC">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 xml:space="preserve">a la Comisión de Guardianes </w:t>
      </w:r>
      <w:r w:rsidR="00E25DBB">
        <w:rPr>
          <w:rFonts w:ascii="Bookman Old Style" w:eastAsia="Bookman Old Style" w:hAnsi="Bookman Old Style" w:cs="Bookman Old Style"/>
          <w:sz w:val="20"/>
          <w:szCs w:val="20"/>
        </w:rPr>
        <w:t>del Río Cravo</w:t>
      </w:r>
      <w:r>
        <w:rPr>
          <w:rFonts w:ascii="Bookman Old Style" w:eastAsia="Bookman Old Style" w:hAnsi="Bookman Old Style" w:cs="Bookman Old Style"/>
          <w:sz w:val="20"/>
          <w:szCs w:val="20"/>
        </w:rPr>
        <w:t xml:space="preserve"> </w:t>
      </w:r>
      <w:r w:rsidR="002A28F5">
        <w:rPr>
          <w:rFonts w:ascii="Bookman Old Style" w:eastAsia="Bookman Old Style" w:hAnsi="Bookman Old Style" w:cs="Bookman Old Style"/>
          <w:sz w:val="20"/>
          <w:szCs w:val="20"/>
        </w:rPr>
        <w:t xml:space="preserve">Sur </w:t>
      </w:r>
      <w:r>
        <w:rPr>
          <w:rFonts w:ascii="Bookman Old Style" w:eastAsia="Bookman Old Style" w:hAnsi="Bookman Old Style" w:cs="Bookman Old Style"/>
          <w:sz w:val="20"/>
          <w:szCs w:val="20"/>
        </w:rPr>
        <w:t>y a la comunidad en general, detallando las actividades de seguimiento, control y los hallazgos realizados.</w:t>
      </w:r>
    </w:p>
    <w:p w14:paraId="4E8FA601" w14:textId="7777777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8º. Asignaciones presupuestales.</w:t>
      </w:r>
      <w:r>
        <w:rPr>
          <w:rFonts w:ascii="Bookman Old Style" w:eastAsia="Bookman Old Style" w:hAnsi="Bookman Old Style" w:cs="Bookman Old Style"/>
          <w:sz w:val="20"/>
          <w:szCs w:val="20"/>
        </w:rPr>
        <w:t xml:space="preserve"> Se autoriza al Gobierno Nacional, a través del Ministerio de Ambiente y Desarrollo Sostenible o la entidad que lo sustituya, al Departamento del Casanare y a CORPORINOQUIA, a incluir en sus presupuestos las apropiaciones correspondientes para cumplir cabalmente con el objeto de la presente ley.</w:t>
      </w:r>
    </w:p>
    <w:p w14:paraId="0176F81D" w14:textId="0B2BF602" w:rsidR="006635DC" w:rsidRDefault="006635DC">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PARÁGRAFO: se permite la participación de entidades públicas y privadas locales, al igual que organizaciones de cooperación de distinta índole, a participar en la financiación de este proyecto.</w:t>
      </w:r>
    </w:p>
    <w:p w14:paraId="77E04F2C" w14:textId="39B58CEF"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9º. Evaluación y revisión periódica.</w:t>
      </w:r>
      <w:r>
        <w:rPr>
          <w:rFonts w:ascii="Bookman Old Style" w:eastAsia="Bookman Old Style" w:hAnsi="Bookman Old Style" w:cs="Bookman Old Style"/>
          <w:sz w:val="20"/>
          <w:szCs w:val="20"/>
        </w:rPr>
        <w:t xml:space="preserve"> El Ministerio de Ambiente y Desarrollo Sostenible, en coordinación con la Comisión de Guardianes </w:t>
      </w:r>
      <w:r w:rsidR="00E25DBB">
        <w:rPr>
          <w:rFonts w:ascii="Bookman Old Style" w:eastAsia="Bookman Old Style" w:hAnsi="Bookman Old Style" w:cs="Bookman Old Style"/>
          <w:sz w:val="20"/>
          <w:szCs w:val="20"/>
        </w:rPr>
        <w:t>del Río Cravo</w:t>
      </w:r>
      <w:r>
        <w:rPr>
          <w:rFonts w:ascii="Bookman Old Style" w:eastAsia="Bookman Old Style" w:hAnsi="Bookman Old Style" w:cs="Bookman Old Style"/>
          <w:sz w:val="20"/>
          <w:szCs w:val="20"/>
        </w:rPr>
        <w:t xml:space="preserve"> </w:t>
      </w:r>
      <w:r w:rsidR="002A28F5">
        <w:rPr>
          <w:rFonts w:ascii="Bookman Old Style" w:eastAsia="Bookman Old Style" w:hAnsi="Bookman Old Style" w:cs="Bookman Old Style"/>
          <w:sz w:val="20"/>
          <w:szCs w:val="20"/>
        </w:rPr>
        <w:t xml:space="preserve">Sur </w:t>
      </w:r>
      <w:r>
        <w:rPr>
          <w:rFonts w:ascii="Bookman Old Style" w:eastAsia="Bookman Old Style" w:hAnsi="Bookman Old Style" w:cs="Bookman Old Style"/>
          <w:sz w:val="20"/>
          <w:szCs w:val="20"/>
        </w:rPr>
        <w:t xml:space="preserve">y CORPORINOQUIA, realizará evaluaciones periódicas del cumplimiento de la presente ley y la efectividad del Plan de Protección </w:t>
      </w:r>
      <w:r w:rsidR="00E25DBB">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sidR="00E25DBB">
        <w:rPr>
          <w:rFonts w:ascii="Bookman Old Style" w:eastAsia="Bookman Old Style" w:hAnsi="Bookman Old Style" w:cs="Bookman Old Style"/>
          <w:sz w:val="20"/>
          <w:szCs w:val="20"/>
        </w:rPr>
        <w:t>,</w:t>
      </w:r>
      <w:r>
        <w:rPr>
          <w:rFonts w:ascii="Bookman Old Style" w:eastAsia="Bookman Old Style" w:hAnsi="Bookman Old Style" w:cs="Bookman Old Style"/>
          <w:sz w:val="20"/>
          <w:szCs w:val="20"/>
        </w:rPr>
        <w:t xml:space="preserve"> sus cuencas y afluentes. Estas evaluaciones se llevarán a cabo cada </w:t>
      </w:r>
      <w:r w:rsidR="00B52BA8">
        <w:rPr>
          <w:rFonts w:ascii="Bookman Old Style" w:eastAsia="Bookman Old Style" w:hAnsi="Bookman Old Style" w:cs="Bookman Old Style"/>
          <w:sz w:val="20"/>
          <w:szCs w:val="20"/>
        </w:rPr>
        <w:t>dieciocho (18) meses</w:t>
      </w:r>
      <w:r>
        <w:rPr>
          <w:rFonts w:ascii="Bookman Old Style" w:eastAsia="Bookman Old Style" w:hAnsi="Bookman Old Style" w:cs="Bookman Old Style"/>
          <w:sz w:val="20"/>
          <w:szCs w:val="20"/>
        </w:rPr>
        <w:t xml:space="preserve"> y podrán incluir consultas públicas con las comunidades afectadas. Basándose en los resultados de estas evaluaciones, se podrán realizar ajustes al Plan de Protección para asegurar su eficacia continua en la conservación y protección del ecosistema </w:t>
      </w:r>
      <w:r w:rsidR="00E25DBB">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w:t>
      </w:r>
    </w:p>
    <w:p w14:paraId="734A50E1" w14:textId="020DDFD8"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10º. Fomento a la Investigación Científica.</w:t>
      </w:r>
      <w:r>
        <w:rPr>
          <w:rFonts w:ascii="Bookman Old Style" w:eastAsia="Bookman Old Style" w:hAnsi="Bookman Old Style" w:cs="Bookman Old Style"/>
          <w:sz w:val="20"/>
          <w:szCs w:val="20"/>
        </w:rPr>
        <w:t xml:space="preserve"> El Ministerio de Ciencia, Tecnología e Innovación, en colaboración con universidades y centros de investigación, impulsará la realización de estudios científicos y proyectos de investigación orientados a mejorar el conocimiento y la gestión </w:t>
      </w:r>
      <w:r w:rsidR="00E25DBB">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sus cuencas y afluentes. Se destinarán </w:t>
      </w:r>
      <w:r>
        <w:rPr>
          <w:rFonts w:ascii="Bookman Old Style" w:eastAsia="Bookman Old Style" w:hAnsi="Bookman Old Style" w:cs="Bookman Old Style"/>
          <w:sz w:val="20"/>
          <w:szCs w:val="20"/>
        </w:rPr>
        <w:lastRenderedPageBreak/>
        <w:t>recursos para la financiación de investigaciones que contribuyan al desarrollo de prácticas sostenibles y a la mitigación de impactos ambientales en la región.</w:t>
      </w:r>
    </w:p>
    <w:p w14:paraId="050DB85C" w14:textId="36AB833E"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11º. Participación Ciudadana.</w:t>
      </w:r>
      <w:r>
        <w:rPr>
          <w:rFonts w:ascii="Bookman Old Style" w:eastAsia="Bookman Old Style" w:hAnsi="Bookman Old Style" w:cs="Bookman Old Style"/>
          <w:sz w:val="20"/>
          <w:szCs w:val="20"/>
        </w:rPr>
        <w:t xml:space="preserve"> Se establecerán mecanismos efectivos para la participación activa de la sociedad civil, las comunidades étnicas y campesinas, así como de las organizaciones no gubernamentales y comunitarias, en la implementación y seguimiento de las acciones contempladas en la presente ley. Se promoverán espacios de diálogo y consulta pública para asegurar la inclusión de diferentes perspectivas y conocimientos locales en la gestión ambiental </w:t>
      </w:r>
      <w:r w:rsidR="00E25DBB">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w:t>
      </w:r>
    </w:p>
    <w:p w14:paraId="7A665532" w14:textId="0A76907C"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12º. Monitoreo Ambiental.</w:t>
      </w:r>
      <w:r>
        <w:rPr>
          <w:rFonts w:ascii="Bookman Old Style" w:eastAsia="Bookman Old Style" w:hAnsi="Bookman Old Style" w:cs="Bookman Old Style"/>
          <w:sz w:val="20"/>
          <w:szCs w:val="20"/>
        </w:rPr>
        <w:t xml:space="preserve"> Se establecerá un programa continuo de monitoreo ambiental </w:t>
      </w:r>
      <w:r w:rsidR="00E25DBB">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afluentes. Este programa será coordinado por el Ministerio de Ambiente y Desarrollo Sostenible en colaboración con CORPORINOQUIA</w:t>
      </w:r>
      <w:r w:rsidR="00360AAB">
        <w:rPr>
          <w:rFonts w:ascii="Bookman Old Style" w:eastAsia="Bookman Old Style" w:hAnsi="Bookman Old Style" w:cs="Bookman Old Style"/>
          <w:sz w:val="20"/>
          <w:szCs w:val="20"/>
        </w:rPr>
        <w:t>, CORPOBOYACA</w:t>
      </w:r>
      <w:r>
        <w:rPr>
          <w:rFonts w:ascii="Bookman Old Style" w:eastAsia="Bookman Old Style" w:hAnsi="Bookman Old Style" w:cs="Bookman Old Style"/>
          <w:sz w:val="20"/>
          <w:szCs w:val="20"/>
        </w:rPr>
        <w:t xml:space="preserve"> y otras entidades pertinentes. Se realizarán mediciones </w:t>
      </w:r>
      <w:r w:rsidR="00B52BA8">
        <w:rPr>
          <w:rFonts w:ascii="Bookman Old Style" w:eastAsia="Bookman Old Style" w:hAnsi="Bookman Old Style" w:cs="Bookman Old Style"/>
          <w:sz w:val="20"/>
          <w:szCs w:val="20"/>
        </w:rPr>
        <w:t>cada</w:t>
      </w:r>
      <w:r>
        <w:rPr>
          <w:rFonts w:ascii="Bookman Old Style" w:eastAsia="Bookman Old Style" w:hAnsi="Bookman Old Style" w:cs="Bookman Old Style"/>
          <w:sz w:val="20"/>
          <w:szCs w:val="20"/>
        </w:rPr>
        <w:t xml:space="preserve"> de calidad del agua, niveles de contaminación, biodiversidad acuática y cambios en los ecosistemas ribereños</w:t>
      </w:r>
      <w:r w:rsidR="00B52BA8">
        <w:rPr>
          <w:rFonts w:ascii="Bookman Old Style" w:eastAsia="Bookman Old Style" w:hAnsi="Bookman Old Style" w:cs="Bookman Old Style"/>
          <w:sz w:val="20"/>
          <w:szCs w:val="20"/>
        </w:rPr>
        <w:t>.</w:t>
      </w:r>
      <w:r>
        <w:rPr>
          <w:rFonts w:ascii="Bookman Old Style" w:eastAsia="Bookman Old Style" w:hAnsi="Bookman Old Style" w:cs="Bookman Old Style"/>
          <w:sz w:val="20"/>
          <w:szCs w:val="20"/>
        </w:rPr>
        <w:t xml:space="preserve"> Los resultados del monitoreo se divulgarán públicamente y servirán como base para la toma de decisiones informadas en la gestión del recurso hídrico.</w:t>
      </w:r>
    </w:p>
    <w:p w14:paraId="42DF4CB6" w14:textId="4EC7D92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13º. Evaluación de Impacto Ambiental.</w:t>
      </w:r>
      <w:r>
        <w:rPr>
          <w:rFonts w:ascii="Bookman Old Style" w:eastAsia="Bookman Old Style" w:hAnsi="Bookman Old Style" w:cs="Bookman Old Style"/>
          <w:sz w:val="20"/>
          <w:szCs w:val="20"/>
        </w:rPr>
        <w:t xml:space="preserve"> Toda actividad humana que pueda tener impacto significativo en </w:t>
      </w:r>
      <w:r w:rsidR="00E25DBB">
        <w:rPr>
          <w:rFonts w:ascii="Bookman Old Style" w:eastAsia="Bookman Old Style" w:hAnsi="Bookman Old Style" w:cs="Bookman Old Style"/>
          <w:sz w:val="20"/>
          <w:szCs w:val="20"/>
        </w:rPr>
        <w:t>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o afluentes deberá someterse a una evaluación de impacto ambiental rigurosa y transparente. El Ministerio de Ambiente y Desarrollo Sostenible establecerá los criterios y procedimientos para estas evaluaciones, asegurando la participación pública y la consideración de los efectos acumulativos de proyectos en el medio ambiente.</w:t>
      </w:r>
    </w:p>
    <w:p w14:paraId="0B8EAB2D" w14:textId="7777777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Artículo 14º. Vigencia y derogaciones.</w:t>
      </w:r>
      <w:r>
        <w:rPr>
          <w:rFonts w:ascii="Bookman Old Style" w:eastAsia="Bookman Old Style" w:hAnsi="Bookman Old Style" w:cs="Bookman Old Style"/>
          <w:sz w:val="20"/>
          <w:szCs w:val="20"/>
        </w:rPr>
        <w:t xml:space="preserve"> La presente Ley entrará en vigencia a partir de su promulgación y deroga todas las disposiciones que le sean contrarias.</w:t>
      </w:r>
    </w:p>
    <w:p w14:paraId="7B4994A4" w14:textId="77777777" w:rsidR="001A35D3" w:rsidRDefault="007E50E1">
      <w:pPr>
        <w:spacing w:before="280" w:after="28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Cordialmente, </w:t>
      </w:r>
    </w:p>
    <w:p w14:paraId="50D859BA" w14:textId="1306A869" w:rsidR="001A35D3" w:rsidRDefault="001A35D3">
      <w:pPr>
        <w:tabs>
          <w:tab w:val="right" w:pos="8838"/>
        </w:tabs>
        <w:jc w:val="center"/>
        <w:rPr>
          <w:noProof/>
          <w:sz w:val="20"/>
          <w:szCs w:val="20"/>
          <w:lang w:val="es-MX" w:eastAsia="es-MX"/>
        </w:rPr>
      </w:pPr>
    </w:p>
    <w:p w14:paraId="01778171" w14:textId="0E495DFD" w:rsidR="001D1409" w:rsidRDefault="001D1409">
      <w:pPr>
        <w:tabs>
          <w:tab w:val="right" w:pos="8838"/>
        </w:tabs>
        <w:jc w:val="center"/>
        <w:rPr>
          <w:noProof/>
          <w:sz w:val="20"/>
          <w:szCs w:val="20"/>
          <w:lang w:val="es-MX" w:eastAsia="es-MX"/>
        </w:rPr>
      </w:pPr>
    </w:p>
    <w:p w14:paraId="2FA77945" w14:textId="77777777" w:rsidR="001D1409" w:rsidRDefault="001D1409">
      <w:pPr>
        <w:tabs>
          <w:tab w:val="right" w:pos="8838"/>
        </w:tabs>
        <w:jc w:val="center"/>
        <w:rPr>
          <w:rFonts w:ascii="Bookman Old Style" w:eastAsia="Bookman Old Style" w:hAnsi="Bookman Old Style" w:cs="Bookman Old Style"/>
          <w:b/>
          <w:sz w:val="20"/>
          <w:szCs w:val="20"/>
        </w:rPr>
      </w:pPr>
    </w:p>
    <w:p w14:paraId="16F7220B" w14:textId="77777777" w:rsidR="001A35D3" w:rsidRDefault="007E50E1">
      <w:pPr>
        <w:tabs>
          <w:tab w:val="right" w:pos="8838"/>
        </w:tabs>
        <w:spacing w:after="0"/>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EDINSON VLADIMIR OLAYA MANCIPE</w:t>
      </w:r>
    </w:p>
    <w:p w14:paraId="21E1C1EF" w14:textId="77777777" w:rsidR="001A35D3" w:rsidRDefault="007E50E1">
      <w:pPr>
        <w:tabs>
          <w:tab w:val="right" w:pos="8838"/>
        </w:tabs>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Representante a la Cámara por Casanare</w:t>
      </w:r>
    </w:p>
    <w:p w14:paraId="6CD9C1AB" w14:textId="77777777" w:rsidR="001A35D3" w:rsidRDefault="007E50E1">
      <w:pPr>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Partido Centro Democrático</w:t>
      </w:r>
    </w:p>
    <w:p w14:paraId="78E7A0C6" w14:textId="77777777" w:rsidR="001A35D3" w:rsidRDefault="001A35D3">
      <w:pPr>
        <w:spacing w:after="0"/>
        <w:jc w:val="center"/>
        <w:rPr>
          <w:rFonts w:ascii="Bookman Old Style" w:eastAsia="Bookman Old Style" w:hAnsi="Bookman Old Style" w:cs="Bookman Old Style"/>
          <w:sz w:val="20"/>
          <w:szCs w:val="20"/>
        </w:rPr>
      </w:pPr>
    </w:p>
    <w:p w14:paraId="690FBC3F" w14:textId="77777777" w:rsidR="001A35D3" w:rsidRDefault="001A35D3">
      <w:pPr>
        <w:spacing w:after="0"/>
        <w:jc w:val="center"/>
        <w:rPr>
          <w:rFonts w:ascii="Bookman Old Style" w:eastAsia="Bookman Old Style" w:hAnsi="Bookman Old Style" w:cs="Bookman Old Style"/>
          <w:sz w:val="20"/>
          <w:szCs w:val="20"/>
        </w:rPr>
      </w:pPr>
    </w:p>
    <w:p w14:paraId="1BB5A185" w14:textId="77777777" w:rsidR="001A35D3" w:rsidRDefault="001A35D3">
      <w:pPr>
        <w:spacing w:after="0"/>
        <w:jc w:val="center"/>
        <w:rPr>
          <w:rFonts w:ascii="Bookman Old Style" w:eastAsia="Bookman Old Style" w:hAnsi="Bookman Old Style" w:cs="Bookman Old Style"/>
          <w:sz w:val="20"/>
          <w:szCs w:val="20"/>
        </w:rPr>
      </w:pPr>
    </w:p>
    <w:p w14:paraId="22021C9F" w14:textId="77777777" w:rsidR="001A35D3" w:rsidRDefault="001A35D3">
      <w:pPr>
        <w:spacing w:after="0"/>
        <w:jc w:val="center"/>
        <w:rPr>
          <w:rFonts w:ascii="Bookman Old Style" w:eastAsia="Bookman Old Style" w:hAnsi="Bookman Old Style" w:cs="Bookman Old Style"/>
          <w:sz w:val="20"/>
          <w:szCs w:val="20"/>
        </w:rPr>
      </w:pPr>
    </w:p>
    <w:p w14:paraId="4610C72B" w14:textId="77777777" w:rsidR="001A35D3" w:rsidRDefault="001A35D3">
      <w:pPr>
        <w:spacing w:after="0"/>
        <w:jc w:val="center"/>
        <w:rPr>
          <w:rFonts w:ascii="Bookman Old Style" w:eastAsia="Bookman Old Style" w:hAnsi="Bookman Old Style" w:cs="Bookman Old Style"/>
          <w:sz w:val="20"/>
          <w:szCs w:val="20"/>
        </w:rPr>
      </w:pPr>
    </w:p>
    <w:p w14:paraId="0CB59A6F" w14:textId="63D2B3F6" w:rsidR="001A35D3" w:rsidRDefault="001A35D3">
      <w:pPr>
        <w:spacing w:after="0"/>
        <w:jc w:val="center"/>
        <w:rPr>
          <w:rFonts w:ascii="Bookman Old Style" w:eastAsia="Bookman Old Style" w:hAnsi="Bookman Old Style" w:cs="Bookman Old Style"/>
          <w:sz w:val="20"/>
          <w:szCs w:val="20"/>
        </w:rPr>
      </w:pPr>
    </w:p>
    <w:p w14:paraId="254ECDCB" w14:textId="5B39AE06" w:rsidR="00A27C9F" w:rsidRDefault="00A27C9F">
      <w:pPr>
        <w:spacing w:after="0"/>
        <w:jc w:val="center"/>
        <w:rPr>
          <w:rFonts w:ascii="Bookman Old Style" w:eastAsia="Bookman Old Style" w:hAnsi="Bookman Old Style" w:cs="Bookman Old Style"/>
          <w:sz w:val="20"/>
          <w:szCs w:val="20"/>
        </w:rPr>
      </w:pPr>
    </w:p>
    <w:p w14:paraId="4ED60EBF" w14:textId="050084D1" w:rsidR="00A27C9F" w:rsidRDefault="00A27C9F">
      <w:pPr>
        <w:spacing w:after="0"/>
        <w:jc w:val="center"/>
        <w:rPr>
          <w:rFonts w:ascii="Bookman Old Style" w:eastAsia="Bookman Old Style" w:hAnsi="Bookman Old Style" w:cs="Bookman Old Style"/>
          <w:sz w:val="20"/>
          <w:szCs w:val="20"/>
        </w:rPr>
      </w:pPr>
    </w:p>
    <w:p w14:paraId="7FF3E7B7" w14:textId="4B0D549C" w:rsidR="00A27C9F" w:rsidRDefault="00A27C9F">
      <w:pPr>
        <w:spacing w:after="0"/>
        <w:jc w:val="center"/>
        <w:rPr>
          <w:rFonts w:ascii="Bookman Old Style" w:eastAsia="Bookman Old Style" w:hAnsi="Bookman Old Style" w:cs="Bookman Old Style"/>
          <w:sz w:val="20"/>
          <w:szCs w:val="20"/>
        </w:rPr>
      </w:pPr>
    </w:p>
    <w:p w14:paraId="5973CBB2" w14:textId="4A5A6280" w:rsidR="00A27C9F" w:rsidRDefault="00A27C9F">
      <w:pPr>
        <w:spacing w:after="0"/>
        <w:jc w:val="center"/>
        <w:rPr>
          <w:rFonts w:ascii="Bookman Old Style" w:eastAsia="Bookman Old Style" w:hAnsi="Bookman Old Style" w:cs="Bookman Old Style"/>
          <w:sz w:val="20"/>
          <w:szCs w:val="20"/>
        </w:rPr>
      </w:pPr>
    </w:p>
    <w:p w14:paraId="0881A57D" w14:textId="70B66FD8" w:rsidR="00A27C9F" w:rsidRDefault="00A27C9F">
      <w:pPr>
        <w:spacing w:after="0"/>
        <w:jc w:val="center"/>
        <w:rPr>
          <w:rFonts w:ascii="Bookman Old Style" w:eastAsia="Bookman Old Style" w:hAnsi="Bookman Old Style" w:cs="Bookman Old Style"/>
          <w:sz w:val="20"/>
          <w:szCs w:val="20"/>
        </w:rPr>
      </w:pPr>
    </w:p>
    <w:p w14:paraId="21ED9D98" w14:textId="33C387E4" w:rsidR="00A27C9F" w:rsidRDefault="00A27C9F">
      <w:pPr>
        <w:spacing w:after="0"/>
        <w:jc w:val="center"/>
        <w:rPr>
          <w:rFonts w:ascii="Bookman Old Style" w:eastAsia="Bookman Old Style" w:hAnsi="Bookman Old Style" w:cs="Bookman Old Style"/>
          <w:sz w:val="20"/>
          <w:szCs w:val="20"/>
        </w:rPr>
      </w:pPr>
    </w:p>
    <w:p w14:paraId="6F410E17" w14:textId="2DC68783" w:rsidR="00A27C9F" w:rsidRDefault="00A27C9F">
      <w:pPr>
        <w:spacing w:after="0"/>
        <w:jc w:val="center"/>
        <w:rPr>
          <w:rFonts w:ascii="Bookman Old Style" w:eastAsia="Bookman Old Style" w:hAnsi="Bookman Old Style" w:cs="Bookman Old Style"/>
          <w:sz w:val="20"/>
          <w:szCs w:val="20"/>
        </w:rPr>
      </w:pPr>
    </w:p>
    <w:p w14:paraId="7F616D8D" w14:textId="77777777" w:rsidR="00A27C9F" w:rsidRDefault="00A27C9F" w:rsidP="00A27C9F">
      <w:pPr>
        <w:spacing w:after="0"/>
        <w:rPr>
          <w:rFonts w:ascii="Bookman Old Style" w:eastAsia="Bookman Old Style" w:hAnsi="Bookman Old Style" w:cs="Bookman Old Style"/>
          <w:sz w:val="20"/>
          <w:szCs w:val="20"/>
        </w:rPr>
      </w:pPr>
    </w:p>
    <w:p w14:paraId="57B4A572" w14:textId="77777777" w:rsidR="00A27C9F" w:rsidRDefault="00A27C9F" w:rsidP="00A27C9F">
      <w:pPr>
        <w:spacing w:after="0"/>
        <w:rPr>
          <w:rFonts w:ascii="Bookman Old Style" w:eastAsia="Bookman Old Style" w:hAnsi="Bookman Old Style" w:cs="Bookman Old Style"/>
          <w:sz w:val="20"/>
          <w:szCs w:val="20"/>
        </w:rPr>
      </w:pPr>
    </w:p>
    <w:p w14:paraId="483BDD8E" w14:textId="77777777" w:rsidR="00A27C9F" w:rsidRDefault="00A27C9F" w:rsidP="00A27C9F">
      <w:pPr>
        <w:spacing w:after="0"/>
        <w:rPr>
          <w:rFonts w:ascii="Bookman Old Style" w:eastAsia="Bookman Old Style" w:hAnsi="Bookman Old Style" w:cs="Bookman Old Style"/>
          <w:sz w:val="20"/>
          <w:szCs w:val="20"/>
        </w:rPr>
      </w:pPr>
    </w:p>
    <w:p w14:paraId="3BAF73F1" w14:textId="77777777" w:rsidR="00A27C9F" w:rsidRDefault="00A27C9F" w:rsidP="00A27C9F">
      <w:pPr>
        <w:spacing w:after="0"/>
        <w:rPr>
          <w:rFonts w:ascii="Bookman Old Style" w:eastAsia="Bookman Old Style" w:hAnsi="Bookman Old Style" w:cs="Bookman Old Style"/>
          <w:sz w:val="20"/>
          <w:szCs w:val="20"/>
        </w:rPr>
      </w:pPr>
    </w:p>
    <w:p w14:paraId="54FFB8D8"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71631D91" w14:textId="77777777" w:rsidR="00A27C9F" w:rsidRDefault="00A27C9F" w:rsidP="00A27C9F">
      <w:pPr>
        <w:spacing w:after="0"/>
        <w:rPr>
          <w:rFonts w:ascii="Bookman Old Style" w:eastAsia="Bookman Old Style" w:hAnsi="Bookman Old Style" w:cs="Bookman Old Style"/>
          <w:sz w:val="20"/>
          <w:szCs w:val="20"/>
        </w:rPr>
      </w:pPr>
    </w:p>
    <w:p w14:paraId="0272417C" w14:textId="77777777" w:rsidR="00A27C9F" w:rsidRDefault="00A27C9F" w:rsidP="00A27C9F">
      <w:pPr>
        <w:spacing w:after="0"/>
        <w:rPr>
          <w:rFonts w:ascii="Bookman Old Style" w:eastAsia="Bookman Old Style" w:hAnsi="Bookman Old Style" w:cs="Bookman Old Style"/>
          <w:sz w:val="20"/>
          <w:szCs w:val="20"/>
        </w:rPr>
      </w:pPr>
    </w:p>
    <w:p w14:paraId="7446E49F" w14:textId="77777777" w:rsidR="00A27C9F" w:rsidRDefault="00A27C9F" w:rsidP="00A27C9F">
      <w:pPr>
        <w:spacing w:after="0"/>
        <w:rPr>
          <w:rFonts w:ascii="Bookman Old Style" w:eastAsia="Bookman Old Style" w:hAnsi="Bookman Old Style" w:cs="Bookman Old Style"/>
          <w:sz w:val="20"/>
          <w:szCs w:val="20"/>
        </w:rPr>
      </w:pPr>
    </w:p>
    <w:p w14:paraId="5EBD98E7" w14:textId="77777777" w:rsidR="00A27C9F" w:rsidRDefault="00A27C9F" w:rsidP="00A27C9F">
      <w:pPr>
        <w:spacing w:after="0"/>
        <w:rPr>
          <w:rFonts w:ascii="Bookman Old Style" w:eastAsia="Bookman Old Style" w:hAnsi="Bookman Old Style" w:cs="Bookman Old Style"/>
          <w:sz w:val="20"/>
          <w:szCs w:val="20"/>
        </w:rPr>
      </w:pPr>
    </w:p>
    <w:p w14:paraId="2A9FD17A"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033FCF3" w14:textId="77777777" w:rsidR="00A27C9F" w:rsidRDefault="00A27C9F" w:rsidP="00A27C9F">
      <w:pPr>
        <w:spacing w:after="0"/>
        <w:rPr>
          <w:rFonts w:ascii="Bookman Old Style" w:eastAsia="Bookman Old Style" w:hAnsi="Bookman Old Style" w:cs="Bookman Old Style"/>
          <w:sz w:val="20"/>
          <w:szCs w:val="20"/>
        </w:rPr>
      </w:pPr>
    </w:p>
    <w:p w14:paraId="757BE8FD" w14:textId="77777777" w:rsidR="00A27C9F" w:rsidRDefault="00A27C9F" w:rsidP="00A27C9F">
      <w:pPr>
        <w:spacing w:after="0"/>
        <w:rPr>
          <w:rFonts w:ascii="Bookman Old Style" w:eastAsia="Bookman Old Style" w:hAnsi="Bookman Old Style" w:cs="Bookman Old Style"/>
          <w:sz w:val="20"/>
          <w:szCs w:val="20"/>
        </w:rPr>
      </w:pPr>
    </w:p>
    <w:p w14:paraId="2DA635A3" w14:textId="77777777" w:rsidR="00A27C9F" w:rsidRDefault="00A27C9F" w:rsidP="00A27C9F">
      <w:pPr>
        <w:spacing w:after="0"/>
        <w:rPr>
          <w:rFonts w:ascii="Bookman Old Style" w:eastAsia="Bookman Old Style" w:hAnsi="Bookman Old Style" w:cs="Bookman Old Style"/>
          <w:sz w:val="20"/>
          <w:szCs w:val="20"/>
        </w:rPr>
      </w:pPr>
    </w:p>
    <w:p w14:paraId="5C646E47" w14:textId="77777777" w:rsidR="00A27C9F" w:rsidRDefault="00A27C9F" w:rsidP="00A27C9F">
      <w:pPr>
        <w:spacing w:after="0"/>
        <w:rPr>
          <w:rFonts w:ascii="Bookman Old Style" w:eastAsia="Bookman Old Style" w:hAnsi="Bookman Old Style" w:cs="Bookman Old Style"/>
          <w:sz w:val="20"/>
          <w:szCs w:val="20"/>
        </w:rPr>
      </w:pPr>
    </w:p>
    <w:p w14:paraId="13E77F40"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3096B7B" w14:textId="77777777" w:rsidR="00A27C9F" w:rsidRDefault="00A27C9F" w:rsidP="00A27C9F">
      <w:pPr>
        <w:spacing w:after="0"/>
        <w:rPr>
          <w:rFonts w:ascii="Bookman Old Style" w:eastAsia="Bookman Old Style" w:hAnsi="Bookman Old Style" w:cs="Bookman Old Style"/>
          <w:sz w:val="20"/>
          <w:szCs w:val="20"/>
        </w:rPr>
      </w:pPr>
    </w:p>
    <w:p w14:paraId="0B6D0E20" w14:textId="77777777" w:rsidR="00A27C9F" w:rsidRDefault="00A27C9F" w:rsidP="00A27C9F">
      <w:pPr>
        <w:spacing w:after="0"/>
        <w:rPr>
          <w:rFonts w:ascii="Bookman Old Style" w:eastAsia="Bookman Old Style" w:hAnsi="Bookman Old Style" w:cs="Bookman Old Style"/>
          <w:sz w:val="20"/>
          <w:szCs w:val="20"/>
        </w:rPr>
      </w:pPr>
    </w:p>
    <w:p w14:paraId="71C39D31" w14:textId="77777777" w:rsidR="00A27C9F" w:rsidRDefault="00A27C9F" w:rsidP="00A27C9F">
      <w:pPr>
        <w:spacing w:after="0"/>
        <w:rPr>
          <w:rFonts w:ascii="Bookman Old Style" w:eastAsia="Bookman Old Style" w:hAnsi="Bookman Old Style" w:cs="Bookman Old Style"/>
          <w:sz w:val="20"/>
          <w:szCs w:val="20"/>
        </w:rPr>
      </w:pPr>
    </w:p>
    <w:p w14:paraId="78724A26" w14:textId="77777777" w:rsidR="00A27C9F" w:rsidRDefault="00A27C9F" w:rsidP="00A27C9F">
      <w:pPr>
        <w:spacing w:after="0"/>
        <w:rPr>
          <w:rFonts w:ascii="Bookman Old Style" w:eastAsia="Bookman Old Style" w:hAnsi="Bookman Old Style" w:cs="Bookman Old Style"/>
          <w:sz w:val="20"/>
          <w:szCs w:val="20"/>
        </w:rPr>
      </w:pPr>
    </w:p>
    <w:p w14:paraId="53937CA1"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C210AD2" w14:textId="77777777" w:rsidR="00A27C9F" w:rsidRDefault="00A27C9F" w:rsidP="00A27C9F">
      <w:pPr>
        <w:spacing w:after="0"/>
        <w:rPr>
          <w:rFonts w:ascii="Bookman Old Style" w:eastAsia="Bookman Old Style" w:hAnsi="Bookman Old Style" w:cs="Bookman Old Style"/>
          <w:sz w:val="20"/>
          <w:szCs w:val="20"/>
        </w:rPr>
      </w:pPr>
    </w:p>
    <w:p w14:paraId="7AA90E6D" w14:textId="77777777" w:rsidR="00A27C9F" w:rsidRDefault="00A27C9F" w:rsidP="00A27C9F">
      <w:pPr>
        <w:spacing w:after="0"/>
        <w:rPr>
          <w:rFonts w:ascii="Bookman Old Style" w:eastAsia="Bookman Old Style" w:hAnsi="Bookman Old Style" w:cs="Bookman Old Style"/>
          <w:sz w:val="20"/>
          <w:szCs w:val="20"/>
        </w:rPr>
      </w:pPr>
    </w:p>
    <w:p w14:paraId="429B5A44" w14:textId="77777777" w:rsidR="00A27C9F" w:rsidRDefault="00A27C9F" w:rsidP="00A27C9F">
      <w:pPr>
        <w:spacing w:after="0"/>
        <w:rPr>
          <w:rFonts w:ascii="Bookman Old Style" w:eastAsia="Bookman Old Style" w:hAnsi="Bookman Old Style" w:cs="Bookman Old Style"/>
          <w:sz w:val="20"/>
          <w:szCs w:val="20"/>
        </w:rPr>
      </w:pPr>
    </w:p>
    <w:p w14:paraId="5CE2C77B" w14:textId="77777777" w:rsidR="00A27C9F" w:rsidRDefault="00A27C9F" w:rsidP="00A27C9F">
      <w:pPr>
        <w:spacing w:after="0"/>
        <w:rPr>
          <w:rFonts w:ascii="Bookman Old Style" w:eastAsia="Bookman Old Style" w:hAnsi="Bookman Old Style" w:cs="Bookman Old Style"/>
          <w:sz w:val="20"/>
          <w:szCs w:val="20"/>
        </w:rPr>
      </w:pPr>
    </w:p>
    <w:p w14:paraId="030B9F4A"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FEA990B" w14:textId="77777777" w:rsidR="00A27C9F" w:rsidRDefault="00A27C9F" w:rsidP="00A27C9F">
      <w:pPr>
        <w:spacing w:after="0"/>
        <w:rPr>
          <w:rFonts w:ascii="Bookman Old Style" w:eastAsia="Bookman Old Style" w:hAnsi="Bookman Old Style" w:cs="Bookman Old Style"/>
          <w:sz w:val="20"/>
          <w:szCs w:val="20"/>
        </w:rPr>
      </w:pPr>
    </w:p>
    <w:p w14:paraId="15FE3FED" w14:textId="77777777" w:rsidR="00A27C9F" w:rsidRDefault="00A27C9F" w:rsidP="00A27C9F">
      <w:pPr>
        <w:spacing w:after="0"/>
        <w:rPr>
          <w:rFonts w:ascii="Bookman Old Style" w:eastAsia="Bookman Old Style" w:hAnsi="Bookman Old Style" w:cs="Bookman Old Style"/>
          <w:sz w:val="20"/>
          <w:szCs w:val="20"/>
        </w:rPr>
      </w:pPr>
    </w:p>
    <w:p w14:paraId="55E71421" w14:textId="77777777" w:rsidR="00A27C9F" w:rsidRDefault="00A27C9F" w:rsidP="00A27C9F">
      <w:pPr>
        <w:spacing w:after="0"/>
        <w:rPr>
          <w:rFonts w:ascii="Bookman Old Style" w:eastAsia="Bookman Old Style" w:hAnsi="Bookman Old Style" w:cs="Bookman Old Style"/>
          <w:sz w:val="20"/>
          <w:szCs w:val="20"/>
        </w:rPr>
      </w:pPr>
    </w:p>
    <w:p w14:paraId="1CFC1633" w14:textId="77777777" w:rsidR="00A27C9F" w:rsidRDefault="00A27C9F" w:rsidP="00A27C9F">
      <w:pPr>
        <w:spacing w:after="0"/>
        <w:rPr>
          <w:rFonts w:ascii="Bookman Old Style" w:eastAsia="Bookman Old Style" w:hAnsi="Bookman Old Style" w:cs="Bookman Old Style"/>
          <w:sz w:val="20"/>
          <w:szCs w:val="20"/>
        </w:rPr>
      </w:pPr>
    </w:p>
    <w:p w14:paraId="0DEC5EB3"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FF9A709" w14:textId="77777777" w:rsidR="00A27C9F" w:rsidRDefault="00A27C9F" w:rsidP="00A27C9F">
      <w:pPr>
        <w:spacing w:after="0"/>
        <w:rPr>
          <w:rFonts w:ascii="Bookman Old Style" w:eastAsia="Bookman Old Style" w:hAnsi="Bookman Old Style" w:cs="Bookman Old Style"/>
          <w:sz w:val="20"/>
          <w:szCs w:val="20"/>
        </w:rPr>
      </w:pPr>
    </w:p>
    <w:p w14:paraId="6789CBF9" w14:textId="77777777" w:rsidR="00A27C9F" w:rsidRDefault="00A27C9F" w:rsidP="00A27C9F">
      <w:pPr>
        <w:spacing w:after="0"/>
        <w:rPr>
          <w:rFonts w:ascii="Bookman Old Style" w:eastAsia="Bookman Old Style" w:hAnsi="Bookman Old Style" w:cs="Bookman Old Style"/>
          <w:sz w:val="20"/>
          <w:szCs w:val="20"/>
        </w:rPr>
      </w:pPr>
    </w:p>
    <w:p w14:paraId="2C630924" w14:textId="77777777" w:rsidR="00A27C9F" w:rsidRDefault="00A27C9F" w:rsidP="00A27C9F">
      <w:pPr>
        <w:spacing w:after="0"/>
        <w:rPr>
          <w:rFonts w:ascii="Bookman Old Style" w:eastAsia="Bookman Old Style" w:hAnsi="Bookman Old Style" w:cs="Bookman Old Style"/>
          <w:sz w:val="20"/>
          <w:szCs w:val="20"/>
        </w:rPr>
      </w:pPr>
    </w:p>
    <w:p w14:paraId="6E628351" w14:textId="77777777" w:rsidR="00A27C9F" w:rsidRDefault="00A27C9F" w:rsidP="00A27C9F">
      <w:pPr>
        <w:spacing w:after="0"/>
        <w:rPr>
          <w:rFonts w:ascii="Bookman Old Style" w:eastAsia="Bookman Old Style" w:hAnsi="Bookman Old Style" w:cs="Bookman Old Style"/>
          <w:sz w:val="20"/>
          <w:szCs w:val="20"/>
        </w:rPr>
      </w:pPr>
    </w:p>
    <w:p w14:paraId="5454A114"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DB45069" w14:textId="77777777" w:rsidR="00A27C9F" w:rsidRDefault="00A27C9F" w:rsidP="00A27C9F">
      <w:pPr>
        <w:spacing w:after="0"/>
        <w:rPr>
          <w:rFonts w:ascii="Bookman Old Style" w:eastAsia="Bookman Old Style" w:hAnsi="Bookman Old Style" w:cs="Bookman Old Style"/>
          <w:sz w:val="20"/>
          <w:szCs w:val="20"/>
        </w:rPr>
      </w:pPr>
    </w:p>
    <w:p w14:paraId="197DA550" w14:textId="77777777" w:rsidR="00A27C9F" w:rsidRDefault="00A27C9F" w:rsidP="00A27C9F">
      <w:pPr>
        <w:spacing w:after="0"/>
        <w:rPr>
          <w:rFonts w:ascii="Bookman Old Style" w:eastAsia="Bookman Old Style" w:hAnsi="Bookman Old Style" w:cs="Bookman Old Style"/>
          <w:sz w:val="20"/>
          <w:szCs w:val="20"/>
        </w:rPr>
      </w:pPr>
    </w:p>
    <w:p w14:paraId="043BA763" w14:textId="77777777" w:rsidR="00A27C9F" w:rsidRDefault="00A27C9F" w:rsidP="00A27C9F">
      <w:pPr>
        <w:spacing w:after="0"/>
        <w:rPr>
          <w:rFonts w:ascii="Bookman Old Style" w:eastAsia="Bookman Old Style" w:hAnsi="Bookman Old Style" w:cs="Bookman Old Style"/>
          <w:sz w:val="20"/>
          <w:szCs w:val="20"/>
        </w:rPr>
      </w:pPr>
    </w:p>
    <w:p w14:paraId="7F9132B7" w14:textId="77777777" w:rsidR="00A27C9F" w:rsidRDefault="00A27C9F" w:rsidP="00A27C9F">
      <w:pPr>
        <w:spacing w:after="0"/>
        <w:rPr>
          <w:rFonts w:ascii="Bookman Old Style" w:eastAsia="Bookman Old Style" w:hAnsi="Bookman Old Style" w:cs="Bookman Old Style"/>
          <w:sz w:val="20"/>
          <w:szCs w:val="20"/>
        </w:rPr>
      </w:pPr>
    </w:p>
    <w:p w14:paraId="005387B4"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F89A330" w14:textId="77777777" w:rsidR="00A27C9F" w:rsidRDefault="00A27C9F" w:rsidP="00A27C9F">
      <w:pPr>
        <w:spacing w:after="0"/>
        <w:rPr>
          <w:rFonts w:ascii="Bookman Old Style" w:eastAsia="Bookman Old Style" w:hAnsi="Bookman Old Style" w:cs="Bookman Old Style"/>
          <w:sz w:val="20"/>
          <w:szCs w:val="20"/>
        </w:rPr>
      </w:pPr>
    </w:p>
    <w:p w14:paraId="7E463503" w14:textId="77777777" w:rsidR="00A27C9F" w:rsidRDefault="00A27C9F" w:rsidP="00A27C9F">
      <w:pPr>
        <w:spacing w:after="0"/>
        <w:rPr>
          <w:rFonts w:ascii="Bookman Old Style" w:eastAsia="Bookman Old Style" w:hAnsi="Bookman Old Style" w:cs="Bookman Old Style"/>
          <w:sz w:val="20"/>
          <w:szCs w:val="20"/>
        </w:rPr>
      </w:pPr>
    </w:p>
    <w:p w14:paraId="666CB4BD" w14:textId="77777777" w:rsidR="00A27C9F" w:rsidRDefault="00A27C9F" w:rsidP="00A27C9F">
      <w:pPr>
        <w:spacing w:after="0"/>
        <w:rPr>
          <w:rFonts w:ascii="Bookman Old Style" w:eastAsia="Bookman Old Style" w:hAnsi="Bookman Old Style" w:cs="Bookman Old Style"/>
          <w:sz w:val="20"/>
          <w:szCs w:val="20"/>
        </w:rPr>
      </w:pPr>
    </w:p>
    <w:p w14:paraId="735EB237" w14:textId="77777777" w:rsidR="00A27C9F" w:rsidRDefault="00A27C9F" w:rsidP="00A27C9F">
      <w:pPr>
        <w:spacing w:after="0"/>
        <w:rPr>
          <w:rFonts w:ascii="Bookman Old Style" w:eastAsia="Bookman Old Style" w:hAnsi="Bookman Old Style" w:cs="Bookman Old Style"/>
          <w:sz w:val="20"/>
          <w:szCs w:val="20"/>
        </w:rPr>
      </w:pPr>
    </w:p>
    <w:p w14:paraId="12E7D5FA"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4496982" w14:textId="77777777" w:rsidR="00A27C9F" w:rsidRDefault="00A27C9F">
      <w:pPr>
        <w:spacing w:after="0"/>
        <w:jc w:val="center"/>
        <w:rPr>
          <w:rFonts w:ascii="Bookman Old Style" w:eastAsia="Bookman Old Style" w:hAnsi="Bookman Old Style" w:cs="Bookman Old Style"/>
          <w:sz w:val="20"/>
          <w:szCs w:val="20"/>
        </w:rPr>
      </w:pPr>
    </w:p>
    <w:p w14:paraId="2DF257B0" w14:textId="77777777" w:rsidR="001A35D3" w:rsidRDefault="001A35D3">
      <w:pPr>
        <w:spacing w:after="0"/>
        <w:jc w:val="center"/>
        <w:rPr>
          <w:rFonts w:ascii="Bookman Old Style" w:eastAsia="Bookman Old Style" w:hAnsi="Bookman Old Style" w:cs="Bookman Old Style"/>
          <w:sz w:val="20"/>
          <w:szCs w:val="20"/>
        </w:rPr>
      </w:pPr>
    </w:p>
    <w:p w14:paraId="226861F5" w14:textId="18C75768" w:rsidR="001A35D3" w:rsidRDefault="001A35D3" w:rsidP="00A27C9F">
      <w:pPr>
        <w:spacing w:after="0"/>
        <w:rPr>
          <w:rFonts w:ascii="Bookman Old Style" w:eastAsia="Bookman Old Style" w:hAnsi="Bookman Old Style" w:cs="Bookman Old Style"/>
          <w:sz w:val="20"/>
          <w:szCs w:val="20"/>
        </w:rPr>
      </w:pPr>
    </w:p>
    <w:p w14:paraId="1982BC03" w14:textId="77777777" w:rsidR="001A35D3" w:rsidRDefault="001A35D3">
      <w:pPr>
        <w:spacing w:after="0"/>
        <w:jc w:val="center"/>
        <w:rPr>
          <w:rFonts w:ascii="Bookman Old Style" w:eastAsia="Bookman Old Style" w:hAnsi="Bookman Old Style" w:cs="Bookman Old Style"/>
          <w:sz w:val="20"/>
          <w:szCs w:val="20"/>
        </w:rPr>
      </w:pPr>
    </w:p>
    <w:p w14:paraId="7C5CF23D" w14:textId="0EA47457" w:rsidR="001A35D3" w:rsidRDefault="001A35D3" w:rsidP="001D1409">
      <w:pPr>
        <w:spacing w:after="0"/>
        <w:rPr>
          <w:rFonts w:ascii="Bookman Old Style" w:eastAsia="Bookman Old Style" w:hAnsi="Bookman Old Style" w:cs="Bookman Old Style"/>
          <w:sz w:val="20"/>
          <w:szCs w:val="20"/>
        </w:rPr>
      </w:pPr>
    </w:p>
    <w:p w14:paraId="14C5FD95" w14:textId="77777777" w:rsidR="001A35D3" w:rsidRDefault="007E50E1">
      <w:pPr>
        <w:pBdr>
          <w:top w:val="nil"/>
          <w:left w:val="nil"/>
          <w:bottom w:val="single" w:sz="4" w:space="1" w:color="000000"/>
          <w:right w:val="nil"/>
          <w:between w:val="nil"/>
        </w:pBdr>
        <w:tabs>
          <w:tab w:val="left" w:pos="8055"/>
        </w:tabs>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EXPOSICION DE MOTIVOS.</w:t>
      </w:r>
    </w:p>
    <w:p w14:paraId="0A9DF481" w14:textId="77777777" w:rsidR="001A35D3" w:rsidRDefault="001A35D3">
      <w:pPr>
        <w:pBdr>
          <w:top w:val="nil"/>
          <w:left w:val="nil"/>
          <w:bottom w:val="nil"/>
          <w:right w:val="nil"/>
          <w:between w:val="nil"/>
        </w:pBdr>
        <w:tabs>
          <w:tab w:val="left" w:pos="8055"/>
        </w:tabs>
        <w:jc w:val="center"/>
        <w:rPr>
          <w:rFonts w:ascii="Bookman Old Style" w:eastAsia="Bookman Old Style" w:hAnsi="Bookman Old Style" w:cs="Bookman Old Style"/>
          <w:b/>
          <w:color w:val="000000"/>
          <w:sz w:val="20"/>
          <w:szCs w:val="20"/>
        </w:rPr>
      </w:pPr>
    </w:p>
    <w:p w14:paraId="68B9B541" w14:textId="77777777" w:rsidR="001A35D3" w:rsidRDefault="007E50E1">
      <w:pPr>
        <w:pBdr>
          <w:top w:val="nil"/>
          <w:left w:val="nil"/>
          <w:bottom w:val="nil"/>
          <w:right w:val="nil"/>
          <w:between w:val="nil"/>
        </w:pBdr>
        <w:tabs>
          <w:tab w:val="left" w:pos="8055"/>
        </w:tabs>
        <w:jc w:val="right"/>
        <w:rPr>
          <w:rFonts w:ascii="Bookman Old Style" w:eastAsia="Bookman Old Style" w:hAnsi="Bookman Old Style" w:cs="Bookman Old Style"/>
          <w:i/>
          <w:color w:val="000000"/>
          <w:sz w:val="20"/>
          <w:szCs w:val="20"/>
        </w:rPr>
      </w:pPr>
      <w:r>
        <w:rPr>
          <w:rFonts w:ascii="Bookman Old Style" w:eastAsia="Bookman Old Style" w:hAnsi="Bookman Old Style" w:cs="Bookman Old Style"/>
          <w:i/>
          <w:color w:val="000000"/>
          <w:sz w:val="20"/>
          <w:szCs w:val="20"/>
        </w:rPr>
        <w:t xml:space="preserve">      </w:t>
      </w:r>
    </w:p>
    <w:p w14:paraId="376B67E3" w14:textId="77777777" w:rsidR="001A35D3" w:rsidRDefault="007E50E1">
      <w:pPr>
        <w:pBdr>
          <w:top w:val="nil"/>
          <w:left w:val="nil"/>
          <w:bottom w:val="nil"/>
          <w:right w:val="nil"/>
          <w:between w:val="nil"/>
        </w:pBdr>
        <w:tabs>
          <w:tab w:val="left" w:pos="8055"/>
        </w:tabs>
        <w:jc w:val="right"/>
        <w:rPr>
          <w:rFonts w:ascii="Bookman Old Style" w:eastAsia="Bookman Old Style" w:hAnsi="Bookman Old Style" w:cs="Bookman Old Style"/>
          <w:i/>
          <w:color w:val="000000"/>
          <w:sz w:val="20"/>
          <w:szCs w:val="20"/>
        </w:rPr>
      </w:pPr>
      <w:r>
        <w:rPr>
          <w:rFonts w:ascii="Bookman Old Style" w:eastAsia="Bookman Old Style" w:hAnsi="Bookman Old Style" w:cs="Bookman Old Style"/>
          <w:i/>
          <w:color w:val="000000"/>
          <w:sz w:val="20"/>
          <w:szCs w:val="20"/>
        </w:rPr>
        <w:t>“</w:t>
      </w:r>
      <w:r>
        <w:rPr>
          <w:rFonts w:ascii="Bookman Old Style" w:eastAsia="Bookman Old Style" w:hAnsi="Bookman Old Style" w:cs="Bookman Old Style"/>
          <w:i/>
          <w:color w:val="000000"/>
          <w:sz w:val="20"/>
          <w:szCs w:val="20"/>
          <w:highlight w:val="white"/>
        </w:rPr>
        <w:t>Somos la primera generación que siente los efectos del cambio climático y la última que puede hacer algo al respecto</w:t>
      </w:r>
      <w:r>
        <w:rPr>
          <w:rFonts w:ascii="Bookman Old Style" w:eastAsia="Bookman Old Style" w:hAnsi="Bookman Old Style" w:cs="Bookman Old Style"/>
          <w:i/>
          <w:color w:val="000000"/>
          <w:sz w:val="20"/>
          <w:szCs w:val="20"/>
        </w:rPr>
        <w:t>”</w:t>
      </w:r>
    </w:p>
    <w:p w14:paraId="2E7D512C" w14:textId="77777777" w:rsidR="001A35D3" w:rsidRDefault="007E50E1">
      <w:pPr>
        <w:pBdr>
          <w:top w:val="nil"/>
          <w:left w:val="nil"/>
          <w:bottom w:val="nil"/>
          <w:right w:val="nil"/>
          <w:between w:val="nil"/>
        </w:pBdr>
        <w:tabs>
          <w:tab w:val="left" w:pos="8055"/>
        </w:tabs>
        <w:jc w:val="right"/>
        <w:rPr>
          <w:rFonts w:ascii="Bookman Old Style" w:eastAsia="Bookman Old Style" w:hAnsi="Bookman Old Style" w:cs="Bookman Old Style"/>
          <w:b/>
          <w:i/>
          <w:color w:val="000000"/>
          <w:sz w:val="20"/>
          <w:szCs w:val="20"/>
        </w:rPr>
      </w:pPr>
      <w:r>
        <w:rPr>
          <w:rFonts w:ascii="Bookman Old Style" w:eastAsia="Bookman Old Style" w:hAnsi="Bookman Old Style" w:cs="Bookman Old Style"/>
          <w:i/>
          <w:color w:val="000000"/>
          <w:sz w:val="20"/>
          <w:szCs w:val="20"/>
        </w:rPr>
        <w:t>(Al Gore)</w:t>
      </w:r>
      <w:bookmarkStart w:id="0" w:name="gjdgxs" w:colFirst="0" w:colLast="0"/>
      <w:bookmarkEnd w:id="0"/>
    </w:p>
    <w:p w14:paraId="189FD96E" w14:textId="77777777" w:rsidR="001A35D3" w:rsidRDefault="007E50E1">
      <w:pPr>
        <w:spacing w:before="240"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La presente exposición de motivos está compuesta por seis (6) apartes:</w:t>
      </w:r>
    </w:p>
    <w:p w14:paraId="47651FA3" w14:textId="77777777" w:rsidR="001A35D3" w:rsidRDefault="007E50E1">
      <w:pPr>
        <w:numPr>
          <w:ilvl w:val="0"/>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Objeto del Proyecto de Ley</w:t>
      </w:r>
    </w:p>
    <w:p w14:paraId="0D7B7F6B" w14:textId="77777777" w:rsidR="001A35D3" w:rsidRDefault="007E50E1">
      <w:pPr>
        <w:numPr>
          <w:ilvl w:val="0"/>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Justificación de la iniciativa</w:t>
      </w:r>
    </w:p>
    <w:p w14:paraId="55D3DF1F" w14:textId="6B5D8A40" w:rsidR="001A35D3" w:rsidRDefault="007E50E1">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Geografía </w:t>
      </w:r>
      <w:r w:rsidR="004C26C2">
        <w:rPr>
          <w:rFonts w:ascii="Bookman Old Style" w:eastAsia="Bookman Old Style" w:hAnsi="Bookman Old Style" w:cs="Bookman Old Style"/>
          <w:color w:val="000000"/>
          <w:sz w:val="20"/>
          <w:szCs w:val="20"/>
        </w:rPr>
        <w:t>del Río Cravo</w:t>
      </w:r>
      <w:r w:rsidR="002A28F5">
        <w:rPr>
          <w:rFonts w:ascii="Bookman Old Style" w:eastAsia="Bookman Old Style" w:hAnsi="Bookman Old Style" w:cs="Bookman Old Style"/>
          <w:color w:val="000000"/>
          <w:sz w:val="20"/>
          <w:szCs w:val="20"/>
        </w:rPr>
        <w:t xml:space="preserve"> Sur</w:t>
      </w:r>
    </w:p>
    <w:p w14:paraId="3C238B64" w14:textId="6878BFB9" w:rsidR="001A35D3" w:rsidRDefault="004C26C2">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Caracterización ambiental del Río Cravo</w:t>
      </w:r>
      <w:r w:rsidR="002A28F5">
        <w:rPr>
          <w:rFonts w:ascii="Bookman Old Style" w:eastAsia="Bookman Old Style" w:hAnsi="Bookman Old Style" w:cs="Bookman Old Style"/>
          <w:color w:val="000000"/>
          <w:sz w:val="20"/>
          <w:szCs w:val="20"/>
        </w:rPr>
        <w:t xml:space="preserve"> Sur</w:t>
      </w:r>
    </w:p>
    <w:p w14:paraId="3AA76115" w14:textId="7CD0D7CC" w:rsidR="001A35D3" w:rsidRDefault="004C26C2">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Área de influencia</w:t>
      </w:r>
    </w:p>
    <w:p w14:paraId="42442FBB" w14:textId="4AD0DCB1" w:rsidR="001A35D3" w:rsidRDefault="004C26C2">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Situación actual</w:t>
      </w:r>
    </w:p>
    <w:p w14:paraId="4CE7EF40" w14:textId="49FAF314" w:rsidR="001A35D3" w:rsidRDefault="004C26C2">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Impactos sociales</w:t>
      </w:r>
    </w:p>
    <w:p w14:paraId="740AEB5F" w14:textId="2E46F7D4" w:rsidR="004C26C2" w:rsidRDefault="004C26C2">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Objetivos de desarrollo sostenible</w:t>
      </w:r>
    </w:p>
    <w:p w14:paraId="78D24DAD" w14:textId="77777777" w:rsidR="001A35D3" w:rsidRDefault="007E50E1">
      <w:pPr>
        <w:numPr>
          <w:ilvl w:val="0"/>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Fundamentos normativos</w:t>
      </w:r>
    </w:p>
    <w:p w14:paraId="36FAE779" w14:textId="77777777" w:rsidR="001A35D3" w:rsidRDefault="007E50E1">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Disposiciones constitucionales </w:t>
      </w:r>
    </w:p>
    <w:p w14:paraId="528EF016" w14:textId="77777777" w:rsidR="001A35D3" w:rsidRDefault="007E50E1">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Jurisprudencia constitucional</w:t>
      </w:r>
    </w:p>
    <w:p w14:paraId="509D61BE" w14:textId="77777777" w:rsidR="001A35D3" w:rsidRDefault="007E50E1">
      <w:pPr>
        <w:numPr>
          <w:ilvl w:val="1"/>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Jurisprudencia de la Corte Suprema de Justicia</w:t>
      </w:r>
    </w:p>
    <w:p w14:paraId="40BBA97D" w14:textId="77777777" w:rsidR="001A35D3" w:rsidRDefault="007E50E1">
      <w:pPr>
        <w:numPr>
          <w:ilvl w:val="0"/>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Conflictos de intereses</w:t>
      </w:r>
    </w:p>
    <w:p w14:paraId="7A61F6B9" w14:textId="77777777" w:rsidR="001A35D3" w:rsidRDefault="007E50E1">
      <w:pPr>
        <w:numPr>
          <w:ilvl w:val="0"/>
          <w:numId w:val="6"/>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Impacto fiscal</w:t>
      </w:r>
    </w:p>
    <w:p w14:paraId="1B432101" w14:textId="77777777" w:rsidR="001A35D3" w:rsidRDefault="007E50E1">
      <w:pPr>
        <w:numPr>
          <w:ilvl w:val="0"/>
          <w:numId w:val="6"/>
        </w:numPr>
        <w:pBdr>
          <w:top w:val="nil"/>
          <w:left w:val="nil"/>
          <w:bottom w:val="nil"/>
          <w:right w:val="nil"/>
          <w:between w:val="nil"/>
        </w:pBdr>
        <w:spacing w:after="20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Referencias</w:t>
      </w:r>
    </w:p>
    <w:p w14:paraId="7955D856" w14:textId="77777777" w:rsidR="001A35D3" w:rsidRDefault="001A35D3">
      <w:pPr>
        <w:spacing w:after="200" w:line="360" w:lineRule="auto"/>
        <w:jc w:val="both"/>
        <w:rPr>
          <w:rFonts w:ascii="Bookman Old Style" w:eastAsia="Bookman Old Style" w:hAnsi="Bookman Old Style" w:cs="Bookman Old Style"/>
          <w:sz w:val="20"/>
          <w:szCs w:val="20"/>
        </w:rPr>
      </w:pPr>
    </w:p>
    <w:p w14:paraId="6D594530" w14:textId="77777777" w:rsidR="001A35D3" w:rsidRDefault="007E50E1">
      <w:pPr>
        <w:numPr>
          <w:ilvl w:val="0"/>
          <w:numId w:val="11"/>
        </w:numPr>
        <w:pBdr>
          <w:top w:val="nil"/>
          <w:left w:val="nil"/>
          <w:bottom w:val="nil"/>
          <w:right w:val="nil"/>
          <w:between w:val="nil"/>
        </w:pBdr>
        <w:spacing w:after="20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OBJETO DEL PROYECTO DE LEY</w:t>
      </w:r>
    </w:p>
    <w:p w14:paraId="14C03CA6" w14:textId="2C2142FB"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La presente iniciativa legislativa tiene por objeto garantizar la protección, conservación, mantenimiento y restauración </w:t>
      </w:r>
      <w:r w:rsidR="004C26C2">
        <w:rPr>
          <w:rFonts w:ascii="Bookman Old Style" w:eastAsia="Bookman Old Style" w:hAnsi="Bookman Old Style" w:cs="Bookman Old Style"/>
          <w:sz w:val="20"/>
          <w:szCs w:val="20"/>
        </w:rPr>
        <w:t>del Río 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sus cuencas y afluentes, mediante su reconocimiento como entidad sujeta de derechos; con el fin de proteger y conservar los ecosistemas que allí se encuentran; quienes se han visto afectados e impactados de manera negativa por actividades humanas.</w:t>
      </w:r>
    </w:p>
    <w:p w14:paraId="2DE369AC" w14:textId="77777777" w:rsidR="001A35D3" w:rsidRDefault="001A35D3">
      <w:pPr>
        <w:spacing w:after="200" w:line="360" w:lineRule="auto"/>
        <w:jc w:val="both"/>
        <w:rPr>
          <w:rFonts w:ascii="Bookman Old Style" w:eastAsia="Bookman Old Style" w:hAnsi="Bookman Old Style" w:cs="Bookman Old Style"/>
          <w:sz w:val="20"/>
          <w:szCs w:val="20"/>
        </w:rPr>
      </w:pPr>
    </w:p>
    <w:p w14:paraId="0859BC43" w14:textId="77777777" w:rsidR="001A35D3" w:rsidRDefault="001A35D3">
      <w:pPr>
        <w:spacing w:after="200" w:line="360" w:lineRule="auto"/>
        <w:jc w:val="both"/>
        <w:rPr>
          <w:rFonts w:ascii="Bookman Old Style" w:eastAsia="Bookman Old Style" w:hAnsi="Bookman Old Style" w:cs="Bookman Old Style"/>
          <w:sz w:val="20"/>
          <w:szCs w:val="20"/>
        </w:rPr>
      </w:pPr>
    </w:p>
    <w:p w14:paraId="75980278" w14:textId="77777777" w:rsidR="001A35D3" w:rsidRDefault="007E50E1">
      <w:pPr>
        <w:numPr>
          <w:ilvl w:val="0"/>
          <w:numId w:val="11"/>
        </w:numPr>
        <w:pBdr>
          <w:top w:val="nil"/>
          <w:left w:val="nil"/>
          <w:bottom w:val="nil"/>
          <w:right w:val="nil"/>
          <w:between w:val="nil"/>
        </w:pBdr>
        <w:spacing w:after="20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JUSTIFICACIÓN DE LA INICIATIVA</w:t>
      </w:r>
    </w:p>
    <w:p w14:paraId="63A3B545" w14:textId="1CB4362F" w:rsidR="001A35D3" w:rsidRDefault="007E50E1">
      <w:pPr>
        <w:spacing w:after="200" w:line="360" w:lineRule="auto"/>
        <w:ind w:left="36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La importancia de esta iniciativa legislativa, radica en proteger y conservar el cuerpo de agua más grande del departamento, mediante el cual se ha dado la evolución de la sociedad y de la naturaleza. Sin su protección y peor aún sin su existencia no se podría dar la producción de alimentos, ni los procesos biológicos que dan paso a la existencia de innumerables especies animales y vegetales. </w:t>
      </w:r>
      <w:r w:rsidR="009D3C69" w:rsidRPr="009D3C69">
        <w:rPr>
          <w:rFonts w:ascii="Bookman Old Style" w:eastAsia="Bookman Old Style" w:hAnsi="Bookman Old Style" w:cs="Bookman Old Style"/>
          <w:sz w:val="20"/>
          <w:szCs w:val="20"/>
        </w:rPr>
        <w:t>El departamento de Casanare se caracteriza por su diversidad de ecosistemas, resultado de su notable variación altitudinal y la configuración de cuencas hidrográficas significativas, especialmente las asociadas al río Meta. Este territorio alberga un complejo ecosistema que incluye estribaciones montañosas (10%), piedemonte (20%) y sabanas (70%), donde la biodiversidad ha coexistido históricamente con la ganadería extensiva practicada por los llaneros. Actualmente, estos pobladores enfrentan desafíos debido a cambios en el modelo de desarrollo nacional que promueve la expansión de los sectores de hidrocarburos y agricultura industrial.</w:t>
      </w:r>
      <w:r>
        <w:rPr>
          <w:rFonts w:ascii="Bookman Old Style" w:eastAsia="Bookman Old Style" w:hAnsi="Bookman Old Style" w:cs="Bookman Old Style"/>
          <w:sz w:val="20"/>
          <w:szCs w:val="20"/>
        </w:rPr>
        <w:t xml:space="preserve"> </w:t>
      </w:r>
    </w:p>
    <w:p w14:paraId="488F6A43" w14:textId="4E3EAFB8" w:rsidR="009D3C69" w:rsidRDefault="009D3C69" w:rsidP="009D3C69">
      <w:pPr>
        <w:spacing w:after="200" w:line="360" w:lineRule="auto"/>
        <w:ind w:left="360"/>
        <w:jc w:val="both"/>
        <w:rPr>
          <w:rFonts w:ascii="Bookman Old Style" w:eastAsia="Bookman Old Style" w:hAnsi="Bookman Old Style" w:cs="Bookman Old Style"/>
          <w:sz w:val="20"/>
          <w:szCs w:val="20"/>
        </w:rPr>
      </w:pPr>
      <w:r w:rsidRPr="009D3C69">
        <w:rPr>
          <w:rFonts w:ascii="Bookman Old Style" w:eastAsia="Bookman Old Style" w:hAnsi="Bookman Old Style" w:cs="Bookman Old Style"/>
          <w:sz w:val="20"/>
          <w:szCs w:val="20"/>
        </w:rPr>
        <w:t>Casanare cuenta con dieciséis ecosistemas que abarcan llanuras, altillanuras, selvas andinas y páramos, lo que contribuye a su riqueza biológica. La ganadería, especialmente la cría de ganado vacuno, es la principal actividad económica de la región, representando el tercer hato ganadero del país. Sin embargo, esta actividad ha generado transformaciones significativas en el paisaje y ha aumentado la presión sobre los recursos naturales, lo que plantea retos para la conservación de la biodiversidad</w:t>
      </w:r>
    </w:p>
    <w:p w14:paraId="7E74F729" w14:textId="74C72CB6" w:rsidR="001A35D3" w:rsidRPr="00DC5725" w:rsidRDefault="007E50E1" w:rsidP="00DC5725">
      <w:pPr>
        <w:spacing w:after="200" w:line="360" w:lineRule="auto"/>
        <w:ind w:left="36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xml:space="preserve">Dicho lo anterior, con esta iniciativa además de conservar y proteger la cuenca del </w:t>
      </w:r>
      <w:r w:rsidR="00AA3E66" w:rsidRPr="00AA3E66">
        <w:rPr>
          <w:rFonts w:ascii="Bookman Old Style" w:eastAsia="Bookman Old Style" w:hAnsi="Bookman Old Style" w:cs="Bookman Old Style"/>
          <w:sz w:val="20"/>
          <w:szCs w:val="20"/>
        </w:rPr>
        <w:t>río Cravo Sur</w:t>
      </w:r>
      <w:r>
        <w:rPr>
          <w:rFonts w:ascii="Bookman Old Style" w:eastAsia="Bookman Old Style" w:hAnsi="Bookman Old Style" w:cs="Bookman Old Style"/>
          <w:sz w:val="20"/>
          <w:szCs w:val="20"/>
        </w:rPr>
        <w:t xml:space="preserve">, se busca impulsar indirectamente otros sectores: la agroindustria, el turismo, la economía, la salud ambiental y en sí, la calidad de vida de los </w:t>
      </w:r>
      <w:r w:rsidR="00AA3E66" w:rsidRPr="00AA3E66">
        <w:rPr>
          <w:rFonts w:ascii="Bookman Old Style" w:eastAsia="Bookman Old Style" w:hAnsi="Bookman Old Style" w:cs="Bookman Old Style"/>
          <w:sz w:val="20"/>
          <w:szCs w:val="20"/>
        </w:rPr>
        <w:t>Casanareños</w:t>
      </w:r>
      <w:r>
        <w:rPr>
          <w:rFonts w:ascii="Bookman Old Style" w:eastAsia="Bookman Old Style" w:hAnsi="Bookman Old Style" w:cs="Bookman Old Style"/>
          <w:sz w:val="20"/>
          <w:szCs w:val="20"/>
        </w:rPr>
        <w:t>.</w:t>
      </w:r>
    </w:p>
    <w:p w14:paraId="683AEAA9" w14:textId="2872522B" w:rsidR="001A35D3" w:rsidRDefault="007E50E1" w:rsidP="004C26C2">
      <w:pPr>
        <w:pBdr>
          <w:top w:val="nil"/>
          <w:left w:val="nil"/>
          <w:bottom w:val="nil"/>
          <w:right w:val="nil"/>
          <w:between w:val="nil"/>
        </w:pBdr>
        <w:spacing w:after="200" w:line="360" w:lineRule="auto"/>
        <w:ind w:left="491"/>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 xml:space="preserve">2.1 Geografía </w:t>
      </w:r>
      <w:r w:rsidR="00C33304">
        <w:rPr>
          <w:rFonts w:ascii="Bookman Old Style" w:eastAsia="Bookman Old Style" w:hAnsi="Bookman Old Style" w:cs="Bookman Old Style"/>
          <w:b/>
          <w:color w:val="000000"/>
          <w:sz w:val="20"/>
          <w:szCs w:val="20"/>
        </w:rPr>
        <w:t>R</w:t>
      </w:r>
      <w:r w:rsidR="00C33304" w:rsidRPr="00C33304">
        <w:rPr>
          <w:rFonts w:ascii="Bookman Old Style" w:eastAsia="Bookman Old Style" w:hAnsi="Bookman Old Style" w:cs="Bookman Old Style"/>
          <w:b/>
          <w:color w:val="000000"/>
          <w:sz w:val="20"/>
          <w:szCs w:val="20"/>
        </w:rPr>
        <w:t>ío Cravo Sur</w:t>
      </w:r>
    </w:p>
    <w:p w14:paraId="4A915623" w14:textId="2556B0E9" w:rsidR="00750ECC" w:rsidRPr="00750ECC" w:rsidRDefault="00750ECC" w:rsidP="00750ECC">
      <w:pPr>
        <w:spacing w:before="280" w:after="280" w:line="360" w:lineRule="auto"/>
        <w:jc w:val="both"/>
        <w:rPr>
          <w:rFonts w:ascii="Bookman Old Style" w:eastAsia="Bookman Old Style" w:hAnsi="Bookman Old Style" w:cs="Bookman Old Style"/>
          <w:sz w:val="20"/>
          <w:szCs w:val="20"/>
        </w:rPr>
      </w:pPr>
      <w:r w:rsidRPr="00750ECC">
        <w:rPr>
          <w:rFonts w:ascii="Bookman Old Style" w:eastAsia="Bookman Old Style" w:hAnsi="Bookman Old Style" w:cs="Bookman Old Style"/>
          <w:sz w:val="20"/>
          <w:szCs w:val="20"/>
        </w:rPr>
        <w:t xml:space="preserve">La cuenca del </w:t>
      </w:r>
      <w:bookmarkStart w:id="1" w:name="_Hlk180995117"/>
      <w:r w:rsidRPr="00750ECC">
        <w:rPr>
          <w:rFonts w:ascii="Bookman Old Style" w:eastAsia="Bookman Old Style" w:hAnsi="Bookman Old Style" w:cs="Bookman Old Style"/>
          <w:sz w:val="20"/>
          <w:szCs w:val="20"/>
        </w:rPr>
        <w:t>río Cravo Sur</w:t>
      </w:r>
      <w:bookmarkEnd w:id="1"/>
      <w:r w:rsidRPr="00750ECC">
        <w:rPr>
          <w:rFonts w:ascii="Bookman Old Style" w:eastAsia="Bookman Old Style" w:hAnsi="Bookman Old Style" w:cs="Bookman Old Style"/>
          <w:sz w:val="20"/>
          <w:szCs w:val="20"/>
        </w:rPr>
        <w:t xml:space="preserve"> (3521) se localiza en la parte oriental del país, aproximadamente entre</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las coordenadas 72°46’ a 71°31’ de longitud oeste y 4°41’ a 5°56’ de latitud norte. Esta cuenca se</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encuentra en la cuenca del río Meta.</w:t>
      </w:r>
    </w:p>
    <w:p w14:paraId="0FF04817" w14:textId="7A77EDA0" w:rsidR="001A35D3" w:rsidRDefault="00750ECC" w:rsidP="00750ECC">
      <w:pPr>
        <w:spacing w:before="280" w:after="280" w:line="360" w:lineRule="auto"/>
        <w:jc w:val="both"/>
        <w:rPr>
          <w:rFonts w:ascii="Bookman Old Style" w:eastAsia="Bookman Old Style" w:hAnsi="Bookman Old Style" w:cs="Bookman Old Style"/>
          <w:sz w:val="20"/>
          <w:szCs w:val="20"/>
        </w:rPr>
      </w:pPr>
      <w:r w:rsidRPr="00750ECC">
        <w:rPr>
          <w:rFonts w:ascii="Bookman Old Style" w:eastAsia="Bookman Old Style" w:hAnsi="Bookman Old Style" w:cs="Bookman Old Style"/>
          <w:sz w:val="20"/>
          <w:szCs w:val="20"/>
        </w:rPr>
        <w:t>La cuenca del río Cravo Sur se encuentra en jurisdicción de la Corporación Autónoma Regional de la</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Orinoquia –Corporinoquía-, y la Corporación Autónoma Regional de Boyacá –Corpoboyacá-.</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Geográficamente la cuenca del río Cravo Sur hace parte de los departamentos de Boyacá y Casanare</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y comprende los municipios de Socotá, Gámeza, Tasco, Móngua, Labranzagrande, Pisba, Paya,</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Támara, Nunchía, Yopal, San Luís de Palenque y Orocué; además una parte de la cuenca pertenece</w:t>
      </w:r>
      <w:r>
        <w:rPr>
          <w:rFonts w:ascii="Bookman Old Style" w:eastAsia="Bookman Old Style" w:hAnsi="Bookman Old Style" w:cs="Bookman Old Style"/>
          <w:sz w:val="20"/>
          <w:szCs w:val="20"/>
        </w:rPr>
        <w:t xml:space="preserve"> </w:t>
      </w:r>
      <w:r w:rsidRPr="00750ECC">
        <w:rPr>
          <w:rFonts w:ascii="Bookman Old Style" w:eastAsia="Bookman Old Style" w:hAnsi="Bookman Old Style" w:cs="Bookman Old Style"/>
          <w:sz w:val="20"/>
          <w:szCs w:val="20"/>
        </w:rPr>
        <w:t>al área de jurisdicción del Parque Nacional Natural de Pisba</w:t>
      </w:r>
      <w:r>
        <w:rPr>
          <w:rFonts w:ascii="Bookman Old Style" w:eastAsia="Bookman Old Style" w:hAnsi="Bookman Old Style" w:cs="Bookman Old Style"/>
          <w:sz w:val="20"/>
          <w:szCs w:val="20"/>
        </w:rPr>
        <w:t>.</w:t>
      </w:r>
    </w:p>
    <w:p w14:paraId="1CB5B226" w14:textId="6298DFDF" w:rsidR="00255C37" w:rsidRPr="00255C37" w:rsidRDefault="00255C37" w:rsidP="00255C37">
      <w:pPr>
        <w:pStyle w:val="Descripcin"/>
        <w:keepNext/>
        <w:jc w:val="center"/>
        <w:rPr>
          <w:rFonts w:ascii="Bookman Old Style" w:hAnsi="Bookman Old Style"/>
          <w:b/>
          <w:bCs/>
          <w:i w:val="0"/>
          <w:iCs w:val="0"/>
          <w:color w:val="auto"/>
        </w:rPr>
      </w:pPr>
      <w:r w:rsidRPr="00255C37">
        <w:rPr>
          <w:rFonts w:ascii="Bookman Old Style" w:hAnsi="Bookman Old Style"/>
          <w:b/>
          <w:bCs/>
          <w:i w:val="0"/>
          <w:iCs w:val="0"/>
          <w:color w:val="auto"/>
        </w:rPr>
        <w:t xml:space="preserve">Imagen </w:t>
      </w:r>
      <w:r w:rsidRPr="00255C37">
        <w:rPr>
          <w:rFonts w:ascii="Bookman Old Style" w:hAnsi="Bookman Old Style"/>
          <w:b/>
          <w:bCs/>
          <w:i w:val="0"/>
          <w:iCs w:val="0"/>
          <w:color w:val="auto"/>
        </w:rPr>
        <w:fldChar w:fldCharType="begin"/>
      </w:r>
      <w:r w:rsidRPr="00255C37">
        <w:rPr>
          <w:rFonts w:ascii="Bookman Old Style" w:hAnsi="Bookman Old Style"/>
          <w:b/>
          <w:bCs/>
          <w:i w:val="0"/>
          <w:iCs w:val="0"/>
          <w:color w:val="auto"/>
        </w:rPr>
        <w:instrText xml:space="preserve"> SEQ Imagen \* ARABIC </w:instrText>
      </w:r>
      <w:r w:rsidRPr="00255C37">
        <w:rPr>
          <w:rFonts w:ascii="Bookman Old Style" w:hAnsi="Bookman Old Style"/>
          <w:b/>
          <w:bCs/>
          <w:i w:val="0"/>
          <w:iCs w:val="0"/>
          <w:color w:val="auto"/>
        </w:rPr>
        <w:fldChar w:fldCharType="separate"/>
      </w:r>
      <w:r w:rsidR="00884A1C">
        <w:rPr>
          <w:rFonts w:ascii="Bookman Old Style" w:hAnsi="Bookman Old Style"/>
          <w:b/>
          <w:bCs/>
          <w:i w:val="0"/>
          <w:iCs w:val="0"/>
          <w:noProof/>
          <w:color w:val="auto"/>
        </w:rPr>
        <w:t>1</w:t>
      </w:r>
      <w:r w:rsidRPr="00255C37">
        <w:rPr>
          <w:rFonts w:ascii="Bookman Old Style" w:hAnsi="Bookman Old Style"/>
          <w:b/>
          <w:bCs/>
          <w:i w:val="0"/>
          <w:iCs w:val="0"/>
          <w:color w:val="auto"/>
        </w:rPr>
        <w:fldChar w:fldCharType="end"/>
      </w:r>
      <w:r w:rsidRPr="00255C37">
        <w:rPr>
          <w:rFonts w:ascii="Bookman Old Style" w:hAnsi="Bookman Old Style"/>
          <w:b/>
          <w:bCs/>
          <w:i w:val="0"/>
          <w:iCs w:val="0"/>
          <w:color w:val="auto"/>
        </w:rPr>
        <w:t>:  Localización hidrológica de la cuenca del río Cravo Sur</w:t>
      </w:r>
    </w:p>
    <w:p w14:paraId="100A50AF" w14:textId="15FA4EB0" w:rsidR="001A35D3" w:rsidRDefault="00255C37" w:rsidP="00255C37">
      <w:pPr>
        <w:keepNext/>
        <w:spacing w:before="280" w:after="280" w:line="240" w:lineRule="auto"/>
        <w:jc w:val="center"/>
        <w:rPr>
          <w:rFonts w:ascii="Bookman Old Style" w:eastAsia="Bookman Old Style" w:hAnsi="Bookman Old Style" w:cs="Bookman Old Style"/>
          <w:sz w:val="20"/>
          <w:szCs w:val="20"/>
        </w:rPr>
      </w:pPr>
      <w:r>
        <w:rPr>
          <w:noProof/>
          <w:lang w:val="es-MX" w:eastAsia="es-MX"/>
        </w:rPr>
        <w:drawing>
          <wp:inline distT="0" distB="0" distL="0" distR="0" wp14:anchorId="0565E66F" wp14:editId="6818BA0C">
            <wp:extent cx="5612130" cy="2193290"/>
            <wp:effectExtent l="76200" t="76200" r="140970" b="130810"/>
            <wp:docPr id="233898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98247" name=""/>
                    <pic:cNvPicPr/>
                  </pic:nvPicPr>
                  <pic:blipFill>
                    <a:blip r:embed="rId9"/>
                    <a:stretch>
                      <a:fillRect/>
                    </a:stretch>
                  </pic:blipFill>
                  <pic:spPr>
                    <a:xfrm>
                      <a:off x="0" y="0"/>
                      <a:ext cx="5612130" cy="2193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okman Old Style" w:eastAsia="Bookman Old Style" w:hAnsi="Bookman Old Style" w:cs="Bookman Old Style"/>
          <w:noProof/>
          <w:sz w:val="20"/>
          <w:szCs w:val="20"/>
        </w:rPr>
        <w:t xml:space="preserve"> </w:t>
      </w:r>
      <w:r>
        <w:rPr>
          <w:rFonts w:ascii="Bookman Old Style" w:eastAsia="Bookman Old Style" w:hAnsi="Bookman Old Style" w:cs="Bookman Old Style"/>
          <w:noProof/>
          <w:sz w:val="20"/>
          <w:szCs w:val="20"/>
        </w:rPr>
        <w:br/>
      </w:r>
      <w:r w:rsidRPr="00255C37">
        <w:rPr>
          <w:rFonts w:ascii="Bookman Old Style" w:eastAsia="Bookman Old Style" w:hAnsi="Bookman Old Style" w:cs="Bookman Old Style"/>
          <w:noProof/>
          <w:sz w:val="20"/>
          <w:szCs w:val="20"/>
        </w:rPr>
        <w:t xml:space="preserve">Fuente: </w:t>
      </w:r>
      <w:r w:rsidRPr="00255C37">
        <w:rPr>
          <w:rFonts w:ascii="Bookman Old Style" w:hAnsi="Bookman Old Style"/>
          <w:sz w:val="20"/>
          <w:szCs w:val="20"/>
        </w:rPr>
        <w:t>Consorcio POMCA 2015 057</w:t>
      </w:r>
      <w:r>
        <w:rPr>
          <w:rFonts w:ascii="Bookman Old Style" w:hAnsi="Bookman Old Style"/>
          <w:sz w:val="20"/>
          <w:szCs w:val="20"/>
        </w:rPr>
        <w:t xml:space="preserve">. </w:t>
      </w:r>
    </w:p>
    <w:p w14:paraId="5312108A" w14:textId="350CC054" w:rsidR="001A35D3" w:rsidRDefault="0073654A" w:rsidP="0073654A">
      <w:pPr>
        <w:keepNext/>
        <w:spacing w:before="280" w:after="280" w:line="360" w:lineRule="auto"/>
        <w:jc w:val="both"/>
        <w:rPr>
          <w:rFonts w:ascii="Bookman Old Style" w:eastAsia="Bookman Old Style" w:hAnsi="Bookman Old Style" w:cs="Bookman Old Style"/>
          <w:sz w:val="20"/>
          <w:szCs w:val="20"/>
        </w:rPr>
      </w:pPr>
      <w:r w:rsidRPr="0073654A">
        <w:rPr>
          <w:rFonts w:ascii="Bookman Old Style" w:eastAsia="Bookman Old Style" w:hAnsi="Bookman Old Style" w:cs="Bookman Old Style"/>
          <w:sz w:val="20"/>
          <w:szCs w:val="20"/>
        </w:rPr>
        <w:t>En la cuenca del río Cravo Sur se presenta una alta degradación de laderas, donde también se ubican</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varios de los cascos urbanos de los municipios que están sobre zonas altamente amenazadas por</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deslizamientos de tierra, inundaciones, avenidas torrenciales, sedimentación y destrucción antrópica,</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en sitios como Labranza</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 xml:space="preserve">grande, Paya, Yopal y </w:t>
      </w:r>
      <w:r w:rsidRPr="0073654A">
        <w:rPr>
          <w:rFonts w:ascii="Bookman Old Style" w:eastAsia="Bookman Old Style" w:hAnsi="Bookman Old Style" w:cs="Bookman Old Style"/>
          <w:sz w:val="20"/>
          <w:szCs w:val="20"/>
        </w:rPr>
        <w:lastRenderedPageBreak/>
        <w:t>Nunchía, especialmente. En los siguientes numerales se</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 xml:space="preserve">desarrolla el análisis situacional de las diferentes temáticas </w:t>
      </w:r>
      <w:r>
        <w:rPr>
          <w:rFonts w:ascii="Bookman Old Style" w:eastAsia="Bookman Old Style" w:hAnsi="Bookman Old Style" w:cs="Bookman Old Style"/>
          <w:sz w:val="20"/>
          <w:szCs w:val="20"/>
        </w:rPr>
        <w:t xml:space="preserve">físico </w:t>
      </w:r>
      <w:r w:rsidRPr="0073654A">
        <w:rPr>
          <w:rFonts w:ascii="Bookman Old Style" w:eastAsia="Bookman Old Style" w:hAnsi="Bookman Old Style" w:cs="Bookman Old Style"/>
          <w:sz w:val="20"/>
          <w:szCs w:val="20"/>
        </w:rPr>
        <w:t>bióticas que componen el primer</w:t>
      </w:r>
      <w:r>
        <w:rPr>
          <w:rFonts w:ascii="Bookman Old Style" w:eastAsia="Bookman Old Style" w:hAnsi="Bookman Old Style" w:cs="Bookman Old Style"/>
          <w:sz w:val="20"/>
          <w:szCs w:val="20"/>
        </w:rPr>
        <w:t xml:space="preserve"> </w:t>
      </w:r>
      <w:r w:rsidRPr="0073654A">
        <w:rPr>
          <w:rFonts w:ascii="Bookman Old Style" w:eastAsia="Bookman Old Style" w:hAnsi="Bookman Old Style" w:cs="Bookman Old Style"/>
          <w:sz w:val="20"/>
          <w:szCs w:val="20"/>
        </w:rPr>
        <w:t xml:space="preserve">acercamiento a la actualización del POMCA del río Cravo Sur. </w:t>
      </w:r>
    </w:p>
    <w:p w14:paraId="7148C787" w14:textId="302E1FC0" w:rsidR="001A35D3" w:rsidRDefault="007E50E1" w:rsidP="004C26C2">
      <w:pPr>
        <w:spacing w:before="280" w:after="280" w:line="360" w:lineRule="auto"/>
        <w:ind w:left="360"/>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 xml:space="preserve">2.2 Caracterización Ambiental Cuenca </w:t>
      </w:r>
      <w:r w:rsidR="00B219F0" w:rsidRPr="00B219F0">
        <w:rPr>
          <w:rFonts w:ascii="Bookman Old Style" w:eastAsia="Bookman Old Style" w:hAnsi="Bookman Old Style" w:cs="Bookman Old Style"/>
          <w:b/>
          <w:sz w:val="20"/>
          <w:szCs w:val="20"/>
        </w:rPr>
        <w:t>río Cravo Sur</w:t>
      </w:r>
    </w:p>
    <w:p w14:paraId="101B8832" w14:textId="6354D2DA" w:rsidR="001A35D3" w:rsidRDefault="007E50E1">
      <w:pPr>
        <w:spacing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shd w:val="clear" w:color="auto" w:fill="FEFEFE"/>
        </w:rPr>
        <w:t xml:space="preserve">A lo largo de la cuenca del río </w:t>
      </w:r>
      <w:r w:rsidR="00FB303B">
        <w:rPr>
          <w:rFonts w:ascii="Bookman Old Style" w:eastAsia="Bookman Old Style" w:hAnsi="Bookman Old Style" w:cs="Bookman Old Style"/>
          <w:sz w:val="20"/>
          <w:szCs w:val="20"/>
          <w:shd w:val="clear" w:color="auto" w:fill="FEFEFE"/>
        </w:rPr>
        <w:t>Cravo</w:t>
      </w:r>
      <w:r w:rsidR="002A28F5">
        <w:rPr>
          <w:rFonts w:ascii="Bookman Old Style" w:eastAsia="Bookman Old Style" w:hAnsi="Bookman Old Style" w:cs="Bookman Old Style"/>
          <w:sz w:val="20"/>
          <w:szCs w:val="20"/>
          <w:shd w:val="clear" w:color="auto" w:fill="FEFEFE"/>
        </w:rPr>
        <w:t xml:space="preserve"> Sur</w:t>
      </w:r>
      <w:r>
        <w:rPr>
          <w:rFonts w:ascii="Bookman Old Style" w:eastAsia="Bookman Old Style" w:hAnsi="Bookman Old Style" w:cs="Bookman Old Style"/>
          <w:sz w:val="20"/>
          <w:szCs w:val="20"/>
          <w:shd w:val="clear" w:color="auto" w:fill="FEFEFE"/>
        </w:rPr>
        <w:t xml:space="preserve">, se encuentran ecosistemas como: </w:t>
      </w:r>
      <w:r>
        <w:rPr>
          <w:rFonts w:ascii="Bookman Old Style" w:eastAsia="Bookman Old Style" w:hAnsi="Bookman Old Style" w:cs="Bookman Old Style"/>
          <w:b/>
          <w:sz w:val="20"/>
          <w:szCs w:val="20"/>
        </w:rPr>
        <w:t>Zonobioma Tropical Alternohígrico, Zonobioma Húmedo Tropical</w:t>
      </w:r>
      <w:r>
        <w:rPr>
          <w:rFonts w:ascii="Bookman Old Style" w:eastAsia="Bookman Old Style" w:hAnsi="Bookman Old Style" w:cs="Bookman Old Style"/>
          <w:sz w:val="20"/>
          <w:szCs w:val="20"/>
        </w:rPr>
        <w:t xml:space="preserve"> Coberturas de tierra, entre las cuales se encuentran territorios artificializados, agrícolas, bosques y áreas seminaturales. (HOLCIM, 2023)</w:t>
      </w:r>
    </w:p>
    <w:p w14:paraId="0B44AD46" w14:textId="77777777" w:rsidR="001A35D3" w:rsidRDefault="001A35D3">
      <w:pPr>
        <w:spacing w:line="360" w:lineRule="auto"/>
        <w:jc w:val="both"/>
        <w:rPr>
          <w:rFonts w:ascii="Bookman Old Style" w:eastAsia="Bookman Old Style" w:hAnsi="Bookman Old Style" w:cs="Bookman Old Style"/>
          <w:sz w:val="20"/>
          <w:szCs w:val="20"/>
        </w:rPr>
      </w:pPr>
    </w:p>
    <w:p w14:paraId="1C432445" w14:textId="453B166E" w:rsidR="001A35D3" w:rsidRDefault="007E50E1">
      <w:pPr>
        <w:spacing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En el medio biótico se encuentran las siguientes especies:</w:t>
      </w:r>
    </w:p>
    <w:p w14:paraId="56D31B52" w14:textId="77777777" w:rsidR="001A35D3" w:rsidRDefault="007E50E1">
      <w:pPr>
        <w:numPr>
          <w:ilvl w:val="2"/>
          <w:numId w:val="11"/>
        </w:numPr>
        <w:pBdr>
          <w:top w:val="nil"/>
          <w:left w:val="nil"/>
          <w:bottom w:val="nil"/>
          <w:right w:val="nil"/>
          <w:between w:val="nil"/>
        </w:pBdr>
        <w:spacing w:after="0" w:line="360" w:lineRule="auto"/>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Flora</w:t>
      </w:r>
    </w:p>
    <w:p w14:paraId="7C87C37B" w14:textId="77777777" w:rsidR="000C5BE6" w:rsidRDefault="005C73E0"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5C73E0">
        <w:rPr>
          <w:rFonts w:ascii="Bookman Old Style" w:eastAsia="Bookman Old Style" w:hAnsi="Bookman Old Style" w:cs="Bookman Old Style"/>
          <w:bCs/>
          <w:sz w:val="20"/>
          <w:szCs w:val="20"/>
        </w:rPr>
        <w:t>La Subzona hidrográfica del rio Cravo Sur se extiende desde Boyacá hasta Casanare abarcando</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varios ecosistemas, paramo, sub paramo, bosque alto andino, bosque andino, pidemonte llanero</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y bosque tropical, que según la metodología de zonas de vida y de acuerdo al sistema de</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clasificación de Holdridge corresponden a bmh-M, bmh- MB, bh- PM, bh – T. Una metodología adecuada para estudiar el</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comportamiento de la vegetación de la Subzona hidrográfica consiste en hacerlo a través de</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gradientes altitudinales, en los cuales, además de observar cambios al variar la altitud, estos</w:t>
      </w:r>
      <w:r>
        <w:rPr>
          <w:rFonts w:ascii="Bookman Old Style" w:eastAsia="Bookman Old Style" w:hAnsi="Bookman Old Style" w:cs="Bookman Old Style"/>
          <w:bCs/>
          <w:sz w:val="20"/>
          <w:szCs w:val="20"/>
        </w:rPr>
        <w:t xml:space="preserve"> </w:t>
      </w:r>
      <w:r w:rsidRPr="005C73E0">
        <w:rPr>
          <w:rFonts w:ascii="Bookman Old Style" w:eastAsia="Bookman Old Style" w:hAnsi="Bookman Old Style" w:cs="Bookman Old Style"/>
          <w:bCs/>
          <w:sz w:val="20"/>
          <w:szCs w:val="20"/>
        </w:rPr>
        <w:t>pueden relacionarse con otros factores como suelos y clima.</w:t>
      </w:r>
      <w:r w:rsidR="000C5BE6">
        <w:rPr>
          <w:rFonts w:ascii="Bookman Old Style" w:eastAsia="Bookman Old Style" w:hAnsi="Bookman Old Style" w:cs="Bookman Old Style"/>
          <w:bCs/>
          <w:sz w:val="20"/>
          <w:szCs w:val="20"/>
        </w:rPr>
        <w:t xml:space="preserve"> </w:t>
      </w:r>
    </w:p>
    <w:p w14:paraId="314CADA8" w14:textId="7F635086"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El área de la cuenca abarca diversos biomas, incluyendo los Orobiomas de los Andes (alto, medio y bajo), así como el Helobioma y el Peinobioma de la Orinoquia y Amazonia. Sin embargo, esta región enfrenta una alta desprotección de sus fuentes hídricas, resultado de la presión humana sobre los recursos naturales. Esta presión se manifiesta en la expansión de la frontera agrícola, la extracción de minerales y madera, y la tala indiscriminada con finos comerciales.</w:t>
      </w:r>
    </w:p>
    <w:p w14:paraId="65AEE3EA" w14:textId="63CD9F86"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 xml:space="preserve">En la cuenca alta, la expansión agrícola para cultivos de subsistencia y praderas ganaderas ha transformado el paisaje de la selva nublada. En las partes media y baja, se observa una transformación significativa debido a la agricultura industrial, especialmente en cultivos como arroz y palma africana. Estos cambios han llevado a la desaparición de áreas boscosas, herbazales inundables y ecosistemas sensibles como esteros, debido a la creación </w:t>
      </w:r>
      <w:r w:rsidRPr="000C5BE6">
        <w:rPr>
          <w:rFonts w:ascii="Bookman Old Style" w:eastAsia="Bookman Old Style" w:hAnsi="Bookman Old Style" w:cs="Bookman Old Style"/>
          <w:bCs/>
          <w:sz w:val="20"/>
          <w:szCs w:val="20"/>
        </w:rPr>
        <w:lastRenderedPageBreak/>
        <w:t>de canales para drenar las sábanas en busca de tierras no inundables para el cultivo de palma. Como resultado, estas prácticas han causado una pérdida considerable en la composición florística del área.</w:t>
      </w:r>
    </w:p>
    <w:p w14:paraId="016A78B4" w14:textId="77777777"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Estas transformaciones han contribuido a la pérdida de conectividad ecológica y a la fragmentación del paisaje, lo que ha resultado en la desaparición de especies forestales valiosas desde el punto de vista ecológico. Esto no solo afecta la diversidad vegetal, sino también la fauna local.</w:t>
      </w:r>
    </w:p>
    <w:p w14:paraId="6CA54C0F" w14:textId="77777777"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La cuenca del río Cravo Sur presenta grandes potencialidades y oportunidades, destacándose por sus áreas ecológicas únicas, como las zonas bajas influenciadas por el río, que generan ecosistemas de herbazales inundables y esteros con características importantes para la fauna. Este entorno tiene un alto potencial para el ecoturismo , además de contar con áreas ya establecidas como zonas de protección.</w:t>
      </w:r>
    </w:p>
    <w:p w14:paraId="103BF9A6" w14:textId="77777777" w:rsid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Es crucial abordar estos desafíos mediante un enfoque que integre la conservación ambiental con el desarrollo económico sostenible, promoviendo prácticas agrícolas y ganaderas que respeten los ecosistemas locales y fomenten una coexistencia armónica entre producción y biodiversidad.</w:t>
      </w:r>
      <w:r>
        <w:rPr>
          <w:rFonts w:ascii="Bookman Old Style" w:eastAsia="Bookman Old Style" w:hAnsi="Bookman Old Style" w:cs="Bookman Old Style"/>
          <w:bCs/>
          <w:sz w:val="20"/>
          <w:szCs w:val="20"/>
        </w:rPr>
        <w:t xml:space="preserve"> </w:t>
      </w:r>
    </w:p>
    <w:p w14:paraId="5994468F" w14:textId="22ADA6BC" w:rsidR="000C5BE6" w:rsidRPr="00B219F0" w:rsidRDefault="00B219F0" w:rsidP="00B219F0">
      <w:pPr>
        <w:pStyle w:val="Prrafodelista"/>
        <w:numPr>
          <w:ilvl w:val="2"/>
          <w:numId w:val="13"/>
        </w:numPr>
        <w:pBdr>
          <w:top w:val="nil"/>
          <w:left w:val="nil"/>
          <w:bottom w:val="nil"/>
          <w:right w:val="nil"/>
          <w:between w:val="nil"/>
        </w:pBdr>
        <w:spacing w:line="360" w:lineRule="auto"/>
        <w:jc w:val="both"/>
        <w:rPr>
          <w:rFonts w:ascii="Bookman Old Style" w:eastAsia="Bookman Old Style" w:hAnsi="Bookman Old Style" w:cs="Bookman Old Style"/>
          <w:b/>
          <w:sz w:val="20"/>
          <w:szCs w:val="20"/>
        </w:rPr>
      </w:pPr>
      <w:r w:rsidRPr="00B219F0">
        <w:rPr>
          <w:rFonts w:ascii="Bookman Old Style" w:eastAsia="Bookman Old Style" w:hAnsi="Bookman Old Style" w:cs="Bookman Old Style"/>
          <w:b/>
          <w:sz w:val="20"/>
          <w:szCs w:val="20"/>
        </w:rPr>
        <w:t xml:space="preserve">Fauna </w:t>
      </w:r>
    </w:p>
    <w:p w14:paraId="422828E9" w14:textId="0084F801"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B219F0">
        <w:rPr>
          <w:rFonts w:ascii="Bookman Old Style" w:eastAsia="Bookman Old Style" w:hAnsi="Bookman Old Style" w:cs="Bookman Old Style"/>
          <w:b/>
          <w:sz w:val="20"/>
          <w:szCs w:val="20"/>
        </w:rPr>
        <w:t>Anfibios:</w:t>
      </w:r>
      <w:r w:rsidRPr="000C5BE6">
        <w:rPr>
          <w:rFonts w:ascii="Bookman Old Style" w:eastAsia="Bookman Old Style" w:hAnsi="Bookman Old Style" w:cs="Bookman Old Style"/>
          <w:bCs/>
          <w:sz w:val="20"/>
          <w:szCs w:val="20"/>
        </w:rPr>
        <w:t xml:space="preserve"> de acuerdo con lo reportado en el POMCA –río Cravo sur (2007), en el área de la cuenca</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se encuentran unas 41 especies de anfibios distribuidas en diferentes ecosistemas, según los diferentes</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rangos altitudinales encontrados dentro de la cuenca. De acuerdo con lo anterior, en ecosistema de</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páramo se reportan 22 especies y en el bosque andino se distribuyen 26 especies, mientras en el</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bosque húmedo tropical o piedemonte se reportan 32 y para la sabana con presencia de esteros 31</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especies. </w:t>
      </w:r>
    </w:p>
    <w:p w14:paraId="76F5A8DE" w14:textId="7B91D21A"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 xml:space="preserve">Dentro de las más representativas están: Bolitoglossa adspersa, Bolitoglossa capitana, Rhinella marina, Rhinella granulosa, Rhaebo haematiticus, Atelopus minutulus, Atelopus ebenoides, Atelopus </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subornatus, Cryptobatrachus nicefori, Gastrotheca nicefori, Hyla labialis, Hyla bogotensis, Eleutherodactylus lynchi, Eleutherodactylus nicefori, Eleutherodactylus buelegans, Eleutherodactylus buergeru, Eleutherodactylus bogotensis, Leptodactylus sp., Leptodactylus bolivianus, Phrynopus nanus, Centrolenella buckleyi, Colosthetus subpunctatus, Colosthetus ranoides.</w:t>
      </w:r>
    </w:p>
    <w:p w14:paraId="4F1C1CA4" w14:textId="0AEA49F5"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lastRenderedPageBreak/>
        <w:t>Por otro lado, dentro de las especies consideradas como sensibles a cambios en el clima y lascondiciones del hábitat se reportan: Gastrotheca nicefori, Colosthetus ranoides y Atelopus subornatus;</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mientras que dentro de las más resistentes a los cambios ambientales están: Hyla bogotensis, Hyla </w:t>
      </w:r>
      <w:r>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labiales y Rhinella marina. </w:t>
      </w:r>
    </w:p>
    <w:p w14:paraId="243D5916" w14:textId="322D1ABB"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B219F0">
        <w:rPr>
          <w:rFonts w:ascii="Bookman Old Style" w:eastAsia="Bookman Old Style" w:hAnsi="Bookman Old Style" w:cs="Bookman Old Style"/>
          <w:b/>
          <w:sz w:val="20"/>
          <w:szCs w:val="20"/>
        </w:rPr>
        <w:t>Reptiles:</w:t>
      </w:r>
      <w:r w:rsidRPr="000C5BE6">
        <w:rPr>
          <w:rFonts w:ascii="Bookman Old Style" w:eastAsia="Bookman Old Style" w:hAnsi="Bookman Old Style" w:cs="Bookman Old Style"/>
          <w:bCs/>
          <w:sz w:val="20"/>
          <w:szCs w:val="20"/>
        </w:rPr>
        <w:t xml:space="preserve"> En la cuenca, el grupo de reptiles está representado por 30 especies agrupadas en 12 familias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(Corporinoquia, 2007); algunas de estas especies son: Crocodylus intermedius, Caimán crocodylus,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Paelosuchus palpebrosus, Paelosuchus trigonatus, Ameiva, Stenocercus trachycephalus, Plica umbra,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Plica, Iguana, Anolis ruizi, Bachia guianensis, Anadia rhombifera, Anadia bogotensis, Hemidactylus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brooki, Gonatodes concinnatus, Gonatodes albogularis, Micrurus isozonus, Micrurus hemprichii,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Bothrops microphtalmus, Bothrops atrox, Bothriechis schlegelii, Dipsas latifrontalis, Atractus elaps, Boa </w:t>
      </w:r>
    </w:p>
    <w:p w14:paraId="76ED22A6" w14:textId="21291C13"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constrictor, Eunectes murinus, Geochelone carbonaria, Geochelone denticulata, Podocnemis vogli,</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Podocnemis unifilis, Podocnemis expansa. </w:t>
      </w:r>
    </w:p>
    <w:p w14:paraId="3755BB50" w14:textId="40D32331"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Cuatro de estas especies se encuentran asociadas a ecosistema de páramo, destacándose Anadia rhombifera y Stenocercus trachycephalus; mientras para el bosque andino se reportan 10 especies,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dentro de las cuales se encuentran Stenocercus trachycephalus, Anadia bogotensis, Micrurus hemprichii, Bothriechis schlegelii y Bothrops atrox.</w:t>
      </w:r>
    </w:p>
    <w:p w14:paraId="06D38BA8" w14:textId="50B09C39"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Por otro lado, en el rango altitudinal correspondiente a bosque muy húmedo pre-montano, se reportan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18 especies de reptiles, donde se destacan algunas vulnerables como Eunectes murinus (Anaconda,</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Guio negro) y Geochelone carbonaria (Morrocoy); lo anterior debido a que muchas tortugas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usualmente son comercializadas como mascotas, mientras que las serpientes son sacrificadas por los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pobladores locales debito al temor por afectación al ganado y la integridad personal de ellos mismos.</w:t>
      </w:r>
    </w:p>
    <w:p w14:paraId="14C98B15" w14:textId="34265F30"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En cuanto al piedemonte llanero, se reportan 22 especies de reptiles distribuidas en este rango</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altitudinal. Dentro de las más vulnerables se encuentran: Geochelone testudinata (Morrocoy), Geochelone carbonaria (Morrocoy), Eunectes murinus (Guio negro), Paelosuchus palpebrosus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(Caimán de frente lisa) y Paelosuchus trigonatus (Babilla); la vulnerabilidad de estas especies no solo</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está representada por temor de los habitantes locales, sino también por tradiciones gastronómicas. </w:t>
      </w:r>
    </w:p>
    <w:p w14:paraId="07EE45B3" w14:textId="01C8834A"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Por otro lado, en la parte baja de la cuenca, donde se encuentran las sabanas inundables, se encuentra</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la mayor diversidad de reptiles de la cuenca con 26 especies reportadas. Allí </w:t>
      </w:r>
      <w:r w:rsidRPr="000C5BE6">
        <w:rPr>
          <w:rFonts w:ascii="Bookman Old Style" w:eastAsia="Bookman Old Style" w:hAnsi="Bookman Old Style" w:cs="Bookman Old Style"/>
          <w:bCs/>
          <w:sz w:val="20"/>
          <w:szCs w:val="20"/>
        </w:rPr>
        <w:lastRenderedPageBreak/>
        <w:t>se pueden encontrar</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grandes predadores como Crocodylus intermedius (Caimán Llanero), Caimán crocodylus (Caimán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común, Baba) y la Boa constrictor (Boa o Guio). </w:t>
      </w:r>
    </w:p>
    <w:p w14:paraId="65523601" w14:textId="4BE5EA6D"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B219F0">
        <w:rPr>
          <w:rFonts w:ascii="Bookman Old Style" w:eastAsia="Bookman Old Style" w:hAnsi="Bookman Old Style" w:cs="Bookman Old Style"/>
          <w:b/>
          <w:sz w:val="20"/>
          <w:szCs w:val="20"/>
        </w:rPr>
        <w:t>Aves:</w:t>
      </w:r>
      <w:r w:rsidRPr="000C5BE6">
        <w:rPr>
          <w:rFonts w:ascii="Bookman Old Style" w:eastAsia="Bookman Old Style" w:hAnsi="Bookman Old Style" w:cs="Bookman Old Style"/>
          <w:bCs/>
          <w:sz w:val="20"/>
          <w:szCs w:val="20"/>
        </w:rPr>
        <w:t xml:space="preserve"> en la cuenca del río Cravo</w:t>
      </w:r>
      <w:r w:rsidR="002A28F5">
        <w:rPr>
          <w:rFonts w:ascii="Bookman Old Style" w:eastAsia="Bookman Old Style" w:hAnsi="Bookman Old Style" w:cs="Bookman Old Style"/>
          <w:bCs/>
          <w:sz w:val="20"/>
          <w:szCs w:val="20"/>
        </w:rPr>
        <w:t xml:space="preserve"> Sur</w:t>
      </w:r>
      <w:r w:rsidRPr="000C5BE6">
        <w:rPr>
          <w:rFonts w:ascii="Bookman Old Style" w:eastAsia="Bookman Old Style" w:hAnsi="Bookman Old Style" w:cs="Bookman Old Style"/>
          <w:bCs/>
          <w:sz w:val="20"/>
          <w:szCs w:val="20"/>
        </w:rPr>
        <w:t>, este grupo está representado por 436 especies pertenecientes a 63</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familias y 18 órdenes (Corporinoquia 2007). De estas especies 121 se reportan para el páramo, 179</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para bosque andino, mientras que 233 se distribuyen en el bosque subandino, 242 en el bosque muy</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húmedo tropical y 303 en la parte baja de la cuenca donde se encuentra la sabana y esteros. </w:t>
      </w:r>
    </w:p>
    <w:p w14:paraId="6A59D2F8" w14:textId="4CDBC24E"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En términos generales, el 88,5% de las especies reportadas para la cuenca son residentes, el 0,5% son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endémicas y las migratorias representan el 11,5%. </w:t>
      </w:r>
    </w:p>
    <w:p w14:paraId="45DDC760" w14:textId="4D4F996C"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Dentro de las especies endémicas, que también se consideran vulnerables dado su rango de</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distribución restringido, se encuentran: Rallus semiplumbeus (rascón bogotano) que se encuentra entre</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los 2100 y 4000 msnm, Gallinula melanops (gallareta moteada) distribuida ente 2500 y 3000 msnm</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(ABO 2000), y Oxyura ferruginea (pato andino) que presenta una distribución restringida a los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humedales alto andinos entre 2050 y 4000 msnm en la cordillera Central y Oriental (Hilty &amp; Brown.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1986). </w:t>
      </w:r>
    </w:p>
    <w:p w14:paraId="185D7C6D" w14:textId="02DAEC2F"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Por otro lado, se reportan 9 especies en algún grado de amenaza, principalmente debido a presiones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de tipo antrópico como caza, destrucción y fragmentación de hábitats, entre otros. </w:t>
      </w:r>
    </w:p>
    <w:p w14:paraId="5547DA60" w14:textId="296F4163"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B219F0">
        <w:rPr>
          <w:rFonts w:ascii="Bookman Old Style" w:eastAsia="Bookman Old Style" w:hAnsi="Bookman Old Style" w:cs="Bookman Old Style"/>
          <w:b/>
          <w:sz w:val="20"/>
          <w:szCs w:val="20"/>
        </w:rPr>
        <w:t>Mamíferos:</w:t>
      </w:r>
      <w:r w:rsidRPr="000C5BE6">
        <w:rPr>
          <w:rFonts w:ascii="Bookman Old Style" w:eastAsia="Bookman Old Style" w:hAnsi="Bookman Old Style" w:cs="Bookman Old Style"/>
          <w:bCs/>
          <w:sz w:val="20"/>
          <w:szCs w:val="20"/>
        </w:rPr>
        <w:t xml:space="preserve"> para la cuenca del río Cravo</w:t>
      </w:r>
      <w:r w:rsidR="002A28F5">
        <w:rPr>
          <w:rFonts w:ascii="Bookman Old Style" w:eastAsia="Bookman Old Style" w:hAnsi="Bookman Old Style" w:cs="Bookman Old Style"/>
          <w:bCs/>
          <w:sz w:val="20"/>
          <w:szCs w:val="20"/>
        </w:rPr>
        <w:t xml:space="preserve"> Sur</w:t>
      </w:r>
      <w:r w:rsidRPr="000C5BE6">
        <w:rPr>
          <w:rFonts w:ascii="Bookman Old Style" w:eastAsia="Bookman Old Style" w:hAnsi="Bookman Old Style" w:cs="Bookman Old Style"/>
          <w:bCs/>
          <w:sz w:val="20"/>
          <w:szCs w:val="20"/>
        </w:rPr>
        <w:t>, se estima que hay cerca de 120 especies pertenecientes a</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28 familias y 11 órdenes. En zonas de páramo se reportan 76 especies, en las zonas de bosque andino</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y subandino se encuentran 77 y 99 respectivamente, mientras que en el bosque muy húmedo se</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encuentran 99 y en la sabana 102. </w:t>
      </w:r>
    </w:p>
    <w:p w14:paraId="46F2C9E4" w14:textId="157E04CF" w:rsidR="000C5BE6" w:rsidRPr="000C5BE6"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Dentro de las especies reportadas para las zonas de montaña o parte alta de la cuenca, se encuentran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especies con rangos de distribución restringida a parches de vegetación nativa o páramos con un alto</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grado de conservación. Algunas de estas especies son: Tapirus pinchaque (danta de montaña), Tremarctos ornatus (oso andino), felinos como Panthera onca y Puma concolor, venados como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Mazama Rufina y Odocoeilus virginianus. Por otro lado, en zonas más intervenidas se encuentran</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especies generalistas como (chuchas o faras) Didelphis albiventris, Didelphis marsupialis y roedores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como Mus musculus, Ratus rattus. </w:t>
      </w:r>
    </w:p>
    <w:p w14:paraId="3C7E6F78" w14:textId="0111A34A" w:rsidR="001A35D3" w:rsidRPr="00216CDE" w:rsidRDefault="000C5BE6" w:rsidP="00B219F0">
      <w:pPr>
        <w:pBdr>
          <w:top w:val="nil"/>
          <w:left w:val="nil"/>
          <w:bottom w:val="nil"/>
          <w:right w:val="nil"/>
          <w:between w:val="nil"/>
        </w:pBdr>
        <w:spacing w:line="360" w:lineRule="auto"/>
        <w:jc w:val="both"/>
        <w:rPr>
          <w:rFonts w:ascii="Bookman Old Style" w:eastAsia="Bookman Old Style" w:hAnsi="Bookman Old Style" w:cs="Bookman Old Style"/>
          <w:bCs/>
          <w:sz w:val="20"/>
          <w:szCs w:val="20"/>
        </w:rPr>
      </w:pPr>
      <w:r w:rsidRPr="000C5BE6">
        <w:rPr>
          <w:rFonts w:ascii="Bookman Old Style" w:eastAsia="Bookman Old Style" w:hAnsi="Bookman Old Style" w:cs="Bookman Old Style"/>
          <w:bCs/>
          <w:sz w:val="20"/>
          <w:szCs w:val="20"/>
        </w:rPr>
        <w:t xml:space="preserve">En cuanto a especies vulnerables, se encuentran: Príodontes maximus (armadillo gigante), Pteronura brasilensis (Nutria gigante), Tayassu pecari (Cafuche), Mazama rufina (Venado </w:t>
      </w:r>
      <w:r w:rsidRPr="000C5BE6">
        <w:rPr>
          <w:rFonts w:ascii="Bookman Old Style" w:eastAsia="Bookman Old Style" w:hAnsi="Bookman Old Style" w:cs="Bookman Old Style"/>
          <w:bCs/>
          <w:sz w:val="20"/>
          <w:szCs w:val="20"/>
        </w:rPr>
        <w:lastRenderedPageBreak/>
        <w:t>sin Cuernos), Dinomys branickii (Guagua loba), Myrmecophaga tridáctila (Oso Hormiguero Palmero), Alouata seniculus</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 xml:space="preserve">(Mono aullador), Aotus brumbacki (Marteja), Lagotrix lagotrichia lugens (Mono Churuco), Atelocynus </w:t>
      </w:r>
      <w:r w:rsidR="00B1455A">
        <w:rPr>
          <w:rFonts w:ascii="Bookman Old Style" w:eastAsia="Bookman Old Style" w:hAnsi="Bookman Old Style" w:cs="Bookman Old Style"/>
          <w:bCs/>
          <w:sz w:val="20"/>
          <w:szCs w:val="20"/>
        </w:rPr>
        <w:t xml:space="preserve"> </w:t>
      </w:r>
      <w:r w:rsidRPr="000C5BE6">
        <w:rPr>
          <w:rFonts w:ascii="Bookman Old Style" w:eastAsia="Bookman Old Style" w:hAnsi="Bookman Old Style" w:cs="Bookman Old Style"/>
          <w:bCs/>
          <w:sz w:val="20"/>
          <w:szCs w:val="20"/>
        </w:rPr>
        <w:t>microtis (Zorro Negro), Speothos venaticus (Perrito venadero), Tremarctos ornatus (Oso de Anteojos), Leopardus pardalis (Tigrillo), Puma concolor (Puma).</w:t>
      </w:r>
    </w:p>
    <w:p w14:paraId="598730D3" w14:textId="77777777" w:rsidR="001A35D3" w:rsidRDefault="007E50E1" w:rsidP="00B219F0">
      <w:pPr>
        <w:pBdr>
          <w:top w:val="nil"/>
          <w:left w:val="nil"/>
          <w:bottom w:val="nil"/>
          <w:right w:val="nil"/>
          <w:between w:val="nil"/>
        </w:pBdr>
        <w:spacing w:after="200" w:line="360" w:lineRule="auto"/>
        <w:jc w:val="both"/>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2.3 Área De Influencia</w:t>
      </w:r>
    </w:p>
    <w:p w14:paraId="2647D47B" w14:textId="0DC7206E" w:rsidR="001A35D3" w:rsidRDefault="009773FE">
      <w:pPr>
        <w:spacing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w:t>
      </w:r>
      <w:r w:rsidRPr="009773FE">
        <w:rPr>
          <w:rFonts w:ascii="Bookman Old Style" w:eastAsia="Bookman Old Style" w:hAnsi="Bookman Old Style" w:cs="Bookman Old Style"/>
          <w:color w:val="000000"/>
          <w:sz w:val="20"/>
          <w:szCs w:val="20"/>
        </w:rPr>
        <w:t>a cuenca del Río Cravo Sur</w:t>
      </w:r>
      <w:r>
        <w:rPr>
          <w:rFonts w:ascii="Bookman Old Style" w:eastAsia="Bookman Old Style" w:hAnsi="Bookman Old Style" w:cs="Bookman Old Style"/>
          <w:color w:val="000000"/>
          <w:sz w:val="20"/>
          <w:szCs w:val="20"/>
        </w:rPr>
        <w:t xml:space="preserve"> </w:t>
      </w:r>
      <w:r w:rsidRPr="009773FE">
        <w:rPr>
          <w:rFonts w:ascii="Bookman Old Style" w:eastAsia="Bookman Old Style" w:hAnsi="Bookman Old Style" w:cs="Bookman Old Style"/>
          <w:color w:val="000000"/>
          <w:sz w:val="20"/>
          <w:szCs w:val="20"/>
        </w:rPr>
        <w:t>existe una alta cantidad de ecosistemas estratégicos, entre ellos el parque nacional natural del páramo</w:t>
      </w:r>
      <w:r>
        <w:rPr>
          <w:rFonts w:ascii="Bookman Old Style" w:eastAsia="Bookman Old Style" w:hAnsi="Bookman Old Style" w:cs="Bookman Old Style"/>
          <w:color w:val="000000"/>
          <w:sz w:val="20"/>
          <w:szCs w:val="20"/>
        </w:rPr>
        <w:t xml:space="preserve"> </w:t>
      </w:r>
      <w:r w:rsidRPr="009773FE">
        <w:rPr>
          <w:rFonts w:ascii="Bookman Old Style" w:eastAsia="Bookman Old Style" w:hAnsi="Bookman Old Style" w:cs="Bookman Old Style"/>
          <w:color w:val="000000"/>
          <w:sz w:val="20"/>
          <w:szCs w:val="20"/>
        </w:rPr>
        <w:t>de Pisba, esto hace que existen iniciativas desde diferentes órdenes del gobierno y de la sociedad que busque su recuperación y/o protección, sin embargo, la falta de continuidad de os gobiernos y el</w:t>
      </w:r>
      <w:r>
        <w:rPr>
          <w:rFonts w:ascii="Bookman Old Style" w:eastAsia="Bookman Old Style" w:hAnsi="Bookman Old Style" w:cs="Bookman Old Style"/>
          <w:color w:val="000000"/>
          <w:sz w:val="20"/>
          <w:szCs w:val="20"/>
        </w:rPr>
        <w:t xml:space="preserve"> </w:t>
      </w:r>
      <w:r w:rsidRPr="009773FE">
        <w:rPr>
          <w:rFonts w:ascii="Bookman Old Style" w:eastAsia="Bookman Old Style" w:hAnsi="Bookman Old Style" w:cs="Bookman Old Style"/>
          <w:color w:val="000000"/>
          <w:sz w:val="20"/>
          <w:szCs w:val="20"/>
        </w:rPr>
        <w:t>consumo excesivo de los recursos hídricos presenta una alta presión sobre estos ecosistemas, unidos a</w:t>
      </w:r>
      <w:r>
        <w:rPr>
          <w:rFonts w:ascii="Bookman Old Style" w:eastAsia="Bookman Old Style" w:hAnsi="Bookman Old Style" w:cs="Bookman Old Style"/>
          <w:color w:val="000000"/>
          <w:sz w:val="20"/>
          <w:szCs w:val="20"/>
        </w:rPr>
        <w:t xml:space="preserve"> </w:t>
      </w:r>
      <w:r w:rsidRPr="009773FE">
        <w:rPr>
          <w:rFonts w:ascii="Bookman Old Style" w:eastAsia="Bookman Old Style" w:hAnsi="Bookman Old Style" w:cs="Bookman Old Style"/>
          <w:color w:val="000000"/>
          <w:sz w:val="20"/>
          <w:szCs w:val="20"/>
        </w:rPr>
        <w:t>la falta de inversión y la excesiva visión utilitarista de los recursos naturales, muestran un panorama</w:t>
      </w:r>
      <w:r>
        <w:rPr>
          <w:rFonts w:ascii="Bookman Old Style" w:eastAsia="Bookman Old Style" w:hAnsi="Bookman Old Style" w:cs="Bookman Old Style"/>
          <w:color w:val="000000"/>
          <w:sz w:val="20"/>
          <w:szCs w:val="20"/>
        </w:rPr>
        <w:t xml:space="preserve"> </w:t>
      </w:r>
      <w:r w:rsidRPr="009773FE">
        <w:rPr>
          <w:rFonts w:ascii="Bookman Old Style" w:eastAsia="Bookman Old Style" w:hAnsi="Bookman Old Style" w:cs="Bookman Old Style"/>
          <w:color w:val="000000"/>
          <w:sz w:val="20"/>
          <w:szCs w:val="20"/>
        </w:rPr>
        <w:t>con múltiples limitantes y problemas, sin embargo, las potencialidades de la cuenca son enormes</w:t>
      </w:r>
      <w:r>
        <w:rPr>
          <w:rFonts w:ascii="Bookman Old Style" w:eastAsia="Bookman Old Style" w:hAnsi="Bookman Old Style" w:cs="Bookman Old Style"/>
          <w:color w:val="000000"/>
          <w:sz w:val="20"/>
          <w:szCs w:val="20"/>
        </w:rPr>
        <w:t>.</w:t>
      </w:r>
    </w:p>
    <w:p w14:paraId="2CAF33A6" w14:textId="77777777" w:rsidR="001A35D3" w:rsidRDefault="007E50E1">
      <w:pPr>
        <w:numPr>
          <w:ilvl w:val="1"/>
          <w:numId w:val="5"/>
        </w:numPr>
        <w:pBdr>
          <w:top w:val="nil"/>
          <w:left w:val="nil"/>
          <w:bottom w:val="nil"/>
          <w:right w:val="nil"/>
          <w:between w:val="nil"/>
        </w:pBdr>
        <w:spacing w:after="200"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b/>
          <w:color w:val="000000"/>
          <w:sz w:val="20"/>
          <w:szCs w:val="20"/>
        </w:rPr>
        <w:t>Situación Actual</w:t>
      </w:r>
    </w:p>
    <w:p w14:paraId="42F50433" w14:textId="4FC2619E" w:rsidR="009B23C6" w:rsidRPr="009B23C6" w:rsidRDefault="009B23C6" w:rsidP="009B23C6">
      <w:pPr>
        <w:pBdr>
          <w:top w:val="nil"/>
          <w:left w:val="nil"/>
          <w:bottom w:val="nil"/>
          <w:right w:val="nil"/>
          <w:between w:val="nil"/>
        </w:pBdr>
        <w:spacing w:after="200" w:line="360" w:lineRule="auto"/>
        <w:jc w:val="both"/>
        <w:rPr>
          <w:rFonts w:ascii="Bookman Old Style" w:eastAsia="Bookman Old Style" w:hAnsi="Bookman Old Style" w:cs="Bookman Old Style"/>
          <w:color w:val="000000"/>
          <w:sz w:val="20"/>
          <w:szCs w:val="20"/>
        </w:rPr>
      </w:pPr>
      <w:r w:rsidRPr="009B23C6">
        <w:rPr>
          <w:rFonts w:ascii="Bookman Old Style" w:eastAsia="Bookman Old Style" w:hAnsi="Bookman Old Style" w:cs="Bookman Old Style"/>
          <w:color w:val="000000"/>
          <w:sz w:val="20"/>
          <w:szCs w:val="20"/>
        </w:rPr>
        <w:t>En el área de la cuenca del río Cravo Sur se encuentran: 2 departamentos, 13 municipios y 182</w:t>
      </w:r>
      <w:r w:rsidR="001A6646">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veredas, de la siguiente manera; En el departamento de Boyacá con influencia en los municipios de</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Pisba, Paya, Aquitania, Mongua, Gámeza, Socotá, Tasco y Labranzagrande que conforman un total</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de 8 municipios y 56 veredas. En el departamento de Casanare los municipios de Nunchía, Támara,</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 xml:space="preserve">Orocué, Yopal y San Luís de Palenque para un total de 5 municipios y 126 veredas.  </w:t>
      </w:r>
    </w:p>
    <w:p w14:paraId="6E646396" w14:textId="3383B39E" w:rsidR="001A35D3" w:rsidRDefault="009B23C6" w:rsidP="009B23C6">
      <w:pPr>
        <w:pBdr>
          <w:top w:val="nil"/>
          <w:left w:val="nil"/>
          <w:bottom w:val="nil"/>
          <w:right w:val="nil"/>
          <w:between w:val="nil"/>
        </w:pBdr>
        <w:spacing w:after="200" w:line="360" w:lineRule="auto"/>
        <w:jc w:val="both"/>
        <w:rPr>
          <w:rFonts w:ascii="Bookman Old Style" w:eastAsia="Bookman Old Style" w:hAnsi="Bookman Old Style" w:cs="Bookman Old Style"/>
          <w:color w:val="000000"/>
          <w:sz w:val="20"/>
          <w:szCs w:val="20"/>
        </w:rPr>
      </w:pPr>
      <w:r w:rsidRPr="009B23C6">
        <w:rPr>
          <w:rFonts w:ascii="Bookman Old Style" w:eastAsia="Bookman Old Style" w:hAnsi="Bookman Old Style" w:cs="Bookman Old Style"/>
          <w:color w:val="000000"/>
          <w:sz w:val="20"/>
          <w:szCs w:val="20"/>
        </w:rPr>
        <w:t>A continuación, la descripción del área de influencia directa de la Cuenca del río Cravo Sur con su</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área de terreno y porcentaje de participación por hectárea. Cabe destacar que la cuenca, representa</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su mayor extensión por hectárea en el departamento de Casanare con 61% y 80 veredas que</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representan un porcentaje de intervención del 100%, mientras el departamento de Boyacá ocupa un</w:t>
      </w:r>
      <w:r>
        <w:rPr>
          <w:rFonts w:ascii="Bookman Old Style" w:eastAsia="Bookman Old Style" w:hAnsi="Bookman Old Style" w:cs="Bookman Old Style"/>
          <w:color w:val="000000"/>
          <w:sz w:val="20"/>
          <w:szCs w:val="20"/>
        </w:rPr>
        <w:t xml:space="preserve"> </w:t>
      </w:r>
      <w:r w:rsidRPr="009B23C6">
        <w:rPr>
          <w:rFonts w:ascii="Bookman Old Style" w:eastAsia="Bookman Old Style" w:hAnsi="Bookman Old Style" w:cs="Bookman Old Style"/>
          <w:color w:val="000000"/>
          <w:sz w:val="20"/>
          <w:szCs w:val="20"/>
        </w:rPr>
        <w:t xml:space="preserve">9% del área de la cuenca, con 44 veredas de intervención del 100%.  </w:t>
      </w:r>
    </w:p>
    <w:p w14:paraId="5E8E8219" w14:textId="32D5609A" w:rsidR="001328F7" w:rsidRPr="009B23C6" w:rsidRDefault="001328F7" w:rsidP="001328F7">
      <w:pPr>
        <w:pBdr>
          <w:top w:val="nil"/>
          <w:left w:val="nil"/>
          <w:bottom w:val="nil"/>
          <w:right w:val="nil"/>
          <w:between w:val="nil"/>
        </w:pBdr>
        <w:spacing w:after="200" w:line="360" w:lineRule="auto"/>
        <w:jc w:val="both"/>
        <w:rPr>
          <w:rFonts w:ascii="Bookman Old Style" w:eastAsia="Bookman Old Style" w:hAnsi="Bookman Old Style" w:cs="Bookman Old Style"/>
          <w:color w:val="000000"/>
          <w:sz w:val="20"/>
          <w:szCs w:val="20"/>
        </w:rPr>
      </w:pPr>
      <w:r w:rsidRPr="001328F7">
        <w:rPr>
          <w:rFonts w:ascii="Bookman Old Style" w:eastAsia="Bookman Old Style" w:hAnsi="Bookman Old Style" w:cs="Bookman Old Style"/>
          <w:color w:val="000000"/>
          <w:sz w:val="20"/>
          <w:szCs w:val="20"/>
        </w:rPr>
        <w:t>La Subzona hidrográfica Cravo Sur, para el 2016 se cuenta con una población estimada de 222.691</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personas, concentrándose el 69,34% en las cabeceras municipales, en contraste con un 30,65% que</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se asienta en el área rural. Sin embargo, es el municipio de Yopal quien arrastra esta proporcionalidad</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 xml:space="preserve">a nivel de la cuenca, teniendo en cuenta que en la mayoría </w:t>
      </w:r>
      <w:r w:rsidRPr="001328F7">
        <w:rPr>
          <w:rFonts w:ascii="Bookman Old Style" w:eastAsia="Bookman Old Style" w:hAnsi="Bookman Old Style" w:cs="Bookman Old Style"/>
          <w:color w:val="000000"/>
          <w:sz w:val="20"/>
          <w:szCs w:val="20"/>
        </w:rPr>
        <w:lastRenderedPageBreak/>
        <w:t>de los otros municipios, se registra una</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marcada tendencia de concentración poblacional en el área rural, con proporciones cercanas al doble</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y mayores, como el caso de Labranza</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grande, Paya, Pisba, Nunchía, Támara, San Luis de Palenque,</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Gámeza, Mongua, Tasco, Socotá y Aquitania. Hay otro municipio –además de Yopal-, que tiene la</w:t>
      </w:r>
      <w:r>
        <w:rPr>
          <w:rFonts w:ascii="Bookman Old Style" w:eastAsia="Bookman Old Style" w:hAnsi="Bookman Old Style" w:cs="Bookman Old Style"/>
          <w:color w:val="000000"/>
          <w:sz w:val="20"/>
          <w:szCs w:val="20"/>
        </w:rPr>
        <w:t xml:space="preserve"> </w:t>
      </w:r>
      <w:r w:rsidRPr="001328F7">
        <w:rPr>
          <w:rFonts w:ascii="Bookman Old Style" w:eastAsia="Bookman Old Style" w:hAnsi="Bookman Old Style" w:cs="Bookman Old Style"/>
          <w:color w:val="000000"/>
          <w:sz w:val="20"/>
          <w:szCs w:val="20"/>
        </w:rPr>
        <w:t>mayor concentración poblacional en la cabecera, es el municipio de Orocué.</w:t>
      </w:r>
    </w:p>
    <w:p w14:paraId="1C4D7020" w14:textId="77777777" w:rsidR="001A35D3" w:rsidRDefault="007E50E1">
      <w:pPr>
        <w:numPr>
          <w:ilvl w:val="1"/>
          <w:numId w:val="5"/>
        </w:numPr>
        <w:pBdr>
          <w:top w:val="nil"/>
          <w:left w:val="nil"/>
          <w:bottom w:val="nil"/>
          <w:right w:val="nil"/>
          <w:between w:val="nil"/>
        </w:pBdr>
        <w:spacing w:after="200" w:line="360" w:lineRule="auto"/>
        <w:ind w:left="851"/>
        <w:jc w:val="center"/>
        <w:rPr>
          <w:rFonts w:ascii="Bookman Old Style" w:eastAsia="Bookman Old Style" w:hAnsi="Bookman Old Style" w:cs="Bookman Old Style"/>
          <w:sz w:val="20"/>
          <w:szCs w:val="20"/>
        </w:rPr>
      </w:pPr>
      <w:r>
        <w:rPr>
          <w:rFonts w:ascii="Bookman Old Style" w:eastAsia="Bookman Old Style" w:hAnsi="Bookman Old Style" w:cs="Bookman Old Style"/>
          <w:b/>
          <w:color w:val="000000"/>
          <w:sz w:val="20"/>
          <w:szCs w:val="20"/>
        </w:rPr>
        <w:t>Impactos Sociales</w:t>
      </w:r>
    </w:p>
    <w:p w14:paraId="61D32E33" w14:textId="77777777" w:rsidR="001A35D3" w:rsidRDefault="007E50E1">
      <w:pPr>
        <w:spacing w:line="360" w:lineRule="auto"/>
        <w:jc w:val="both"/>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2.5.1 Impactos positivos</w:t>
      </w:r>
    </w:p>
    <w:p w14:paraId="30D90180" w14:textId="155BB4EB" w:rsidR="001A35D3" w:rsidRDefault="00D83DF9">
      <w:pPr>
        <w:spacing w:line="360" w:lineRule="auto"/>
        <w:jc w:val="both"/>
        <w:rPr>
          <w:rFonts w:ascii="Bookman Old Style" w:eastAsia="Bookman Old Style" w:hAnsi="Bookman Old Style" w:cs="Bookman Old Style"/>
          <w:sz w:val="20"/>
          <w:szCs w:val="20"/>
        </w:rPr>
      </w:pPr>
      <w:r w:rsidRPr="00D83DF9">
        <w:rPr>
          <w:rFonts w:ascii="Bookman Old Style" w:eastAsia="Bookman Old Style" w:hAnsi="Bookman Old Style" w:cs="Bookman Old Style"/>
          <w:sz w:val="20"/>
          <w:szCs w:val="20"/>
        </w:rPr>
        <w:t>Dentro de la cuenca del Río Cravo Sur, se identificaron dieciséis (16) microcuencas o subcuencas</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abastecedoras de acueductos municipales o veredales, estas unidades hidrográficas ocupan en</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total, 38.164,70 hectáreas de las 519.145,67 hectáreas totales de la cuenca, lo cual equivale</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al 7,35%. La distribución espacial de estas unidades</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Para la determinación de estas microcuencas o subcuencas abastecedoras, se realizó la</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identificación de las captaciones de agua que existen en la cuenca, para el abastecimiento de</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acueductos municipales o veredales. De esta manera, se identificaron los puntos de captación,</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los cuales se cruzaron con el mapa hidrográfico de la cuenca, para determinar finalmente dentro</w:t>
      </w:r>
      <w:r>
        <w:rPr>
          <w:rFonts w:ascii="Bookman Old Style" w:eastAsia="Bookman Old Style" w:hAnsi="Bookman Old Style" w:cs="Bookman Old Style"/>
          <w:sz w:val="20"/>
          <w:szCs w:val="20"/>
        </w:rPr>
        <w:t xml:space="preserve"> </w:t>
      </w:r>
      <w:r w:rsidRPr="00D83DF9">
        <w:rPr>
          <w:rFonts w:ascii="Bookman Old Style" w:eastAsia="Bookman Old Style" w:hAnsi="Bookman Old Style" w:cs="Bookman Old Style"/>
          <w:sz w:val="20"/>
          <w:szCs w:val="20"/>
        </w:rPr>
        <w:t>de cuales microcuencas, se ubicaban estos puntos.</w:t>
      </w:r>
      <w:r>
        <w:rPr>
          <w:rFonts w:ascii="Bookman Old Style" w:eastAsia="Bookman Old Style" w:hAnsi="Bookman Old Style" w:cs="Bookman Old Style"/>
          <w:i/>
          <w:sz w:val="20"/>
          <w:szCs w:val="20"/>
        </w:rPr>
        <w:t xml:space="preserve"> </w:t>
      </w:r>
    </w:p>
    <w:p w14:paraId="101B48B8" w14:textId="77777777" w:rsidR="001A35D3" w:rsidRDefault="007E50E1">
      <w:pPr>
        <w:spacing w:line="360" w:lineRule="auto"/>
        <w:jc w:val="both"/>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2.5.2 Impactos negativos</w:t>
      </w:r>
    </w:p>
    <w:p w14:paraId="5390693A" w14:textId="77777777" w:rsidR="00926871" w:rsidRDefault="00926871" w:rsidP="00926871">
      <w:pPr>
        <w:spacing w:line="360" w:lineRule="auto"/>
        <w:jc w:val="both"/>
        <w:rPr>
          <w:rFonts w:ascii="Bookman Old Style" w:eastAsia="Bookman Old Style" w:hAnsi="Bookman Old Style" w:cs="Bookman Old Style"/>
          <w:sz w:val="20"/>
          <w:szCs w:val="20"/>
        </w:rPr>
      </w:pPr>
      <w:r w:rsidRPr="00926871">
        <w:rPr>
          <w:rFonts w:ascii="Bookman Old Style" w:eastAsia="Bookman Old Style" w:hAnsi="Bookman Old Style" w:cs="Bookman Old Style"/>
          <w:sz w:val="20"/>
          <w:szCs w:val="20"/>
        </w:rPr>
        <w:t>El deterioro de los recursos naturales y el cambio climático son los principales ejes problemáticos que actualmente enfrenta la cuenca del Río Cravo Sur. Tala de árboles para extracción de madera en bosques para actividades productivas, de diversa índole en la Subzona hidrográfica del rio Cravo sur, Disminución de bosques de galería y zonas de recargas de acuífero, por el impacto de las actividades productivas. En cuanto al componente hídrico, Contaminación hídrica por residuos sólidos y líquidos, IACAL alto para las zonas relacionadas con la Subzona hidrográfica. del rio Tocaria quien recibe el aporte de carga contamínate de la Subzona hidrográfica media y baja, La falta de saneamiento básico eficiente a nivel municipal hace aporte de carga contaminante en los afluentes de la Subzona hidrográfica del río Cravo Sur.</w:t>
      </w:r>
    </w:p>
    <w:p w14:paraId="06F0E586" w14:textId="1DFBB4E7" w:rsidR="001A35D3" w:rsidRPr="00251DDB" w:rsidRDefault="007E50E1" w:rsidP="00251DDB">
      <w:pPr>
        <w:pStyle w:val="Prrafodelista"/>
        <w:numPr>
          <w:ilvl w:val="1"/>
          <w:numId w:val="14"/>
        </w:numPr>
        <w:pBdr>
          <w:top w:val="nil"/>
          <w:left w:val="nil"/>
          <w:bottom w:val="nil"/>
          <w:right w:val="nil"/>
          <w:between w:val="nil"/>
        </w:pBdr>
        <w:spacing w:after="200" w:line="360" w:lineRule="auto"/>
        <w:jc w:val="center"/>
        <w:rPr>
          <w:rFonts w:ascii="Bookman Old Style" w:eastAsia="Bookman Old Style" w:hAnsi="Bookman Old Style" w:cs="Bookman Old Style"/>
          <w:b/>
          <w:color w:val="000000"/>
          <w:sz w:val="20"/>
          <w:szCs w:val="20"/>
        </w:rPr>
      </w:pPr>
      <w:r w:rsidRPr="00251DDB">
        <w:rPr>
          <w:rFonts w:ascii="Bookman Old Style" w:eastAsia="Bookman Old Style" w:hAnsi="Bookman Old Style" w:cs="Bookman Old Style"/>
          <w:b/>
          <w:color w:val="000000"/>
          <w:sz w:val="20"/>
          <w:szCs w:val="20"/>
        </w:rPr>
        <w:t>Objetivos de Desarrollo Sostenible</w:t>
      </w:r>
    </w:p>
    <w:p w14:paraId="62A208F7"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Los objetivos de desarrollo sostenible que se busca alcanzar, proteger o mejorar con este proyecto son los siguientes:</w:t>
      </w:r>
    </w:p>
    <w:p w14:paraId="7D3EC9E9" w14:textId="77777777" w:rsidR="001A35D3" w:rsidRDefault="007E50E1">
      <w:pPr>
        <w:spacing w:after="200" w:line="36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s-MX" w:eastAsia="es-MX"/>
        </w:rPr>
        <w:lastRenderedPageBreak/>
        <w:drawing>
          <wp:inline distT="0" distB="0" distL="0" distR="0" wp14:anchorId="19D79EB5" wp14:editId="7FF036AE">
            <wp:extent cx="859077" cy="859077"/>
            <wp:effectExtent l="0" t="0" r="0" b="0"/>
            <wp:docPr id="16" name="Imagen 4" descr="Objetivo de Desarrollo Sostenible 6 - Wikipedia, la enciclopedia libre"/>
            <wp:cNvGraphicFramePr/>
            <a:graphic xmlns:a="http://schemas.openxmlformats.org/drawingml/2006/main">
              <a:graphicData uri="http://schemas.openxmlformats.org/drawingml/2006/picture">
                <pic:pic xmlns:pic="http://schemas.openxmlformats.org/drawingml/2006/picture">
                  <pic:nvPicPr>
                    <pic:cNvPr id="0" name="image15.png" descr="Objetivo de Desarrollo Sostenible 6 - Wikipedia, la enciclopedia libre"/>
                    <pic:cNvPicPr preferRelativeResize="0"/>
                  </pic:nvPicPr>
                  <pic:blipFill>
                    <a:blip r:embed="rId10"/>
                    <a:srcRect/>
                    <a:stretch>
                      <a:fillRect/>
                    </a:stretch>
                  </pic:blipFill>
                  <pic:spPr>
                    <a:xfrm>
                      <a:off x="0" y="0"/>
                      <a:ext cx="859077" cy="859077"/>
                    </a:xfrm>
                    <a:prstGeom prst="rect">
                      <a:avLst/>
                    </a:prstGeom>
                    <a:ln/>
                  </pic:spPr>
                </pic:pic>
              </a:graphicData>
            </a:graphic>
          </wp:inline>
        </w:drawing>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noProof/>
          <w:sz w:val="20"/>
          <w:szCs w:val="20"/>
          <w:lang w:val="es-MX" w:eastAsia="es-MX"/>
        </w:rPr>
        <w:drawing>
          <wp:inline distT="0" distB="0" distL="0" distR="0" wp14:anchorId="3D6EA281" wp14:editId="585CFAEA">
            <wp:extent cx="860627" cy="847511"/>
            <wp:effectExtent l="0" t="0" r="0" b="0"/>
            <wp:docPr id="17" name="Imagen 5"/>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860627" cy="847511"/>
                    </a:xfrm>
                    <a:prstGeom prst="rect">
                      <a:avLst/>
                    </a:prstGeom>
                    <a:ln/>
                  </pic:spPr>
                </pic:pic>
              </a:graphicData>
            </a:graphic>
          </wp:inline>
        </w:drawing>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noProof/>
          <w:sz w:val="20"/>
          <w:szCs w:val="20"/>
          <w:lang w:val="es-MX" w:eastAsia="es-MX"/>
        </w:rPr>
        <w:drawing>
          <wp:inline distT="0" distB="0" distL="0" distR="0" wp14:anchorId="0212CADD" wp14:editId="25FD2A52">
            <wp:extent cx="843507" cy="836654"/>
            <wp:effectExtent l="0" t="0" r="0" b="0"/>
            <wp:docPr id="18" name="Imagen 6"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Texto&#10;&#10;Descripción generada automáticamente"/>
                    <pic:cNvPicPr preferRelativeResize="0"/>
                  </pic:nvPicPr>
                  <pic:blipFill>
                    <a:blip r:embed="rId12"/>
                    <a:srcRect/>
                    <a:stretch>
                      <a:fillRect/>
                    </a:stretch>
                  </pic:blipFill>
                  <pic:spPr>
                    <a:xfrm>
                      <a:off x="0" y="0"/>
                      <a:ext cx="843507" cy="836654"/>
                    </a:xfrm>
                    <a:prstGeom prst="rect">
                      <a:avLst/>
                    </a:prstGeom>
                    <a:ln/>
                  </pic:spPr>
                </pic:pic>
              </a:graphicData>
            </a:graphic>
          </wp:inline>
        </w:drawing>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noProof/>
          <w:sz w:val="20"/>
          <w:szCs w:val="20"/>
          <w:lang w:val="es-MX" w:eastAsia="es-MX"/>
        </w:rPr>
        <w:drawing>
          <wp:inline distT="0" distB="0" distL="0" distR="0" wp14:anchorId="7C4D61CE" wp14:editId="3FAE20C2">
            <wp:extent cx="802959" cy="836641"/>
            <wp:effectExtent l="0" t="0" r="0" b="0"/>
            <wp:docPr id="19" name="Imagen 7"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cono&#10;&#10;Descripción generada automáticamente"/>
                    <pic:cNvPicPr preferRelativeResize="0"/>
                  </pic:nvPicPr>
                  <pic:blipFill>
                    <a:blip r:embed="rId13"/>
                    <a:srcRect/>
                    <a:stretch>
                      <a:fillRect/>
                    </a:stretch>
                  </pic:blipFill>
                  <pic:spPr>
                    <a:xfrm>
                      <a:off x="0" y="0"/>
                      <a:ext cx="802959" cy="836641"/>
                    </a:xfrm>
                    <a:prstGeom prst="rect">
                      <a:avLst/>
                    </a:prstGeom>
                    <a:ln/>
                  </pic:spPr>
                </pic:pic>
              </a:graphicData>
            </a:graphic>
          </wp:inline>
        </w:drawing>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noProof/>
          <w:sz w:val="20"/>
          <w:szCs w:val="20"/>
          <w:lang w:val="es-MX" w:eastAsia="es-MX"/>
        </w:rPr>
        <w:drawing>
          <wp:inline distT="0" distB="0" distL="0" distR="0" wp14:anchorId="162B954F" wp14:editId="210BC195">
            <wp:extent cx="842507" cy="849646"/>
            <wp:effectExtent l="0" t="0" r="0" b="0"/>
            <wp:docPr id="20" name="Imagen 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842507" cy="849646"/>
                    </a:xfrm>
                    <a:prstGeom prst="rect">
                      <a:avLst/>
                    </a:prstGeom>
                    <a:ln/>
                  </pic:spPr>
                </pic:pic>
              </a:graphicData>
            </a:graphic>
          </wp:inline>
        </w:drawing>
      </w:r>
    </w:p>
    <w:p w14:paraId="6CD4FC35"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ODS 6: Agua limpia y saneamiento</w:t>
      </w:r>
      <w:r>
        <w:rPr>
          <w:rFonts w:ascii="Bookman Old Style" w:eastAsia="Bookman Old Style" w:hAnsi="Bookman Old Style" w:cs="Bookman Old Style"/>
          <w:sz w:val="20"/>
          <w:szCs w:val="20"/>
        </w:rPr>
        <w:t>: Promueve la protección de los ecosistemas de agua dulce y mejora la gestión de los recursos hídricos.</w:t>
      </w:r>
    </w:p>
    <w:p w14:paraId="41DC742A"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ODS 11: Ciudades y comunidades sostenibles</w:t>
      </w:r>
      <w:r>
        <w:rPr>
          <w:rFonts w:ascii="Bookman Old Style" w:eastAsia="Bookman Old Style" w:hAnsi="Bookman Old Style" w:cs="Bookman Old Style"/>
          <w:sz w:val="20"/>
          <w:szCs w:val="20"/>
        </w:rPr>
        <w:t>: Fomenta la creación de comunidades sostenibles y resilientes mediante la protección de recursos naturales vitales.</w:t>
      </w:r>
    </w:p>
    <w:p w14:paraId="4161534A"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ODS 13: Acción por el clima</w:t>
      </w:r>
      <w:r>
        <w:rPr>
          <w:rFonts w:ascii="Bookman Old Style" w:eastAsia="Bookman Old Style" w:hAnsi="Bookman Old Style" w:cs="Bookman Old Style"/>
          <w:sz w:val="20"/>
          <w:szCs w:val="20"/>
        </w:rPr>
        <w:t>: Fomenta la resiliencia y capacidad de adaptación a los riesgos relacionados con el clima. (PNUD, s.f.)</w:t>
      </w:r>
    </w:p>
    <w:p w14:paraId="4DC5042A"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ODS 14: Vida submarina</w:t>
      </w:r>
      <w:r>
        <w:rPr>
          <w:rFonts w:ascii="Bookman Old Style" w:eastAsia="Bookman Old Style" w:hAnsi="Bookman Old Style" w:cs="Bookman Old Style"/>
          <w:sz w:val="20"/>
          <w:szCs w:val="20"/>
        </w:rPr>
        <w:t>: Protege y conserva los ecosistemas acuáticos y su biodiversidad.</w:t>
      </w:r>
    </w:p>
    <w:p w14:paraId="1A3DA7A3"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ODS 15: Vida de ecosistemas terrestres</w:t>
      </w:r>
      <w:r>
        <w:rPr>
          <w:rFonts w:ascii="Bookman Old Style" w:eastAsia="Bookman Old Style" w:hAnsi="Bookman Old Style" w:cs="Bookman Old Style"/>
          <w:sz w:val="20"/>
          <w:szCs w:val="20"/>
        </w:rPr>
        <w:t>: Conserva y restaura los ecosistemas y la biodiversidad.</w:t>
      </w:r>
    </w:p>
    <w:p w14:paraId="4A54CCAA" w14:textId="28A7AAF5" w:rsidR="001A35D3" w:rsidRDefault="007E50E1">
      <w:pPr>
        <w:numPr>
          <w:ilvl w:val="0"/>
          <w:numId w:val="11"/>
        </w:numPr>
        <w:pBdr>
          <w:top w:val="nil"/>
          <w:left w:val="nil"/>
          <w:bottom w:val="nil"/>
          <w:right w:val="nil"/>
          <w:between w:val="nil"/>
        </w:pBdr>
        <w:spacing w:after="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FUNDAMENTOS NORMATIVOS</w:t>
      </w:r>
      <w:r w:rsidR="00DC5725">
        <w:rPr>
          <w:rStyle w:val="Refdenotaalpie"/>
          <w:rFonts w:ascii="Bookman Old Style" w:eastAsia="Bookman Old Style" w:hAnsi="Bookman Old Style" w:cs="Bookman Old Style"/>
          <w:b/>
          <w:color w:val="000000"/>
          <w:sz w:val="20"/>
          <w:szCs w:val="20"/>
        </w:rPr>
        <w:footnoteReference w:id="1"/>
      </w:r>
    </w:p>
    <w:p w14:paraId="323C754B" w14:textId="77777777" w:rsidR="001A35D3" w:rsidRDefault="001A35D3">
      <w:pPr>
        <w:pBdr>
          <w:top w:val="nil"/>
          <w:left w:val="nil"/>
          <w:bottom w:val="nil"/>
          <w:right w:val="nil"/>
          <w:between w:val="nil"/>
        </w:pBdr>
        <w:spacing w:line="360" w:lineRule="auto"/>
        <w:ind w:left="720"/>
        <w:rPr>
          <w:rFonts w:ascii="Bookman Old Style" w:eastAsia="Bookman Old Style" w:hAnsi="Bookman Old Style" w:cs="Bookman Old Style"/>
          <w:b/>
          <w:color w:val="000000"/>
          <w:sz w:val="20"/>
          <w:szCs w:val="20"/>
        </w:rPr>
      </w:pPr>
    </w:p>
    <w:p w14:paraId="546C886D" w14:textId="77777777" w:rsidR="001A35D3" w:rsidRDefault="007E50E1">
      <w:pPr>
        <w:numPr>
          <w:ilvl w:val="1"/>
          <w:numId w:val="8"/>
        </w:numPr>
        <w:pBdr>
          <w:top w:val="nil"/>
          <w:left w:val="nil"/>
          <w:bottom w:val="nil"/>
          <w:right w:val="nil"/>
          <w:between w:val="nil"/>
        </w:pBdr>
        <w:spacing w:after="200" w:line="360" w:lineRule="auto"/>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Disposiciones Constitucionales</w:t>
      </w:r>
    </w:p>
    <w:p w14:paraId="62BA90B1"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La Constitución Política de 1991 incorporó a nuestro ordenamiento jurídico una serie de disposiciones ambientales con el objetivo de otorgarle importancia manifiesta al medio ambiente de cara a su protección y conservación. Entre estas, el artículo 8 que se erige como el pilar fundamental, reconociendo entonces al medio ambiente como un derecho de rango constitucional, prescribiendo lo siguiente: </w:t>
      </w:r>
    </w:p>
    <w:p w14:paraId="2A4DC100" w14:textId="77777777" w:rsidR="001A35D3" w:rsidRDefault="007E50E1">
      <w:pPr>
        <w:spacing w:after="200" w:line="360" w:lineRule="auto"/>
        <w:ind w:left="720" w:right="720"/>
        <w:jc w:val="both"/>
        <w:rPr>
          <w:rFonts w:ascii="Bookman Old Style" w:eastAsia="Bookman Old Style" w:hAnsi="Bookman Old Style" w:cs="Bookman Old Style"/>
          <w:i/>
          <w:sz w:val="20"/>
          <w:szCs w:val="20"/>
        </w:rPr>
      </w:pPr>
      <w:r>
        <w:rPr>
          <w:rFonts w:ascii="Bookman Old Style" w:eastAsia="Bookman Old Style" w:hAnsi="Bookman Old Style" w:cs="Bookman Old Style"/>
          <w:b/>
          <w:i/>
          <w:sz w:val="20"/>
          <w:szCs w:val="20"/>
        </w:rPr>
        <w:t xml:space="preserve">“Artículo 8. </w:t>
      </w:r>
      <w:r>
        <w:rPr>
          <w:rFonts w:ascii="Bookman Old Style" w:eastAsia="Bookman Old Style" w:hAnsi="Bookman Old Style" w:cs="Bookman Old Style"/>
          <w:i/>
          <w:sz w:val="20"/>
          <w:szCs w:val="20"/>
        </w:rPr>
        <w:t>Es obligación del Estado y de las personas proteger las riquezas culturales y naturales de la Nación.”</w:t>
      </w:r>
    </w:p>
    <w:p w14:paraId="03F1E9A8"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Se destaca también el artículo 79 que consagra como derecho fundamental el goce de un ambiente sano y, por ende, el deber del Estado de la protección de la diversidad e integridad del ambiente. De igual forma, el artículo 80 establece un mandato al Estado de planificar el manejo y aprovechamiento de los recursos naturales, para garantizar su desarrollo </w:t>
      </w:r>
      <w:r>
        <w:rPr>
          <w:rFonts w:ascii="Bookman Old Style" w:eastAsia="Bookman Old Style" w:hAnsi="Bookman Old Style" w:cs="Bookman Old Style"/>
          <w:sz w:val="20"/>
          <w:szCs w:val="20"/>
        </w:rPr>
        <w:lastRenderedPageBreak/>
        <w:t xml:space="preserve">sostenible, conservación, restauración o sustitución, así como el deber de prevención y control de los factores de deterioro ambiental, la imposición de sanciones legales y el exigir la reparación de los daños causados. </w:t>
      </w:r>
    </w:p>
    <w:p w14:paraId="729D7E89" w14:textId="77777777" w:rsidR="001A35D3" w:rsidRDefault="007E50E1">
      <w:pPr>
        <w:numPr>
          <w:ilvl w:val="1"/>
          <w:numId w:val="8"/>
        </w:numPr>
        <w:spacing w:after="200" w:line="360" w:lineRule="auto"/>
        <w:ind w:left="851"/>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Jurisprudencia Constitucional</w:t>
      </w:r>
    </w:p>
    <w:p w14:paraId="1F0C49EE"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La Corte Constitucional ha construido una línea jurisprudencial respecto de la importancia de la protección conservación del medio ambiente. Entre los primeros pronunciamientos, se rescata la Sentencia T-411 de 1992 en la cual se planteó la problemática ambiental de la siguiente forma:</w:t>
      </w:r>
    </w:p>
    <w:p w14:paraId="357CE230" w14:textId="77777777" w:rsidR="001A35D3" w:rsidRDefault="007E50E1">
      <w:pPr>
        <w:spacing w:after="200" w:line="360" w:lineRule="auto"/>
        <w:ind w:left="426" w:right="4"/>
        <w:jc w:val="both"/>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w:t>
      </w:r>
      <w:r>
        <w:rPr>
          <w:rFonts w:ascii="Bookman Old Style" w:eastAsia="Bookman Old Style" w:hAnsi="Bookman Old Style" w:cs="Bookman Old Style"/>
          <w:b/>
          <w:i/>
          <w:sz w:val="20"/>
          <w:szCs w:val="20"/>
        </w:rPr>
        <w:t>la protección al ambiente no es un "amor platónico hacia la madre naturaleza", sino la respuesta a un problema que de seguirse agravando al ritmo presente, acabaría planteando una auténtica cuestión de vida o muerte: la contaminación de los ríos</w:t>
      </w:r>
      <w:r>
        <w:rPr>
          <w:rFonts w:ascii="Bookman Old Style" w:eastAsia="Bookman Old Style" w:hAnsi="Bookman Old Style" w:cs="Bookman Old Style"/>
          <w:i/>
          <w:sz w:val="20"/>
          <w:szCs w:val="20"/>
        </w:rPr>
        <w:t xml:space="preserve">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cabo, </w:t>
      </w:r>
      <w:r>
        <w:rPr>
          <w:rFonts w:ascii="Bookman Old Style" w:eastAsia="Bookman Old Style" w:hAnsi="Bookman Old Style" w:cs="Bookman Old Style"/>
          <w:b/>
          <w:i/>
          <w:sz w:val="20"/>
          <w:szCs w:val="20"/>
        </w:rPr>
        <w:t>el patrimonio natural de un país, al igual que ocurre con el histórico - artístico, pertenece a las personas que en él viven, pero también a las generaciones venideras,</w:t>
      </w:r>
      <w:r>
        <w:rPr>
          <w:rFonts w:ascii="Bookman Old Style" w:eastAsia="Bookman Old Style" w:hAnsi="Bookman Old Style" w:cs="Bookman Old Style"/>
          <w:i/>
          <w:sz w:val="20"/>
          <w:szCs w:val="20"/>
        </w:rPr>
        <w:t xml:space="preserve"> puesto que estamos en la obligación y el desafío de entregar el legado que hemos recibido en condiciones óptimas a nuestros descendientes.”</w:t>
      </w:r>
      <w:r>
        <w:rPr>
          <w:rFonts w:ascii="Bookman Old Style" w:eastAsia="Bookman Old Style" w:hAnsi="Bookman Old Style" w:cs="Bookman Old Style"/>
          <w:sz w:val="20"/>
          <w:szCs w:val="20"/>
          <w:vertAlign w:val="superscript"/>
        </w:rPr>
        <w:footnoteReference w:id="2"/>
      </w:r>
      <w:r>
        <w:rPr>
          <w:rFonts w:ascii="Bookman Old Style" w:eastAsia="Bookman Old Style" w:hAnsi="Bookman Old Style" w:cs="Bookman Old Style"/>
          <w:i/>
          <w:sz w:val="20"/>
          <w:szCs w:val="20"/>
        </w:rPr>
        <w:t xml:space="preserve"> </w:t>
      </w:r>
      <w:r>
        <w:rPr>
          <w:rFonts w:ascii="Bookman Old Style" w:eastAsia="Bookman Old Style" w:hAnsi="Bookman Old Style" w:cs="Bookman Old Style"/>
          <w:sz w:val="20"/>
          <w:szCs w:val="20"/>
        </w:rPr>
        <w:t>(negrilla propia)</w:t>
      </w:r>
    </w:p>
    <w:p w14:paraId="12FE2428"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Posteriormente, en Sentencia C-431 de 2000 la Corte enfatizó que la defensa del medio ambiente es un objetivo de principio dentro de la estructura del Estado Social de Derecho. Lo anterior fue reiterado y desarrollado recientemente en Sentencia C-449 de 2015, así: </w:t>
      </w:r>
    </w:p>
    <w:p w14:paraId="3ABDC868" w14:textId="77777777" w:rsidR="001A35D3" w:rsidRDefault="007E50E1">
      <w:pPr>
        <w:pBdr>
          <w:top w:val="nil"/>
          <w:left w:val="nil"/>
          <w:bottom w:val="nil"/>
          <w:right w:val="nil"/>
          <w:between w:val="nil"/>
        </w:pBdr>
        <w:spacing w:after="200" w:line="360" w:lineRule="auto"/>
        <w:ind w:left="426" w:right="4"/>
        <w:jc w:val="both"/>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 xml:space="preserve">“...la defensa del medio ambiente sano constituye un objetivo de principio dentro de la actual estructura del Estado social de derecho. Bien jurídico constitucional que presenta una triple dimensión, toda vez que: </w:t>
      </w:r>
      <w:r>
        <w:rPr>
          <w:rFonts w:ascii="Bookman Old Style" w:eastAsia="Bookman Old Style" w:hAnsi="Bookman Old Style" w:cs="Bookman Old Style"/>
          <w:b/>
          <w:i/>
          <w:sz w:val="20"/>
          <w:szCs w:val="20"/>
        </w:rPr>
        <w:t xml:space="preserve">es un principio que irradia todo el orden jurídico correspondiendo al Estado proteger las riquezas naturales de la Nación; es un </w:t>
      </w:r>
      <w:r>
        <w:rPr>
          <w:rFonts w:ascii="Bookman Old Style" w:eastAsia="Bookman Old Style" w:hAnsi="Bookman Old Style" w:cs="Bookman Old Style"/>
          <w:b/>
          <w:i/>
          <w:sz w:val="20"/>
          <w:szCs w:val="20"/>
        </w:rPr>
        <w:lastRenderedPageBreak/>
        <w:t>derecho constitucional (fundamental y colectivo) exigible por todas las personas a través de diversas vías judiciales; y es una obligación en cabeza de las autoridades, la sociedad y los particulares, al implicar deberes calificados de protección.</w:t>
      </w:r>
      <w:r>
        <w:rPr>
          <w:rFonts w:ascii="Bookman Old Style" w:eastAsia="Bookman Old Style" w:hAnsi="Bookman Old Style" w:cs="Bookman Old Style"/>
          <w:i/>
          <w:sz w:val="20"/>
          <w:szCs w:val="20"/>
        </w:rPr>
        <w:t xml:space="preserve"> Además, la Constitución contempla el “saneamiento ambiental” como servicio público y propósito fundamental de la actividad estatal (arts. 49 y 366 superiores)”</w:t>
      </w:r>
      <w:r>
        <w:rPr>
          <w:rFonts w:ascii="Bookman Old Style" w:eastAsia="Bookman Old Style" w:hAnsi="Bookman Old Style" w:cs="Bookman Old Style"/>
          <w:sz w:val="20"/>
          <w:szCs w:val="20"/>
          <w:vertAlign w:val="superscript"/>
        </w:rPr>
        <w:footnoteReference w:id="3"/>
      </w:r>
      <w:r>
        <w:rPr>
          <w:rFonts w:ascii="Bookman Old Style" w:eastAsia="Bookman Old Style" w:hAnsi="Bookman Old Style" w:cs="Bookman Old Style"/>
          <w:sz w:val="20"/>
          <w:szCs w:val="20"/>
        </w:rPr>
        <w:t xml:space="preserve"> (negrilla propia)</w:t>
      </w:r>
    </w:p>
    <w:p w14:paraId="1DBE0843" w14:textId="77777777" w:rsidR="001A35D3" w:rsidRDefault="007E50E1">
      <w:pPr>
        <w:pBdr>
          <w:top w:val="nil"/>
          <w:left w:val="nil"/>
          <w:bottom w:val="nil"/>
          <w:right w:val="nil"/>
          <w:between w:val="nil"/>
        </w:pBdr>
        <w:spacing w:after="200" w:line="360" w:lineRule="auto"/>
        <w:ind w:right="6"/>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Por último, el fallo hito en protección ambiental es la Sentencia T-622 de 2016 mediante la cual se resolvió reconocer al río Atrato como sujeto de derechos en búsqueda de su conservación y protección y a partir de una visión ecocéntrica de la naturaleza, según la cual el hombre pertenece a la naturaleza y esta es un ser viviente. La Corte desarrolló su argumentación con base en los derechos bioculturales, el derecho fundamental al agua, el principio de prevención, el principio de precaución y la vulneración a los derechos fundamentales a la vida, salud y medioambiente de las comunidades étnicas, los cuales son de igual aplicación en la problemática que busca resolver el presente Proyecto de Ley. </w:t>
      </w:r>
    </w:p>
    <w:p w14:paraId="1E4FBAF3" w14:textId="77777777" w:rsidR="001A35D3" w:rsidRDefault="007E50E1">
      <w:pPr>
        <w:numPr>
          <w:ilvl w:val="1"/>
          <w:numId w:val="8"/>
        </w:numPr>
        <w:spacing w:after="200" w:line="360" w:lineRule="auto"/>
        <w:ind w:left="851"/>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Jurisprudencia de la Corte Suprema de Justicia</w:t>
      </w:r>
    </w:p>
    <w:p w14:paraId="73C3B020"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Adicional a lo referido anteriormente, es fundamental poner de presente como fundamento normativo de este Proyecto de Ley la Sentencia STC 4360 de 2018 de la Corte Suprema de Justicia. En esta Sentencia el alto tribunal, con base en la jurisprudencia constitucional ya referida, reconoce a la Amazonia colombiana como entidad sujeta de derechos, titular de la protección, de la conservación, mantenimiento y restauración a cargo del Estado y las entidades territoriales que la integran. </w:t>
      </w:r>
    </w:p>
    <w:p w14:paraId="3548B024"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Con tal fin, ordena a diversas entidades del Estado colombiano a actuar para evitar la degradación y que asuman la responsabilidad respecto a la protección y conservación de la Amazonia mediante acciones en concreto como la formulación de un Plan de Acción de Corto, Mediano y Largo Plazo que contrarreste la deforestación en este ecosistema, así como la construcción del Pacto Intergeneracional por la Vida del Amazonas Colombiano - PIVAC, entre otros. </w:t>
      </w:r>
    </w:p>
    <w:p w14:paraId="409A19F0" w14:textId="77777777" w:rsidR="001A35D3" w:rsidRDefault="007E50E1">
      <w:pPr>
        <w:numPr>
          <w:ilvl w:val="0"/>
          <w:numId w:val="11"/>
        </w:numPr>
        <w:pBdr>
          <w:top w:val="nil"/>
          <w:left w:val="nil"/>
          <w:bottom w:val="nil"/>
          <w:right w:val="nil"/>
          <w:between w:val="nil"/>
        </w:pBdr>
        <w:spacing w:after="20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CONFLICTOS DE INTERÉS</w:t>
      </w:r>
    </w:p>
    <w:p w14:paraId="72E1E340" w14:textId="77777777" w:rsidR="001A35D3" w:rsidRDefault="007E50E1">
      <w:pPr>
        <w:spacing w:after="24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De conformidad con lo establecido en el artículo 3 de la Ley 2003 de 2019, modificatorio del artículo 291 de la Ley 5 de 1992, por medio del cual se les ordena a los autores de una iniciativa legislativa presentar en la exposición de motivos un acápite que describa los eventos que podrían generar un conflicto de interés de cara a su discusión y votación, me permito realizar las siguientes consideraciones:</w:t>
      </w:r>
    </w:p>
    <w:p w14:paraId="5ED81100" w14:textId="77777777" w:rsidR="001A35D3" w:rsidRDefault="007E50E1">
      <w:pPr>
        <w:spacing w:after="24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Los elementos del régimen de conflicto de intereses desarrollados por la jurisprudencia del Consejo de Estado fueron recogidos por la Corte Constitucional en Sentencia C-302 de 2021 de la siguiente manera: </w:t>
      </w:r>
    </w:p>
    <w:p w14:paraId="2211057E" w14:textId="77777777" w:rsidR="001A35D3" w:rsidRDefault="007E50E1">
      <w:pPr>
        <w:spacing w:after="240" w:line="360" w:lineRule="auto"/>
        <w:ind w:left="426" w:right="4"/>
        <w:jc w:val="both"/>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 son entonces varios los elementos que, de conformidad con la jurisprudencia del Consejo de Estado, caracterizan la institución del conflicto de intereses: i) es una excepción a la inmunidad de los congresistas (artículo 185 de la CP); ii) es un concepto jurídico indeterminado que, en principio, impide establecer reglas generales aplicables a todos los casos; iii) aquel surge cuando el congresista o sus parientes, en los grados señalados en la ley, tienen un interés particular, actual y directo en un asunto puesto a su consideración, el cual, por esta misma razón, es antagónico al interés general que debe buscar y preservar la investidura del cargo; y iv) si el congresista está inmerso en un conflicto de intereses, deberá declararse impedido, con el fin de cumplir con el mandato constitucional contenido en el artículo 182 de la Carta</w:t>
      </w:r>
      <w:r>
        <w:rPr>
          <w:rFonts w:ascii="Bookman Old Style" w:eastAsia="Bookman Old Style" w:hAnsi="Bookman Old Style" w:cs="Bookman Old Style"/>
          <w:sz w:val="20"/>
          <w:szCs w:val="20"/>
        </w:rPr>
        <w:t>”</w:t>
      </w:r>
      <w:r>
        <w:rPr>
          <w:rFonts w:ascii="Bookman Old Style" w:eastAsia="Bookman Old Style" w:hAnsi="Bookman Old Style" w:cs="Bookman Old Style"/>
          <w:sz w:val="20"/>
          <w:szCs w:val="20"/>
          <w:vertAlign w:val="superscript"/>
        </w:rPr>
        <w:footnoteReference w:id="4"/>
      </w:r>
      <w:r>
        <w:rPr>
          <w:rFonts w:ascii="Bookman Old Style" w:eastAsia="Bookman Old Style" w:hAnsi="Bookman Old Style" w:cs="Bookman Old Style"/>
          <w:sz w:val="20"/>
          <w:szCs w:val="20"/>
        </w:rPr>
        <w:t xml:space="preserve">. </w:t>
      </w:r>
    </w:p>
    <w:p w14:paraId="020C7A1C"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Así mismo, es importante recordar los distintos tipos de beneficios que pueden configurar un conflicto de interés, dispuestos en el artículo 1 de la Ley 2003 de 2019, modificatorio del artículo 286 de la Ley 5 de 1992: </w:t>
      </w:r>
    </w:p>
    <w:p w14:paraId="33B534A7" w14:textId="77777777" w:rsidR="001A35D3" w:rsidRDefault="007E50E1">
      <w:pPr>
        <w:numPr>
          <w:ilvl w:val="0"/>
          <w:numId w:val="9"/>
        </w:numPr>
        <w:shd w:val="clear" w:color="auto" w:fill="FFFFFF"/>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9B1B227" w14:textId="77777777" w:rsidR="001A35D3" w:rsidRDefault="007E50E1">
      <w:pPr>
        <w:numPr>
          <w:ilvl w:val="0"/>
          <w:numId w:val="9"/>
        </w:numPr>
        <w:shd w:val="clear" w:color="auto" w:fill="FFFFFF"/>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Beneficio actual: aquel que efectivamente se configura en las circunstancias presentes y existentes al momento en el que el congresista participa de la decisión.</w:t>
      </w:r>
    </w:p>
    <w:p w14:paraId="410C5796" w14:textId="77777777" w:rsidR="001A35D3" w:rsidRDefault="007E50E1">
      <w:pPr>
        <w:numPr>
          <w:ilvl w:val="0"/>
          <w:numId w:val="9"/>
        </w:numPr>
        <w:shd w:val="clear" w:color="auto" w:fill="FFFFFF"/>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Beneficio directo: aquel que se produzca de forma específica respecto del congresista, de su cónyuge, compañero o compañera permanente, o parientes dentro del segundo grado de consanguinidad, segundo de afinidad o primero civil.</w:t>
      </w:r>
    </w:p>
    <w:p w14:paraId="1188F208" w14:textId="77777777"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Adicionalmente a lo descrito, se debe resaltar que el interés ha de ser particular y no general, dado que si fuera el último caso los congresistas siempre se encontrarán en situación de conflicto, así lo describe el Consejo de Estado: </w:t>
      </w:r>
    </w:p>
    <w:p w14:paraId="4DB9DCE5" w14:textId="77777777" w:rsidR="001A35D3" w:rsidRDefault="007E50E1">
      <w:pPr>
        <w:spacing w:after="200" w:line="360" w:lineRule="auto"/>
        <w:ind w:left="426" w:right="4"/>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“En tratándose de conflicto de intereses, el interés “particular” cobra relevancia, entonces, no porque el congresista pueda eventualmente beneficiarse de una ley expedida para la generalidad de la sociedad, sino porque dicho proyecto le significa al congresista un beneficio especial, no disponible para los colombianos que en abstracto se encuentren en las hipótesis de la ley, configurándose así una situación de desigualdad que ostensiblemente favorece al legislador.</w:t>
      </w:r>
      <w:r>
        <w:rPr>
          <w:rFonts w:ascii="Bookman Old Style" w:eastAsia="Bookman Old Style" w:hAnsi="Bookman Old Style" w:cs="Bookman Old Style"/>
          <w:i/>
          <w:sz w:val="20"/>
          <w:szCs w:val="20"/>
          <w:vertAlign w:val="superscript"/>
        </w:rPr>
        <w:footnoteReference w:id="5"/>
      </w:r>
      <w:r>
        <w:rPr>
          <w:rFonts w:ascii="Bookman Old Style" w:eastAsia="Bookman Old Style" w:hAnsi="Bookman Old Style" w:cs="Bookman Old Style"/>
          <w:i/>
          <w:sz w:val="20"/>
          <w:szCs w:val="20"/>
        </w:rPr>
        <w:t>"</w:t>
      </w:r>
    </w:p>
    <w:p w14:paraId="6E5C1BAC" w14:textId="31957AAB" w:rsidR="001A35D3" w:rsidRDefault="007E50E1">
      <w:pPr>
        <w:spacing w:after="200" w:line="360" w:lineRule="auto"/>
        <w:jc w:val="both"/>
        <w:rPr>
          <w:rFonts w:ascii="Bookman Old Style" w:eastAsia="Bookman Old Style" w:hAnsi="Bookman Old Style" w:cs="Bookman Old Style"/>
          <w:sz w:val="20"/>
          <w:szCs w:val="20"/>
          <w:highlight w:val="white"/>
        </w:rPr>
      </w:pPr>
      <w:r>
        <w:rPr>
          <w:rFonts w:ascii="Bookman Old Style" w:eastAsia="Bookman Old Style" w:hAnsi="Bookman Old Style" w:cs="Bookman Old Style"/>
          <w:sz w:val="20"/>
          <w:szCs w:val="20"/>
        </w:rPr>
        <w:t xml:space="preserve">En virtud de lo anterior, se considera que la discusión y aprobación del presente no presentaría conflictos de interés en razón de beneficios particulares, actuales y/o directos a los Congresistas conforme a lo dispuesto en la norma dado que se trata de un Proyecto de Ley con efectos jurídicos generales y abstractos </w:t>
      </w:r>
      <w:r>
        <w:rPr>
          <w:rFonts w:ascii="Bookman Old Style" w:eastAsia="Bookman Old Style" w:hAnsi="Bookman Old Style" w:cs="Bookman Old Style"/>
          <w:sz w:val="20"/>
          <w:szCs w:val="20"/>
          <w:highlight w:val="white"/>
        </w:rPr>
        <w:t xml:space="preserve">por medio de la cual se pretenden medidas para la protección y conservación del Río </w:t>
      </w:r>
      <w:r w:rsidR="00FB303B">
        <w:rPr>
          <w:rFonts w:ascii="Bookman Old Style" w:eastAsia="Bookman Old Style" w:hAnsi="Bookman Old Style" w:cs="Bookman Old Style"/>
          <w:sz w:val="20"/>
          <w:szCs w:val="20"/>
          <w:highlight w:val="white"/>
        </w:rPr>
        <w:t>Cravo</w:t>
      </w:r>
      <w:r w:rsidR="002A28F5">
        <w:rPr>
          <w:rFonts w:ascii="Bookman Old Style" w:eastAsia="Bookman Old Style" w:hAnsi="Bookman Old Style" w:cs="Bookman Old Style"/>
          <w:sz w:val="20"/>
          <w:szCs w:val="20"/>
          <w:highlight w:val="white"/>
        </w:rPr>
        <w:t xml:space="preserve"> Sur</w:t>
      </w:r>
      <w:r>
        <w:rPr>
          <w:rFonts w:ascii="Bookman Old Style" w:eastAsia="Bookman Old Style" w:hAnsi="Bookman Old Style" w:cs="Bookman Old Style"/>
          <w:sz w:val="20"/>
          <w:szCs w:val="20"/>
          <w:highlight w:val="white"/>
        </w:rPr>
        <w:t xml:space="preserve">. </w:t>
      </w:r>
    </w:p>
    <w:p w14:paraId="05292F61" w14:textId="1DF4CEF4" w:rsidR="001A35D3" w:rsidRDefault="007E50E1">
      <w:pPr>
        <w:spacing w:after="20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No obstante, es importante aclarar que la descripción realizada en este acápite sobre la no configuración de conflictos a lo largo del trámite del presente Proyecto de Ley, conforme a lo dispuesto en la Ley 5a de 1992 y su modificación, no exime a los Congresistas de identificar causales de conflicto de interés.</w:t>
      </w:r>
    </w:p>
    <w:p w14:paraId="180B5B55" w14:textId="77777777" w:rsidR="001A35D3" w:rsidRDefault="007E50E1">
      <w:pPr>
        <w:numPr>
          <w:ilvl w:val="0"/>
          <w:numId w:val="11"/>
        </w:numPr>
        <w:pBdr>
          <w:top w:val="nil"/>
          <w:left w:val="nil"/>
          <w:bottom w:val="nil"/>
          <w:right w:val="nil"/>
          <w:between w:val="nil"/>
        </w:pBdr>
        <w:spacing w:after="20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IMPACTO FISCAL</w:t>
      </w:r>
    </w:p>
    <w:p w14:paraId="06BB7D1C"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Dando cumplimiento al artículo 7 de la Ley 819 de 2003 “</w:t>
      </w:r>
      <w:r>
        <w:rPr>
          <w:rFonts w:ascii="Bookman Old Style" w:eastAsia="Bookman Old Style" w:hAnsi="Bookman Old Style" w:cs="Bookman Old Style"/>
          <w:i/>
          <w:sz w:val="20"/>
          <w:szCs w:val="20"/>
        </w:rPr>
        <w:t>Análisis del impacto fiscal de las normas”</w:t>
      </w:r>
      <w:r>
        <w:rPr>
          <w:rFonts w:ascii="Bookman Old Style" w:eastAsia="Bookman Old Style" w:hAnsi="Bookman Old Style" w:cs="Bookman Old Style"/>
          <w:sz w:val="20"/>
          <w:szCs w:val="20"/>
        </w:rPr>
        <w:t xml:space="preserve">. Debemos señalar que, los gastos que se generen de la presente iniciativa legislativa se deben entender como incluidos en los presupuestos y en el Plan Operativo Anual de Inversión al cual haya lugar. </w:t>
      </w:r>
    </w:p>
    <w:p w14:paraId="61BB5B9C"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Así las cosas, posterior a la promulgación del presente proyecto de Ley, el Gobierno Nacional deberá promover y realizar acciones tendientes a su ejercicio y cumplimiento, lo anterior </w:t>
      </w:r>
      <w:r>
        <w:rPr>
          <w:rFonts w:ascii="Bookman Old Style" w:eastAsia="Bookman Old Style" w:hAnsi="Bookman Old Style" w:cs="Bookman Old Style"/>
          <w:sz w:val="20"/>
          <w:szCs w:val="20"/>
        </w:rPr>
        <w:lastRenderedPageBreak/>
        <w:t>con observancia de la regla y el marco fiscales de mediano plazo.</w:t>
      </w:r>
    </w:p>
    <w:p w14:paraId="6BB6519A"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De conformidad con lo anterior, resulta importante citar un pronunciamiento de la Corte Constitucional acerca del tema, el cual quedó plasmado en la Sentencia C-490 del año 2011, en la cual señala a renglón seguido. </w:t>
      </w:r>
    </w:p>
    <w:p w14:paraId="4C656A4B" w14:textId="77777777" w:rsidR="001A35D3" w:rsidRDefault="007E50E1">
      <w:pPr>
        <w:widowControl w:val="0"/>
        <w:spacing w:before="120" w:line="360" w:lineRule="auto"/>
        <w:ind w:left="360"/>
        <w:jc w:val="both"/>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w:t>
      </w:r>
      <w:r>
        <w:rPr>
          <w:rFonts w:ascii="Bookman Old Style" w:eastAsia="Bookman Old Style" w:hAnsi="Bookman Old Style" w:cs="Bookman Old Style"/>
          <w:b/>
          <w:i/>
          <w:sz w:val="20"/>
          <w:szCs w:val="20"/>
        </w:rPr>
        <w:t>El mandato de adecuación entre la justificación de los proyectos de ley y la planeación de la política económica, empero, no puede comprenderse como un requisito de trámite para la aprobación de las iniciativas legislativas</w:t>
      </w:r>
      <w:r>
        <w:rPr>
          <w:rFonts w:ascii="Bookman Old Style" w:eastAsia="Bookman Old Style" w:hAnsi="Bookman Old Style" w:cs="Bookman Old Style"/>
          <w:i/>
          <w:sz w:val="20"/>
          <w:szCs w:val="20"/>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Pr>
          <w:rFonts w:ascii="Bookman Old Style" w:eastAsia="Bookman Old Style" w:hAnsi="Bookman Old Style" w:cs="Bookman Old Style"/>
          <w:sz w:val="20"/>
          <w:szCs w:val="20"/>
        </w:rPr>
        <w:t xml:space="preserve"> (Negrillas fuera de texto).  </w:t>
      </w:r>
    </w:p>
    <w:p w14:paraId="69ABA812"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14:paraId="795B98CC" w14:textId="77777777" w:rsidR="001A35D3" w:rsidRDefault="007E50E1">
      <w:pPr>
        <w:widowControl w:val="0"/>
        <w:spacing w:before="120" w:line="360" w:lineRule="auto"/>
        <w:ind w:left="360"/>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4A01B748" w14:textId="77777777" w:rsidR="001A35D3" w:rsidRDefault="007E50E1">
      <w:pPr>
        <w:widowControl w:val="0"/>
        <w:spacing w:before="120" w:line="360" w:lineRule="auto"/>
        <w:ind w:left="360"/>
        <w:jc w:val="both"/>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Pr>
          <w:rFonts w:ascii="Bookman Old Style" w:eastAsia="Bookman Old Style" w:hAnsi="Bookman Old Style" w:cs="Bookman Old Style"/>
          <w:sz w:val="20"/>
          <w:szCs w:val="20"/>
        </w:rPr>
        <w:t xml:space="preserve"> </w:t>
      </w:r>
    </w:p>
    <w:p w14:paraId="3EE111A9"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w:t>
      </w:r>
      <w:r>
        <w:rPr>
          <w:rFonts w:ascii="Bookman Old Style" w:eastAsia="Bookman Old Style" w:hAnsi="Bookman Old Style" w:cs="Bookman Old Style"/>
          <w:sz w:val="20"/>
          <w:szCs w:val="20"/>
        </w:rPr>
        <w:lastRenderedPageBreak/>
        <w:t xml:space="preserve">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14:paraId="5B6F4554" w14:textId="07A2925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Adicionalmente, se hace énfasis en la necesidad de adoptar medidas concretas y efectivas para compensar los daños causados al río </w:t>
      </w:r>
      <w:r w:rsidR="00DC5725">
        <w:rPr>
          <w:rFonts w:ascii="Bookman Old Style" w:eastAsia="Bookman Old Style" w:hAnsi="Bookman Old Style" w:cs="Bookman Old Style"/>
          <w:sz w:val="20"/>
          <w:szCs w:val="20"/>
        </w:rPr>
        <w:t>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con el fin único de preservar y proteger su cuenca. Se destaca la importancia de una gestión ambiental participativa, que involucre no solo a las entidades gubernamentales, sino también a las comunidades locales, resguardos indígenas y a todos los actores relevantes en la zona de influencia del río. Este enfoque cooperativo y multisectorial es fundamental para asegurar la implementación exitosa de las estrategias de conservación, restauración, preservación y mantenimiento propuestas. </w:t>
      </w:r>
    </w:p>
    <w:p w14:paraId="56C3858D" w14:textId="38250683"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El Proyecto de Ley establece, además, la creación de una Comisión de Guardianes del río </w:t>
      </w:r>
      <w:r w:rsidR="00DC5725">
        <w:rPr>
          <w:rFonts w:ascii="Bookman Old Style" w:eastAsia="Bookman Old Style" w:hAnsi="Bookman Old Style" w:cs="Bookman Old Style"/>
          <w:sz w:val="20"/>
          <w:szCs w:val="20"/>
        </w:rPr>
        <w:t>Cravo</w:t>
      </w:r>
      <w:r w:rsidR="002A28F5">
        <w:rPr>
          <w:rFonts w:ascii="Bookman Old Style" w:eastAsia="Bookman Old Style" w:hAnsi="Bookman Old Style" w:cs="Bookman Old Style"/>
          <w:sz w:val="20"/>
          <w:szCs w:val="20"/>
        </w:rPr>
        <w:t xml:space="preserve"> Sur</w:t>
      </w:r>
      <w:r>
        <w:rPr>
          <w:rFonts w:ascii="Bookman Old Style" w:eastAsia="Bookman Old Style" w:hAnsi="Bookman Old Style" w:cs="Bookman Old Style"/>
          <w:sz w:val="20"/>
          <w:szCs w:val="20"/>
        </w:rPr>
        <w:t xml:space="preserve">, quien se encargará de diseñar, ejecutar y supervisar un Plan que incluya medidas de conservación, recuperación, preservación y mantenimiento de la cuenca. Este plan incluirá una serie de acciones legislativas, administrativas, sociales y ambientales diseñadas para garantizar la protección y preservación a largo plazo de la cuenca; reconociendo su importancia no solo como recurso natural sino como un ente vivo con derechos inherentes. </w:t>
      </w:r>
    </w:p>
    <w:p w14:paraId="25E74A7D"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El plan deberá considerar: la definición de los derechos que se le otorgan al río, las responsabilidades y obligaciones no solo de las entidades públicas sino también de los ciudadanos, regulaciones sobre la gestión del recurso hídrico, la conservación del hábitat y la prevención de la contaminación; la designación de subcomités especializados en caso de que se requieran, programas educativos de concienciación y finalmente un monitoreo ambiental para evaluar cómo se está preservando y conservando el ecosistema.  </w:t>
      </w:r>
    </w:p>
    <w:p w14:paraId="35217633" w14:textId="77777777" w:rsidR="001A35D3" w:rsidRDefault="007E50E1">
      <w:pPr>
        <w:widowControl w:val="0"/>
        <w:spacing w:before="120"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Con base en lo expuesto anteriormente, pongo a disposición de la Honorable Cámara de Representantes, la discusión y aprobación del presente Proyecto de Ley.</w:t>
      </w:r>
    </w:p>
    <w:p w14:paraId="5FC065BB" w14:textId="77777777" w:rsidR="001A35D3" w:rsidRDefault="001A35D3">
      <w:pPr>
        <w:widowControl w:val="0"/>
        <w:spacing w:before="120" w:line="360" w:lineRule="auto"/>
        <w:jc w:val="both"/>
        <w:rPr>
          <w:rFonts w:ascii="Bookman Old Style" w:eastAsia="Bookman Old Style" w:hAnsi="Bookman Old Style" w:cs="Bookman Old Style"/>
          <w:sz w:val="20"/>
          <w:szCs w:val="20"/>
        </w:rPr>
      </w:pPr>
    </w:p>
    <w:p w14:paraId="730BA3A7" w14:textId="77777777" w:rsidR="001A35D3" w:rsidRDefault="007E50E1">
      <w:pPr>
        <w:widowControl w:val="0"/>
        <w:numPr>
          <w:ilvl w:val="0"/>
          <w:numId w:val="11"/>
        </w:numPr>
        <w:pBdr>
          <w:top w:val="nil"/>
          <w:left w:val="nil"/>
          <w:bottom w:val="nil"/>
          <w:right w:val="nil"/>
          <w:between w:val="nil"/>
        </w:pBdr>
        <w:spacing w:before="120" w:after="0" w:line="360" w:lineRule="auto"/>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REFERENCIAS BIBLIOGRÁFICAS</w:t>
      </w:r>
    </w:p>
    <w:p w14:paraId="0224C11E" w14:textId="77777777" w:rsidR="001A35D3" w:rsidRDefault="007E50E1">
      <w:pPr>
        <w:widowControl w:val="0"/>
        <w:numPr>
          <w:ilvl w:val="0"/>
          <w:numId w:val="10"/>
        </w:numPr>
        <w:pBdr>
          <w:top w:val="nil"/>
          <w:left w:val="nil"/>
          <w:bottom w:val="nil"/>
          <w:right w:val="nil"/>
          <w:between w:val="nil"/>
        </w:pBdr>
        <w:spacing w:after="0" w:line="360" w:lineRule="auto"/>
        <w:jc w:val="both"/>
        <w:rPr>
          <w:color w:val="000000"/>
          <w:sz w:val="20"/>
          <w:szCs w:val="20"/>
        </w:rPr>
      </w:pPr>
      <w:r>
        <w:rPr>
          <w:rFonts w:ascii="Bookman Old Style" w:eastAsia="Bookman Old Style" w:hAnsi="Bookman Old Style" w:cs="Bookman Old Style"/>
          <w:color w:val="000000"/>
          <w:sz w:val="20"/>
          <w:szCs w:val="20"/>
        </w:rPr>
        <w:lastRenderedPageBreak/>
        <w:t>PNUD. (s.f.). Los ODS en acción. Obtenido de https://www.undp.org/es/sustainable-development-goals</w:t>
      </w:r>
    </w:p>
    <w:p w14:paraId="57114FF9" w14:textId="77777777" w:rsidR="001A35D3" w:rsidRDefault="001A35D3">
      <w:pPr>
        <w:jc w:val="both"/>
        <w:rPr>
          <w:rFonts w:ascii="Bookman Old Style" w:eastAsia="Bookman Old Style" w:hAnsi="Bookman Old Style" w:cs="Bookman Old Style"/>
          <w:color w:val="000000"/>
          <w:sz w:val="20"/>
          <w:szCs w:val="20"/>
        </w:rPr>
      </w:pPr>
    </w:p>
    <w:p w14:paraId="4E35E684" w14:textId="77777777" w:rsidR="001A35D3" w:rsidRDefault="007E50E1">
      <w:pP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Cordialmente,</w:t>
      </w:r>
    </w:p>
    <w:p w14:paraId="532786A1" w14:textId="64D47386" w:rsidR="001D1409" w:rsidRDefault="001D1409">
      <w:pPr>
        <w:tabs>
          <w:tab w:val="right" w:pos="8838"/>
        </w:tabs>
        <w:jc w:val="center"/>
        <w:rPr>
          <w:rFonts w:ascii="Bookman Old Style" w:eastAsia="Bookman Old Style" w:hAnsi="Bookman Old Style" w:cs="Bookman Old Style"/>
          <w:noProof/>
          <w:sz w:val="20"/>
          <w:szCs w:val="20"/>
          <w:lang w:val="es-MX" w:eastAsia="es-MX"/>
        </w:rPr>
      </w:pPr>
    </w:p>
    <w:p w14:paraId="4560D284" w14:textId="13DCEDAC" w:rsidR="00365CC3" w:rsidRDefault="00365CC3">
      <w:pPr>
        <w:tabs>
          <w:tab w:val="right" w:pos="8838"/>
        </w:tabs>
        <w:jc w:val="center"/>
        <w:rPr>
          <w:rFonts w:ascii="Bookman Old Style" w:eastAsia="Bookman Old Style" w:hAnsi="Bookman Old Style" w:cs="Bookman Old Style"/>
          <w:noProof/>
          <w:sz w:val="20"/>
          <w:szCs w:val="20"/>
          <w:lang w:val="es-MX" w:eastAsia="es-MX"/>
        </w:rPr>
      </w:pPr>
      <w:r>
        <w:rPr>
          <w:rFonts w:ascii="Bookman Old Style" w:eastAsia="Bookman Old Style" w:hAnsi="Bookman Old Style" w:cs="Bookman Old Style"/>
          <w:noProof/>
          <w:sz w:val="20"/>
          <w:szCs w:val="20"/>
          <w:lang w:val="es-MX" w:eastAsia="es-MX"/>
        </w:rPr>
        <w:t xml:space="preserve"> </w:t>
      </w:r>
    </w:p>
    <w:p w14:paraId="5B325926" w14:textId="77777777" w:rsidR="001D1409" w:rsidRDefault="001D1409">
      <w:pPr>
        <w:tabs>
          <w:tab w:val="right" w:pos="8838"/>
        </w:tabs>
        <w:jc w:val="center"/>
        <w:rPr>
          <w:rFonts w:ascii="Bookman Old Style" w:eastAsia="Bookman Old Style" w:hAnsi="Bookman Old Style" w:cs="Bookman Old Style"/>
          <w:b/>
          <w:sz w:val="20"/>
          <w:szCs w:val="20"/>
        </w:rPr>
      </w:pPr>
    </w:p>
    <w:p w14:paraId="3BDD7375" w14:textId="77777777" w:rsidR="001A35D3" w:rsidRDefault="007E50E1">
      <w:pPr>
        <w:tabs>
          <w:tab w:val="right" w:pos="8838"/>
        </w:tabs>
        <w:spacing w:after="0"/>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EDINSON VLADIMIR OLAYA MANCIPE</w:t>
      </w:r>
    </w:p>
    <w:p w14:paraId="39A33662" w14:textId="77777777" w:rsidR="001A35D3" w:rsidRDefault="007E50E1">
      <w:pPr>
        <w:tabs>
          <w:tab w:val="right" w:pos="8838"/>
        </w:tabs>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Representante a la Cámara por Casanare</w:t>
      </w:r>
    </w:p>
    <w:p w14:paraId="456A1023" w14:textId="77777777" w:rsidR="001A35D3" w:rsidRDefault="007E50E1">
      <w:pPr>
        <w:spacing w:after="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Partido Centro Democrático</w:t>
      </w:r>
    </w:p>
    <w:p w14:paraId="10F9F3F2" w14:textId="3270EA41" w:rsidR="001A35D3" w:rsidRDefault="001A35D3">
      <w:pPr>
        <w:rPr>
          <w:rFonts w:ascii="Bookman Old Style" w:eastAsia="Bookman Old Style" w:hAnsi="Bookman Old Style" w:cs="Bookman Old Style"/>
          <w:sz w:val="20"/>
          <w:szCs w:val="20"/>
        </w:rPr>
      </w:pPr>
    </w:p>
    <w:p w14:paraId="563B95F2" w14:textId="77777777" w:rsidR="00A27C9F" w:rsidRDefault="00A27C9F" w:rsidP="00A27C9F">
      <w:pPr>
        <w:spacing w:after="0"/>
        <w:rPr>
          <w:rFonts w:ascii="Bookman Old Style" w:eastAsia="Bookman Old Style" w:hAnsi="Bookman Old Style" w:cs="Bookman Old Style"/>
          <w:sz w:val="20"/>
          <w:szCs w:val="20"/>
        </w:rPr>
      </w:pPr>
    </w:p>
    <w:p w14:paraId="46F4511C" w14:textId="77777777" w:rsidR="00A27C9F" w:rsidRDefault="00A27C9F" w:rsidP="00A27C9F">
      <w:pPr>
        <w:spacing w:after="0"/>
        <w:rPr>
          <w:rFonts w:ascii="Bookman Old Style" w:eastAsia="Bookman Old Style" w:hAnsi="Bookman Old Style" w:cs="Bookman Old Style"/>
          <w:sz w:val="20"/>
          <w:szCs w:val="20"/>
        </w:rPr>
      </w:pPr>
    </w:p>
    <w:p w14:paraId="41C832C5" w14:textId="77777777" w:rsidR="00307429" w:rsidRPr="00153212" w:rsidRDefault="00307429" w:rsidP="00307429">
      <w:pPr>
        <w:spacing w:after="0"/>
        <w:rPr>
          <w:rFonts w:ascii="Arial" w:hAnsi="Arial" w:cs="Arial"/>
          <w:sz w:val="24"/>
          <w:szCs w:val="24"/>
        </w:rPr>
      </w:pPr>
      <w:r w:rsidRPr="00153212">
        <w:rPr>
          <w:rFonts w:ascii="Arial" w:hAnsi="Arial" w:cs="Arial"/>
          <w:noProof/>
          <w:sz w:val="24"/>
          <w:szCs w:val="24"/>
        </w:rPr>
        <w:drawing>
          <wp:inline distT="0" distB="0" distL="0" distR="0" wp14:anchorId="1FA39D9F" wp14:editId="62E2A7C3">
            <wp:extent cx="1600200" cy="794670"/>
            <wp:effectExtent l="0" t="0" r="0" b="0"/>
            <wp:docPr id="670645427" name="Imagen 67064542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01001" name="Imagen 1541201001" descr="Form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0957" cy="800012"/>
                    </a:xfrm>
                    <a:prstGeom prst="rect">
                      <a:avLst/>
                    </a:prstGeom>
                  </pic:spPr>
                </pic:pic>
              </a:graphicData>
            </a:graphic>
          </wp:inline>
        </w:drawing>
      </w:r>
    </w:p>
    <w:p w14:paraId="385078C6" w14:textId="77777777" w:rsidR="00307429" w:rsidRPr="00153212" w:rsidRDefault="00307429" w:rsidP="00307429">
      <w:pPr>
        <w:spacing w:after="0"/>
        <w:rPr>
          <w:rFonts w:ascii="Arial" w:hAnsi="Arial" w:cs="Arial"/>
          <w:b/>
          <w:bCs/>
          <w:sz w:val="24"/>
          <w:szCs w:val="24"/>
        </w:rPr>
      </w:pPr>
      <w:r w:rsidRPr="00153212">
        <w:rPr>
          <w:rFonts w:ascii="Arial" w:hAnsi="Arial" w:cs="Arial"/>
          <w:b/>
          <w:bCs/>
          <w:sz w:val="24"/>
          <w:szCs w:val="24"/>
        </w:rPr>
        <w:t xml:space="preserve">JUAN ESPINAL </w:t>
      </w:r>
    </w:p>
    <w:p w14:paraId="0236092B" w14:textId="77777777" w:rsidR="00307429" w:rsidRPr="00153212" w:rsidRDefault="00307429" w:rsidP="00307429">
      <w:pPr>
        <w:spacing w:after="0"/>
        <w:rPr>
          <w:rFonts w:ascii="Arial" w:hAnsi="Arial" w:cs="Arial"/>
          <w:sz w:val="24"/>
          <w:szCs w:val="24"/>
        </w:rPr>
      </w:pPr>
      <w:r w:rsidRPr="00153212">
        <w:rPr>
          <w:rFonts w:ascii="Arial" w:hAnsi="Arial" w:cs="Arial"/>
          <w:sz w:val="24"/>
          <w:szCs w:val="24"/>
        </w:rPr>
        <w:t xml:space="preserve">Representante a la Cámara </w:t>
      </w:r>
    </w:p>
    <w:p w14:paraId="6E0A63CD" w14:textId="77777777" w:rsidR="00307429" w:rsidRPr="00153212" w:rsidRDefault="00307429" w:rsidP="00307429">
      <w:pPr>
        <w:spacing w:after="0"/>
        <w:rPr>
          <w:rFonts w:ascii="Arial" w:hAnsi="Arial" w:cs="Arial"/>
          <w:sz w:val="24"/>
          <w:szCs w:val="24"/>
        </w:rPr>
      </w:pPr>
      <w:r w:rsidRPr="00153212">
        <w:rPr>
          <w:rFonts w:ascii="Arial" w:hAnsi="Arial" w:cs="Arial"/>
          <w:sz w:val="24"/>
          <w:szCs w:val="24"/>
        </w:rPr>
        <w:t>Partido Centro Democrático</w:t>
      </w:r>
    </w:p>
    <w:p w14:paraId="7714FF0B"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7B894EBD" w14:textId="77777777" w:rsidR="00A27C9F" w:rsidRDefault="00A27C9F" w:rsidP="00A27C9F">
      <w:pPr>
        <w:spacing w:after="0"/>
        <w:rPr>
          <w:rFonts w:ascii="Bookman Old Style" w:eastAsia="Bookman Old Style" w:hAnsi="Bookman Old Style" w:cs="Bookman Old Style"/>
          <w:sz w:val="20"/>
          <w:szCs w:val="20"/>
        </w:rPr>
      </w:pPr>
    </w:p>
    <w:p w14:paraId="5D9EB1B4" w14:textId="77777777" w:rsidR="00A27C9F" w:rsidRDefault="00A27C9F" w:rsidP="00A27C9F">
      <w:pPr>
        <w:spacing w:after="0"/>
        <w:rPr>
          <w:rFonts w:ascii="Bookman Old Style" w:eastAsia="Bookman Old Style" w:hAnsi="Bookman Old Style" w:cs="Bookman Old Style"/>
          <w:sz w:val="20"/>
          <w:szCs w:val="20"/>
        </w:rPr>
      </w:pPr>
    </w:p>
    <w:p w14:paraId="2C1428C6" w14:textId="77777777" w:rsidR="00A27C9F" w:rsidRDefault="00A27C9F" w:rsidP="00A27C9F">
      <w:pPr>
        <w:spacing w:after="0"/>
        <w:rPr>
          <w:rFonts w:ascii="Bookman Old Style" w:eastAsia="Bookman Old Style" w:hAnsi="Bookman Old Style" w:cs="Bookman Old Style"/>
          <w:sz w:val="20"/>
          <w:szCs w:val="20"/>
        </w:rPr>
      </w:pPr>
    </w:p>
    <w:p w14:paraId="1C6CFA5D" w14:textId="77777777" w:rsidR="00A27C9F" w:rsidRDefault="00A27C9F" w:rsidP="00A27C9F">
      <w:pPr>
        <w:spacing w:after="0"/>
        <w:rPr>
          <w:rFonts w:ascii="Bookman Old Style" w:eastAsia="Bookman Old Style" w:hAnsi="Bookman Old Style" w:cs="Bookman Old Style"/>
          <w:sz w:val="20"/>
          <w:szCs w:val="20"/>
        </w:rPr>
      </w:pPr>
    </w:p>
    <w:p w14:paraId="1BCD91BC"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85CABDE" w14:textId="77777777" w:rsidR="00A27C9F" w:rsidRDefault="00A27C9F" w:rsidP="00A27C9F">
      <w:pPr>
        <w:spacing w:after="0"/>
        <w:rPr>
          <w:rFonts w:ascii="Bookman Old Style" w:eastAsia="Bookman Old Style" w:hAnsi="Bookman Old Style" w:cs="Bookman Old Style"/>
          <w:sz w:val="20"/>
          <w:szCs w:val="20"/>
        </w:rPr>
      </w:pPr>
    </w:p>
    <w:p w14:paraId="563A43EE" w14:textId="77777777" w:rsidR="00A27C9F" w:rsidRDefault="00A27C9F" w:rsidP="00A27C9F">
      <w:pPr>
        <w:spacing w:after="0"/>
        <w:rPr>
          <w:rFonts w:ascii="Bookman Old Style" w:eastAsia="Bookman Old Style" w:hAnsi="Bookman Old Style" w:cs="Bookman Old Style"/>
          <w:sz w:val="20"/>
          <w:szCs w:val="20"/>
        </w:rPr>
      </w:pPr>
    </w:p>
    <w:p w14:paraId="144CEAF7" w14:textId="77777777" w:rsidR="00A27C9F" w:rsidRDefault="00A27C9F" w:rsidP="00A27C9F">
      <w:pPr>
        <w:spacing w:after="0"/>
        <w:rPr>
          <w:rFonts w:ascii="Bookman Old Style" w:eastAsia="Bookman Old Style" w:hAnsi="Bookman Old Style" w:cs="Bookman Old Style"/>
          <w:sz w:val="20"/>
          <w:szCs w:val="20"/>
        </w:rPr>
      </w:pPr>
    </w:p>
    <w:p w14:paraId="65DEAF9D" w14:textId="77777777" w:rsidR="00A27C9F" w:rsidRDefault="00A27C9F" w:rsidP="00A27C9F">
      <w:pPr>
        <w:spacing w:after="0"/>
        <w:rPr>
          <w:rFonts w:ascii="Bookman Old Style" w:eastAsia="Bookman Old Style" w:hAnsi="Bookman Old Style" w:cs="Bookman Old Style"/>
          <w:sz w:val="20"/>
          <w:szCs w:val="20"/>
        </w:rPr>
      </w:pPr>
    </w:p>
    <w:p w14:paraId="2B04087B"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4C6267B" w14:textId="77777777" w:rsidR="00A27C9F" w:rsidRDefault="00A27C9F" w:rsidP="00A27C9F">
      <w:pPr>
        <w:spacing w:after="0"/>
        <w:rPr>
          <w:rFonts w:ascii="Bookman Old Style" w:eastAsia="Bookman Old Style" w:hAnsi="Bookman Old Style" w:cs="Bookman Old Style"/>
          <w:sz w:val="20"/>
          <w:szCs w:val="20"/>
        </w:rPr>
      </w:pPr>
    </w:p>
    <w:p w14:paraId="50BF27AE" w14:textId="77777777" w:rsidR="00A27C9F" w:rsidRDefault="00A27C9F" w:rsidP="00A27C9F">
      <w:pPr>
        <w:spacing w:after="0"/>
        <w:rPr>
          <w:rFonts w:ascii="Bookman Old Style" w:eastAsia="Bookman Old Style" w:hAnsi="Bookman Old Style" w:cs="Bookman Old Style"/>
          <w:sz w:val="20"/>
          <w:szCs w:val="20"/>
        </w:rPr>
      </w:pPr>
    </w:p>
    <w:p w14:paraId="506226BC" w14:textId="77777777" w:rsidR="00A27C9F" w:rsidRDefault="00A27C9F" w:rsidP="00A27C9F">
      <w:pPr>
        <w:spacing w:after="0"/>
        <w:rPr>
          <w:rFonts w:ascii="Bookman Old Style" w:eastAsia="Bookman Old Style" w:hAnsi="Bookman Old Style" w:cs="Bookman Old Style"/>
          <w:sz w:val="20"/>
          <w:szCs w:val="20"/>
        </w:rPr>
      </w:pPr>
    </w:p>
    <w:p w14:paraId="6074E30C" w14:textId="77777777" w:rsidR="00A27C9F" w:rsidRDefault="00A27C9F" w:rsidP="00A27C9F">
      <w:pPr>
        <w:spacing w:after="0"/>
        <w:rPr>
          <w:rFonts w:ascii="Bookman Old Style" w:eastAsia="Bookman Old Style" w:hAnsi="Bookman Old Style" w:cs="Bookman Old Style"/>
          <w:sz w:val="20"/>
          <w:szCs w:val="20"/>
        </w:rPr>
      </w:pPr>
    </w:p>
    <w:p w14:paraId="7F371AA6"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0006439A" w14:textId="77777777" w:rsidR="00A27C9F" w:rsidRDefault="00A27C9F" w:rsidP="00A27C9F">
      <w:pPr>
        <w:spacing w:after="0"/>
        <w:rPr>
          <w:rFonts w:ascii="Bookman Old Style" w:eastAsia="Bookman Old Style" w:hAnsi="Bookman Old Style" w:cs="Bookman Old Style"/>
          <w:sz w:val="20"/>
          <w:szCs w:val="20"/>
        </w:rPr>
      </w:pPr>
    </w:p>
    <w:p w14:paraId="0B5C10A3" w14:textId="77777777" w:rsidR="00A27C9F" w:rsidRDefault="00A27C9F" w:rsidP="00A27C9F">
      <w:pPr>
        <w:spacing w:after="0"/>
        <w:rPr>
          <w:rFonts w:ascii="Bookman Old Style" w:eastAsia="Bookman Old Style" w:hAnsi="Bookman Old Style" w:cs="Bookman Old Style"/>
          <w:sz w:val="20"/>
          <w:szCs w:val="20"/>
        </w:rPr>
      </w:pPr>
    </w:p>
    <w:p w14:paraId="65F6FEB4" w14:textId="77777777" w:rsidR="00A27C9F" w:rsidRDefault="00A27C9F" w:rsidP="00A27C9F">
      <w:pPr>
        <w:spacing w:after="0"/>
        <w:rPr>
          <w:rFonts w:ascii="Bookman Old Style" w:eastAsia="Bookman Old Style" w:hAnsi="Bookman Old Style" w:cs="Bookman Old Style"/>
          <w:sz w:val="20"/>
          <w:szCs w:val="20"/>
        </w:rPr>
      </w:pPr>
    </w:p>
    <w:p w14:paraId="4F961D72" w14:textId="77777777" w:rsidR="00A27C9F" w:rsidRDefault="00A27C9F" w:rsidP="00A27C9F">
      <w:pPr>
        <w:spacing w:after="0"/>
        <w:rPr>
          <w:rFonts w:ascii="Bookman Old Style" w:eastAsia="Bookman Old Style" w:hAnsi="Bookman Old Style" w:cs="Bookman Old Style"/>
          <w:sz w:val="20"/>
          <w:szCs w:val="20"/>
        </w:rPr>
      </w:pPr>
    </w:p>
    <w:p w14:paraId="4CF46ED0"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84BF794" w14:textId="77777777" w:rsidR="00A27C9F" w:rsidRDefault="00A27C9F" w:rsidP="00A27C9F">
      <w:pPr>
        <w:spacing w:after="0"/>
        <w:rPr>
          <w:rFonts w:ascii="Bookman Old Style" w:eastAsia="Bookman Old Style" w:hAnsi="Bookman Old Style" w:cs="Bookman Old Style"/>
          <w:sz w:val="20"/>
          <w:szCs w:val="20"/>
        </w:rPr>
      </w:pPr>
    </w:p>
    <w:p w14:paraId="7565D6AF" w14:textId="77777777" w:rsidR="00A27C9F" w:rsidRDefault="00A27C9F" w:rsidP="00A27C9F">
      <w:pPr>
        <w:spacing w:after="0"/>
        <w:rPr>
          <w:rFonts w:ascii="Bookman Old Style" w:eastAsia="Bookman Old Style" w:hAnsi="Bookman Old Style" w:cs="Bookman Old Style"/>
          <w:sz w:val="20"/>
          <w:szCs w:val="20"/>
        </w:rPr>
      </w:pPr>
    </w:p>
    <w:p w14:paraId="5EE9E352" w14:textId="77777777" w:rsidR="00A27C9F" w:rsidRDefault="00A27C9F" w:rsidP="00A27C9F">
      <w:pPr>
        <w:spacing w:after="0"/>
        <w:rPr>
          <w:rFonts w:ascii="Bookman Old Style" w:eastAsia="Bookman Old Style" w:hAnsi="Bookman Old Style" w:cs="Bookman Old Style"/>
          <w:sz w:val="20"/>
          <w:szCs w:val="20"/>
        </w:rPr>
      </w:pPr>
    </w:p>
    <w:p w14:paraId="4DC2A26C" w14:textId="77777777" w:rsidR="00A27C9F" w:rsidRDefault="00A27C9F" w:rsidP="00A27C9F">
      <w:pPr>
        <w:spacing w:after="0"/>
        <w:rPr>
          <w:rFonts w:ascii="Bookman Old Style" w:eastAsia="Bookman Old Style" w:hAnsi="Bookman Old Style" w:cs="Bookman Old Style"/>
          <w:sz w:val="20"/>
          <w:szCs w:val="20"/>
        </w:rPr>
      </w:pPr>
    </w:p>
    <w:p w14:paraId="3EDDD6B6"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F82D6E9" w14:textId="77777777" w:rsidR="00A27C9F" w:rsidRDefault="00A27C9F" w:rsidP="00A27C9F">
      <w:pPr>
        <w:spacing w:after="0"/>
        <w:rPr>
          <w:rFonts w:ascii="Bookman Old Style" w:eastAsia="Bookman Old Style" w:hAnsi="Bookman Old Style" w:cs="Bookman Old Style"/>
          <w:sz w:val="20"/>
          <w:szCs w:val="20"/>
        </w:rPr>
      </w:pPr>
    </w:p>
    <w:p w14:paraId="397B9DD5" w14:textId="77777777" w:rsidR="00A27C9F" w:rsidRDefault="00A27C9F" w:rsidP="00A27C9F">
      <w:pPr>
        <w:spacing w:after="0"/>
        <w:rPr>
          <w:rFonts w:ascii="Bookman Old Style" w:eastAsia="Bookman Old Style" w:hAnsi="Bookman Old Style" w:cs="Bookman Old Style"/>
          <w:sz w:val="20"/>
          <w:szCs w:val="20"/>
        </w:rPr>
      </w:pPr>
    </w:p>
    <w:p w14:paraId="5662D184" w14:textId="77777777" w:rsidR="00A27C9F" w:rsidRDefault="00A27C9F" w:rsidP="00A27C9F">
      <w:pPr>
        <w:spacing w:after="0"/>
        <w:rPr>
          <w:rFonts w:ascii="Bookman Old Style" w:eastAsia="Bookman Old Style" w:hAnsi="Bookman Old Style" w:cs="Bookman Old Style"/>
          <w:sz w:val="20"/>
          <w:szCs w:val="20"/>
        </w:rPr>
      </w:pPr>
    </w:p>
    <w:p w14:paraId="280C8654" w14:textId="77777777" w:rsidR="00A27C9F" w:rsidRDefault="00A27C9F" w:rsidP="00A27C9F">
      <w:pPr>
        <w:spacing w:after="0"/>
        <w:rPr>
          <w:rFonts w:ascii="Bookman Old Style" w:eastAsia="Bookman Old Style" w:hAnsi="Bookman Old Style" w:cs="Bookman Old Style"/>
          <w:sz w:val="20"/>
          <w:szCs w:val="20"/>
        </w:rPr>
      </w:pPr>
    </w:p>
    <w:p w14:paraId="038A0209"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07CCB9D" w14:textId="77777777" w:rsidR="00A27C9F" w:rsidRDefault="00A27C9F" w:rsidP="00A27C9F">
      <w:pPr>
        <w:spacing w:after="0"/>
        <w:rPr>
          <w:rFonts w:ascii="Bookman Old Style" w:eastAsia="Bookman Old Style" w:hAnsi="Bookman Old Style" w:cs="Bookman Old Style"/>
          <w:sz w:val="20"/>
          <w:szCs w:val="20"/>
        </w:rPr>
      </w:pPr>
    </w:p>
    <w:p w14:paraId="2E9C36A7" w14:textId="77777777" w:rsidR="00A27C9F" w:rsidRDefault="00A27C9F" w:rsidP="00A27C9F">
      <w:pPr>
        <w:spacing w:after="0"/>
        <w:rPr>
          <w:rFonts w:ascii="Bookman Old Style" w:eastAsia="Bookman Old Style" w:hAnsi="Bookman Old Style" w:cs="Bookman Old Style"/>
          <w:sz w:val="20"/>
          <w:szCs w:val="20"/>
        </w:rPr>
      </w:pPr>
    </w:p>
    <w:p w14:paraId="39E97EBC" w14:textId="77777777" w:rsidR="00A27C9F" w:rsidRDefault="00A27C9F" w:rsidP="00A27C9F">
      <w:pPr>
        <w:spacing w:after="0"/>
        <w:rPr>
          <w:rFonts w:ascii="Bookman Old Style" w:eastAsia="Bookman Old Style" w:hAnsi="Bookman Old Style" w:cs="Bookman Old Style"/>
          <w:sz w:val="20"/>
          <w:szCs w:val="20"/>
        </w:rPr>
      </w:pPr>
    </w:p>
    <w:p w14:paraId="4DAFB283" w14:textId="77777777" w:rsidR="00A27C9F" w:rsidRDefault="00A27C9F" w:rsidP="00A27C9F">
      <w:pPr>
        <w:spacing w:after="0"/>
        <w:rPr>
          <w:rFonts w:ascii="Bookman Old Style" w:eastAsia="Bookman Old Style" w:hAnsi="Bookman Old Style" w:cs="Bookman Old Style"/>
          <w:sz w:val="20"/>
          <w:szCs w:val="20"/>
        </w:rPr>
      </w:pPr>
    </w:p>
    <w:p w14:paraId="6860189D"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99D34BF" w14:textId="77777777" w:rsidR="00A27C9F" w:rsidRDefault="00A27C9F" w:rsidP="00A27C9F">
      <w:pPr>
        <w:spacing w:after="0"/>
        <w:rPr>
          <w:rFonts w:ascii="Bookman Old Style" w:eastAsia="Bookman Old Style" w:hAnsi="Bookman Old Style" w:cs="Bookman Old Style"/>
          <w:sz w:val="20"/>
          <w:szCs w:val="20"/>
        </w:rPr>
      </w:pPr>
    </w:p>
    <w:p w14:paraId="2EFD6AF0" w14:textId="77777777" w:rsidR="00A27C9F" w:rsidRDefault="00A27C9F" w:rsidP="00A27C9F">
      <w:pPr>
        <w:spacing w:after="0"/>
        <w:rPr>
          <w:rFonts w:ascii="Bookman Old Style" w:eastAsia="Bookman Old Style" w:hAnsi="Bookman Old Style" w:cs="Bookman Old Style"/>
          <w:sz w:val="20"/>
          <w:szCs w:val="20"/>
        </w:rPr>
      </w:pPr>
    </w:p>
    <w:p w14:paraId="4AFC5413" w14:textId="77777777" w:rsidR="00A27C9F" w:rsidRDefault="00A27C9F" w:rsidP="00A27C9F">
      <w:pPr>
        <w:spacing w:after="0"/>
        <w:rPr>
          <w:rFonts w:ascii="Bookman Old Style" w:eastAsia="Bookman Old Style" w:hAnsi="Bookman Old Style" w:cs="Bookman Old Style"/>
          <w:sz w:val="20"/>
          <w:szCs w:val="20"/>
        </w:rPr>
      </w:pPr>
    </w:p>
    <w:p w14:paraId="4D324367" w14:textId="77777777" w:rsidR="00A27C9F" w:rsidRDefault="00A27C9F" w:rsidP="00A27C9F">
      <w:pPr>
        <w:spacing w:after="0"/>
        <w:rPr>
          <w:rFonts w:ascii="Bookman Old Style" w:eastAsia="Bookman Old Style" w:hAnsi="Bookman Old Style" w:cs="Bookman Old Style"/>
          <w:sz w:val="20"/>
          <w:szCs w:val="20"/>
        </w:rPr>
      </w:pPr>
    </w:p>
    <w:p w14:paraId="1C50B2D7" w14:textId="77777777" w:rsidR="00A27C9F" w:rsidRDefault="00A27C9F" w:rsidP="00A27C9F">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0D77F4E" w14:textId="77777777" w:rsidR="00A27C9F" w:rsidRDefault="00A27C9F">
      <w:pPr>
        <w:rPr>
          <w:rFonts w:ascii="Bookman Old Style" w:eastAsia="Bookman Old Style" w:hAnsi="Bookman Old Style" w:cs="Bookman Old Style"/>
          <w:sz w:val="20"/>
          <w:szCs w:val="20"/>
        </w:rPr>
      </w:pPr>
    </w:p>
    <w:sectPr w:rsidR="00A27C9F">
      <w:headerReference w:type="default" r:id="rId15"/>
      <w:footerReference w:type="default" r:id="rId16"/>
      <w:pgSz w:w="12240" w:h="15840"/>
      <w:pgMar w:top="226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842A8" w14:textId="77777777" w:rsidR="00047DE2" w:rsidRDefault="00047DE2">
      <w:pPr>
        <w:spacing w:after="0" w:line="240" w:lineRule="auto"/>
      </w:pPr>
      <w:r>
        <w:separator/>
      </w:r>
    </w:p>
  </w:endnote>
  <w:endnote w:type="continuationSeparator" w:id="0">
    <w:p w14:paraId="56DACBAF" w14:textId="77777777" w:rsidR="00047DE2" w:rsidRDefault="0004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304B2" w14:textId="77777777" w:rsidR="001A35D3" w:rsidRDefault="007E50E1">
    <w:pPr>
      <w:pBdr>
        <w:top w:val="nil"/>
        <w:left w:val="nil"/>
        <w:bottom w:val="nil"/>
        <w:right w:val="nil"/>
        <w:between w:val="nil"/>
      </w:pBdr>
      <w:tabs>
        <w:tab w:val="center" w:pos="4419"/>
        <w:tab w:val="right" w:pos="8838"/>
      </w:tabs>
      <w:spacing w:after="0" w:line="240" w:lineRule="auto"/>
      <w:rPr>
        <w:color w:val="000000"/>
      </w:rPr>
    </w:pPr>
    <w:r>
      <w:rPr>
        <w:noProof/>
        <w:lang w:val="es-MX" w:eastAsia="es-MX"/>
      </w:rPr>
      <w:drawing>
        <wp:anchor distT="0" distB="0" distL="0" distR="0" simplePos="0" relativeHeight="251661312" behindDoc="1" locked="0" layoutInCell="1" hidden="0" allowOverlap="1" wp14:anchorId="1668BEBF" wp14:editId="4B6A6F91">
          <wp:simplePos x="0" y="0"/>
          <wp:positionH relativeFrom="column">
            <wp:posOffset>135890</wp:posOffset>
          </wp:positionH>
          <wp:positionV relativeFrom="paragraph">
            <wp:posOffset>-568627</wp:posOffset>
          </wp:positionV>
          <wp:extent cx="5261406" cy="1067419"/>
          <wp:effectExtent l="0" t="0" r="0" b="0"/>
          <wp:wrapNone/>
          <wp:docPr id="5" name="Imagen 1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261406" cy="106741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42956" w14:textId="77777777" w:rsidR="00047DE2" w:rsidRDefault="00047DE2">
      <w:pPr>
        <w:spacing w:after="0" w:line="240" w:lineRule="auto"/>
      </w:pPr>
      <w:r>
        <w:separator/>
      </w:r>
    </w:p>
  </w:footnote>
  <w:footnote w:type="continuationSeparator" w:id="0">
    <w:p w14:paraId="548FD88B" w14:textId="77777777" w:rsidR="00047DE2" w:rsidRDefault="00047DE2">
      <w:pPr>
        <w:spacing w:after="0" w:line="240" w:lineRule="auto"/>
      </w:pPr>
      <w:r>
        <w:continuationSeparator/>
      </w:r>
    </w:p>
  </w:footnote>
  <w:footnote w:id="1">
    <w:p w14:paraId="435632DA" w14:textId="26A8348D" w:rsidR="00DC5725" w:rsidRPr="00DC5725" w:rsidRDefault="00DC5725">
      <w:pPr>
        <w:pStyle w:val="Textonotapie"/>
        <w:rPr>
          <w:lang w:val="es-ES_tradnl"/>
        </w:rPr>
      </w:pPr>
      <w:r>
        <w:rPr>
          <w:rStyle w:val="Refdenotaalpie"/>
        </w:rPr>
        <w:footnoteRef/>
      </w:r>
      <w:r>
        <w:t xml:space="preserve"> </w:t>
      </w:r>
      <w:r>
        <w:rPr>
          <w:lang w:val="es-ES_tradnl"/>
        </w:rPr>
        <w:t>Tomados del PL 068 de 2024 río Saldaña</w:t>
      </w:r>
    </w:p>
  </w:footnote>
  <w:footnote w:id="2">
    <w:p w14:paraId="66278D5A" w14:textId="77777777" w:rsidR="001A35D3" w:rsidRDefault="007E50E1">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Corte Constitucional. Sentencia T-411 del 17 de noviembre de 1992, M.P. Alejandro Martínez Caballero. </w:t>
      </w:r>
    </w:p>
  </w:footnote>
  <w:footnote w:id="3">
    <w:p w14:paraId="1666AEEF" w14:textId="77777777" w:rsidR="001A35D3" w:rsidRDefault="007E50E1">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Corte Constitucional. Sentencia C-449 del 16 de julio de 2015, M.P. Jorge Iván Palacio Palacio. Reiterada en el fallo C-389 de 2016. </w:t>
      </w:r>
    </w:p>
  </w:footnote>
  <w:footnote w:id="4">
    <w:p w14:paraId="7C51B640" w14:textId="77777777" w:rsidR="001A35D3" w:rsidRDefault="007E50E1">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Corte Constitucional. Sentencia C-302 del 9 de septiembre de 2021, M.S. Cristina Pardo Schlesinger. </w:t>
      </w:r>
    </w:p>
  </w:footnote>
  <w:footnote w:id="5">
    <w:p w14:paraId="65C9B4A0" w14:textId="77777777" w:rsidR="001A35D3" w:rsidRDefault="007E50E1">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Consejo de Estado, Sala de Consulta y Servicio Civil. Sentencia del 21 de octubre de 2010, C.P. Augusto Hernández Becerra, radicado 11001-03-06-000-2010-00112-00(2042).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E1A9" w14:textId="77777777" w:rsidR="001A35D3" w:rsidRDefault="007E50E1">
    <w:pPr>
      <w:pBdr>
        <w:top w:val="nil"/>
        <w:left w:val="nil"/>
        <w:bottom w:val="nil"/>
        <w:right w:val="nil"/>
        <w:between w:val="nil"/>
      </w:pBdr>
      <w:tabs>
        <w:tab w:val="center" w:pos="4419"/>
        <w:tab w:val="right" w:pos="8838"/>
      </w:tabs>
      <w:spacing w:after="0" w:line="240" w:lineRule="auto"/>
      <w:rPr>
        <w:color w:val="000000"/>
      </w:rPr>
    </w:pPr>
    <w:r>
      <w:rPr>
        <w:noProof/>
        <w:lang w:val="es-MX" w:eastAsia="es-MX"/>
      </w:rPr>
      <w:drawing>
        <wp:anchor distT="0" distB="0" distL="0" distR="0" simplePos="0" relativeHeight="251658240" behindDoc="1" locked="0" layoutInCell="1" hidden="0" allowOverlap="1" wp14:anchorId="109220BA" wp14:editId="50FE28EE">
          <wp:simplePos x="0" y="0"/>
          <wp:positionH relativeFrom="column">
            <wp:posOffset>-376867</wp:posOffset>
          </wp:positionH>
          <wp:positionV relativeFrom="paragraph">
            <wp:posOffset>11430</wp:posOffset>
          </wp:positionV>
          <wp:extent cx="2567940" cy="754380"/>
          <wp:effectExtent l="0" t="0" r="0" b="0"/>
          <wp:wrapNone/>
          <wp:docPr id="4" name="Imagen 1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67940" cy="754380"/>
                  </a:xfrm>
                  <a:prstGeom prst="rect">
                    <a:avLst/>
                  </a:prstGeom>
                  <a:ln/>
                </pic:spPr>
              </pic:pic>
            </a:graphicData>
          </a:graphic>
        </wp:anchor>
      </w:drawing>
    </w:r>
    <w:r>
      <w:rPr>
        <w:noProof/>
        <w:lang w:val="es-MX" w:eastAsia="es-MX"/>
      </w:rPr>
      <w:drawing>
        <wp:anchor distT="0" distB="0" distL="0" distR="0" simplePos="0" relativeHeight="251659264" behindDoc="1" locked="0" layoutInCell="1" hidden="0" allowOverlap="1" wp14:anchorId="4175167E" wp14:editId="43ECA60E">
          <wp:simplePos x="0" y="0"/>
          <wp:positionH relativeFrom="column">
            <wp:posOffset>3869368</wp:posOffset>
          </wp:positionH>
          <wp:positionV relativeFrom="paragraph">
            <wp:posOffset>-15239</wp:posOffset>
          </wp:positionV>
          <wp:extent cx="2095500" cy="690245"/>
          <wp:effectExtent l="0" t="0" r="0" b="0"/>
          <wp:wrapNone/>
          <wp:docPr id="2" name="Imagen 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95500" cy="690245"/>
                  </a:xfrm>
                  <a:prstGeom prst="rect">
                    <a:avLst/>
                  </a:prstGeom>
                  <a:ln/>
                </pic:spPr>
              </pic:pic>
            </a:graphicData>
          </a:graphic>
        </wp:anchor>
      </w:drawing>
    </w:r>
  </w:p>
  <w:p w14:paraId="0F2DFBC6" w14:textId="77777777" w:rsidR="001A35D3" w:rsidRDefault="007E50E1">
    <w:pPr>
      <w:pBdr>
        <w:top w:val="nil"/>
        <w:left w:val="nil"/>
        <w:bottom w:val="nil"/>
        <w:right w:val="nil"/>
        <w:between w:val="nil"/>
      </w:pBdr>
      <w:tabs>
        <w:tab w:val="center" w:pos="4419"/>
        <w:tab w:val="right" w:pos="8838"/>
      </w:tabs>
      <w:spacing w:after="0" w:line="240" w:lineRule="auto"/>
      <w:rPr>
        <w:color w:val="000000"/>
      </w:rPr>
    </w:pPr>
    <w:r>
      <w:rPr>
        <w:noProof/>
        <w:lang w:val="es-MX" w:eastAsia="es-MX"/>
      </w:rPr>
      <w:drawing>
        <wp:anchor distT="0" distB="0" distL="0" distR="0" simplePos="0" relativeHeight="251660288" behindDoc="1" locked="0" layoutInCell="1" hidden="0" allowOverlap="1" wp14:anchorId="68AB4F75" wp14:editId="0F143CAF">
          <wp:simplePos x="0" y="0"/>
          <wp:positionH relativeFrom="column">
            <wp:posOffset>-246397</wp:posOffset>
          </wp:positionH>
          <wp:positionV relativeFrom="paragraph">
            <wp:posOffset>2654300</wp:posOffset>
          </wp:positionV>
          <wp:extent cx="6252061" cy="2850467"/>
          <wp:effectExtent l="0" t="0" r="0" b="0"/>
          <wp:wrapNone/>
          <wp:docPr id="7" name="Imagen 1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6252061" cy="28504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55F97"/>
    <w:multiLevelType w:val="hybridMultilevel"/>
    <w:tmpl w:val="D4380F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3B6F98"/>
    <w:multiLevelType w:val="multilevel"/>
    <w:tmpl w:val="F55C700A"/>
    <w:lvl w:ilvl="0">
      <w:start w:val="1"/>
      <w:numFmt w:val="decimal"/>
      <w:lvlText w:val="%1."/>
      <w:lvlJc w:val="left"/>
      <w:pPr>
        <w:ind w:left="720" w:hanging="360"/>
      </w:p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1A975BAD"/>
    <w:multiLevelType w:val="multilevel"/>
    <w:tmpl w:val="675C8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315958"/>
    <w:multiLevelType w:val="multilevel"/>
    <w:tmpl w:val="8BBAEEF8"/>
    <w:lvl w:ilvl="0">
      <w:start w:val="3"/>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608" w:hanging="1800"/>
      </w:pPr>
    </w:lvl>
  </w:abstractNum>
  <w:abstractNum w:abstractNumId="4" w15:restartNumberingAfterBreak="0">
    <w:nsid w:val="29B125E7"/>
    <w:multiLevelType w:val="multilevel"/>
    <w:tmpl w:val="88CA0E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4FF67A5"/>
    <w:multiLevelType w:val="multilevel"/>
    <w:tmpl w:val="F3D48F0A"/>
    <w:lvl w:ilvl="0">
      <w:start w:val="2"/>
      <w:numFmt w:val="decimal"/>
      <w:lvlText w:val="%1"/>
      <w:lvlJc w:val="left"/>
      <w:pPr>
        <w:ind w:left="525" w:hanging="525"/>
      </w:pPr>
      <w:rPr>
        <w:b/>
      </w:rPr>
    </w:lvl>
    <w:lvl w:ilvl="1">
      <w:start w:val="2"/>
      <w:numFmt w:val="decimal"/>
      <w:lvlText w:val="%1.%2"/>
      <w:lvlJc w:val="left"/>
      <w:pPr>
        <w:ind w:left="525" w:hanging="525"/>
      </w:pPr>
      <w:rPr>
        <w:b/>
      </w:rPr>
    </w:lvl>
    <w:lvl w:ilvl="2">
      <w:start w:val="7"/>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6" w15:restartNumberingAfterBreak="0">
    <w:nsid w:val="39A22CD0"/>
    <w:multiLevelType w:val="multilevel"/>
    <w:tmpl w:val="B9AE0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1464E7"/>
    <w:multiLevelType w:val="multilevel"/>
    <w:tmpl w:val="97CE4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CD6C06"/>
    <w:multiLevelType w:val="multilevel"/>
    <w:tmpl w:val="F142354A"/>
    <w:lvl w:ilvl="0">
      <w:start w:val="2"/>
      <w:numFmt w:val="decimal"/>
      <w:lvlText w:val="%1"/>
      <w:lvlJc w:val="left"/>
      <w:pPr>
        <w:ind w:left="360" w:hanging="360"/>
      </w:pPr>
      <w:rPr>
        <w:b w:val="0"/>
        <w:color w:val="000000"/>
      </w:rPr>
    </w:lvl>
    <w:lvl w:ilvl="1">
      <w:start w:val="4"/>
      <w:numFmt w:val="decimal"/>
      <w:lvlText w:val="%1.%2"/>
      <w:lvlJc w:val="left"/>
      <w:pPr>
        <w:ind w:left="360" w:hanging="360"/>
      </w:pPr>
      <w:rPr>
        <w:b/>
        <w:color w:val="000000"/>
      </w:rPr>
    </w:lvl>
    <w:lvl w:ilvl="2">
      <w:start w:val="1"/>
      <w:numFmt w:val="decimal"/>
      <w:lvlText w:val="%1.%2.%3"/>
      <w:lvlJc w:val="left"/>
      <w:pPr>
        <w:ind w:left="720" w:hanging="720"/>
      </w:pPr>
      <w:rPr>
        <w:b w:val="0"/>
        <w:color w:val="000000"/>
      </w:rPr>
    </w:lvl>
    <w:lvl w:ilvl="3">
      <w:start w:val="1"/>
      <w:numFmt w:val="decimal"/>
      <w:lvlText w:val="%1.%2.%3.%4"/>
      <w:lvlJc w:val="left"/>
      <w:pPr>
        <w:ind w:left="1080" w:hanging="1080"/>
      </w:pPr>
      <w:rPr>
        <w:b w:val="0"/>
        <w:color w:val="000000"/>
      </w:rPr>
    </w:lvl>
    <w:lvl w:ilvl="4">
      <w:start w:val="1"/>
      <w:numFmt w:val="decimal"/>
      <w:lvlText w:val="%1.%2.%3.%4.%5"/>
      <w:lvlJc w:val="left"/>
      <w:pPr>
        <w:ind w:left="1080" w:hanging="1080"/>
      </w:pPr>
      <w:rPr>
        <w:b w:val="0"/>
        <w:color w:val="000000"/>
      </w:rPr>
    </w:lvl>
    <w:lvl w:ilvl="5">
      <w:start w:val="1"/>
      <w:numFmt w:val="decimal"/>
      <w:lvlText w:val="%1.%2.%3.%4.%5.%6"/>
      <w:lvlJc w:val="left"/>
      <w:pPr>
        <w:ind w:left="1440" w:hanging="1440"/>
      </w:pPr>
      <w:rPr>
        <w:b w:val="0"/>
        <w:color w:val="000000"/>
      </w:rPr>
    </w:lvl>
    <w:lvl w:ilvl="6">
      <w:start w:val="1"/>
      <w:numFmt w:val="decimal"/>
      <w:lvlText w:val="%1.%2.%3.%4.%5.%6.%7"/>
      <w:lvlJc w:val="left"/>
      <w:pPr>
        <w:ind w:left="1440" w:hanging="1440"/>
      </w:pPr>
      <w:rPr>
        <w:b w:val="0"/>
        <w:color w:val="000000"/>
      </w:rPr>
    </w:lvl>
    <w:lvl w:ilvl="7">
      <w:start w:val="1"/>
      <w:numFmt w:val="decimal"/>
      <w:lvlText w:val="%1.%2.%3.%4.%5.%6.%7.%8"/>
      <w:lvlJc w:val="left"/>
      <w:pPr>
        <w:ind w:left="1800" w:hanging="1800"/>
      </w:pPr>
      <w:rPr>
        <w:b w:val="0"/>
        <w:color w:val="000000"/>
      </w:rPr>
    </w:lvl>
    <w:lvl w:ilvl="8">
      <w:start w:val="1"/>
      <w:numFmt w:val="decimal"/>
      <w:lvlText w:val="%1.%2.%3.%4.%5.%6.%7.%8.%9"/>
      <w:lvlJc w:val="left"/>
      <w:pPr>
        <w:ind w:left="1800" w:hanging="1800"/>
      </w:pPr>
      <w:rPr>
        <w:b w:val="0"/>
        <w:color w:val="000000"/>
      </w:rPr>
    </w:lvl>
  </w:abstractNum>
  <w:abstractNum w:abstractNumId="9" w15:restartNumberingAfterBreak="0">
    <w:nsid w:val="57FA6B6A"/>
    <w:multiLevelType w:val="multilevel"/>
    <w:tmpl w:val="07DCDA0A"/>
    <w:lvl w:ilvl="0">
      <w:start w:val="2"/>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609B71E2"/>
    <w:multiLevelType w:val="multilevel"/>
    <w:tmpl w:val="861A1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A36288"/>
    <w:multiLevelType w:val="multilevel"/>
    <w:tmpl w:val="8370FED4"/>
    <w:lvl w:ilvl="0">
      <w:start w:val="1"/>
      <w:numFmt w:val="decimal"/>
      <w:lvlText w:val="%1."/>
      <w:lvlJc w:val="left"/>
      <w:pPr>
        <w:ind w:left="1080" w:hanging="72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2" w15:restartNumberingAfterBreak="0">
    <w:nsid w:val="77A01203"/>
    <w:multiLevelType w:val="multilevel"/>
    <w:tmpl w:val="620CEE6E"/>
    <w:lvl w:ilvl="0">
      <w:start w:val="2"/>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CB57F1E"/>
    <w:multiLevelType w:val="multilevel"/>
    <w:tmpl w:val="F4DC63A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48828002">
    <w:abstractNumId w:val="10"/>
  </w:num>
  <w:num w:numId="2" w16cid:durableId="406460363">
    <w:abstractNumId w:val="6"/>
  </w:num>
  <w:num w:numId="3" w16cid:durableId="1138184193">
    <w:abstractNumId w:val="2"/>
  </w:num>
  <w:num w:numId="4" w16cid:durableId="538325310">
    <w:abstractNumId w:val="5"/>
  </w:num>
  <w:num w:numId="5" w16cid:durableId="1763719341">
    <w:abstractNumId w:val="8"/>
  </w:num>
  <w:num w:numId="6" w16cid:durableId="2129004483">
    <w:abstractNumId w:val="11"/>
  </w:num>
  <w:num w:numId="7" w16cid:durableId="1202129931">
    <w:abstractNumId w:val="9"/>
  </w:num>
  <w:num w:numId="8" w16cid:durableId="542598213">
    <w:abstractNumId w:val="3"/>
  </w:num>
  <w:num w:numId="9" w16cid:durableId="1968193496">
    <w:abstractNumId w:val="4"/>
  </w:num>
  <w:num w:numId="10" w16cid:durableId="740518487">
    <w:abstractNumId w:val="7"/>
  </w:num>
  <w:num w:numId="11" w16cid:durableId="734012838">
    <w:abstractNumId w:val="1"/>
  </w:num>
  <w:num w:numId="12" w16cid:durableId="1030297400">
    <w:abstractNumId w:val="0"/>
  </w:num>
  <w:num w:numId="13" w16cid:durableId="832724328">
    <w:abstractNumId w:val="13"/>
  </w:num>
  <w:num w:numId="14" w16cid:durableId="6175713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5D3"/>
    <w:rsid w:val="00047DE2"/>
    <w:rsid w:val="000859D9"/>
    <w:rsid w:val="000B522E"/>
    <w:rsid w:val="000C5BE6"/>
    <w:rsid w:val="000D141D"/>
    <w:rsid w:val="001328F7"/>
    <w:rsid w:val="00135BD7"/>
    <w:rsid w:val="001A35D3"/>
    <w:rsid w:val="001A6646"/>
    <w:rsid w:val="001D1409"/>
    <w:rsid w:val="00216CDE"/>
    <w:rsid w:val="00251DDB"/>
    <w:rsid w:val="00255C37"/>
    <w:rsid w:val="002A28F5"/>
    <w:rsid w:val="00307429"/>
    <w:rsid w:val="00360AAB"/>
    <w:rsid w:val="00365CC3"/>
    <w:rsid w:val="00394211"/>
    <w:rsid w:val="004C26C2"/>
    <w:rsid w:val="005C73E0"/>
    <w:rsid w:val="006635DC"/>
    <w:rsid w:val="00682272"/>
    <w:rsid w:val="006C5914"/>
    <w:rsid w:val="0073654A"/>
    <w:rsid w:val="00750ECC"/>
    <w:rsid w:val="00763C3E"/>
    <w:rsid w:val="007747F3"/>
    <w:rsid w:val="007E50E1"/>
    <w:rsid w:val="00884A1C"/>
    <w:rsid w:val="00926871"/>
    <w:rsid w:val="009773FE"/>
    <w:rsid w:val="009B23C6"/>
    <w:rsid w:val="009D3C69"/>
    <w:rsid w:val="009E3DB9"/>
    <w:rsid w:val="009F5F13"/>
    <w:rsid w:val="00A047DA"/>
    <w:rsid w:val="00A27C9F"/>
    <w:rsid w:val="00A64B2A"/>
    <w:rsid w:val="00AA3E66"/>
    <w:rsid w:val="00B1455A"/>
    <w:rsid w:val="00B201F6"/>
    <w:rsid w:val="00B219F0"/>
    <w:rsid w:val="00B52BA8"/>
    <w:rsid w:val="00C33304"/>
    <w:rsid w:val="00D8107C"/>
    <w:rsid w:val="00D83DF9"/>
    <w:rsid w:val="00DC5725"/>
    <w:rsid w:val="00E25DBB"/>
    <w:rsid w:val="00F74DC4"/>
    <w:rsid w:val="00FB3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3BEDF"/>
  <w15:docId w15:val="{AD1B3547-62C9-4FE0-B5E3-F7C65A8E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C9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Descripcin">
    <w:name w:val="caption"/>
    <w:basedOn w:val="Normal"/>
    <w:next w:val="Normal"/>
    <w:uiPriority w:val="35"/>
    <w:semiHidden/>
    <w:unhideWhenUsed/>
    <w:qFormat/>
    <w:rsid w:val="00255C37"/>
    <w:pPr>
      <w:spacing w:after="200" w:line="240" w:lineRule="auto"/>
    </w:pPr>
    <w:rPr>
      <w:i/>
      <w:iCs/>
      <w:color w:val="1F497D" w:themeColor="text2"/>
      <w:sz w:val="18"/>
      <w:szCs w:val="18"/>
    </w:rPr>
  </w:style>
  <w:style w:type="paragraph" w:styleId="Prrafodelista">
    <w:name w:val="List Paragraph"/>
    <w:basedOn w:val="Normal"/>
    <w:uiPriority w:val="34"/>
    <w:qFormat/>
    <w:rsid w:val="00B219F0"/>
    <w:pPr>
      <w:ind w:left="720"/>
      <w:contextualSpacing/>
    </w:pPr>
  </w:style>
  <w:style w:type="paragraph" w:styleId="Textonotapie">
    <w:name w:val="footnote text"/>
    <w:basedOn w:val="Normal"/>
    <w:link w:val="TextonotapieCar"/>
    <w:uiPriority w:val="99"/>
    <w:semiHidden/>
    <w:unhideWhenUsed/>
    <w:rsid w:val="00DC57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5725"/>
    <w:rPr>
      <w:sz w:val="20"/>
      <w:szCs w:val="20"/>
    </w:rPr>
  </w:style>
  <w:style w:type="character" w:styleId="Refdenotaalpie">
    <w:name w:val="footnote reference"/>
    <w:basedOn w:val="Fuentedeprrafopredeter"/>
    <w:uiPriority w:val="99"/>
    <w:semiHidden/>
    <w:unhideWhenUsed/>
    <w:rsid w:val="00DC5725"/>
    <w:rPr>
      <w:vertAlign w:val="superscript"/>
    </w:rPr>
  </w:style>
  <w:style w:type="paragraph" w:styleId="Textodeglobo">
    <w:name w:val="Balloon Text"/>
    <w:basedOn w:val="Normal"/>
    <w:link w:val="TextodegloboCar"/>
    <w:uiPriority w:val="99"/>
    <w:semiHidden/>
    <w:unhideWhenUsed/>
    <w:rsid w:val="00884A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A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ED66A-39BE-4F08-8AB3-DDB3A1F0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7423</Words>
  <Characters>40829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Vladimir Olaya Mancipe</dc:creator>
  <cp:lastModifiedBy>Maria Camila Echeverri Uribe</cp:lastModifiedBy>
  <cp:revision>3</cp:revision>
  <cp:lastPrinted>2024-11-26T14:02:00Z</cp:lastPrinted>
  <dcterms:created xsi:type="dcterms:W3CDTF">2024-11-26T15:54:00Z</dcterms:created>
  <dcterms:modified xsi:type="dcterms:W3CDTF">2024-11-26T20:02:00Z</dcterms:modified>
</cp:coreProperties>
</file>