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345DF" w:rsidRDefault="00BE610B">
      <w:pPr>
        <w:pStyle w:val="Ttulo1"/>
        <w:widowControl w:val="0"/>
        <w:spacing w:before="70"/>
        <w:ind w:left="35" w:right="55" w:firstLine="0"/>
        <w:rPr>
          <w:rFonts w:ascii="Helvetica Neue" w:eastAsia="Helvetica Neue" w:hAnsi="Helvetica Neue" w:cs="Helvetica Neue"/>
          <w:b w:val="0"/>
          <w:sz w:val="24"/>
          <w:szCs w:val="24"/>
        </w:rPr>
      </w:pPr>
      <w:bookmarkStart w:id="0" w:name="_GoBack"/>
      <w:bookmarkEnd w:id="0"/>
      <w:r>
        <w:rPr>
          <w:rFonts w:ascii="Helvetica Neue" w:eastAsia="Helvetica Neue" w:hAnsi="Helvetica Neue" w:cs="Helvetica Neue"/>
          <w:b w:val="0"/>
          <w:sz w:val="24"/>
          <w:szCs w:val="24"/>
        </w:rPr>
        <w:t xml:space="preserve">Bogotá, </w:t>
      </w:r>
      <w:r w:rsidR="00740A48">
        <w:rPr>
          <w:rFonts w:ascii="Helvetica Neue" w:eastAsia="Helvetica Neue" w:hAnsi="Helvetica Neue" w:cs="Helvetica Neue"/>
          <w:b w:val="0"/>
          <w:sz w:val="24"/>
          <w:szCs w:val="24"/>
        </w:rPr>
        <w:t>12 de septiembre</w:t>
      </w:r>
      <w:r>
        <w:rPr>
          <w:rFonts w:ascii="Helvetica Neue" w:eastAsia="Helvetica Neue" w:hAnsi="Helvetica Neue" w:cs="Helvetica Neue"/>
          <w:b w:val="0"/>
          <w:sz w:val="24"/>
          <w:szCs w:val="24"/>
        </w:rPr>
        <w:t xml:space="preserve"> de 2017</w:t>
      </w:r>
    </w:p>
    <w:p w:rsidR="003345DF" w:rsidRDefault="003345DF">
      <w:pPr>
        <w:rPr>
          <w:rFonts w:ascii="Helvetica Neue" w:eastAsia="Helvetica Neue" w:hAnsi="Helvetica Neue" w:cs="Helvetica Neue"/>
        </w:rPr>
      </w:pPr>
    </w:p>
    <w:p w:rsidR="003345DF" w:rsidRDefault="00BE610B" w:rsidP="00740A48">
      <w:pPr>
        <w:spacing w:after="0"/>
        <w:rPr>
          <w:rFonts w:ascii="Helvetica Neue" w:eastAsia="Helvetica Neue" w:hAnsi="Helvetica Neue" w:cs="Helvetica Neue"/>
        </w:rPr>
      </w:pPr>
      <w:r>
        <w:rPr>
          <w:rFonts w:ascii="Helvetica Neue" w:eastAsia="Helvetica Neue" w:hAnsi="Helvetica Neue" w:cs="Helvetica Neue"/>
        </w:rPr>
        <w:t>Señor</w:t>
      </w:r>
    </w:p>
    <w:p w:rsidR="003345DF" w:rsidRDefault="00BE610B" w:rsidP="00740A48">
      <w:pPr>
        <w:spacing w:after="0"/>
        <w:rPr>
          <w:rFonts w:ascii="Helvetica Neue" w:eastAsia="Helvetica Neue" w:hAnsi="Helvetica Neue" w:cs="Helvetica Neue"/>
          <w:b/>
        </w:rPr>
      </w:pPr>
      <w:r>
        <w:rPr>
          <w:rFonts w:ascii="Helvetica Neue" w:eastAsia="Helvetica Neue" w:hAnsi="Helvetica Neue" w:cs="Helvetica Neue"/>
          <w:b/>
        </w:rPr>
        <w:t>RODRIGO LARA RESTREPO</w:t>
      </w:r>
    </w:p>
    <w:p w:rsidR="003345DF" w:rsidRDefault="00BE610B" w:rsidP="00740A48">
      <w:pPr>
        <w:spacing w:after="0"/>
        <w:rPr>
          <w:rFonts w:ascii="Helvetica Neue" w:eastAsia="Helvetica Neue" w:hAnsi="Helvetica Neue" w:cs="Helvetica Neue"/>
        </w:rPr>
      </w:pPr>
      <w:r>
        <w:rPr>
          <w:rFonts w:ascii="Helvetica Neue" w:eastAsia="Helvetica Neue" w:hAnsi="Helvetica Neue" w:cs="Helvetica Neue"/>
        </w:rPr>
        <w:t>Presidente Cámara de Representantes</w:t>
      </w:r>
    </w:p>
    <w:p w:rsidR="003345DF" w:rsidRDefault="00BE610B" w:rsidP="00740A48">
      <w:pPr>
        <w:spacing w:after="0"/>
        <w:rPr>
          <w:rFonts w:ascii="Helvetica Neue" w:eastAsia="Helvetica Neue" w:hAnsi="Helvetica Neue" w:cs="Helvetica Neue"/>
        </w:rPr>
      </w:pPr>
      <w:r>
        <w:rPr>
          <w:rFonts w:ascii="Helvetica Neue" w:eastAsia="Helvetica Neue" w:hAnsi="Helvetica Neue" w:cs="Helvetica Neue"/>
        </w:rPr>
        <w:t>Congreso de la República</w:t>
      </w:r>
    </w:p>
    <w:p w:rsidR="003345DF" w:rsidRDefault="003345DF">
      <w:pPr>
        <w:jc w:val="both"/>
        <w:rPr>
          <w:rFonts w:ascii="Helvetica Neue" w:eastAsia="Helvetica Neue" w:hAnsi="Helvetica Neue" w:cs="Helvetica Neue"/>
        </w:rPr>
      </w:pPr>
    </w:p>
    <w:p w:rsidR="003345DF" w:rsidRDefault="00BE610B">
      <w:pPr>
        <w:jc w:val="both"/>
        <w:rPr>
          <w:rFonts w:ascii="Helvetica Neue" w:eastAsia="Helvetica Neue" w:hAnsi="Helvetica Neue" w:cs="Helvetica Neue"/>
          <w:i/>
        </w:rPr>
      </w:pPr>
      <w:r>
        <w:rPr>
          <w:rFonts w:ascii="Helvetica Neue" w:eastAsia="Helvetica Neue" w:hAnsi="Helvetica Neue" w:cs="Helvetica Neue"/>
          <w:b/>
        </w:rPr>
        <w:t xml:space="preserve">Asunto: </w:t>
      </w:r>
      <w:r>
        <w:rPr>
          <w:rFonts w:ascii="Helvetica Neue" w:eastAsia="Helvetica Neue" w:hAnsi="Helvetica Neue" w:cs="Helvetica Neue"/>
        </w:rPr>
        <w:t xml:space="preserve">Radicación Proyecto de Ley Nº ______ de 2017 </w:t>
      </w:r>
      <w:r>
        <w:rPr>
          <w:rFonts w:ascii="Helvetica Neue" w:eastAsia="Helvetica Neue" w:hAnsi="Helvetica Neue" w:cs="Helvetica Neue"/>
          <w:i/>
        </w:rPr>
        <w:t>“Por medio de la cual se establece la protección de los derechos a la salud y al medio ambiente sano imponiendo restricciones a las emisiones contaminantes de fuentes móviles y se dictan otras disposiciones”</w:t>
      </w:r>
    </w:p>
    <w:p w:rsidR="003345DF" w:rsidRDefault="003345DF">
      <w:pPr>
        <w:jc w:val="both"/>
        <w:rPr>
          <w:rFonts w:ascii="Helvetica Neue" w:eastAsia="Helvetica Neue" w:hAnsi="Helvetica Neue" w:cs="Helvetica Neue"/>
        </w:rPr>
      </w:pPr>
    </w:p>
    <w:p w:rsidR="003345DF" w:rsidRDefault="00BE610B">
      <w:pPr>
        <w:jc w:val="both"/>
        <w:rPr>
          <w:rFonts w:ascii="Helvetica Neue" w:eastAsia="Helvetica Neue" w:hAnsi="Helvetica Neue" w:cs="Helvetica Neue"/>
        </w:rPr>
      </w:pPr>
      <w:r>
        <w:rPr>
          <w:rFonts w:ascii="Helvetica Neue" w:eastAsia="Helvetica Neue" w:hAnsi="Helvetica Neue" w:cs="Helvetica Neue"/>
        </w:rPr>
        <w:t>Respetado Señor Presidente:</w:t>
      </w:r>
    </w:p>
    <w:p w:rsidR="003345DF" w:rsidRDefault="00BE610B">
      <w:pPr>
        <w:jc w:val="both"/>
        <w:rPr>
          <w:rFonts w:ascii="Helvetica Neue" w:eastAsia="Helvetica Neue" w:hAnsi="Helvetica Neue" w:cs="Helvetica Neue"/>
          <w:i/>
        </w:rPr>
      </w:pPr>
      <w:r>
        <w:rPr>
          <w:rFonts w:ascii="Helvetica Neue" w:eastAsia="Helvetica Neue" w:hAnsi="Helvetica Neue" w:cs="Helvetica Neue"/>
        </w:rPr>
        <w:t>En nuestra condici</w:t>
      </w:r>
      <w:r>
        <w:rPr>
          <w:rFonts w:ascii="Helvetica Neue" w:eastAsia="Helvetica Neue" w:hAnsi="Helvetica Neue" w:cs="Helvetica Neue"/>
        </w:rPr>
        <w:t xml:space="preserve">ón de congresistas, nos disponemos a radicar ante la Cámara el presente Proyecto de Ley de iniciativa congresional </w:t>
      </w:r>
      <w:r>
        <w:rPr>
          <w:rFonts w:ascii="Helvetica Neue" w:eastAsia="Helvetica Neue" w:hAnsi="Helvetica Neue" w:cs="Helvetica Neue"/>
          <w:i/>
        </w:rPr>
        <w:t>“Por medio de la cual se establece la protección de los derechos a la salud y al medio ambiente sano imponiendo restricciones a las emisiones</w:t>
      </w:r>
      <w:r>
        <w:rPr>
          <w:rFonts w:ascii="Helvetica Neue" w:eastAsia="Helvetica Neue" w:hAnsi="Helvetica Neue" w:cs="Helvetica Neue"/>
          <w:i/>
        </w:rPr>
        <w:t xml:space="preserve"> contaminantes de fuentes móviles y se dictan otras disposiciones”.</w:t>
      </w:r>
    </w:p>
    <w:p w:rsidR="003345DF" w:rsidRDefault="00BE610B">
      <w:pPr>
        <w:jc w:val="both"/>
        <w:rPr>
          <w:rFonts w:ascii="Helvetica Neue" w:eastAsia="Helvetica Neue" w:hAnsi="Helvetica Neue" w:cs="Helvetica Neue"/>
          <w:b/>
        </w:rPr>
      </w:pPr>
      <w:r>
        <w:rPr>
          <w:rFonts w:ascii="Helvetica Neue" w:eastAsia="Helvetica Neue" w:hAnsi="Helvetica Neue" w:cs="Helvetica Neue"/>
        </w:rPr>
        <w:t>En este sentido presentamos a consideración de la Cámara de Representantes el presente proyecto, para iniciar el trámite correspondiente y cumplir con las exigencias dictadas por la Ley. P</w:t>
      </w:r>
      <w:r w:rsidR="00740A48">
        <w:rPr>
          <w:rFonts w:ascii="Helvetica Neue" w:eastAsia="Helvetica Neue" w:hAnsi="Helvetica Neue" w:cs="Helvetica Neue"/>
        </w:rPr>
        <w:t>o</w:t>
      </w:r>
      <w:r>
        <w:rPr>
          <w:rFonts w:ascii="Helvetica Neue" w:eastAsia="Helvetica Neue" w:hAnsi="Helvetica Neue" w:cs="Helvetica Neue"/>
        </w:rPr>
        <w:t>r tal motivo, adjunto original y tres (3) copias del documento, así como una copia en medio magnético (CD)</w:t>
      </w:r>
    </w:p>
    <w:p w:rsidR="003345DF" w:rsidRDefault="003345DF">
      <w:pPr>
        <w:ind w:hanging="2"/>
        <w:rPr>
          <w:rFonts w:ascii="Helvetica Neue" w:eastAsia="Helvetica Neue" w:hAnsi="Helvetica Neue" w:cs="Helvetica Neue"/>
        </w:rPr>
      </w:pPr>
    </w:p>
    <w:p w:rsidR="003345DF" w:rsidRDefault="003345DF">
      <w:pPr>
        <w:ind w:hanging="2"/>
        <w:rPr>
          <w:rFonts w:ascii="Helvetica Neue" w:eastAsia="Helvetica Neue" w:hAnsi="Helvetica Neue" w:cs="Helvetica Neue"/>
        </w:rPr>
      </w:pPr>
    </w:p>
    <w:p w:rsidR="00740A48" w:rsidRDefault="00740A48">
      <w:pPr>
        <w:ind w:hanging="2"/>
        <w:rPr>
          <w:rFonts w:ascii="Helvetica Neue" w:eastAsia="Helvetica Neue" w:hAnsi="Helvetica Neue" w:cs="Helvetica Neue"/>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lastRenderedPageBreak/>
        <w:t>ANGÉLICA LOZANO CORREA                            CLAUDIA LÓPEZ HERNÁNDEZ</w:t>
      </w: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rPr>
        <w:t>Representante a la Cámara</w:t>
      </w:r>
      <w:r>
        <w:rPr>
          <w:rFonts w:ascii="Helvetica Neue" w:eastAsia="Helvetica Neue" w:hAnsi="Helvetica Neue" w:cs="Helvetica Neue"/>
          <w:b/>
        </w:rPr>
        <w:t xml:space="preserve">                                   </w:t>
      </w:r>
      <w:r>
        <w:rPr>
          <w:rFonts w:ascii="Helvetica Neue" w:eastAsia="Helvetica Neue" w:hAnsi="Helvetica Neue" w:cs="Helvetica Neue"/>
        </w:rPr>
        <w:t xml:space="preserve">Senadora de </w:t>
      </w:r>
      <w:r>
        <w:rPr>
          <w:rFonts w:ascii="Helvetica Neue" w:eastAsia="Helvetica Neue" w:hAnsi="Helvetica Neue" w:cs="Helvetica Neue"/>
        </w:rPr>
        <w:t>la República</w:t>
      </w: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ind w:hanging="2"/>
        <w:rPr>
          <w:rFonts w:ascii="Helvetica Neue" w:eastAsia="Helvetica Neue" w:hAnsi="Helvetica Neue" w:cs="Helvetica Neue"/>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t>RODRIGO LARA RESTREPO</w:t>
      </w:r>
      <w:r>
        <w:rPr>
          <w:rFonts w:ascii="Helvetica Neue" w:eastAsia="Helvetica Neue" w:hAnsi="Helvetica Neue" w:cs="Helvetica Neue"/>
          <w:b/>
        </w:rPr>
        <w:tab/>
        <w:t xml:space="preserve">                        CARLOS FERNANDO GALÁN</w:t>
      </w: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rPr>
        <w:t>Representante a la Cámara</w:t>
      </w:r>
      <w:r>
        <w:rPr>
          <w:rFonts w:ascii="Helvetica Neue" w:eastAsia="Helvetica Neue" w:hAnsi="Helvetica Neue" w:cs="Helvetica Neue"/>
          <w:b/>
        </w:rPr>
        <w:t xml:space="preserve">                                  </w:t>
      </w:r>
      <w:r>
        <w:rPr>
          <w:rFonts w:ascii="Helvetica Neue" w:eastAsia="Helvetica Neue" w:hAnsi="Helvetica Neue" w:cs="Helvetica Neue"/>
        </w:rPr>
        <w:t>Senador de la República</w:t>
      </w: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t>FEDERICO HOYOS SALAZAR</w:t>
      </w:r>
      <w:r>
        <w:rPr>
          <w:rFonts w:ascii="Helvetica Neue" w:eastAsia="Helvetica Neue" w:hAnsi="Helvetica Neue" w:cs="Helvetica Neue"/>
          <w:b/>
        </w:rPr>
        <w:tab/>
        <w:t xml:space="preserve">                       VICTOR CORREA VÉLEZ</w:t>
      </w: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rPr>
        <w:t>Representante a la Cámara</w:t>
      </w:r>
      <w:r>
        <w:rPr>
          <w:rFonts w:ascii="Helvetica Neue" w:eastAsia="Helvetica Neue" w:hAnsi="Helvetica Neue" w:cs="Helvetica Neue"/>
          <w:b/>
        </w:rPr>
        <w:t xml:space="preserve">                                 </w:t>
      </w:r>
      <w:r>
        <w:rPr>
          <w:rFonts w:ascii="Helvetica Neue" w:eastAsia="Helvetica Neue" w:hAnsi="Helvetica Neue" w:cs="Helvetica Neue"/>
        </w:rPr>
        <w:t>Representante a la Cámara</w:t>
      </w:r>
      <w:r>
        <w:rPr>
          <w:rFonts w:ascii="Helvetica Neue" w:eastAsia="Helvetica Neue" w:hAnsi="Helvetica Neue" w:cs="Helvetica Neue"/>
          <w:b/>
        </w:rPr>
        <w:t xml:space="preserve">    </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740A48" w:rsidRPr="00740A48" w:rsidRDefault="00740A48" w:rsidP="00740A48">
      <w:pPr>
        <w:spacing w:after="0"/>
        <w:ind w:hanging="2"/>
        <w:rPr>
          <w:rFonts w:ascii="Helvetica Neue" w:eastAsia="Helvetica Neue" w:hAnsi="Helvetica Neue" w:cs="Helvetica Neue"/>
          <w:b/>
        </w:rPr>
      </w:pPr>
    </w:p>
    <w:p w:rsidR="00740A48" w:rsidRPr="00D276D6" w:rsidRDefault="00740A48" w:rsidP="00740A48">
      <w:pPr>
        <w:spacing w:after="0"/>
        <w:ind w:hanging="2"/>
        <w:rPr>
          <w:rFonts w:ascii="Helvetica Neue" w:eastAsia="Helvetica Neue" w:hAnsi="Helvetica Neue" w:cs="Helvetica Neue"/>
          <w:b/>
        </w:rPr>
      </w:pPr>
      <w:r w:rsidRPr="00740A48">
        <w:rPr>
          <w:rFonts w:ascii="Helvetica Neue" w:eastAsia="Helvetica Neue" w:hAnsi="Helvetica Neue" w:cs="Helvetica Neue"/>
          <w:b/>
        </w:rPr>
        <w:t>JORGE PRIETO</w:t>
      </w:r>
      <w:r w:rsidRPr="00D276D6">
        <w:rPr>
          <w:rFonts w:ascii="Helvetica Neue" w:eastAsia="Helvetica Neue" w:hAnsi="Helvetica Neue" w:cs="Helvetica Neue"/>
          <w:b/>
        </w:rPr>
        <w:t>                     </w:t>
      </w:r>
      <w:r w:rsidRPr="00740A48">
        <w:rPr>
          <w:rFonts w:ascii="Helvetica Neue" w:eastAsia="Helvetica Neue" w:hAnsi="Helvetica Neue" w:cs="Helvetica Neue"/>
          <w:b/>
        </w:rPr>
        <w:tab/>
      </w:r>
      <w:r w:rsidRPr="00740A48">
        <w:rPr>
          <w:rFonts w:ascii="Helvetica Neue" w:eastAsia="Helvetica Neue" w:hAnsi="Helvetica Neue" w:cs="Helvetica Neue"/>
          <w:b/>
        </w:rPr>
        <w:tab/>
      </w:r>
      <w:r>
        <w:rPr>
          <w:rFonts w:ascii="Helvetica Neue" w:eastAsia="Helvetica Neue" w:hAnsi="Helvetica Neue" w:cs="Helvetica Neue"/>
          <w:b/>
        </w:rPr>
        <w:tab/>
      </w:r>
      <w:r w:rsidRPr="00740A48">
        <w:rPr>
          <w:rFonts w:ascii="Helvetica Neue" w:eastAsia="Helvetica Neue" w:hAnsi="Helvetica Neue" w:cs="Helvetica Neue"/>
          <w:b/>
        </w:rPr>
        <w:t xml:space="preserve">MARITZA MARTINEZ </w:t>
      </w:r>
    </w:p>
    <w:p w:rsidR="00740A48" w:rsidRPr="00D276D6" w:rsidRDefault="00740A48" w:rsidP="00740A48">
      <w:pPr>
        <w:spacing w:after="0"/>
        <w:ind w:hanging="2"/>
        <w:rPr>
          <w:rFonts w:ascii="Helvetica Neue" w:eastAsia="Helvetica Neue" w:hAnsi="Helvetica Neue" w:cs="Helvetica Neue"/>
        </w:rPr>
      </w:pPr>
      <w:r w:rsidRPr="00D276D6">
        <w:rPr>
          <w:rFonts w:ascii="Helvetica Neue" w:eastAsia="Helvetica Neue" w:hAnsi="Helvetica Neue" w:cs="Helvetica Neue"/>
        </w:rPr>
        <w:t>Senador de la República</w:t>
      </w:r>
      <w:r w:rsidRPr="00740A48">
        <w:rPr>
          <w:rFonts w:ascii="Helvetica Neue" w:eastAsia="Helvetica Neue" w:hAnsi="Helvetica Neue" w:cs="Helvetica Neue"/>
        </w:rPr>
        <w:t xml:space="preserve">                           </w:t>
      </w:r>
      <w:r>
        <w:rPr>
          <w:rFonts w:ascii="Helvetica Neue" w:eastAsia="Helvetica Neue" w:hAnsi="Helvetica Neue" w:cs="Helvetica Neue"/>
        </w:rPr>
        <w:tab/>
      </w:r>
      <w:r w:rsidRPr="00740A48">
        <w:rPr>
          <w:rFonts w:ascii="Helvetica Neue" w:eastAsia="Helvetica Neue" w:hAnsi="Helvetica Neue" w:cs="Helvetica Neue"/>
        </w:rPr>
        <w:t> </w:t>
      </w:r>
      <w:r w:rsidRPr="00D276D6">
        <w:rPr>
          <w:rFonts w:ascii="Helvetica Neue" w:eastAsia="Helvetica Neue" w:hAnsi="Helvetica Neue" w:cs="Helvetica Neue"/>
        </w:rPr>
        <w:t>Senadora de la República</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w:t>
      </w:r>
      <w:r>
        <w:rPr>
          <w:rFonts w:ascii="Helvetica Neue" w:eastAsia="Helvetica Neue" w:hAnsi="Helvetica Neue" w:cs="Helvetica Neue"/>
          <w:b/>
        </w:rPr>
        <w:t>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lastRenderedPageBreak/>
        <w:t>_____________________________                        ____________________</w:t>
      </w:r>
      <w:r>
        <w:rPr>
          <w:rFonts w:ascii="Helvetica Neue" w:eastAsia="Helvetica Neue" w:hAnsi="Helvetica Neue" w:cs="Helvetica Neue"/>
          <w:b/>
        </w:rPr>
        <w:t>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pStyle w:val="Ttulo1"/>
        <w:widowControl w:val="0"/>
        <w:spacing w:before="70"/>
        <w:ind w:left="35" w:right="55" w:firstLine="0"/>
        <w:jc w:val="center"/>
        <w:rPr>
          <w:rFonts w:ascii="Helvetica Neue" w:eastAsia="Helvetica Neue" w:hAnsi="Helvetica Neue" w:cs="Helvetica Neue"/>
          <w:sz w:val="24"/>
          <w:szCs w:val="24"/>
        </w:rPr>
      </w:pPr>
      <w:r>
        <w:rPr>
          <w:rFonts w:ascii="Helvetica Neue" w:eastAsia="Helvetica Neue" w:hAnsi="Helvetica Neue" w:cs="Helvetica Neue"/>
          <w:sz w:val="24"/>
          <w:szCs w:val="24"/>
        </w:rPr>
        <w:t>PROYECTO DE LEY No.</w:t>
      </w:r>
      <w:r>
        <w:rPr>
          <w:rFonts w:ascii="Helvetica Neue" w:eastAsia="Helvetica Neue" w:hAnsi="Helvetica Neue" w:cs="Helvetica Neue"/>
          <w:sz w:val="24"/>
          <w:szCs w:val="24"/>
          <w:u w:val="single"/>
        </w:rPr>
        <w:t xml:space="preserve">      </w:t>
      </w:r>
      <w:r>
        <w:rPr>
          <w:rFonts w:ascii="Helvetica Neue" w:eastAsia="Helvetica Neue" w:hAnsi="Helvetica Neue" w:cs="Helvetica Neue"/>
          <w:sz w:val="24"/>
          <w:szCs w:val="24"/>
        </w:rPr>
        <w:t xml:space="preserve">de 2017         </w:t>
      </w:r>
    </w:p>
    <w:p w:rsidR="003345DF" w:rsidRDefault="00BE610B">
      <w:pPr>
        <w:ind w:right="54" w:hanging="2"/>
        <w:jc w:val="center"/>
        <w:rPr>
          <w:rFonts w:ascii="Helvetica Neue" w:eastAsia="Helvetica Neue" w:hAnsi="Helvetica Neue" w:cs="Helvetica Neue"/>
          <w:b/>
        </w:rPr>
      </w:pPr>
      <w:r>
        <w:rPr>
          <w:rFonts w:ascii="Helvetica Neue" w:eastAsia="Helvetica Neue" w:hAnsi="Helvetica Neue" w:cs="Helvetica Neue"/>
          <w:b/>
        </w:rPr>
        <w:t>“Por medio de la cual se establece la protección de los derechos a la salud y al medio ambiente sano imponiendo restricciones a las emisiones contaminantes de fuentes móviles y se dictan otras disposiciones”.</w:t>
      </w:r>
    </w:p>
    <w:p w:rsidR="003345DF" w:rsidRDefault="003345DF">
      <w:pPr>
        <w:widowControl w:val="0"/>
        <w:spacing w:after="0"/>
        <w:ind w:firstLine="0"/>
        <w:rPr>
          <w:rFonts w:ascii="Helvetica Neue" w:eastAsia="Helvetica Neue" w:hAnsi="Helvetica Neue" w:cs="Helvetica Neue"/>
          <w:b/>
        </w:rPr>
      </w:pPr>
    </w:p>
    <w:p w:rsidR="003345DF" w:rsidRDefault="00BE610B">
      <w:pPr>
        <w:spacing w:after="0"/>
        <w:ind w:firstLine="0"/>
        <w:jc w:val="center"/>
        <w:rPr>
          <w:rFonts w:ascii="Helvetica Neue" w:eastAsia="Helvetica Neue" w:hAnsi="Helvetica Neue" w:cs="Helvetica Neue"/>
          <w:b/>
        </w:rPr>
      </w:pPr>
      <w:r>
        <w:rPr>
          <w:rFonts w:ascii="Helvetica Neue" w:eastAsia="Helvetica Neue" w:hAnsi="Helvetica Neue" w:cs="Helvetica Neue"/>
          <w:b/>
        </w:rPr>
        <w:t>* * *</w:t>
      </w:r>
    </w:p>
    <w:p w:rsidR="003345DF" w:rsidRDefault="003345DF">
      <w:pPr>
        <w:spacing w:after="0"/>
        <w:ind w:firstLine="0"/>
        <w:jc w:val="center"/>
        <w:rPr>
          <w:rFonts w:ascii="Helvetica Neue" w:eastAsia="Helvetica Neue" w:hAnsi="Helvetica Neue" w:cs="Helvetica Neue"/>
          <w:b/>
        </w:rPr>
      </w:pPr>
    </w:p>
    <w:p w:rsidR="003345DF" w:rsidRDefault="00BE610B">
      <w:pPr>
        <w:spacing w:after="0"/>
        <w:ind w:firstLine="0"/>
        <w:jc w:val="center"/>
        <w:rPr>
          <w:rFonts w:ascii="Helvetica Neue" w:eastAsia="Helvetica Neue" w:hAnsi="Helvetica Neue" w:cs="Helvetica Neue"/>
        </w:rPr>
      </w:pPr>
      <w:r>
        <w:rPr>
          <w:rFonts w:ascii="Helvetica Neue" w:eastAsia="Helvetica Neue" w:hAnsi="Helvetica Neue" w:cs="Helvetica Neue"/>
          <w:b/>
        </w:rPr>
        <w:t>El Congreso de la República de Colombia</w:t>
      </w:r>
    </w:p>
    <w:p w:rsidR="003345DF" w:rsidRDefault="003345DF">
      <w:pPr>
        <w:spacing w:after="0"/>
        <w:ind w:firstLine="0"/>
        <w:jc w:val="center"/>
        <w:rPr>
          <w:rFonts w:ascii="Helvetica Neue" w:eastAsia="Helvetica Neue" w:hAnsi="Helvetica Neue" w:cs="Helvetica Neue"/>
        </w:rPr>
      </w:pPr>
    </w:p>
    <w:p w:rsidR="003345DF" w:rsidRDefault="00BE610B">
      <w:pPr>
        <w:spacing w:after="0"/>
        <w:ind w:firstLine="0"/>
        <w:jc w:val="center"/>
        <w:rPr>
          <w:rFonts w:ascii="Helvetica Neue" w:eastAsia="Helvetica Neue" w:hAnsi="Helvetica Neue" w:cs="Helvetica Neue"/>
          <w:b/>
        </w:rPr>
      </w:pPr>
      <w:r>
        <w:rPr>
          <w:rFonts w:ascii="Helvetica Neue" w:eastAsia="Helvetica Neue" w:hAnsi="Helvetica Neue" w:cs="Helvetica Neue"/>
          <w:b/>
        </w:rPr>
        <w:t>DECRETA:</w:t>
      </w:r>
    </w:p>
    <w:p w:rsidR="003345DF" w:rsidRDefault="003345DF">
      <w:pPr>
        <w:spacing w:after="0"/>
        <w:ind w:firstLine="0"/>
        <w:jc w:val="center"/>
        <w:rPr>
          <w:rFonts w:ascii="Helvetica Neue" w:eastAsia="Helvetica Neue" w:hAnsi="Helvetica Neue" w:cs="Helvetica Neue"/>
          <w:b/>
        </w:rPr>
      </w:pPr>
    </w:p>
    <w:p w:rsidR="003345DF" w:rsidRDefault="003345DF">
      <w:pPr>
        <w:spacing w:after="0"/>
        <w:ind w:firstLine="0"/>
        <w:jc w:val="center"/>
        <w:rPr>
          <w:rFonts w:ascii="Helvetica Neue" w:eastAsia="Helvetica Neue" w:hAnsi="Helvetica Neue" w:cs="Helvetica Neue"/>
          <w:b/>
        </w:rPr>
      </w:pP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Artículo 1°.</w:t>
      </w:r>
      <w:r>
        <w:rPr>
          <w:rFonts w:ascii="Helvetica Neue" w:eastAsia="Helvetica Neue" w:hAnsi="Helvetica Neue" w:cs="Helvetica Neue"/>
        </w:rPr>
        <w:t xml:space="preserve"> </w:t>
      </w:r>
      <w:r>
        <w:rPr>
          <w:rFonts w:ascii="Helvetica Neue" w:eastAsia="Helvetica Neue" w:hAnsi="Helvetica Neue" w:cs="Helvetica Neue"/>
          <w:b/>
          <w:i/>
        </w:rPr>
        <w:t xml:space="preserve">Objeto. </w:t>
      </w:r>
      <w:r>
        <w:rPr>
          <w:rFonts w:ascii="Helvetica Neue" w:eastAsia="Helvetica Neue" w:hAnsi="Helvetica Neue" w:cs="Helvetica Neue"/>
        </w:rPr>
        <w:t xml:space="preserve">La presente ley tiene por objeto reglamentar los niveles máximos de emisiones para vehículos con motor de ciclo </w:t>
      </w:r>
      <w:r w:rsidR="00740A48">
        <w:rPr>
          <w:rFonts w:ascii="Helvetica Neue" w:eastAsia="Helvetica Neue" w:hAnsi="Helvetica Neue" w:cs="Helvetica Neue"/>
        </w:rPr>
        <w:t>diésel</w:t>
      </w:r>
      <w:r>
        <w:rPr>
          <w:rFonts w:ascii="Helvetica Neue" w:eastAsia="Helvetica Neue" w:hAnsi="Helvetica Neue" w:cs="Helvetica Neue"/>
        </w:rPr>
        <w:t xml:space="preserve"> que circulan por el territorio nacional, con el fin de resguardar los derechos fundamentales a la vida,</w:t>
      </w:r>
      <w:r>
        <w:rPr>
          <w:rFonts w:ascii="Helvetica Neue" w:eastAsia="Helvetica Neue" w:hAnsi="Helvetica Neue" w:cs="Helvetica Neue"/>
        </w:rPr>
        <w:t xml:space="preserve"> salud y al medio ambiente sano.</w:t>
      </w:r>
    </w:p>
    <w:p w:rsidR="003345DF" w:rsidRDefault="003345DF">
      <w:pPr>
        <w:spacing w:after="0"/>
        <w:ind w:firstLine="0"/>
        <w:jc w:val="both"/>
        <w:rPr>
          <w:rFonts w:ascii="Helvetica Neue" w:eastAsia="Helvetica Neue" w:hAnsi="Helvetica Neue" w:cs="Helvetica Neue"/>
        </w:rPr>
      </w:pPr>
    </w:p>
    <w:p w:rsidR="003345DF" w:rsidRDefault="00BE610B">
      <w:pPr>
        <w:spacing w:after="0"/>
        <w:ind w:firstLine="0"/>
        <w:jc w:val="both"/>
        <w:rPr>
          <w:rFonts w:ascii="Helvetica Neue" w:eastAsia="Helvetica Neue" w:hAnsi="Helvetica Neue" w:cs="Helvetica Neue"/>
          <w:b/>
          <w:i/>
        </w:rPr>
      </w:pPr>
      <w:r>
        <w:rPr>
          <w:rFonts w:ascii="Helvetica Neue" w:eastAsia="Helvetica Neue" w:hAnsi="Helvetica Neue" w:cs="Helvetica Neue"/>
          <w:b/>
        </w:rPr>
        <w:t xml:space="preserve">Artículo 2º. </w:t>
      </w:r>
      <w:r>
        <w:rPr>
          <w:rFonts w:ascii="Helvetica Neue" w:eastAsia="Helvetica Neue" w:hAnsi="Helvetica Neue" w:cs="Helvetica Neue"/>
          <w:b/>
          <w:i/>
        </w:rPr>
        <w:t>Definiciones.</w:t>
      </w:r>
    </w:p>
    <w:p w:rsidR="003345DF" w:rsidRDefault="003345DF">
      <w:pPr>
        <w:spacing w:after="0"/>
        <w:ind w:firstLine="0"/>
        <w:jc w:val="both"/>
        <w:rPr>
          <w:rFonts w:ascii="Helvetica Neue" w:eastAsia="Helvetica Neue" w:hAnsi="Helvetica Neue" w:cs="Helvetica Neue"/>
        </w:rPr>
      </w:pP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ALVW: Adjusted Loaded Vehicle Weight.</w:t>
      </w:r>
      <w:r>
        <w:rPr>
          <w:rFonts w:ascii="Helvetica Neue" w:eastAsia="Helvetica Neue" w:hAnsi="Helvetica Neue" w:cs="Helvetica Neue"/>
        </w:rPr>
        <w:t xml:space="preserve"> Promedio numérico del peso neto vehicular y el peso bruto vehicular.</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Categoría M:</w:t>
      </w:r>
      <w:r>
        <w:rPr>
          <w:rFonts w:ascii="Helvetica Neue" w:eastAsia="Helvetica Neue" w:hAnsi="Helvetica Neue" w:cs="Helvetica Neue"/>
        </w:rPr>
        <w:t xml:space="preserve"> Vehículo automotor con al menos cuatro ruedas, diseñado y construido para </w:t>
      </w:r>
      <w:r>
        <w:rPr>
          <w:rFonts w:ascii="Helvetica Neue" w:eastAsia="Helvetica Neue" w:hAnsi="Helvetica Neue" w:cs="Helvetica Neue"/>
        </w:rPr>
        <w:t>el transporte de pasajeros. Está dividido en tres categorías: M1, M2 y M3.</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Categoría M1:</w:t>
      </w:r>
      <w:r>
        <w:rPr>
          <w:rFonts w:ascii="Helvetica Neue" w:eastAsia="Helvetica Neue" w:hAnsi="Helvetica Neue" w:cs="Helvetica Neue"/>
        </w:rPr>
        <w:t xml:space="preserve"> Vehículo diseñado y construido para transportar hasta 8 pasajeros más el conductor.</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Categoría M2: </w:t>
      </w:r>
      <w:r>
        <w:rPr>
          <w:rFonts w:ascii="Helvetica Neue" w:eastAsia="Helvetica Neue" w:hAnsi="Helvetica Neue" w:cs="Helvetica Neue"/>
        </w:rPr>
        <w:t>Vehículo diseñado y construido para transportar más de 8 pasajeros más el conductor y cuyo peso bruto vehicular no supere las 5 toneladas.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Categoría M3: </w:t>
      </w:r>
      <w:r>
        <w:rPr>
          <w:rFonts w:ascii="Helvetica Neue" w:eastAsia="Helvetica Neue" w:hAnsi="Helvetica Neue" w:cs="Helvetica Neue"/>
        </w:rPr>
        <w:t>Vehículo diseñado y construido para transportar más de 8 pasajeros más el conductor y cuyo peso bruto v</w:t>
      </w:r>
      <w:r>
        <w:rPr>
          <w:rFonts w:ascii="Helvetica Neue" w:eastAsia="Helvetica Neue" w:hAnsi="Helvetica Neue" w:cs="Helvetica Neue"/>
        </w:rPr>
        <w:t>ehicular supere las 5 toneladas.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Categoría N:</w:t>
      </w:r>
      <w:r>
        <w:rPr>
          <w:rFonts w:ascii="Helvetica Neue" w:eastAsia="Helvetica Neue" w:hAnsi="Helvetica Neue" w:cs="Helvetica Neue"/>
        </w:rPr>
        <w:t xml:space="preserve"> Vehículo automotor con al menos cuatro ruedas, diseñado y construido para el transporte de carga. Está dividido en tres categorías: N1, N2 y N3.</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Categoría N1: </w:t>
      </w:r>
      <w:r>
        <w:rPr>
          <w:rFonts w:ascii="Helvetica Neue" w:eastAsia="Helvetica Neue" w:hAnsi="Helvetica Neue" w:cs="Helvetica Neue"/>
        </w:rPr>
        <w:t>Vehículo diseñado y construido para transportar car</w:t>
      </w:r>
      <w:r>
        <w:rPr>
          <w:rFonts w:ascii="Helvetica Neue" w:eastAsia="Helvetica Neue" w:hAnsi="Helvetica Neue" w:cs="Helvetica Neue"/>
        </w:rPr>
        <w:t>ga, con un peso bruto vehicular no superior a 3,5 toneladas. Esta categoría se divide en tres clases de acuerdo al peso de referencia.</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Categoría N2:</w:t>
      </w:r>
      <w:r>
        <w:rPr>
          <w:rFonts w:ascii="Helvetica Neue" w:eastAsia="Helvetica Neue" w:hAnsi="Helvetica Neue" w:cs="Helvetica Neue"/>
        </w:rPr>
        <w:t xml:space="preserve"> Vehículo diseñado y construido para transportar carga, con un peso bruto vehicular superior a 3,5 toneladas</w:t>
      </w:r>
      <w:r>
        <w:rPr>
          <w:rFonts w:ascii="Helvetica Neue" w:eastAsia="Helvetica Neue" w:hAnsi="Helvetica Neue" w:cs="Helvetica Neue"/>
        </w:rPr>
        <w:t xml:space="preserve"> y que no exceda 12 toneladas.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Categoría N3: </w:t>
      </w:r>
      <w:r>
        <w:rPr>
          <w:rFonts w:ascii="Helvetica Neue" w:eastAsia="Helvetica Neue" w:hAnsi="Helvetica Neue" w:cs="Helvetica Neue"/>
        </w:rPr>
        <w:t>Vehículo diseñado y construido para transportar carga, con un peso bruto vehicular superior a 12 toneladas.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Ciclo:</w:t>
      </w:r>
      <w:r>
        <w:rPr>
          <w:rFonts w:ascii="Helvetica Neue" w:eastAsia="Helvetica Neue" w:hAnsi="Helvetica Neue" w:cs="Helvetica Neue"/>
        </w:rPr>
        <w:t xml:space="preserve"> Es el tiempo necesario para que el vehículo alcance la temperatura normal de operación en condic</w:t>
      </w:r>
      <w:r>
        <w:rPr>
          <w:rFonts w:ascii="Helvetica Neue" w:eastAsia="Helvetica Neue" w:hAnsi="Helvetica Neue" w:cs="Helvetica Neue"/>
        </w:rPr>
        <w:t>iones de marcha mínima o ralentí. Para las fuentes móviles equipadas con electroventilador, es el período que transcurre entre el encendido del ventilador del sistema de enfriamiento y el momento en que el ventilador se detiene.</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Ciclo ESC: Ciclo Europeo de Estado Continuo. </w:t>
      </w:r>
      <w:r>
        <w:rPr>
          <w:rFonts w:ascii="Helvetica Neue" w:eastAsia="Helvetica Neue" w:hAnsi="Helvetica Neue" w:cs="Helvetica Neue"/>
        </w:rPr>
        <w:t xml:space="preserve">Ciclo de prueba dinámico establecido por la Unión Europea con el fin de certificar emisiones de vehículos pesados. </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Ciclo ETC: Ciclo Europeo de Transición.</w:t>
      </w:r>
      <w:r>
        <w:rPr>
          <w:rFonts w:ascii="Helvetica Neue" w:eastAsia="Helvetica Neue" w:hAnsi="Helvetica Neue" w:cs="Helvetica Neue"/>
        </w:rPr>
        <w:t xml:space="preserve"> Ciclo de prueba dinámico establecido por la Unión Europ</w:t>
      </w:r>
      <w:r>
        <w:rPr>
          <w:rFonts w:ascii="Helvetica Neue" w:eastAsia="Helvetica Neue" w:hAnsi="Helvetica Neue" w:cs="Helvetica Neue"/>
        </w:rPr>
        <w:t>ea con el fin de certificar emisiones de vehículos pesados.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Ciclo FTP:</w:t>
      </w:r>
      <w:r>
        <w:rPr>
          <w:rFonts w:ascii="Helvetica Neue" w:eastAsia="Helvetica Neue" w:hAnsi="Helvetica Neue" w:cs="Helvetica Neue"/>
        </w:rPr>
        <w:t xml:space="preserve"> Ciclo de prueba dinámico establecido por la Agencia de Protección Ambiental de los Estados Unidos (EPA), para los vehículos livianos y medianos y especificado en el Código Federal de Re</w:t>
      </w:r>
      <w:r>
        <w:rPr>
          <w:rFonts w:ascii="Helvetica Neue" w:eastAsia="Helvetica Neue" w:hAnsi="Helvetica Neue" w:cs="Helvetica Neue"/>
        </w:rPr>
        <w:t>gulaciones, partes 86 a 99.</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CO: </w:t>
      </w:r>
      <w:r>
        <w:rPr>
          <w:rFonts w:ascii="Helvetica Neue" w:eastAsia="Helvetica Neue" w:hAnsi="Helvetica Neue" w:cs="Helvetica Neue"/>
        </w:rPr>
        <w:t>Monóxido de Carbono.</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EPA:</w:t>
      </w:r>
      <w:r>
        <w:rPr>
          <w:rFonts w:ascii="Helvetica Neue" w:eastAsia="Helvetica Neue" w:hAnsi="Helvetica Neue" w:cs="Helvetica Neue"/>
        </w:rPr>
        <w:t xml:space="preserve"> Agencia de Protección Ambiental de los Estados Unidos.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HC:</w:t>
      </w:r>
      <w:r>
        <w:rPr>
          <w:rFonts w:ascii="Helvetica Neue" w:eastAsia="Helvetica Neue" w:hAnsi="Helvetica Neue" w:cs="Helvetica Neue"/>
        </w:rPr>
        <w:t xml:space="preserve"> Hidrocarburos.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HCNM:</w:t>
      </w:r>
      <w:r>
        <w:rPr>
          <w:rFonts w:ascii="Helvetica Neue" w:eastAsia="Helvetica Neue" w:hAnsi="Helvetica Neue" w:cs="Helvetica Neue"/>
        </w:rPr>
        <w:t xml:space="preserve"> Hidrocarburos diferentes al metano.</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HDV: Heavy-Duty Vehicle.</w:t>
      </w:r>
      <w:r>
        <w:rPr>
          <w:rFonts w:ascii="Helvetica Neue" w:eastAsia="Helvetica Neue" w:hAnsi="Helvetica Neue" w:cs="Helvetica Neue"/>
        </w:rPr>
        <w:t xml:space="preserve"> Cualquier vehículo automotor con un peso bruto vehicular </w:t>
      </w:r>
      <w:r>
        <w:rPr>
          <w:rFonts w:ascii="Helvetica Neue" w:eastAsia="Helvetica Neue" w:hAnsi="Helvetica Neue" w:cs="Helvetica Neue"/>
        </w:rPr>
        <w:t>superior a 3.856 kg o con un peso neto vehicular superior a 2.722 kg o con un área frontal básica superior a 4,18 m</w:t>
      </w:r>
      <w:r>
        <w:rPr>
          <w:rFonts w:ascii="Helvetica Neue" w:eastAsia="Helvetica Neue" w:hAnsi="Helvetica Neue" w:cs="Helvetica Neue"/>
          <w:vertAlign w:val="superscript"/>
        </w:rPr>
        <w:t>2</w:t>
      </w:r>
      <w:r>
        <w:rPr>
          <w:rFonts w:ascii="Helvetica Neue" w:eastAsia="Helvetica Neue" w:hAnsi="Helvetica Neue" w:cs="Helvetica Neue"/>
        </w:rPr>
        <w:t>. Los motores diésel usados en estos vehículos se dividen en tres clases de servicio llamados LHDDE, MHDDE y HHDDE, de acuerdo con el peso b</w:t>
      </w:r>
      <w:r>
        <w:rPr>
          <w:rFonts w:ascii="Helvetica Neue" w:eastAsia="Helvetica Neue" w:hAnsi="Helvetica Neue" w:cs="Helvetica Neue"/>
        </w:rPr>
        <w:t>ruto vehicular. Los motores Otto usados en estos vehículos se dividen en dos clases de servicio llamados LHDGE y HHDGE, de acuerdo con el peso bruto vehicular. También pertenecen a esta categoría los MDPV.</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HHDDE: Heavy Heavy-Duty Diésel Engines (Incluye Ur</w:t>
      </w:r>
      <w:r>
        <w:rPr>
          <w:rFonts w:ascii="Helvetica Neue" w:eastAsia="Helvetica Neue" w:hAnsi="Helvetica Neue" w:cs="Helvetica Neue"/>
          <w:b/>
        </w:rPr>
        <w:t>ban Bus).</w:t>
      </w:r>
      <w:r>
        <w:rPr>
          <w:rFonts w:ascii="Helvetica Neue" w:eastAsia="Helvetica Neue" w:hAnsi="Helvetica Neue" w:cs="Helvetica Neue"/>
        </w:rPr>
        <w:t xml:space="preserve"> Cualquier motor diésel instalado en un HDV cuyo peso bruto vehicular sea superior a 14.969 kg.</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HHDGE: Heavy Heavy-Duty Gasoline Engines (Incluye Urban Bus).</w:t>
      </w:r>
      <w:r>
        <w:rPr>
          <w:rFonts w:ascii="Helvetica Neue" w:eastAsia="Helvetica Neue" w:hAnsi="Helvetica Neue" w:cs="Helvetica Neue"/>
        </w:rPr>
        <w:t xml:space="preserve"> Cualquier motor a gasolina instalado en un HDV cuyo peso bruto vehicular sea superior a 6</w:t>
      </w:r>
      <w:r>
        <w:rPr>
          <w:rFonts w:ascii="Helvetica Neue" w:eastAsia="Helvetica Neue" w:hAnsi="Helvetica Neue" w:cs="Helvetica Neue"/>
        </w:rPr>
        <w:t>.350 kg.</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HLDT: Heavy Light-Duty Truck.</w:t>
      </w:r>
      <w:r>
        <w:rPr>
          <w:rFonts w:ascii="Helvetica Neue" w:eastAsia="Helvetica Neue" w:hAnsi="Helvetica Neue" w:cs="Helvetica Neue"/>
        </w:rPr>
        <w:t xml:space="preserve"> Cualquier LDT con un peso bruto vehicular superior a 2.722 kg. Se divide en dos categorías, LDT3 y LDT4, dependiendo del peso ALVW.</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LDT: Light-Duty Truck.</w:t>
      </w:r>
      <w:r>
        <w:rPr>
          <w:rFonts w:ascii="Helvetica Neue" w:eastAsia="Helvetica Neue" w:hAnsi="Helvetica Neue" w:cs="Helvetica Neue"/>
        </w:rPr>
        <w:t xml:space="preserve"> Cualquier vehículo automotor con un peso bruto vehicular de 3.</w:t>
      </w:r>
      <w:r>
        <w:rPr>
          <w:rFonts w:ascii="Helvetica Neue" w:eastAsia="Helvetica Neue" w:hAnsi="Helvetica Neue" w:cs="Helvetica Neue"/>
        </w:rPr>
        <w:t>856 kg o menos, con un peso neto de 2.722 kg o menos y con un área frontal básica de 4,18 m2 o menos, que está diseñado principalmente para transporte de carga y de pasajeros, o es una derivación de este vehículo, o está diseñado principalmente para el tra</w:t>
      </w:r>
      <w:r>
        <w:rPr>
          <w:rFonts w:ascii="Helvetica Neue" w:eastAsia="Helvetica Neue" w:hAnsi="Helvetica Neue" w:cs="Helvetica Neue"/>
        </w:rPr>
        <w:t>nsporte de pasajeros con una capacidad de más de 12 personas, o que se consigue con elementos adicionales que permiten su operación y uso fuera de las carreteras o autopistas. Se divide en dos categorías, LLDT y HLDT, dependiendo del peso bruto vehicular.</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LDT1: Light-Duty Truck 1. </w:t>
      </w:r>
      <w:r>
        <w:rPr>
          <w:rFonts w:ascii="Helvetica Neue" w:eastAsia="Helvetica Neue" w:hAnsi="Helvetica Neue" w:cs="Helvetica Neue"/>
        </w:rPr>
        <w:t>Cualquier vehículo LLDT con un peso LVW hasta de 1.701 kg.</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LDT2: Light-Duty Truck 2. </w:t>
      </w:r>
      <w:r>
        <w:rPr>
          <w:rFonts w:ascii="Helvetica Neue" w:eastAsia="Helvetica Neue" w:hAnsi="Helvetica Neue" w:cs="Helvetica Neue"/>
        </w:rPr>
        <w:t>Cualquier vehículo LLDT con un peso LVW superior a 1.701 kg.</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LDT3: Light-Duty Truck 3. </w:t>
      </w:r>
      <w:r>
        <w:rPr>
          <w:rFonts w:ascii="Helvetica Neue" w:eastAsia="Helvetica Neue" w:hAnsi="Helvetica Neue" w:cs="Helvetica Neue"/>
        </w:rPr>
        <w:t>Cualquier vehículo HLDT con un peso ALVW hasta de 2.608 kg</w:t>
      </w:r>
      <w:r>
        <w:rPr>
          <w:rFonts w:ascii="Helvetica Neue" w:eastAsia="Helvetica Neue" w:hAnsi="Helvetica Neue" w:cs="Helvetica Neue"/>
        </w:rPr>
        <w:t>.</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LDT4: Light-Duty Truck 4. </w:t>
      </w:r>
      <w:r>
        <w:rPr>
          <w:rFonts w:ascii="Helvetica Neue" w:eastAsia="Helvetica Neue" w:hAnsi="Helvetica Neue" w:cs="Helvetica Neue"/>
        </w:rPr>
        <w:t>Cualquier vehículo HLDT con un peso ALVW superior a 2.608 kg.</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LDV: Light-Duty Vehicle: </w:t>
      </w:r>
      <w:r>
        <w:rPr>
          <w:rFonts w:ascii="Helvetica Neue" w:eastAsia="Helvetica Neue" w:hAnsi="Helvetica Neue" w:cs="Helvetica Neue"/>
        </w:rPr>
        <w:t>Vehículo de pasajeros o una derivación de este, con capacidad hasta de 12 pasajeros y un peso bruto vehicular menor o igual a 3.856 kg.</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LHDDE</w:t>
      </w:r>
      <w:r>
        <w:rPr>
          <w:rFonts w:ascii="Helvetica Neue" w:eastAsia="Helvetica Neue" w:hAnsi="Helvetica Neue" w:cs="Helvetica Neue"/>
          <w:b/>
        </w:rPr>
        <w:t>: Light Heavy-Duty Diesel Engines.</w:t>
      </w:r>
      <w:r>
        <w:rPr>
          <w:rFonts w:ascii="Helvetica Neue" w:eastAsia="Helvetica Neue" w:hAnsi="Helvetica Neue" w:cs="Helvetica Neue"/>
        </w:rPr>
        <w:t xml:space="preserve"> Cualquier motor diésel instalado en un HDV cuyo peso bruto vehicular sea superior a 3.856 kg y que no supere 8.845 kg. </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LHDGE: Light Heavy-Duty Gasoline Engines.</w:t>
      </w:r>
      <w:r>
        <w:rPr>
          <w:rFonts w:ascii="Helvetica Neue" w:eastAsia="Helvetica Neue" w:hAnsi="Helvetica Neue" w:cs="Helvetica Neue"/>
        </w:rPr>
        <w:t xml:space="preserve"> Cualquier motor a gasolina instalado en un HDV cuyo peso br</w:t>
      </w:r>
      <w:r>
        <w:rPr>
          <w:rFonts w:ascii="Helvetica Neue" w:eastAsia="Helvetica Neue" w:hAnsi="Helvetica Neue" w:cs="Helvetica Neue"/>
        </w:rPr>
        <w:t>uto vehicular sea superior a 3.856 kg y menor o igual a 6.350 kg.</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LLDT:</w:t>
      </w:r>
      <w:r>
        <w:rPr>
          <w:rFonts w:ascii="Helvetica Neue" w:eastAsia="Helvetica Neue" w:hAnsi="Helvetica Neue" w:cs="Helvetica Neue"/>
        </w:rPr>
        <w:t xml:space="preserve"> </w:t>
      </w:r>
      <w:r>
        <w:rPr>
          <w:rFonts w:ascii="Helvetica Neue" w:eastAsia="Helvetica Neue" w:hAnsi="Helvetica Neue" w:cs="Helvetica Neue"/>
          <w:b/>
        </w:rPr>
        <w:t xml:space="preserve">Light Light-Duty Truck. </w:t>
      </w:r>
      <w:r>
        <w:rPr>
          <w:rFonts w:ascii="Helvetica Neue" w:eastAsia="Helvetica Neue" w:hAnsi="Helvetica Neue" w:cs="Helvetica Neue"/>
        </w:rPr>
        <w:t>Cualquier LDT con un peso bruto vehicular hasta 2.722 kg. Se divide en dos categorías, LDT1 y LDT2, dependiendo del peso LVW.</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LVW: Loaded Vehicle Weigth.</w:t>
      </w:r>
      <w:r>
        <w:rPr>
          <w:rFonts w:ascii="Helvetica Neue" w:eastAsia="Helvetica Neue" w:hAnsi="Helvetica Neue" w:cs="Helvetica Neue"/>
        </w:rPr>
        <w:t xml:space="preserve"> Peso n</w:t>
      </w:r>
      <w:r>
        <w:rPr>
          <w:rFonts w:ascii="Helvetica Neue" w:eastAsia="Helvetica Neue" w:hAnsi="Helvetica Neue" w:cs="Helvetica Neue"/>
        </w:rPr>
        <w:t>eto vehicular más 136 kg.</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Marcha Mínima o Ralentí:</w:t>
      </w:r>
      <w:r>
        <w:rPr>
          <w:rFonts w:ascii="Helvetica Neue" w:eastAsia="Helvetica Neue" w:hAnsi="Helvetica Neue" w:cs="Helvetica Neue"/>
        </w:rPr>
        <w:t xml:space="preserve"> Son las especificaciones de velocidad del motor establecidas por el fabricante o ensamblador del vehículo, requeridas para mantenerlo funcionando sin carga y en neutro (para cajas manuales) y en parqueo (para cajas automáticas). Cuando no se disponga de l</w:t>
      </w:r>
      <w:r>
        <w:rPr>
          <w:rFonts w:ascii="Helvetica Neue" w:eastAsia="Helvetica Neue" w:hAnsi="Helvetica Neue" w:cs="Helvetica Neue"/>
        </w:rPr>
        <w:t>a especificación del fabricante o ensamblador del vehículo, la condición de marcha mínima o ralentí se establecerá a un máximo de 900 revoluciones por minuto del motor.</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MDPV: Medium-Duty Passenger Vehicle.</w:t>
      </w:r>
      <w:r>
        <w:rPr>
          <w:rFonts w:ascii="Helvetica Neue" w:eastAsia="Helvetica Neue" w:hAnsi="Helvetica Neue" w:cs="Helvetica Neue"/>
        </w:rPr>
        <w:t xml:space="preserve"> Cualquier HDV con un peso vehicular inferior a 4.5</w:t>
      </w:r>
      <w:r>
        <w:rPr>
          <w:rFonts w:ascii="Helvetica Neue" w:eastAsia="Helvetica Neue" w:hAnsi="Helvetica Neue" w:cs="Helvetica Neue"/>
        </w:rPr>
        <w:t>37 kg y diseñado principalmente para transporte de pasajeros. Esta definición no incluye: vehículos que no tengan su unidad de carga adjunta (cabezotes), vehículos con capacidad superior a 12 personas, vehículos cuyo diseño tenga atrás del conductor capaci</w:t>
      </w:r>
      <w:r>
        <w:rPr>
          <w:rFonts w:ascii="Helvetica Neue" w:eastAsia="Helvetica Neue" w:hAnsi="Helvetica Neue" w:cs="Helvetica Neue"/>
        </w:rPr>
        <w:t>dad para más de 9 personas, vehículos equipados con un área de carga abierta de 1,83 metros o más (por ejemplo pick-up). Una cabina cubierta sin acceso al compartimiento de los pasajeros será considerada “área de carga abierta” para propósitos de esta defi</w:t>
      </w:r>
      <w:r>
        <w:rPr>
          <w:rFonts w:ascii="Helvetica Neue" w:eastAsia="Helvetica Neue" w:hAnsi="Helvetica Neue" w:cs="Helvetica Neue"/>
        </w:rPr>
        <w:t>nición.</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MHDDE: </w:t>
      </w:r>
      <w:r>
        <w:rPr>
          <w:rFonts w:ascii="Helvetica Neue" w:eastAsia="Helvetica Neue" w:hAnsi="Helvetica Neue" w:cs="Helvetica Neue"/>
        </w:rPr>
        <w:t>Medium Heavy-Duty Diesel Engines. Cualquier motor diésel instalado en un HDV cuyo peso bruto vehicular sea superior a 8.845 kg y que no supere 14.969 kg.</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MP:</w:t>
      </w:r>
      <w:r>
        <w:rPr>
          <w:rFonts w:ascii="Helvetica Neue" w:eastAsia="Helvetica Neue" w:hAnsi="Helvetica Neue" w:cs="Helvetica Neue"/>
        </w:rPr>
        <w:t xml:space="preserve"> Material Particulado.</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NOx:</w:t>
      </w:r>
      <w:r>
        <w:rPr>
          <w:rFonts w:ascii="Helvetica Neue" w:eastAsia="Helvetica Neue" w:hAnsi="Helvetica Neue" w:cs="Helvetica Neue"/>
        </w:rPr>
        <w:t xml:space="preserve"> Óxidos de Nitrógeno</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NTE: Not-to-Exceed testing. </w:t>
      </w:r>
      <w:r>
        <w:rPr>
          <w:rFonts w:ascii="Helvetica Neue" w:eastAsia="Helvetica Neue" w:hAnsi="Helvetica Neue" w:cs="Helvetica Neue"/>
        </w:rPr>
        <w:t>Conducción de cualquier tipo que pudiera ocurrir dentro de los límites de un área de control predefinida para no ser excedida, incluida la operación en condiciones estacionarias o transitorias y bajo condiciones ambientales variables. Los límites de emisió</w:t>
      </w:r>
      <w:r>
        <w:rPr>
          <w:rFonts w:ascii="Helvetica Neue" w:eastAsia="Helvetica Neue" w:hAnsi="Helvetica Neue" w:cs="Helvetica Neue"/>
        </w:rPr>
        <w:t>n NTE son mayores que los límites FTP correspondientes.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Peso Bruto Vehicular: </w:t>
      </w:r>
      <w:r>
        <w:rPr>
          <w:rFonts w:ascii="Helvetica Neue" w:eastAsia="Helvetica Neue" w:hAnsi="Helvetica Neue" w:cs="Helvetica Neue"/>
        </w:rPr>
        <w:t>Peso máximo de diseño del vehículo cargado, especificado por el fabricante del mismo.</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SET: Supplemental Emission Test. </w:t>
      </w:r>
      <w:r>
        <w:rPr>
          <w:rFonts w:ascii="Helvetica Neue" w:eastAsia="Helvetica Neue" w:hAnsi="Helvetica Neue" w:cs="Helvetica Neue"/>
        </w:rPr>
        <w:t>Prueba de estado estacionario definida por la EPA, para ase</w:t>
      </w:r>
      <w:r>
        <w:rPr>
          <w:rFonts w:ascii="Helvetica Neue" w:eastAsia="Helvetica Neue" w:hAnsi="Helvetica Neue" w:cs="Helvetica Neue"/>
        </w:rPr>
        <w:t>gurar que las emisiones de motores de servicio pesado son controladas durante la conducción en estado estacionario. Los límites de emisión SET son numéricamente iguales a los límites de FTP.</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Sistema de Autodiagnóstico a Bordo (OBD):</w:t>
      </w:r>
      <w:r>
        <w:rPr>
          <w:rFonts w:ascii="Helvetica Neue" w:eastAsia="Helvetica Neue" w:hAnsi="Helvetica Neue" w:cs="Helvetica Neue"/>
        </w:rPr>
        <w:t xml:space="preserve"> Dispositivos o sistemas</w:t>
      </w:r>
      <w:r>
        <w:rPr>
          <w:rFonts w:ascii="Helvetica Neue" w:eastAsia="Helvetica Neue" w:hAnsi="Helvetica Neue" w:cs="Helvetica Neue"/>
        </w:rPr>
        <w:t xml:space="preserve"> instalados a bordo del vehículo y conectados al módulo electrónico de control, que tiene como objetivo identificar el deterioro o el mal funcionamiento de los componentes del sistema de control de emisiones, alertar al usuario del vehículo para proceder a</w:t>
      </w:r>
      <w:r>
        <w:rPr>
          <w:rFonts w:ascii="Helvetica Neue" w:eastAsia="Helvetica Neue" w:hAnsi="Helvetica Neue" w:cs="Helvetica Neue"/>
        </w:rPr>
        <w:t>l mantenimiento o a la reparación del sistema de control de emisiones, almacenar y proveer acceso a las ocurrencias de defectos y o fallas en los sistemas de control y contar con información sobre el estado de mantenimiento y reparación de los sistemas del</w:t>
      </w:r>
      <w:r>
        <w:rPr>
          <w:rFonts w:ascii="Helvetica Neue" w:eastAsia="Helvetica Neue" w:hAnsi="Helvetica Neue" w:cs="Helvetica Neue"/>
        </w:rPr>
        <w:t xml:space="preserve"> control de emisiones.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Urban bus: </w:t>
      </w:r>
      <w:r>
        <w:rPr>
          <w:rFonts w:ascii="Helvetica Neue" w:eastAsia="Helvetica Neue" w:hAnsi="Helvetica Neue" w:cs="Helvetica Neue"/>
        </w:rPr>
        <w:t>Vehículo propulsado por un HHDV, diseñado para transportar 15 o más pasajeros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 xml:space="preserve">Vehículo Ciclo Diésel: </w:t>
      </w:r>
      <w:r>
        <w:rPr>
          <w:rFonts w:ascii="Helvetica Neue" w:eastAsia="Helvetica Neue" w:hAnsi="Helvetica Neue" w:cs="Helvetica Neue"/>
        </w:rPr>
        <w:t>Vehículo que opera con un motor de combustión interna cuya función se basa en un ciclo termodinámico, en el cual se inyec</w:t>
      </w:r>
      <w:r>
        <w:rPr>
          <w:rFonts w:ascii="Helvetica Neue" w:eastAsia="Helvetica Neue" w:hAnsi="Helvetica Neue" w:cs="Helvetica Neue"/>
        </w:rPr>
        <w:t>ta en la cámara de combustión el combustible después de haberse realizado una compresión de aire por el pistón. La relación de compresión de la carga del aire es lo suficientemente alta como para encender el combustible inyectado, es decir, el calor se apo</w:t>
      </w:r>
      <w:r>
        <w:rPr>
          <w:rFonts w:ascii="Helvetica Neue" w:eastAsia="Helvetica Neue" w:hAnsi="Helvetica Neue" w:cs="Helvetica Neue"/>
        </w:rPr>
        <w:t>rta a presión constante. Para efectos de esta Ley, se incluyen los vehículos ciclo Diésel que operen con combustible diésel y sus mezclas con biodiésel, gas natural o gas licuado de petróleo.</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WHSC: World Harmonized Stationary Cycle.</w:t>
      </w:r>
      <w:r>
        <w:rPr>
          <w:rFonts w:ascii="Helvetica Neue" w:eastAsia="Helvetica Neue" w:hAnsi="Helvetica Neue" w:cs="Helvetica Neue"/>
        </w:rPr>
        <w:t xml:space="preserve"> Programa de pruebas din</w:t>
      </w:r>
      <w:r>
        <w:rPr>
          <w:rFonts w:ascii="Helvetica Neue" w:eastAsia="Helvetica Neue" w:hAnsi="Helvetica Neue" w:cs="Helvetica Neue"/>
        </w:rPr>
        <w:t xml:space="preserve">ámicas en régimen estable o estado estacionario, definido por el reglamento técnico mundial (GTR) No. 4 y desarrollado por el grupo ECPE GRPE de la ONU bajo procedimiento mundial de certificación armonizada de servicio pesado (WHDC) para las emisiones del </w:t>
      </w:r>
      <w:r>
        <w:rPr>
          <w:rFonts w:ascii="Helvetica Neue" w:eastAsia="Helvetica Neue" w:hAnsi="Helvetica Neue" w:cs="Helvetica Neue"/>
        </w:rPr>
        <w:t>escape del motor.</w:t>
      </w:r>
    </w:p>
    <w:p w:rsidR="003345DF" w:rsidRDefault="00BE610B">
      <w:pPr>
        <w:spacing w:after="0"/>
        <w:ind w:firstLine="0"/>
        <w:jc w:val="both"/>
        <w:rPr>
          <w:rFonts w:ascii="Helvetica Neue" w:eastAsia="Helvetica Neue" w:hAnsi="Helvetica Neue" w:cs="Helvetica Neue"/>
          <w:b/>
        </w:rPr>
      </w:pPr>
      <w:r>
        <w:rPr>
          <w:rFonts w:ascii="Helvetica Neue" w:eastAsia="Helvetica Neue" w:hAnsi="Helvetica Neue" w:cs="Helvetica Neue"/>
          <w:b/>
        </w:rPr>
        <w:t>WHTC: World Harmonized Transient Cycle.</w:t>
      </w:r>
      <w:r>
        <w:rPr>
          <w:rFonts w:ascii="Helvetica Neue" w:eastAsia="Helvetica Neue" w:hAnsi="Helvetica Neue" w:cs="Helvetica Neue"/>
        </w:rPr>
        <w:t xml:space="preserve"> Programa de pruebas dinámicas en régimen transitorio o trasiente, definido por el reglamento técnico mundial (GTR) No. 4 y desarrollado por el grupo ECPE GRPE de la ONU bajo procedimiento mundial de</w:t>
      </w:r>
      <w:r>
        <w:rPr>
          <w:rFonts w:ascii="Helvetica Neue" w:eastAsia="Helvetica Neue" w:hAnsi="Helvetica Neue" w:cs="Helvetica Neue"/>
        </w:rPr>
        <w:t xml:space="preserve"> certificación armonizada de servicio pesado (WHDC) para las emisiones del escape del motor, y se basa en el patrón mundial de uso real de vehículos comerciales pesados.</w:t>
      </w: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WLTC: Worldwide harmonized Light vehicules Test Cycles.</w:t>
      </w:r>
      <w:r>
        <w:rPr>
          <w:rFonts w:ascii="Helvetica Neue" w:eastAsia="Helvetica Neue" w:hAnsi="Helvetica Neue" w:cs="Helvetica Neue"/>
        </w:rPr>
        <w:t xml:space="preserve"> Prueba realizada en dinamómetr</w:t>
      </w:r>
      <w:r>
        <w:rPr>
          <w:rFonts w:ascii="Helvetica Neue" w:eastAsia="Helvetica Neue" w:hAnsi="Helvetica Neue" w:cs="Helvetica Neue"/>
        </w:rPr>
        <w:t>o de chasis para la determinación de emisiones y  consumo de combustible de vehículos ligeros.</w:t>
      </w:r>
    </w:p>
    <w:p w:rsidR="003345DF" w:rsidRDefault="003345DF">
      <w:pPr>
        <w:spacing w:after="0"/>
        <w:ind w:firstLine="0"/>
        <w:jc w:val="both"/>
        <w:rPr>
          <w:rFonts w:ascii="Helvetica Neue" w:eastAsia="Helvetica Neue" w:hAnsi="Helvetica Neue" w:cs="Helvetica Neue"/>
        </w:rPr>
      </w:pPr>
    </w:p>
    <w:p w:rsidR="003345DF" w:rsidRDefault="00BE610B">
      <w:pPr>
        <w:spacing w:after="0"/>
        <w:ind w:firstLine="0"/>
        <w:jc w:val="both"/>
        <w:rPr>
          <w:rFonts w:ascii="Helvetica Neue" w:eastAsia="Helvetica Neue" w:hAnsi="Helvetica Neue" w:cs="Helvetica Neue"/>
        </w:rPr>
      </w:pPr>
      <w:r>
        <w:rPr>
          <w:rFonts w:ascii="Helvetica Neue" w:eastAsia="Helvetica Neue" w:hAnsi="Helvetica Neue" w:cs="Helvetica Neue"/>
          <w:b/>
        </w:rPr>
        <w:t>Artículo 3°.</w:t>
      </w:r>
      <w:r>
        <w:rPr>
          <w:rFonts w:ascii="Helvetica Neue" w:eastAsia="Helvetica Neue" w:hAnsi="Helvetica Neue" w:cs="Helvetica Neue"/>
        </w:rPr>
        <w:t xml:space="preserve"> </w:t>
      </w:r>
      <w:r>
        <w:rPr>
          <w:rFonts w:ascii="Helvetica Neue" w:eastAsia="Helvetica Neue" w:hAnsi="Helvetica Neue" w:cs="Helvetica Neue"/>
          <w:b/>
          <w:i/>
        </w:rPr>
        <w:t xml:space="preserve">Vehículos pesados nuevos con motores diesel. </w:t>
      </w:r>
      <w:r>
        <w:rPr>
          <w:rFonts w:ascii="Helvetica Neue" w:eastAsia="Helvetica Neue" w:hAnsi="Helvetica Neue" w:cs="Helvetica Neue"/>
        </w:rPr>
        <w:t>A partir del 1° de enero de 2020, todos los vehículos de carga nuevos con motor de ciclo diésel, que s</w:t>
      </w:r>
      <w:r>
        <w:rPr>
          <w:rFonts w:ascii="Helvetica Neue" w:eastAsia="Helvetica Neue" w:hAnsi="Helvetica Neue" w:cs="Helvetica Neue"/>
        </w:rPr>
        <w:t>e importen o ensamblen en el país, deben cumplir con los límites máximos de emisión en prueba dinámica definidos a continuación:</w:t>
      </w:r>
    </w:p>
    <w:p w:rsidR="003345DF" w:rsidRDefault="003345DF">
      <w:pPr>
        <w:spacing w:after="0"/>
        <w:ind w:firstLine="0"/>
        <w:jc w:val="both"/>
        <w:rPr>
          <w:rFonts w:ascii="Helvetica Neue" w:eastAsia="Helvetica Neue" w:hAnsi="Helvetica Neue" w:cs="Helvetica Neue"/>
        </w:rPr>
      </w:pPr>
    </w:p>
    <w:p w:rsidR="003345DF" w:rsidRDefault="00BE610B">
      <w:pPr>
        <w:keepNext/>
        <w:spacing w:after="0"/>
        <w:ind w:firstLine="0"/>
        <w:jc w:val="both"/>
        <w:rPr>
          <w:rFonts w:ascii="Helvetica Neue" w:eastAsia="Helvetica Neue" w:hAnsi="Helvetica Neue" w:cs="Helvetica Neue"/>
          <w:sz w:val="20"/>
          <w:szCs w:val="20"/>
        </w:rPr>
      </w:pPr>
      <w:r>
        <w:rPr>
          <w:rFonts w:ascii="Helvetica Neue" w:eastAsia="Helvetica Neue" w:hAnsi="Helvetica Neue" w:cs="Helvetica Neue"/>
        </w:rPr>
        <w:t>Límites máximos de emisiones permisibles para motores ciclo diesel de vehículos pesados, evaluados mediante ciclos de la Unión</w:t>
      </w:r>
      <w:r>
        <w:rPr>
          <w:rFonts w:ascii="Helvetica Neue" w:eastAsia="Helvetica Neue" w:hAnsi="Helvetica Neue" w:cs="Helvetica Neue"/>
        </w:rPr>
        <w:t xml:space="preserve"> Europea (ESC - ETC). </w:t>
      </w:r>
    </w:p>
    <w:tbl>
      <w:tblPr>
        <w:tblStyle w:val="a"/>
        <w:tblW w:w="8815" w:type="dxa"/>
        <w:jc w:val="center"/>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1015"/>
        <w:gridCol w:w="1500"/>
        <w:gridCol w:w="765"/>
        <w:gridCol w:w="993"/>
        <w:gridCol w:w="1136"/>
        <w:gridCol w:w="995"/>
        <w:gridCol w:w="1136"/>
        <w:gridCol w:w="1275"/>
      </w:tblGrid>
      <w:tr w:rsidR="003345DF">
        <w:trPr>
          <w:trHeight w:val="440"/>
          <w:jc w:val="center"/>
        </w:trPr>
        <w:tc>
          <w:tcPr>
            <w:tcW w:w="1015" w:type="dxa"/>
            <w:vMerge w:val="restart"/>
            <w:tcBorders>
              <w:top w:val="single" w:sz="8" w:space="0" w:color="000000"/>
              <w:left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Ciclo</w:t>
            </w:r>
          </w:p>
        </w:tc>
        <w:tc>
          <w:tcPr>
            <w:tcW w:w="1500" w:type="dxa"/>
            <w:vMerge w:val="restart"/>
            <w:tcBorders>
              <w:top w:val="single" w:sz="8" w:space="0" w:color="000000"/>
              <w:left w:val="single" w:sz="8" w:space="0" w:color="000000"/>
              <w:right w:val="single" w:sz="8" w:space="0" w:color="000000"/>
            </w:tcBorders>
            <w:shd w:val="clear" w:color="auto" w:fill="FFFFFF"/>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Subcategoría</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CO</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HC</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HCNM</w:t>
            </w:r>
          </w:p>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NOx</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PM</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NP</w:t>
            </w:r>
          </w:p>
        </w:tc>
      </w:tr>
      <w:tr w:rsidR="003345DF">
        <w:trPr>
          <w:trHeight w:val="260"/>
          <w:jc w:val="center"/>
        </w:trPr>
        <w:tc>
          <w:tcPr>
            <w:tcW w:w="1015" w:type="dxa"/>
            <w:vMerge/>
            <w:tcBorders>
              <w:top w:val="single" w:sz="8" w:space="0" w:color="000000"/>
              <w:left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3345DF">
            <w:pPr>
              <w:widowControl w:val="0"/>
              <w:spacing w:after="0" w:line="276" w:lineRule="auto"/>
              <w:ind w:firstLine="0"/>
              <w:rPr>
                <w:rFonts w:ascii="Helvetica Neue" w:eastAsia="Helvetica Neue" w:hAnsi="Helvetica Neue" w:cs="Helvetica Neue"/>
                <w:sz w:val="20"/>
                <w:szCs w:val="20"/>
              </w:rPr>
            </w:pPr>
          </w:p>
        </w:tc>
        <w:tc>
          <w:tcPr>
            <w:tcW w:w="1500" w:type="dxa"/>
            <w:vMerge/>
            <w:tcBorders>
              <w:top w:val="single" w:sz="8" w:space="0" w:color="000000"/>
              <w:left w:val="single" w:sz="8" w:space="0" w:color="000000"/>
              <w:right w:val="single" w:sz="8" w:space="0" w:color="000000"/>
            </w:tcBorders>
            <w:shd w:val="clear" w:color="auto" w:fill="FFFFFF"/>
            <w:vAlign w:val="center"/>
          </w:tcPr>
          <w:p w:rsidR="003345DF" w:rsidRDefault="003345DF">
            <w:pPr>
              <w:widowControl w:val="0"/>
              <w:spacing w:after="0" w:line="276" w:lineRule="auto"/>
              <w:ind w:firstLine="0"/>
              <w:rPr>
                <w:rFonts w:ascii="Helvetica Neue" w:eastAsia="Helvetica Neue" w:hAnsi="Helvetica Neue" w:cs="Helvetica Neue"/>
                <w:sz w:val="20"/>
                <w:szCs w:val="20"/>
              </w:rPr>
            </w:pPr>
          </w:p>
          <w:p w:rsidR="003345DF" w:rsidRDefault="003345DF">
            <w:pPr>
              <w:widowControl w:val="0"/>
              <w:spacing w:after="0"/>
              <w:ind w:firstLine="0"/>
              <w:rPr>
                <w:rFonts w:ascii="Helvetica Neue" w:eastAsia="Helvetica Neue" w:hAnsi="Helvetica Neue" w:cs="Helvetica Neue"/>
                <w:sz w:val="20"/>
                <w:szCs w:val="20"/>
              </w:rPr>
            </w:pPr>
          </w:p>
          <w:p w:rsidR="003345DF" w:rsidRDefault="003345DF">
            <w:pPr>
              <w:spacing w:before="100" w:after="100"/>
              <w:ind w:hanging="2"/>
              <w:jc w:val="center"/>
              <w:rPr>
                <w:rFonts w:ascii="Helvetica Neue" w:eastAsia="Helvetica Neue" w:hAnsi="Helvetica Neue" w:cs="Helvetica Neue"/>
                <w:sz w:val="20"/>
                <w:szCs w:val="20"/>
              </w:rPr>
            </w:pPr>
          </w:p>
          <w:p w:rsidR="003345DF" w:rsidRDefault="003345DF">
            <w:pPr>
              <w:spacing w:before="100" w:after="100"/>
              <w:ind w:hanging="2"/>
              <w:jc w:val="center"/>
              <w:rPr>
                <w:rFonts w:ascii="Helvetica Neue" w:eastAsia="Helvetica Neue" w:hAnsi="Helvetica Neue" w:cs="Helvetica Neue"/>
                <w:sz w:val="20"/>
                <w:szCs w:val="20"/>
              </w:rPr>
            </w:pPr>
          </w:p>
        </w:tc>
        <w:tc>
          <w:tcPr>
            <w:tcW w:w="5025"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g/kW-h</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1/kW-h</w:t>
            </w:r>
          </w:p>
        </w:tc>
      </w:tr>
      <w:tr w:rsidR="003345DF">
        <w:trPr>
          <w:trHeight w:val="260"/>
          <w:jc w:val="center"/>
        </w:trPr>
        <w:tc>
          <w:tcPr>
            <w:tcW w:w="10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ESC</w:t>
            </w:r>
          </w:p>
        </w:tc>
        <w:tc>
          <w:tcPr>
            <w:tcW w:w="1500" w:type="dxa"/>
            <w:vMerge w:val="restart"/>
            <w:tcBorders>
              <w:top w:val="single" w:sz="8" w:space="0" w:color="000000"/>
              <w:left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N2, N3, </w:t>
            </w:r>
          </w:p>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M2, M3</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1,50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0,46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w:t>
            </w:r>
          </w:p>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3,50</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0,02</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1x10</w:t>
            </w:r>
            <w:r>
              <w:rPr>
                <w:rFonts w:ascii="Helvetica Neue" w:eastAsia="Helvetica Neue" w:hAnsi="Helvetica Neue" w:cs="Helvetica Neue"/>
                <w:sz w:val="20"/>
                <w:szCs w:val="20"/>
                <w:vertAlign w:val="superscript"/>
              </w:rPr>
              <w:t>12</w:t>
            </w:r>
          </w:p>
        </w:tc>
      </w:tr>
      <w:tr w:rsidR="003345DF">
        <w:trPr>
          <w:trHeight w:val="260"/>
          <w:jc w:val="center"/>
        </w:trPr>
        <w:tc>
          <w:tcPr>
            <w:tcW w:w="10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ETC</w:t>
            </w:r>
          </w:p>
        </w:tc>
        <w:tc>
          <w:tcPr>
            <w:tcW w:w="1500" w:type="dxa"/>
            <w:vMerge/>
            <w:tcBorders>
              <w:top w:val="single" w:sz="8" w:space="0" w:color="000000"/>
              <w:left w:val="single" w:sz="8" w:space="0" w:color="000000"/>
              <w:right w:val="single" w:sz="8" w:space="0" w:color="000000"/>
            </w:tcBorders>
            <w:shd w:val="clear" w:color="auto" w:fill="FFFFFF"/>
          </w:tcPr>
          <w:p w:rsidR="003345DF" w:rsidRDefault="003345DF">
            <w:pPr>
              <w:spacing w:before="100" w:after="100"/>
              <w:ind w:hanging="2"/>
              <w:jc w:val="center"/>
              <w:rPr>
                <w:rFonts w:ascii="Helvetica Neue" w:eastAsia="Helvetica Neue" w:hAnsi="Helvetica Neue" w:cs="Helvetica Neue"/>
                <w:sz w:val="20"/>
                <w:szCs w:val="20"/>
              </w:rPr>
            </w:pP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4,00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0,55</w:t>
            </w:r>
          </w:p>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3,50</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0,03</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1x10</w:t>
            </w:r>
            <w:r>
              <w:rPr>
                <w:rFonts w:ascii="Helvetica Neue" w:eastAsia="Helvetica Neue" w:hAnsi="Helvetica Neue" w:cs="Helvetica Neue"/>
                <w:sz w:val="20"/>
                <w:szCs w:val="20"/>
                <w:vertAlign w:val="superscript"/>
              </w:rPr>
              <w:t>12</w:t>
            </w:r>
          </w:p>
        </w:tc>
      </w:tr>
    </w:tbl>
    <w:p w:rsidR="003345DF" w:rsidRDefault="003345DF">
      <w:pPr>
        <w:keepNext/>
        <w:spacing w:after="0"/>
        <w:ind w:firstLine="0"/>
        <w:jc w:val="center"/>
        <w:rPr>
          <w:rFonts w:ascii="Helvetica Neue" w:eastAsia="Helvetica Neue" w:hAnsi="Helvetica Neue" w:cs="Helvetica Neue"/>
          <w:sz w:val="20"/>
          <w:szCs w:val="20"/>
        </w:rPr>
      </w:pPr>
    </w:p>
    <w:p w:rsidR="003345DF" w:rsidRDefault="00BE610B">
      <w:pPr>
        <w:keepNext/>
        <w:spacing w:after="0"/>
        <w:ind w:firstLine="0"/>
        <w:jc w:val="both"/>
        <w:rPr>
          <w:rFonts w:ascii="Helvetica Neue" w:eastAsia="Helvetica Neue" w:hAnsi="Helvetica Neue" w:cs="Helvetica Neue"/>
        </w:rPr>
      </w:pPr>
      <w:r>
        <w:rPr>
          <w:rFonts w:ascii="Helvetica Neue" w:eastAsia="Helvetica Neue" w:hAnsi="Helvetica Neue" w:cs="Helvetica Neue"/>
        </w:rPr>
        <w:t xml:space="preserve">Límites máximos de emisiones permisibles para motores ciclo diesel de vehículos pesados, evaluados mediante ciclos de Estados Unidos (FTP). </w:t>
      </w:r>
    </w:p>
    <w:tbl>
      <w:tblPr>
        <w:tblStyle w:val="a0"/>
        <w:tblW w:w="8810" w:type="dxa"/>
        <w:jc w:val="center"/>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1419"/>
        <w:gridCol w:w="1440"/>
        <w:gridCol w:w="1200"/>
        <w:gridCol w:w="1325"/>
        <w:gridCol w:w="1408"/>
        <w:gridCol w:w="1009"/>
        <w:gridCol w:w="1009"/>
      </w:tblGrid>
      <w:tr w:rsidR="003345DF">
        <w:trPr>
          <w:trHeight w:val="260"/>
          <w:jc w:val="center"/>
        </w:trPr>
        <w:tc>
          <w:tcPr>
            <w:tcW w:w="1419" w:type="dxa"/>
            <w:vMerge w:val="restart"/>
            <w:tcBorders>
              <w:top w:val="single" w:sz="8" w:space="0" w:color="000000"/>
              <w:left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Ciclo</w:t>
            </w:r>
          </w:p>
        </w:tc>
        <w:tc>
          <w:tcPr>
            <w:tcW w:w="1440" w:type="dxa"/>
            <w:vMerge w:val="restart"/>
            <w:tcBorders>
              <w:top w:val="single" w:sz="8" w:space="0" w:color="000000"/>
              <w:left w:val="single" w:sz="8" w:space="0" w:color="000000"/>
              <w:right w:val="single" w:sz="8" w:space="0" w:color="000000"/>
            </w:tcBorders>
            <w:shd w:val="clear" w:color="auto" w:fill="FFFFFF"/>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Subcategoría</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CO</w:t>
            </w:r>
          </w:p>
        </w:tc>
        <w:tc>
          <w:tcPr>
            <w:tcW w:w="132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HC</w:t>
            </w:r>
          </w:p>
        </w:tc>
        <w:tc>
          <w:tcPr>
            <w:tcW w:w="14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NOx</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PM</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NP</w:t>
            </w:r>
          </w:p>
        </w:tc>
      </w:tr>
      <w:tr w:rsidR="003345DF">
        <w:trPr>
          <w:trHeight w:val="260"/>
          <w:jc w:val="center"/>
        </w:trPr>
        <w:tc>
          <w:tcPr>
            <w:tcW w:w="1419" w:type="dxa"/>
            <w:vMerge/>
            <w:tcBorders>
              <w:top w:val="single" w:sz="8" w:space="0" w:color="000000"/>
              <w:left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3345DF">
            <w:pPr>
              <w:widowControl w:val="0"/>
              <w:spacing w:after="0" w:line="276" w:lineRule="auto"/>
              <w:ind w:firstLine="0"/>
              <w:rPr>
                <w:rFonts w:ascii="Helvetica Neue" w:eastAsia="Helvetica Neue" w:hAnsi="Helvetica Neue" w:cs="Helvetica Neue"/>
                <w:sz w:val="20"/>
                <w:szCs w:val="20"/>
              </w:rPr>
            </w:pPr>
          </w:p>
        </w:tc>
        <w:tc>
          <w:tcPr>
            <w:tcW w:w="1440" w:type="dxa"/>
            <w:vMerge/>
            <w:tcBorders>
              <w:top w:val="single" w:sz="8" w:space="0" w:color="000000"/>
              <w:left w:val="single" w:sz="8" w:space="0" w:color="000000"/>
              <w:right w:val="single" w:sz="8" w:space="0" w:color="000000"/>
            </w:tcBorders>
            <w:shd w:val="clear" w:color="auto" w:fill="FFFFFF"/>
            <w:vAlign w:val="center"/>
          </w:tcPr>
          <w:p w:rsidR="003345DF" w:rsidRDefault="003345DF">
            <w:pPr>
              <w:widowControl w:val="0"/>
              <w:spacing w:after="0" w:line="276" w:lineRule="auto"/>
              <w:ind w:firstLine="0"/>
              <w:rPr>
                <w:rFonts w:ascii="Helvetica Neue" w:eastAsia="Helvetica Neue" w:hAnsi="Helvetica Neue" w:cs="Helvetica Neue"/>
                <w:sz w:val="20"/>
                <w:szCs w:val="20"/>
              </w:rPr>
            </w:pPr>
          </w:p>
          <w:p w:rsidR="003345DF" w:rsidRDefault="003345DF">
            <w:pPr>
              <w:widowControl w:val="0"/>
              <w:spacing w:after="0"/>
              <w:ind w:firstLine="0"/>
              <w:rPr>
                <w:rFonts w:ascii="Helvetica Neue" w:eastAsia="Helvetica Neue" w:hAnsi="Helvetica Neue" w:cs="Helvetica Neue"/>
                <w:sz w:val="20"/>
                <w:szCs w:val="20"/>
              </w:rPr>
            </w:pPr>
          </w:p>
          <w:p w:rsidR="003345DF" w:rsidRDefault="003345DF">
            <w:pPr>
              <w:spacing w:before="100" w:after="100"/>
              <w:ind w:hanging="2"/>
              <w:jc w:val="center"/>
              <w:rPr>
                <w:rFonts w:ascii="Helvetica Neue" w:eastAsia="Helvetica Neue" w:hAnsi="Helvetica Neue" w:cs="Helvetica Neue"/>
                <w:sz w:val="20"/>
                <w:szCs w:val="20"/>
              </w:rPr>
            </w:pPr>
          </w:p>
          <w:p w:rsidR="003345DF" w:rsidRDefault="003345DF">
            <w:pPr>
              <w:spacing w:before="100" w:after="100"/>
              <w:ind w:hanging="2"/>
              <w:jc w:val="center"/>
              <w:rPr>
                <w:rFonts w:ascii="Helvetica Neue" w:eastAsia="Helvetica Neue" w:hAnsi="Helvetica Neue" w:cs="Helvetica Neue"/>
                <w:sz w:val="20"/>
                <w:szCs w:val="20"/>
              </w:rPr>
            </w:pPr>
          </w:p>
        </w:tc>
        <w:tc>
          <w:tcPr>
            <w:tcW w:w="4942"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g/bhp-h</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1/bhp-h</w:t>
            </w:r>
          </w:p>
        </w:tc>
      </w:tr>
      <w:tr w:rsidR="003345DF">
        <w:trPr>
          <w:trHeight w:val="260"/>
          <w:jc w:val="center"/>
        </w:trPr>
        <w:tc>
          <w:tcPr>
            <w:tcW w:w="14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FTP</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HDV*</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15,50</w:t>
            </w:r>
          </w:p>
        </w:tc>
        <w:tc>
          <w:tcPr>
            <w:tcW w:w="132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1,30</w:t>
            </w:r>
          </w:p>
        </w:tc>
        <w:tc>
          <w:tcPr>
            <w:tcW w:w="14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4,00</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0,05</w:t>
            </w:r>
          </w:p>
        </w:tc>
        <w:tc>
          <w:tcPr>
            <w:tcW w:w="1009"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sz w:val="20"/>
                <w:szCs w:val="20"/>
              </w:rPr>
            </w:pPr>
            <w:r>
              <w:rPr>
                <w:rFonts w:ascii="Helvetica Neue" w:eastAsia="Helvetica Neue" w:hAnsi="Helvetica Neue" w:cs="Helvetica Neue"/>
                <w:sz w:val="20"/>
                <w:szCs w:val="20"/>
              </w:rPr>
              <w:t>8x10</w:t>
            </w:r>
            <w:r>
              <w:rPr>
                <w:rFonts w:ascii="Helvetica Neue" w:eastAsia="Helvetica Neue" w:hAnsi="Helvetica Neue" w:cs="Helvetica Neue"/>
                <w:sz w:val="20"/>
                <w:szCs w:val="20"/>
                <w:vertAlign w:val="superscript"/>
              </w:rPr>
              <w:t>11</w:t>
            </w:r>
          </w:p>
        </w:tc>
      </w:tr>
    </w:tbl>
    <w:p w:rsidR="003345DF" w:rsidRDefault="003345DF">
      <w:pPr>
        <w:ind w:hanging="2"/>
        <w:jc w:val="both"/>
        <w:rPr>
          <w:rFonts w:ascii="Helvetica Neue" w:eastAsia="Helvetica Neue" w:hAnsi="Helvetica Neue" w:cs="Helvetica Neue"/>
          <w:sz w:val="20"/>
          <w:szCs w:val="20"/>
        </w:rPr>
      </w:pPr>
    </w:p>
    <w:p w:rsidR="003345DF" w:rsidRDefault="00BE610B">
      <w:pPr>
        <w:ind w:hanging="2"/>
        <w:jc w:val="both"/>
        <w:rPr>
          <w:rFonts w:ascii="Helvetica Neue" w:eastAsia="Helvetica Neue" w:hAnsi="Helvetica Neue" w:cs="Helvetica Neue"/>
          <w:color w:val="FF0000"/>
        </w:rPr>
      </w:pPr>
      <w:r>
        <w:rPr>
          <w:rFonts w:ascii="Helvetica Neue" w:eastAsia="Helvetica Neue" w:hAnsi="Helvetica Neue" w:cs="Helvetica Neue"/>
          <w:b/>
        </w:rPr>
        <w:t>Parágrafo 1.</w:t>
      </w:r>
      <w:r>
        <w:rPr>
          <w:rFonts w:ascii="Helvetica Neue" w:eastAsia="Helvetica Neue" w:hAnsi="Helvetica Neue" w:cs="Helvetica Neue"/>
          <w:color w:val="FF0000"/>
        </w:rPr>
        <w:t xml:space="preserve"> </w:t>
      </w:r>
      <w:r>
        <w:rPr>
          <w:rFonts w:ascii="Helvetica Neue" w:eastAsia="Helvetica Neue" w:hAnsi="Helvetica Neue" w:cs="Helvetica Neue"/>
        </w:rPr>
        <w:t>A partir del 1° de enero de 2020 los vehículos de servicio público de transporte terrestre de pasajeros y de transporte terrestre automotor de carga que se importen o ensamblen en el territorio nacional tendrán que cumplir con lo establecido en el presente</w:t>
      </w:r>
      <w:r>
        <w:rPr>
          <w:rFonts w:ascii="Helvetica Neue" w:eastAsia="Helvetica Neue" w:hAnsi="Helvetica Neue" w:cs="Helvetica Neue"/>
        </w:rPr>
        <w:t xml:space="preserve"> artículo. </w:t>
      </w:r>
    </w:p>
    <w:p w:rsidR="003345DF" w:rsidRDefault="00BE610B">
      <w:pPr>
        <w:ind w:hanging="2"/>
        <w:jc w:val="both"/>
        <w:rPr>
          <w:rFonts w:ascii="Helvetica Neue" w:eastAsia="Helvetica Neue" w:hAnsi="Helvetica Neue" w:cs="Helvetica Neue"/>
          <w:b/>
        </w:rPr>
      </w:pPr>
      <w:r>
        <w:rPr>
          <w:rFonts w:ascii="Helvetica Neue" w:eastAsia="Helvetica Neue" w:hAnsi="Helvetica Neue" w:cs="Helvetica Neue"/>
          <w:b/>
        </w:rPr>
        <w:t>Parágrafo 2.</w:t>
      </w:r>
      <w:r>
        <w:rPr>
          <w:rFonts w:ascii="Helvetica Neue" w:eastAsia="Helvetica Neue" w:hAnsi="Helvetica Neue" w:cs="Helvetica Neue"/>
        </w:rPr>
        <w:t xml:space="preserve"> Para obtener la aprobación del Certificado de Emisiones por Prueba Dinámica, el comercializador representante de marca, importador, fabricante o ensamblador debe presentar ante la Dirección de Licencias, Permisos y Trámites Ambient</w:t>
      </w:r>
      <w:r>
        <w:rPr>
          <w:rFonts w:ascii="Helvetica Neue" w:eastAsia="Helvetica Neue" w:hAnsi="Helvetica Neue" w:cs="Helvetica Neue"/>
        </w:rPr>
        <w:t>ales del Ministerio de Ambiente y Desarrollo Sostenible o quien haga sus veces, el formato respectivo acompañado con el reporte técnico de la prueba o ensayo. El Ministerio de Ambiente y Desarrollo Sostenible procederá a verificar que la información allega</w:t>
      </w:r>
      <w:r>
        <w:rPr>
          <w:rFonts w:ascii="Helvetica Neue" w:eastAsia="Helvetica Neue" w:hAnsi="Helvetica Neue" w:cs="Helvetica Neue"/>
        </w:rPr>
        <w:t>da en el formato respectivo cumple con los requisitos exigidos en la presente resolución</w:t>
      </w:r>
      <w:r>
        <w:rPr>
          <w:rFonts w:ascii="Arial" w:eastAsia="Arial" w:hAnsi="Arial" w:cs="Arial"/>
          <w:sz w:val="20"/>
          <w:szCs w:val="20"/>
          <w:highlight w:val="white"/>
        </w:rPr>
        <w:t>.</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b/>
        </w:rPr>
        <w:t xml:space="preserve">Artículo 4º. </w:t>
      </w:r>
      <w:r>
        <w:rPr>
          <w:rFonts w:ascii="Helvetica Neue" w:eastAsia="Helvetica Neue" w:hAnsi="Helvetica Neue" w:cs="Helvetica Neue"/>
          <w:b/>
          <w:i/>
        </w:rPr>
        <w:t>Vehículos pesados en uso, con motores diesel</w:t>
      </w:r>
      <w:r>
        <w:rPr>
          <w:rFonts w:ascii="Helvetica Neue" w:eastAsia="Helvetica Neue" w:hAnsi="Helvetica Neue" w:cs="Helvetica Neue"/>
          <w:b/>
        </w:rPr>
        <w:t xml:space="preserve">. </w:t>
      </w:r>
      <w:r>
        <w:rPr>
          <w:rFonts w:ascii="Helvetica Neue" w:eastAsia="Helvetica Neue" w:hAnsi="Helvetica Neue" w:cs="Helvetica Neue"/>
        </w:rPr>
        <w:t>A partir del 1º de enero de 2030, todos los vehículos de carga pesada con motor de ciclo diesel que se encu</w:t>
      </w:r>
      <w:r>
        <w:rPr>
          <w:rFonts w:ascii="Helvetica Neue" w:eastAsia="Helvetica Neue" w:hAnsi="Helvetica Neue" w:cs="Helvetica Neue"/>
        </w:rPr>
        <w:t>entren circulando en el territorio nacional, deberán cumplir con los límites definidos a continuación:</w:t>
      </w:r>
    </w:p>
    <w:p w:rsidR="003345DF" w:rsidRDefault="00BE610B">
      <w:pPr>
        <w:keepNext/>
        <w:spacing w:after="0"/>
        <w:ind w:firstLine="0"/>
        <w:jc w:val="both"/>
        <w:rPr>
          <w:rFonts w:ascii="Helvetica Neue" w:eastAsia="Helvetica Neue" w:hAnsi="Helvetica Neue" w:cs="Helvetica Neue"/>
          <w:sz w:val="22"/>
          <w:szCs w:val="22"/>
        </w:rPr>
      </w:pPr>
      <w:r>
        <w:rPr>
          <w:rFonts w:ascii="Helvetica Neue" w:eastAsia="Helvetica Neue" w:hAnsi="Helvetica Neue" w:cs="Helvetica Neue"/>
        </w:rPr>
        <w:t xml:space="preserve">Límites máximos de emisiones permisibles para motores ciclo </w:t>
      </w:r>
      <w:r w:rsidR="00740A48">
        <w:rPr>
          <w:rFonts w:ascii="Helvetica Neue" w:eastAsia="Helvetica Neue" w:hAnsi="Helvetica Neue" w:cs="Helvetica Neue"/>
        </w:rPr>
        <w:t>diésel</w:t>
      </w:r>
      <w:r>
        <w:rPr>
          <w:rFonts w:ascii="Helvetica Neue" w:eastAsia="Helvetica Neue" w:hAnsi="Helvetica Neue" w:cs="Helvetica Neue"/>
        </w:rPr>
        <w:t xml:space="preserve"> de vehículos pesados, evaluados mediante ciclos de la Unión Europea (WHSC - WHTC):</w:t>
      </w:r>
    </w:p>
    <w:tbl>
      <w:tblPr>
        <w:tblStyle w:val="a1"/>
        <w:tblW w:w="8815" w:type="dxa"/>
        <w:jc w:val="center"/>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1015"/>
        <w:gridCol w:w="1590"/>
        <w:gridCol w:w="945"/>
        <w:gridCol w:w="870"/>
        <w:gridCol w:w="1140"/>
        <w:gridCol w:w="1005"/>
        <w:gridCol w:w="975"/>
        <w:gridCol w:w="1275"/>
      </w:tblGrid>
      <w:tr w:rsidR="003345DF">
        <w:trPr>
          <w:trHeight w:val="260"/>
          <w:jc w:val="center"/>
        </w:trPr>
        <w:tc>
          <w:tcPr>
            <w:tcW w:w="1015" w:type="dxa"/>
            <w:vMerge w:val="restart"/>
            <w:tcBorders>
              <w:top w:val="single" w:sz="8" w:space="0" w:color="000000"/>
              <w:left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Ciclo</w:t>
            </w:r>
          </w:p>
        </w:tc>
        <w:tc>
          <w:tcPr>
            <w:tcW w:w="1590" w:type="dxa"/>
            <w:vMerge w:val="restart"/>
            <w:tcBorders>
              <w:top w:val="single" w:sz="8" w:space="0" w:color="000000"/>
              <w:left w:val="single" w:sz="8" w:space="0" w:color="000000"/>
              <w:right w:val="single" w:sz="8" w:space="0" w:color="000000"/>
            </w:tcBorders>
            <w:shd w:val="clear" w:color="auto" w:fill="FFFFFF"/>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Subcategoría</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CO</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HC</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HCNM</w:t>
            </w:r>
          </w:p>
        </w:tc>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NOx</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PM</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NP</w:t>
            </w:r>
          </w:p>
        </w:tc>
      </w:tr>
      <w:tr w:rsidR="003345DF">
        <w:trPr>
          <w:trHeight w:val="260"/>
          <w:jc w:val="center"/>
        </w:trPr>
        <w:tc>
          <w:tcPr>
            <w:tcW w:w="1015" w:type="dxa"/>
            <w:vMerge/>
            <w:tcBorders>
              <w:top w:val="single" w:sz="8" w:space="0" w:color="000000"/>
              <w:left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3345DF">
            <w:pPr>
              <w:widowControl w:val="0"/>
              <w:spacing w:after="0" w:line="276" w:lineRule="auto"/>
              <w:ind w:firstLine="0"/>
              <w:rPr>
                <w:rFonts w:ascii="Helvetica Neue" w:eastAsia="Helvetica Neue" w:hAnsi="Helvetica Neue" w:cs="Helvetica Neue"/>
              </w:rPr>
            </w:pPr>
          </w:p>
        </w:tc>
        <w:tc>
          <w:tcPr>
            <w:tcW w:w="1590" w:type="dxa"/>
            <w:vMerge/>
            <w:tcBorders>
              <w:top w:val="single" w:sz="8" w:space="0" w:color="000000"/>
              <w:left w:val="single" w:sz="8" w:space="0" w:color="000000"/>
              <w:right w:val="single" w:sz="8" w:space="0" w:color="000000"/>
            </w:tcBorders>
            <w:shd w:val="clear" w:color="auto" w:fill="FFFFFF"/>
            <w:vAlign w:val="center"/>
          </w:tcPr>
          <w:p w:rsidR="003345DF" w:rsidRDefault="003345DF">
            <w:pPr>
              <w:widowControl w:val="0"/>
              <w:spacing w:after="0" w:line="276" w:lineRule="auto"/>
              <w:ind w:firstLine="0"/>
              <w:rPr>
                <w:rFonts w:ascii="Helvetica Neue" w:eastAsia="Helvetica Neue" w:hAnsi="Helvetica Neue" w:cs="Helvetica Neue"/>
              </w:rPr>
            </w:pPr>
          </w:p>
          <w:p w:rsidR="003345DF" w:rsidRDefault="003345DF">
            <w:pPr>
              <w:widowControl w:val="0"/>
              <w:spacing w:after="0"/>
              <w:ind w:firstLine="0"/>
              <w:rPr>
                <w:rFonts w:ascii="Helvetica Neue" w:eastAsia="Helvetica Neue" w:hAnsi="Helvetica Neue" w:cs="Helvetica Neue"/>
              </w:rPr>
            </w:pPr>
          </w:p>
          <w:p w:rsidR="003345DF" w:rsidRDefault="003345DF">
            <w:pPr>
              <w:spacing w:before="100" w:after="100"/>
              <w:ind w:hanging="2"/>
              <w:jc w:val="center"/>
              <w:rPr>
                <w:rFonts w:ascii="Helvetica Neue" w:eastAsia="Helvetica Neue" w:hAnsi="Helvetica Neue" w:cs="Helvetica Neue"/>
              </w:rPr>
            </w:pPr>
          </w:p>
          <w:p w:rsidR="003345DF" w:rsidRDefault="003345DF">
            <w:pPr>
              <w:spacing w:before="100" w:after="100"/>
              <w:ind w:hanging="2"/>
              <w:jc w:val="center"/>
              <w:rPr>
                <w:rFonts w:ascii="Helvetica Neue" w:eastAsia="Helvetica Neue" w:hAnsi="Helvetica Neue" w:cs="Helvetica Neue"/>
              </w:rPr>
            </w:pPr>
          </w:p>
        </w:tc>
        <w:tc>
          <w:tcPr>
            <w:tcW w:w="4935"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g/kW-h</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1/kW-h</w:t>
            </w:r>
          </w:p>
        </w:tc>
      </w:tr>
      <w:tr w:rsidR="003345DF">
        <w:trPr>
          <w:trHeight w:val="260"/>
          <w:jc w:val="center"/>
        </w:trPr>
        <w:tc>
          <w:tcPr>
            <w:tcW w:w="10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WHSC</w:t>
            </w:r>
          </w:p>
        </w:tc>
        <w:tc>
          <w:tcPr>
            <w:tcW w:w="1590" w:type="dxa"/>
            <w:vMerge w:val="restart"/>
            <w:tcBorders>
              <w:top w:val="single" w:sz="8" w:space="0" w:color="000000"/>
              <w:left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 xml:space="preserve">N2, N3, </w:t>
            </w:r>
          </w:p>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M2, M3</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1,50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0,13</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w:t>
            </w:r>
          </w:p>
        </w:tc>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0,40</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8x10</w:t>
            </w:r>
            <w:r>
              <w:rPr>
                <w:rFonts w:ascii="Helvetica Neue" w:eastAsia="Helvetica Neue" w:hAnsi="Helvetica Neue" w:cs="Helvetica Neue"/>
                <w:vertAlign w:val="superscript"/>
              </w:rPr>
              <w:t>11</w:t>
            </w:r>
          </w:p>
        </w:tc>
      </w:tr>
      <w:tr w:rsidR="003345DF">
        <w:trPr>
          <w:trHeight w:val="260"/>
          <w:jc w:val="center"/>
        </w:trPr>
        <w:tc>
          <w:tcPr>
            <w:tcW w:w="10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WHTC</w:t>
            </w:r>
          </w:p>
        </w:tc>
        <w:tc>
          <w:tcPr>
            <w:tcW w:w="1590" w:type="dxa"/>
            <w:vMerge/>
            <w:tcBorders>
              <w:top w:val="single" w:sz="8" w:space="0" w:color="000000"/>
              <w:left w:val="single" w:sz="8" w:space="0" w:color="000000"/>
              <w:right w:val="single" w:sz="8" w:space="0" w:color="000000"/>
            </w:tcBorders>
            <w:shd w:val="clear" w:color="auto" w:fill="FFFFFF"/>
          </w:tcPr>
          <w:p w:rsidR="003345DF" w:rsidRDefault="003345DF">
            <w:pPr>
              <w:spacing w:before="100" w:after="100"/>
              <w:ind w:hanging="2"/>
              <w:jc w:val="center"/>
              <w:rPr>
                <w:rFonts w:ascii="Helvetica Neue" w:eastAsia="Helvetica Neue" w:hAnsi="Helvetica Neue" w:cs="Helvetica Neue"/>
              </w:rPr>
            </w:pP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4,00</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0,16</w:t>
            </w:r>
          </w:p>
        </w:tc>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0,46</w:t>
            </w:r>
          </w:p>
        </w:tc>
        <w:tc>
          <w:tcPr>
            <w:tcW w:w="97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0,01</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6x10</w:t>
            </w:r>
            <w:r>
              <w:rPr>
                <w:rFonts w:ascii="Helvetica Neue" w:eastAsia="Helvetica Neue" w:hAnsi="Helvetica Neue" w:cs="Helvetica Neue"/>
                <w:vertAlign w:val="superscript"/>
              </w:rPr>
              <w:t>11</w:t>
            </w:r>
          </w:p>
        </w:tc>
      </w:tr>
    </w:tbl>
    <w:p w:rsidR="003345DF" w:rsidRDefault="003345DF">
      <w:pPr>
        <w:spacing w:after="0"/>
        <w:ind w:hanging="2"/>
        <w:jc w:val="both"/>
        <w:rPr>
          <w:rFonts w:ascii="Helvetica Neue" w:eastAsia="Helvetica Neue" w:hAnsi="Helvetica Neue" w:cs="Helvetica Neue"/>
          <w:sz w:val="22"/>
          <w:szCs w:val="22"/>
        </w:rPr>
      </w:pPr>
    </w:p>
    <w:p w:rsidR="003345DF" w:rsidRDefault="00BE610B">
      <w:pPr>
        <w:keepNext/>
        <w:spacing w:after="0"/>
        <w:ind w:firstLine="0"/>
        <w:jc w:val="both"/>
        <w:rPr>
          <w:rFonts w:ascii="Helvetica Neue" w:eastAsia="Helvetica Neue" w:hAnsi="Helvetica Neue" w:cs="Helvetica Neue"/>
          <w:sz w:val="22"/>
          <w:szCs w:val="22"/>
        </w:rPr>
      </w:pPr>
      <w:r>
        <w:rPr>
          <w:rFonts w:ascii="Helvetica Neue" w:eastAsia="Helvetica Neue" w:hAnsi="Helvetica Neue" w:cs="Helvetica Neue"/>
        </w:rPr>
        <w:t xml:space="preserve">Límites máximos de emisiones permisibles para motores ciclo </w:t>
      </w:r>
      <w:r w:rsidR="00740A48">
        <w:rPr>
          <w:rFonts w:ascii="Helvetica Neue" w:eastAsia="Helvetica Neue" w:hAnsi="Helvetica Neue" w:cs="Helvetica Neue"/>
        </w:rPr>
        <w:t>diésel</w:t>
      </w:r>
      <w:r>
        <w:rPr>
          <w:rFonts w:ascii="Helvetica Neue" w:eastAsia="Helvetica Neue" w:hAnsi="Helvetica Neue" w:cs="Helvetica Neue"/>
        </w:rPr>
        <w:t xml:space="preserve"> de vehículos pesados, evaluados mediante ciclos de Estados Unidos (SET - NET):</w:t>
      </w:r>
    </w:p>
    <w:tbl>
      <w:tblPr>
        <w:tblStyle w:val="a2"/>
        <w:tblW w:w="8828" w:type="dxa"/>
        <w:jc w:val="center"/>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1598"/>
        <w:gridCol w:w="1680"/>
        <w:gridCol w:w="1320"/>
        <w:gridCol w:w="1496"/>
        <w:gridCol w:w="1589"/>
        <w:gridCol w:w="1145"/>
      </w:tblGrid>
      <w:tr w:rsidR="003345DF">
        <w:trPr>
          <w:trHeight w:val="360"/>
          <w:jc w:val="center"/>
        </w:trPr>
        <w:tc>
          <w:tcPr>
            <w:tcW w:w="15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Ciclo</w:t>
            </w:r>
          </w:p>
        </w:tc>
        <w:tc>
          <w:tcPr>
            <w:tcW w:w="16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Subcategoría</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CO</w:t>
            </w:r>
          </w:p>
        </w:tc>
        <w:tc>
          <w:tcPr>
            <w:tcW w:w="1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HC</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NOx</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PM</w:t>
            </w:r>
          </w:p>
        </w:tc>
      </w:tr>
      <w:tr w:rsidR="003345DF">
        <w:trPr>
          <w:trHeight w:val="260"/>
          <w:jc w:val="center"/>
        </w:trPr>
        <w:tc>
          <w:tcPr>
            <w:tcW w:w="159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3345DF">
            <w:pPr>
              <w:widowControl w:val="0"/>
              <w:spacing w:after="0" w:line="276" w:lineRule="auto"/>
              <w:ind w:firstLine="0"/>
              <w:rPr>
                <w:rFonts w:ascii="Helvetica Neue" w:eastAsia="Helvetica Neue" w:hAnsi="Helvetica Neue" w:cs="Helvetica Neue"/>
              </w:rPr>
            </w:pPr>
          </w:p>
        </w:tc>
        <w:tc>
          <w:tcPr>
            <w:tcW w:w="16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345DF" w:rsidRDefault="003345DF">
            <w:pPr>
              <w:widowControl w:val="0"/>
              <w:spacing w:after="0" w:line="276" w:lineRule="auto"/>
              <w:ind w:firstLine="0"/>
              <w:rPr>
                <w:rFonts w:ascii="Helvetica Neue" w:eastAsia="Helvetica Neue" w:hAnsi="Helvetica Neue" w:cs="Helvetica Neue"/>
              </w:rPr>
            </w:pPr>
          </w:p>
          <w:p w:rsidR="003345DF" w:rsidRDefault="003345DF">
            <w:pPr>
              <w:widowControl w:val="0"/>
              <w:spacing w:after="0"/>
              <w:ind w:firstLine="0"/>
              <w:rPr>
                <w:rFonts w:ascii="Helvetica Neue" w:eastAsia="Helvetica Neue" w:hAnsi="Helvetica Neue" w:cs="Helvetica Neue"/>
                <w:sz w:val="24"/>
                <w:szCs w:val="24"/>
              </w:rPr>
            </w:pPr>
          </w:p>
          <w:p w:rsidR="003345DF" w:rsidRDefault="003345DF">
            <w:pPr>
              <w:spacing w:before="100" w:after="100"/>
              <w:ind w:hanging="2"/>
              <w:jc w:val="center"/>
              <w:rPr>
                <w:rFonts w:ascii="Helvetica Neue" w:eastAsia="Helvetica Neue" w:hAnsi="Helvetica Neue" w:cs="Helvetica Neue"/>
                <w:sz w:val="24"/>
                <w:szCs w:val="24"/>
              </w:rPr>
            </w:pPr>
          </w:p>
        </w:tc>
        <w:tc>
          <w:tcPr>
            <w:tcW w:w="5550"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g/bhp-h</w:t>
            </w:r>
          </w:p>
        </w:tc>
      </w:tr>
      <w:tr w:rsidR="003345DF">
        <w:trPr>
          <w:trHeight w:val="260"/>
          <w:jc w:val="center"/>
        </w:trPr>
        <w:tc>
          <w:tcPr>
            <w:tcW w:w="159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SET &amp; NTE</w:t>
            </w:r>
          </w:p>
        </w:tc>
        <w:tc>
          <w:tcPr>
            <w:tcW w:w="1680" w:type="dxa"/>
            <w:tcBorders>
              <w:top w:val="single" w:sz="8" w:space="0" w:color="000000"/>
              <w:left w:val="single" w:sz="8" w:space="0" w:color="000000"/>
              <w:bottom w:val="single" w:sz="8" w:space="0" w:color="000000"/>
              <w:right w:val="single" w:sz="8" w:space="0" w:color="000000"/>
            </w:tcBorders>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HDV*</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15,50</w:t>
            </w:r>
          </w:p>
        </w:tc>
        <w:tc>
          <w:tcPr>
            <w:tcW w:w="149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0,14</w:t>
            </w:r>
          </w:p>
        </w:tc>
        <w:tc>
          <w:tcPr>
            <w:tcW w:w="158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0,02</w:t>
            </w:r>
          </w:p>
        </w:tc>
        <w:tc>
          <w:tcPr>
            <w:tcW w:w="11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0,01</w:t>
            </w:r>
          </w:p>
        </w:tc>
      </w:tr>
      <w:tr w:rsidR="003345DF">
        <w:trPr>
          <w:trHeight w:val="700"/>
          <w:jc w:val="center"/>
        </w:trPr>
        <w:tc>
          <w:tcPr>
            <w:tcW w:w="8828" w:type="dxa"/>
            <w:gridSpan w:val="6"/>
            <w:tcBorders>
              <w:top w:val="single" w:sz="8" w:space="0" w:color="000000"/>
              <w:left w:val="nil"/>
              <w:bottom w:val="nil"/>
              <w:right w:val="nil"/>
            </w:tcBorders>
            <w:shd w:val="clear" w:color="auto" w:fill="FFFFFF"/>
            <w:tcMar>
              <w:top w:w="15" w:type="dxa"/>
              <w:left w:w="15" w:type="dxa"/>
              <w:bottom w:w="15" w:type="dxa"/>
              <w:right w:w="15" w:type="dxa"/>
            </w:tcMar>
            <w:vAlign w:val="center"/>
          </w:tcPr>
          <w:p w:rsidR="003345DF" w:rsidRDefault="00BE610B">
            <w:pPr>
              <w:spacing w:after="0" w:line="360" w:lineRule="auto"/>
              <w:ind w:firstLine="0"/>
              <w:jc w:val="both"/>
              <w:rPr>
                <w:rFonts w:ascii="Helvetica Neue" w:eastAsia="Helvetica Neue" w:hAnsi="Helvetica Neue" w:cs="Helvetica Neue"/>
              </w:rPr>
            </w:pPr>
            <w:r>
              <w:rPr>
                <w:rFonts w:ascii="Helvetica Neue" w:eastAsia="Helvetica Neue" w:hAnsi="Helvetica Neue" w:cs="Helvetica Neue"/>
              </w:rPr>
              <w:t>*Excepto para MDPV</w:t>
            </w:r>
          </w:p>
          <w:p w:rsidR="003345DF" w:rsidRDefault="003345DF">
            <w:pPr>
              <w:spacing w:after="0"/>
              <w:ind w:hanging="2"/>
              <w:jc w:val="both"/>
              <w:rPr>
                <w:rFonts w:ascii="Helvetica Neue" w:eastAsia="Helvetica Neue" w:hAnsi="Helvetica Neue" w:cs="Helvetica Neue"/>
              </w:rPr>
            </w:pPr>
          </w:p>
        </w:tc>
      </w:tr>
    </w:tbl>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b/>
        </w:rPr>
        <w:t xml:space="preserve">Parágrafo 1. </w:t>
      </w:r>
      <w:r>
        <w:rPr>
          <w:rFonts w:ascii="Helvetica Neue" w:eastAsia="Helvetica Neue" w:hAnsi="Helvetica Neue" w:cs="Helvetica Neue"/>
        </w:rPr>
        <w:t>A partir del 1° de enero de 2030 los vehículos de servicio público de transporte terrestre de pasajeros y de transporte terrestre automotor de carga que se encuentren circulando por el territorio nacional tendrán que cumplir con lo establecido</w:t>
      </w:r>
      <w:r>
        <w:rPr>
          <w:rFonts w:ascii="Helvetica Neue" w:eastAsia="Helvetica Neue" w:hAnsi="Helvetica Neue" w:cs="Helvetica Neue"/>
        </w:rPr>
        <w:t xml:space="preserve"> en el presente artículo. </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b/>
        </w:rPr>
        <w:t xml:space="preserve">Parágrafo 2. </w:t>
      </w:r>
      <w:r>
        <w:rPr>
          <w:rFonts w:ascii="Helvetica Neue" w:eastAsia="Helvetica Neue" w:hAnsi="Helvetica Neue" w:cs="Helvetica Neue"/>
        </w:rPr>
        <w:t>Los Ministerios de Ambiente y Desarrollo Sostenible y de Transporte reglamentarán el uso de los sistemas de autodiagnóstico a bordo para los todos los vehículos de servicio público de transporte terrestre de pasajero</w:t>
      </w:r>
      <w:r>
        <w:rPr>
          <w:rFonts w:ascii="Helvetica Neue" w:eastAsia="Helvetica Neue" w:hAnsi="Helvetica Neue" w:cs="Helvetica Neue"/>
        </w:rPr>
        <w:t>s y de transporte terrestre automotor de carga que utilicen motores tipo diesel.</w:t>
      </w:r>
    </w:p>
    <w:p w:rsidR="003345DF" w:rsidRDefault="00BE610B">
      <w:pPr>
        <w:ind w:hanging="2"/>
        <w:jc w:val="both"/>
        <w:rPr>
          <w:rFonts w:ascii="Helvetica Neue" w:eastAsia="Helvetica Neue" w:hAnsi="Helvetica Neue" w:cs="Helvetica Neue"/>
          <w:sz w:val="22"/>
          <w:szCs w:val="22"/>
        </w:rPr>
      </w:pPr>
      <w:r>
        <w:rPr>
          <w:rFonts w:ascii="Helvetica Neue" w:eastAsia="Helvetica Neue" w:hAnsi="Helvetica Neue" w:cs="Helvetica Neue"/>
          <w:b/>
        </w:rPr>
        <w:t xml:space="preserve">Artículo 5°. </w:t>
      </w:r>
      <w:r>
        <w:rPr>
          <w:rFonts w:ascii="Helvetica Neue" w:eastAsia="Helvetica Neue" w:hAnsi="Helvetica Neue" w:cs="Helvetica Neue"/>
          <w:b/>
          <w:i/>
        </w:rPr>
        <w:t>Vehículos medianos y livianos.</w:t>
      </w:r>
      <w:r>
        <w:rPr>
          <w:rFonts w:ascii="Helvetica Neue" w:eastAsia="Helvetica Neue" w:hAnsi="Helvetica Neue" w:cs="Helvetica Neue"/>
          <w:b/>
        </w:rPr>
        <w:t xml:space="preserve"> </w:t>
      </w:r>
      <w:r>
        <w:rPr>
          <w:rFonts w:ascii="Helvetica Neue" w:eastAsia="Helvetica Neue" w:hAnsi="Helvetica Neue" w:cs="Helvetica Neue"/>
        </w:rPr>
        <w:t>A partir del 1° de enero de 2030, todos los vehículos medianos y livianos con motor de ciclo diésel, que se importen o ensamblen en el país, deberán cumplir con los lí</w:t>
      </w:r>
      <w:r>
        <w:rPr>
          <w:rFonts w:ascii="Helvetica Neue" w:eastAsia="Helvetica Neue" w:hAnsi="Helvetica Neue" w:cs="Helvetica Neue"/>
          <w:sz w:val="22"/>
          <w:szCs w:val="22"/>
        </w:rPr>
        <w:t xml:space="preserve">mites </w:t>
      </w:r>
      <w:r>
        <w:rPr>
          <w:rFonts w:ascii="Helvetica Neue" w:eastAsia="Helvetica Neue" w:hAnsi="Helvetica Neue" w:cs="Helvetica Neue"/>
        </w:rPr>
        <w:t>definidos a continuación:</w:t>
      </w:r>
    </w:p>
    <w:p w:rsidR="003345DF" w:rsidRDefault="00BE610B">
      <w:pPr>
        <w:keepNext/>
        <w:spacing w:after="0"/>
        <w:ind w:firstLine="0"/>
        <w:jc w:val="both"/>
        <w:rPr>
          <w:rFonts w:ascii="Helvetica Neue" w:eastAsia="Helvetica Neue" w:hAnsi="Helvetica Neue" w:cs="Helvetica Neue"/>
          <w:sz w:val="22"/>
          <w:szCs w:val="22"/>
        </w:rPr>
      </w:pPr>
      <w:r>
        <w:rPr>
          <w:rFonts w:ascii="Helvetica Neue" w:eastAsia="Helvetica Neue" w:hAnsi="Helvetica Neue" w:cs="Helvetica Neue"/>
        </w:rPr>
        <w:t>Límites máximos de emisiones permisibles para motores cic</w:t>
      </w:r>
      <w:r>
        <w:rPr>
          <w:rFonts w:ascii="Helvetica Neue" w:eastAsia="Helvetica Neue" w:hAnsi="Helvetica Neue" w:cs="Helvetica Neue"/>
        </w:rPr>
        <w:t>lo diesel de vehículos livianos y medianos, evaluados mediante ciclos de la Unión Europea (WLTC):</w:t>
      </w:r>
    </w:p>
    <w:tbl>
      <w:tblPr>
        <w:tblStyle w:val="a3"/>
        <w:tblW w:w="882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0"/>
        <w:gridCol w:w="1074"/>
        <w:gridCol w:w="1132"/>
        <w:gridCol w:w="893"/>
        <w:gridCol w:w="965"/>
        <w:gridCol w:w="1104"/>
        <w:gridCol w:w="1148"/>
        <w:gridCol w:w="1514"/>
      </w:tblGrid>
      <w:tr w:rsidR="003345DF">
        <w:trPr>
          <w:trHeight w:val="260"/>
          <w:jc w:val="center"/>
        </w:trPr>
        <w:tc>
          <w:tcPr>
            <w:tcW w:w="990" w:type="dxa"/>
            <w:vMerge w:val="restart"/>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Ciclo</w:t>
            </w:r>
          </w:p>
        </w:tc>
        <w:tc>
          <w:tcPr>
            <w:tcW w:w="2206" w:type="dxa"/>
            <w:gridSpan w:val="2"/>
            <w:vMerge w:val="restart"/>
            <w:shd w:val="clear" w:color="auto" w:fill="FFFFFF"/>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Subcategoría</w:t>
            </w:r>
          </w:p>
        </w:tc>
        <w:tc>
          <w:tcPr>
            <w:tcW w:w="893"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CO</w:t>
            </w:r>
          </w:p>
        </w:tc>
        <w:tc>
          <w:tcPr>
            <w:tcW w:w="965"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NOx</w:t>
            </w:r>
          </w:p>
        </w:tc>
        <w:tc>
          <w:tcPr>
            <w:tcW w:w="110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HC+NOx</w:t>
            </w:r>
          </w:p>
        </w:tc>
        <w:tc>
          <w:tcPr>
            <w:tcW w:w="1148"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PM</w:t>
            </w:r>
          </w:p>
        </w:tc>
        <w:tc>
          <w:tcPr>
            <w:tcW w:w="151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NP</w:t>
            </w:r>
          </w:p>
        </w:tc>
      </w:tr>
      <w:tr w:rsidR="003345DF">
        <w:trPr>
          <w:trHeight w:val="260"/>
          <w:jc w:val="center"/>
        </w:trPr>
        <w:tc>
          <w:tcPr>
            <w:tcW w:w="990" w:type="dxa"/>
            <w:vMerge/>
            <w:shd w:val="clear" w:color="auto" w:fill="FFFFFF"/>
            <w:tcMar>
              <w:top w:w="15" w:type="dxa"/>
              <w:left w:w="15" w:type="dxa"/>
              <w:bottom w:w="15" w:type="dxa"/>
              <w:right w:w="15" w:type="dxa"/>
            </w:tcMar>
            <w:vAlign w:val="center"/>
          </w:tcPr>
          <w:p w:rsidR="003345DF" w:rsidRDefault="003345DF">
            <w:pPr>
              <w:widowControl w:val="0"/>
              <w:spacing w:after="0" w:line="276" w:lineRule="auto"/>
              <w:ind w:firstLine="0"/>
              <w:rPr>
                <w:rFonts w:ascii="Helvetica Neue" w:eastAsia="Helvetica Neue" w:hAnsi="Helvetica Neue" w:cs="Helvetica Neue"/>
              </w:rPr>
            </w:pPr>
          </w:p>
        </w:tc>
        <w:tc>
          <w:tcPr>
            <w:tcW w:w="2206" w:type="dxa"/>
            <w:gridSpan w:val="2"/>
            <w:vMerge/>
            <w:shd w:val="clear" w:color="auto" w:fill="FFFFFF"/>
            <w:vAlign w:val="center"/>
          </w:tcPr>
          <w:p w:rsidR="003345DF" w:rsidRDefault="003345DF">
            <w:pPr>
              <w:widowControl w:val="0"/>
              <w:spacing w:after="0" w:line="276" w:lineRule="auto"/>
              <w:ind w:firstLine="0"/>
              <w:rPr>
                <w:rFonts w:ascii="Helvetica Neue" w:eastAsia="Helvetica Neue" w:hAnsi="Helvetica Neue" w:cs="Helvetica Neue"/>
              </w:rPr>
            </w:pPr>
          </w:p>
          <w:p w:rsidR="003345DF" w:rsidRDefault="003345DF">
            <w:pPr>
              <w:widowControl w:val="0"/>
              <w:spacing w:after="0"/>
              <w:ind w:firstLine="0"/>
              <w:rPr>
                <w:rFonts w:ascii="Helvetica Neue" w:eastAsia="Helvetica Neue" w:hAnsi="Helvetica Neue" w:cs="Helvetica Neue"/>
              </w:rPr>
            </w:pPr>
          </w:p>
          <w:p w:rsidR="003345DF" w:rsidRDefault="003345DF">
            <w:pPr>
              <w:spacing w:before="100" w:after="100"/>
              <w:ind w:hanging="2"/>
              <w:jc w:val="center"/>
              <w:rPr>
                <w:rFonts w:ascii="Helvetica Neue" w:eastAsia="Helvetica Neue" w:hAnsi="Helvetica Neue" w:cs="Helvetica Neue"/>
              </w:rPr>
            </w:pPr>
          </w:p>
          <w:p w:rsidR="003345DF" w:rsidRDefault="003345DF">
            <w:pPr>
              <w:spacing w:before="100" w:after="100"/>
              <w:ind w:hanging="2"/>
              <w:jc w:val="center"/>
              <w:rPr>
                <w:rFonts w:ascii="Helvetica Neue" w:eastAsia="Helvetica Neue" w:hAnsi="Helvetica Neue" w:cs="Helvetica Neue"/>
              </w:rPr>
            </w:pPr>
          </w:p>
        </w:tc>
        <w:tc>
          <w:tcPr>
            <w:tcW w:w="4110" w:type="dxa"/>
            <w:gridSpan w:val="4"/>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g/km</w:t>
            </w:r>
          </w:p>
        </w:tc>
        <w:tc>
          <w:tcPr>
            <w:tcW w:w="151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#/km</w:t>
            </w:r>
          </w:p>
        </w:tc>
      </w:tr>
      <w:tr w:rsidR="003345DF">
        <w:trPr>
          <w:trHeight w:val="260"/>
          <w:jc w:val="center"/>
        </w:trPr>
        <w:tc>
          <w:tcPr>
            <w:tcW w:w="990" w:type="dxa"/>
            <w:vMerge w:val="restart"/>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WLTC</w:t>
            </w:r>
          </w:p>
        </w:tc>
        <w:tc>
          <w:tcPr>
            <w:tcW w:w="2206" w:type="dxa"/>
            <w:gridSpan w:val="2"/>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M1</w:t>
            </w:r>
          </w:p>
        </w:tc>
        <w:tc>
          <w:tcPr>
            <w:tcW w:w="893"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0,50</w:t>
            </w:r>
          </w:p>
        </w:tc>
        <w:tc>
          <w:tcPr>
            <w:tcW w:w="965"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0,08</w:t>
            </w:r>
          </w:p>
        </w:tc>
        <w:tc>
          <w:tcPr>
            <w:tcW w:w="110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0,17</w:t>
            </w:r>
          </w:p>
        </w:tc>
        <w:tc>
          <w:tcPr>
            <w:tcW w:w="1148"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0,005</w:t>
            </w:r>
          </w:p>
        </w:tc>
        <w:tc>
          <w:tcPr>
            <w:tcW w:w="151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6x10</w:t>
            </w:r>
            <w:r>
              <w:rPr>
                <w:rFonts w:ascii="Helvetica Neue" w:eastAsia="Helvetica Neue" w:hAnsi="Helvetica Neue" w:cs="Helvetica Neue"/>
                <w:vertAlign w:val="superscript"/>
              </w:rPr>
              <w:t>11</w:t>
            </w:r>
          </w:p>
        </w:tc>
      </w:tr>
      <w:tr w:rsidR="003345DF">
        <w:trPr>
          <w:trHeight w:val="260"/>
          <w:jc w:val="center"/>
        </w:trPr>
        <w:tc>
          <w:tcPr>
            <w:tcW w:w="990" w:type="dxa"/>
            <w:vMerge/>
            <w:shd w:val="clear" w:color="auto" w:fill="FFFFFF"/>
            <w:tcMar>
              <w:top w:w="15" w:type="dxa"/>
              <w:left w:w="15" w:type="dxa"/>
              <w:bottom w:w="15" w:type="dxa"/>
              <w:right w:w="15" w:type="dxa"/>
            </w:tcMar>
            <w:vAlign w:val="center"/>
          </w:tcPr>
          <w:p w:rsidR="003345DF" w:rsidRDefault="003345DF">
            <w:pPr>
              <w:spacing w:before="100" w:after="100"/>
              <w:ind w:hanging="2"/>
              <w:jc w:val="center"/>
              <w:rPr>
                <w:rFonts w:ascii="Helvetica Neue" w:eastAsia="Helvetica Neue" w:hAnsi="Helvetica Neue" w:cs="Helvetica Neue"/>
              </w:rPr>
            </w:pPr>
          </w:p>
        </w:tc>
        <w:tc>
          <w:tcPr>
            <w:tcW w:w="1074" w:type="dxa"/>
            <w:vMerge w:val="restart"/>
            <w:shd w:val="clear" w:color="auto" w:fill="FFFFFF"/>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N1</w:t>
            </w:r>
          </w:p>
        </w:tc>
        <w:tc>
          <w:tcPr>
            <w:tcW w:w="1132"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Clase I</w:t>
            </w:r>
          </w:p>
        </w:tc>
        <w:tc>
          <w:tcPr>
            <w:tcW w:w="893"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0,50</w:t>
            </w:r>
          </w:p>
        </w:tc>
        <w:tc>
          <w:tcPr>
            <w:tcW w:w="965"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0,08</w:t>
            </w:r>
          </w:p>
        </w:tc>
        <w:tc>
          <w:tcPr>
            <w:tcW w:w="110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0,17</w:t>
            </w:r>
          </w:p>
        </w:tc>
        <w:tc>
          <w:tcPr>
            <w:tcW w:w="1148"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0,005</w:t>
            </w:r>
          </w:p>
        </w:tc>
        <w:tc>
          <w:tcPr>
            <w:tcW w:w="151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6x10</w:t>
            </w:r>
            <w:r>
              <w:rPr>
                <w:rFonts w:ascii="Helvetica Neue" w:eastAsia="Helvetica Neue" w:hAnsi="Helvetica Neue" w:cs="Helvetica Neue"/>
                <w:vertAlign w:val="superscript"/>
              </w:rPr>
              <w:t>11</w:t>
            </w:r>
          </w:p>
        </w:tc>
      </w:tr>
      <w:tr w:rsidR="003345DF">
        <w:trPr>
          <w:trHeight w:val="260"/>
          <w:jc w:val="center"/>
        </w:trPr>
        <w:tc>
          <w:tcPr>
            <w:tcW w:w="990" w:type="dxa"/>
            <w:vMerge/>
            <w:shd w:val="clear" w:color="auto" w:fill="FFFFFF"/>
            <w:tcMar>
              <w:top w:w="15" w:type="dxa"/>
              <w:left w:w="15" w:type="dxa"/>
              <w:bottom w:w="15" w:type="dxa"/>
              <w:right w:w="15" w:type="dxa"/>
            </w:tcMar>
            <w:vAlign w:val="center"/>
          </w:tcPr>
          <w:p w:rsidR="003345DF" w:rsidRDefault="003345DF">
            <w:pPr>
              <w:widowControl w:val="0"/>
              <w:spacing w:after="0" w:line="276" w:lineRule="auto"/>
              <w:ind w:firstLine="0"/>
              <w:rPr>
                <w:rFonts w:ascii="Helvetica Neue" w:eastAsia="Helvetica Neue" w:hAnsi="Helvetica Neue" w:cs="Helvetica Neue"/>
              </w:rPr>
            </w:pPr>
          </w:p>
        </w:tc>
        <w:tc>
          <w:tcPr>
            <w:tcW w:w="1074" w:type="dxa"/>
            <w:vMerge/>
            <w:shd w:val="clear" w:color="auto" w:fill="FFFFFF"/>
            <w:vAlign w:val="center"/>
          </w:tcPr>
          <w:p w:rsidR="003345DF" w:rsidRDefault="003345DF">
            <w:pPr>
              <w:widowControl w:val="0"/>
              <w:spacing w:after="0" w:line="276" w:lineRule="auto"/>
              <w:ind w:firstLine="0"/>
              <w:rPr>
                <w:rFonts w:ascii="Helvetica Neue" w:eastAsia="Helvetica Neue" w:hAnsi="Helvetica Neue" w:cs="Helvetica Neue"/>
              </w:rPr>
            </w:pPr>
          </w:p>
          <w:p w:rsidR="003345DF" w:rsidRDefault="003345DF">
            <w:pPr>
              <w:widowControl w:val="0"/>
              <w:spacing w:after="0"/>
              <w:ind w:firstLine="0"/>
              <w:rPr>
                <w:rFonts w:ascii="Helvetica Neue" w:eastAsia="Helvetica Neue" w:hAnsi="Helvetica Neue" w:cs="Helvetica Neue"/>
              </w:rPr>
            </w:pPr>
          </w:p>
          <w:p w:rsidR="003345DF" w:rsidRDefault="003345DF">
            <w:pPr>
              <w:spacing w:before="100" w:after="100"/>
              <w:ind w:hanging="2"/>
              <w:jc w:val="center"/>
              <w:rPr>
                <w:rFonts w:ascii="Helvetica Neue" w:eastAsia="Helvetica Neue" w:hAnsi="Helvetica Neue" w:cs="Helvetica Neue"/>
              </w:rPr>
            </w:pPr>
          </w:p>
          <w:p w:rsidR="003345DF" w:rsidRDefault="003345DF">
            <w:pPr>
              <w:spacing w:before="100" w:after="100"/>
              <w:ind w:hanging="2"/>
              <w:jc w:val="center"/>
              <w:rPr>
                <w:rFonts w:ascii="Helvetica Neue" w:eastAsia="Helvetica Neue" w:hAnsi="Helvetica Neue" w:cs="Helvetica Neue"/>
              </w:rPr>
            </w:pPr>
          </w:p>
        </w:tc>
        <w:tc>
          <w:tcPr>
            <w:tcW w:w="1132"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Clase II</w:t>
            </w:r>
          </w:p>
        </w:tc>
        <w:tc>
          <w:tcPr>
            <w:tcW w:w="893"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0,63</w:t>
            </w:r>
          </w:p>
        </w:tc>
        <w:tc>
          <w:tcPr>
            <w:tcW w:w="965"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0,105</w:t>
            </w:r>
          </w:p>
        </w:tc>
        <w:tc>
          <w:tcPr>
            <w:tcW w:w="110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0,195</w:t>
            </w:r>
          </w:p>
        </w:tc>
        <w:tc>
          <w:tcPr>
            <w:tcW w:w="1148"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0,005</w:t>
            </w:r>
          </w:p>
        </w:tc>
        <w:tc>
          <w:tcPr>
            <w:tcW w:w="151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6x10</w:t>
            </w:r>
            <w:r>
              <w:rPr>
                <w:rFonts w:ascii="Helvetica Neue" w:eastAsia="Helvetica Neue" w:hAnsi="Helvetica Neue" w:cs="Helvetica Neue"/>
                <w:vertAlign w:val="superscript"/>
              </w:rPr>
              <w:t>11</w:t>
            </w:r>
          </w:p>
        </w:tc>
      </w:tr>
      <w:tr w:rsidR="003345DF">
        <w:trPr>
          <w:trHeight w:val="260"/>
          <w:jc w:val="center"/>
        </w:trPr>
        <w:tc>
          <w:tcPr>
            <w:tcW w:w="990" w:type="dxa"/>
            <w:vMerge/>
            <w:shd w:val="clear" w:color="auto" w:fill="FFFFFF"/>
            <w:tcMar>
              <w:top w:w="15" w:type="dxa"/>
              <w:left w:w="15" w:type="dxa"/>
              <w:bottom w:w="15" w:type="dxa"/>
              <w:right w:w="15" w:type="dxa"/>
            </w:tcMar>
            <w:vAlign w:val="center"/>
          </w:tcPr>
          <w:p w:rsidR="003345DF" w:rsidRDefault="003345DF">
            <w:pPr>
              <w:widowControl w:val="0"/>
              <w:spacing w:after="0" w:line="276" w:lineRule="auto"/>
              <w:ind w:firstLine="0"/>
              <w:rPr>
                <w:rFonts w:ascii="Helvetica Neue" w:eastAsia="Helvetica Neue" w:hAnsi="Helvetica Neue" w:cs="Helvetica Neue"/>
              </w:rPr>
            </w:pPr>
          </w:p>
        </w:tc>
        <w:tc>
          <w:tcPr>
            <w:tcW w:w="1074" w:type="dxa"/>
            <w:vMerge/>
            <w:shd w:val="clear" w:color="auto" w:fill="FFFFFF"/>
            <w:vAlign w:val="center"/>
          </w:tcPr>
          <w:p w:rsidR="003345DF" w:rsidRDefault="003345DF">
            <w:pPr>
              <w:widowControl w:val="0"/>
              <w:spacing w:after="0" w:line="276" w:lineRule="auto"/>
              <w:ind w:firstLine="0"/>
              <w:rPr>
                <w:rFonts w:ascii="Helvetica Neue" w:eastAsia="Helvetica Neue" w:hAnsi="Helvetica Neue" w:cs="Helvetica Neue"/>
              </w:rPr>
            </w:pPr>
          </w:p>
          <w:p w:rsidR="003345DF" w:rsidRDefault="003345DF">
            <w:pPr>
              <w:widowControl w:val="0"/>
              <w:spacing w:after="0"/>
              <w:ind w:firstLine="0"/>
              <w:rPr>
                <w:rFonts w:ascii="Helvetica Neue" w:eastAsia="Helvetica Neue" w:hAnsi="Helvetica Neue" w:cs="Helvetica Neue"/>
              </w:rPr>
            </w:pPr>
          </w:p>
          <w:p w:rsidR="003345DF" w:rsidRDefault="003345DF">
            <w:pPr>
              <w:spacing w:before="100" w:after="100"/>
              <w:ind w:hanging="2"/>
              <w:jc w:val="center"/>
              <w:rPr>
                <w:rFonts w:ascii="Helvetica Neue" w:eastAsia="Helvetica Neue" w:hAnsi="Helvetica Neue" w:cs="Helvetica Neue"/>
              </w:rPr>
            </w:pPr>
          </w:p>
          <w:p w:rsidR="003345DF" w:rsidRDefault="003345DF">
            <w:pPr>
              <w:spacing w:before="100" w:after="100"/>
              <w:ind w:hanging="2"/>
              <w:jc w:val="center"/>
              <w:rPr>
                <w:rFonts w:ascii="Helvetica Neue" w:eastAsia="Helvetica Neue" w:hAnsi="Helvetica Neue" w:cs="Helvetica Neue"/>
              </w:rPr>
            </w:pPr>
          </w:p>
        </w:tc>
        <w:tc>
          <w:tcPr>
            <w:tcW w:w="1132"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Clase III</w:t>
            </w:r>
          </w:p>
        </w:tc>
        <w:tc>
          <w:tcPr>
            <w:tcW w:w="893"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0,74</w:t>
            </w:r>
          </w:p>
        </w:tc>
        <w:tc>
          <w:tcPr>
            <w:tcW w:w="965"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0,125</w:t>
            </w:r>
          </w:p>
        </w:tc>
        <w:tc>
          <w:tcPr>
            <w:tcW w:w="110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0,215</w:t>
            </w:r>
          </w:p>
        </w:tc>
        <w:tc>
          <w:tcPr>
            <w:tcW w:w="1148" w:type="dxa"/>
            <w:shd w:val="clear" w:color="auto" w:fill="FFFFFF"/>
            <w:tcMar>
              <w:top w:w="15" w:type="dxa"/>
              <w:left w:w="15" w:type="dxa"/>
              <w:bottom w:w="15" w:type="dxa"/>
              <w:right w:w="15" w:type="dxa"/>
            </w:tcMar>
            <w:vAlign w:val="center"/>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0,005</w:t>
            </w:r>
          </w:p>
        </w:tc>
        <w:tc>
          <w:tcPr>
            <w:tcW w:w="1514" w:type="dxa"/>
            <w:shd w:val="clear" w:color="auto" w:fill="FFFFFF"/>
          </w:tcPr>
          <w:p w:rsidR="003345DF" w:rsidRDefault="00BE610B">
            <w:pPr>
              <w:spacing w:before="100" w:after="100"/>
              <w:ind w:hanging="2"/>
              <w:jc w:val="center"/>
              <w:rPr>
                <w:rFonts w:ascii="Helvetica Neue" w:eastAsia="Helvetica Neue" w:hAnsi="Helvetica Neue" w:cs="Helvetica Neue"/>
              </w:rPr>
            </w:pPr>
            <w:r>
              <w:rPr>
                <w:rFonts w:ascii="Helvetica Neue" w:eastAsia="Helvetica Neue" w:hAnsi="Helvetica Neue" w:cs="Helvetica Neue"/>
              </w:rPr>
              <w:t>6x10</w:t>
            </w:r>
            <w:r>
              <w:rPr>
                <w:rFonts w:ascii="Helvetica Neue" w:eastAsia="Helvetica Neue" w:hAnsi="Helvetica Neue" w:cs="Helvetica Neue"/>
                <w:vertAlign w:val="superscript"/>
              </w:rPr>
              <w:t>11</w:t>
            </w:r>
          </w:p>
        </w:tc>
      </w:tr>
    </w:tbl>
    <w:p w:rsidR="003345DF" w:rsidRDefault="003345DF">
      <w:pPr>
        <w:keepNext/>
        <w:spacing w:after="0"/>
        <w:ind w:firstLine="0"/>
        <w:rPr>
          <w:rFonts w:ascii="Helvetica Neue" w:eastAsia="Helvetica Neue" w:hAnsi="Helvetica Neue" w:cs="Helvetica Neue"/>
          <w:sz w:val="22"/>
          <w:szCs w:val="22"/>
        </w:rPr>
      </w:pPr>
    </w:p>
    <w:p w:rsidR="003345DF" w:rsidRDefault="00BE610B">
      <w:pPr>
        <w:keepNext/>
        <w:spacing w:after="0"/>
        <w:ind w:firstLine="0"/>
        <w:jc w:val="both"/>
        <w:rPr>
          <w:rFonts w:ascii="Helvetica Neue" w:eastAsia="Helvetica Neue" w:hAnsi="Helvetica Neue" w:cs="Helvetica Neue"/>
          <w:sz w:val="22"/>
          <w:szCs w:val="22"/>
        </w:rPr>
      </w:pPr>
      <w:r>
        <w:rPr>
          <w:rFonts w:ascii="Helvetica Neue" w:eastAsia="Helvetica Neue" w:hAnsi="Helvetica Neue" w:cs="Helvetica Neue"/>
        </w:rPr>
        <w:t>Límites máximos de emisiones permisibles para motores ciclo diesel de vehículos livianos y medianos, evaluados mediante ciclos de Estados Unidos (FTP):</w:t>
      </w:r>
    </w:p>
    <w:tbl>
      <w:tblPr>
        <w:tblStyle w:val="a4"/>
        <w:tblW w:w="8830" w:type="dxa"/>
        <w:tblInd w:w="0" w:type="dxa"/>
        <w:tblLayout w:type="fixed"/>
        <w:tblLook w:val="0400" w:firstRow="0" w:lastRow="0" w:firstColumn="0" w:lastColumn="0" w:noHBand="0" w:noVBand="1"/>
      </w:tblPr>
      <w:tblGrid>
        <w:gridCol w:w="1854"/>
        <w:gridCol w:w="2381"/>
        <w:gridCol w:w="1146"/>
        <w:gridCol w:w="1146"/>
        <w:gridCol w:w="1146"/>
        <w:gridCol w:w="1157"/>
      </w:tblGrid>
      <w:tr w:rsidR="003345DF">
        <w:trPr>
          <w:trHeight w:val="280"/>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Ciclo</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Subcategoría</w:t>
            </w:r>
          </w:p>
        </w:tc>
        <w:tc>
          <w:tcPr>
            <w:tcW w:w="1146" w:type="dxa"/>
            <w:tcBorders>
              <w:top w:val="single" w:sz="4" w:space="0" w:color="000000"/>
              <w:left w:val="nil"/>
              <w:bottom w:val="single" w:sz="4" w:space="0" w:color="000000"/>
              <w:right w:val="single" w:sz="4" w:space="0" w:color="000000"/>
            </w:tcBorders>
            <w:shd w:val="clear" w:color="auto" w:fill="FFFFFF"/>
            <w:vAlign w:val="bottom"/>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CO</w:t>
            </w:r>
          </w:p>
        </w:tc>
        <w:tc>
          <w:tcPr>
            <w:tcW w:w="1146" w:type="dxa"/>
            <w:tcBorders>
              <w:top w:val="single" w:sz="4" w:space="0" w:color="000000"/>
              <w:left w:val="nil"/>
              <w:bottom w:val="single" w:sz="4" w:space="0" w:color="000000"/>
              <w:right w:val="single" w:sz="4" w:space="0" w:color="000000"/>
            </w:tcBorders>
            <w:shd w:val="clear" w:color="auto" w:fill="FFFFFF"/>
            <w:vAlign w:val="bottom"/>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HCNM</w:t>
            </w:r>
          </w:p>
        </w:tc>
        <w:tc>
          <w:tcPr>
            <w:tcW w:w="1146" w:type="dxa"/>
            <w:tcBorders>
              <w:top w:val="single" w:sz="4" w:space="0" w:color="000000"/>
              <w:left w:val="nil"/>
              <w:bottom w:val="single" w:sz="4" w:space="0" w:color="000000"/>
              <w:right w:val="single" w:sz="4" w:space="0" w:color="000000"/>
            </w:tcBorders>
            <w:shd w:val="clear" w:color="auto" w:fill="FFFFFF"/>
            <w:vAlign w:val="bottom"/>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HCHO</w:t>
            </w:r>
          </w:p>
        </w:tc>
        <w:tc>
          <w:tcPr>
            <w:tcW w:w="1157" w:type="dxa"/>
            <w:tcBorders>
              <w:top w:val="single" w:sz="4" w:space="0" w:color="000000"/>
              <w:left w:val="nil"/>
              <w:bottom w:val="single" w:sz="4" w:space="0" w:color="000000"/>
              <w:right w:val="single" w:sz="4" w:space="0" w:color="000000"/>
            </w:tcBorders>
            <w:shd w:val="clear" w:color="auto" w:fill="FFFFFF"/>
            <w:vAlign w:val="bottom"/>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MP</w:t>
            </w:r>
          </w:p>
        </w:tc>
      </w:tr>
      <w:tr w:rsidR="003345DF">
        <w:trPr>
          <w:trHeight w:val="280"/>
        </w:trPr>
        <w:tc>
          <w:tcPr>
            <w:tcW w:w="18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45DF" w:rsidRDefault="003345DF">
            <w:pPr>
              <w:widowControl w:val="0"/>
              <w:spacing w:after="0" w:line="276" w:lineRule="auto"/>
              <w:ind w:firstLine="0"/>
              <w:rPr>
                <w:rFonts w:ascii="Helvetica Neue" w:eastAsia="Helvetica Neue" w:hAnsi="Helvetica Neue" w:cs="Helvetica Neue"/>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345DF" w:rsidRDefault="003345DF">
            <w:pPr>
              <w:widowControl w:val="0"/>
              <w:spacing w:after="0" w:line="276" w:lineRule="auto"/>
              <w:ind w:firstLine="0"/>
              <w:rPr>
                <w:rFonts w:ascii="Helvetica Neue" w:eastAsia="Helvetica Neue" w:hAnsi="Helvetica Neue" w:cs="Helvetica Neue"/>
              </w:rPr>
            </w:pPr>
          </w:p>
          <w:p w:rsidR="003345DF" w:rsidRDefault="003345DF">
            <w:pPr>
              <w:widowControl w:val="0"/>
              <w:spacing w:after="0"/>
              <w:ind w:firstLine="0"/>
              <w:rPr>
                <w:rFonts w:ascii="Helvetica Neue" w:eastAsia="Helvetica Neue" w:hAnsi="Helvetica Neue" w:cs="Helvetica Neue"/>
              </w:rPr>
            </w:pPr>
          </w:p>
          <w:p w:rsidR="003345DF" w:rsidRDefault="003345DF">
            <w:pPr>
              <w:pBdr>
                <w:top w:val="none" w:sz="0" w:space="0" w:color="000000"/>
                <w:left w:val="none" w:sz="0" w:space="0" w:color="000000"/>
                <w:bottom w:val="none" w:sz="0" w:space="0" w:color="000000"/>
                <w:right w:val="none" w:sz="0" w:space="0" w:color="000000"/>
                <w:between w:val="none" w:sz="0" w:space="0" w:color="000000"/>
              </w:pBdr>
              <w:spacing w:before="80" w:after="80"/>
              <w:ind w:firstLine="0"/>
              <w:rPr>
                <w:rFonts w:ascii="Helvetica Neue" w:eastAsia="Helvetica Neue" w:hAnsi="Helvetica Neue" w:cs="Helvetica Neue"/>
                <w:b/>
              </w:rPr>
            </w:pPr>
          </w:p>
          <w:p w:rsidR="003345DF" w:rsidRDefault="003345DF">
            <w:pPr>
              <w:pBdr>
                <w:top w:val="none" w:sz="0" w:space="0" w:color="000000"/>
                <w:left w:val="none" w:sz="0" w:space="0" w:color="000000"/>
                <w:bottom w:val="none" w:sz="0" w:space="0" w:color="000000"/>
                <w:right w:val="none" w:sz="0" w:space="0" w:color="000000"/>
                <w:between w:val="none" w:sz="0" w:space="0" w:color="000000"/>
              </w:pBdr>
              <w:spacing w:before="80" w:after="80"/>
              <w:ind w:firstLine="0"/>
              <w:rPr>
                <w:rFonts w:ascii="Helvetica Neue" w:eastAsia="Helvetica Neue" w:hAnsi="Helvetica Neue" w:cs="Helvetica Neue"/>
              </w:rPr>
            </w:pPr>
          </w:p>
        </w:tc>
        <w:tc>
          <w:tcPr>
            <w:tcW w:w="4595" w:type="dxa"/>
            <w:gridSpan w:val="4"/>
            <w:tcBorders>
              <w:top w:val="single" w:sz="4" w:space="0" w:color="000000"/>
              <w:left w:val="nil"/>
              <w:bottom w:val="single" w:sz="4" w:space="0" w:color="000000"/>
              <w:right w:val="single" w:sz="4" w:space="0" w:color="000000"/>
            </w:tcBorders>
            <w:shd w:val="clear" w:color="auto" w:fill="FFFFFF"/>
            <w:vAlign w:val="bottom"/>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g/km</w:t>
            </w:r>
          </w:p>
        </w:tc>
      </w:tr>
      <w:tr w:rsidR="003345DF">
        <w:trPr>
          <w:trHeight w:val="280"/>
        </w:trPr>
        <w:tc>
          <w:tcPr>
            <w:tcW w:w="1854" w:type="dxa"/>
            <w:tcBorders>
              <w:top w:val="nil"/>
              <w:left w:val="single" w:sz="4" w:space="0" w:color="000000"/>
              <w:bottom w:val="single" w:sz="4" w:space="0" w:color="000000"/>
              <w:right w:val="single" w:sz="4" w:space="0" w:color="000000"/>
            </w:tcBorders>
            <w:shd w:val="clear" w:color="auto" w:fill="FFFFFF"/>
            <w:vAlign w:val="center"/>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FTP</w:t>
            </w:r>
          </w:p>
        </w:tc>
        <w:tc>
          <w:tcPr>
            <w:tcW w:w="2381" w:type="dxa"/>
            <w:tcBorders>
              <w:top w:val="nil"/>
              <w:left w:val="nil"/>
              <w:bottom w:val="single" w:sz="4" w:space="0" w:color="000000"/>
              <w:right w:val="single" w:sz="4" w:space="0" w:color="000000"/>
            </w:tcBorders>
            <w:shd w:val="clear" w:color="auto" w:fill="FFFFFF"/>
            <w:vAlign w:val="bottom"/>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 xml:space="preserve">LDV, LDT1, </w:t>
            </w:r>
          </w:p>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 xml:space="preserve">LDT2, LDT3, </w:t>
            </w:r>
          </w:p>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LDT4, MDPV</w:t>
            </w:r>
          </w:p>
        </w:tc>
        <w:tc>
          <w:tcPr>
            <w:tcW w:w="1146" w:type="dxa"/>
            <w:tcBorders>
              <w:top w:val="nil"/>
              <w:left w:val="nil"/>
              <w:bottom w:val="single" w:sz="4" w:space="0" w:color="000000"/>
              <w:right w:val="single" w:sz="4" w:space="0" w:color="000000"/>
            </w:tcBorders>
            <w:shd w:val="clear" w:color="auto" w:fill="FFFFFF"/>
            <w:vAlign w:val="center"/>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2,61</w:t>
            </w:r>
          </w:p>
        </w:tc>
        <w:tc>
          <w:tcPr>
            <w:tcW w:w="1146" w:type="dxa"/>
            <w:tcBorders>
              <w:top w:val="nil"/>
              <w:left w:val="nil"/>
              <w:bottom w:val="single" w:sz="4" w:space="0" w:color="000000"/>
              <w:right w:val="single" w:sz="4" w:space="0" w:color="000000"/>
            </w:tcBorders>
            <w:shd w:val="clear" w:color="auto" w:fill="FFFFFF"/>
            <w:vAlign w:val="center"/>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0,099</w:t>
            </w:r>
          </w:p>
        </w:tc>
        <w:tc>
          <w:tcPr>
            <w:tcW w:w="1146" w:type="dxa"/>
            <w:tcBorders>
              <w:top w:val="nil"/>
              <w:left w:val="nil"/>
              <w:bottom w:val="single" w:sz="4" w:space="0" w:color="000000"/>
              <w:right w:val="single" w:sz="4" w:space="0" w:color="000000"/>
            </w:tcBorders>
            <w:shd w:val="clear" w:color="auto" w:fill="FFFFFF"/>
            <w:vAlign w:val="center"/>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0,002</w:t>
            </w:r>
          </w:p>
        </w:tc>
        <w:tc>
          <w:tcPr>
            <w:tcW w:w="1157" w:type="dxa"/>
            <w:tcBorders>
              <w:top w:val="nil"/>
              <w:left w:val="nil"/>
              <w:bottom w:val="single" w:sz="4" w:space="0" w:color="000000"/>
              <w:right w:val="single" w:sz="4" w:space="0" w:color="000000"/>
            </w:tcBorders>
            <w:shd w:val="clear" w:color="auto" w:fill="FFFFFF"/>
            <w:vAlign w:val="center"/>
          </w:tcPr>
          <w:p w:rsidR="003345DF" w:rsidRDefault="00BE610B">
            <w:pPr>
              <w:pBdr>
                <w:top w:val="none" w:sz="0" w:space="0" w:color="000000"/>
                <w:left w:val="none" w:sz="0" w:space="0" w:color="000000"/>
                <w:bottom w:val="none" w:sz="0" w:space="0" w:color="000000"/>
                <w:right w:val="none" w:sz="0" w:space="0" w:color="000000"/>
                <w:between w:val="none" w:sz="0" w:space="0" w:color="000000"/>
              </w:pBdr>
              <w:spacing w:before="80" w:after="80"/>
              <w:ind w:firstLine="0"/>
              <w:jc w:val="center"/>
              <w:rPr>
                <w:rFonts w:ascii="Helvetica Neue" w:eastAsia="Helvetica Neue" w:hAnsi="Helvetica Neue" w:cs="Helvetica Neue"/>
              </w:rPr>
            </w:pPr>
            <w:r>
              <w:rPr>
                <w:rFonts w:ascii="Helvetica Neue" w:eastAsia="Helvetica Neue" w:hAnsi="Helvetica Neue" w:cs="Helvetica Neue"/>
              </w:rPr>
              <w:t>0,002</w:t>
            </w:r>
          </w:p>
        </w:tc>
      </w:tr>
    </w:tbl>
    <w:p w:rsidR="003345DF" w:rsidRDefault="003345DF">
      <w:pPr>
        <w:ind w:hanging="2"/>
        <w:jc w:val="both"/>
        <w:rPr>
          <w:rFonts w:ascii="Helvetica Neue" w:eastAsia="Helvetica Neue" w:hAnsi="Helvetica Neue" w:cs="Helvetica Neue"/>
        </w:rPr>
      </w:pP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b/>
        </w:rPr>
        <w:t xml:space="preserve">Artículo 6°. </w:t>
      </w:r>
      <w:r>
        <w:rPr>
          <w:rFonts w:ascii="Helvetica Neue" w:eastAsia="Helvetica Neue" w:hAnsi="Helvetica Neue" w:cs="Helvetica Neue"/>
          <w:b/>
          <w:i/>
        </w:rPr>
        <w:t>Regulación y Control.</w:t>
      </w:r>
      <w:r>
        <w:rPr>
          <w:rFonts w:ascii="Helvetica Neue" w:eastAsia="Helvetica Neue" w:hAnsi="Helvetica Neue" w:cs="Helvetica Neue"/>
          <w:b/>
        </w:rPr>
        <w:t xml:space="preserve"> </w:t>
      </w:r>
      <w:r>
        <w:rPr>
          <w:rFonts w:ascii="Helvetica Neue" w:eastAsia="Helvetica Neue" w:hAnsi="Helvetica Neue" w:cs="Helvetica Neue"/>
        </w:rPr>
        <w:t>Los Ministerios de Ambiente y Desarrollo Sostenible y de Transporte estarán a cargo de la ejecución de los estudios técnicos necesarios que permitan establecer el marco regulatorio y de control y vigilancia para realizar la evaluación de emisiones contamin</w:t>
      </w:r>
      <w:r>
        <w:rPr>
          <w:rFonts w:ascii="Helvetica Neue" w:eastAsia="Helvetica Neue" w:hAnsi="Helvetica Neue" w:cs="Helvetica Neue"/>
        </w:rPr>
        <w:t>antes de los vehículos en uso, en pruebas sobre rodillos con cargas simuladas o</w:t>
      </w:r>
      <w:r>
        <w:rPr>
          <w:rFonts w:ascii="Helvetica Neue" w:eastAsia="Helvetica Neue" w:hAnsi="Helvetica Neue" w:cs="Helvetica Neue"/>
          <w:color w:val="FF0000"/>
        </w:rPr>
        <w:t xml:space="preserve"> </w:t>
      </w:r>
      <w:r>
        <w:rPr>
          <w:rFonts w:ascii="Helvetica Neue" w:eastAsia="Helvetica Neue" w:hAnsi="Helvetica Neue" w:cs="Helvetica Neue"/>
        </w:rPr>
        <w:t>prueba dinámica simple. Los resultados de estos estudios deberán presentarse en un plazo no superior a dos (2) años a partir de la entrada en vigencia de la presente Ley.</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En un</w:t>
      </w:r>
      <w:r>
        <w:rPr>
          <w:rFonts w:ascii="Helvetica Neue" w:eastAsia="Helvetica Neue" w:hAnsi="Helvetica Neue" w:cs="Helvetica Neue"/>
        </w:rPr>
        <w:t xml:space="preserve"> plazo no superior a dos (2) años posterior a la entrega de los resultados de los estudios técnicos, los Ministerios de Ambiente y Desarrollo Sostenible y Transporte deberán establecer el mecanismo de verificación para vehículos de carga pesada de servicio</w:t>
      </w:r>
      <w:r>
        <w:rPr>
          <w:rFonts w:ascii="Helvetica Neue" w:eastAsia="Helvetica Neue" w:hAnsi="Helvetica Neue" w:cs="Helvetica Neue"/>
        </w:rPr>
        <w:t xml:space="preserve"> público de transporte terrestre de pasajeros y de transporte terrestre automotor de carga en uso, con prueba dinámica simple, según los parámetros establecidos en esta norma.</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b/>
        </w:rPr>
        <w:t>Artículo 7°.</w:t>
      </w:r>
      <w:r>
        <w:rPr>
          <w:rFonts w:ascii="Helvetica Neue" w:eastAsia="Helvetica Neue" w:hAnsi="Helvetica Neue" w:cs="Helvetica Neue"/>
        </w:rPr>
        <w:t xml:space="preserve"> </w:t>
      </w:r>
      <w:r>
        <w:rPr>
          <w:rFonts w:ascii="Helvetica Neue" w:eastAsia="Helvetica Neue" w:hAnsi="Helvetica Neue" w:cs="Helvetica Neue"/>
          <w:b/>
          <w:i/>
        </w:rPr>
        <w:t>Vigencia y Derogatoria.</w:t>
      </w:r>
      <w:r>
        <w:rPr>
          <w:rFonts w:ascii="Helvetica Neue" w:eastAsia="Helvetica Neue" w:hAnsi="Helvetica Neue" w:cs="Helvetica Neue"/>
        </w:rPr>
        <w:t xml:space="preserve"> La presente ley rige a partir de la fecha d</w:t>
      </w:r>
      <w:r>
        <w:rPr>
          <w:rFonts w:ascii="Helvetica Neue" w:eastAsia="Helvetica Neue" w:hAnsi="Helvetica Neue" w:cs="Helvetica Neue"/>
        </w:rPr>
        <w:t xml:space="preserve">e su promulgación y deroga todas las normas que le sean contrarias. </w:t>
      </w:r>
    </w:p>
    <w:p w:rsidR="003345DF" w:rsidRDefault="003345DF">
      <w:pPr>
        <w:ind w:hanging="2"/>
        <w:rPr>
          <w:rFonts w:ascii="Helvetica Neue" w:eastAsia="Helvetica Neue" w:hAnsi="Helvetica Neue" w:cs="Helvetica Neue"/>
        </w:rPr>
      </w:pPr>
    </w:p>
    <w:p w:rsidR="003345DF" w:rsidRDefault="003345DF">
      <w:pPr>
        <w:ind w:hanging="2"/>
        <w:rPr>
          <w:rFonts w:ascii="Helvetica Neue" w:eastAsia="Helvetica Neue" w:hAnsi="Helvetica Neue" w:cs="Helvetica Neue"/>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t>ANGÉLICA LOZANO CORREA                            CLAUDIA LÓPEZ HERNÁNDEZ</w:t>
      </w: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rPr>
        <w:t>Representante a la Cámara</w:t>
      </w:r>
      <w:r>
        <w:rPr>
          <w:rFonts w:ascii="Helvetica Neue" w:eastAsia="Helvetica Neue" w:hAnsi="Helvetica Neue" w:cs="Helvetica Neue"/>
          <w:b/>
        </w:rPr>
        <w:t xml:space="preserve">                                   </w:t>
      </w:r>
      <w:r>
        <w:rPr>
          <w:rFonts w:ascii="Helvetica Neue" w:eastAsia="Helvetica Neue" w:hAnsi="Helvetica Neue" w:cs="Helvetica Neue"/>
        </w:rPr>
        <w:t>Senadora de la República</w:t>
      </w: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ind w:hanging="2"/>
        <w:rPr>
          <w:rFonts w:ascii="Helvetica Neue" w:eastAsia="Helvetica Neue" w:hAnsi="Helvetica Neue" w:cs="Helvetica Neue"/>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t>RODRIGO LARA RESTREPO</w:t>
      </w:r>
      <w:r>
        <w:rPr>
          <w:rFonts w:ascii="Helvetica Neue" w:eastAsia="Helvetica Neue" w:hAnsi="Helvetica Neue" w:cs="Helvetica Neue"/>
          <w:b/>
        </w:rPr>
        <w:tab/>
        <w:t xml:space="preserve">                        CARLOS FERNANDO GALÁN</w:t>
      </w: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rPr>
        <w:t>Representante a la Cámara</w:t>
      </w:r>
      <w:r>
        <w:rPr>
          <w:rFonts w:ascii="Helvetica Neue" w:eastAsia="Helvetica Neue" w:hAnsi="Helvetica Neue" w:cs="Helvetica Neue"/>
          <w:b/>
        </w:rPr>
        <w:t xml:space="preserve">                                  </w:t>
      </w:r>
      <w:r>
        <w:rPr>
          <w:rFonts w:ascii="Helvetica Neue" w:eastAsia="Helvetica Neue" w:hAnsi="Helvetica Neue" w:cs="Helvetica Neue"/>
        </w:rPr>
        <w:t>Senador de la República</w:t>
      </w: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t>FEDERICO HOYOS SALAZAR</w:t>
      </w:r>
      <w:r>
        <w:rPr>
          <w:rFonts w:ascii="Helvetica Neue" w:eastAsia="Helvetica Neue" w:hAnsi="Helvetica Neue" w:cs="Helvetica Neue"/>
          <w:b/>
        </w:rPr>
        <w:tab/>
        <w:t xml:space="preserve">                       VICTOR CORREA VÉLEZ</w:t>
      </w: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rPr>
        <w:t>Representante a la Cámara</w:t>
      </w:r>
      <w:r>
        <w:rPr>
          <w:rFonts w:ascii="Helvetica Neue" w:eastAsia="Helvetica Neue" w:hAnsi="Helvetica Neue" w:cs="Helvetica Neue"/>
          <w:b/>
        </w:rPr>
        <w:t xml:space="preserve">                               </w:t>
      </w:r>
      <w:r>
        <w:rPr>
          <w:rFonts w:ascii="Helvetica Neue" w:eastAsia="Helvetica Neue" w:hAnsi="Helvetica Neue" w:cs="Helvetica Neue"/>
          <w:b/>
        </w:rPr>
        <w:t xml:space="preserve">  </w:t>
      </w:r>
      <w:r>
        <w:rPr>
          <w:rFonts w:ascii="Helvetica Neue" w:eastAsia="Helvetica Neue" w:hAnsi="Helvetica Neue" w:cs="Helvetica Neue"/>
        </w:rPr>
        <w:t>Representante a la Cámara</w:t>
      </w:r>
      <w:r>
        <w:rPr>
          <w:rFonts w:ascii="Helvetica Neue" w:eastAsia="Helvetica Neue" w:hAnsi="Helvetica Neue" w:cs="Helvetica Neue"/>
          <w:b/>
        </w:rPr>
        <w:t xml:space="preserve">    </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740A48" w:rsidRPr="00D276D6" w:rsidRDefault="00740A48" w:rsidP="00740A48">
      <w:pPr>
        <w:spacing w:after="0"/>
        <w:ind w:hanging="2"/>
        <w:rPr>
          <w:rFonts w:ascii="Helvetica Neue" w:eastAsia="Helvetica Neue" w:hAnsi="Helvetica Neue" w:cs="Helvetica Neue"/>
          <w:b/>
        </w:rPr>
      </w:pPr>
      <w:r w:rsidRPr="00740A48">
        <w:rPr>
          <w:rFonts w:ascii="Helvetica Neue" w:eastAsia="Helvetica Neue" w:hAnsi="Helvetica Neue" w:cs="Helvetica Neue"/>
          <w:b/>
        </w:rPr>
        <w:t>JORGE PRIETO</w:t>
      </w:r>
      <w:r w:rsidRPr="00D276D6">
        <w:rPr>
          <w:rFonts w:ascii="Helvetica Neue" w:eastAsia="Helvetica Neue" w:hAnsi="Helvetica Neue" w:cs="Helvetica Neue"/>
          <w:b/>
        </w:rPr>
        <w:t>                     </w:t>
      </w:r>
      <w:r w:rsidRPr="00740A48">
        <w:rPr>
          <w:rFonts w:ascii="Helvetica Neue" w:eastAsia="Helvetica Neue" w:hAnsi="Helvetica Neue" w:cs="Helvetica Neue"/>
          <w:b/>
        </w:rPr>
        <w:tab/>
      </w:r>
      <w:r w:rsidRPr="00740A48">
        <w:rPr>
          <w:rFonts w:ascii="Helvetica Neue" w:eastAsia="Helvetica Neue" w:hAnsi="Helvetica Neue" w:cs="Helvetica Neue"/>
          <w:b/>
        </w:rPr>
        <w:tab/>
      </w:r>
      <w:r>
        <w:rPr>
          <w:rFonts w:ascii="Helvetica Neue" w:eastAsia="Helvetica Neue" w:hAnsi="Helvetica Neue" w:cs="Helvetica Neue"/>
          <w:b/>
        </w:rPr>
        <w:tab/>
      </w:r>
      <w:r>
        <w:rPr>
          <w:rFonts w:ascii="Helvetica Neue" w:eastAsia="Helvetica Neue" w:hAnsi="Helvetica Neue" w:cs="Helvetica Neue"/>
          <w:b/>
        </w:rPr>
        <w:t xml:space="preserve"> </w:t>
      </w:r>
      <w:r w:rsidRPr="00740A48">
        <w:rPr>
          <w:rFonts w:ascii="Helvetica Neue" w:eastAsia="Helvetica Neue" w:hAnsi="Helvetica Neue" w:cs="Helvetica Neue"/>
          <w:b/>
        </w:rPr>
        <w:t xml:space="preserve">MARITZA MARTINEZ </w:t>
      </w:r>
    </w:p>
    <w:p w:rsidR="00740A48" w:rsidRPr="00D276D6" w:rsidRDefault="00740A48" w:rsidP="00740A48">
      <w:pPr>
        <w:spacing w:after="0"/>
        <w:ind w:hanging="2"/>
        <w:rPr>
          <w:rFonts w:ascii="Helvetica Neue" w:eastAsia="Helvetica Neue" w:hAnsi="Helvetica Neue" w:cs="Helvetica Neue"/>
        </w:rPr>
      </w:pPr>
      <w:r w:rsidRPr="00D276D6">
        <w:rPr>
          <w:rFonts w:ascii="Helvetica Neue" w:eastAsia="Helvetica Neue" w:hAnsi="Helvetica Neue" w:cs="Helvetica Neue"/>
        </w:rPr>
        <w:t>Senador de la República</w:t>
      </w:r>
      <w:r w:rsidRPr="00740A48">
        <w:rPr>
          <w:rFonts w:ascii="Helvetica Neue" w:eastAsia="Helvetica Neue" w:hAnsi="Helvetica Neue" w:cs="Helvetica Neue"/>
        </w:rPr>
        <w:t xml:space="preserve">                           </w:t>
      </w:r>
      <w:r>
        <w:rPr>
          <w:rFonts w:ascii="Helvetica Neue" w:eastAsia="Helvetica Neue" w:hAnsi="Helvetica Neue" w:cs="Helvetica Neue"/>
        </w:rPr>
        <w:tab/>
      </w:r>
      <w:r w:rsidRPr="00740A48">
        <w:rPr>
          <w:rFonts w:ascii="Helvetica Neue" w:eastAsia="Helvetica Neue" w:hAnsi="Helvetica Neue" w:cs="Helvetica Neue"/>
        </w:rPr>
        <w:t> </w:t>
      </w:r>
      <w:r w:rsidRPr="00D276D6">
        <w:rPr>
          <w:rFonts w:ascii="Helvetica Neue" w:eastAsia="Helvetica Neue" w:hAnsi="Helvetica Neue" w:cs="Helvetica Neue"/>
        </w:rPr>
        <w:t>Senadora de la República</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 xml:space="preserve">_____________________________                  </w:t>
      </w:r>
      <w:r>
        <w:rPr>
          <w:rFonts w:ascii="Helvetica Neue" w:eastAsia="Helvetica Neue" w:hAnsi="Helvetica Neue" w:cs="Helvetica Neue"/>
          <w:b/>
        </w:rPr>
        <w:t xml:space="preserve">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740A48" w:rsidRDefault="00740A48">
      <w:pPr>
        <w:rPr>
          <w:rFonts w:ascii="Helvetica Neue" w:eastAsia="Helvetica Neue" w:hAnsi="Helvetica Neue" w:cs="Helvetica Neue"/>
        </w:rPr>
      </w:pPr>
      <w:r>
        <w:rPr>
          <w:rFonts w:ascii="Helvetica Neue" w:eastAsia="Helvetica Neue" w:hAnsi="Helvetica Neue" w:cs="Helvetica Neue"/>
        </w:rPr>
        <w:br w:type="page"/>
      </w: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BE610B">
      <w:pPr>
        <w:pStyle w:val="Ttulo1"/>
        <w:widowControl w:val="0"/>
        <w:spacing w:before="70"/>
        <w:ind w:left="35" w:right="55" w:firstLine="0"/>
        <w:jc w:val="center"/>
        <w:rPr>
          <w:rFonts w:ascii="Helvetica Neue" w:eastAsia="Helvetica Neue" w:hAnsi="Helvetica Neue" w:cs="Helvetica Neue"/>
          <w:sz w:val="24"/>
          <w:szCs w:val="24"/>
        </w:rPr>
      </w:pPr>
      <w:bookmarkStart w:id="1" w:name="_gjdgxs" w:colFirst="0" w:colLast="0"/>
      <w:bookmarkEnd w:id="1"/>
      <w:r>
        <w:rPr>
          <w:rFonts w:ascii="Helvetica Neue" w:eastAsia="Helvetica Neue" w:hAnsi="Helvetica Neue" w:cs="Helvetica Neue"/>
          <w:sz w:val="24"/>
          <w:szCs w:val="24"/>
        </w:rPr>
        <w:t>PROYECTO DE LEY No.</w:t>
      </w:r>
      <w:r>
        <w:rPr>
          <w:rFonts w:ascii="Helvetica Neue" w:eastAsia="Helvetica Neue" w:hAnsi="Helvetica Neue" w:cs="Helvetica Neue"/>
          <w:sz w:val="24"/>
          <w:szCs w:val="24"/>
          <w:u w:val="single"/>
        </w:rPr>
        <w:t xml:space="preserve">      </w:t>
      </w:r>
      <w:r>
        <w:rPr>
          <w:rFonts w:ascii="Helvetica Neue" w:eastAsia="Helvetica Neue" w:hAnsi="Helvetica Neue" w:cs="Helvetica Neue"/>
          <w:sz w:val="24"/>
          <w:szCs w:val="24"/>
        </w:rPr>
        <w:t xml:space="preserve"> de 2017       </w:t>
      </w:r>
    </w:p>
    <w:p w:rsidR="003345DF" w:rsidRDefault="00BE610B">
      <w:pPr>
        <w:ind w:right="54" w:hanging="2"/>
        <w:jc w:val="center"/>
        <w:rPr>
          <w:rFonts w:ascii="Helvetica Neue" w:eastAsia="Helvetica Neue" w:hAnsi="Helvetica Neue" w:cs="Helvetica Neue"/>
          <w:b/>
        </w:rPr>
      </w:pPr>
      <w:r>
        <w:rPr>
          <w:rFonts w:ascii="Helvetica Neue" w:eastAsia="Helvetica Neue" w:hAnsi="Helvetica Neue" w:cs="Helvetica Neue"/>
          <w:b/>
        </w:rPr>
        <w:t xml:space="preserve">“Por medio de la cual se establece la protección de los derechos a la salud y al medio ambiente sano imponiendo restricciones a </w:t>
      </w:r>
      <w:r>
        <w:rPr>
          <w:rFonts w:ascii="Helvetica Neue" w:eastAsia="Helvetica Neue" w:hAnsi="Helvetica Neue" w:cs="Helvetica Neue"/>
          <w:b/>
        </w:rPr>
        <w:t>las emisiones contaminantes de fuentes móviles y se dictan otras disposiciones”.</w:t>
      </w:r>
    </w:p>
    <w:p w:rsidR="003345DF" w:rsidRDefault="003345DF">
      <w:pPr>
        <w:widowControl w:val="0"/>
        <w:spacing w:after="0"/>
        <w:ind w:firstLine="0"/>
        <w:rPr>
          <w:rFonts w:ascii="Helvetica Neue" w:eastAsia="Helvetica Neue" w:hAnsi="Helvetica Neue" w:cs="Helvetica Neue"/>
          <w:b/>
        </w:rPr>
      </w:pPr>
    </w:p>
    <w:p w:rsidR="003345DF" w:rsidRDefault="00BE610B">
      <w:pPr>
        <w:spacing w:after="0"/>
        <w:ind w:firstLine="0"/>
        <w:jc w:val="center"/>
        <w:rPr>
          <w:rFonts w:ascii="Helvetica Neue" w:eastAsia="Helvetica Neue" w:hAnsi="Helvetica Neue" w:cs="Helvetica Neue"/>
          <w:b/>
        </w:rPr>
      </w:pPr>
      <w:r>
        <w:rPr>
          <w:rFonts w:ascii="Helvetica Neue" w:eastAsia="Helvetica Neue" w:hAnsi="Helvetica Neue" w:cs="Helvetica Neue"/>
          <w:b/>
        </w:rPr>
        <w:t>* * *</w:t>
      </w:r>
    </w:p>
    <w:p w:rsidR="003345DF" w:rsidRDefault="003345DF">
      <w:pPr>
        <w:spacing w:after="0"/>
        <w:ind w:firstLine="0"/>
        <w:jc w:val="center"/>
        <w:rPr>
          <w:rFonts w:ascii="Helvetica Neue" w:eastAsia="Helvetica Neue" w:hAnsi="Helvetica Neue" w:cs="Helvetica Neue"/>
          <w:b/>
        </w:rPr>
      </w:pPr>
    </w:p>
    <w:p w:rsidR="003345DF" w:rsidRDefault="00BE610B">
      <w:pPr>
        <w:spacing w:after="0"/>
        <w:ind w:firstLine="0"/>
        <w:jc w:val="center"/>
        <w:rPr>
          <w:rFonts w:ascii="Helvetica Neue" w:eastAsia="Helvetica Neue" w:hAnsi="Helvetica Neue" w:cs="Helvetica Neue"/>
        </w:rPr>
      </w:pPr>
      <w:r>
        <w:rPr>
          <w:rFonts w:ascii="Helvetica Neue" w:eastAsia="Helvetica Neue" w:hAnsi="Helvetica Neue" w:cs="Helvetica Neue"/>
          <w:b/>
        </w:rPr>
        <w:t>Exposición de Motivos</w:t>
      </w:r>
    </w:p>
    <w:p w:rsidR="003345DF" w:rsidRDefault="003345DF">
      <w:pPr>
        <w:spacing w:after="0"/>
        <w:ind w:hanging="2"/>
        <w:rPr>
          <w:rFonts w:ascii="Helvetica Neue" w:eastAsia="Helvetica Neue" w:hAnsi="Helvetica Neue" w:cs="Helvetica Neue"/>
        </w:rPr>
      </w:pPr>
    </w:p>
    <w:p w:rsidR="003345DF" w:rsidRDefault="00BE610B">
      <w:pPr>
        <w:spacing w:after="0"/>
        <w:ind w:hanging="2"/>
        <w:jc w:val="both"/>
        <w:rPr>
          <w:rFonts w:ascii="Helvetica Neue" w:eastAsia="Helvetica Neue" w:hAnsi="Helvetica Neue" w:cs="Helvetica Neue"/>
          <w:i/>
          <w:vertAlign w:val="superscript"/>
        </w:rPr>
      </w:pPr>
      <w:r>
        <w:rPr>
          <w:rFonts w:ascii="Helvetica Neue" w:eastAsia="Helvetica Neue" w:hAnsi="Helvetica Neue" w:cs="Helvetica Neue"/>
        </w:rPr>
        <w:t>La contaminación del aire en las ciudades en Colombia genera una vulneración de los derechos a la salud y al medio ambiente consagrados en los artículos 49, 79, 80 y 366 de la Constitución Política de 1991, la cual generó una nueva aproximación entre la so</w:t>
      </w:r>
      <w:r>
        <w:rPr>
          <w:rFonts w:ascii="Helvetica Neue" w:eastAsia="Helvetica Neue" w:hAnsi="Helvetica Neue" w:cs="Helvetica Neue"/>
        </w:rPr>
        <w:t>ciedad y la naturaleza, con la llamada Constitución ecológica. La calidad del aire, como elemento determinante de un medio ambiente sano se convierte, por esta vía, en una preocupación que es necesario afrontar desde el ámbito legislativo. La Corte Constit</w:t>
      </w:r>
      <w:r>
        <w:rPr>
          <w:rFonts w:ascii="Helvetica Neue" w:eastAsia="Helvetica Neue" w:hAnsi="Helvetica Neue" w:cs="Helvetica Neue"/>
        </w:rPr>
        <w:t>ucional ha reconocido que la defensa del medio ambiente es un bien jurídico que contiene una triple dimensión en el ordenamiento colombiano, como “</w:t>
      </w:r>
      <w:r>
        <w:rPr>
          <w:rFonts w:ascii="Helvetica Neue" w:eastAsia="Helvetica Neue" w:hAnsi="Helvetica Neue" w:cs="Helvetica Neue"/>
          <w:i/>
        </w:rPr>
        <w:t>(i) principio que irradia todo el orden jurídico correspondiendo al Estado proteger las riquezas naturales de</w:t>
      </w:r>
      <w:r>
        <w:rPr>
          <w:rFonts w:ascii="Helvetica Neue" w:eastAsia="Helvetica Neue" w:hAnsi="Helvetica Neue" w:cs="Helvetica Neue"/>
          <w:i/>
        </w:rPr>
        <w:t xml:space="preserve"> la Nación; (ii) es un derecho constitucional (fundamental y colectivo) exigible por todas las personas a través de diversas vías judiciales; y (iii) es una obligación en cabeza de las autoridades, la sociedad y los particulares, al implicar deberes califi</w:t>
      </w:r>
      <w:r>
        <w:rPr>
          <w:rFonts w:ascii="Helvetica Neue" w:eastAsia="Helvetica Neue" w:hAnsi="Helvetica Neue" w:cs="Helvetica Neue"/>
          <w:i/>
        </w:rPr>
        <w:t>cados de protección. Además, la Constitución establece el “saneamiento ambiental” como servicio público y propósito fundamental de la actividad estatal (arts. 49 y 366 Superiores)”</w:t>
      </w:r>
      <w:r>
        <w:rPr>
          <w:rFonts w:ascii="Helvetica Neue" w:eastAsia="Helvetica Neue" w:hAnsi="Helvetica Neue" w:cs="Helvetica Neue"/>
          <w:b/>
          <w:i/>
          <w:vertAlign w:val="superscript"/>
        </w:rPr>
        <w:footnoteReference w:id="1"/>
      </w:r>
      <w:r>
        <w:rPr>
          <w:rFonts w:ascii="Helvetica Neue" w:eastAsia="Helvetica Neue" w:hAnsi="Helvetica Neue" w:cs="Helvetica Neue"/>
          <w:i/>
          <w:vertAlign w:val="superscript"/>
        </w:rPr>
        <w:t>.</w:t>
      </w:r>
    </w:p>
    <w:p w:rsidR="003345DF" w:rsidRDefault="00BE610B">
      <w:pPr>
        <w:spacing w:after="0"/>
        <w:ind w:hanging="2"/>
        <w:jc w:val="both"/>
        <w:rPr>
          <w:rFonts w:ascii="Helvetica Neue" w:eastAsia="Helvetica Neue" w:hAnsi="Helvetica Neue" w:cs="Helvetica Neue"/>
        </w:rPr>
      </w:pPr>
      <w:r>
        <w:rPr>
          <w:rFonts w:ascii="Helvetica Neue" w:eastAsia="Helvetica Neue" w:hAnsi="Helvetica Neue" w:cs="Helvetica Neue"/>
        </w:rPr>
        <w:t xml:space="preserve"> </w:t>
      </w:r>
    </w:p>
    <w:p w:rsidR="003345DF" w:rsidRDefault="00BE610B">
      <w:pPr>
        <w:spacing w:after="0"/>
        <w:ind w:hanging="2"/>
        <w:jc w:val="both"/>
        <w:rPr>
          <w:rFonts w:ascii="Helvetica Neue" w:eastAsia="Helvetica Neue" w:hAnsi="Helvetica Neue" w:cs="Helvetica Neue"/>
        </w:rPr>
      </w:pPr>
      <w:r>
        <w:rPr>
          <w:rFonts w:ascii="Helvetica Neue" w:eastAsia="Helvetica Neue" w:hAnsi="Helvetica Neue" w:cs="Helvetica Neue"/>
        </w:rPr>
        <w:t xml:space="preserve">En consecuencia, son deberes del Estado, entre otras, </w:t>
      </w:r>
      <w:r>
        <w:rPr>
          <w:rFonts w:ascii="Helvetica Neue" w:eastAsia="Helvetica Neue" w:hAnsi="Helvetica Neue" w:cs="Helvetica Neue"/>
          <w:i/>
        </w:rPr>
        <w:t>“prevenir y contr</w:t>
      </w:r>
      <w:r>
        <w:rPr>
          <w:rFonts w:ascii="Helvetica Neue" w:eastAsia="Helvetica Neue" w:hAnsi="Helvetica Neue" w:cs="Helvetica Neue"/>
          <w:i/>
        </w:rPr>
        <w:t>olar los factores de deterioro ambiental”</w:t>
      </w:r>
      <w:r>
        <w:rPr>
          <w:rFonts w:ascii="Helvetica Neue" w:eastAsia="Helvetica Neue" w:hAnsi="Helvetica Neue" w:cs="Helvetica Neue"/>
          <w:i/>
          <w:vertAlign w:val="superscript"/>
        </w:rPr>
        <w:footnoteReference w:id="2"/>
      </w:r>
      <w:r>
        <w:rPr>
          <w:rFonts w:ascii="Helvetica Neue" w:eastAsia="Helvetica Neue" w:hAnsi="Helvetica Neue" w:cs="Helvetica Neue"/>
          <w:i/>
        </w:rPr>
        <w:t xml:space="preserve"> </w:t>
      </w:r>
      <w:r>
        <w:rPr>
          <w:rFonts w:ascii="Helvetica Neue" w:eastAsia="Helvetica Neue" w:hAnsi="Helvetica Neue" w:cs="Helvetica Neue"/>
        </w:rPr>
        <w:t>tal y como se lo propone el presente proyecto de ley, al</w:t>
      </w:r>
      <w:r>
        <w:rPr>
          <w:rFonts w:ascii="Helvetica Neue" w:eastAsia="Helvetica Neue" w:hAnsi="Helvetica Neue" w:cs="Helvetica Neue"/>
          <w:i/>
        </w:rPr>
        <w:t xml:space="preserve"> </w:t>
      </w:r>
      <w:r>
        <w:rPr>
          <w:rFonts w:ascii="Helvetica Neue" w:eastAsia="Helvetica Neue" w:hAnsi="Helvetica Neue" w:cs="Helvetica Neue"/>
        </w:rPr>
        <w:t>establecer unos límites máximos de emisiones para vehículos con motor de ciclo diésel, con el fin de disminuir los riesgos asociados a la salud y por consig</w:t>
      </w:r>
      <w:r>
        <w:rPr>
          <w:rFonts w:ascii="Helvetica Neue" w:eastAsia="Helvetica Neue" w:hAnsi="Helvetica Neue" w:cs="Helvetica Neue"/>
        </w:rPr>
        <w:t>uiente a la vida de los colombianos.  Tal como lo reconoció la Corte Constitucional en la sentencia C-671 de 2001:</w:t>
      </w:r>
    </w:p>
    <w:p w:rsidR="003345DF" w:rsidRDefault="003345DF">
      <w:pPr>
        <w:spacing w:after="0"/>
        <w:ind w:hanging="2"/>
        <w:jc w:val="both"/>
        <w:rPr>
          <w:rFonts w:ascii="Helvetica Neue" w:eastAsia="Helvetica Neue" w:hAnsi="Helvetica Neue" w:cs="Helvetica Neue"/>
        </w:rPr>
      </w:pPr>
    </w:p>
    <w:p w:rsidR="003345DF" w:rsidRDefault="00BE610B">
      <w:pPr>
        <w:spacing w:after="0"/>
        <w:ind w:left="340" w:firstLine="0"/>
        <w:jc w:val="both"/>
        <w:rPr>
          <w:rFonts w:ascii="Helvetica Neue" w:eastAsia="Helvetica Neue" w:hAnsi="Helvetica Neue" w:cs="Helvetica Neue"/>
          <w:i/>
        </w:rPr>
      </w:pPr>
      <w:r>
        <w:rPr>
          <w:rFonts w:ascii="Helvetica Neue" w:eastAsia="Helvetica Neue" w:hAnsi="Helvetica Neue" w:cs="Helvetica Neue"/>
        </w:rPr>
        <w:t>“</w:t>
      </w:r>
      <w:r>
        <w:rPr>
          <w:rFonts w:ascii="Helvetica Neue" w:eastAsia="Helvetica Neue" w:hAnsi="Helvetica Neue" w:cs="Helvetica Neue"/>
          <w:i/>
        </w:rPr>
        <w:t>La defensa del medio ambiente constituye un objetivo de principio dentro de la actual estructura de nuestro Estado Social de Derecho. En cuanto hace parte del entorno vital del hombre, indispensable para su supervivencia y la de las generaciones futuras, e</w:t>
      </w:r>
      <w:r>
        <w:rPr>
          <w:rFonts w:ascii="Helvetica Neue" w:eastAsia="Helvetica Neue" w:hAnsi="Helvetica Neue" w:cs="Helvetica Neue"/>
          <w:i/>
        </w:rPr>
        <w:t>l medio ambiente se encuentra al amparo de lo que la jurisprudencia ha denominado ‘Constitución ecológica’, conformada por el conjunto de disposiciones superiores que fijan los presupuestos a partir de los cuales deben regularse las relaciones de la comuni</w:t>
      </w:r>
      <w:r>
        <w:rPr>
          <w:rFonts w:ascii="Helvetica Neue" w:eastAsia="Helvetica Neue" w:hAnsi="Helvetica Neue" w:cs="Helvetica Neue"/>
          <w:i/>
        </w:rPr>
        <w:t>dad con la naturaleza y que, en gran medida, propugnan por su conservación y protección.”</w:t>
      </w:r>
    </w:p>
    <w:p w:rsidR="003345DF" w:rsidRDefault="003345DF">
      <w:pPr>
        <w:spacing w:after="0"/>
        <w:ind w:left="340" w:firstLine="0"/>
        <w:jc w:val="both"/>
        <w:rPr>
          <w:rFonts w:ascii="Helvetica Neue" w:eastAsia="Helvetica Neue" w:hAnsi="Helvetica Neue" w:cs="Helvetica Neue"/>
          <w:i/>
        </w:rPr>
      </w:pPr>
    </w:p>
    <w:p w:rsidR="003345DF" w:rsidRDefault="00BE610B">
      <w:pPr>
        <w:spacing w:after="0"/>
        <w:ind w:left="340" w:firstLine="0"/>
        <w:jc w:val="both"/>
        <w:rPr>
          <w:rFonts w:ascii="Helvetica Neue" w:eastAsia="Helvetica Neue" w:hAnsi="Helvetica Neue" w:cs="Helvetica Neue"/>
          <w:b/>
          <w:i/>
          <w:vertAlign w:val="superscript"/>
        </w:rPr>
      </w:pPr>
      <w:r>
        <w:rPr>
          <w:rFonts w:ascii="Helvetica Neue" w:eastAsia="Helvetica Neue" w:hAnsi="Helvetica Neue" w:cs="Helvetica Neue"/>
          <w:i/>
        </w:rPr>
        <w:t>“El derecho al medio ambiente no se puede desligar del derecho a la vida y a la salud de las personas. De hecho, los factores perturbadores del medio ambiente causan</w:t>
      </w:r>
      <w:r>
        <w:rPr>
          <w:rFonts w:ascii="Helvetica Neue" w:eastAsia="Helvetica Neue" w:hAnsi="Helvetica Neue" w:cs="Helvetica Neue"/>
          <w:i/>
        </w:rPr>
        <w:t xml:space="preserve"> daños irreparables en los seres humanos y si ello es así habrá que decirse que el medio ambiente es un derecho fundamental para la existencia de la humanidad. A esta conclusión se ha llegado cuando esta Corte ha evaluado la incidencia del medio ambiente e</w:t>
      </w:r>
      <w:r>
        <w:rPr>
          <w:rFonts w:ascii="Helvetica Neue" w:eastAsia="Helvetica Neue" w:hAnsi="Helvetica Neue" w:cs="Helvetica Neue"/>
          <w:i/>
        </w:rPr>
        <w:t>n la vida de los hombres y por ello en sentencias anteriores de tutelas, se ha afirmado que el derecho al medio ambiente es un derecho fundamental.”</w:t>
      </w:r>
      <w:r>
        <w:rPr>
          <w:rFonts w:ascii="Helvetica Neue" w:eastAsia="Helvetica Neue" w:hAnsi="Helvetica Neue" w:cs="Helvetica Neue"/>
          <w:i/>
          <w:vertAlign w:val="superscript"/>
        </w:rPr>
        <w:footnoteReference w:id="3"/>
      </w:r>
    </w:p>
    <w:p w:rsidR="003345DF" w:rsidRDefault="003345DF">
      <w:pPr>
        <w:spacing w:after="0"/>
        <w:ind w:hanging="2"/>
        <w:rPr>
          <w:rFonts w:ascii="Helvetica Neue" w:eastAsia="Helvetica Neue" w:hAnsi="Helvetica Neue" w:cs="Helvetica Neue"/>
          <w:b/>
          <w:i/>
          <w:vertAlign w:val="superscript"/>
        </w:rPr>
      </w:pPr>
    </w:p>
    <w:p w:rsidR="003345DF" w:rsidRDefault="003345DF">
      <w:pPr>
        <w:spacing w:after="0"/>
        <w:ind w:hanging="2"/>
        <w:rPr>
          <w:rFonts w:ascii="Helvetica Neue" w:eastAsia="Helvetica Neue" w:hAnsi="Helvetica Neue" w:cs="Helvetica Neue"/>
        </w:rPr>
      </w:pPr>
    </w:p>
    <w:p w:rsidR="003345DF" w:rsidRDefault="00BE610B">
      <w:pPr>
        <w:numPr>
          <w:ilvl w:val="0"/>
          <w:numId w:val="3"/>
        </w:numPr>
        <w:spacing w:after="0"/>
        <w:contextualSpacing/>
        <w:rPr>
          <w:rFonts w:ascii="Helvetica Neue" w:eastAsia="Helvetica Neue" w:hAnsi="Helvetica Neue" w:cs="Helvetica Neue"/>
          <w:b/>
        </w:rPr>
      </w:pPr>
      <w:r>
        <w:rPr>
          <w:rFonts w:ascii="Helvetica Neue" w:eastAsia="Helvetica Neue" w:hAnsi="Helvetica Neue" w:cs="Helvetica Neue"/>
          <w:b/>
        </w:rPr>
        <w:t>Contexto</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La calidad del aire, y en particular los altos niveles de concentración de Material Particulado</w:t>
      </w:r>
      <w:r>
        <w:rPr>
          <w:rFonts w:ascii="Helvetica Neue" w:eastAsia="Helvetica Neue" w:hAnsi="Helvetica Neue" w:cs="Helvetica Neue"/>
        </w:rPr>
        <w:t xml:space="preserve"> -PM, en todos sus diferentes tamaños de partícula, PM10, PM2,5 y PM1, afectan la salud humana, por lo que la Organización Mundial de la Salud -OMS declaró en 2012 las emisiones de vehículos diésel como carcinogénicas.</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En 2015, según la OCDE se le atribuye</w:t>
      </w:r>
      <w:r>
        <w:rPr>
          <w:rFonts w:ascii="Helvetica Neue" w:eastAsia="Helvetica Neue" w:hAnsi="Helvetica Neue" w:cs="Helvetica Neue"/>
        </w:rPr>
        <w:t>n 8,2 millones de muertes anuales a la contaminación del aire urbano. Para este mismo año, el costo estimado asociado a las muertes prematuras por contaminación del aire ascendió a 3,5 billones de dólares americanos.</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Las fuentes de emisión como los vehícul</w:t>
      </w:r>
      <w:r>
        <w:rPr>
          <w:rFonts w:ascii="Helvetica Neue" w:eastAsia="Helvetica Neue" w:hAnsi="Helvetica Neue" w:cs="Helvetica Neue"/>
        </w:rPr>
        <w:t>os con motores diésel, motores a gasolina e industrias, exponen a la población a altas concentraciones de material particulado, siendo este contaminante uno de los precursores en la aparición de enfermedades respiratorias agudas -ERA-, y cardiovasculares e</w:t>
      </w:r>
      <w:r>
        <w:rPr>
          <w:rFonts w:ascii="Helvetica Neue" w:eastAsia="Helvetica Neue" w:hAnsi="Helvetica Neue" w:cs="Helvetica Neue"/>
        </w:rPr>
        <w:t xml:space="preserve">n las personas. </w:t>
      </w:r>
    </w:p>
    <w:p w:rsidR="003345DF" w:rsidRDefault="00BE610B">
      <w:pPr>
        <w:ind w:hanging="2"/>
        <w:jc w:val="both"/>
        <w:rPr>
          <w:rFonts w:ascii="Helvetica Neue" w:eastAsia="Helvetica Neue" w:hAnsi="Helvetica Neue" w:cs="Helvetica Neue"/>
          <w:sz w:val="22"/>
          <w:szCs w:val="22"/>
        </w:rPr>
      </w:pPr>
      <w:r>
        <w:rPr>
          <w:rFonts w:ascii="Helvetica Neue" w:eastAsia="Helvetica Neue" w:hAnsi="Helvetica Neue" w:cs="Helvetica Neue"/>
        </w:rPr>
        <w:t>Este contaminante se produce en diferentes tamaños: partículas de 10 micrómetros (PM10) o partículas gruesas, que penetran en el sistema respiratorio superior y es exhalado a partir de mecanismos como la tos, estornudos o flemas</w:t>
      </w:r>
      <w:r>
        <w:rPr>
          <w:rFonts w:ascii="Helvetica Neue" w:eastAsia="Helvetica Neue" w:hAnsi="Helvetica Neue" w:cs="Helvetica Neue"/>
          <w:vertAlign w:val="superscript"/>
        </w:rPr>
        <w:footnoteReference w:id="4"/>
      </w:r>
      <w:r>
        <w:rPr>
          <w:rFonts w:ascii="Helvetica Neue" w:eastAsia="Helvetica Neue" w:hAnsi="Helvetica Neue" w:cs="Helvetica Neue"/>
        </w:rPr>
        <w:t>; partículas de 2.5 micrómetros (PM2.5), o partículas finas que penetran hasta la zona traqueo-bronquial contribuyendo en la incidencia de enfermedades respiratorias como asma y bronquitis, y las partículas de tamaño menor a 0.1 micrómetros de diámetro (PM</w:t>
      </w:r>
      <w:r>
        <w:rPr>
          <w:rFonts w:ascii="Helvetica Neue" w:eastAsia="Helvetica Neue" w:hAnsi="Helvetica Neue" w:cs="Helvetica Neue"/>
        </w:rPr>
        <w:t>0.1) o partículas ultra finas que llegan hasta la región alveolar, que por su reducido tamaño se pueden transportar a través del torrente sanguíneo o el sistema linfático a los órganos vitales, causando daños en el sistema nervioso, circulatorio y respirat</w:t>
      </w:r>
      <w:r>
        <w:rPr>
          <w:rFonts w:ascii="Helvetica Neue" w:eastAsia="Helvetica Neue" w:hAnsi="Helvetica Neue" w:cs="Helvetica Neue"/>
        </w:rPr>
        <w:t>orio a partir de afecciones como neuro-degeneración, cambios en el sistema nervioso autónomo, trombogénesis, infarto al miocardio, accidente cerebrovascular, placas de ateroma, cáncer de pulmón</w:t>
      </w:r>
      <w:r>
        <w:rPr>
          <w:rFonts w:ascii="Helvetica Neue" w:eastAsia="Helvetica Neue" w:hAnsi="Helvetica Neue" w:cs="Helvetica Neue"/>
          <w:vertAlign w:val="superscript"/>
        </w:rPr>
        <w:footnoteReference w:id="5"/>
      </w:r>
      <w:r>
        <w:rPr>
          <w:rFonts w:ascii="Helvetica Neue" w:eastAsia="Helvetica Neue" w:hAnsi="Helvetica Neue" w:cs="Helvetica Neue"/>
        </w:rPr>
        <w:t xml:space="preserve">, inflamación pulmonar y daños en el hígado, bazo entre otros </w:t>
      </w:r>
      <w:r>
        <w:rPr>
          <w:rFonts w:ascii="Helvetica Neue" w:eastAsia="Helvetica Neue" w:hAnsi="Helvetica Neue" w:cs="Helvetica Neue"/>
        </w:rPr>
        <w:t>órganos</w:t>
      </w:r>
      <w:r>
        <w:rPr>
          <w:rFonts w:ascii="Helvetica Neue" w:eastAsia="Helvetica Neue" w:hAnsi="Helvetica Neue" w:cs="Helvetica Neue"/>
          <w:vertAlign w:val="superscript"/>
        </w:rPr>
        <w:footnoteReference w:id="6"/>
      </w:r>
      <w:r>
        <w:rPr>
          <w:rFonts w:ascii="Helvetica Neue" w:eastAsia="Helvetica Neue" w:hAnsi="Helvetica Neue" w:cs="Helvetica Neue"/>
        </w:rPr>
        <w:t xml:space="preserve">. </w:t>
      </w:r>
      <w:r>
        <w:rPr>
          <w:rFonts w:ascii="Helvetica Neue" w:eastAsia="Helvetica Neue" w:hAnsi="Helvetica Neue" w:cs="Helvetica Neue"/>
          <w:sz w:val="22"/>
          <w:szCs w:val="22"/>
        </w:rPr>
        <w:t>Estas partículas ultra finas son producidas principalmente por la quema de diésel en vehículos</w:t>
      </w:r>
      <w:r>
        <w:rPr>
          <w:rFonts w:ascii="Helvetica Neue" w:eastAsia="Helvetica Neue" w:hAnsi="Helvetica Neue" w:cs="Helvetica Neue"/>
          <w:sz w:val="22"/>
          <w:szCs w:val="22"/>
          <w:vertAlign w:val="superscript"/>
        </w:rPr>
        <w:footnoteReference w:id="7"/>
      </w:r>
      <w:r>
        <w:rPr>
          <w:rFonts w:ascii="Helvetica Neue" w:eastAsia="Helvetica Neue" w:hAnsi="Helvetica Neue" w:cs="Helvetica Neue"/>
          <w:sz w:val="22"/>
          <w:szCs w:val="22"/>
        </w:rPr>
        <w:t>, son mayoritariamente de carácter carbonoso (black carbon) y vienen asociadas a hidrocarburos aromáticos policíclicos (HAP)</w:t>
      </w:r>
      <w:r>
        <w:rPr>
          <w:rFonts w:ascii="Helvetica Neue" w:eastAsia="Helvetica Neue" w:hAnsi="Helvetica Neue" w:cs="Helvetica Neue"/>
          <w:sz w:val="22"/>
          <w:szCs w:val="22"/>
          <w:vertAlign w:val="superscript"/>
        </w:rPr>
        <w:footnoteReference w:id="8"/>
      </w:r>
      <w:r>
        <w:rPr>
          <w:rFonts w:ascii="Helvetica Neue" w:eastAsia="Helvetica Neue" w:hAnsi="Helvetica Neue" w:cs="Helvetica Neue"/>
          <w:sz w:val="22"/>
          <w:szCs w:val="22"/>
        </w:rPr>
        <w:t xml:space="preserve"> con diferentes grados de </w:t>
      </w:r>
      <w:r>
        <w:rPr>
          <w:rFonts w:ascii="Helvetica Neue" w:eastAsia="Helvetica Neue" w:hAnsi="Helvetica Neue" w:cs="Helvetica Neue"/>
          <w:sz w:val="22"/>
          <w:szCs w:val="22"/>
        </w:rPr>
        <w:t>carcinogenicidad comprobada por la Agencia Internacional de Investigaciones sobre el Cáncer de la OMS</w:t>
      </w:r>
      <w:r>
        <w:rPr>
          <w:rFonts w:ascii="Helvetica Neue" w:eastAsia="Helvetica Neue" w:hAnsi="Helvetica Neue" w:cs="Helvetica Neue"/>
          <w:sz w:val="22"/>
          <w:szCs w:val="22"/>
          <w:vertAlign w:val="superscript"/>
        </w:rPr>
        <w:footnoteReference w:id="9"/>
      </w:r>
      <w:r>
        <w:rPr>
          <w:rFonts w:ascii="Helvetica Neue" w:eastAsia="Helvetica Neue" w:hAnsi="Helvetica Neue" w:cs="Helvetica Neue"/>
          <w:sz w:val="22"/>
          <w:szCs w:val="22"/>
        </w:rPr>
        <w:t>.</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La Secretaría Distrital de Salud de Bogotá, concluyó que por cada 10 microgramos por metro cúbico que aumenta el material particulado, se puede incremen</w:t>
      </w:r>
      <w:r>
        <w:rPr>
          <w:rFonts w:ascii="Helvetica Neue" w:eastAsia="Helvetica Neue" w:hAnsi="Helvetica Neue" w:cs="Helvetica Neue"/>
        </w:rPr>
        <w:t>tar hasta en un 20% las consultas por ERA en menores de 5 años. Así mismo un incremento entre 10 a 20 microgramos por metro cúbico, se encuentra asociado con un 40% de ausentismo escolar.</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Estudios locales de la academia y el sector salud indican que las si</w:t>
      </w:r>
      <w:r>
        <w:rPr>
          <w:rFonts w:ascii="Helvetica Neue" w:eastAsia="Helvetica Neue" w:hAnsi="Helvetica Neue" w:cs="Helvetica Neue"/>
        </w:rPr>
        <w:t xml:space="preserve">bilancias son el síntoma respiratorio más asociado a la exposición a altos niveles de contaminación del aire por material particulado en </w:t>
      </w:r>
      <w:r w:rsidR="00740A48">
        <w:rPr>
          <w:rFonts w:ascii="Helvetica Neue" w:eastAsia="Helvetica Neue" w:hAnsi="Helvetica Neue" w:cs="Helvetica Neue"/>
        </w:rPr>
        <w:t>Bogotá (</w:t>
      </w:r>
      <w:r>
        <w:rPr>
          <w:rFonts w:ascii="Helvetica Neue" w:eastAsia="Helvetica Neue" w:hAnsi="Helvetica Neue" w:cs="Helvetica Neue"/>
        </w:rPr>
        <w:t>L.J. Hernández, 2007), y se pudo observar que la incidencia de síntomas respiratorios graves como la tos y las</w:t>
      </w:r>
      <w:r>
        <w:rPr>
          <w:rFonts w:ascii="Helvetica Neue" w:eastAsia="Helvetica Neue" w:hAnsi="Helvetica Neue" w:cs="Helvetica Neue"/>
        </w:rPr>
        <w:t xml:space="preserve"> sibilancias, fue mayor en menores de cinco años que asistían a jardines con altos niveles de contaminación del aire extramuros (R. Sarmiento, 2015).</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Según el Departamento Nacional de Planeación en 2014 alrededor de 8.600 personas murieron a causa de la co</w:t>
      </w:r>
      <w:r>
        <w:rPr>
          <w:rFonts w:ascii="Helvetica Neue" w:eastAsia="Helvetica Neue" w:hAnsi="Helvetica Neue" w:cs="Helvetica Neue"/>
        </w:rPr>
        <w:t>ntaminación del aire urbano en Colombia, y se identificaron más de 59 millones de síntomas y enfermedades atribuibles al mismo factor, lo que le costó al país alrededor de 12 billones de pesos, es decir aproximadamente el 1,59% del PIB.</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 xml:space="preserve">En el último año y </w:t>
      </w:r>
      <w:r>
        <w:rPr>
          <w:rFonts w:ascii="Helvetica Neue" w:eastAsia="Helvetica Neue" w:hAnsi="Helvetica Neue" w:cs="Helvetica Neue"/>
        </w:rPr>
        <w:t xml:space="preserve">medio </w:t>
      </w:r>
      <w:r w:rsidR="00740A48">
        <w:rPr>
          <w:rFonts w:ascii="Helvetica Neue" w:eastAsia="Helvetica Neue" w:hAnsi="Helvetica Neue" w:cs="Helvetica Neue"/>
        </w:rPr>
        <w:t>diferentes ciudades colombianas se han</w:t>
      </w:r>
      <w:r>
        <w:rPr>
          <w:rFonts w:ascii="Helvetica Neue" w:eastAsia="Helvetica Neue" w:hAnsi="Helvetica Neue" w:cs="Helvetica Neue"/>
        </w:rPr>
        <w:t xml:space="preserve"> visto afectadas por altos niveles de contaminación en el aire. Se han declarado alertas ambientales y se han intensificado las medidas para controlar las fuentes de emisión. Medellín ha sufrido de una crisis ambi</w:t>
      </w:r>
      <w:r>
        <w:rPr>
          <w:rFonts w:ascii="Helvetica Neue" w:eastAsia="Helvetica Neue" w:hAnsi="Helvetica Neue" w:cs="Helvetica Neue"/>
        </w:rPr>
        <w:t xml:space="preserve">ental muy seria, y si bien Bogotá ha venido cumpliendo con la norma nacional de calidad del aire, los niveles promedio de la ciudad están muy lejos de no ser dañinos para la salud. </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Según el IDEAM, Bogotá y Medellín cuentan con las zonas más contaminadas d</w:t>
      </w:r>
      <w:r>
        <w:rPr>
          <w:rFonts w:ascii="Helvetica Neue" w:eastAsia="Helvetica Neue" w:hAnsi="Helvetica Neue" w:cs="Helvetica Neue"/>
        </w:rPr>
        <w:t>el país, en las cuales se supera ampliamente la norma nacional, Las zonas más contaminadas son la Sevillana en Bogotá, San Antonio y la Estrella en El Valle de Aburra, El Colegio en Ráquira, y La Jagua y Plan Bonito en el Cesar.</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Según los estudios técnicos</w:t>
      </w:r>
      <w:r>
        <w:rPr>
          <w:rFonts w:ascii="Helvetica Neue" w:eastAsia="Helvetica Neue" w:hAnsi="Helvetica Neue" w:cs="Helvetica Neue"/>
        </w:rPr>
        <w:t xml:space="preserve">, las fuentes móviles emiten más del 60% del total de emisiones de material particulado, y las emisiones provenientes de los motores diésel son el principal aportante en esta participación. Es evidente que las fuentes móviles diésel cuentan con motores de </w:t>
      </w:r>
      <w:r>
        <w:rPr>
          <w:rFonts w:ascii="Helvetica Neue" w:eastAsia="Helvetica Neue" w:hAnsi="Helvetica Neue" w:cs="Helvetica Neue"/>
        </w:rPr>
        <w:t>combustión obsoletos que generan altos niveles de emisión de material particulado y gases de efecto invernadero, dado que son empleados, sobre todo, para las actividades económicas de mayor intensidad en el uso del transporte terrestre, por lo que las ciud</w:t>
      </w:r>
      <w:r>
        <w:rPr>
          <w:rFonts w:ascii="Helvetica Neue" w:eastAsia="Helvetica Neue" w:hAnsi="Helvetica Neue" w:cs="Helvetica Neue"/>
        </w:rPr>
        <w:t>ades requieren con urgencia herramientas que les permitan actualizar tecnológicamente su parque automotor, así como, los métodos de vigilancia y control de forma que se logre un impacto real en la calidad del aire mediante el ejercicio de autoridad en todo</w:t>
      </w:r>
      <w:r>
        <w:rPr>
          <w:rFonts w:ascii="Helvetica Neue" w:eastAsia="Helvetica Neue" w:hAnsi="Helvetica Neue" w:cs="Helvetica Neue"/>
        </w:rPr>
        <w:t xml:space="preserve"> el territorio nacional.</w:t>
      </w:r>
    </w:p>
    <w:p w:rsidR="003345DF" w:rsidRDefault="00BE610B">
      <w:pPr>
        <w:pStyle w:val="Ttulo5"/>
        <w:keepNext w:val="0"/>
        <w:keepLines w:val="0"/>
        <w:ind w:hanging="2"/>
        <w:jc w:val="center"/>
        <w:rPr>
          <w:rFonts w:ascii="Helvetica Neue" w:eastAsia="Helvetica Neue" w:hAnsi="Helvetica Neue" w:cs="Helvetica Neue"/>
          <w:sz w:val="24"/>
          <w:szCs w:val="24"/>
        </w:rPr>
      </w:pPr>
      <w:bookmarkStart w:id="2" w:name="_30j0zll" w:colFirst="0" w:colLast="0"/>
      <w:bookmarkEnd w:id="2"/>
      <w:r>
        <w:rPr>
          <w:rFonts w:ascii="Helvetica Neue" w:eastAsia="Helvetica Neue" w:hAnsi="Helvetica Neue" w:cs="Helvetica Neue"/>
          <w:sz w:val="24"/>
          <w:szCs w:val="24"/>
        </w:rPr>
        <w:t>Gráfica 1. Porcentaje de emisiones atmosféricas por sector</w:t>
      </w:r>
    </w:p>
    <w:p w:rsidR="003345DF" w:rsidRDefault="00BE610B">
      <w:pPr>
        <w:rPr>
          <w:rFonts w:ascii="Helvetica Neue" w:eastAsia="Helvetica Neue" w:hAnsi="Helvetica Neue" w:cs="Helvetica Neue"/>
        </w:rPr>
      </w:pPr>
      <w:r>
        <w:rPr>
          <w:noProof/>
          <w:lang w:val="es-CO"/>
        </w:rPr>
        <w:drawing>
          <wp:anchor distT="114300" distB="114300" distL="114300" distR="114300" simplePos="0" relativeHeight="251658240" behindDoc="0" locked="0" layoutInCell="1" hidden="0" allowOverlap="1">
            <wp:simplePos x="0" y="0"/>
            <wp:positionH relativeFrom="margin">
              <wp:posOffset>600075</wp:posOffset>
            </wp:positionH>
            <wp:positionV relativeFrom="paragraph">
              <wp:posOffset>104775</wp:posOffset>
            </wp:positionV>
            <wp:extent cx="3610928" cy="2087707"/>
            <wp:effectExtent l="0" t="0" r="0" b="0"/>
            <wp:wrapSquare wrapText="bothSides" distT="114300" distB="114300" distL="114300" distR="114300"/>
            <wp:docPr id="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3610928" cy="2087707"/>
                    </a:xfrm>
                    <a:prstGeom prst="rect">
                      <a:avLst/>
                    </a:prstGeom>
                    <a:ln/>
                  </pic:spPr>
                </pic:pic>
              </a:graphicData>
            </a:graphic>
          </wp:anchor>
        </w:drawing>
      </w:r>
    </w:p>
    <w:p w:rsidR="003345DF" w:rsidRDefault="003345DF">
      <w:pPr>
        <w:rPr>
          <w:rFonts w:ascii="Helvetica Neue" w:eastAsia="Helvetica Neue" w:hAnsi="Helvetica Neue" w:cs="Helvetica Neue"/>
        </w:rPr>
      </w:pPr>
    </w:p>
    <w:p w:rsidR="003345DF" w:rsidRDefault="003345DF">
      <w:pPr>
        <w:rPr>
          <w:rFonts w:ascii="Helvetica Neue" w:eastAsia="Helvetica Neue" w:hAnsi="Helvetica Neue" w:cs="Helvetica Neue"/>
        </w:rPr>
      </w:pPr>
    </w:p>
    <w:p w:rsidR="003345DF" w:rsidRDefault="003345DF">
      <w:pPr>
        <w:ind w:hanging="2"/>
        <w:jc w:val="both"/>
        <w:rPr>
          <w:rFonts w:ascii="Helvetica Neue" w:eastAsia="Helvetica Neue" w:hAnsi="Helvetica Neue" w:cs="Helvetica Neue"/>
          <w:b/>
        </w:rPr>
      </w:pPr>
    </w:p>
    <w:p w:rsidR="003345DF" w:rsidRDefault="003345DF">
      <w:pPr>
        <w:ind w:hanging="2"/>
        <w:jc w:val="both"/>
        <w:rPr>
          <w:rFonts w:ascii="Helvetica Neue" w:eastAsia="Helvetica Neue" w:hAnsi="Helvetica Neue" w:cs="Helvetica Neue"/>
        </w:rPr>
      </w:pPr>
    </w:p>
    <w:p w:rsidR="003345DF" w:rsidRPr="00740A48" w:rsidRDefault="00BE610B">
      <w:pPr>
        <w:ind w:hanging="2"/>
        <w:jc w:val="both"/>
        <w:rPr>
          <w:rFonts w:ascii="Helvetica Neue" w:eastAsia="Helvetica Neue" w:hAnsi="Helvetica Neue" w:cs="Helvetica Neue"/>
          <w:sz w:val="20"/>
          <w:szCs w:val="20"/>
        </w:rPr>
      </w:pPr>
      <w:r w:rsidRPr="00740A48">
        <w:rPr>
          <w:rFonts w:ascii="Helvetica Neue" w:eastAsia="Helvetica Neue" w:hAnsi="Helvetica Neue" w:cs="Helvetica Neue"/>
          <w:sz w:val="20"/>
          <w:szCs w:val="20"/>
        </w:rPr>
        <w:t>*Información consolidada de los últimos inventarios de emisiones de Bogotá, Cali y Medellín. No incluye información referente a emisiones de material resuspendido.</w:t>
      </w:r>
    </w:p>
    <w:p w:rsidR="003345DF" w:rsidRPr="00740A48" w:rsidRDefault="00BE610B">
      <w:pPr>
        <w:ind w:hanging="2"/>
        <w:jc w:val="both"/>
        <w:rPr>
          <w:rFonts w:ascii="Helvetica Neue" w:eastAsia="Helvetica Neue" w:hAnsi="Helvetica Neue" w:cs="Helvetica Neue"/>
          <w:sz w:val="20"/>
          <w:szCs w:val="20"/>
        </w:rPr>
      </w:pPr>
      <w:r w:rsidRPr="00740A48">
        <w:rPr>
          <w:rFonts w:ascii="Helvetica Neue" w:eastAsia="Helvetica Neue" w:hAnsi="Helvetica Neue" w:cs="Helvetica Neue"/>
          <w:b/>
          <w:sz w:val="20"/>
          <w:szCs w:val="20"/>
        </w:rPr>
        <w:t xml:space="preserve">Fuente: </w:t>
      </w:r>
      <w:r w:rsidRPr="00740A48">
        <w:rPr>
          <w:rFonts w:ascii="Helvetica Neue" w:eastAsia="Helvetica Neue" w:hAnsi="Helvetica Neue" w:cs="Helvetica Neue"/>
          <w:sz w:val="20"/>
          <w:szCs w:val="20"/>
        </w:rPr>
        <w:t xml:space="preserve">Portal SIAC  </w:t>
      </w:r>
      <w:r w:rsidRPr="00740A48">
        <w:rPr>
          <w:rFonts w:ascii="Helvetica Neue" w:eastAsia="Helvetica Neue" w:hAnsi="Helvetica Neue" w:cs="Helvetica Neue"/>
          <w:sz w:val="20"/>
          <w:szCs w:val="20"/>
          <w:vertAlign w:val="superscript"/>
        </w:rPr>
        <w:footnoteReference w:id="10"/>
      </w:r>
    </w:p>
    <w:p w:rsidR="003345DF" w:rsidRDefault="00BE610B">
      <w:pPr>
        <w:pStyle w:val="Ttulo5"/>
        <w:keepNext w:val="0"/>
        <w:keepLines w:val="0"/>
        <w:ind w:hanging="2"/>
        <w:jc w:val="center"/>
        <w:rPr>
          <w:rFonts w:ascii="Helvetica Neue" w:eastAsia="Helvetica Neue" w:hAnsi="Helvetica Neue" w:cs="Helvetica Neue"/>
          <w:sz w:val="24"/>
          <w:szCs w:val="24"/>
        </w:rPr>
      </w:pPr>
      <w:bookmarkStart w:id="3" w:name="_1fob9te" w:colFirst="0" w:colLast="0"/>
      <w:bookmarkStart w:id="4" w:name="_3znysh7" w:colFirst="0" w:colLast="0"/>
      <w:bookmarkStart w:id="5" w:name="_2et92p0" w:colFirst="0" w:colLast="0"/>
      <w:bookmarkStart w:id="6" w:name="_tyjcwt" w:colFirst="0" w:colLast="0"/>
      <w:bookmarkStart w:id="7" w:name="_3dy6vkm" w:colFirst="0" w:colLast="0"/>
      <w:bookmarkStart w:id="8" w:name="_1t3h5sf" w:colFirst="0" w:colLast="0"/>
      <w:bookmarkEnd w:id="3"/>
      <w:bookmarkEnd w:id="4"/>
      <w:bookmarkEnd w:id="5"/>
      <w:bookmarkEnd w:id="6"/>
      <w:bookmarkEnd w:id="7"/>
      <w:bookmarkEnd w:id="8"/>
      <w:r>
        <w:rPr>
          <w:rFonts w:ascii="Helvetica Neue" w:eastAsia="Helvetica Neue" w:hAnsi="Helvetica Neue" w:cs="Helvetica Neue"/>
          <w:sz w:val="24"/>
          <w:szCs w:val="24"/>
        </w:rPr>
        <w:t>Tabla 1. Emisiones atmosféricas por sector (Ton/año)</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noProof/>
          <w:lang w:val="es-CO"/>
        </w:rPr>
        <w:drawing>
          <wp:inline distT="114300" distB="114300" distL="114300" distR="114300">
            <wp:extent cx="5381625" cy="2781300"/>
            <wp:effectExtent l="0" t="0" r="9525"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381625" cy="2781300"/>
                    </a:xfrm>
                    <a:prstGeom prst="rect">
                      <a:avLst/>
                    </a:prstGeom>
                    <a:ln/>
                  </pic:spPr>
                </pic:pic>
              </a:graphicData>
            </a:graphic>
          </wp:inline>
        </w:drawing>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b/>
        </w:rPr>
        <w:t xml:space="preserve">Fuente: </w:t>
      </w:r>
      <w:r>
        <w:rPr>
          <w:rFonts w:ascii="Helvetica Neue" w:eastAsia="Helvetica Neue" w:hAnsi="Helvetica Neue" w:cs="Helvetica Neue"/>
        </w:rPr>
        <w:t xml:space="preserve">Portal SIAC  </w:t>
      </w:r>
      <w:r>
        <w:rPr>
          <w:rFonts w:ascii="Helvetica Neue" w:eastAsia="Helvetica Neue" w:hAnsi="Helvetica Neue" w:cs="Helvetica Neue"/>
          <w:vertAlign w:val="superscript"/>
        </w:rPr>
        <w:footnoteReference w:id="11"/>
      </w:r>
    </w:p>
    <w:p w:rsidR="003345DF" w:rsidRDefault="003345DF">
      <w:pPr>
        <w:ind w:hanging="2"/>
        <w:jc w:val="both"/>
        <w:rPr>
          <w:rFonts w:ascii="Helvetica Neue" w:eastAsia="Helvetica Neue" w:hAnsi="Helvetica Neue" w:cs="Helvetica Neue"/>
        </w:rPr>
      </w:pPr>
    </w:p>
    <w:p w:rsidR="003345DF" w:rsidRDefault="00BE610B">
      <w:pPr>
        <w:ind w:firstLine="0"/>
        <w:jc w:val="both"/>
        <w:rPr>
          <w:rFonts w:ascii="Helvetica Neue" w:eastAsia="Helvetica Neue" w:hAnsi="Helvetica Neue" w:cs="Helvetica Neue"/>
          <w:b/>
        </w:rPr>
      </w:pPr>
      <w:r>
        <w:rPr>
          <w:rFonts w:ascii="Helvetica Neue" w:eastAsia="Helvetica Neue" w:hAnsi="Helvetica Neue" w:cs="Helvetica Neue"/>
          <w:b/>
        </w:rPr>
        <w:t>2. Evolución del monitoreo de la calidad del aire en Colombia</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El interés en conocer el estado de la calidad del aire se remonta al año 1967, en el que por iniciativa de la Organización Panamericana de la Salud – OPS y por medio del Centro Panamericano de Ingeniería Sanitaria y Ciencias del Ambiente (CEPIS), se puso e</w:t>
      </w:r>
      <w:r>
        <w:rPr>
          <w:rFonts w:ascii="Helvetica Neue" w:eastAsia="Helvetica Neue" w:hAnsi="Helvetica Neue" w:cs="Helvetica Neue"/>
        </w:rPr>
        <w:t>n funcionamiento la Red Panamericana de Muestreo Normalizado de la Contaminación del Aire – RED PANAIRE; esta red inicialmente contaba con ocho estaciones y se fue expandiendo de manera que a finales de 1973 contaba con 88 estaciones ubicadas en 26 ciudade</w:t>
      </w:r>
      <w:r>
        <w:rPr>
          <w:rFonts w:ascii="Helvetica Neue" w:eastAsia="Helvetica Neue" w:hAnsi="Helvetica Neue" w:cs="Helvetica Neue"/>
        </w:rPr>
        <w:t>s de 14 países, de las cuales en Colombia había estaciones en Bogotá, Barranquilla, Bucaramanga, Cali, Cartagena y Medellín; esta red permaneció en operación hasta 1980 (Korc, 1999).</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La evolución en el monitoreo avanzó simultáneamente con la expedición de </w:t>
      </w:r>
      <w:r>
        <w:rPr>
          <w:rFonts w:ascii="Helvetica Neue" w:eastAsia="Helvetica Neue" w:hAnsi="Helvetica Neue" w:cs="Helvetica Neue"/>
        </w:rPr>
        <w:t>la normatividad en el país; fue así como en 1973 se expidió la Ley 23 cuyo objetivo era “Prevenir y controlar la contaminación del medio ambiente y buscar el mejoramiento, conservación y restauración de los recursos naturales renovables, para defender la s</w:t>
      </w:r>
      <w:r>
        <w:rPr>
          <w:rFonts w:ascii="Helvetica Neue" w:eastAsia="Helvetica Neue" w:hAnsi="Helvetica Neue" w:cs="Helvetica Neue"/>
        </w:rPr>
        <w:t>alud y el bienestar de todos los habitantes del territorio nacional” (Ministerio de Salud Pública, 1973); en esta Ley se consideran como bienes contaminables el agua, el suelo y el aire. Un año más tarde se promulgaría el Código Nacional de Recursos Natura</w:t>
      </w:r>
      <w:r>
        <w:rPr>
          <w:rFonts w:ascii="Helvetica Neue" w:eastAsia="Helvetica Neue" w:hAnsi="Helvetica Neue" w:cs="Helvetica Neue"/>
        </w:rPr>
        <w:t xml:space="preserve">les Renovables y Protección al Medio Ambiente (Decreto 2811 de 1974), el cual constituye la línea base de las políticas ambientales de Colombia.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En el año 1979 se promulgó la Ley 9 que facultó al entonces Ministerio de Salud a proferir las normas de emisi</w:t>
      </w:r>
      <w:r>
        <w:rPr>
          <w:rFonts w:ascii="Helvetica Neue" w:eastAsia="Helvetica Neue" w:hAnsi="Helvetica Neue" w:cs="Helvetica Neue"/>
        </w:rPr>
        <w:t>ón de sustancias contaminantes a la atmósfera, para la protección del recurso; en este sentido el Ministerio de Salud emitió el Decreto 02 de 1982 que fijó las normas de calidad del aire retomando las disposiciones del Decreto 2811 de 1974 y la Ley 9 de 19</w:t>
      </w:r>
      <w:r>
        <w:rPr>
          <w:rFonts w:ascii="Helvetica Neue" w:eastAsia="Helvetica Neue" w:hAnsi="Helvetica Neue" w:cs="Helvetica Neue"/>
        </w:rPr>
        <w:t>79. Al contar con límites máximos permisibles para la emisión de contaminantes a la atmósfera, se reactivó la necesidad de monitorear la calidad del aire; dando respuesta a esta necesidad en 1983 se creó la Red Nacional de Vigilancia de la Calidad del Aire</w:t>
      </w:r>
      <w:r>
        <w:rPr>
          <w:rFonts w:ascii="Helvetica Neue" w:eastAsia="Helvetica Neue" w:hAnsi="Helvetica Neue" w:cs="Helvetica Neue"/>
        </w:rPr>
        <w:t xml:space="preserve"> que contaba con más de 50 estaciones y estuvo en operación hasta 1990 (Cancino, 2006).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Si bien es cierto que hasta ese momento la responsabilidad del monitoreo de la calidad del aire se encontraba en el entonces Ministerio de Salud, con la expedición de </w:t>
      </w:r>
      <w:r>
        <w:rPr>
          <w:rFonts w:ascii="Helvetica Neue" w:eastAsia="Helvetica Neue" w:hAnsi="Helvetica Neue" w:cs="Helvetica Neue"/>
        </w:rPr>
        <w:t>la Ley 99 de 1993 se crea el Ministerio del Medio Ambiente y se organiza el Sistema Nacional Ambiental – SINA, que encarga a las autoridades ambientales, entre otras funciones, de ejercer la evaluación, control y seguimiento ambiental de los usos del agua,</w:t>
      </w:r>
      <w:r>
        <w:rPr>
          <w:rFonts w:ascii="Helvetica Neue" w:eastAsia="Helvetica Neue" w:hAnsi="Helvetica Neue" w:cs="Helvetica Neue"/>
        </w:rPr>
        <w:t xml:space="preserve"> el suelo, el aire y los demás recursos naturales renovables; estas funciones comprenden la expedición de las respectivas licencias ambientales, permisos, concesiones, autorizaciones y salvoconductos (Presidencia de la República, 1993).</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Una vez creadas est</w:t>
      </w:r>
      <w:r>
        <w:rPr>
          <w:rFonts w:ascii="Helvetica Neue" w:eastAsia="Helvetica Neue" w:hAnsi="Helvetica Neue" w:cs="Helvetica Neue"/>
        </w:rPr>
        <w:t>as nuevas entidades y con la responsabilidad de evaluar la calidad del aire en su área de jurisdicción, se empezaron a organizar sus redes de monitoreo de la calidad del aire; para aquella época ya se encontraba en operación la red del Área Metropolitana d</w:t>
      </w:r>
      <w:r>
        <w:rPr>
          <w:rFonts w:ascii="Helvetica Neue" w:eastAsia="Helvetica Neue" w:hAnsi="Helvetica Neue" w:cs="Helvetica Neue"/>
        </w:rPr>
        <w:t xml:space="preserve">el Valle de Aburrá – AMVA, seguida por la actual Secretaría Distrital de Ambiente de Bogotá – SDA y la Corporación Autónoma Regional del Valle del Cauca – CVC.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La organización del sector ambiental en lo referente a la contaminación atmosférica continúa su</w:t>
      </w:r>
      <w:r>
        <w:rPr>
          <w:rFonts w:ascii="Helvetica Neue" w:eastAsia="Helvetica Neue" w:hAnsi="Helvetica Neue" w:cs="Helvetica Neue"/>
        </w:rPr>
        <w:t xml:space="preserve"> consolidación con la expedición del Decreto 948 de 1995 que reglamenta la protección y control de la calidad del aire, las medidas para la prevención de la contaminación atmosférica, se establecen normas y principios para la atención de episodios de conta</w:t>
      </w:r>
      <w:r>
        <w:rPr>
          <w:rFonts w:ascii="Helvetica Neue" w:eastAsia="Helvetica Neue" w:hAnsi="Helvetica Neue" w:cs="Helvetica Neue"/>
        </w:rPr>
        <w:t>minación de aire generados por fuentes fijas y móviles, así como las normas básicas para la fijación de los estándares de emisión de contaminantes a la atmósfera, la emisión de ruido y olores ofensivos. (Presidencia de la República, 1995)</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Es así como en lo</w:t>
      </w:r>
      <w:r>
        <w:rPr>
          <w:rFonts w:ascii="Helvetica Neue" w:eastAsia="Helvetica Neue" w:hAnsi="Helvetica Neue" w:cs="Helvetica Neue"/>
        </w:rPr>
        <w:t>s últimos quince años la normatividad referente a calidad del aire ha continuado su evolución; a la fecha se cuenta con normas específicas para calidad del aire, fuentes fijas, fuentes móviles, así como con protocolos que dan las directrices para el monito</w:t>
      </w:r>
      <w:r>
        <w:rPr>
          <w:rFonts w:ascii="Helvetica Neue" w:eastAsia="Helvetica Neue" w:hAnsi="Helvetica Neue" w:cs="Helvetica Neue"/>
        </w:rPr>
        <w:t>reo y seguimiento de cada uno de los tipos de fuentes de emisión. De la mano con esta evolución, en el país han crecido las redes de monitoreo y sus respectivos Sistemas de Vigilancia de la Calidad del Aire; para el año 2010 se contaba con 137 estaciones d</w:t>
      </w:r>
      <w:r>
        <w:rPr>
          <w:rFonts w:ascii="Helvetica Neue" w:eastAsia="Helvetica Neue" w:hAnsi="Helvetica Neue" w:cs="Helvetica Neue"/>
        </w:rPr>
        <w:t>e monitoreo de la calidad del aire operadas por 19 autoridades ambientales, mientras que a diciembre de 2015 reportaron al SISAIRE (Sistema de Información sobre Calidad del Aire del Ministerio de Ambiente y Desarrollo Sostenible) 163 estaciones operadas po</w:t>
      </w:r>
      <w:r>
        <w:rPr>
          <w:rFonts w:ascii="Helvetica Neue" w:eastAsia="Helvetica Neue" w:hAnsi="Helvetica Neue" w:cs="Helvetica Neue"/>
        </w:rPr>
        <w:t xml:space="preserve">r 21 autoridades ambientales, que se encuentran distribuidas a lo largo del territorio nacional para contaminantes atmosféricos. Es importante destacar que algunas estaciones no son </w:t>
      </w:r>
      <w:r w:rsidR="00740A48">
        <w:rPr>
          <w:rFonts w:ascii="Helvetica Neue" w:eastAsia="Helvetica Neue" w:hAnsi="Helvetica Neue" w:cs="Helvetica Neue"/>
        </w:rPr>
        <w:t>permanentes,</w:t>
      </w:r>
      <w:r>
        <w:rPr>
          <w:rFonts w:ascii="Helvetica Neue" w:eastAsia="Helvetica Neue" w:hAnsi="Helvetica Neue" w:cs="Helvetica Neue"/>
        </w:rPr>
        <w:t xml:space="preserve"> sino que corresponden a campañas de monitoreo llevadas a cabo </w:t>
      </w:r>
      <w:r>
        <w:rPr>
          <w:rFonts w:ascii="Helvetica Neue" w:eastAsia="Helvetica Neue" w:hAnsi="Helvetica Neue" w:cs="Helvetica Neue"/>
        </w:rPr>
        <w:t>en determinados sitios de interés. Este es el caso de las campañas llevadas a cabo por CORNARE y CORANTIOQUIA. Los contaminantes que se monitorean en el país corresponden básicamente a los contaminantes criterio que se encuentran reglamentados en la Resolu</w:t>
      </w:r>
      <w:r>
        <w:rPr>
          <w:rFonts w:ascii="Helvetica Neue" w:eastAsia="Helvetica Neue" w:hAnsi="Helvetica Neue" w:cs="Helvetica Neue"/>
        </w:rPr>
        <w:t>ción No. 610 de 2010.</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De acuerdo con el Protocolo para el Monitoreo y Seguimiento de la Calidad del Aire, (Ministerio de Ambiente, Vivienda y Desarrollo Territorial, 2010) los equipos manuales «recolectan las muestras de contaminantes por métodos físicos o</w:t>
      </w:r>
      <w:r>
        <w:rPr>
          <w:rFonts w:ascii="Helvetica Neue" w:eastAsia="Helvetica Neue" w:hAnsi="Helvetica Neue" w:cs="Helvetica Neue"/>
        </w:rPr>
        <w:t xml:space="preserve"> químicos para un posterior análisis en laboratorio», los equipos semiautomáticos «son muestreadores activos a los que se les han incorporado sistemas electrónicos para mejorar la calidad y despejar la incertidumbre en las mediciones» y, los equipos automá</w:t>
      </w:r>
      <w:r>
        <w:rPr>
          <w:rFonts w:ascii="Helvetica Neue" w:eastAsia="Helvetica Neue" w:hAnsi="Helvetica Neue" w:cs="Helvetica Neue"/>
        </w:rPr>
        <w:t>ticos «pueden proporcionar mediciones de tipo puntual con alta resolución (promedios horarios o cada 10 minutos), para la mayoría de los contaminantes criterio […]. Estas muestras pueden ser analizadas en línea usualmente por métodos electro-ópticos (Absor</w:t>
      </w:r>
      <w:r>
        <w:rPr>
          <w:rFonts w:ascii="Helvetica Neue" w:eastAsia="Helvetica Neue" w:hAnsi="Helvetica Neue" w:cs="Helvetica Neue"/>
        </w:rPr>
        <w:t xml:space="preserve">ción UV, Infrarrojo no dispersivo, fluorescencia o quimioluminiscencia) y los datos pueden ser transmitidos en tiempo real». Las estaciones que se clasifican en una categoría mixta contienen equipos manuales o semiautomáticos y automáticos. </w:t>
      </w:r>
    </w:p>
    <w:p w:rsidR="003345DF" w:rsidRDefault="00BE610B">
      <w:pPr>
        <w:ind w:firstLine="0"/>
        <w:jc w:val="both"/>
        <w:rPr>
          <w:rFonts w:ascii="Helvetica Neue" w:eastAsia="Helvetica Neue" w:hAnsi="Helvetica Neue" w:cs="Helvetica Neue"/>
          <w:b/>
        </w:rPr>
      </w:pPr>
      <w:r>
        <w:rPr>
          <w:rFonts w:ascii="Helvetica Neue" w:eastAsia="Helvetica Neue" w:hAnsi="Helvetica Neue" w:cs="Helvetica Neue"/>
          <w:b/>
        </w:rPr>
        <w:t>3. Norma de ca</w:t>
      </w:r>
      <w:r>
        <w:rPr>
          <w:rFonts w:ascii="Helvetica Neue" w:eastAsia="Helvetica Neue" w:hAnsi="Helvetica Neue" w:cs="Helvetica Neue"/>
          <w:b/>
        </w:rPr>
        <w:t>lidad del aire en Colombia</w:t>
      </w:r>
      <w:r>
        <w:rPr>
          <w:rFonts w:ascii="Helvetica Neue" w:eastAsia="Helvetica Neue" w:hAnsi="Helvetica Neue" w:cs="Helvetica Neue"/>
          <w:b/>
          <w:vertAlign w:val="superscript"/>
        </w:rPr>
        <w:footnoteReference w:id="12"/>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La norma de calidad del aire o nivel de inmisión en Colombia fue establecida por el Ministerio de Ambiente, Vivienda y Desarrollo Territorial – MAVDT (actualmente Ministerio de Ambiente y Desarrollo Sostenible – MADS) mediante l</w:t>
      </w:r>
      <w:r>
        <w:rPr>
          <w:rFonts w:ascii="Helvetica Neue" w:eastAsia="Helvetica Neue" w:hAnsi="Helvetica Neue" w:cs="Helvetica Neue"/>
        </w:rPr>
        <w:t xml:space="preserve">a Resolución 610 de 2010, la cual modifica la Resolución 601 de 2006 (Ministerio de Ambiente, Vivienda y Desarrollo Territorial, 2010). </w:t>
      </w:r>
    </w:p>
    <w:p w:rsidR="003345DF" w:rsidRDefault="00BE610B">
      <w:pPr>
        <w:numPr>
          <w:ilvl w:val="0"/>
          <w:numId w:val="2"/>
        </w:numPr>
        <w:spacing w:after="0"/>
        <w:contextualSpacing/>
        <w:jc w:val="both"/>
      </w:pPr>
      <w:r>
        <w:rPr>
          <w:rFonts w:ascii="Helvetica Neue" w:eastAsia="Helvetica Neue" w:hAnsi="Helvetica Neue" w:cs="Helvetica Neue"/>
        </w:rPr>
        <w:t>RESOLUCIÓN 601 DE 2006.  Por la cual se establece la Norma de Calidad del Aire o Nivel de Inmisión, para todo el territorio nacional en condiciones de referencia</w:t>
      </w:r>
    </w:p>
    <w:p w:rsidR="003345DF" w:rsidRDefault="00BE610B">
      <w:pPr>
        <w:numPr>
          <w:ilvl w:val="0"/>
          <w:numId w:val="2"/>
        </w:numPr>
        <w:spacing w:after="0"/>
        <w:contextualSpacing/>
        <w:jc w:val="both"/>
      </w:pPr>
      <w:r>
        <w:rPr>
          <w:rFonts w:ascii="Helvetica Neue" w:eastAsia="Helvetica Neue" w:hAnsi="Helvetica Neue" w:cs="Helvetica Neue"/>
        </w:rPr>
        <w:t>RESOLUCIÓN 610 DE 2010.  Por la cual se modifica la Resolución 601 del 4 de abril de 2006”</w:t>
      </w:r>
    </w:p>
    <w:p w:rsidR="003345DF" w:rsidRDefault="00BE610B">
      <w:pPr>
        <w:numPr>
          <w:ilvl w:val="0"/>
          <w:numId w:val="2"/>
        </w:numPr>
        <w:spacing w:after="0"/>
        <w:contextualSpacing/>
        <w:jc w:val="both"/>
      </w:pPr>
      <w:r>
        <w:rPr>
          <w:rFonts w:ascii="Helvetica Neue" w:eastAsia="Helvetica Neue" w:hAnsi="Helvetica Neue" w:cs="Helvetica Neue"/>
        </w:rPr>
        <w:t>RES</w:t>
      </w:r>
      <w:r>
        <w:rPr>
          <w:rFonts w:ascii="Helvetica Neue" w:eastAsia="Helvetica Neue" w:hAnsi="Helvetica Neue" w:cs="Helvetica Neue"/>
        </w:rPr>
        <w:t>OLUCIÓN 650 DE 2010. Por la cual se adopta el Protocolo para el Monitoreo y Seguimiento de la Calidad del Aire”</w:t>
      </w:r>
    </w:p>
    <w:p w:rsidR="003345DF" w:rsidRDefault="00BE610B">
      <w:pPr>
        <w:numPr>
          <w:ilvl w:val="0"/>
          <w:numId w:val="2"/>
        </w:numPr>
        <w:spacing w:after="0"/>
        <w:contextualSpacing/>
        <w:jc w:val="both"/>
      </w:pPr>
      <w:r>
        <w:rPr>
          <w:rFonts w:ascii="Helvetica Neue" w:eastAsia="Helvetica Neue" w:hAnsi="Helvetica Neue" w:cs="Helvetica Neue"/>
        </w:rPr>
        <w:t>RESOLUCIÓN 2154 de 2010. Por la cual se ajusta el Protocolo para el Monitoreo y Seguimiento de la Calidad del Aire adoptado a través de la Resol</w:t>
      </w:r>
      <w:r>
        <w:rPr>
          <w:rFonts w:ascii="Helvetica Neue" w:eastAsia="Helvetica Neue" w:hAnsi="Helvetica Neue" w:cs="Helvetica Neue"/>
        </w:rPr>
        <w:t>ución 650 de 2010 y se adoptan otras disposiciones</w:t>
      </w:r>
    </w:p>
    <w:p w:rsidR="003345DF" w:rsidRDefault="00BE610B">
      <w:pPr>
        <w:spacing w:after="160"/>
        <w:ind w:firstLine="0"/>
        <w:jc w:val="both"/>
        <w:rPr>
          <w:rFonts w:ascii="Helvetica Neue" w:eastAsia="Helvetica Neue" w:hAnsi="Helvetica Neue" w:cs="Helvetica Neue"/>
        </w:rPr>
      </w:pPr>
      <w:r>
        <w:rPr>
          <w:rFonts w:ascii="Helvetica Neue" w:eastAsia="Helvetica Neue" w:hAnsi="Helvetica Neue" w:cs="Helvetica Neue"/>
        </w:rPr>
        <w:t xml:space="preserve">PROTOCOLO </w:t>
      </w:r>
    </w:p>
    <w:p w:rsidR="003345DF" w:rsidRDefault="00BE610B">
      <w:pPr>
        <w:numPr>
          <w:ilvl w:val="0"/>
          <w:numId w:val="1"/>
        </w:numPr>
        <w:spacing w:after="0"/>
        <w:contextualSpacing/>
        <w:jc w:val="both"/>
      </w:pPr>
      <w:r>
        <w:rPr>
          <w:rFonts w:ascii="Helvetica Neue" w:eastAsia="Helvetica Neue" w:hAnsi="Helvetica Neue" w:cs="Helvetica Neue"/>
        </w:rPr>
        <w:t>Protocolo para el monitoreo y seguimiento de la calidad del aire</w:t>
      </w:r>
    </w:p>
    <w:p w:rsidR="003345DF" w:rsidRDefault="003345DF">
      <w:pPr>
        <w:ind w:firstLine="0"/>
        <w:jc w:val="both"/>
        <w:rPr>
          <w:rFonts w:ascii="Helvetica Neue" w:eastAsia="Helvetica Neue" w:hAnsi="Helvetica Neue" w:cs="Helvetica Neue"/>
          <w:b/>
        </w:rPr>
      </w:pPr>
    </w:p>
    <w:p w:rsidR="003345DF" w:rsidRDefault="00BE610B">
      <w:pPr>
        <w:ind w:firstLine="0"/>
        <w:jc w:val="both"/>
        <w:rPr>
          <w:rFonts w:ascii="Helvetica Neue" w:eastAsia="Helvetica Neue" w:hAnsi="Helvetica Neue" w:cs="Helvetica Neue"/>
          <w:b/>
        </w:rPr>
      </w:pPr>
      <w:r>
        <w:rPr>
          <w:rFonts w:ascii="Helvetica Neue" w:eastAsia="Helvetica Neue" w:hAnsi="Helvetica Neue" w:cs="Helvetica Neue"/>
          <w:b/>
        </w:rPr>
        <w:t>4. Contaminantes Criterio en Colombia</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Los contaminantes criterio, se definen como aquellos para los cuales existen criterios bas</w:t>
      </w:r>
      <w:r>
        <w:rPr>
          <w:rFonts w:ascii="Helvetica Neue" w:eastAsia="Helvetica Neue" w:hAnsi="Helvetica Neue" w:cs="Helvetica Neue"/>
        </w:rPr>
        <w:t xml:space="preserve">ados en la afectación a la salud de la población, como fundamento para establecer niveles máximos permisibles en el aire ambiente (USEPA, 2015); a </w:t>
      </w:r>
      <w:r w:rsidR="00740A48">
        <w:rPr>
          <w:rFonts w:ascii="Helvetica Neue" w:eastAsia="Helvetica Neue" w:hAnsi="Helvetica Neue" w:cs="Helvetica Neue"/>
        </w:rPr>
        <w:t>continuación,</w:t>
      </w:r>
      <w:r>
        <w:rPr>
          <w:rFonts w:ascii="Helvetica Neue" w:eastAsia="Helvetica Neue" w:hAnsi="Helvetica Neue" w:cs="Helvetica Neue"/>
        </w:rPr>
        <w:t xml:space="preserve"> se presenta una breve descripción de cada uno de los contaminantes.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i/>
        </w:rPr>
        <w:t>4.1. Material particulado</w:t>
      </w:r>
      <w:r>
        <w:rPr>
          <w:rFonts w:ascii="Helvetica Neue" w:eastAsia="Helvetica Neue" w:hAnsi="Helvetica Neue" w:cs="Helvetica Neue"/>
        </w:rPr>
        <w:t xml:space="preserve">: </w:t>
      </w:r>
      <w:r>
        <w:rPr>
          <w:rFonts w:ascii="Helvetica Neue" w:eastAsia="Helvetica Neue" w:hAnsi="Helvetica Neue" w:cs="Helvetica Neue"/>
        </w:rPr>
        <w:t>Es usualmente llamado PM (particulate matter) seguido por un número que indica el tamaño de las partículas en micrómetros. El material particulado fino, PM2.5, corresponde a todas las partículas que tienen un tamaño menor a 2,5 micrómetros y el PM10 repres</w:t>
      </w:r>
      <w:r>
        <w:rPr>
          <w:rFonts w:ascii="Helvetica Neue" w:eastAsia="Helvetica Neue" w:hAnsi="Helvetica Neue" w:cs="Helvetica Neue"/>
        </w:rPr>
        <w:t xml:space="preserve">enta las partículas de tamaño menor a 10 micrómetros; esto significa que el PM2.5 está contenido dentro del PM10. A las partículas con tamaño entre 2,5 y 10 micrómetros se les conoce como material particulado grueso (WHO, 2006). Las Partículas Suspendidas </w:t>
      </w:r>
      <w:r>
        <w:rPr>
          <w:rFonts w:ascii="Helvetica Neue" w:eastAsia="Helvetica Neue" w:hAnsi="Helvetica Neue" w:cs="Helvetica Neue"/>
        </w:rPr>
        <w:t xml:space="preserve">Totales (PST) contienen al PM10 y a la fracción inhalable de diámetro mayor, que no sedimentan en periodos </w:t>
      </w:r>
      <w:r w:rsidR="00740A48">
        <w:rPr>
          <w:rFonts w:ascii="Helvetica Neue" w:eastAsia="Helvetica Neue" w:hAnsi="Helvetica Neue" w:cs="Helvetica Neue"/>
        </w:rPr>
        <w:t>cortos,</w:t>
      </w:r>
      <w:r>
        <w:rPr>
          <w:rFonts w:ascii="Helvetica Neue" w:eastAsia="Helvetica Neue" w:hAnsi="Helvetica Neue" w:cs="Helvetica Neue"/>
        </w:rPr>
        <w:t xml:space="preserve"> sino que permanecen suspendidas en el aire debido a su tamaño y densidad. Numerosos estudios alrededor del mundo muestran un vínculo entre los</w:t>
      </w:r>
      <w:r>
        <w:rPr>
          <w:rFonts w:ascii="Helvetica Neue" w:eastAsia="Helvetica Neue" w:hAnsi="Helvetica Neue" w:cs="Helvetica Neue"/>
        </w:rPr>
        <w:t xml:space="preserve"> niveles de material particulado en el aire ambiente y la morbilidad y mortalidad de la población. Tanto los tiempos cortos de exposición a PM como los largos están relacionados con índices de mortalidad (NILU, 2015).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Las fuentes más importantes de PM10 i</w:t>
      </w:r>
      <w:r>
        <w:rPr>
          <w:rFonts w:ascii="Helvetica Neue" w:eastAsia="Helvetica Neue" w:hAnsi="Helvetica Neue" w:cs="Helvetica Neue"/>
        </w:rPr>
        <w:t>nvolucran procesos mecánicos como el desgaste del asfalto y de los neumáticos y frenos de los carros, los fenómenos de resuspensión, actividades de construcción, incendios forestales y las actividades industriales. En cuanto a las fuentes de PM2,5 se encue</w:t>
      </w:r>
      <w:r>
        <w:rPr>
          <w:rFonts w:ascii="Helvetica Neue" w:eastAsia="Helvetica Neue" w:hAnsi="Helvetica Neue" w:cs="Helvetica Neue"/>
        </w:rPr>
        <w:t xml:space="preserve">ntran los incendios forestales, las emisiones de escape de los vehículos y la industria (WHO - Regional Office for Europe, 2006).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En la mayoría de los ambientes urbanos se encuentra presente tanto el material particulado fino como grueso; sin embargo, la </w:t>
      </w:r>
      <w:r>
        <w:rPr>
          <w:rFonts w:ascii="Helvetica Neue" w:eastAsia="Helvetica Neue" w:hAnsi="Helvetica Neue" w:cs="Helvetica Neue"/>
        </w:rPr>
        <w:t xml:space="preserve">proporción relativa de estas dos categorías puede variar, dependiendo de la geografía local, de la meteorología y de las características de las fuentes de emisión (WHO - Regional Office for Europe, 2006).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i/>
        </w:rPr>
        <w:t>4.2. Dióxido de azufre (SO2)</w:t>
      </w:r>
      <w:r>
        <w:rPr>
          <w:rFonts w:ascii="Helvetica Neue" w:eastAsia="Helvetica Neue" w:hAnsi="Helvetica Neue" w:cs="Helvetica Neue"/>
        </w:rPr>
        <w:t xml:space="preserve"> Este gas incoloro se </w:t>
      </w:r>
      <w:r>
        <w:rPr>
          <w:rFonts w:ascii="Helvetica Neue" w:eastAsia="Helvetica Neue" w:hAnsi="Helvetica Neue" w:cs="Helvetica Neue"/>
        </w:rPr>
        <w:t>forma a partir de la combustión de sustancias que contienen azufre, principalmente petróleo y carbón, así como de numerosos procesos industriales. Las plantas de energía, las refinerías de petróleo y otros grandes complejos industriales son fuentes princip</w:t>
      </w:r>
      <w:r>
        <w:rPr>
          <w:rFonts w:ascii="Helvetica Neue" w:eastAsia="Helvetica Neue" w:hAnsi="Helvetica Neue" w:cs="Helvetica Neue"/>
        </w:rPr>
        <w:t>ales de las emisiones actuales de SO2 (NILU, 2015). En ciertas regiones, la quema de carbón y el uso de gasolina y diésel con alto contenido de azufre son las mayores fuentes de emisión teniendo en cuenta que en la combustión, el azufre presente en el comb</w:t>
      </w:r>
      <w:r>
        <w:rPr>
          <w:rFonts w:ascii="Helvetica Neue" w:eastAsia="Helvetica Neue" w:hAnsi="Helvetica Neue" w:cs="Helvetica Neue"/>
        </w:rPr>
        <w:t>ustible se convierte casi en su totalidad a SO2 (WHO - Regional Office for Europe, 2006).</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i/>
        </w:rPr>
        <w:t xml:space="preserve">4.3. Dióxido de nitrógeno (NO2) </w:t>
      </w:r>
      <w:r>
        <w:rPr>
          <w:rFonts w:ascii="Helvetica Neue" w:eastAsia="Helvetica Neue" w:hAnsi="Helvetica Neue" w:cs="Helvetica Neue"/>
        </w:rPr>
        <w:t>En un proceso paralelo al del SO2, el nitrógeno en los combustibles se convierte por combustión a altas temperaturas a óxidos de nitr</w:t>
      </w:r>
      <w:r>
        <w:rPr>
          <w:rFonts w:ascii="Helvetica Neue" w:eastAsia="Helvetica Neue" w:hAnsi="Helvetica Neue" w:cs="Helvetica Neue"/>
        </w:rPr>
        <w:t>ógeno, NOx, que corresponden a la suma de NO2 y NO. El monóxido de nitrógeno (NO) se encuentra en mayor proporción entre los NOx formados por esta ruta; en sí mismo no afecta a la salud en las concentraciones ambiente usuales, pero es oxidado rápidamente p</w:t>
      </w:r>
      <w:r>
        <w:rPr>
          <w:rFonts w:ascii="Helvetica Neue" w:eastAsia="Helvetica Neue" w:hAnsi="Helvetica Neue" w:cs="Helvetica Neue"/>
        </w:rPr>
        <w:t>or el ozono troposférico disponible para formar una contribución adicional de NO2, que sí es dañino. Los efectos de la exposición prolongada a NO2 han sido investigados mediante estudios en la población; muchos muestran conexión con asma, bronquitis, afect</w:t>
      </w:r>
      <w:r>
        <w:rPr>
          <w:rFonts w:ascii="Helvetica Neue" w:eastAsia="Helvetica Neue" w:hAnsi="Helvetica Neue" w:cs="Helvetica Neue"/>
        </w:rPr>
        <w:t>ación de la función pulmonar y mortalidad. Las contribuciones más importantes a las emisiones de NOx son las correspondientes a las del tubo de escape de los vehículos y a la generación eléctrica; algunos sitios también pueden ser focos de emisión debido a</w:t>
      </w:r>
      <w:r>
        <w:rPr>
          <w:rFonts w:ascii="Helvetica Neue" w:eastAsia="Helvetica Neue" w:hAnsi="Helvetica Neue" w:cs="Helvetica Neue"/>
        </w:rPr>
        <w:t xml:space="preserve"> la actividad industrial. En las ciudades grandes los vehículos diésel emiten la mayor parte de NO2 (NILU, 2015).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Cuando se encuentra en presencia de hidrocarburos y de radiación ultravioleta, el dióxido de nitrógeno es la fuente principal de ozono troposférico y de aerosoles de nitrato; estos últimos forman una contribución importante a la concentración ambiente de P</w:t>
      </w:r>
      <w:r>
        <w:rPr>
          <w:rFonts w:ascii="Helvetica Neue" w:eastAsia="Helvetica Neue" w:hAnsi="Helvetica Neue" w:cs="Helvetica Neue"/>
        </w:rPr>
        <w:t xml:space="preserve">M2,5 (WHO, 2006) (USEPA, 2015).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i/>
        </w:rPr>
        <w:t>4.4. Ozono (O3)</w:t>
      </w:r>
      <w:r>
        <w:rPr>
          <w:rFonts w:ascii="Helvetica Neue" w:eastAsia="Helvetica Neue" w:hAnsi="Helvetica Neue" w:cs="Helvetica Neue"/>
        </w:rPr>
        <w:t xml:space="preserve"> Es un gas que no se emite directamente por fuentes primarias, se encuentra en la estratósfera (donde protege a la Tierra contra la dañina radiación ultravioleta) y cerca del nivel del suelo en la tropósfera.</w:t>
      </w:r>
      <w:r>
        <w:rPr>
          <w:rFonts w:ascii="Helvetica Neue" w:eastAsia="Helvetica Neue" w:hAnsi="Helvetica Neue" w:cs="Helvetica Neue"/>
        </w:rPr>
        <w:t xml:space="preserve"> Se produce a partir de las reacciones fotoquímicas en presencia de radiación solar y precursores tales como los óxidos de nitrógeno (NOx) y los compuestos orgánicos volátiles (COV) (USEPA, 2015), y se consume al reaccionar con NO2 o ser depositado en el s</w:t>
      </w:r>
      <w:r>
        <w:rPr>
          <w:rFonts w:ascii="Helvetica Neue" w:eastAsia="Helvetica Neue" w:hAnsi="Helvetica Neue" w:cs="Helvetica Neue"/>
        </w:rPr>
        <w:t>uelo (WHO, 2006). En el presente informe se hace referencia al ozono troposférico el cual conduce a efectos adversos para la salud El ozono troposférico puede convertirse en un problema ambiental teniendo en cuenta que afecta la vegetación, la infraestruct</w:t>
      </w:r>
      <w:r>
        <w:rPr>
          <w:rFonts w:ascii="Helvetica Neue" w:eastAsia="Helvetica Neue" w:hAnsi="Helvetica Neue" w:cs="Helvetica Neue"/>
        </w:rPr>
        <w:t xml:space="preserve">ura y la salud de la población (NILU, 2015). Las medidas encaminadas a controlar sus niveles se enfocan en las emisiones de sus precursores (WHO, 2006).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i/>
        </w:rPr>
        <w:t>4.5. Monóxido de carbono (CO)</w:t>
      </w:r>
      <w:r>
        <w:rPr>
          <w:rFonts w:ascii="Helvetica Neue" w:eastAsia="Helvetica Neue" w:hAnsi="Helvetica Neue" w:cs="Helvetica Neue"/>
        </w:rPr>
        <w:t xml:space="preserve"> Se forma a partir de la combustión incompleta de combustibles que contie</w:t>
      </w:r>
      <w:r>
        <w:rPr>
          <w:rFonts w:ascii="Helvetica Neue" w:eastAsia="Helvetica Neue" w:hAnsi="Helvetica Neue" w:cs="Helvetica Neue"/>
        </w:rPr>
        <w:t>nen carbono tales como gasolina, diésel y madera. Este es un caso común donde una proporción del carbón se oxida solamente a monóxido de carbono, mientras que la combustión completa conduce a la formación de dióxido de carbono (WHO - Regional Office for Eu</w:t>
      </w:r>
      <w:r>
        <w:rPr>
          <w:rFonts w:ascii="Helvetica Neue" w:eastAsia="Helvetica Neue" w:hAnsi="Helvetica Neue" w:cs="Helvetica Neue"/>
        </w:rPr>
        <w:t xml:space="preserve">rope, 2006). En Colombia los niveles de CO son usualmente bajos y no representan riesgo a la salud de la población. </w:t>
      </w:r>
      <w:r>
        <w:rPr>
          <w:rFonts w:ascii="Helvetica Neue" w:eastAsia="Helvetica Neue" w:hAnsi="Helvetica Neue" w:cs="Helvetica Neue"/>
          <w:vertAlign w:val="superscript"/>
        </w:rPr>
        <w:footnoteReference w:id="13"/>
      </w:r>
    </w:p>
    <w:p w:rsidR="003345DF" w:rsidRDefault="003345DF">
      <w:pPr>
        <w:ind w:firstLine="0"/>
        <w:jc w:val="both"/>
        <w:rPr>
          <w:rFonts w:ascii="Helvetica Neue" w:eastAsia="Helvetica Neue" w:hAnsi="Helvetica Neue" w:cs="Helvetica Neue"/>
        </w:rPr>
      </w:pPr>
    </w:p>
    <w:p w:rsidR="003345DF" w:rsidRDefault="00BE610B">
      <w:pPr>
        <w:ind w:firstLine="0"/>
        <w:jc w:val="both"/>
        <w:rPr>
          <w:rFonts w:ascii="Helvetica Neue" w:eastAsia="Helvetica Neue" w:hAnsi="Helvetica Neue" w:cs="Helvetica Neue"/>
          <w:b/>
        </w:rPr>
      </w:pPr>
      <w:r>
        <w:rPr>
          <w:rFonts w:ascii="Helvetica Neue" w:eastAsia="Helvetica Neue" w:hAnsi="Helvetica Neue" w:cs="Helvetica Neue"/>
          <w:b/>
        </w:rPr>
        <w:t>5. Niveles máximos permisibles para contaminantes criterio</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Los niveles máximos permisibles para contaminantes criterio a condiciones de r</w:t>
      </w:r>
      <w:r>
        <w:rPr>
          <w:rFonts w:ascii="Helvetica Neue" w:eastAsia="Helvetica Neue" w:hAnsi="Helvetica Neue" w:cs="Helvetica Neue"/>
        </w:rPr>
        <w:t>eferencia con sus respectivos tiempos de exposición se presentan a continuación. Es importante destacar que de acuerdo con el Protocolo para el Monitoreo y Seguimiento de la Calidad del Aire, “todas las variables de calidad del aire utilizan microgramos po</w:t>
      </w:r>
      <w:r>
        <w:rPr>
          <w:rFonts w:ascii="Helvetica Neue" w:eastAsia="Helvetica Neue" w:hAnsi="Helvetica Neue" w:cs="Helvetica Neue"/>
        </w:rPr>
        <w:t xml:space="preserve">r metro cúbico (μg/m3 ) como unidad de medida, exceptuando el monóxido de carbono que emplea miligramos por metro cúbico (mg/m3 )” (Ministerio de Ambiente, Vivienda y Desarrollo Territorial, 2010). </w:t>
      </w:r>
    </w:p>
    <w:p w:rsidR="003345DF" w:rsidRDefault="00BE610B" w:rsidP="00740A48">
      <w:pPr>
        <w:ind w:firstLine="0"/>
        <w:jc w:val="center"/>
        <w:rPr>
          <w:rFonts w:ascii="Helvetica Neue" w:eastAsia="Helvetica Neue" w:hAnsi="Helvetica Neue" w:cs="Helvetica Neue"/>
        </w:rPr>
      </w:pPr>
      <w:r>
        <w:rPr>
          <w:rFonts w:ascii="Helvetica Neue" w:eastAsia="Helvetica Neue" w:hAnsi="Helvetica Neue" w:cs="Helvetica Neue"/>
          <w:noProof/>
          <w:lang w:val="es-CO"/>
        </w:rPr>
        <w:drawing>
          <wp:inline distT="114300" distB="114300" distL="114300" distR="114300">
            <wp:extent cx="3838575" cy="332422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838575" cy="3324225"/>
                    </a:xfrm>
                    <a:prstGeom prst="rect">
                      <a:avLst/>
                    </a:prstGeom>
                    <a:ln/>
                  </pic:spPr>
                </pic:pic>
              </a:graphicData>
            </a:graphic>
          </wp:inline>
        </w:drawing>
      </w:r>
    </w:p>
    <w:p w:rsidR="003345DF" w:rsidRDefault="00BE610B">
      <w:pPr>
        <w:ind w:firstLine="0"/>
        <w:jc w:val="both"/>
        <w:rPr>
          <w:rFonts w:ascii="Helvetica Neue" w:eastAsia="Helvetica Neue" w:hAnsi="Helvetica Neue" w:cs="Helvetica Neue"/>
          <w:b/>
        </w:rPr>
      </w:pPr>
      <w:r>
        <w:rPr>
          <w:rFonts w:ascii="Helvetica Neue" w:eastAsia="Helvetica Neue" w:hAnsi="Helvetica Neue" w:cs="Helvetica Neue"/>
          <w:b/>
        </w:rPr>
        <w:t xml:space="preserve">6. Contexto de los problemas que busca solucionar este </w:t>
      </w:r>
      <w:r>
        <w:rPr>
          <w:rFonts w:ascii="Helvetica Neue" w:eastAsia="Helvetica Neue" w:hAnsi="Helvetica Neue" w:cs="Helvetica Neue"/>
          <w:b/>
        </w:rPr>
        <w:t>Proyecto de Ley</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En Colombia la calidad del aire representa uno de los retos más grandes que tiene el país por afrontar en términos de contaminación; por esto el deterioro de la calidad de aire ha provocado que se vea comprometida la salud de los </w:t>
      </w:r>
      <w:r w:rsidR="00740A48">
        <w:rPr>
          <w:rFonts w:ascii="Helvetica Neue" w:eastAsia="Helvetica Neue" w:hAnsi="Helvetica Neue" w:cs="Helvetica Neue"/>
        </w:rPr>
        <w:t>colombianos</w:t>
      </w:r>
      <w:r>
        <w:rPr>
          <w:rFonts w:ascii="Helvetica Neue" w:eastAsia="Helvetica Neue" w:hAnsi="Helvetica Neue" w:cs="Helvetica Neue"/>
        </w:rPr>
        <w:t xml:space="preserve"> especialmente con la proliferación de enfermedades respiratorias.</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Por efecto del consumo de energía de los combustibles derivados del carbón principalmente, se presentan emisiones de dióxido de carbono y también evaporación de orgánicos como los contenid</w:t>
      </w:r>
      <w:r>
        <w:rPr>
          <w:rFonts w:ascii="Helvetica Neue" w:eastAsia="Helvetica Neue" w:hAnsi="Helvetica Neue" w:cs="Helvetica Neue"/>
        </w:rPr>
        <w:t xml:space="preserve">os en las pinturas y otras sustancias, la atmósfera se carga de tales sustancias en concentraciones que son mayores en las áreas urbanas.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La condición del aire para respirar deja de ser óptima y los efectos los sufre principalmente la población en forma de enfermedades respiratorias que en muchos casos se traducen en discapacidad por enfermedad y en algunos otros en muertes prematuras. La ma</w:t>
      </w:r>
      <w:r>
        <w:rPr>
          <w:rFonts w:ascii="Helvetica Neue" w:eastAsia="Helvetica Neue" w:hAnsi="Helvetica Neue" w:cs="Helvetica Neue"/>
        </w:rPr>
        <w:t>gnitud del fenómeno se traduce finalmente en costos económicos que se podrían evitar con base en la aplicación de medidas gestionadas desde diferentes sectores: control de las emisiones, desarrollo de espacios públicos y arborización y desarrollo de sistem</w:t>
      </w:r>
      <w:r>
        <w:rPr>
          <w:rFonts w:ascii="Helvetica Neue" w:eastAsia="Helvetica Neue" w:hAnsi="Helvetica Neue" w:cs="Helvetica Neue"/>
        </w:rPr>
        <w:t xml:space="preserve">as de información y alerta entre otras.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En Colombia, 6.502 muertes en el 2012 se debieron a causas relacionadas con la contaminación del aire, según datos de la Organización Mundial de la Salud (OMS). La situación no es extraña si se tiene en cuenta que s</w:t>
      </w:r>
      <w:r>
        <w:rPr>
          <w:rFonts w:ascii="Helvetica Neue" w:eastAsia="Helvetica Neue" w:hAnsi="Helvetica Neue" w:cs="Helvetica Neue"/>
        </w:rPr>
        <w:t>egún el mismo organismo, en el 2014 el 92 por ciento de la población del mundo vivía en lugares que superaban los índices fijados sobre la calidad del aire.</w:t>
      </w:r>
      <w:r>
        <w:rPr>
          <w:rFonts w:ascii="Helvetica Neue" w:eastAsia="Helvetica Neue" w:hAnsi="Helvetica Neue" w:cs="Helvetica Neue"/>
        </w:rPr>
        <w:br/>
      </w:r>
      <w:r>
        <w:rPr>
          <w:rFonts w:ascii="Helvetica Neue" w:eastAsia="Helvetica Neue" w:hAnsi="Helvetica Neue" w:cs="Helvetica Neue"/>
        </w:rPr>
        <w:br/>
        <w:t>En particular, en el valle de Aburrá, 9,2 por ciento de las muertes naturales se relacionan con la</w:t>
      </w:r>
      <w:r>
        <w:rPr>
          <w:rFonts w:ascii="Helvetica Neue" w:eastAsia="Helvetica Neue" w:hAnsi="Helvetica Neue" w:cs="Helvetica Neue"/>
        </w:rPr>
        <w:t xml:space="preserve"> contaminación del aire, según datos de Área Metropolitana. Esta contaminación tiene efectos agudos y crónicos sobre la salud </w:t>
      </w:r>
      <w:r>
        <w:rPr>
          <w:rFonts w:ascii="Helvetica Neue" w:eastAsia="Helvetica Neue" w:hAnsi="Helvetica Neue" w:cs="Helvetica Neue"/>
          <w:i/>
        </w:rPr>
        <w:t xml:space="preserve">“Los más frecuentes probablemente sean los factores irritativos que causan conjuntivitis o alteraciones nasales, pero adicional a </w:t>
      </w:r>
      <w:r>
        <w:rPr>
          <w:rFonts w:ascii="Helvetica Neue" w:eastAsia="Helvetica Neue" w:hAnsi="Helvetica Neue" w:cs="Helvetica Neue"/>
          <w:i/>
        </w:rPr>
        <w:t>eso, en enfermedades agudas incrementa el riesgo por infección respiratoria, aumenta la frecuencia de tos y la producción de flema, y puede aumentar las exacerbaciones agudas de enfermedades crónicas como el asma y la enfermedad pulmonar obstructiva crónic</w:t>
      </w:r>
      <w:r>
        <w:rPr>
          <w:rFonts w:ascii="Helvetica Neue" w:eastAsia="Helvetica Neue" w:hAnsi="Helvetica Neue" w:cs="Helvetica Neue"/>
          <w:i/>
        </w:rPr>
        <w:t>a”.</w:t>
      </w:r>
      <w:r>
        <w:rPr>
          <w:rFonts w:ascii="Helvetica Neue" w:eastAsia="Helvetica Neue" w:hAnsi="Helvetica Neue" w:cs="Helvetica Neue"/>
          <w:i/>
        </w:rPr>
        <w:br/>
      </w:r>
      <w:r>
        <w:rPr>
          <w:rFonts w:ascii="Helvetica Neue" w:eastAsia="Helvetica Neue" w:hAnsi="Helvetica Neue" w:cs="Helvetica Neue"/>
        </w:rPr>
        <w:br/>
        <w:t>Por otro lado, la contaminación atmosférica puede ser causa de afectaciones crónicas graves como el cáncer de pulmón o enfermedades cardiovasculares. Las personas más vulnerables a un aire contaminado son los niños y los ancianos, esto porque a esas e</w:t>
      </w:r>
      <w:r>
        <w:rPr>
          <w:rFonts w:ascii="Helvetica Neue" w:eastAsia="Helvetica Neue" w:hAnsi="Helvetica Neue" w:cs="Helvetica Neue"/>
        </w:rPr>
        <w:t>dades los sistemas de defensa están más inmaduros y menos funcionales.</w:t>
      </w:r>
      <w:r>
        <w:rPr>
          <w:rFonts w:ascii="Helvetica Neue" w:eastAsia="Helvetica Neue" w:hAnsi="Helvetica Neue" w:cs="Helvetica Neue"/>
        </w:rPr>
        <w:br/>
      </w:r>
      <w:r>
        <w:rPr>
          <w:rFonts w:ascii="Helvetica Neue" w:eastAsia="Helvetica Neue" w:hAnsi="Helvetica Neue" w:cs="Helvetica Neue"/>
        </w:rPr>
        <w:br/>
        <w:t>Según datos de la OMS, unos 4,3 millones de defunciones prematuras ocurridas en 2012 eran atribuibles a la contaminación del aire en los hogares, y casi todas se produjeron en países d</w:t>
      </w:r>
      <w:r>
        <w:rPr>
          <w:rFonts w:ascii="Helvetica Neue" w:eastAsia="Helvetica Neue" w:hAnsi="Helvetica Neue" w:cs="Helvetica Neue"/>
        </w:rPr>
        <w:t>e ingresos económicos bajos y medianos.</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Para el PM10 (que incluye partículas finas y gruesas, de tamaño menor de 10 micrómetros), la OMS recomendó fijar la concentración de referencia en 20 µg/m3 (microgramos por cada metro cúbico de aire) como promedio de</w:t>
      </w:r>
      <w:r>
        <w:rPr>
          <w:rFonts w:ascii="Helvetica Neue" w:eastAsia="Helvetica Neue" w:hAnsi="Helvetica Neue" w:cs="Helvetica Neue"/>
        </w:rPr>
        <w:t xml:space="preserve"> las mediciones de un año. Para el PM2,5, que solo incluye las partículas finas (aquellas de tamaño menor de 2,5 micras), recomendó un promedio anual de 10 µg/m3.</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Estos niveles están relacionados con los efectos crónicos de este contaminante, es decir, con</w:t>
      </w:r>
      <w:r>
        <w:rPr>
          <w:rFonts w:ascii="Helvetica Neue" w:eastAsia="Helvetica Neue" w:hAnsi="Helvetica Neue" w:cs="Helvetica Neue"/>
        </w:rPr>
        <w:t xml:space="preserve"> los efectos que se presentan tras largos tiempos de exposición. El propósito de estos límites es tener una buena calidad del aire para la gran mayoría de la población (no se ha encontrado un nivel seguro para toda la población) y reducir los riesgos de en</w:t>
      </w:r>
      <w:r>
        <w:rPr>
          <w:rFonts w:ascii="Helvetica Neue" w:eastAsia="Helvetica Neue" w:hAnsi="Helvetica Neue" w:cs="Helvetica Neue"/>
        </w:rPr>
        <w:t>fermedad y mortalidad por enfermedades respiratorias, cardiovasculares, cáncer y otras. La adopción de estos nuevos niveles motivaría el mejoramiento de las actividades rutinarias de seguimiento a fuentes de contaminación y la adopción de planes de prevenc</w:t>
      </w:r>
      <w:r>
        <w:rPr>
          <w:rFonts w:ascii="Helvetica Neue" w:eastAsia="Helvetica Neue" w:hAnsi="Helvetica Neue" w:cs="Helvetica Neue"/>
        </w:rPr>
        <w:t>ión y reducción de emisiones a largo plazo.</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Por otro lado, la OMS fijó también los niveles máximos de concentración que podrían alcanzarse en un periodo de 24 horas, relacionados con los impactos de los episodios de alta o muy alta contaminación que se pre</w:t>
      </w:r>
      <w:r>
        <w:rPr>
          <w:rFonts w:ascii="Helvetica Neue" w:eastAsia="Helvetica Neue" w:hAnsi="Helvetica Neue" w:cs="Helvetica Neue"/>
        </w:rPr>
        <w:t>sentan especialmente sobre las personas más sensibles (niños, ancianos, mujeres embarazadas, pacientes con condiciones o enfermedades respiratorias o cardiovasculares ya existentes), en 50 µg/m3 para PM10 y 25 µg/m3 para PM2,5.</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Estos episodios no deberían </w:t>
      </w:r>
      <w:r>
        <w:rPr>
          <w:rFonts w:ascii="Helvetica Neue" w:eastAsia="Helvetica Neue" w:hAnsi="Helvetica Neue" w:cs="Helvetica Neue"/>
        </w:rPr>
        <w:t>presentarse con frecuencia y debería haber un número límite de excedencias, como ocurre en la legislación europea, donde, por ejemplo, el número de días con excedencia de este tipo de norma debería ser inferior a 35 cada año. La ocurrencia de excedencias d</w:t>
      </w:r>
      <w:r>
        <w:rPr>
          <w:rFonts w:ascii="Helvetica Neue" w:eastAsia="Helvetica Neue" w:hAnsi="Helvetica Neue" w:cs="Helvetica Neue"/>
        </w:rPr>
        <w:t>ebería llevar a medidas inmediatas de precaución por parte de los pobladores, y en casos críticos, daría pie a situaciones de alerta o emergencia, bajo las cuales las autoridades podrían detener la operación de las fuentes de emisiones más importantes.</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Los</w:t>
      </w:r>
      <w:r>
        <w:rPr>
          <w:rFonts w:ascii="Helvetica Neue" w:eastAsia="Helvetica Neue" w:hAnsi="Helvetica Neue" w:cs="Helvetica Neue"/>
        </w:rPr>
        <w:t xml:space="preserve"> efectos a la salud de material particulado tanto en tiempos de exposición cortos como prolongados incluyen:  Aumento en los índices de morbilidad respiratoria y cardiovascular, por ejemplo, severidad de asma, de síntomas respiratorios e incremento en ingr</w:t>
      </w:r>
      <w:r>
        <w:rPr>
          <w:rFonts w:ascii="Helvetica Neue" w:eastAsia="Helvetica Neue" w:hAnsi="Helvetica Neue" w:cs="Helvetica Neue"/>
        </w:rPr>
        <w:t>esos hospitalarios.  Aumento en los índices de mortalidad por enfermedades respiratorias y cardiovasculares y cáncer de pulmón.</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Hay evidencia sólida sobre los efectos a tiempos de exposición corto para PM10 sobre las vías respiratorias, sin embargo, para m</w:t>
      </w:r>
      <w:r>
        <w:rPr>
          <w:rFonts w:ascii="Helvetica Neue" w:eastAsia="Helvetica Neue" w:hAnsi="Helvetica Neue" w:cs="Helvetica Neue"/>
        </w:rPr>
        <w:t>ortalidad, el PM2.5 es el principal factor de riesgo especialmente a exposiciones prolongadas. Se estima que los índices de mortalidad diaria van a aumentar entre 0,2 y 0,6% por cada 10µg/m3 de PM10 (WHO, 2006; Samoli, et al., 2008). . Respecto a exposició</w:t>
      </w:r>
      <w:r>
        <w:rPr>
          <w:rFonts w:ascii="Helvetica Neue" w:eastAsia="Helvetica Neue" w:hAnsi="Helvetica Neue" w:cs="Helvetica Neue"/>
        </w:rPr>
        <w:t>n prolongada a PM2.5, se considera un aumento en los índices de mortalidad cardiopulmonar entre 6-13% por cada 10 µg/m3 de PM2.5 (Krewski, et al., 2009; Pope III, et al., 2002).</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Las poblaciones más susceptibles involucran a los niños, personas de la tercer</w:t>
      </w:r>
      <w:r>
        <w:rPr>
          <w:rFonts w:ascii="Helvetica Neue" w:eastAsia="Helvetica Neue" w:hAnsi="Helvetica Neue" w:cs="Helvetica Neue"/>
        </w:rPr>
        <w:t>a edad y quienes sufren enfermedades cardíacas o pulmonares. Por ejemplo, la exposición a material particulado afecta el desarrollo pulmonar en los niños y ejerce efectos en la tasa de crecimiento y funcionamiento a largo plazo (World Health Organization -</w:t>
      </w:r>
      <w:r>
        <w:rPr>
          <w:rFonts w:ascii="Helvetica Neue" w:eastAsia="Helvetica Neue" w:hAnsi="Helvetica Neue" w:cs="Helvetica Neue"/>
        </w:rPr>
        <w:t xml:space="preserve"> Regional Office for Europe, 2011). Cabe resaltar que no hay evidencia de niveles de exposición mínimos que no tengan efectos adversos a la salud, además, la exposición es inevitable otorgándole un papel determinante en la salud pública. Por otra parte, el</w:t>
      </w:r>
      <w:r>
        <w:rPr>
          <w:rFonts w:ascii="Helvetica Neue" w:eastAsia="Helvetica Neue" w:hAnsi="Helvetica Neue" w:cs="Helvetica Neue"/>
        </w:rPr>
        <w:t xml:space="preserve"> contaminante denominado “black carbón” resultante de la combustión incompleta y que es fracción del PM2.5, ha ganado relevancia en el análisis de calidad del aire debido a que existe evidencia de sus efectos negativos tanto en salud como a nivel climático</w:t>
      </w:r>
      <w:r>
        <w:rPr>
          <w:rFonts w:ascii="Helvetica Neue" w:eastAsia="Helvetica Neue" w:hAnsi="Helvetica Neue" w:cs="Helvetica Neue"/>
        </w:rPr>
        <w:t xml:space="preserve"> ya que contienen hidrocarburos aromáticos policíclicos (conocidos por sus propiedades carcinogénicas y tóxicas) así como metales y sales inorgánicas</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En estos casos, adoptar las recomendaciones de la OMS significa que las autoridades deberían aumentar su c</w:t>
      </w:r>
      <w:r>
        <w:rPr>
          <w:rFonts w:ascii="Helvetica Neue" w:eastAsia="Helvetica Neue" w:hAnsi="Helvetica Neue" w:cs="Helvetica Neue"/>
        </w:rPr>
        <w:t>apacidad de comunicación masiva, respuesta rápida y claridad en la identificación de las fuentes que más contribuyen a la contaminación del aire, para reducir o detener su operación si resulta ser necesario.</w:t>
      </w:r>
      <w:r>
        <w:rPr>
          <w:rFonts w:ascii="Helvetica Neue" w:eastAsia="Helvetica Neue" w:hAnsi="Helvetica Neue" w:cs="Helvetica Neue"/>
          <w:vertAlign w:val="superscript"/>
        </w:rPr>
        <w:footnoteReference w:id="14"/>
      </w:r>
    </w:p>
    <w:p w:rsidR="003345DF" w:rsidRDefault="00BE610B">
      <w:pPr>
        <w:ind w:firstLine="0"/>
        <w:jc w:val="center"/>
        <w:rPr>
          <w:rFonts w:ascii="Helvetica Neue" w:eastAsia="Helvetica Neue" w:hAnsi="Helvetica Neue" w:cs="Helvetica Neue"/>
        </w:rPr>
      </w:pPr>
      <w:r>
        <w:rPr>
          <w:rFonts w:ascii="Helvetica Neue" w:eastAsia="Helvetica Neue" w:hAnsi="Helvetica Neue" w:cs="Helvetica Neue"/>
          <w:noProof/>
          <w:lang w:val="es-CO"/>
        </w:rPr>
        <w:drawing>
          <wp:inline distT="114300" distB="114300" distL="114300" distR="114300">
            <wp:extent cx="4381500" cy="4410075"/>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4381500" cy="4410075"/>
                    </a:xfrm>
                    <a:prstGeom prst="rect">
                      <a:avLst/>
                    </a:prstGeom>
                    <a:ln/>
                  </pic:spPr>
                </pic:pic>
              </a:graphicData>
            </a:graphic>
          </wp:inline>
        </w:drawing>
      </w:r>
    </w:p>
    <w:p w:rsidR="003345DF" w:rsidRDefault="00BE610B">
      <w:pPr>
        <w:ind w:firstLine="0"/>
        <w:jc w:val="center"/>
        <w:rPr>
          <w:rFonts w:ascii="Helvetica Neue" w:eastAsia="Helvetica Neue" w:hAnsi="Helvetica Neue" w:cs="Helvetica Neue"/>
        </w:rPr>
      </w:pPr>
      <w:r>
        <w:rPr>
          <w:rFonts w:ascii="Helvetica Neue" w:eastAsia="Helvetica Neue" w:hAnsi="Helvetica Neue" w:cs="Helvetica Neue"/>
        </w:rPr>
        <w:t>Fuente: OMS</w:t>
      </w:r>
      <w:r>
        <w:rPr>
          <w:rFonts w:ascii="Helvetica Neue" w:eastAsia="Helvetica Neue" w:hAnsi="Helvetica Neue" w:cs="Helvetica Neue"/>
        </w:rPr>
        <w:br/>
      </w:r>
    </w:p>
    <w:p w:rsidR="003345DF" w:rsidRDefault="003345DF">
      <w:pPr>
        <w:ind w:firstLine="0"/>
        <w:jc w:val="both"/>
        <w:rPr>
          <w:rFonts w:ascii="Helvetica Neue" w:eastAsia="Helvetica Neue" w:hAnsi="Helvetica Neue" w:cs="Helvetica Neue"/>
        </w:rPr>
      </w:pP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i/>
        </w:rPr>
        <w:t>5.1 Impactos sociales y económi</w:t>
      </w:r>
      <w:r>
        <w:rPr>
          <w:rFonts w:ascii="Helvetica Neue" w:eastAsia="Helvetica Neue" w:hAnsi="Helvetica Neue" w:cs="Helvetica Neue"/>
          <w:i/>
        </w:rPr>
        <w:t>cos de los actuales niveles de contaminación del aire sobre la salu</w:t>
      </w:r>
      <w:r>
        <w:rPr>
          <w:rFonts w:ascii="Helvetica Neue" w:eastAsia="Helvetica Neue" w:hAnsi="Helvetica Neue" w:cs="Helvetica Neue"/>
        </w:rPr>
        <w:t>d</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Las evidencias sobre contaminación del aire en los principales centros urbanos del país que se revisaron brevemente en la sección anterior se traducen finalmente en una reducción de la ca</w:t>
      </w:r>
      <w:r>
        <w:rPr>
          <w:rFonts w:ascii="Helvetica Neue" w:eastAsia="Helvetica Neue" w:hAnsi="Helvetica Neue" w:cs="Helvetica Neue"/>
        </w:rPr>
        <w:t xml:space="preserve">lidad del aire. Los sistemas de vigilancia del recurso son una primera medida para conocer el comportamiento de esta problemática principalmente urbana: los niveles de concentración y su distribución. “En Colombia la deficiente calidad del aire constituye </w:t>
      </w:r>
      <w:r>
        <w:rPr>
          <w:rFonts w:ascii="Helvetica Neue" w:eastAsia="Helvetica Neue" w:hAnsi="Helvetica Neue" w:cs="Helvetica Neue"/>
        </w:rPr>
        <w:t>un grave problema, especialmente para las tres cuartas partes de colombianos que viven en las zonas urbanas. La contaminación del aire es una de las causas más probables del crecimiento de las enfermedades respiratorias y la mortalidad prematura, los daños</w:t>
      </w:r>
      <w:r>
        <w:rPr>
          <w:rFonts w:ascii="Helvetica Neue" w:eastAsia="Helvetica Neue" w:hAnsi="Helvetica Neue" w:cs="Helvetica Neue"/>
        </w:rPr>
        <w:t xml:space="preserve"> a edificios y cultivos, y el deterioro de la visibilidad.” (Sánchez E. , 2006).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Desde el punto de vista del Banco Mundial, en el año 2010 el costo anual de la contaminación urbana es cercano al 1,1% del PIB y ha sido causa de cerca de 5.000 muertes y de </w:t>
      </w:r>
      <w:r>
        <w:rPr>
          <w:rFonts w:ascii="Helvetica Neue" w:eastAsia="Helvetica Neue" w:hAnsi="Helvetica Neue" w:cs="Helvetica Neue"/>
        </w:rPr>
        <w:t xml:space="preserve">4.700 casos de bronquitis crónica, sin considerar el total de los centros urbanos donde la exposición de la población es desconocida y difícil de estimar (Banco Mundial, 2012).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En este sentido, Colombia necesita con urgencia intensificar sus esfuerzos en </w:t>
      </w:r>
      <w:r>
        <w:rPr>
          <w:rFonts w:ascii="Helvetica Neue" w:eastAsia="Helvetica Neue" w:hAnsi="Helvetica Neue" w:cs="Helvetica Neue"/>
        </w:rPr>
        <w:t xml:space="preserve">el desarrollo del monitoreo que permita conocer la totalidad del fenómeno en los diferentes tipos de centros urbanos del país. </w:t>
      </w:r>
      <w:r>
        <w:rPr>
          <w:rFonts w:ascii="Helvetica Neue" w:eastAsia="Helvetica Neue" w:hAnsi="Helvetica Neue" w:cs="Helvetica Neue"/>
          <w:vertAlign w:val="superscript"/>
        </w:rPr>
        <w:footnoteReference w:id="15"/>
      </w:r>
    </w:p>
    <w:p w:rsidR="003345DF" w:rsidRDefault="00BE610B">
      <w:pPr>
        <w:ind w:firstLine="0"/>
        <w:jc w:val="both"/>
        <w:rPr>
          <w:rFonts w:ascii="Helvetica Neue" w:eastAsia="Helvetica Neue" w:hAnsi="Helvetica Neue" w:cs="Helvetica Neue"/>
        </w:rPr>
      </w:pPr>
      <w:r>
        <w:br w:type="page"/>
      </w:r>
    </w:p>
    <w:p w:rsidR="003345DF" w:rsidRDefault="00BE610B">
      <w:pPr>
        <w:ind w:firstLine="0"/>
        <w:jc w:val="both"/>
        <w:rPr>
          <w:rFonts w:ascii="Helvetica Neue" w:eastAsia="Helvetica Neue" w:hAnsi="Helvetica Neue" w:cs="Helvetica Neue"/>
          <w:b/>
        </w:rPr>
      </w:pPr>
      <w:r>
        <w:rPr>
          <w:rFonts w:ascii="Helvetica Neue" w:eastAsia="Helvetica Neue" w:hAnsi="Helvetica Neue" w:cs="Helvetica Neue"/>
          <w:b/>
        </w:rPr>
        <w:t xml:space="preserve">6. Estado de la Calidad del Aire en Colombia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La contaminación atmosférica es un fenómeno que se asocia principalmente a las actividades en los centros urbanos y/o de transformación de importancia. La población que habita o labora en tales centros urbanos en Colombia se expone a la contaminación de ma</w:t>
      </w:r>
      <w:r>
        <w:rPr>
          <w:rFonts w:ascii="Helvetica Neue" w:eastAsia="Helvetica Neue" w:hAnsi="Helvetica Neue" w:cs="Helvetica Neue"/>
        </w:rPr>
        <w:t xml:space="preserve">nera diferenciada de acuerdo con factores de distribución de la misma, que en Colombia son conocidos parcialmente. Las dificultades para establecer las rutinas y la permanencia de los diferentes grupos poblacionales en las diversas áreas urbanas, los usos </w:t>
      </w:r>
      <w:r>
        <w:rPr>
          <w:rFonts w:ascii="Helvetica Neue" w:eastAsia="Helvetica Neue" w:hAnsi="Helvetica Neue" w:cs="Helvetica Neue"/>
        </w:rPr>
        <w:t xml:space="preserve">del suelo y las características micrometeorológicas limitan la modelación de la exposición de forma heterogénea. En principio, se puede establecer que la población expuesta en Colombia es la que habita o realiza actividades en los centros urbanos de mayor </w:t>
      </w:r>
      <w:r>
        <w:rPr>
          <w:rFonts w:ascii="Helvetica Neue" w:eastAsia="Helvetica Neue" w:hAnsi="Helvetica Neue" w:cs="Helvetica Neue"/>
        </w:rPr>
        <w:t xml:space="preserve">tamaño del país.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En este sentido, según el DANE citado por el Banco Mundial, cerca de un 59% de la población vive en centros urbanos de un tamaño superior a 100 mil habitantes (2009). La distribución de la población que habita las áreas urbanas base del e</w:t>
      </w:r>
      <w:r>
        <w:rPr>
          <w:rFonts w:ascii="Helvetica Neue" w:eastAsia="Helvetica Neue" w:hAnsi="Helvetica Neue" w:cs="Helvetica Neue"/>
        </w:rPr>
        <w:t xml:space="preserve">studio del Banco Mundial es de 16,6 millones de personas. Se excluyen del estudio elaborado por el IDEAM Informe del Estado de la Calidad del Aire en Colombia 2011 - </w:t>
      </w:r>
      <w:r w:rsidR="00740A48">
        <w:rPr>
          <w:rFonts w:ascii="Helvetica Neue" w:eastAsia="Helvetica Neue" w:hAnsi="Helvetica Neue" w:cs="Helvetica Neue"/>
        </w:rPr>
        <w:t>2015, cerca</w:t>
      </w:r>
      <w:r>
        <w:rPr>
          <w:rFonts w:ascii="Helvetica Neue" w:eastAsia="Helvetica Neue" w:hAnsi="Helvetica Neue" w:cs="Helvetica Neue"/>
        </w:rPr>
        <w:t xml:space="preserve"> de 9 millones de personas que habitan otros centros urbanos donde no hay mon</w:t>
      </w:r>
      <w:r>
        <w:rPr>
          <w:rFonts w:ascii="Helvetica Neue" w:eastAsia="Helvetica Neue" w:hAnsi="Helvetica Neue" w:cs="Helvetica Neue"/>
        </w:rPr>
        <w:t xml:space="preserve">itoreo de la calidad del aire.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El número de muertes y los casos de bronquitis asociados a la exposición a PM10 son estimaciones que se obtuvieron mediante la aplicación de un estudio de dosis–respuesta, basados en los datos reales sobre la distribución de</w:t>
      </w:r>
      <w:r>
        <w:rPr>
          <w:rFonts w:ascii="Helvetica Neue" w:eastAsia="Helvetica Neue" w:hAnsi="Helvetica Neue" w:cs="Helvetica Neue"/>
        </w:rPr>
        <w:t xml:space="preserve"> la población colombiana. Vale la pena resaltar que los datos finales, establecidos en términos de número de muertes y enfermos, y su equivalente en términos económicos, constituyen un resultado validado ya por dos procesos de investigación independientes </w:t>
      </w:r>
      <w:r>
        <w:rPr>
          <w:rFonts w:ascii="Helvetica Neue" w:eastAsia="Helvetica Neue" w:hAnsi="Helvetica Neue" w:cs="Helvetica Neue"/>
        </w:rPr>
        <w:t>patrocinados por el Banco Mundial: el denominado Informe Larsen cuyos resultados fueron publicados en el año 2002 y el Estudio 2 publicado en el 2012 sobre salud ambiental en Colombia. En los dos estudios se abordan las temáticas de forma similar y sus res</w:t>
      </w:r>
      <w:r>
        <w:rPr>
          <w:rFonts w:ascii="Helvetica Neue" w:eastAsia="Helvetica Neue" w:hAnsi="Helvetica Neue" w:cs="Helvetica Neue"/>
        </w:rPr>
        <w:t>ultados son susceptibles a algún grado de comparación, atendiendo a las correspondientes limitaciones de información y conocimiento en el año 2002 y los avances logrados en el año 2011 cuando se elaboró el segundo estudio.</w:t>
      </w:r>
    </w:p>
    <w:p w:rsidR="00740A48" w:rsidRDefault="00740A48">
      <w:pPr>
        <w:ind w:firstLine="0"/>
        <w:jc w:val="both"/>
        <w:rPr>
          <w:rFonts w:ascii="Helvetica Neue" w:eastAsia="Helvetica Neue" w:hAnsi="Helvetica Neue" w:cs="Helvetica Neue"/>
        </w:rPr>
      </w:pP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Es necesario tener en cuenta que </w:t>
      </w:r>
      <w:r>
        <w:rPr>
          <w:rFonts w:ascii="Helvetica Neue" w:eastAsia="Helvetica Neue" w:hAnsi="Helvetica Neue" w:cs="Helvetica Neue"/>
        </w:rPr>
        <w:t>la relación entre la calidad del aire y la salud humana es sin duda compleja: la salud respiratoria no está determinada de manera exclusiva por la emisión de contaminantes a la atmósfera y la exposición de una población determinada, sino que en ella median</w:t>
      </w:r>
      <w:r>
        <w:rPr>
          <w:rFonts w:ascii="Helvetica Neue" w:eastAsia="Helvetica Neue" w:hAnsi="Helvetica Neue" w:cs="Helvetica Neue"/>
        </w:rPr>
        <w:t xml:space="preserve"> diversos aspectos del ambiente físico y social tales como el clima, la geografía, la desnutrición, la desinformación y la pobreza (Organización Mundial de la Salud, 2006). La Infección Respiratorio Aguda (IRA) y la Enfermedad Pulmonar Obstructiva Crónica </w:t>
      </w:r>
      <w:r>
        <w:rPr>
          <w:rFonts w:ascii="Helvetica Neue" w:eastAsia="Helvetica Neue" w:hAnsi="Helvetica Neue" w:cs="Helvetica Neue"/>
        </w:rPr>
        <w:t>(EPOC) son los problemas respiratorios más comunes en Colombia y son los que eventualmente tendrían una relación con las condiciones de la calidad del aire y del entorno. El impacto en la salud de este mejoramiento se puede cuantificar utilizando las metod</w:t>
      </w:r>
      <w:r>
        <w:rPr>
          <w:rFonts w:ascii="Helvetica Neue" w:eastAsia="Helvetica Neue" w:hAnsi="Helvetica Neue" w:cs="Helvetica Neue"/>
        </w:rPr>
        <w:t xml:space="preserve">ologías dadas por el esquema de dosis–respuesta.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En términos generales, la estimación de los impactos de la contaminación sobre la salud consta de dos pasos principales. El primero consiste en obtener una línea base de información sobre el número de perso</w:t>
      </w:r>
      <w:r>
        <w:rPr>
          <w:rFonts w:ascii="Helvetica Neue" w:eastAsia="Helvetica Neue" w:hAnsi="Helvetica Neue" w:cs="Helvetica Neue"/>
        </w:rPr>
        <w:t xml:space="preserve">nas expuestas, el número total de casos de mortalidad y morbilidad asociados con las enfermedades de interés y el riesgo de que una persona se vea afectada por dichas enfermedades bajo condiciones de exposición. El segundo paso consiste en, a partir de la </w:t>
      </w:r>
      <w:r>
        <w:rPr>
          <w:rFonts w:ascii="Helvetica Neue" w:eastAsia="Helvetica Neue" w:hAnsi="Helvetica Neue" w:cs="Helvetica Neue"/>
        </w:rPr>
        <w:t xml:space="preserve">información recolectada y generada en la primera etapa, calcular cuántos de los casos totales de mortalidad y morbilidad pueden ser atribuidos a la exposición de un contaminante determinado.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Se estima que aproximadamente 3% de las muertes por causas cardi</w:t>
      </w:r>
      <w:r>
        <w:rPr>
          <w:rFonts w:ascii="Helvetica Neue" w:eastAsia="Helvetica Neue" w:hAnsi="Helvetica Neue" w:cs="Helvetica Neue"/>
        </w:rPr>
        <w:t>opulmonares y 5% de las muertes por cáncer de pulmón son atribuibles al material particulado (Cohen, et al., 2004). Adicionalmente, la exposición a PM2.5 reduce la esperanza de vida en promedio 8,6 meses de acuerdo con estudios realizados por APHEKOM (Orga</w:t>
      </w:r>
      <w:r>
        <w:rPr>
          <w:rFonts w:ascii="Helvetica Neue" w:eastAsia="Helvetica Neue" w:hAnsi="Helvetica Neue" w:cs="Helvetica Neue"/>
        </w:rPr>
        <w:t>nización dedicada a la investigación y estudio de calidad del aire en Europa) (World Health Organization, 2013). A nivel mundial se pueden revisar casos de estudio que han demostrado cómo la disminución de los niveles de PM2.5 a largo plazo, aumenta la esp</w:t>
      </w:r>
      <w:r>
        <w:rPr>
          <w:rFonts w:ascii="Helvetica Neue" w:eastAsia="Helvetica Neue" w:hAnsi="Helvetica Neue" w:cs="Helvetica Neue"/>
        </w:rPr>
        <w:t>eranza de vida de la población.</w:t>
      </w:r>
    </w:p>
    <w:p w:rsidR="003345DF" w:rsidRDefault="003345DF">
      <w:pPr>
        <w:ind w:firstLine="0"/>
        <w:jc w:val="both"/>
        <w:rPr>
          <w:rFonts w:ascii="Helvetica Neue" w:eastAsia="Helvetica Neue" w:hAnsi="Helvetica Neue" w:cs="Helvetica Neue"/>
          <w:b/>
        </w:rPr>
      </w:pPr>
    </w:p>
    <w:p w:rsidR="00740A48" w:rsidRDefault="00740A48">
      <w:pPr>
        <w:ind w:firstLine="0"/>
        <w:jc w:val="both"/>
        <w:rPr>
          <w:rFonts w:ascii="Helvetica Neue" w:eastAsia="Helvetica Neue" w:hAnsi="Helvetica Neue" w:cs="Helvetica Neue"/>
          <w:b/>
        </w:rPr>
      </w:pPr>
    </w:p>
    <w:p w:rsidR="003345DF" w:rsidRDefault="00BE610B">
      <w:pPr>
        <w:ind w:firstLine="0"/>
        <w:jc w:val="both"/>
        <w:rPr>
          <w:rFonts w:ascii="Helvetica Neue" w:eastAsia="Helvetica Neue" w:hAnsi="Helvetica Neue" w:cs="Helvetica Neue"/>
          <w:b/>
        </w:rPr>
      </w:pPr>
      <w:r>
        <w:rPr>
          <w:rFonts w:ascii="Helvetica Neue" w:eastAsia="Helvetica Neue" w:hAnsi="Helvetica Neue" w:cs="Helvetica Neue"/>
          <w:b/>
        </w:rPr>
        <w:t>7. Estado de Calidad de Aire en Bogotá</w:t>
      </w:r>
    </w:p>
    <w:p w:rsidR="003345DF" w:rsidRDefault="00BE610B">
      <w:pPr>
        <w:ind w:firstLine="0"/>
        <w:jc w:val="both"/>
        <w:rPr>
          <w:rFonts w:ascii="Arial" w:eastAsia="Arial" w:hAnsi="Arial" w:cs="Arial"/>
          <w:sz w:val="16"/>
          <w:szCs w:val="16"/>
        </w:rPr>
      </w:pPr>
      <w:r>
        <w:rPr>
          <w:rFonts w:ascii="Helvetica Neue" w:eastAsia="Helvetica Neue" w:hAnsi="Helvetica Neue" w:cs="Helvetica Neue"/>
          <w:b/>
        </w:rPr>
        <w:t>7.1 Plan Decenal de Descontaminación de aire de Bogotá</w:t>
      </w:r>
      <w:r>
        <w:rPr>
          <w:rFonts w:ascii="Helvetica Neue" w:eastAsia="Helvetica Neue" w:hAnsi="Helvetica Neue" w:cs="Helvetica Neue"/>
          <w:b/>
          <w:vertAlign w:val="superscript"/>
        </w:rPr>
        <w:footnoteReference w:id="16"/>
      </w:r>
      <w:r>
        <w:rPr>
          <w:rFonts w:ascii="Helvetica Neue" w:eastAsia="Helvetica Neue" w:hAnsi="Helvetica Neue" w:cs="Helvetica Neue"/>
          <w:b/>
        </w:rPr>
        <w:t xml:space="preserve"> </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Las condiciones del aire que se respira es un aspecto esencial para la calidad de vida de los millones de personas que habitan en Bogotá y otros grandes centros urbanos del país. De esta forma, es fundamental que las autoridades con jurisdicción en estos t</w:t>
      </w:r>
      <w:r>
        <w:rPr>
          <w:rFonts w:ascii="Helvetica Neue" w:eastAsia="Helvetica Neue" w:hAnsi="Helvetica Neue" w:cs="Helvetica Neue"/>
        </w:rPr>
        <w:t>emas tomen las acciones que sean necesarias para garantizar una calidad ambiental apropiada en lo que se refiere a este recurso.</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Todas las medidas/proyectos que se sugieren como parte del plan decenal de descontaminación se derivan de análisis técnicos y d</w:t>
      </w:r>
      <w:r>
        <w:rPr>
          <w:rFonts w:ascii="Helvetica Neue" w:eastAsia="Helvetica Neue" w:hAnsi="Helvetica Neue" w:cs="Helvetica Neue"/>
        </w:rPr>
        <w:t>e recopilación de información para las condiciones específicas de Bogotá.</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Esto se destaca dado el precepto de que un buen conocimiento científico y una buena selección de herramientas tecnológicas y regulatorias es la base de toda política pública que pret</w:t>
      </w:r>
      <w:r>
        <w:rPr>
          <w:rFonts w:ascii="Helvetica Neue" w:eastAsia="Helvetica Neue" w:hAnsi="Helvetica Neue" w:cs="Helvetica Neue"/>
        </w:rPr>
        <w:t>enda ser exitosa.</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Al mismo tiempo, sin embargo, es necesario reconocer que sin el concierto de los diferentes sectores involucrados así como en ausencia de un verdadero respaldo y compromiso político, no habrá forma de alcanzar éxito en estos programas. Po</w:t>
      </w:r>
      <w:r>
        <w:rPr>
          <w:rFonts w:ascii="Helvetica Neue" w:eastAsia="Helvetica Neue" w:hAnsi="Helvetica Neue" w:cs="Helvetica Neue"/>
        </w:rPr>
        <w:t>r esta razón, durante el desarrollo del proyecto se otorgó gran énfasis a los procesos de concertación y política participativa.</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Durante los últimos años, la administración distrital de Bogotá ha realizado sendos esfuerzos e inversiones para mejorar la cal</w:t>
      </w:r>
      <w:r>
        <w:rPr>
          <w:rFonts w:ascii="Helvetica Neue" w:eastAsia="Helvetica Neue" w:hAnsi="Helvetica Neue" w:cs="Helvetica Neue"/>
        </w:rPr>
        <w:t>idad del aire en la ciudad. Si bien dichos esfuerzos se han materializado en logros importantes tales como los bajos niveles de monóxido de carbono y óxidos de azufre que se perciben en la atmósfera así como el rompimiento de la tendencia incremental de la</w:t>
      </w:r>
      <w:r>
        <w:rPr>
          <w:rFonts w:ascii="Helvetica Neue" w:eastAsia="Helvetica Neue" w:hAnsi="Helvetica Neue" w:cs="Helvetica Neue"/>
        </w:rPr>
        <w:t>s concentraciones de material particulado, son muchos los desafíos que enfrenta la ciudad en su futuro cercano dadas sus expectativas de crecimiento económico (con el consecuente incremento en demanda de energía y en el consumo de combustibles fósiles) y l</w:t>
      </w:r>
      <w:r>
        <w:rPr>
          <w:rFonts w:ascii="Helvetica Neue" w:eastAsia="Helvetica Neue" w:hAnsi="Helvetica Neue" w:cs="Helvetica Neue"/>
        </w:rPr>
        <w:t>as altas tasas de motorización que se verán relacionadas con las mismas.</w:t>
      </w:r>
    </w:p>
    <w:p w:rsidR="003345DF" w:rsidRDefault="00BE610B">
      <w:pPr>
        <w:ind w:firstLine="0"/>
        <w:jc w:val="both"/>
        <w:rPr>
          <w:rFonts w:ascii="Helvetica Neue" w:eastAsia="Helvetica Neue" w:hAnsi="Helvetica Neue" w:cs="Helvetica Neue"/>
        </w:rPr>
      </w:pPr>
      <w:r>
        <w:rPr>
          <w:rFonts w:ascii="Helvetica Neue" w:eastAsia="Helvetica Neue" w:hAnsi="Helvetica Neue" w:cs="Helvetica Neue"/>
        </w:rPr>
        <w:t xml:space="preserve">Para hacer frente a dichos desafíos, que incluyen la continuidad de elevados niveles de exposición a material particulado y ozono por parte de la población, será necesario continuar, </w:t>
      </w:r>
      <w:r>
        <w:rPr>
          <w:rFonts w:ascii="Helvetica Neue" w:eastAsia="Helvetica Neue" w:hAnsi="Helvetica Neue" w:cs="Helvetica Neue"/>
        </w:rPr>
        <w:t>fortalecer y ampliar los programas integrales de reducción de la contaminación, incluyendo, entre otros, mejoras en la dotación y operación de la red de calidad del aire así como en el manejo de la información producida por ésta; fortalecimiento de program</w:t>
      </w:r>
      <w:r>
        <w:rPr>
          <w:rFonts w:ascii="Helvetica Neue" w:eastAsia="Helvetica Neue" w:hAnsi="Helvetica Neue" w:cs="Helvetica Neue"/>
        </w:rPr>
        <w:t>as de verificación de emisiones por parte de las fuentes vehiculares e industriales, incentivos para el uso masivo de gas natural en la industria e incentivos para la modernización de la flota vehicular tanto de uso privado como de servicio público.</w:t>
      </w:r>
    </w:p>
    <w:p w:rsidR="00740A48" w:rsidRDefault="00740A48">
      <w:pPr>
        <w:ind w:firstLine="0"/>
        <w:jc w:val="both"/>
        <w:rPr>
          <w:rFonts w:ascii="Helvetica Neue" w:eastAsia="Helvetica Neue" w:hAnsi="Helvetica Neue" w:cs="Helvetica Neue"/>
        </w:rPr>
      </w:pPr>
    </w:p>
    <w:p w:rsidR="003345DF" w:rsidRDefault="00BE610B">
      <w:pPr>
        <w:ind w:hanging="2"/>
        <w:rPr>
          <w:rFonts w:ascii="Helvetica Neue" w:eastAsia="Helvetica Neue" w:hAnsi="Helvetica Neue" w:cs="Helvetica Neue"/>
          <w:b/>
        </w:rPr>
      </w:pPr>
      <w:r>
        <w:rPr>
          <w:rFonts w:ascii="Helvetica Neue" w:eastAsia="Helvetica Neue" w:hAnsi="Helvetica Neue" w:cs="Helvetica Neue"/>
          <w:b/>
        </w:rPr>
        <w:t>7.2  R</w:t>
      </w:r>
      <w:r>
        <w:rPr>
          <w:rFonts w:ascii="Helvetica Neue" w:eastAsia="Helvetica Neue" w:hAnsi="Helvetica Neue" w:cs="Helvetica Neue"/>
          <w:b/>
        </w:rPr>
        <w:t xml:space="preserve">azones para </w:t>
      </w:r>
      <w:r w:rsidR="00740A48">
        <w:rPr>
          <w:rFonts w:ascii="Helvetica Neue" w:eastAsia="Helvetica Neue" w:hAnsi="Helvetica Neue" w:cs="Helvetica Neue"/>
          <w:b/>
        </w:rPr>
        <w:t>definir</w:t>
      </w:r>
      <w:r>
        <w:rPr>
          <w:rFonts w:ascii="Helvetica Neue" w:eastAsia="Helvetica Neue" w:hAnsi="Helvetica Neue" w:cs="Helvetica Neue"/>
          <w:b/>
        </w:rPr>
        <w:t xml:space="preserve"> un plan de descontaminación</w:t>
      </w:r>
      <w:r>
        <w:rPr>
          <w:rFonts w:ascii="Helvetica Neue" w:eastAsia="Helvetica Neue" w:hAnsi="Helvetica Neue" w:cs="Helvetica Neue"/>
          <w:b/>
          <w:vertAlign w:val="superscript"/>
        </w:rPr>
        <w:footnoteReference w:id="17"/>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Existen múltiples razones para contar con un plan de descontaminación con metas a corto, mediano y largo plazo. Por un lado, existen argumentos relacionados con la salud pública, debido a que se encuentra a</w:t>
      </w:r>
      <w:r>
        <w:rPr>
          <w:rFonts w:ascii="Helvetica Neue" w:eastAsia="Helvetica Neue" w:hAnsi="Helvetica Neue" w:cs="Helvetica Neue"/>
        </w:rPr>
        <w:t>mpliamente documentado que el deterioro de las condiciones de calidad del aire tiene impactos en las tasas de morbilidad y mortalidad de la población, especialmente en lo que tiene que ver con enfermedades respiratorias y cardíacas.</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Existen también razones</w:t>
      </w:r>
      <w:r>
        <w:rPr>
          <w:rFonts w:ascii="Helvetica Neue" w:eastAsia="Helvetica Neue" w:hAnsi="Helvetica Neue" w:cs="Helvetica Neue"/>
        </w:rPr>
        <w:t xml:space="preserve"> económicas y estratégicas, debido a que se encuentra claramente demostrado que el deterioro en la calidad del aire conlleva a una pérdida de competitividad de las ciudades que padecen esta situación. Para el caso de Bogotá, según estudios realizados por e</w:t>
      </w:r>
      <w:r>
        <w:rPr>
          <w:rFonts w:ascii="Helvetica Neue" w:eastAsia="Helvetica Neue" w:hAnsi="Helvetica Neue" w:cs="Helvetica Neue"/>
        </w:rPr>
        <w:t>l Banco Mundial, las pérdidas totales asociadas con esta problemática ascienden a miles de millones de dólares al año.</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Finalmente, existen razones legales y jurídicas debido a que según la norma nacional de calidad del aire de Colombia (Decreto 979 y Resol</w:t>
      </w:r>
      <w:r>
        <w:rPr>
          <w:rFonts w:ascii="Helvetica Neue" w:eastAsia="Helvetica Neue" w:hAnsi="Helvetica Neue" w:cs="Helvetica Neue"/>
        </w:rPr>
        <w:t>ución 601 de 2006), toda región del país que presenten violaciones a los límites establecidos por la misma (tal y como es el caso de Bogotá) se encuentra obligada a establecer un plan de descontaminación.</w:t>
      </w:r>
    </w:p>
    <w:p w:rsidR="00740A48" w:rsidRDefault="00740A48">
      <w:pPr>
        <w:ind w:hanging="2"/>
        <w:jc w:val="both"/>
        <w:rPr>
          <w:rFonts w:ascii="Helvetica Neue" w:eastAsia="Helvetica Neue" w:hAnsi="Helvetica Neue" w:cs="Helvetica Neue"/>
        </w:rPr>
      </w:pPr>
    </w:p>
    <w:p w:rsidR="003345DF" w:rsidRDefault="00BE610B">
      <w:pPr>
        <w:ind w:hanging="2"/>
        <w:jc w:val="both"/>
        <w:rPr>
          <w:rFonts w:ascii="Helvetica Neue" w:eastAsia="Helvetica Neue" w:hAnsi="Helvetica Neue" w:cs="Helvetica Neue"/>
          <w:b/>
        </w:rPr>
      </w:pPr>
      <w:r>
        <w:rPr>
          <w:rFonts w:ascii="Helvetica Neue" w:eastAsia="Helvetica Neue" w:hAnsi="Helvetica Neue" w:cs="Helvetica Neue"/>
          <w:b/>
        </w:rPr>
        <w:t>7.3 Inventario de Emisiones Provenientes de Fuentes</w:t>
      </w:r>
      <w:r>
        <w:rPr>
          <w:rFonts w:ascii="Helvetica Neue" w:eastAsia="Helvetica Neue" w:hAnsi="Helvetica Neue" w:cs="Helvetica Neue"/>
          <w:b/>
        </w:rPr>
        <w:t xml:space="preserve"> Fijas</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Un inventario de emisiones, de nido como la contabilidad de todas las emisiones causadas por las diferentes fuentes de contaminación atmosférica, es un instrumento y una herramienta de vital importancia para la elaboración de las estrategias encami</w:t>
      </w:r>
      <w:r>
        <w:rPr>
          <w:rFonts w:ascii="Helvetica Neue" w:eastAsia="Helvetica Neue" w:hAnsi="Helvetica Neue" w:cs="Helvetica Neue"/>
        </w:rPr>
        <w:t>nadas al control y la mitigación de los fenómenos de polución del aire. Adicionalmente, la información generada en un inventario de este tipo permite determinar la e cacia de los programas y políticas que ya han sido implementados y que pretenden disminui</w:t>
      </w:r>
      <w:r>
        <w:rPr>
          <w:rFonts w:ascii="Helvetica Neue" w:eastAsia="Helvetica Neue" w:hAnsi="Helvetica Neue" w:cs="Helvetica Neue"/>
        </w:rPr>
        <w:t>r el impacto de las fuentes contaminantes.</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 xml:space="preserve">De manera general se ha establecido que las denominadas “fuentes  jas”, las cuales incluyen fuentes tan variadas como las chimeneas industriales, las re nerías de petróleo, los rellenos sanitarios y las plantas </w:t>
      </w:r>
      <w:r>
        <w:rPr>
          <w:rFonts w:ascii="Helvetica Neue" w:eastAsia="Helvetica Neue" w:hAnsi="Helvetica Neue" w:cs="Helvetica Neue"/>
        </w:rPr>
        <w:t>de generación térmica de energía eléctrica, son las principales causantes de la presencia en el aire de contaminantes tales como el material particulado (PM) y los óxidos de azufre (SOx) (Elbir et al., 2004; Gurjar et al., 2004; Bhanarkar et al., 2005).</w:t>
      </w:r>
    </w:p>
    <w:p w:rsidR="003345DF" w:rsidRDefault="00BE610B">
      <w:pPr>
        <w:ind w:hanging="2"/>
        <w:jc w:val="both"/>
        <w:rPr>
          <w:rFonts w:ascii="Helvetica Neue" w:eastAsia="Helvetica Neue" w:hAnsi="Helvetica Neue" w:cs="Helvetica Neue"/>
          <w:b/>
        </w:rPr>
      </w:pPr>
      <w:r>
        <w:rPr>
          <w:rFonts w:ascii="Helvetica Neue" w:eastAsia="Helvetica Neue" w:hAnsi="Helvetica Neue" w:cs="Helvetica Neue"/>
          <w:b/>
        </w:rPr>
        <w:t>7.</w:t>
      </w:r>
      <w:r>
        <w:rPr>
          <w:rFonts w:ascii="Helvetica Neue" w:eastAsia="Helvetica Neue" w:hAnsi="Helvetica Neue" w:cs="Helvetica Neue"/>
          <w:b/>
        </w:rPr>
        <w:t xml:space="preserve">3.1 Experiencias en Colombia de Inventarios de Emisiones </w:t>
      </w:r>
      <w:r>
        <w:rPr>
          <w:rFonts w:ascii="Helvetica Neue" w:eastAsia="Helvetica Neue" w:hAnsi="Helvetica Neue" w:cs="Helvetica Neue"/>
          <w:b/>
          <w:vertAlign w:val="superscript"/>
        </w:rPr>
        <w:footnoteReference w:id="18"/>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Jaramillo et. al., (2004) realizó un inventario de emisiones de contaminantes del aire en la zona Cali-Yumbo (Colombia) en donde se utilizaron factores de emisión teóricos en conjunto con estimacio</w:t>
      </w:r>
      <w:r>
        <w:rPr>
          <w:rFonts w:ascii="Helvetica Neue" w:eastAsia="Helvetica Neue" w:hAnsi="Helvetica Neue" w:cs="Helvetica Neue"/>
        </w:rPr>
        <w:t>nes de consumo de combustible. Según los resultados de este esfuerzo, las fuentes puntuales son responsables del 52% (16,000 toneladas por año) de las emisiones de SOx. Para el caso de especies tales como NOx y CO, las fuentes móviles contribuyen con el 73</w:t>
      </w:r>
      <w:r>
        <w:rPr>
          <w:rFonts w:ascii="Helvetica Neue" w:eastAsia="Helvetica Neue" w:hAnsi="Helvetica Neue" w:cs="Helvetica Neue"/>
        </w:rPr>
        <w:t>% (19,000 toneladas por año) así como con más del 90% (318,000 toneladas por año) de las emisiones totales, respectivamente.</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En lo que tiene que ver con PM, el estudio antes mencionado permitió concluir que las fuentes puntuales aportan más del 32% (11,500</w:t>
      </w:r>
      <w:r>
        <w:rPr>
          <w:rFonts w:ascii="Helvetica Neue" w:eastAsia="Helvetica Neue" w:hAnsi="Helvetica Neue" w:cs="Helvetica Neue"/>
        </w:rPr>
        <w:t xml:space="preserve"> toneladas por año) de las emisiones totales. Al interior de dichas fuentes, los sectores con una mayor contribución incluyen a la industria de papel y las artes grá cas así como a la industria química.</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Según un inventario reciente desarrollado por la Uni</w:t>
      </w:r>
      <w:r>
        <w:rPr>
          <w:rFonts w:ascii="Helvetica Neue" w:eastAsia="Helvetica Neue" w:hAnsi="Helvetica Neue" w:cs="Helvetica Neue"/>
        </w:rPr>
        <w:t>versidad Ponti cia Bolivariana y el Área Metropolitana del Valle de Aburrá (2005) para la región del Valle de Aburrá (Antioquia, Colombia) a partir de resultados de mediciones isocinéticas, en dicha región de Colombia se generan 30,000 toneladas al año de</w:t>
      </w:r>
      <w:r>
        <w:rPr>
          <w:rFonts w:ascii="Helvetica Neue" w:eastAsia="Helvetica Neue" w:hAnsi="Helvetica Neue" w:cs="Helvetica Neue"/>
        </w:rPr>
        <w:t xml:space="preserve"> PM y 20,000 toneladas al año de SOx.</w:t>
      </w:r>
    </w:p>
    <w:p w:rsidR="003345DF" w:rsidRDefault="00BE610B">
      <w:pPr>
        <w:ind w:hanging="2"/>
        <w:jc w:val="both"/>
        <w:rPr>
          <w:rFonts w:ascii="Helvetica Neue" w:eastAsia="Helvetica Neue" w:hAnsi="Helvetica Neue" w:cs="Helvetica Neue"/>
          <w:b/>
        </w:rPr>
      </w:pPr>
      <w:r>
        <w:rPr>
          <w:rFonts w:ascii="Helvetica Neue" w:eastAsia="Helvetica Neue" w:hAnsi="Helvetica Neue" w:cs="Helvetica Neue"/>
          <w:b/>
        </w:rPr>
        <w:t>7.3.1 Experiencias en Bogotá</w:t>
      </w:r>
      <w:r>
        <w:rPr>
          <w:rFonts w:ascii="Helvetica Neue" w:eastAsia="Helvetica Neue" w:hAnsi="Helvetica Neue" w:cs="Helvetica Neue"/>
        </w:rPr>
        <w:t xml:space="preserve"> </w:t>
      </w:r>
      <w:r>
        <w:rPr>
          <w:rFonts w:ascii="Helvetica Neue" w:eastAsia="Helvetica Neue" w:hAnsi="Helvetica Neue" w:cs="Helvetica Neue"/>
          <w:b/>
        </w:rPr>
        <w:t xml:space="preserve">de Inventarios de Emisiones </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En la capital del país se han desarrollado varios esfuerzos encaminados a determinar el inventario de emisiones contaminantes que se generan al interior del per</w:t>
      </w:r>
      <w:r>
        <w:rPr>
          <w:rFonts w:ascii="Helvetica Neue" w:eastAsia="Helvetica Neue" w:hAnsi="Helvetica Neue" w:cs="Helvetica Neue"/>
        </w:rPr>
        <w:t>ímetro urbano. Uno de los primeros de dichos esfuerzos, tiene que ver con el estudio adelantado por la Agencia Internacional de Cooperación Japonesa (JICA) en el año 1991. Por medio de este trabajo se logró determinar que, por ejemplo, las fuentes industri</w:t>
      </w:r>
      <w:r>
        <w:rPr>
          <w:rFonts w:ascii="Helvetica Neue" w:eastAsia="Helvetica Neue" w:hAnsi="Helvetica Neue" w:cs="Helvetica Neue"/>
        </w:rPr>
        <w:t>ales tenían una contribución del 80% en lo que sere ere a emisiones de SOx.</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De forma más reciente, la autoridad ambiental distrital (en ese entonces conocida como Departamento Técnico Administrativo del Medio Ambiente - DAMA), como parte del denominado Pl</w:t>
      </w:r>
      <w:r>
        <w:rPr>
          <w:rFonts w:ascii="Helvetica Neue" w:eastAsia="Helvetica Neue" w:hAnsi="Helvetica Neue" w:cs="Helvetica Neue"/>
        </w:rPr>
        <w:t>an de Gestión de Calidad del Aire, logró documentar que el 86% de las emisiones de SOx y el 67% de las emisiones de PM en la región capital provenían del sector de fuentes  jas (DAMA, 2001). Un estudio desarrollado dos años después por la Universidad de l</w:t>
      </w:r>
      <w:r>
        <w:rPr>
          <w:rFonts w:ascii="Helvetica Neue" w:eastAsia="Helvetica Neue" w:hAnsi="Helvetica Neue" w:cs="Helvetica Neue"/>
        </w:rPr>
        <w:t>os Andes y  nanciado por la misma autoridad ambiental demostró que para SOx y PM la contribución de fuentes  jas al inventario de emisiones totales era superior al 65%.</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Asimismo, durante el año 2001, el entonces denominado DAMA, actual SDA, y la  rma de</w:t>
      </w:r>
      <w:r>
        <w:rPr>
          <w:rFonts w:ascii="Helvetica Neue" w:eastAsia="Helvetica Neue" w:hAnsi="Helvetica Neue" w:cs="Helvetica Neue"/>
        </w:rPr>
        <w:t xml:space="preserve"> consultoría INAMCO realizaron un inventario de fuentes  jas en la ciudad de Bogotá en el cual se llevaron a cabo cerca de 4,500 visitas a establecimientos industriales con el  n de recopilar información primaria relacionada con el consumo de combustible</w:t>
      </w:r>
      <w:r>
        <w:rPr>
          <w:rFonts w:ascii="Helvetica Neue" w:eastAsia="Helvetica Neue" w:hAnsi="Helvetica Neue" w:cs="Helvetica Neue"/>
        </w:rPr>
        <w:t xml:space="preserve"> y el tipo de tecnología utilizada para los procesos de generación de energía. A partir de estos datos y haciendo uso de factores de emisión compilados en la metodología AP-42 de la EPA (EPA, 1995) se calcularon las emisiones del sector industrial de Bogot</w:t>
      </w:r>
      <w:r>
        <w:rPr>
          <w:rFonts w:ascii="Helvetica Neue" w:eastAsia="Helvetica Neue" w:hAnsi="Helvetica Neue" w:cs="Helvetica Neue"/>
        </w:rPr>
        <w:t>á.</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Según los resultados de este estudio, la localidad de Puente Aranda (en donde se concentra gran parte de la actividad industrial de la ciudad) aporta más del 25% de las emisiones totales de PM10. Estas emisiones provienen principalmente de procesos de g</w:t>
      </w:r>
      <w:r>
        <w:rPr>
          <w:rFonts w:ascii="Helvetica Neue" w:eastAsia="Helvetica Neue" w:hAnsi="Helvetica Neue" w:cs="Helvetica Neue"/>
        </w:rPr>
        <w:t xml:space="preserve">eneración de vapor, calentamiento de agua y aceite así como de procesos de inyección, extrusión, peletizado, y termoformado. Para el caso de SOx, la localidad con mayores aportes al inventario de emisiones es Kennedy debido a procesos de ahumado, cocción, </w:t>
      </w:r>
      <w:r>
        <w:rPr>
          <w:rFonts w:ascii="Helvetica Neue" w:eastAsia="Helvetica Neue" w:hAnsi="Helvetica Neue" w:cs="Helvetica Neue"/>
        </w:rPr>
        <w:t>y asado.</w:t>
      </w:r>
    </w:p>
    <w:p w:rsidR="003345DF" w:rsidRDefault="00BE610B">
      <w:pPr>
        <w:ind w:hanging="2"/>
        <w:jc w:val="both"/>
        <w:rPr>
          <w:rFonts w:ascii="Helvetica Neue" w:eastAsia="Helvetica Neue" w:hAnsi="Helvetica Neue" w:cs="Helvetica Neue"/>
        </w:rPr>
      </w:pPr>
      <w:r>
        <w:rPr>
          <w:rFonts w:ascii="Helvetica Neue" w:eastAsia="Helvetica Neue" w:hAnsi="Helvetica Neue" w:cs="Helvetica Neue"/>
        </w:rPr>
        <w:t>Finalmente, según los resultados de un estudio realizado en el año 2002 por la Universidad de los Andes, en donde se utilizó el modelo europeo AIREMIS como herramienta de cálculo de los factores de emisión así como la información recolectada en el</w:t>
      </w:r>
      <w:r>
        <w:rPr>
          <w:rFonts w:ascii="Helvetica Neue" w:eastAsia="Helvetica Neue" w:hAnsi="Helvetica Neue" w:cs="Helvetica Neue"/>
        </w:rPr>
        <w:t xml:space="preserve"> inventario de fuentes adelantado por INAMCO, el 80% del PM producido en la ciudad así como el 40% del CO provienen de fuentes industriales.</w:t>
      </w:r>
    </w:p>
    <w:p w:rsidR="003345DF" w:rsidRDefault="003345DF">
      <w:pPr>
        <w:ind w:hanging="2"/>
        <w:rPr>
          <w:rFonts w:ascii="Helvetica Neue" w:eastAsia="Helvetica Neue" w:hAnsi="Helvetica Neue" w:cs="Helvetica Neue"/>
        </w:rPr>
      </w:pPr>
    </w:p>
    <w:p w:rsidR="003345DF" w:rsidRDefault="003345DF">
      <w:pPr>
        <w:ind w:hanging="2"/>
        <w:rPr>
          <w:rFonts w:ascii="Helvetica Neue" w:eastAsia="Helvetica Neue" w:hAnsi="Helvetica Neue" w:cs="Helvetica Neue"/>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t>ANGÉLICA LOZANO CORREA                            CLAUDIA LÓPEZ HERNÁNDEZ</w:t>
      </w: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rPr>
        <w:t>Representante a la Cámara</w:t>
      </w:r>
      <w:r>
        <w:rPr>
          <w:rFonts w:ascii="Helvetica Neue" w:eastAsia="Helvetica Neue" w:hAnsi="Helvetica Neue" w:cs="Helvetica Neue"/>
          <w:b/>
        </w:rPr>
        <w:t xml:space="preserve">                                   </w:t>
      </w:r>
      <w:r>
        <w:rPr>
          <w:rFonts w:ascii="Helvetica Neue" w:eastAsia="Helvetica Neue" w:hAnsi="Helvetica Neue" w:cs="Helvetica Neue"/>
        </w:rPr>
        <w:t>Senadora de la República</w:t>
      </w: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740A48" w:rsidRDefault="00740A48">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t>RODRIGO LARA RESTREPO</w:t>
      </w:r>
      <w:r>
        <w:rPr>
          <w:rFonts w:ascii="Helvetica Neue" w:eastAsia="Helvetica Neue" w:hAnsi="Helvetica Neue" w:cs="Helvetica Neue"/>
          <w:b/>
        </w:rPr>
        <w:tab/>
        <w:t xml:space="preserve">                        CARLOS FERNANDO GALÁN</w:t>
      </w: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rPr>
        <w:t>Representante a la Cámara</w:t>
      </w:r>
      <w:r>
        <w:rPr>
          <w:rFonts w:ascii="Helvetica Neue" w:eastAsia="Helvetica Neue" w:hAnsi="Helvetica Neue" w:cs="Helvetica Neue"/>
          <w:b/>
        </w:rPr>
        <w:t xml:space="preserve">                                  </w:t>
      </w:r>
      <w:r>
        <w:rPr>
          <w:rFonts w:ascii="Helvetica Neue" w:eastAsia="Helvetica Neue" w:hAnsi="Helvetica Neue" w:cs="Helvetica Neue"/>
        </w:rPr>
        <w:t>Senador de la República</w:t>
      </w:r>
    </w:p>
    <w:p w:rsidR="003345DF" w:rsidRDefault="003345DF">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740A48" w:rsidRDefault="00740A48">
      <w:pPr>
        <w:spacing w:after="0"/>
        <w:ind w:hanging="2"/>
        <w:rPr>
          <w:rFonts w:ascii="Helvetica Neue" w:eastAsia="Helvetica Neue" w:hAnsi="Helvetica Neue" w:cs="Helvetica Neue"/>
        </w:rPr>
      </w:pPr>
    </w:p>
    <w:p w:rsidR="003345DF" w:rsidRDefault="003345DF">
      <w:pPr>
        <w:spacing w:after="0"/>
        <w:ind w:hanging="2"/>
        <w:rPr>
          <w:rFonts w:ascii="Helvetica Neue" w:eastAsia="Helvetica Neue" w:hAnsi="Helvetica Neue" w:cs="Helvetica Neue"/>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t>FEDERICO HOYOS SALAZAR</w:t>
      </w:r>
      <w:r>
        <w:rPr>
          <w:rFonts w:ascii="Helvetica Neue" w:eastAsia="Helvetica Neue" w:hAnsi="Helvetica Neue" w:cs="Helvetica Neue"/>
          <w:b/>
        </w:rPr>
        <w:tab/>
        <w:t xml:space="preserve">             </w:t>
      </w:r>
      <w:r>
        <w:rPr>
          <w:rFonts w:ascii="Helvetica Neue" w:eastAsia="Helvetica Neue" w:hAnsi="Helvetica Neue" w:cs="Helvetica Neue"/>
          <w:b/>
        </w:rPr>
        <w:t xml:space="preserve">          VICTOR CORREA VÉLEZ</w:t>
      </w: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rPr>
        <w:t>Representante a la Cámara</w:t>
      </w:r>
      <w:r>
        <w:rPr>
          <w:rFonts w:ascii="Helvetica Neue" w:eastAsia="Helvetica Neue" w:hAnsi="Helvetica Neue" w:cs="Helvetica Neue"/>
          <w:b/>
        </w:rPr>
        <w:t xml:space="preserve">                                 </w:t>
      </w:r>
      <w:r>
        <w:rPr>
          <w:rFonts w:ascii="Helvetica Neue" w:eastAsia="Helvetica Neue" w:hAnsi="Helvetica Neue" w:cs="Helvetica Neue"/>
        </w:rPr>
        <w:t>Representante a la Cámara</w:t>
      </w:r>
      <w:r>
        <w:rPr>
          <w:rFonts w:ascii="Helvetica Neue" w:eastAsia="Helvetica Neue" w:hAnsi="Helvetica Neue" w:cs="Helvetica Neue"/>
          <w:b/>
        </w:rPr>
        <w:t xml:space="preserve">    </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740A48" w:rsidRDefault="00740A48">
      <w:pPr>
        <w:spacing w:after="0"/>
        <w:ind w:hanging="2"/>
        <w:rPr>
          <w:rFonts w:ascii="Helvetica Neue" w:eastAsia="Helvetica Neue" w:hAnsi="Helvetica Neue" w:cs="Helvetica Neue"/>
          <w:b/>
        </w:rPr>
      </w:pPr>
    </w:p>
    <w:p w:rsidR="00740A48" w:rsidRDefault="00740A48">
      <w:pPr>
        <w:spacing w:after="0"/>
        <w:ind w:hanging="2"/>
        <w:rPr>
          <w:rFonts w:ascii="Helvetica Neue" w:eastAsia="Helvetica Neue" w:hAnsi="Helvetica Neue" w:cs="Helvetica Neue"/>
          <w:b/>
        </w:rPr>
      </w:pPr>
    </w:p>
    <w:p w:rsidR="00740A48" w:rsidRDefault="00740A48">
      <w:pPr>
        <w:spacing w:after="0"/>
        <w:ind w:hanging="2"/>
        <w:rPr>
          <w:rFonts w:ascii="Helvetica Neue" w:eastAsia="Helvetica Neue" w:hAnsi="Helvetica Neue" w:cs="Helvetica Neue"/>
          <w:b/>
        </w:rPr>
      </w:pPr>
    </w:p>
    <w:p w:rsidR="00740A48" w:rsidRPr="00D276D6" w:rsidRDefault="00740A48" w:rsidP="00740A48">
      <w:pPr>
        <w:spacing w:after="0"/>
        <w:ind w:hanging="2"/>
        <w:rPr>
          <w:rFonts w:ascii="Helvetica Neue" w:eastAsia="Helvetica Neue" w:hAnsi="Helvetica Neue" w:cs="Helvetica Neue"/>
          <w:b/>
        </w:rPr>
      </w:pPr>
      <w:r w:rsidRPr="00740A48">
        <w:rPr>
          <w:rFonts w:ascii="Helvetica Neue" w:eastAsia="Helvetica Neue" w:hAnsi="Helvetica Neue" w:cs="Helvetica Neue"/>
          <w:b/>
        </w:rPr>
        <w:t>JORGE PRIETO</w:t>
      </w:r>
      <w:r w:rsidRPr="00D276D6">
        <w:rPr>
          <w:rFonts w:ascii="Helvetica Neue" w:eastAsia="Helvetica Neue" w:hAnsi="Helvetica Neue" w:cs="Helvetica Neue"/>
          <w:b/>
        </w:rPr>
        <w:t>                     </w:t>
      </w:r>
      <w:r w:rsidRPr="00740A48">
        <w:rPr>
          <w:rFonts w:ascii="Helvetica Neue" w:eastAsia="Helvetica Neue" w:hAnsi="Helvetica Neue" w:cs="Helvetica Neue"/>
          <w:b/>
        </w:rPr>
        <w:tab/>
      </w:r>
      <w:r w:rsidRPr="00740A48">
        <w:rPr>
          <w:rFonts w:ascii="Helvetica Neue" w:eastAsia="Helvetica Neue" w:hAnsi="Helvetica Neue" w:cs="Helvetica Neue"/>
          <w:b/>
        </w:rPr>
        <w:tab/>
      </w:r>
      <w:r>
        <w:rPr>
          <w:rFonts w:ascii="Helvetica Neue" w:eastAsia="Helvetica Neue" w:hAnsi="Helvetica Neue" w:cs="Helvetica Neue"/>
          <w:b/>
        </w:rPr>
        <w:tab/>
      </w:r>
      <w:r w:rsidRPr="00740A48">
        <w:rPr>
          <w:rFonts w:ascii="Helvetica Neue" w:eastAsia="Helvetica Neue" w:hAnsi="Helvetica Neue" w:cs="Helvetica Neue"/>
          <w:b/>
        </w:rPr>
        <w:t xml:space="preserve">MARITZA MARTINEZ </w:t>
      </w:r>
    </w:p>
    <w:p w:rsidR="00740A48" w:rsidRPr="00D276D6" w:rsidRDefault="00740A48" w:rsidP="00740A48">
      <w:pPr>
        <w:spacing w:after="0"/>
        <w:ind w:hanging="2"/>
        <w:rPr>
          <w:rFonts w:ascii="Helvetica Neue" w:eastAsia="Helvetica Neue" w:hAnsi="Helvetica Neue" w:cs="Helvetica Neue"/>
        </w:rPr>
      </w:pPr>
      <w:r w:rsidRPr="00D276D6">
        <w:rPr>
          <w:rFonts w:ascii="Helvetica Neue" w:eastAsia="Helvetica Neue" w:hAnsi="Helvetica Neue" w:cs="Helvetica Neue"/>
        </w:rPr>
        <w:t>Senador de la República</w:t>
      </w:r>
      <w:r w:rsidRPr="00740A48">
        <w:rPr>
          <w:rFonts w:ascii="Helvetica Neue" w:eastAsia="Helvetica Neue" w:hAnsi="Helvetica Neue" w:cs="Helvetica Neue"/>
        </w:rPr>
        <w:t xml:space="preserve">                           </w:t>
      </w:r>
      <w:r>
        <w:rPr>
          <w:rFonts w:ascii="Helvetica Neue" w:eastAsia="Helvetica Neue" w:hAnsi="Helvetica Neue" w:cs="Helvetica Neue"/>
        </w:rPr>
        <w:tab/>
      </w:r>
      <w:r w:rsidRPr="00740A48">
        <w:rPr>
          <w:rFonts w:ascii="Helvetica Neue" w:eastAsia="Helvetica Neue" w:hAnsi="Helvetica Neue" w:cs="Helvetica Neue"/>
        </w:rPr>
        <w:t> </w:t>
      </w:r>
      <w:r w:rsidRPr="00D276D6">
        <w:rPr>
          <w:rFonts w:ascii="Helvetica Neue" w:eastAsia="Helvetica Neue" w:hAnsi="Helvetica Neue" w:cs="Helvetica Neue"/>
        </w:rPr>
        <w:t>Senadora de la República</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 xml:space="preserve">_____________________________                   </w:t>
      </w:r>
      <w:r>
        <w:rPr>
          <w:rFonts w:ascii="Helvetica Neue" w:eastAsia="Helvetica Neue" w:hAnsi="Helvetica Neue" w:cs="Helvetica Neue"/>
          <w:b/>
        </w:rPr>
        <w:t xml:space="preserve">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b/>
        </w:rPr>
      </w:pPr>
      <w:r>
        <w:rPr>
          <w:rFonts w:ascii="Helvetica Neue" w:eastAsia="Helvetica Neue" w:hAnsi="Helvetica Neue" w:cs="Helvetica Neue"/>
          <w:b/>
        </w:rPr>
        <w:t>_____________________________                        ______________________________</w:t>
      </w:r>
    </w:p>
    <w:p w:rsidR="003345DF" w:rsidRDefault="003345DF">
      <w:pPr>
        <w:spacing w:after="0"/>
        <w:ind w:hanging="2"/>
        <w:rPr>
          <w:rFonts w:ascii="Helvetica Neue" w:eastAsia="Helvetica Neue" w:hAnsi="Helvetica Neue" w:cs="Helvetica Neue"/>
          <w:b/>
        </w:rPr>
      </w:pPr>
    </w:p>
    <w:p w:rsidR="003345DF" w:rsidRDefault="00BE610B">
      <w:pPr>
        <w:spacing w:after="0"/>
        <w:ind w:hanging="2"/>
        <w:rPr>
          <w:rFonts w:ascii="Helvetica Neue" w:eastAsia="Helvetica Neue" w:hAnsi="Helvetica Neue" w:cs="Helvetica Neue"/>
        </w:rPr>
      </w:pPr>
      <w:r>
        <w:rPr>
          <w:rFonts w:ascii="Helvetica Neue" w:eastAsia="Helvetica Neue" w:hAnsi="Helvetica Neue" w:cs="Helvetica Neue"/>
          <w:b/>
        </w:rPr>
        <w:t xml:space="preserve">                                 </w:t>
      </w:r>
    </w:p>
    <w:p w:rsidR="003345DF" w:rsidRDefault="003345DF">
      <w:pPr>
        <w:spacing w:after="0"/>
        <w:ind w:hanging="2"/>
      </w:pPr>
    </w:p>
    <w:sectPr w:rsidR="003345DF">
      <w:headerReference w:type="default" r:id="rId11"/>
      <w:footerReference w:type="default" r:id="rId12"/>
      <w:headerReference w:type="first" r:id="rId13"/>
      <w:footerReference w:type="first" r:id="rId14"/>
      <w:pgSz w:w="12242" w:h="15842"/>
      <w:pgMar w:top="2231" w:right="1701" w:bottom="1418"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E610B">
      <w:pPr>
        <w:spacing w:after="0"/>
      </w:pPr>
      <w:r>
        <w:separator/>
      </w:r>
    </w:p>
  </w:endnote>
  <w:endnote w:type="continuationSeparator" w:id="0">
    <w:p w:rsidR="00000000" w:rsidRDefault="00BE6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DF" w:rsidRDefault="00BE610B">
    <w:pPr>
      <w:tabs>
        <w:tab w:val="center" w:pos="4252"/>
        <w:tab w:val="right" w:pos="8504"/>
      </w:tabs>
      <w:spacing w:after="1640"/>
      <w:ind w:hanging="2"/>
      <w:rPr>
        <w:rFonts w:ascii="Arial" w:eastAsia="Arial" w:hAnsi="Arial" w:cs="Arial"/>
        <w:sz w:val="16"/>
        <w:szCs w:val="16"/>
      </w:rPr>
    </w:pPr>
    <w:r>
      <w:fldChar w:fldCharType="begin"/>
    </w:r>
    <w:r>
      <w:instrText>PAGE</w:instrText>
    </w:r>
    <w:r w:rsidR="00740A48">
      <w:fldChar w:fldCharType="separate"/>
    </w:r>
    <w:r>
      <w:rPr>
        <w:noProof/>
      </w:rPr>
      <w:t>3</w:t>
    </w:r>
    <w:r>
      <w:fldChar w:fldCharType="end"/>
    </w:r>
    <w:r>
      <w:rPr>
        <w:noProof/>
        <w:lang w:val="es-CO"/>
      </w:rPr>
      <w:drawing>
        <wp:anchor distT="0" distB="0" distL="114300" distR="114300" simplePos="0" relativeHeight="251658240" behindDoc="0" locked="0" layoutInCell="1" hidden="0" allowOverlap="1">
          <wp:simplePos x="0" y="0"/>
          <wp:positionH relativeFrom="margin">
            <wp:posOffset>0</wp:posOffset>
          </wp:positionH>
          <wp:positionV relativeFrom="paragraph">
            <wp:posOffset>1114425</wp:posOffset>
          </wp:positionV>
          <wp:extent cx="3414395" cy="291465"/>
          <wp:effectExtent l="0" t="0" r="0" b="0"/>
          <wp:wrapSquare wrapText="bothSides" distT="0" distB="0" distL="114300" distR="11430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3414395" cy="291465"/>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margin">
            <wp:posOffset>1066800</wp:posOffset>
          </wp:positionH>
          <wp:positionV relativeFrom="paragraph">
            <wp:posOffset>171450</wp:posOffset>
          </wp:positionV>
          <wp:extent cx="3414395" cy="291465"/>
          <wp:effectExtent l="0" t="0" r="0" b="0"/>
          <wp:wrapSquare wrapText="bothSides" distT="0" distB="0" distL="114300" distR="11430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3414395" cy="29146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DF" w:rsidRDefault="00BE610B">
    <w:pPr>
      <w:spacing w:after="1640"/>
      <w:jc w:val="right"/>
    </w:pPr>
    <w:r>
      <w:fldChar w:fldCharType="begin"/>
    </w:r>
    <w:r>
      <w:instrText>PAGE</w:instrText>
    </w:r>
    <w:r>
      <w:fldChar w:fldCharType="end"/>
    </w:r>
    <w:r>
      <w:rPr>
        <w:noProof/>
        <w:lang w:val="es-CO"/>
      </w:rPr>
      <w:drawing>
        <wp:anchor distT="0" distB="0" distL="114300" distR="114300" simplePos="0" relativeHeight="251660288" behindDoc="0" locked="0" layoutInCell="1" hidden="0" allowOverlap="1">
          <wp:simplePos x="0" y="0"/>
          <wp:positionH relativeFrom="margin">
            <wp:posOffset>1123950</wp:posOffset>
          </wp:positionH>
          <wp:positionV relativeFrom="paragraph">
            <wp:posOffset>47625</wp:posOffset>
          </wp:positionV>
          <wp:extent cx="3414395" cy="29146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414395" cy="2914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E610B">
      <w:pPr>
        <w:spacing w:after="0"/>
      </w:pPr>
      <w:r>
        <w:separator/>
      </w:r>
    </w:p>
  </w:footnote>
  <w:footnote w:type="continuationSeparator" w:id="0">
    <w:p w:rsidR="00000000" w:rsidRDefault="00BE610B">
      <w:pPr>
        <w:spacing w:after="0"/>
      </w:pPr>
      <w:r>
        <w:continuationSeparator/>
      </w:r>
    </w:p>
  </w:footnote>
  <w:footnote w:id="1">
    <w:p w:rsidR="003345DF" w:rsidRDefault="00BE610B">
      <w:pPr>
        <w:spacing w:after="0"/>
        <w:rPr>
          <w:sz w:val="20"/>
          <w:szCs w:val="20"/>
          <w:vertAlign w:val="superscript"/>
        </w:rPr>
      </w:pPr>
      <w:r>
        <w:rPr>
          <w:vertAlign w:val="superscript"/>
        </w:rPr>
        <w:footnoteRef/>
      </w:r>
      <w:r>
        <w:rPr>
          <w:sz w:val="20"/>
          <w:szCs w:val="20"/>
          <w:vertAlign w:val="superscript"/>
        </w:rPr>
        <w:t xml:space="preserve"> </w:t>
      </w:r>
      <w:r>
        <w:rPr>
          <w:rFonts w:ascii="Helvetica Neue" w:eastAsia="Helvetica Neue" w:hAnsi="Helvetica Neue" w:cs="Helvetica Neue"/>
          <w:sz w:val="20"/>
          <w:szCs w:val="20"/>
        </w:rPr>
        <w:t>Corte Constitucional. Sentencia C-041 de 2017. M.P. Gabriel Eduardo Mendoza Martelo Jorge Iván Palacio Palacio.</w:t>
      </w:r>
    </w:p>
  </w:footnote>
  <w:footnote w:id="2">
    <w:p w:rsidR="003345DF" w:rsidRDefault="00BE610B">
      <w:pPr>
        <w:spacing w:after="0"/>
        <w:rPr>
          <w:sz w:val="20"/>
          <w:szCs w:val="20"/>
        </w:rPr>
      </w:pPr>
      <w:r>
        <w:rPr>
          <w:vertAlign w:val="superscript"/>
        </w:rPr>
        <w:footnoteRef/>
      </w:r>
      <w:r>
        <w:rPr>
          <w:sz w:val="20"/>
          <w:szCs w:val="20"/>
        </w:rPr>
        <w:t xml:space="preserve"> Ibíd. </w:t>
      </w:r>
    </w:p>
  </w:footnote>
  <w:footnote w:id="3">
    <w:p w:rsidR="003345DF" w:rsidRDefault="00BE610B">
      <w:pPr>
        <w:spacing w:after="0"/>
        <w:rPr>
          <w:rFonts w:ascii="Helvetica Neue" w:eastAsia="Helvetica Neue" w:hAnsi="Helvetica Neue" w:cs="Helvetica Neue"/>
          <w:sz w:val="20"/>
          <w:szCs w:val="20"/>
        </w:rPr>
      </w:pPr>
      <w:r>
        <w:rPr>
          <w:vertAlign w:val="superscript"/>
        </w:rPr>
        <w:footnoteRef/>
      </w:r>
      <w:r>
        <w:rPr>
          <w:rFonts w:ascii="Helvetica Neue" w:eastAsia="Helvetica Neue" w:hAnsi="Helvetica Neue" w:cs="Helvetica Neue"/>
          <w:sz w:val="20"/>
          <w:szCs w:val="20"/>
        </w:rPr>
        <w:t xml:space="preserve"> Corte Constitucional. Sentencia C-671 de 2001. M.P. Jaime Araújo Rentería.</w:t>
      </w:r>
    </w:p>
  </w:footnote>
  <w:footnote w:id="4">
    <w:p w:rsidR="003345DF" w:rsidRDefault="00BE610B">
      <w:pPr>
        <w:spacing w:after="0"/>
        <w:ind w:hanging="2"/>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Arial" w:eastAsia="Arial" w:hAnsi="Arial" w:cs="Arial"/>
          <w:sz w:val="16"/>
          <w:szCs w:val="16"/>
        </w:rPr>
        <w:t xml:space="preserve">PFT. Schneider. A. 2010. Disponible online en </w:t>
      </w:r>
      <w:hyperlink r:id="rId1">
        <w:r>
          <w:rPr>
            <w:rFonts w:ascii="Arial" w:eastAsia="Arial" w:hAnsi="Arial" w:cs="Arial"/>
            <w:color w:val="0000FF"/>
            <w:sz w:val="16"/>
            <w:szCs w:val="16"/>
            <w:u w:val="single"/>
          </w:rPr>
          <w:t>http://www.particleandfibretoxicology.com/content/7/1/29</w:t>
        </w:r>
      </w:hyperlink>
      <w:r>
        <w:rPr>
          <w:rFonts w:ascii="Arial" w:eastAsia="Arial" w:hAnsi="Arial" w:cs="Arial"/>
          <w:sz w:val="16"/>
          <w:szCs w:val="16"/>
        </w:rPr>
        <w:t>. Consultado mayo 15 de 2014.</w:t>
      </w:r>
    </w:p>
  </w:footnote>
  <w:footnote w:id="5">
    <w:p w:rsidR="003345DF" w:rsidRDefault="00BE610B">
      <w:pPr>
        <w:spacing w:after="0"/>
        <w:ind w:hanging="2"/>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Arial" w:eastAsia="Arial" w:hAnsi="Arial" w:cs="Arial"/>
          <w:sz w:val="16"/>
          <w:szCs w:val="16"/>
        </w:rPr>
        <w:t>WHO, International Agency for Research on Cancer –IARC. Press release N 213. Junio 12 de 2012</w:t>
      </w:r>
    </w:p>
  </w:footnote>
  <w:footnote w:id="6">
    <w:p w:rsidR="003345DF" w:rsidRDefault="00BE610B">
      <w:pPr>
        <w:spacing w:after="0"/>
        <w:ind w:hanging="2"/>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Arial" w:eastAsia="Arial" w:hAnsi="Arial" w:cs="Arial"/>
          <w:sz w:val="16"/>
          <w:szCs w:val="16"/>
        </w:rPr>
        <w:t>INTECH. Slezakova et al. 2013. Disponible online en http://dx.doi.org/10.5772/54775. Consultado Noviembre 25 de 2014</w:t>
      </w:r>
    </w:p>
  </w:footnote>
  <w:footnote w:id="7">
    <w:p w:rsidR="003345DF" w:rsidRDefault="00BE610B">
      <w:pPr>
        <w:spacing w:after="0"/>
        <w:rPr>
          <w:sz w:val="20"/>
          <w:szCs w:val="20"/>
        </w:rPr>
      </w:pPr>
      <w:r>
        <w:rPr>
          <w:vertAlign w:val="superscript"/>
        </w:rPr>
        <w:footnoteRef/>
      </w:r>
      <w:r>
        <w:rPr>
          <w:sz w:val="20"/>
          <w:szCs w:val="20"/>
        </w:rPr>
        <w:t xml:space="preserve"> </w:t>
      </w:r>
      <w:r>
        <w:rPr>
          <w:rFonts w:ascii="Arial" w:eastAsia="Arial" w:hAnsi="Arial" w:cs="Arial"/>
          <w:sz w:val="16"/>
          <w:szCs w:val="16"/>
        </w:rPr>
        <w:t>Long, C.M.; Nascarella, M.A.; Valberg, P.A. (2013) Environmental. Pollution. 181, 271-286.</w:t>
      </w:r>
    </w:p>
  </w:footnote>
  <w:footnote w:id="8">
    <w:p w:rsidR="003345DF" w:rsidRDefault="00BE610B">
      <w:pPr>
        <w:spacing w:after="0"/>
        <w:rPr>
          <w:sz w:val="20"/>
          <w:szCs w:val="20"/>
          <w:vertAlign w:val="superscript"/>
        </w:rPr>
      </w:pPr>
      <w:r>
        <w:rPr>
          <w:vertAlign w:val="superscript"/>
        </w:rPr>
        <w:footnoteRef/>
      </w:r>
      <w:r>
        <w:rPr>
          <w:sz w:val="20"/>
          <w:szCs w:val="20"/>
          <w:vertAlign w:val="superscript"/>
        </w:rPr>
        <w:t xml:space="preserve"> </w:t>
      </w:r>
      <w:r>
        <w:rPr>
          <w:rFonts w:ascii="Arial" w:eastAsia="Arial" w:hAnsi="Arial" w:cs="Arial"/>
          <w:sz w:val="16"/>
          <w:szCs w:val="16"/>
        </w:rPr>
        <w:t>World Health Organization, Regional Office for</w:t>
      </w:r>
      <w:r>
        <w:rPr>
          <w:rFonts w:ascii="Arial" w:eastAsia="Arial" w:hAnsi="Arial" w:cs="Arial"/>
          <w:sz w:val="16"/>
          <w:szCs w:val="16"/>
        </w:rPr>
        <w:t xml:space="preserve"> Europe. Health Effects of Black Carbon. 2012.</w:t>
      </w:r>
    </w:p>
  </w:footnote>
  <w:footnote w:id="9">
    <w:p w:rsidR="003345DF" w:rsidRDefault="00BE610B">
      <w:pPr>
        <w:spacing w:after="0"/>
        <w:jc w:val="both"/>
        <w:rPr>
          <w:sz w:val="20"/>
          <w:szCs w:val="20"/>
          <w:vertAlign w:val="superscript"/>
        </w:rPr>
      </w:pPr>
      <w:r>
        <w:rPr>
          <w:vertAlign w:val="superscript"/>
        </w:rPr>
        <w:footnoteRef/>
      </w:r>
      <w:r>
        <w:rPr>
          <w:sz w:val="20"/>
          <w:szCs w:val="20"/>
          <w:vertAlign w:val="superscript"/>
        </w:rPr>
        <w:t xml:space="preserve"> </w:t>
      </w:r>
      <w:r>
        <w:rPr>
          <w:rFonts w:ascii="Arial" w:eastAsia="Arial" w:hAnsi="Arial" w:cs="Arial"/>
          <w:sz w:val="16"/>
          <w:szCs w:val="16"/>
        </w:rPr>
        <w:t>World Health Organization international Agency for Research on Cancer. IARC Monographs on the Evaluation of Carcinogenic Risks to Humans. Volume 92, Some Non-heterocyclic Polycyclic Aromatic Hydrocarbons and</w:t>
      </w:r>
      <w:r>
        <w:rPr>
          <w:rFonts w:ascii="Arial" w:eastAsia="Arial" w:hAnsi="Arial" w:cs="Arial"/>
          <w:sz w:val="16"/>
          <w:szCs w:val="16"/>
        </w:rPr>
        <w:t xml:space="preserve"> Some Related Exposures. 2010. Lyon, France. Disponible online en https://monographs.iarc.fr/ENG/Monographs/vol92/mono92.pdf. Consultado agosto 01 de 2017.</w:t>
      </w:r>
    </w:p>
  </w:footnote>
  <w:footnote w:id="10">
    <w:p w:rsidR="003345DF" w:rsidRDefault="00BE610B">
      <w:pPr>
        <w:spacing w:after="0"/>
        <w:rPr>
          <w:sz w:val="20"/>
          <w:szCs w:val="20"/>
        </w:rPr>
      </w:pPr>
      <w:r>
        <w:rPr>
          <w:vertAlign w:val="superscript"/>
        </w:rPr>
        <w:footnoteRef/>
      </w:r>
      <w:r>
        <w:rPr>
          <w:rFonts w:ascii="Arial" w:eastAsia="Arial" w:hAnsi="Arial" w:cs="Arial"/>
          <w:sz w:val="16"/>
          <w:szCs w:val="16"/>
        </w:rPr>
        <w:t xml:space="preserve">Tomado de:  </w:t>
      </w:r>
      <w:hyperlink r:id="rId2">
        <w:r>
          <w:rPr>
            <w:rFonts w:ascii="Arial" w:eastAsia="Arial" w:hAnsi="Arial" w:cs="Arial"/>
            <w:sz w:val="16"/>
            <w:szCs w:val="16"/>
          </w:rPr>
          <w:t>http://181.225.72.78/Portal-SIAC-web/faces/Dashboard/Aire/Estado/Emisiones/estadoAireEmisiones.xhtml</w:t>
        </w:r>
      </w:hyperlink>
    </w:p>
  </w:footnote>
  <w:footnote w:id="11">
    <w:p w:rsidR="003345DF" w:rsidRDefault="00BE610B">
      <w:pPr>
        <w:spacing w:after="0"/>
        <w:rPr>
          <w:sz w:val="20"/>
          <w:szCs w:val="20"/>
        </w:rPr>
      </w:pPr>
      <w:r>
        <w:rPr>
          <w:vertAlign w:val="superscript"/>
        </w:rPr>
        <w:footnoteRef/>
      </w:r>
      <w:r>
        <w:rPr>
          <w:sz w:val="20"/>
          <w:szCs w:val="20"/>
        </w:rPr>
        <w:t xml:space="preserve"> </w:t>
      </w:r>
      <w:r>
        <w:rPr>
          <w:rFonts w:ascii="Arial" w:eastAsia="Arial" w:hAnsi="Arial" w:cs="Arial"/>
          <w:sz w:val="16"/>
          <w:szCs w:val="16"/>
        </w:rPr>
        <w:t xml:space="preserve">Tomado de: </w:t>
      </w:r>
      <w:hyperlink r:id="rId3">
        <w:r>
          <w:rPr>
            <w:rFonts w:ascii="Arial" w:eastAsia="Arial" w:hAnsi="Arial" w:cs="Arial"/>
            <w:sz w:val="16"/>
            <w:szCs w:val="16"/>
          </w:rPr>
          <w:t>http://181.225.72.78/Portal-SIAC-web/faces/Dashboard/Aire/Estado/Emisiones/estadoAireEmisiones.xhtml</w:t>
        </w:r>
      </w:hyperlink>
      <w:r>
        <w:rPr>
          <w:sz w:val="20"/>
          <w:szCs w:val="20"/>
        </w:rPr>
        <w:t xml:space="preserve"> </w:t>
      </w:r>
    </w:p>
  </w:footnote>
  <w:footnote w:id="12">
    <w:p w:rsidR="003345DF" w:rsidRDefault="00BE610B">
      <w:pPr>
        <w:spacing w:after="0"/>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 xml:space="preserve">Tomado de: Informe del Estado de la Calidad del Aire en Colombia 2011 - 2015 </w:t>
      </w:r>
      <w:hyperlink r:id="rId4">
        <w:r>
          <w:rPr>
            <w:rFonts w:ascii="Arial" w:eastAsia="Arial" w:hAnsi="Arial" w:cs="Arial"/>
            <w:sz w:val="16"/>
            <w:szCs w:val="16"/>
          </w:rPr>
          <w:t>http://documentacion.ideam.gov.co/openbiblio/bvirtual/023637/Informe_del_Estado_de_la_Calidad_del_Aire_en_Colombia_2011-2015_vfinal.pdf</w:t>
        </w:r>
      </w:hyperlink>
    </w:p>
  </w:footnote>
  <w:footnote w:id="13">
    <w:p w:rsidR="003345DF" w:rsidRDefault="00BE610B">
      <w:pPr>
        <w:spacing w:after="0"/>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Tomado de: Informe del Estado de la Cal</w:t>
      </w:r>
      <w:r>
        <w:rPr>
          <w:rFonts w:ascii="Arial" w:eastAsia="Arial" w:hAnsi="Arial" w:cs="Arial"/>
          <w:sz w:val="16"/>
          <w:szCs w:val="16"/>
        </w:rPr>
        <w:t xml:space="preserve">idad del Aire en Colombia 2011 - 2015 </w:t>
      </w:r>
      <w:hyperlink r:id="rId5">
        <w:r>
          <w:rPr>
            <w:rFonts w:ascii="Arial" w:eastAsia="Arial" w:hAnsi="Arial" w:cs="Arial"/>
            <w:sz w:val="16"/>
            <w:szCs w:val="16"/>
          </w:rPr>
          <w:t>http://documentacion.ideam.gov.co/openbiblio/bvirtual/023637/In</w:t>
        </w:r>
        <w:r>
          <w:rPr>
            <w:rFonts w:ascii="Arial" w:eastAsia="Arial" w:hAnsi="Arial" w:cs="Arial"/>
            <w:sz w:val="16"/>
            <w:szCs w:val="16"/>
          </w:rPr>
          <w:t>forme_del_Estado_de_la_Calidad_del_Aire_en_Colombia_2011-2015_vfinal.pdf</w:t>
        </w:r>
      </w:hyperlink>
      <w:r>
        <w:rPr>
          <w:rFonts w:ascii="Arial" w:eastAsia="Arial" w:hAnsi="Arial" w:cs="Arial"/>
          <w:sz w:val="16"/>
          <w:szCs w:val="16"/>
        </w:rPr>
        <w:t xml:space="preserve">  </w:t>
      </w:r>
    </w:p>
  </w:footnote>
  <w:footnote w:id="14">
    <w:p w:rsidR="003345DF" w:rsidRDefault="00BE610B">
      <w:pPr>
        <w:spacing w:after="0"/>
        <w:rPr>
          <w:rFonts w:ascii="Arial" w:eastAsia="Arial" w:hAnsi="Arial" w:cs="Arial"/>
          <w:sz w:val="16"/>
          <w:szCs w:val="16"/>
        </w:rPr>
      </w:pPr>
      <w:r>
        <w:rPr>
          <w:vertAlign w:val="superscript"/>
        </w:rPr>
        <w:footnoteRef/>
      </w:r>
      <w:r>
        <w:rPr>
          <w:rFonts w:ascii="Arial" w:eastAsia="Arial" w:hAnsi="Arial" w:cs="Arial"/>
          <w:sz w:val="16"/>
          <w:szCs w:val="16"/>
        </w:rPr>
        <w:t xml:space="preserve"> OMS </w:t>
      </w:r>
      <w:hyperlink r:id="rId6">
        <w:r>
          <w:rPr>
            <w:rFonts w:ascii="Arial" w:eastAsia="Arial" w:hAnsi="Arial" w:cs="Arial"/>
            <w:sz w:val="16"/>
            <w:szCs w:val="16"/>
          </w:rPr>
          <w:t>http://www.paho.org/col/index.php?option=com_content&amp;view=article&amp;id=2709:las-consecuencias-de-la-contaminacion-ambiental-17-millones-de-defunciones-infantiles-anuales-segun-la-oms&amp;Itemid=460</w:t>
        </w:r>
      </w:hyperlink>
      <w:r>
        <w:rPr>
          <w:rFonts w:ascii="Arial" w:eastAsia="Arial" w:hAnsi="Arial" w:cs="Arial"/>
          <w:sz w:val="16"/>
          <w:szCs w:val="16"/>
        </w:rPr>
        <w:t xml:space="preserve"> </w:t>
      </w:r>
    </w:p>
  </w:footnote>
  <w:footnote w:id="15">
    <w:p w:rsidR="003345DF" w:rsidRDefault="00BE610B">
      <w:pPr>
        <w:spacing w:after="0"/>
        <w:rPr>
          <w:sz w:val="20"/>
          <w:szCs w:val="20"/>
        </w:rPr>
      </w:pPr>
      <w:r>
        <w:rPr>
          <w:vertAlign w:val="superscript"/>
        </w:rPr>
        <w:footnoteRef/>
      </w:r>
      <w:r>
        <w:rPr>
          <w:sz w:val="20"/>
          <w:szCs w:val="20"/>
        </w:rPr>
        <w:t xml:space="preserve"> </w:t>
      </w:r>
      <w:r>
        <w:rPr>
          <w:rFonts w:ascii="Arial" w:eastAsia="Arial" w:hAnsi="Arial" w:cs="Arial"/>
          <w:sz w:val="16"/>
          <w:szCs w:val="16"/>
        </w:rPr>
        <w:t xml:space="preserve">Tomado de: Informe del Estado de la Calidad del Aire en Colombia 2011 - 2015 </w:t>
      </w:r>
      <w:hyperlink r:id="rId7">
        <w:r>
          <w:rPr>
            <w:rFonts w:ascii="Arial" w:eastAsia="Arial" w:hAnsi="Arial" w:cs="Arial"/>
            <w:sz w:val="16"/>
            <w:szCs w:val="16"/>
          </w:rPr>
          <w:t>http://documentacion.ide</w:t>
        </w:r>
        <w:r>
          <w:rPr>
            <w:rFonts w:ascii="Arial" w:eastAsia="Arial" w:hAnsi="Arial" w:cs="Arial"/>
            <w:sz w:val="16"/>
            <w:szCs w:val="16"/>
          </w:rPr>
          <w:t>am.gov.co/openbiblio/bvirtual/023637/Informe_del_Estado_de_la_Calidad_del_Aire_en_Colombia_2011-2015_vfinal.pdf</w:t>
        </w:r>
      </w:hyperlink>
      <w:r>
        <w:rPr>
          <w:rFonts w:ascii="Arial" w:eastAsia="Arial" w:hAnsi="Arial" w:cs="Arial"/>
          <w:sz w:val="16"/>
          <w:szCs w:val="16"/>
        </w:rPr>
        <w:t xml:space="preserve">   </w:t>
      </w:r>
    </w:p>
  </w:footnote>
  <w:footnote w:id="16">
    <w:p w:rsidR="003345DF" w:rsidRDefault="00BE610B">
      <w:pPr>
        <w:spacing w:after="0"/>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Tomado de: PLAN DECENAL DE</w:t>
      </w:r>
      <w:r>
        <w:rPr>
          <w:rFonts w:ascii="Arial" w:eastAsia="Arial" w:hAnsi="Arial" w:cs="Arial"/>
          <w:sz w:val="16"/>
          <w:szCs w:val="16"/>
        </w:rPr>
        <w:t xml:space="preserve"> DESCONTAMINACIÓN DE BOGOTÁ</w:t>
      </w:r>
    </w:p>
    <w:p w:rsidR="003345DF" w:rsidRDefault="00BE610B">
      <w:pPr>
        <w:spacing w:after="0"/>
        <w:rPr>
          <w:rFonts w:ascii="Arial" w:eastAsia="Arial" w:hAnsi="Arial" w:cs="Arial"/>
          <w:sz w:val="16"/>
          <w:szCs w:val="16"/>
        </w:rPr>
      </w:pPr>
      <w:r>
        <w:rPr>
          <w:rFonts w:ascii="Arial" w:eastAsia="Arial" w:hAnsi="Arial" w:cs="Arial"/>
          <w:sz w:val="16"/>
          <w:szCs w:val="16"/>
        </w:rPr>
        <w:t>https://uniandes.edu.co/sites/default/files/asset/document/parte-B-PDDB.pdf</w:t>
      </w:r>
    </w:p>
  </w:footnote>
  <w:footnote w:id="17">
    <w:p w:rsidR="003345DF" w:rsidRDefault="00BE610B">
      <w:pPr>
        <w:spacing w:after="0"/>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Tomado de: PLAN DECENAL DE DESCONTAMINACIÓN DE BOGOTÁ</w:t>
      </w:r>
    </w:p>
    <w:p w:rsidR="003345DF" w:rsidRDefault="00BE610B">
      <w:pPr>
        <w:spacing w:after="0"/>
        <w:rPr>
          <w:sz w:val="20"/>
          <w:szCs w:val="20"/>
        </w:rPr>
      </w:pPr>
      <w:r>
        <w:rPr>
          <w:rFonts w:ascii="Arial" w:eastAsia="Arial" w:hAnsi="Arial" w:cs="Arial"/>
          <w:sz w:val="16"/>
          <w:szCs w:val="16"/>
        </w:rPr>
        <w:t>https://uniandes.edu.co/sites/default/files/asset/document/parte-B-PDDB.pdf</w:t>
      </w:r>
    </w:p>
  </w:footnote>
  <w:footnote w:id="18">
    <w:p w:rsidR="003345DF" w:rsidRDefault="00BE610B">
      <w:pPr>
        <w:spacing w:after="0"/>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Tomado de: PLAN DE</w:t>
      </w:r>
      <w:r>
        <w:rPr>
          <w:rFonts w:ascii="Arial" w:eastAsia="Arial" w:hAnsi="Arial" w:cs="Arial"/>
          <w:sz w:val="16"/>
          <w:szCs w:val="16"/>
        </w:rPr>
        <w:t>CENAL DE DESCONTAMINACIÓN DE BOGOTÁ</w:t>
      </w:r>
    </w:p>
    <w:p w:rsidR="003345DF" w:rsidRDefault="00BE610B">
      <w:pPr>
        <w:spacing w:after="0"/>
        <w:rPr>
          <w:sz w:val="20"/>
          <w:szCs w:val="20"/>
        </w:rPr>
      </w:pPr>
      <w:r>
        <w:rPr>
          <w:rFonts w:ascii="Arial" w:eastAsia="Arial" w:hAnsi="Arial" w:cs="Arial"/>
          <w:sz w:val="16"/>
          <w:szCs w:val="16"/>
        </w:rPr>
        <w:t>https://uniandes.edu.co/sites/default/files/asset/document/parte-B-PDDB.pdf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DF" w:rsidRDefault="003345DF">
    <w:pPr>
      <w:tabs>
        <w:tab w:val="center" w:pos="4252"/>
        <w:tab w:val="right" w:pos="8504"/>
      </w:tabs>
      <w:spacing w:before="567"/>
      <w:ind w:hanging="2"/>
      <w:jc w:val="center"/>
    </w:pPr>
  </w:p>
  <w:p w:rsidR="003345DF" w:rsidRDefault="00BE610B">
    <w:pPr>
      <w:tabs>
        <w:tab w:val="center" w:pos="4252"/>
        <w:tab w:val="right" w:pos="8504"/>
      </w:tabs>
      <w:ind w:hanging="2"/>
      <w:jc w:val="center"/>
    </w:pPr>
    <w:r>
      <w:rPr>
        <w:noProof/>
        <w:lang w:val="es-CO"/>
      </w:rPr>
      <w:drawing>
        <wp:inline distT="0" distB="0" distL="114300" distR="114300">
          <wp:extent cx="2576513" cy="762783"/>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2576513" cy="76278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5DF" w:rsidRDefault="00BE610B">
    <w:pPr>
      <w:widowControl w:val="0"/>
      <w:spacing w:before="720" w:after="0" w:line="14" w:lineRule="auto"/>
      <w:ind w:firstLine="0"/>
      <w:jc w:val="center"/>
    </w:pPr>
    <w:r>
      <w:rPr>
        <w:rFonts w:ascii="Arial" w:eastAsia="Arial" w:hAnsi="Arial" w:cs="Arial"/>
        <w:noProof/>
        <w:sz w:val="20"/>
        <w:szCs w:val="20"/>
        <w:lang w:val="es-CO"/>
      </w:rPr>
      <w:drawing>
        <wp:inline distT="114300" distB="114300" distL="114300" distR="114300">
          <wp:extent cx="2322513" cy="683482"/>
          <wp:effectExtent l="0" t="0" r="0" b="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2322513" cy="6834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313A"/>
    <w:multiLevelType w:val="multilevel"/>
    <w:tmpl w:val="643258F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 w15:restartNumberingAfterBreak="0">
    <w:nsid w:val="2A91402B"/>
    <w:multiLevelType w:val="multilevel"/>
    <w:tmpl w:val="D7742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027847"/>
    <w:multiLevelType w:val="multilevel"/>
    <w:tmpl w:val="F6D01E6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DF"/>
    <w:rsid w:val="003345DF"/>
    <w:rsid w:val="005959D2"/>
    <w:rsid w:val="00721540"/>
    <w:rsid w:val="00740A48"/>
    <w:rsid w:val="00771012"/>
    <w:rsid w:val="00950285"/>
    <w:rsid w:val="00BE61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A3A1"/>
  <w15:docId w15:val="{B8EEFAE3-D86D-4A7D-98D0-AE10D1A0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s-ES" w:eastAsia="es-CO" w:bidi="ar-SA"/>
      </w:rPr>
    </w:rPrDefault>
    <w:pPrDefault>
      <w:pPr>
        <w:pBdr>
          <w:top w:val="nil"/>
          <w:left w:val="nil"/>
          <w:bottom w:val="nil"/>
          <w:right w:val="nil"/>
          <w:between w:val="nil"/>
        </w:pBdr>
        <w:spacing w:after="20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771012"/>
    <w:pPr>
      <w:tabs>
        <w:tab w:val="center" w:pos="4419"/>
        <w:tab w:val="right" w:pos="8838"/>
      </w:tabs>
      <w:spacing w:after="0"/>
    </w:pPr>
  </w:style>
  <w:style w:type="character" w:customStyle="1" w:styleId="EncabezadoCar">
    <w:name w:val="Encabezado Car"/>
    <w:basedOn w:val="Fuentedeprrafopredeter"/>
    <w:link w:val="Encabezado"/>
    <w:uiPriority w:val="99"/>
    <w:rsid w:val="00771012"/>
  </w:style>
  <w:style w:type="paragraph" w:styleId="Piedepgina">
    <w:name w:val="footer"/>
    <w:basedOn w:val="Normal"/>
    <w:link w:val="PiedepginaCar"/>
    <w:uiPriority w:val="99"/>
    <w:unhideWhenUsed/>
    <w:rsid w:val="00771012"/>
    <w:pPr>
      <w:tabs>
        <w:tab w:val="center" w:pos="4419"/>
        <w:tab w:val="right" w:pos="8838"/>
      </w:tabs>
      <w:spacing w:after="0"/>
    </w:pPr>
  </w:style>
  <w:style w:type="character" w:customStyle="1" w:styleId="PiedepginaCar">
    <w:name w:val="Pie de página Car"/>
    <w:basedOn w:val="Fuentedeprrafopredeter"/>
    <w:link w:val="Piedepgina"/>
    <w:uiPriority w:val="99"/>
    <w:rsid w:val="00771012"/>
  </w:style>
  <w:style w:type="paragraph" w:styleId="Textodeglobo">
    <w:name w:val="Balloon Text"/>
    <w:basedOn w:val="Normal"/>
    <w:link w:val="TextodegloboCar"/>
    <w:uiPriority w:val="99"/>
    <w:semiHidden/>
    <w:unhideWhenUsed/>
    <w:rsid w:val="0095028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0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181.225.72.78/Portal-SIAC-web/faces/Dashboard/Aire/Estado/Emisiones/estadoAireEmisiones.xhtml" TargetMode="External"/><Relationship Id="rId7" Type="http://schemas.openxmlformats.org/officeDocument/2006/relationships/hyperlink" Target="http://documentacion.ideam.gov.co/openbiblio/bvirtual/023637/Informe_del_Estado_de_la_Calidad_del_Aire_en_Colombia_2011-2015_vfinal.pdf" TargetMode="External"/><Relationship Id="rId2" Type="http://schemas.openxmlformats.org/officeDocument/2006/relationships/hyperlink" Target="http://181.225.72.78/Portal-SIAC-web/faces/Dashboard/Aire/Estado/Emisiones/estadoAireEmisiones.xhtml" TargetMode="External"/><Relationship Id="rId1" Type="http://schemas.openxmlformats.org/officeDocument/2006/relationships/hyperlink" Target="http://www.particleandfibretoxicology.com/content/7/1/29" TargetMode="External"/><Relationship Id="rId6" Type="http://schemas.openxmlformats.org/officeDocument/2006/relationships/hyperlink" Target="http://www.paho.org/col/index.php?option=com_content&amp;view=article&amp;id=2709:las-consecuencias-de-la-contaminacion-ambiental-17-millones-de-defunciones-infantiles-anuales-segun-la-oms&amp;Itemid=460" TargetMode="External"/><Relationship Id="rId5" Type="http://schemas.openxmlformats.org/officeDocument/2006/relationships/hyperlink" Target="http://documentacion.ideam.gov.co/openbiblio/bvirtual/023637/Informe_del_Estado_de_la_Calidad_del_Aire_en_Colombia_2011-2015_vfinal.pdf" TargetMode="External"/><Relationship Id="rId4" Type="http://schemas.openxmlformats.org/officeDocument/2006/relationships/hyperlink" Target="http://documentacion.ideam.gov.co/openbiblio/bvirtual/023637/Informe_del_Estado_de_la_Calidad_del_Aire_en_Colombia_2011-2015_v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9648</Words>
  <Characters>53064</Characters>
  <Application>Microsoft Office Word</Application>
  <DocSecurity>0</DocSecurity>
  <Lines>442</Lines>
  <Paragraphs>125</Paragraphs>
  <ScaleCrop>false</ScaleCrop>
  <Company/>
  <LinksUpToDate>false</LinksUpToDate>
  <CharactersWithSpaces>62587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Parra</dc:creator>
  <cp:lastModifiedBy>Carlos Parra</cp:lastModifiedBy>
  <cp:revision>2</cp:revision>
  <cp:lastPrinted>2017-09-11T22:07:00Z</cp:lastPrinted>
  <dcterms:created xsi:type="dcterms:W3CDTF">2017-09-11T22:19:00Z</dcterms:created>
  <dcterms:modified xsi:type="dcterms:W3CDTF">2017-09-11T22:19:00Z</dcterms:modified>
</cp:coreProperties>
</file>