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F1DF3" w14:textId="245993CA" w:rsidR="00BB587B" w:rsidRPr="00CD61FF" w:rsidRDefault="00BB587B" w:rsidP="00BB587B">
      <w:pPr>
        <w:spacing w:after="240"/>
        <w:jc w:val="right"/>
        <w:rPr>
          <w:rFonts w:ascii="Arial Narrow" w:hAnsi="Arial Narrow" w:cs="Arial"/>
          <w:sz w:val="24"/>
          <w:szCs w:val="24"/>
        </w:rPr>
      </w:pPr>
      <w:r w:rsidRPr="00CD61FF">
        <w:rPr>
          <w:rFonts w:ascii="Arial Narrow" w:hAnsi="Arial Narrow" w:cs="Arial"/>
          <w:sz w:val="24"/>
          <w:szCs w:val="24"/>
        </w:rPr>
        <w:t xml:space="preserve">Bogotá, D.C., </w:t>
      </w:r>
      <w:r w:rsidR="00AD6C29">
        <w:rPr>
          <w:rFonts w:ascii="Arial Narrow" w:hAnsi="Arial Narrow" w:cs="Arial"/>
          <w:sz w:val="24"/>
          <w:szCs w:val="24"/>
        </w:rPr>
        <w:t>agosto</w:t>
      </w:r>
      <w:r w:rsidRPr="00CD61FF">
        <w:rPr>
          <w:rFonts w:ascii="Arial Narrow" w:hAnsi="Arial Narrow" w:cs="Arial"/>
          <w:sz w:val="24"/>
          <w:szCs w:val="24"/>
        </w:rPr>
        <w:t xml:space="preserve"> de 2025</w:t>
      </w:r>
    </w:p>
    <w:p w14:paraId="72DCF247" w14:textId="77777777" w:rsidR="00BB587B" w:rsidRPr="00CD61FF" w:rsidRDefault="00BB587B" w:rsidP="00BB587B">
      <w:pPr>
        <w:pStyle w:val="Sinespaciado"/>
        <w:rPr>
          <w:rFonts w:ascii="Arial Narrow" w:hAnsi="Arial Narrow" w:cs="Arial"/>
          <w:sz w:val="24"/>
          <w:szCs w:val="24"/>
        </w:rPr>
      </w:pPr>
      <w:r w:rsidRPr="00CD61FF">
        <w:rPr>
          <w:rFonts w:ascii="Arial Narrow" w:hAnsi="Arial Narrow" w:cs="Arial"/>
          <w:sz w:val="24"/>
          <w:szCs w:val="24"/>
        </w:rPr>
        <w:t xml:space="preserve">Doctor </w:t>
      </w:r>
    </w:p>
    <w:p w14:paraId="2147896D" w14:textId="77777777" w:rsidR="00BB587B" w:rsidRPr="00CD61FF" w:rsidRDefault="00BB587B" w:rsidP="00BB587B">
      <w:pPr>
        <w:pStyle w:val="Sinespaciado"/>
        <w:rPr>
          <w:rFonts w:ascii="Arial Narrow" w:hAnsi="Arial Narrow" w:cs="Arial"/>
          <w:b/>
          <w:bCs/>
          <w:sz w:val="24"/>
          <w:szCs w:val="24"/>
        </w:rPr>
      </w:pPr>
      <w:r w:rsidRPr="00CD61FF">
        <w:rPr>
          <w:rFonts w:ascii="Arial Narrow" w:hAnsi="Arial Narrow" w:cs="Arial"/>
          <w:b/>
          <w:bCs/>
          <w:sz w:val="24"/>
          <w:szCs w:val="24"/>
        </w:rPr>
        <w:t>JAIME LUIS LACOTURE PEÑALOZA</w:t>
      </w:r>
    </w:p>
    <w:p w14:paraId="506FE932" w14:textId="77777777" w:rsidR="00BB587B" w:rsidRPr="00CD61FF" w:rsidRDefault="00BB587B" w:rsidP="00BB587B">
      <w:pPr>
        <w:pStyle w:val="Sinespaciado"/>
        <w:rPr>
          <w:rFonts w:ascii="Arial Narrow" w:hAnsi="Arial Narrow" w:cs="Arial"/>
          <w:sz w:val="24"/>
          <w:szCs w:val="24"/>
        </w:rPr>
      </w:pPr>
      <w:r w:rsidRPr="00CD61FF">
        <w:rPr>
          <w:rFonts w:ascii="Arial Narrow" w:hAnsi="Arial Narrow" w:cs="Arial"/>
          <w:sz w:val="24"/>
          <w:szCs w:val="24"/>
          <w:lang w:eastAsia="es-CO"/>
        </w:rPr>
        <w:t xml:space="preserve">Secretario General </w:t>
      </w:r>
    </w:p>
    <w:p w14:paraId="705211C1" w14:textId="77777777" w:rsidR="00BB587B" w:rsidRPr="00CD61FF" w:rsidRDefault="00BB587B" w:rsidP="00BB587B">
      <w:pPr>
        <w:pStyle w:val="Sinespaciado"/>
        <w:rPr>
          <w:rFonts w:ascii="Arial Narrow" w:hAnsi="Arial Narrow" w:cs="Arial"/>
          <w:sz w:val="24"/>
          <w:szCs w:val="24"/>
        </w:rPr>
      </w:pPr>
      <w:r w:rsidRPr="00CD61FF">
        <w:rPr>
          <w:rFonts w:ascii="Arial Narrow" w:hAnsi="Arial Narrow" w:cs="Arial"/>
          <w:sz w:val="24"/>
          <w:szCs w:val="24"/>
        </w:rPr>
        <w:t>Cámara de Representantes</w:t>
      </w:r>
    </w:p>
    <w:p w14:paraId="17801D37" w14:textId="77777777" w:rsidR="00BB587B" w:rsidRPr="00CD61FF" w:rsidRDefault="00BB587B" w:rsidP="00BB587B">
      <w:pPr>
        <w:pStyle w:val="Sinespaciado"/>
        <w:spacing w:after="240" w:line="360" w:lineRule="auto"/>
        <w:rPr>
          <w:rFonts w:ascii="Arial Narrow" w:hAnsi="Arial Narrow" w:cs="Arial"/>
          <w:b/>
          <w:bCs/>
          <w:sz w:val="24"/>
          <w:szCs w:val="24"/>
        </w:rPr>
      </w:pPr>
      <w:r w:rsidRPr="00CD61FF">
        <w:rPr>
          <w:rFonts w:ascii="Arial Narrow" w:hAnsi="Arial Narrow" w:cs="Arial"/>
          <w:b/>
          <w:bCs/>
          <w:sz w:val="24"/>
          <w:szCs w:val="24"/>
        </w:rPr>
        <w:t>E.S.D.</w:t>
      </w:r>
    </w:p>
    <w:p w14:paraId="28ED8373" w14:textId="77777777" w:rsidR="00BB587B" w:rsidRPr="00CD61FF" w:rsidRDefault="00BB587B" w:rsidP="00BB587B">
      <w:pPr>
        <w:pStyle w:val="Sinespaciado"/>
        <w:spacing w:after="240" w:line="360" w:lineRule="auto"/>
        <w:rPr>
          <w:rFonts w:ascii="Arial Narrow" w:hAnsi="Arial Narrow" w:cs="Arial"/>
          <w:sz w:val="24"/>
          <w:szCs w:val="24"/>
        </w:rPr>
      </w:pPr>
    </w:p>
    <w:p w14:paraId="3AD89CA8" w14:textId="6BA928F8" w:rsidR="00BB587B" w:rsidRPr="00CD61FF" w:rsidRDefault="00BB587B" w:rsidP="00BB587B">
      <w:pPr>
        <w:spacing w:after="240"/>
        <w:rPr>
          <w:rFonts w:ascii="Arial Narrow" w:hAnsi="Arial Narrow" w:cs="Arial"/>
          <w:sz w:val="24"/>
          <w:szCs w:val="24"/>
          <w:bdr w:val="none" w:sz="0" w:space="0" w:color="auto" w:frame="1"/>
          <w:shd w:val="clear" w:color="auto" w:fill="FFFFFF"/>
        </w:rPr>
      </w:pPr>
      <w:r w:rsidRPr="00CD61FF">
        <w:rPr>
          <w:rFonts w:ascii="Arial Narrow" w:hAnsi="Arial Narrow" w:cs="Arial"/>
          <w:b/>
          <w:bCs/>
          <w:sz w:val="24"/>
          <w:szCs w:val="24"/>
        </w:rPr>
        <w:t>REFERENCIA:</w:t>
      </w:r>
      <w:r w:rsidRPr="00CD61FF">
        <w:rPr>
          <w:rFonts w:ascii="Arial Narrow" w:hAnsi="Arial Narrow" w:cs="Arial"/>
          <w:sz w:val="24"/>
          <w:szCs w:val="24"/>
        </w:rPr>
        <w:t xml:space="preserve"> Proyecto de ley Orgánica para radicación (texto y justificación). </w:t>
      </w:r>
    </w:p>
    <w:p w14:paraId="22FEB69E" w14:textId="77777777" w:rsidR="00BB587B" w:rsidRPr="00CD61FF" w:rsidRDefault="00BB587B" w:rsidP="00BB587B">
      <w:pPr>
        <w:spacing w:after="240"/>
        <w:rPr>
          <w:rFonts w:ascii="Arial Narrow" w:hAnsi="Arial Narrow" w:cs="Arial"/>
          <w:sz w:val="24"/>
          <w:szCs w:val="24"/>
        </w:rPr>
      </w:pPr>
      <w:r w:rsidRPr="00CD61FF">
        <w:rPr>
          <w:rFonts w:ascii="Arial Narrow" w:hAnsi="Arial Narrow" w:cs="Arial"/>
          <w:sz w:val="24"/>
          <w:szCs w:val="24"/>
        </w:rPr>
        <w:t>Honorable Secretario General,</w:t>
      </w:r>
    </w:p>
    <w:p w14:paraId="20B0A038" w14:textId="5E42AE23" w:rsidR="00BB587B" w:rsidRPr="00CD61FF" w:rsidRDefault="00BB587B" w:rsidP="00BB587B">
      <w:pPr>
        <w:spacing w:after="240"/>
        <w:rPr>
          <w:rFonts w:ascii="Arial Narrow" w:hAnsi="Arial Narrow" w:cs="Arial"/>
          <w:b/>
          <w:i/>
          <w:iCs/>
          <w:sz w:val="20"/>
          <w:szCs w:val="20"/>
        </w:rPr>
      </w:pPr>
      <w:r w:rsidRPr="00CD61FF">
        <w:rPr>
          <w:rFonts w:ascii="Arial Narrow" w:hAnsi="Arial Narrow" w:cs="Arial"/>
          <w:sz w:val="24"/>
          <w:szCs w:val="24"/>
        </w:rPr>
        <w:t>En virtud del artículo 150 y 154 de la Constitución Política de Colombia, el artículo 6° numeral 2°, 139, 140, 145, de la ley 5° de 1992, me permito radicar ante la Secretaría General de la Cámara de Representantes el siguiente proyecto de ley “</w:t>
      </w:r>
      <w:r w:rsidR="00BB3C9B" w:rsidRPr="00CD61FF">
        <w:rPr>
          <w:rFonts w:ascii="Arial Narrow" w:hAnsi="Arial Narrow" w:cs="Arial"/>
          <w:b/>
          <w:bCs/>
          <w:i/>
          <w:iCs/>
          <w:sz w:val="24"/>
          <w:szCs w:val="24"/>
        </w:rPr>
        <w:t>POR MEDIO DE LA CUAL SE</w:t>
      </w:r>
      <w:r w:rsidR="00BB3C9B" w:rsidRPr="00CD61FF">
        <w:rPr>
          <w:rFonts w:ascii="Arial Narrow" w:hAnsi="Arial Narrow"/>
          <w:b/>
          <w:bCs/>
          <w:i/>
          <w:iCs/>
          <w:sz w:val="24"/>
          <w:szCs w:val="24"/>
        </w:rPr>
        <w:t xml:space="preserve"> ADICIONA UN PARÁGRAFO AL ARTÍCULO 261 DE LA LEY 5º DE 1992, SE </w:t>
      </w:r>
      <w:r w:rsidR="00BB3C9B" w:rsidRPr="00CD61FF">
        <w:rPr>
          <w:rFonts w:ascii="Arial Narrow" w:hAnsi="Arial Narrow" w:cs="Arial"/>
          <w:b/>
          <w:bCs/>
          <w:i/>
          <w:iCs/>
          <w:sz w:val="24"/>
          <w:szCs w:val="24"/>
        </w:rPr>
        <w:t>FORTALECE LA MOCIÓN DE OBSERVACIÓN</w:t>
      </w:r>
      <w:r w:rsidR="00BB3C9B" w:rsidRPr="00CD61FF">
        <w:rPr>
          <w:rFonts w:ascii="Arial Narrow" w:hAnsi="Arial Narrow" w:cs="Arial"/>
          <w:b/>
          <w:i/>
          <w:iCs/>
          <w:sz w:val="24"/>
          <w:szCs w:val="24"/>
        </w:rPr>
        <w:t xml:space="preserve"> Y SE DICTAN OTRAS DISPOSICIONES</w:t>
      </w:r>
      <w:r w:rsidRPr="00CD61FF">
        <w:rPr>
          <w:rFonts w:ascii="Arial Narrow" w:hAnsi="Arial Narrow" w:cs="Arial"/>
          <w:b/>
          <w:i/>
          <w:iCs/>
          <w:sz w:val="24"/>
          <w:szCs w:val="24"/>
        </w:rPr>
        <w:t>”</w:t>
      </w:r>
    </w:p>
    <w:p w14:paraId="32FF4F7F" w14:textId="77777777" w:rsidR="00BB587B" w:rsidRPr="00CD61FF" w:rsidRDefault="00BB587B" w:rsidP="00BB587B">
      <w:pPr>
        <w:spacing w:after="240"/>
        <w:rPr>
          <w:rFonts w:ascii="Arial Narrow" w:hAnsi="Arial Narrow" w:cs="Arial"/>
          <w:sz w:val="24"/>
          <w:szCs w:val="24"/>
        </w:rPr>
      </w:pPr>
      <w:r w:rsidRPr="00CD61FF">
        <w:rPr>
          <w:rFonts w:ascii="Arial Narrow" w:hAnsi="Arial Narrow" w:cs="Arial"/>
          <w:sz w:val="24"/>
          <w:szCs w:val="24"/>
        </w:rPr>
        <w:t xml:space="preserve">Por lo anterior, se solicita darle el trámite correspondiente indicado en el artículo 144 y siguientes de la ley 5° de 1992. </w:t>
      </w:r>
    </w:p>
    <w:p w14:paraId="33F037BF" w14:textId="5395A7BB" w:rsidR="00BB587B" w:rsidRPr="00CD61FF" w:rsidRDefault="00BB587B" w:rsidP="00BB587B">
      <w:pPr>
        <w:spacing w:after="240"/>
        <w:rPr>
          <w:rFonts w:ascii="Arial Narrow" w:eastAsia="Arial" w:hAnsi="Arial Narrow" w:cs="Arial"/>
          <w:sz w:val="24"/>
          <w:szCs w:val="24"/>
        </w:rPr>
      </w:pPr>
      <w:r w:rsidRPr="00CD61FF">
        <w:rPr>
          <w:rFonts w:ascii="Arial Narrow" w:eastAsia="Arial" w:hAnsi="Arial Narrow" w:cs="Arial"/>
          <w:sz w:val="24"/>
          <w:szCs w:val="24"/>
        </w:rPr>
        <w:t xml:space="preserve">Atentamente, </w:t>
      </w:r>
    </w:p>
    <w:p w14:paraId="219770DB" w14:textId="77777777" w:rsidR="00BB587B" w:rsidRPr="00CD61FF" w:rsidRDefault="00BB587B" w:rsidP="00BB587B">
      <w:pPr>
        <w:spacing w:after="240"/>
        <w:rPr>
          <w:rFonts w:ascii="Arial Narrow" w:eastAsia="Arial" w:hAnsi="Arial Narrow" w:cs="Arial"/>
          <w:sz w:val="24"/>
          <w:szCs w:val="24"/>
        </w:rPr>
      </w:pPr>
    </w:p>
    <w:p w14:paraId="49D14C90" w14:textId="77777777" w:rsidR="00BB587B" w:rsidRPr="00CD61FF" w:rsidRDefault="00BB587B" w:rsidP="00BB587B">
      <w:pPr>
        <w:pStyle w:val="Sinespaciado"/>
        <w:jc w:val="center"/>
        <w:rPr>
          <w:rFonts w:ascii="Arial Narrow" w:hAnsi="Arial Narrow" w:cs="Arial"/>
          <w:b/>
          <w:bCs/>
          <w:sz w:val="24"/>
          <w:szCs w:val="24"/>
        </w:rPr>
      </w:pPr>
      <w:r w:rsidRPr="00CD61FF">
        <w:rPr>
          <w:rFonts w:ascii="Arial Narrow" w:hAnsi="Arial Narrow" w:cs="Arial"/>
          <w:b/>
          <w:bCs/>
          <w:sz w:val="24"/>
          <w:szCs w:val="24"/>
        </w:rPr>
        <w:t>JHON JAIRO BERRIO LÓPEZ</w:t>
      </w:r>
    </w:p>
    <w:p w14:paraId="7D730354" w14:textId="68ACE35D" w:rsidR="00BB587B" w:rsidRPr="00CD61FF" w:rsidRDefault="00BB587B" w:rsidP="00BB587B">
      <w:pPr>
        <w:pStyle w:val="Sinespaciado"/>
        <w:jc w:val="center"/>
        <w:rPr>
          <w:rFonts w:ascii="Arial Narrow" w:hAnsi="Arial Narrow" w:cs="Arial"/>
          <w:sz w:val="24"/>
          <w:szCs w:val="24"/>
        </w:rPr>
      </w:pPr>
      <w:r w:rsidRPr="00CD61FF">
        <w:rPr>
          <w:rFonts w:ascii="Arial Narrow" w:hAnsi="Arial Narrow" w:cs="Arial"/>
          <w:sz w:val="24"/>
          <w:szCs w:val="24"/>
        </w:rPr>
        <w:t>Miembro de la Cámara de Representantes</w:t>
      </w:r>
    </w:p>
    <w:p w14:paraId="22B3F621" w14:textId="27329663" w:rsidR="00BB587B" w:rsidRPr="00CD61FF" w:rsidRDefault="00BB587B" w:rsidP="00BB587B">
      <w:pPr>
        <w:pStyle w:val="Sinespaciado"/>
        <w:jc w:val="center"/>
        <w:rPr>
          <w:rFonts w:ascii="Arial Narrow" w:hAnsi="Arial Narrow" w:cs="Arial"/>
          <w:sz w:val="24"/>
          <w:szCs w:val="24"/>
        </w:rPr>
      </w:pPr>
      <w:r w:rsidRPr="00CD61FF">
        <w:rPr>
          <w:rFonts w:ascii="Arial Narrow" w:hAnsi="Arial Narrow" w:cs="Arial"/>
          <w:sz w:val="24"/>
          <w:szCs w:val="24"/>
        </w:rPr>
        <w:t>Congreso de la República de Colombia</w:t>
      </w:r>
    </w:p>
    <w:p w14:paraId="4053B79C" w14:textId="77777777" w:rsidR="00BB587B" w:rsidRPr="00CD61FF" w:rsidRDefault="00BB587B" w:rsidP="00BB587B">
      <w:pPr>
        <w:pStyle w:val="Sinespaciado"/>
        <w:spacing w:after="240" w:line="360" w:lineRule="auto"/>
        <w:jc w:val="center"/>
        <w:rPr>
          <w:rFonts w:ascii="Arial Narrow" w:hAnsi="Arial Narrow" w:cs="Arial"/>
          <w:sz w:val="24"/>
          <w:szCs w:val="24"/>
        </w:rPr>
      </w:pPr>
    </w:p>
    <w:p w14:paraId="2F6243C8" w14:textId="77777777" w:rsidR="00BB587B" w:rsidRPr="00CD61FF" w:rsidRDefault="00BB587B" w:rsidP="00CD61FF">
      <w:pPr>
        <w:pStyle w:val="Sinespaciado"/>
        <w:spacing w:after="240" w:line="360" w:lineRule="auto"/>
        <w:rPr>
          <w:rFonts w:ascii="Arial Narrow" w:hAnsi="Arial Narrow" w:cs="Arial"/>
          <w:sz w:val="24"/>
          <w:szCs w:val="24"/>
        </w:rPr>
      </w:pPr>
    </w:p>
    <w:p w14:paraId="67CF24D9" w14:textId="77777777" w:rsidR="00BB587B" w:rsidRPr="00CD61FF" w:rsidRDefault="00BB587B" w:rsidP="00BB587B">
      <w:pPr>
        <w:pStyle w:val="Prrafodelista"/>
        <w:numPr>
          <w:ilvl w:val="0"/>
          <w:numId w:val="1"/>
        </w:numPr>
        <w:spacing w:after="240"/>
        <w:jc w:val="center"/>
        <w:rPr>
          <w:rFonts w:ascii="Arial Narrow" w:hAnsi="Arial Narrow" w:cs="Arial"/>
          <w:b/>
          <w:bCs/>
          <w:sz w:val="24"/>
          <w:szCs w:val="24"/>
        </w:rPr>
      </w:pPr>
      <w:r w:rsidRPr="00CD61FF">
        <w:rPr>
          <w:rFonts w:ascii="Arial Narrow" w:hAnsi="Arial Narrow" w:cs="Arial"/>
          <w:b/>
          <w:bCs/>
          <w:sz w:val="24"/>
          <w:szCs w:val="24"/>
        </w:rPr>
        <w:lastRenderedPageBreak/>
        <w:t>TEXTO PROPUESTO</w:t>
      </w:r>
    </w:p>
    <w:p w14:paraId="10C586D4" w14:textId="07F4D05E" w:rsidR="00BB587B" w:rsidRPr="00CD61FF" w:rsidRDefault="00BB587B" w:rsidP="00BB587B">
      <w:pPr>
        <w:spacing w:after="240"/>
        <w:jc w:val="center"/>
        <w:rPr>
          <w:rFonts w:ascii="Arial Narrow" w:hAnsi="Arial Narrow" w:cs="Arial"/>
          <w:b/>
          <w:bCs/>
          <w:sz w:val="24"/>
          <w:szCs w:val="24"/>
        </w:rPr>
      </w:pPr>
      <w:r w:rsidRPr="00CD61FF">
        <w:rPr>
          <w:rFonts w:ascii="Arial Narrow" w:hAnsi="Arial Narrow" w:cs="Arial"/>
          <w:b/>
          <w:bCs/>
          <w:sz w:val="24"/>
          <w:szCs w:val="24"/>
        </w:rPr>
        <w:t>PROYECTO DE LEY ORGANICA NO. ____ DE 2025</w:t>
      </w:r>
    </w:p>
    <w:p w14:paraId="3B183976" w14:textId="2B61359E" w:rsidR="00CD61FF" w:rsidRPr="00CD61FF" w:rsidRDefault="00CD61FF" w:rsidP="00BB587B">
      <w:pPr>
        <w:spacing w:after="240"/>
        <w:jc w:val="center"/>
        <w:rPr>
          <w:rFonts w:ascii="Arial Narrow" w:hAnsi="Arial Narrow" w:cs="Arial"/>
          <w:b/>
          <w:bCs/>
          <w:sz w:val="24"/>
          <w:szCs w:val="24"/>
        </w:rPr>
      </w:pPr>
      <w:r w:rsidRPr="00CD61FF">
        <w:rPr>
          <w:rFonts w:ascii="Arial Narrow" w:hAnsi="Arial Narrow" w:cs="Arial"/>
          <w:b/>
          <w:bCs/>
          <w:i/>
          <w:iCs/>
          <w:sz w:val="20"/>
          <w:szCs w:val="20"/>
        </w:rPr>
        <w:t>POR MEDIO DE LA CUAL SE</w:t>
      </w:r>
      <w:r w:rsidRPr="00CD61FF">
        <w:rPr>
          <w:rFonts w:ascii="Arial Narrow" w:hAnsi="Arial Narrow"/>
          <w:b/>
          <w:bCs/>
          <w:i/>
          <w:iCs/>
          <w:sz w:val="20"/>
          <w:szCs w:val="20"/>
        </w:rPr>
        <w:t xml:space="preserve"> ADICIONA UN PARÁGRAFO AL ARTÍCULO 261 DE LA LEY 5º DE 1992, SE </w:t>
      </w:r>
      <w:r w:rsidRPr="00CD61FF">
        <w:rPr>
          <w:rFonts w:ascii="Arial Narrow" w:hAnsi="Arial Narrow" w:cs="Arial"/>
          <w:b/>
          <w:bCs/>
          <w:i/>
          <w:iCs/>
          <w:sz w:val="20"/>
          <w:szCs w:val="20"/>
        </w:rPr>
        <w:t>FORTALECE LA MOCIÓN DE OBSERVACIÓN</w:t>
      </w:r>
      <w:r w:rsidRPr="00CD61FF">
        <w:rPr>
          <w:rFonts w:ascii="Arial Narrow" w:hAnsi="Arial Narrow" w:cs="Arial"/>
          <w:b/>
          <w:i/>
          <w:iCs/>
          <w:sz w:val="20"/>
          <w:szCs w:val="24"/>
        </w:rPr>
        <w:t xml:space="preserve"> Y SE DICTAN OTRAS DISPOSICIONES</w:t>
      </w:r>
    </w:p>
    <w:p w14:paraId="62E301AA" w14:textId="17D82490" w:rsidR="00CD61FF" w:rsidRPr="00CD61FF" w:rsidRDefault="00CD61FF" w:rsidP="00CD61FF">
      <w:pPr>
        <w:pStyle w:val="NormalWeb"/>
        <w:spacing w:before="0" w:beforeAutospacing="0" w:after="240" w:afterAutospacing="0" w:line="360" w:lineRule="auto"/>
        <w:jc w:val="center"/>
        <w:rPr>
          <w:rFonts w:ascii="Arial Narrow" w:hAnsi="Arial Narrow"/>
          <w:b/>
          <w:bCs/>
          <w:lang w:val="es-CO"/>
        </w:rPr>
      </w:pPr>
      <w:r w:rsidRPr="00CD61FF">
        <w:rPr>
          <w:rFonts w:ascii="Arial Narrow" w:hAnsi="Arial Narrow"/>
          <w:b/>
          <w:bCs/>
          <w:lang w:val="es-CO"/>
        </w:rPr>
        <w:t>EL CONGRESO DE COLOMBIA,</w:t>
      </w:r>
    </w:p>
    <w:p w14:paraId="39C3B731" w14:textId="77777777" w:rsidR="00CD61FF" w:rsidRPr="00CD61FF" w:rsidRDefault="00CD61FF" w:rsidP="00CD61FF">
      <w:pPr>
        <w:spacing w:after="240"/>
        <w:jc w:val="center"/>
        <w:rPr>
          <w:rFonts w:ascii="Arial Narrow" w:eastAsia="Times New Roman" w:hAnsi="Arial Narrow" w:cs="Times New Roman"/>
          <w:b/>
          <w:bCs/>
          <w:sz w:val="24"/>
          <w:szCs w:val="24"/>
        </w:rPr>
      </w:pPr>
      <w:r w:rsidRPr="00CD61FF">
        <w:rPr>
          <w:rFonts w:ascii="Arial Narrow" w:eastAsia="Times New Roman" w:hAnsi="Arial Narrow" w:cs="Times New Roman"/>
          <w:b/>
          <w:bCs/>
          <w:sz w:val="24"/>
          <w:szCs w:val="24"/>
        </w:rPr>
        <w:t>DECRETA</w:t>
      </w:r>
    </w:p>
    <w:p w14:paraId="2457A3E0" w14:textId="77777777" w:rsidR="00CD61FF" w:rsidRPr="00CD61FF" w:rsidRDefault="00CD61FF" w:rsidP="00CD61FF">
      <w:pPr>
        <w:spacing w:after="240"/>
        <w:rPr>
          <w:rFonts w:ascii="Arial Narrow" w:eastAsia="Times New Roman" w:hAnsi="Arial Narrow" w:cs="Times New Roman"/>
          <w:sz w:val="24"/>
          <w:szCs w:val="24"/>
        </w:rPr>
      </w:pPr>
      <w:r w:rsidRPr="00CD61FF">
        <w:rPr>
          <w:rFonts w:ascii="Arial Narrow" w:eastAsia="Times New Roman" w:hAnsi="Arial Narrow" w:cs="Times New Roman"/>
          <w:b/>
          <w:bCs/>
          <w:sz w:val="24"/>
          <w:szCs w:val="24"/>
        </w:rPr>
        <w:t>ARTÍCULO 1: OBJETO.</w:t>
      </w:r>
      <w:r w:rsidRPr="00CD61FF">
        <w:rPr>
          <w:rFonts w:ascii="Arial Narrow" w:eastAsia="Times New Roman" w:hAnsi="Arial Narrow" w:cs="Times New Roman"/>
          <w:sz w:val="24"/>
          <w:szCs w:val="24"/>
        </w:rPr>
        <w:t xml:space="preserve"> El objeto de la presente ley es adicionar un parágrafo al artículo 261 de la ley 5° de 1992 con el ánimo de fortalecer mecanismos de control político establecidos en el numeral 3° del artículo 6° de la ley 5° de 1992.</w:t>
      </w:r>
    </w:p>
    <w:p w14:paraId="51369061" w14:textId="77777777" w:rsidR="00CD61FF" w:rsidRPr="00CD61FF" w:rsidRDefault="00CD61FF" w:rsidP="00CD61FF">
      <w:pPr>
        <w:spacing w:after="240"/>
        <w:rPr>
          <w:rFonts w:ascii="Arial Narrow" w:eastAsia="Times New Roman" w:hAnsi="Arial Narrow" w:cs="Times New Roman"/>
          <w:sz w:val="24"/>
          <w:szCs w:val="24"/>
        </w:rPr>
      </w:pPr>
      <w:r w:rsidRPr="00CD61FF">
        <w:rPr>
          <w:rFonts w:ascii="Arial Narrow" w:eastAsia="Times New Roman" w:hAnsi="Arial Narrow" w:cs="Times New Roman"/>
          <w:b/>
          <w:bCs/>
          <w:sz w:val="24"/>
          <w:szCs w:val="24"/>
        </w:rPr>
        <w:t>ARTÍCULO 2:</w:t>
      </w:r>
      <w:r w:rsidRPr="00CD61FF">
        <w:rPr>
          <w:rFonts w:ascii="Arial Narrow" w:eastAsia="Times New Roman" w:hAnsi="Arial Narrow" w:cs="Times New Roman"/>
          <w:sz w:val="24"/>
          <w:szCs w:val="24"/>
        </w:rPr>
        <w:t xml:space="preserve"> Adiciónese un parágrafo al artículo 261 de la ley 5° de 1992 el cual quedará así:</w:t>
      </w:r>
    </w:p>
    <w:p w14:paraId="354DC86F" w14:textId="457ABE5F" w:rsidR="00CD61FF" w:rsidRPr="00AD6C29" w:rsidRDefault="00CD61FF" w:rsidP="00AD6C29">
      <w:pPr>
        <w:spacing w:after="240"/>
        <w:ind w:left="720"/>
        <w:rPr>
          <w:rFonts w:ascii="Arial Narrow" w:eastAsia="Times New Roman" w:hAnsi="Arial Narrow" w:cs="Times New Roman"/>
          <w:i/>
          <w:sz w:val="24"/>
          <w:szCs w:val="24"/>
        </w:rPr>
      </w:pPr>
      <w:r w:rsidRPr="00AD6C29">
        <w:rPr>
          <w:rFonts w:ascii="Arial Narrow" w:eastAsia="Times New Roman" w:hAnsi="Arial Narrow" w:cs="Times New Roman"/>
          <w:b/>
          <w:bCs/>
          <w:i/>
          <w:sz w:val="24"/>
          <w:szCs w:val="24"/>
        </w:rPr>
        <w:t>PARÁGRAFO:</w:t>
      </w:r>
      <w:r w:rsidRPr="00AD6C29">
        <w:rPr>
          <w:rFonts w:ascii="Arial Narrow" w:eastAsia="Times New Roman" w:hAnsi="Arial Narrow" w:cs="Times New Roman"/>
          <w:i/>
          <w:sz w:val="24"/>
          <w:szCs w:val="24"/>
        </w:rPr>
        <w:t xml:space="preserve"> La moción de observación procederá respecto de los funcionarios señalados en el artículo 233 de la presente ley, y el procedimiento será el siguiente:</w:t>
      </w:r>
    </w:p>
    <w:p w14:paraId="040F1315" w14:textId="7D110305" w:rsidR="00CD61FF" w:rsidRPr="00AD6C29" w:rsidRDefault="00CD61FF" w:rsidP="00AD6C29">
      <w:pPr>
        <w:spacing w:after="240"/>
        <w:ind w:left="720"/>
        <w:rPr>
          <w:rFonts w:ascii="Arial Narrow" w:eastAsia="Times New Roman" w:hAnsi="Arial Narrow" w:cs="Times New Roman"/>
          <w:i/>
          <w:sz w:val="24"/>
          <w:szCs w:val="24"/>
        </w:rPr>
      </w:pPr>
      <w:r w:rsidRPr="00AD6C29">
        <w:rPr>
          <w:rFonts w:ascii="Arial Narrow" w:eastAsia="Times New Roman" w:hAnsi="Arial Narrow" w:cs="Times New Roman"/>
          <w:b/>
          <w:bCs/>
          <w:i/>
          <w:sz w:val="24"/>
          <w:szCs w:val="24"/>
        </w:rPr>
        <w:t>1. Proposición:</w:t>
      </w:r>
      <w:r w:rsidRPr="00AD6C29">
        <w:rPr>
          <w:rFonts w:ascii="Arial Narrow" w:eastAsia="Times New Roman" w:hAnsi="Arial Narrow" w:cs="Times New Roman"/>
          <w:i/>
          <w:sz w:val="24"/>
          <w:szCs w:val="24"/>
        </w:rPr>
        <w:t xml:space="preserve"> Un funcionario sólo podrá ser citado a moción de observación por no presentarse sin excusa válida o si dicha excusa es rechazada por mayoría en la Comisión Constitucional respectiva o en la Plenaria, la citación se realizará mediante una proposición dirigida a la mesa directiva de la Célula Legislativa correspondiente</w:t>
      </w:r>
    </w:p>
    <w:p w14:paraId="515BCE6A" w14:textId="77DACA0E" w:rsidR="00CD61FF" w:rsidRPr="00AD6C29" w:rsidRDefault="00CD61FF" w:rsidP="00AD6C29">
      <w:pPr>
        <w:spacing w:after="240"/>
        <w:ind w:left="720"/>
        <w:rPr>
          <w:rFonts w:ascii="Arial Narrow" w:eastAsia="Times New Roman" w:hAnsi="Arial Narrow" w:cs="Times New Roman"/>
          <w:i/>
          <w:sz w:val="24"/>
          <w:szCs w:val="24"/>
        </w:rPr>
      </w:pPr>
      <w:r w:rsidRPr="00AD6C29">
        <w:rPr>
          <w:rFonts w:ascii="Arial Narrow" w:eastAsia="Times New Roman" w:hAnsi="Arial Narrow" w:cs="Times New Roman"/>
          <w:b/>
          <w:bCs/>
          <w:i/>
          <w:sz w:val="24"/>
          <w:szCs w:val="24"/>
        </w:rPr>
        <w:t>2. Comunicación de la Moción:</w:t>
      </w:r>
      <w:r w:rsidRPr="00AD6C29">
        <w:rPr>
          <w:rFonts w:ascii="Arial Narrow" w:eastAsia="Times New Roman" w:hAnsi="Arial Narrow" w:cs="Times New Roman"/>
          <w:i/>
          <w:sz w:val="24"/>
          <w:szCs w:val="24"/>
        </w:rPr>
        <w:t xml:space="preserve"> Aprobada la moción de observación por mayoría simple de la plenaria de la respectiva cámara o comisión, el Presidente de la misma comunicará la decisión a los miembros de la misma y enviará un oficio al Presidente de la República y a la Procuraduría General de la Nación en un término improrrogable de 8 días para los fines pertinentes, además, se informará al funcionario o funcionarios involucrados sobre los cargos que sustentan la moción y la obligatoriedad de su</w:t>
      </w:r>
      <w:bookmarkStart w:id="0" w:name="_GoBack"/>
      <w:bookmarkEnd w:id="0"/>
      <w:r w:rsidRPr="00AD6C29">
        <w:rPr>
          <w:rFonts w:ascii="Arial Narrow" w:eastAsia="Times New Roman" w:hAnsi="Arial Narrow" w:cs="Times New Roman"/>
          <w:i/>
          <w:sz w:val="24"/>
          <w:szCs w:val="24"/>
        </w:rPr>
        <w:t xml:space="preserve"> asistencia a la sesión correspondiente.</w:t>
      </w:r>
    </w:p>
    <w:p w14:paraId="4A0AA4C7" w14:textId="77777777" w:rsidR="00CD61FF" w:rsidRPr="00AD6C29" w:rsidRDefault="00CD61FF" w:rsidP="00AD6C29">
      <w:pPr>
        <w:spacing w:after="240"/>
        <w:ind w:left="720"/>
        <w:rPr>
          <w:rFonts w:ascii="Arial Narrow" w:eastAsia="Times New Roman" w:hAnsi="Arial Narrow" w:cs="Times New Roman"/>
          <w:i/>
          <w:sz w:val="24"/>
          <w:szCs w:val="24"/>
        </w:rPr>
      </w:pPr>
      <w:r w:rsidRPr="00AD6C29">
        <w:rPr>
          <w:rFonts w:ascii="Arial Narrow" w:eastAsia="Times New Roman" w:hAnsi="Arial Narrow" w:cs="Times New Roman"/>
          <w:b/>
          <w:bCs/>
          <w:i/>
          <w:sz w:val="24"/>
          <w:szCs w:val="24"/>
        </w:rPr>
        <w:lastRenderedPageBreak/>
        <w:t>3. Fijación de Fecha y Hora:</w:t>
      </w:r>
      <w:r w:rsidRPr="00AD6C29">
        <w:rPr>
          <w:rFonts w:ascii="Arial Narrow" w:eastAsia="Times New Roman" w:hAnsi="Arial Narrow" w:cs="Times New Roman"/>
          <w:i/>
          <w:sz w:val="24"/>
          <w:szCs w:val="24"/>
        </w:rPr>
        <w:t xml:space="preserve"> Una vez aprobada la moción de observación, se establecerá la fecha y hora para la realización del control político correspondiente. Esta sesión se llevará a cabo entre el tercer y décimo día posterior a la aprobación de la moción. El funcionario citado deberá responder oralmente a las preguntas planteadas.</w:t>
      </w:r>
    </w:p>
    <w:p w14:paraId="15605231" w14:textId="77777777" w:rsidR="00CD61FF" w:rsidRPr="00CD61FF" w:rsidRDefault="00CD61FF" w:rsidP="00CD61FF">
      <w:pPr>
        <w:spacing w:after="240"/>
        <w:rPr>
          <w:rFonts w:ascii="Arial Narrow" w:eastAsia="Times New Roman" w:hAnsi="Arial Narrow" w:cs="Times New Roman"/>
          <w:sz w:val="24"/>
          <w:szCs w:val="24"/>
        </w:rPr>
      </w:pPr>
      <w:r w:rsidRPr="00CD61FF">
        <w:rPr>
          <w:rFonts w:ascii="Arial Narrow" w:eastAsia="Times New Roman" w:hAnsi="Arial Narrow" w:cs="Times New Roman"/>
          <w:b/>
          <w:bCs/>
          <w:sz w:val="24"/>
          <w:szCs w:val="24"/>
        </w:rPr>
        <w:t>ARTÍCULO 3. VIGENCIA.</w:t>
      </w:r>
      <w:r w:rsidRPr="00CD61FF">
        <w:rPr>
          <w:rFonts w:ascii="Arial Narrow" w:eastAsia="Times New Roman" w:hAnsi="Arial Narrow" w:cs="Times New Roman"/>
          <w:sz w:val="24"/>
          <w:szCs w:val="24"/>
        </w:rPr>
        <w:t xml:space="preserve"> La presente ley rige a partir de la fecha de su promulgación.</w:t>
      </w:r>
    </w:p>
    <w:p w14:paraId="5E627A36" w14:textId="2B3DEADC" w:rsidR="00BB587B" w:rsidRPr="00CD61FF" w:rsidRDefault="00BB587B" w:rsidP="00CD61FF">
      <w:pPr>
        <w:spacing w:after="240" w:line="240" w:lineRule="auto"/>
        <w:jc w:val="center"/>
        <w:rPr>
          <w:rFonts w:ascii="Arial Narrow" w:hAnsi="Arial Narrow" w:cs="Arial"/>
          <w:sz w:val="24"/>
          <w:szCs w:val="24"/>
        </w:rPr>
      </w:pPr>
    </w:p>
    <w:p w14:paraId="02F74E8D" w14:textId="77777777" w:rsidR="00BB587B" w:rsidRPr="00CD61FF" w:rsidRDefault="00BB587B" w:rsidP="00BB587B">
      <w:pPr>
        <w:spacing w:after="240"/>
        <w:rPr>
          <w:rFonts w:ascii="Arial Narrow" w:hAnsi="Arial Narrow" w:cs="Arial"/>
          <w:sz w:val="24"/>
          <w:szCs w:val="24"/>
        </w:rPr>
      </w:pPr>
    </w:p>
    <w:p w14:paraId="01E56F21" w14:textId="77777777" w:rsidR="00BB587B" w:rsidRPr="00CD61FF" w:rsidRDefault="00BB587B" w:rsidP="00BB587B">
      <w:pPr>
        <w:spacing w:after="240"/>
        <w:rPr>
          <w:rFonts w:ascii="Arial Narrow" w:hAnsi="Arial Narrow" w:cs="Arial"/>
          <w:sz w:val="24"/>
          <w:szCs w:val="24"/>
        </w:rPr>
      </w:pPr>
    </w:p>
    <w:p w14:paraId="1328A6CA" w14:textId="77777777" w:rsidR="00CD61FF" w:rsidRPr="00CD61FF" w:rsidRDefault="00CD61FF" w:rsidP="00BB587B">
      <w:pPr>
        <w:spacing w:after="240"/>
        <w:rPr>
          <w:rFonts w:ascii="Arial Narrow" w:hAnsi="Arial Narrow" w:cs="Arial"/>
          <w:sz w:val="24"/>
          <w:szCs w:val="24"/>
        </w:rPr>
      </w:pPr>
    </w:p>
    <w:p w14:paraId="42F54D61" w14:textId="77777777" w:rsidR="00CD61FF" w:rsidRPr="00CD61FF" w:rsidRDefault="00CD61FF" w:rsidP="00BB587B">
      <w:pPr>
        <w:spacing w:after="240"/>
        <w:rPr>
          <w:rFonts w:ascii="Arial Narrow" w:hAnsi="Arial Narrow" w:cs="Arial"/>
          <w:sz w:val="24"/>
          <w:szCs w:val="24"/>
        </w:rPr>
      </w:pPr>
    </w:p>
    <w:p w14:paraId="214A3DEB" w14:textId="77777777" w:rsidR="00CD61FF" w:rsidRPr="00CD61FF" w:rsidRDefault="00CD61FF" w:rsidP="00BB587B">
      <w:pPr>
        <w:spacing w:after="240"/>
        <w:rPr>
          <w:rFonts w:ascii="Arial Narrow" w:hAnsi="Arial Narrow" w:cs="Arial"/>
          <w:sz w:val="24"/>
          <w:szCs w:val="24"/>
        </w:rPr>
      </w:pPr>
    </w:p>
    <w:p w14:paraId="0FD4C44A" w14:textId="77777777" w:rsidR="00CD61FF" w:rsidRPr="00CD61FF" w:rsidRDefault="00CD61FF" w:rsidP="00BB587B">
      <w:pPr>
        <w:spacing w:after="240"/>
        <w:rPr>
          <w:rFonts w:ascii="Arial Narrow" w:hAnsi="Arial Narrow" w:cs="Arial"/>
          <w:sz w:val="24"/>
          <w:szCs w:val="24"/>
        </w:rPr>
      </w:pPr>
    </w:p>
    <w:p w14:paraId="39B93E61" w14:textId="77777777" w:rsidR="00CD61FF" w:rsidRPr="00CD61FF" w:rsidRDefault="00CD61FF" w:rsidP="00BB587B">
      <w:pPr>
        <w:spacing w:after="240"/>
        <w:rPr>
          <w:rFonts w:ascii="Arial Narrow" w:hAnsi="Arial Narrow" w:cs="Arial"/>
          <w:sz w:val="24"/>
          <w:szCs w:val="24"/>
        </w:rPr>
      </w:pPr>
    </w:p>
    <w:p w14:paraId="5A658786" w14:textId="77777777" w:rsidR="00CD61FF" w:rsidRPr="00CD61FF" w:rsidRDefault="00CD61FF" w:rsidP="00BB587B">
      <w:pPr>
        <w:spacing w:after="240"/>
        <w:rPr>
          <w:rFonts w:ascii="Arial Narrow" w:hAnsi="Arial Narrow" w:cs="Arial"/>
          <w:sz w:val="24"/>
          <w:szCs w:val="24"/>
        </w:rPr>
      </w:pPr>
    </w:p>
    <w:p w14:paraId="043CCD6B" w14:textId="77777777" w:rsidR="00CD61FF" w:rsidRPr="00CD61FF" w:rsidRDefault="00CD61FF" w:rsidP="00BB587B">
      <w:pPr>
        <w:spacing w:after="240"/>
        <w:rPr>
          <w:rFonts w:ascii="Arial Narrow" w:hAnsi="Arial Narrow" w:cs="Arial"/>
          <w:sz w:val="24"/>
          <w:szCs w:val="24"/>
        </w:rPr>
      </w:pPr>
    </w:p>
    <w:p w14:paraId="6334E13E" w14:textId="77777777" w:rsidR="00CD61FF" w:rsidRPr="00CD61FF" w:rsidRDefault="00CD61FF" w:rsidP="00BB587B">
      <w:pPr>
        <w:spacing w:after="240"/>
        <w:rPr>
          <w:rFonts w:ascii="Arial Narrow" w:hAnsi="Arial Narrow" w:cs="Arial"/>
          <w:sz w:val="24"/>
          <w:szCs w:val="24"/>
        </w:rPr>
      </w:pPr>
    </w:p>
    <w:p w14:paraId="0C3E9A82" w14:textId="77777777" w:rsidR="00CD61FF" w:rsidRPr="00CD61FF" w:rsidRDefault="00CD61FF" w:rsidP="00BB587B">
      <w:pPr>
        <w:spacing w:after="240"/>
        <w:rPr>
          <w:rFonts w:ascii="Arial Narrow" w:hAnsi="Arial Narrow" w:cs="Arial"/>
          <w:sz w:val="24"/>
          <w:szCs w:val="24"/>
        </w:rPr>
      </w:pPr>
    </w:p>
    <w:p w14:paraId="783D62C8" w14:textId="77777777" w:rsidR="00CD61FF" w:rsidRPr="00CD61FF" w:rsidRDefault="00CD61FF" w:rsidP="00BB587B">
      <w:pPr>
        <w:spacing w:after="240"/>
        <w:rPr>
          <w:rFonts w:ascii="Arial Narrow" w:hAnsi="Arial Narrow" w:cs="Arial"/>
          <w:sz w:val="24"/>
          <w:szCs w:val="24"/>
        </w:rPr>
      </w:pPr>
    </w:p>
    <w:p w14:paraId="32CC8C2B" w14:textId="77777777" w:rsidR="00CD61FF" w:rsidRPr="00CD61FF" w:rsidRDefault="00CD61FF" w:rsidP="00BB587B">
      <w:pPr>
        <w:spacing w:after="240"/>
        <w:rPr>
          <w:rFonts w:ascii="Arial Narrow" w:hAnsi="Arial Narrow" w:cs="Arial"/>
          <w:sz w:val="24"/>
          <w:szCs w:val="24"/>
        </w:rPr>
      </w:pPr>
    </w:p>
    <w:p w14:paraId="59E4FEE8" w14:textId="77777777" w:rsidR="00BB587B" w:rsidRPr="00CD61FF" w:rsidRDefault="00BB587B" w:rsidP="00BB587B">
      <w:pPr>
        <w:pStyle w:val="Prrafodelista"/>
        <w:numPr>
          <w:ilvl w:val="0"/>
          <w:numId w:val="1"/>
        </w:numPr>
        <w:spacing w:after="240"/>
        <w:jc w:val="center"/>
        <w:rPr>
          <w:rFonts w:ascii="Arial Narrow" w:hAnsi="Arial Narrow" w:cs="Arial"/>
          <w:b/>
          <w:bCs/>
          <w:sz w:val="24"/>
          <w:szCs w:val="24"/>
        </w:rPr>
      </w:pPr>
      <w:r w:rsidRPr="00CD61FF">
        <w:rPr>
          <w:rFonts w:ascii="Arial Narrow" w:hAnsi="Arial Narrow" w:cs="Arial"/>
          <w:b/>
          <w:bCs/>
          <w:sz w:val="24"/>
          <w:szCs w:val="24"/>
        </w:rPr>
        <w:lastRenderedPageBreak/>
        <w:t>EXPOSICIÓN DE MOTIVOS</w:t>
      </w:r>
    </w:p>
    <w:p w14:paraId="4113F3C8" w14:textId="77777777" w:rsidR="00BB587B" w:rsidRPr="00CD61FF" w:rsidRDefault="00BB587B" w:rsidP="00BB587B">
      <w:pPr>
        <w:spacing w:after="240"/>
        <w:rPr>
          <w:rFonts w:ascii="Arial Narrow" w:hAnsi="Arial Narrow" w:cs="Arial"/>
          <w:sz w:val="24"/>
          <w:szCs w:val="24"/>
        </w:rPr>
      </w:pPr>
      <w:r w:rsidRPr="00CD61FF">
        <w:rPr>
          <w:rFonts w:ascii="Arial Narrow" w:hAnsi="Arial Narrow" w:cs="Arial"/>
          <w:sz w:val="24"/>
          <w:szCs w:val="24"/>
        </w:rPr>
        <w:t xml:space="preserve">El artículo 145 de la ley 5° de 1992 indica la exigencia de que todo proyecto de ley presentado ante la Secretaría General de la respectiva Corporación deberá contener un título, encabezamiento, parte dispositiva y exposición de motivos, por tal razón, el presente documento, expone los motivos por los cuales se presenta esta iniciativa legislativa. </w:t>
      </w:r>
    </w:p>
    <w:p w14:paraId="357C26E9" w14:textId="77777777" w:rsidR="00BB587B" w:rsidRPr="00CD61FF" w:rsidRDefault="00BB587B" w:rsidP="00BB587B">
      <w:pPr>
        <w:pStyle w:val="Prrafodelista"/>
        <w:numPr>
          <w:ilvl w:val="1"/>
          <w:numId w:val="1"/>
        </w:numPr>
        <w:spacing w:after="240"/>
        <w:textAlignment w:val="baseline"/>
        <w:rPr>
          <w:rFonts w:ascii="Arial Narrow" w:eastAsia="Times New Roman" w:hAnsi="Arial Narrow" w:cs="Arial"/>
          <w:b/>
          <w:bCs/>
          <w:sz w:val="24"/>
          <w:szCs w:val="24"/>
          <w:lang w:eastAsia="es-CO"/>
        </w:rPr>
      </w:pPr>
      <w:r w:rsidRPr="00CD61FF">
        <w:rPr>
          <w:rFonts w:ascii="Arial Narrow" w:eastAsia="Times New Roman" w:hAnsi="Arial Narrow" w:cs="Arial"/>
          <w:b/>
          <w:bCs/>
          <w:sz w:val="24"/>
          <w:szCs w:val="24"/>
          <w:lang w:eastAsia="es-CO"/>
        </w:rPr>
        <w:t xml:space="preserve">COMPETENCIA </w:t>
      </w:r>
    </w:p>
    <w:p w14:paraId="76ED77A8" w14:textId="77777777" w:rsidR="00BB587B" w:rsidRPr="00CD61FF" w:rsidRDefault="00BB587B" w:rsidP="00BB587B">
      <w:pPr>
        <w:spacing w:after="240"/>
        <w:rPr>
          <w:rFonts w:ascii="Arial Narrow" w:hAnsi="Arial Narrow" w:cs="Arial"/>
          <w:sz w:val="24"/>
          <w:szCs w:val="24"/>
        </w:rPr>
      </w:pPr>
      <w:r w:rsidRPr="00CD61FF">
        <w:rPr>
          <w:rFonts w:ascii="Arial Narrow" w:hAnsi="Arial Narrow" w:cs="Arial"/>
          <w:sz w:val="24"/>
          <w:szCs w:val="24"/>
        </w:rPr>
        <w:t xml:space="preserve">La Comisión Primera Constitucional Permanente, por disposición normativa, es competente para conocer del presente Proyecto de Ley, de conformidad con lo establecido por el Artículo 2° de la Ley 3° de 1992, por cuanto versa sobre: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w:t>
      </w:r>
      <w:r w:rsidRPr="00CD61FF">
        <w:rPr>
          <w:rFonts w:ascii="Arial Narrow" w:hAnsi="Arial Narrow" w:cs="Arial"/>
          <w:sz w:val="24"/>
          <w:szCs w:val="24"/>
          <w:u w:val="single"/>
        </w:rPr>
        <w:t>rama legislativa</w:t>
      </w:r>
      <w:r w:rsidRPr="00CD61FF">
        <w:rPr>
          <w:rFonts w:ascii="Arial Narrow" w:hAnsi="Arial Narrow" w:cs="Arial"/>
          <w:sz w:val="24"/>
          <w:szCs w:val="24"/>
        </w:rPr>
        <w:t>; estrategias y políticas para la paz; propiedad intelectual; variación de la residencia de los altos poderes nacionales; asuntos étnicos.”.</w:t>
      </w:r>
    </w:p>
    <w:p w14:paraId="0F145F05" w14:textId="77777777" w:rsidR="00BB587B" w:rsidRPr="00CD61FF" w:rsidRDefault="00BB587B" w:rsidP="00BB587B">
      <w:pPr>
        <w:pStyle w:val="Prrafodelista"/>
        <w:numPr>
          <w:ilvl w:val="1"/>
          <w:numId w:val="1"/>
        </w:numPr>
        <w:spacing w:after="240"/>
        <w:textAlignment w:val="baseline"/>
        <w:rPr>
          <w:rFonts w:ascii="Arial Narrow" w:eastAsia="Times New Roman" w:hAnsi="Arial Narrow" w:cs="Arial"/>
          <w:b/>
          <w:bCs/>
          <w:sz w:val="24"/>
          <w:szCs w:val="24"/>
          <w:lang w:eastAsia="es-CO"/>
        </w:rPr>
      </w:pPr>
      <w:r w:rsidRPr="00CD61FF">
        <w:rPr>
          <w:rFonts w:ascii="Arial Narrow" w:eastAsia="Times New Roman" w:hAnsi="Arial Narrow" w:cs="Arial"/>
          <w:b/>
          <w:bCs/>
          <w:sz w:val="24"/>
          <w:szCs w:val="24"/>
          <w:lang w:eastAsia="es-CO"/>
        </w:rPr>
        <w:t xml:space="preserve">CONTENIDO, OBJETO Y JUSTIFICACIÓN DEL PROYECTO  </w:t>
      </w:r>
    </w:p>
    <w:p w14:paraId="1B8E0761" w14:textId="716A09EA" w:rsidR="00BB587B" w:rsidRPr="00CD61FF" w:rsidRDefault="00BB587B" w:rsidP="00BB587B">
      <w:pPr>
        <w:spacing w:after="240"/>
        <w:textAlignment w:val="baseline"/>
        <w:rPr>
          <w:rFonts w:ascii="Arial Narrow" w:hAnsi="Arial Narrow" w:cs="Arial"/>
        </w:rPr>
      </w:pPr>
      <w:r w:rsidRPr="00CD61FF">
        <w:rPr>
          <w:rFonts w:ascii="Arial Narrow" w:hAnsi="Arial Narrow"/>
          <w:sz w:val="24"/>
          <w:szCs w:val="24"/>
        </w:rPr>
        <w:t xml:space="preserve">El </w:t>
      </w:r>
      <w:r w:rsidRPr="00CD61FF">
        <w:rPr>
          <w:rFonts w:ascii="Arial Narrow" w:hAnsi="Arial Narrow"/>
          <w:b/>
          <w:sz w:val="24"/>
          <w:szCs w:val="24"/>
        </w:rPr>
        <w:t>OBJETO</w:t>
      </w:r>
      <w:r w:rsidRPr="00CD61FF">
        <w:rPr>
          <w:rFonts w:ascii="Arial Narrow" w:hAnsi="Arial Narrow"/>
          <w:sz w:val="24"/>
          <w:szCs w:val="24"/>
        </w:rPr>
        <w:t xml:space="preserve"> </w:t>
      </w:r>
      <w:r w:rsidR="00CD61FF" w:rsidRPr="00CD61FF">
        <w:rPr>
          <w:rFonts w:ascii="Arial Narrow" w:hAnsi="Arial Narrow"/>
          <w:sz w:val="24"/>
          <w:szCs w:val="24"/>
        </w:rPr>
        <w:t>es adicionar un parágrafo al artículo 261 de la ley 5° de 1992 con el propósito de fortalecer los mecanismos de control político establecidos en el numeral 3° del artículo 6° de la ley 5° de 1992.</w:t>
      </w:r>
    </w:p>
    <w:p w14:paraId="4ABB7B17"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Expone el reglamento del Congreso en el numeral 3° de su artículo 6° que la moción de observación es un mecanismo de Control Político en el ejercicio de esta misma función ejercida por la Rama Legislativa del Poder Público en Colombia que genera responsabilidad política a autoridades y funcionarios del Estado. </w:t>
      </w:r>
    </w:p>
    <w:p w14:paraId="156E0CA8" w14:textId="77777777" w:rsidR="00CD61FF" w:rsidRPr="00CD61FF" w:rsidRDefault="00CD61FF" w:rsidP="00CD61FF">
      <w:pPr>
        <w:shd w:val="clear" w:color="auto" w:fill="FFFFFF"/>
        <w:spacing w:after="240"/>
        <w:ind w:left="708"/>
        <w:rPr>
          <w:rFonts w:ascii="Arial Narrow" w:eastAsia="Arial Narrow" w:hAnsi="Arial Narrow" w:cs="Arial Narrow"/>
          <w:i/>
          <w:iCs/>
          <w:sz w:val="24"/>
          <w:szCs w:val="24"/>
        </w:rPr>
      </w:pPr>
      <w:r w:rsidRPr="00CD61FF">
        <w:rPr>
          <w:rFonts w:ascii="Arial Narrow" w:eastAsia="Arial Narrow" w:hAnsi="Arial Narrow" w:cs="Arial Narrow"/>
          <w:sz w:val="24"/>
          <w:szCs w:val="24"/>
        </w:rPr>
        <w:t>“</w:t>
      </w:r>
      <w:r w:rsidRPr="00CD61FF">
        <w:rPr>
          <w:rFonts w:ascii="Arial Narrow" w:eastAsia="Arial Narrow" w:hAnsi="Arial Narrow" w:cs="Arial Narrow"/>
          <w:i/>
          <w:iCs/>
          <w:sz w:val="24"/>
          <w:szCs w:val="24"/>
        </w:rPr>
        <w:t>ARTÍCULO </w:t>
      </w:r>
      <w:bookmarkStart w:id="1" w:name="bookmark=id.30j0zll" w:colFirst="0" w:colLast="0"/>
      <w:bookmarkEnd w:id="1"/>
      <w:r w:rsidRPr="00CD61FF">
        <w:rPr>
          <w:rFonts w:ascii="Arial Narrow" w:eastAsia="Arial Narrow" w:hAnsi="Arial Narrow" w:cs="Arial Narrow"/>
          <w:i/>
          <w:iCs/>
          <w:sz w:val="24"/>
          <w:szCs w:val="24"/>
        </w:rPr>
        <w:t>6 . Clases de funciones del Congreso. El Congreso de la República cumple:</w:t>
      </w:r>
    </w:p>
    <w:p w14:paraId="39E840B4" w14:textId="77777777" w:rsidR="00CD61FF" w:rsidRPr="00CD61FF" w:rsidRDefault="00CD61FF" w:rsidP="00CD61FF">
      <w:pPr>
        <w:shd w:val="clear" w:color="auto" w:fill="FFFFFF"/>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w:t>
      </w:r>
    </w:p>
    <w:p w14:paraId="1E0711A9" w14:textId="77777777" w:rsidR="00CD61FF" w:rsidRPr="00CD61FF" w:rsidRDefault="00CD61FF" w:rsidP="00CD61FF">
      <w:pPr>
        <w:shd w:val="clear" w:color="auto" w:fill="FFFFFF"/>
        <w:spacing w:after="240"/>
        <w:ind w:left="708"/>
        <w:rPr>
          <w:rFonts w:ascii="Arial Narrow" w:eastAsia="Arial Narrow" w:hAnsi="Arial Narrow" w:cs="Arial Narrow"/>
          <w:i/>
          <w:iCs/>
          <w:sz w:val="24"/>
          <w:szCs w:val="24"/>
        </w:rPr>
      </w:pPr>
      <w:bookmarkStart w:id="2" w:name="bookmark=id.1fob9te" w:colFirst="0" w:colLast="0"/>
      <w:bookmarkEnd w:id="2"/>
      <w:r w:rsidRPr="00CD61FF">
        <w:rPr>
          <w:rFonts w:ascii="Arial Narrow" w:eastAsia="Arial Narrow" w:hAnsi="Arial Narrow" w:cs="Arial Narrow"/>
          <w:i/>
          <w:iCs/>
          <w:sz w:val="24"/>
          <w:szCs w:val="24"/>
        </w:rPr>
        <w:lastRenderedPageBreak/>
        <w:t xml:space="preserve">3. Función de control político, para requerir y emplazar a los Ministros del Despacho y demás autoridades y conocer de las acusaciones que se formulen contra altos funcionarios del Estado. La moción de censura y la moción de observaciones pueden ser algunas de las conclusiones de la responsabilidad política. (…)”. </w:t>
      </w:r>
    </w:p>
    <w:p w14:paraId="103D32D3" w14:textId="77777777" w:rsidR="00CD61FF" w:rsidRPr="00CD61FF" w:rsidRDefault="00CD61FF" w:rsidP="00CD61FF">
      <w:pPr>
        <w:shd w:val="clear" w:color="auto" w:fill="FFFFFF"/>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Así mismo, El artículo 261 de la ley 5° de 1992 trae la figura de la Moción de Observación como una figura que puede llevarse a cabo en las Comisiones Constitucionales Permanentes del Congreso de la República o incluso en las Plenarias de cada una de las Corporaciones a funcionarios citados a estas. </w:t>
      </w:r>
    </w:p>
    <w:p w14:paraId="16D3857F" w14:textId="77777777" w:rsidR="00CD61FF" w:rsidRPr="00CD61FF" w:rsidRDefault="00CD61FF" w:rsidP="00CD61FF">
      <w:pPr>
        <w:shd w:val="clear" w:color="auto" w:fill="FFFFFF"/>
        <w:spacing w:after="240"/>
        <w:ind w:left="708"/>
        <w:rPr>
          <w:rFonts w:ascii="Arial Narrow" w:eastAsia="Arial Narrow" w:hAnsi="Arial Narrow" w:cs="Arial Narrow"/>
          <w:i/>
          <w:iCs/>
          <w:sz w:val="24"/>
          <w:szCs w:val="24"/>
        </w:rPr>
      </w:pPr>
      <w:r w:rsidRPr="00CD61FF">
        <w:rPr>
          <w:rFonts w:ascii="Arial Narrow" w:eastAsia="Arial Narrow" w:hAnsi="Arial Narrow" w:cs="Arial Narrow"/>
          <w:sz w:val="24"/>
          <w:szCs w:val="24"/>
        </w:rPr>
        <w:t>“</w:t>
      </w:r>
      <w:r w:rsidRPr="00CD61FF">
        <w:rPr>
          <w:rFonts w:ascii="Arial Narrow" w:eastAsia="Arial Narrow" w:hAnsi="Arial Narrow" w:cs="Arial Narrow"/>
          <w:i/>
          <w:iCs/>
          <w:sz w:val="24"/>
          <w:szCs w:val="24"/>
        </w:rPr>
        <w:t>ARTÍCULO </w:t>
      </w:r>
      <w:bookmarkStart w:id="3" w:name="bookmark=id.3znysh7" w:colFirst="0" w:colLast="0"/>
      <w:bookmarkEnd w:id="3"/>
      <w:r w:rsidRPr="00CD61FF">
        <w:rPr>
          <w:rFonts w:ascii="Arial Narrow" w:eastAsia="Arial Narrow" w:hAnsi="Arial Narrow" w:cs="Arial Narrow"/>
          <w:i/>
          <w:iCs/>
          <w:sz w:val="24"/>
          <w:szCs w:val="24"/>
        </w:rPr>
        <w:t>261. Procedimiento especial. Como principal efecto de la aplicación del control político del Congreso, la moción de censura hacia los Ministros del Despacho se ceñirá estrictamente a lo dispuesto en la Constitución y la ley, en especial al Capítulo Tercero, Título I, del presente Reglamento.</w:t>
      </w:r>
    </w:p>
    <w:p w14:paraId="4BB51F7E" w14:textId="77777777" w:rsidR="00CD61FF" w:rsidRPr="00CD61FF" w:rsidRDefault="00CD61FF" w:rsidP="00CD61FF">
      <w:pPr>
        <w:shd w:val="clear" w:color="auto" w:fill="FFFFFF"/>
        <w:spacing w:after="240"/>
        <w:ind w:left="708"/>
        <w:rPr>
          <w:rFonts w:ascii="Arial Narrow" w:eastAsia="Arial Narrow" w:hAnsi="Arial Narrow" w:cs="Arial Narrow"/>
          <w:sz w:val="24"/>
          <w:szCs w:val="24"/>
        </w:rPr>
      </w:pPr>
      <w:r w:rsidRPr="00CD61FF">
        <w:rPr>
          <w:rFonts w:ascii="Arial Narrow" w:eastAsia="Arial Narrow" w:hAnsi="Arial Narrow" w:cs="Arial Narrow"/>
          <w:i/>
          <w:iCs/>
          <w:sz w:val="24"/>
          <w:szCs w:val="24"/>
        </w:rPr>
        <w:t>Así mismo, la moción de observación podrá ser presentada cuando en ejercicio del mismo control las Comisiones Constitucionales o cada una de las Cámaras en pleno así lo consideraren, como pronunciamiento que afecta a alguno de los funcionarios citados</w:t>
      </w:r>
      <w:r w:rsidRPr="00CD61FF">
        <w:rPr>
          <w:rFonts w:ascii="Arial Narrow" w:eastAsia="Arial Narrow" w:hAnsi="Arial Narrow" w:cs="Arial Narrow"/>
          <w:sz w:val="24"/>
          <w:szCs w:val="24"/>
        </w:rPr>
        <w:t>”.</w:t>
      </w:r>
    </w:p>
    <w:p w14:paraId="7E86141D" w14:textId="77777777" w:rsidR="00CD61FF" w:rsidRPr="00CD61FF" w:rsidRDefault="00CD61FF" w:rsidP="00CD61FF">
      <w:pPr>
        <w:shd w:val="clear" w:color="auto" w:fill="FFFFFF"/>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Del análisis del anterior artículo se desprende que: </w:t>
      </w:r>
    </w:p>
    <w:p w14:paraId="78BE9996" w14:textId="77777777" w:rsidR="00CD61FF" w:rsidRPr="00CD61FF" w:rsidRDefault="00CD61FF" w:rsidP="00CD61FF">
      <w:pPr>
        <w:numPr>
          <w:ilvl w:val="0"/>
          <w:numId w:val="3"/>
        </w:numPr>
        <w:pBdr>
          <w:top w:val="nil"/>
          <w:left w:val="nil"/>
          <w:bottom w:val="nil"/>
          <w:right w:val="nil"/>
          <w:between w:val="nil"/>
        </w:pBdr>
        <w:shd w:val="clear" w:color="auto" w:fill="FFFFFF"/>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Los funcionarios a los cuales se les puede citar Moción de Observación son diferentes a los que se les puede citar a Moción de Censura, pues esta última presenta con claridad en el artículo 135 Numeral 9° su elemento subjetivo (Ministros de Despacho, Superintendentes y Directores de Departamentos Administrativos). </w:t>
      </w:r>
    </w:p>
    <w:p w14:paraId="431715D7" w14:textId="77777777" w:rsidR="00CD61FF" w:rsidRPr="00CD61FF" w:rsidRDefault="00CD61FF" w:rsidP="00CD61FF">
      <w:pPr>
        <w:numPr>
          <w:ilvl w:val="0"/>
          <w:numId w:val="3"/>
        </w:numPr>
        <w:pBdr>
          <w:top w:val="nil"/>
          <w:left w:val="nil"/>
          <w:bottom w:val="nil"/>
          <w:right w:val="nil"/>
          <w:between w:val="nil"/>
        </w:pBdr>
        <w:shd w:val="clear" w:color="auto" w:fill="FFFFFF"/>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Por lo anterior, los funcionarios a los cuales les procede la moción de censura son todos aquellos altos funcionarios del Gobierno Nacional que trata el artículo 233 de la ley 5° de 1992 </w:t>
      </w:r>
      <w:r w:rsidRPr="00CD61FF">
        <w:rPr>
          <w:rFonts w:ascii="Arial Narrow" w:eastAsia="Arial Narrow" w:hAnsi="Arial Narrow" w:cs="Arial Narrow"/>
          <w:sz w:val="24"/>
          <w:szCs w:val="24"/>
        </w:rPr>
        <w:lastRenderedPageBreak/>
        <w:t xml:space="preserve">y diferentes a los Ministros de Despacho, Superintendentes o Directores de Departamentos Administrativos. </w:t>
      </w:r>
    </w:p>
    <w:p w14:paraId="67ADA6CE" w14:textId="77777777" w:rsidR="00CD61FF" w:rsidRPr="00CD61FF" w:rsidRDefault="00CD61FF" w:rsidP="00CD61FF">
      <w:pPr>
        <w:numPr>
          <w:ilvl w:val="0"/>
          <w:numId w:val="3"/>
        </w:numPr>
        <w:pBdr>
          <w:top w:val="nil"/>
          <w:left w:val="nil"/>
          <w:bottom w:val="nil"/>
          <w:right w:val="nil"/>
          <w:between w:val="nil"/>
        </w:pBdr>
        <w:shd w:val="clear" w:color="auto" w:fill="FFFFFF"/>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La moción de Observación es procedente ante las Comisiones Constitucionales Permanentes o incluso ante las Plenarias de cada Cámara. </w:t>
      </w:r>
    </w:p>
    <w:p w14:paraId="0BE5148A" w14:textId="77777777" w:rsidR="00CD61FF" w:rsidRPr="00CD61FF" w:rsidRDefault="00CD61FF" w:rsidP="00CD61FF">
      <w:pPr>
        <w:numPr>
          <w:ilvl w:val="0"/>
          <w:numId w:val="3"/>
        </w:numPr>
        <w:pBdr>
          <w:top w:val="nil"/>
          <w:left w:val="nil"/>
          <w:bottom w:val="nil"/>
          <w:right w:val="nil"/>
          <w:between w:val="nil"/>
        </w:pBdr>
        <w:shd w:val="clear" w:color="auto" w:fill="FFFFFF"/>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La consecuencia de la moción de Observación no es otra que un “llamado de atención” por parte de la respectiva célula legislativa que lo promueve. </w:t>
      </w:r>
    </w:p>
    <w:p w14:paraId="6E51B497"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Respecto a la constitucionalidad del presente proyecto de ley, no es motivo de inconveniencia constitucional y mucho menos contiene disposiciones inconstitucionales, toda vez que el artículo 138 constitucional le asigna la competencia propia al Congreso de la República para ejercer, en todo tiempo, la función de control político.</w:t>
      </w:r>
    </w:p>
    <w:p w14:paraId="4F8A097A" w14:textId="77777777" w:rsidR="00CD61FF" w:rsidRPr="00CD61FF" w:rsidRDefault="00CD61FF" w:rsidP="00CD61FF">
      <w:pPr>
        <w:pBdr>
          <w:top w:val="nil"/>
          <w:left w:val="nil"/>
          <w:bottom w:val="nil"/>
          <w:right w:val="nil"/>
          <w:between w:val="nil"/>
        </w:pBdr>
        <w:spacing w:after="240"/>
        <w:ind w:left="708"/>
        <w:rPr>
          <w:rFonts w:ascii="Arial Narrow" w:eastAsia="Arial Narrow" w:hAnsi="Arial Narrow" w:cs="Arial Narrow"/>
          <w:i/>
          <w:iCs/>
          <w:sz w:val="24"/>
          <w:szCs w:val="24"/>
        </w:rPr>
      </w:pPr>
      <w:bookmarkStart w:id="4" w:name="bookmark=id.2et92p0" w:colFirst="0" w:colLast="0"/>
      <w:bookmarkEnd w:id="4"/>
      <w:r w:rsidRPr="00CD61FF">
        <w:rPr>
          <w:rFonts w:ascii="Arial Narrow" w:eastAsia="Arial Narrow" w:hAnsi="Arial Narrow" w:cs="Arial Narrow"/>
          <w:sz w:val="24"/>
          <w:szCs w:val="24"/>
        </w:rPr>
        <w:t>“</w:t>
      </w:r>
      <w:r w:rsidRPr="00CD61FF">
        <w:rPr>
          <w:rFonts w:ascii="Arial Narrow" w:eastAsia="Arial Narrow" w:hAnsi="Arial Narrow" w:cs="Arial Narrow"/>
          <w:i/>
          <w:iCs/>
          <w:sz w:val="24"/>
          <w:szCs w:val="24"/>
        </w:rPr>
        <w:t>ARTICULO 138.  El Congreso, por derecho propio se reunirá en sesiones ordinarias, durante dos periodos por año, que constituirán una sola legislatura. El primer periodo de sesiones comenzará el 20 de julio y terminará el 16 de diciembre; el segundo periodo iniciará el 16 de febrero y concluirá el 20 de junio.</w:t>
      </w:r>
    </w:p>
    <w:p w14:paraId="7D9A7A7D" w14:textId="77777777" w:rsidR="00CD61FF" w:rsidRPr="00CD61FF" w:rsidRDefault="00CD61FF" w:rsidP="00CD61FF">
      <w:pPr>
        <w:pBdr>
          <w:top w:val="nil"/>
          <w:left w:val="nil"/>
          <w:bottom w:val="nil"/>
          <w:right w:val="nil"/>
          <w:between w:val="nil"/>
        </w:pBd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Entre el 16 de febrero y el 15 de marzo no podrán tramitarse proyectos de leyes estatutarias ni reformas a la Constitución.</w:t>
      </w:r>
    </w:p>
    <w:p w14:paraId="2A5A0034" w14:textId="77777777" w:rsidR="00CD61FF" w:rsidRPr="00CD61FF" w:rsidRDefault="00CD61FF" w:rsidP="00CD61FF">
      <w:pPr>
        <w:pBdr>
          <w:top w:val="nil"/>
          <w:left w:val="nil"/>
          <w:bottom w:val="nil"/>
          <w:right w:val="nil"/>
          <w:between w:val="nil"/>
        </w:pBd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En el periodo de sesiones en el que se lleven a cabo las elecciones al Congreso de la República, este periodo iniciará el 16 de marzo y concluirá el 20 de junio.</w:t>
      </w:r>
    </w:p>
    <w:p w14:paraId="59C688DB" w14:textId="77777777" w:rsidR="00CD61FF" w:rsidRPr="00CD61FF" w:rsidRDefault="00CD61FF" w:rsidP="00CD61FF">
      <w:pPr>
        <w:pBdr>
          <w:top w:val="nil"/>
          <w:left w:val="nil"/>
          <w:bottom w:val="nil"/>
          <w:right w:val="nil"/>
          <w:between w:val="nil"/>
        </w:pBd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Si por cualquier causa el Congreso no pudiese reunirse en las fechas indicadas, lo hará tan pronto como fuese posible, dentro de los periodos respectivos.</w:t>
      </w:r>
    </w:p>
    <w:p w14:paraId="307D1BB7" w14:textId="77777777" w:rsidR="00CD61FF" w:rsidRPr="00CD61FF" w:rsidRDefault="00CD61FF" w:rsidP="00CD61FF">
      <w:pPr>
        <w:pBdr>
          <w:top w:val="nil"/>
          <w:left w:val="nil"/>
          <w:bottom w:val="nil"/>
          <w:right w:val="nil"/>
          <w:between w:val="nil"/>
        </w:pBdr>
        <w:spacing w:after="240"/>
        <w:ind w:left="708"/>
        <w:rPr>
          <w:rFonts w:ascii="Arial Narrow" w:eastAsia="Arial Narrow" w:hAnsi="Arial Narrow" w:cs="Arial Narrow"/>
          <w:sz w:val="24"/>
          <w:szCs w:val="24"/>
        </w:rPr>
      </w:pPr>
      <w:r w:rsidRPr="00CD61FF">
        <w:rPr>
          <w:rFonts w:ascii="Arial Narrow" w:eastAsia="Arial Narrow" w:hAnsi="Arial Narrow" w:cs="Arial Narrow"/>
          <w:i/>
          <w:iCs/>
          <w:sz w:val="24"/>
          <w:szCs w:val="24"/>
        </w:rPr>
        <w:t xml:space="preserve">También se reunirá el Congreso en sesiones extraordinarias, por convocatoria del Gobierno y durante el tiempo que éste señale. En el curso de ellas sólo podrá ocuparse de los asuntos </w:t>
      </w:r>
      <w:r w:rsidRPr="00CD61FF">
        <w:rPr>
          <w:rFonts w:ascii="Arial Narrow" w:eastAsia="Arial Narrow" w:hAnsi="Arial Narrow" w:cs="Arial Narrow"/>
          <w:i/>
          <w:iCs/>
          <w:sz w:val="24"/>
          <w:szCs w:val="24"/>
        </w:rPr>
        <w:lastRenderedPageBreak/>
        <w:t>que el Gobierno someta a su consideración</w:t>
      </w:r>
      <w:r w:rsidRPr="00CD61FF">
        <w:rPr>
          <w:rFonts w:ascii="Arial Narrow" w:eastAsia="Arial Narrow" w:hAnsi="Arial Narrow" w:cs="Arial Narrow"/>
          <w:i/>
          <w:iCs/>
          <w:sz w:val="24"/>
          <w:szCs w:val="24"/>
          <w:u w:val="single"/>
        </w:rPr>
        <w:t>, sin perjuicio de la función de control político que le es propia, la cual podrá ejercer en todo tiempo</w:t>
      </w:r>
      <w:r w:rsidRPr="00CD61FF">
        <w:rPr>
          <w:rFonts w:ascii="Arial Narrow" w:eastAsia="Arial Narrow" w:hAnsi="Arial Narrow" w:cs="Arial Narrow"/>
          <w:sz w:val="24"/>
          <w:szCs w:val="24"/>
        </w:rPr>
        <w:t>”.</w:t>
      </w:r>
    </w:p>
    <w:p w14:paraId="4A9D135F" w14:textId="77777777" w:rsidR="00CD61FF" w:rsidRPr="00CD61FF" w:rsidRDefault="00CD61FF" w:rsidP="00CD61FF">
      <w:pPr>
        <w:spacing w:after="240"/>
        <w:rPr>
          <w:rFonts w:ascii="Arial Narrow" w:eastAsia="Arial Narrow" w:hAnsi="Arial Narrow" w:cs="Arial Narrow"/>
          <w:sz w:val="24"/>
          <w:szCs w:val="24"/>
        </w:rPr>
      </w:pPr>
    </w:p>
    <w:p w14:paraId="06FCFFD4"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Así mismo, la ley 5° de 1992, en el artículo 6° previamente citado, expone la función de control político como una función principal del Congreso de la República mediante la cual, esta rama del poder público puede ejercer control respecto a las acciones y decisiones del gobierno nacional. </w:t>
      </w:r>
    </w:p>
    <w:p w14:paraId="32EF131A"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Así, la necesidad de Incorporar un Procedimiento Claro para la Moción de Observación en el Reglamento Interno del Congreso de Colombia puede entenderse ya que esta es uno de los mecanismos más importantes con los que cuenta el Congreso de la República de Colombia para ejercer control político sobre altos funcionarios del Estado, función asignada por la Constitución de 1991. </w:t>
      </w:r>
    </w:p>
    <w:p w14:paraId="18BC90EF"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Este instrumento se distingue por su capacidad de fiscalizar a funcionarios que no son objeto de otras formas de control directo, como los ministros, superintendentes y directores de departamentos administrativos. Sin embargo, a pesar de su potencial para fortalecer la rendición de cuentas y la transparencia en la gestión pública, la moción de observación ha caído en desuso. Esta situación se debe principalmente a la falta de una reglamentación específica que defina su aplicación, alcance y procedimiento. </w:t>
      </w:r>
    </w:p>
    <w:p w14:paraId="1510D50D"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Actualmente, el artículo 261 de la Ley 5 de 1992 es el único marco normativo que menciona la moción de observación. Sin embargo, este artículo se limita a ofrecer un tratamiento superficial, sin proporcionar los lineamientos necesarios para su efectiva implementación. Este vacío normativo no solo genera incertidumbre en la aplicación del mecanismo, sino que también ha llevado a que el Congreso no utilice de manera frecuente y adecuada esta herramienta, debilitando así su capacidad de ejercer un control político integral sobre los altos funcionarios del Estado.</w:t>
      </w:r>
    </w:p>
    <w:p w14:paraId="41CA1E5A"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lastRenderedPageBreak/>
        <w:t>La ausencia de una reglamentación clara ha sido confirmada por la Agencia Nacional de Defensa Jurídica del Estado en respuesta al Representante Alexander Guarín mediante respuesta con radicado 20248004082222, en este documento, esta entidad informó que, más allá de las generalidades establecidas en el artículo 6 numeral 3 y en el artículo 261 de la Ley 5 de 1992, no existe una ley que regule de manera específica el procedimiento para la moción de observación. Además, se aclaró que no se han emitido sentencias por parte de las altas cortes que aborden este vacío normativo, dejando a la moción de observación en un limbo jurídico. Esta situación evidencia la urgencia de desarrollar un procedimiento reglamentario que permita la utilización efectiva de este mecanismo de control.</w:t>
      </w:r>
    </w:p>
    <w:p w14:paraId="01FB393E"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Así, la importancia del Control Político y la Necesidad de un Procedimiento Específico juegan un papel fundamental en la vida democrática y el sistema de pesos y contrapesos constitucionales, por lo que la moción de observación juega un rol crucial, ya que permite al Congreso evaluar el desempeño de aquellos altos funcionarios que, por su naturaleza, no están sujetos a otros mecanismos de control directo. Sin embargo, sin un procedimiento claro y bien definido, la moción de observación pierde su efectividad y no cumple con su propósito constitucional.</w:t>
      </w:r>
    </w:p>
    <w:p w14:paraId="1DCFAB22"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Este proyecto entonces generará un fortalecimiento del Control Político, por lo que una de las principales razones para establecer un procedimiento claro para la moción de observación es la necesidad de fortalecer el control político que ejerce el Congreso. Al definir un proceso detallado, con plazos, etapas y requisitos específicos, se dota al Congreso de un instrumento más robusto para fiscalizar la labor de los altos funcionarios. Esto no solo mejora la calidad del control político, sino que también contribuye a la transparencia y a la rendición de cuentas, elementos fundamentales en una democracia sólida. La posibilidad de que los congresistas utilicen la moción de observación con mayor frecuencia y eficacia aumentará la vigilancia sobre la administración pública y promoverá una gestión más responsable por parte de los funcionarios.</w:t>
      </w:r>
    </w:p>
    <w:p w14:paraId="42E50641"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De igual modo, la falta de un procedimiento reglamentado para la moción de observación crea un vacío de certeza jurídica que puede dar lugar a interpretaciones arbitrarias o discrecionales. La certeza </w:t>
      </w:r>
      <w:r w:rsidRPr="00CD61FF">
        <w:rPr>
          <w:rFonts w:ascii="Arial Narrow" w:eastAsia="Arial Narrow" w:hAnsi="Arial Narrow" w:cs="Arial Narrow"/>
          <w:sz w:val="24"/>
          <w:szCs w:val="24"/>
        </w:rPr>
        <w:lastRenderedPageBreak/>
        <w:t>jurídica es un principio fundamental en cualquier sistema legal, ya que asegura que las normas son claras, precisas y aplicables de manera uniforme. Sin un procedimiento reglamentario, tanto los congresistas como los funcionarios sujetos a la moción de observación carecen de claridad sobre las reglas a seguir, lo que puede afectar la imparcialidad del proceso y socavar la confianza en las instituciones. Un procedimiento bien definido proporcionaría las garantías necesarias para que todos los actores involucrados comprendan sus derechos y obligaciones, asegurando un proceso justo y equitativo.</w:t>
      </w:r>
    </w:p>
    <w:p w14:paraId="672DC05B"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Por otro lado, la moción de observación ha caído en desuso debido a la falta de claridad normativa. Este desuso no solo debilita el control político del Congreso, sino que también deja sin respuesta las preocupaciones de la ciudadanía sobre el desempeño de altos funcionarios que no son objeto de otros mecanismos de supervisión. Al establecer un procedimiento claro y operativo, se podría revitalizar este mecanismo, devolviéndolo a la práctica parlamentaria y asegurando que se utilice de manera regular para evaluar la gestión pública. Esto, a su vez, fortalecería el papel del Congreso como órgano de control y aumentaría la confianza pública en las instituciones democráticas.</w:t>
      </w:r>
    </w:p>
    <w:p w14:paraId="61394D9B"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Finalmente, el cumplimiento de los Principios Constitucionales se traduce en este proyecto de ley pues la Constitución Política de Colombia otorga al Congreso la facultad de ejercer control político sobre los altos funcionarios del Estado. Este mandato constitucional debe ser cumplido de manera efectiva, lo que implica dotar al Congreso de las herramientas necesarias para ejercer su función de control de manera plena. Sin un procedimiento reglamentado para la moción de observación, esta facultad se ve limitada, lo que puede afectar la gobernabilidad y la legitimidad de las decisiones políticas. Implementar un procedimiento claro para la moción de observación no solo fortalecería el cumplimiento de los principios constitucionales, sino que también garantizaría que el Congreso actúe conforme a su rol de representante de los intereses de la ciudadanía.</w:t>
      </w:r>
    </w:p>
    <w:p w14:paraId="6E631862"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En conclusión, es evidente que la incorporación de un procedimiento claro y detallado para la moción de observación en el reglamento interno del Congreso de Colombia es una necesidad apremiante. La </w:t>
      </w:r>
      <w:r w:rsidRPr="00CD61FF">
        <w:rPr>
          <w:rFonts w:ascii="Arial Narrow" w:eastAsia="Arial Narrow" w:hAnsi="Arial Narrow" w:cs="Arial Narrow"/>
          <w:sz w:val="24"/>
          <w:szCs w:val="24"/>
        </w:rPr>
        <w:lastRenderedPageBreak/>
        <w:t>falta de claridad normativa actual no solo ha llevado al desuso de este mecanismo, sino que también ha debilitado la capacidad del Congreso para ejercer un control político efectivo sobre altos funcionarios del Estado. Establecer un procedimiento reglamentario permitiría reactivar este instrumento, fortalecer el control político, garantizar la certeza jurídica y cumplir con los principios constitucionales que rigen la labor legislativa.</w:t>
      </w:r>
    </w:p>
    <w:p w14:paraId="6AAB6913"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Es responsabilidad del Congreso dotarse de los instrumentos necesarios para cumplir con su función de control político de manera efectiva. La implementación de un procedimiento específico para la moción de observación es un paso fundamental en esta dirección, y su adopción contribuirá a la transparencia, la rendición de cuentas y el fortalecimiento de la democracia en Colombia.</w:t>
      </w:r>
    </w:p>
    <w:p w14:paraId="4CEAF94F" w14:textId="320AD87F" w:rsidR="00CD61FF" w:rsidRPr="00CD61FF" w:rsidRDefault="00CD61FF" w:rsidP="00CD61FF">
      <w:pPr>
        <w:pStyle w:val="Prrafodelista"/>
        <w:numPr>
          <w:ilvl w:val="1"/>
          <w:numId w:val="1"/>
        </w:numPr>
        <w:pBdr>
          <w:top w:val="nil"/>
          <w:left w:val="nil"/>
          <w:bottom w:val="nil"/>
          <w:right w:val="nil"/>
          <w:between w:val="nil"/>
        </w:pBdr>
        <w:spacing w:after="240"/>
        <w:rPr>
          <w:rFonts w:ascii="Arial Narrow" w:eastAsia="Arial Narrow" w:hAnsi="Arial Narrow" w:cs="Arial Narrow"/>
          <w:b/>
          <w:bCs/>
          <w:sz w:val="24"/>
          <w:szCs w:val="24"/>
        </w:rPr>
      </w:pPr>
      <w:r w:rsidRPr="00CD61FF">
        <w:rPr>
          <w:rFonts w:ascii="Arial Narrow" w:eastAsia="Arial Narrow" w:hAnsi="Arial Narrow" w:cs="Arial Narrow"/>
          <w:b/>
          <w:bCs/>
          <w:sz w:val="24"/>
          <w:szCs w:val="24"/>
        </w:rPr>
        <w:t xml:space="preserve">BREVE MARCO NORMATIVO DEL PROYECTO </w:t>
      </w:r>
    </w:p>
    <w:p w14:paraId="6D6B2BC1"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Constitucionalmente, la competencia para presentar el presente proyecto de ley se encuentra en el numeral 1° del artículo 150 y 151 constitucional.</w:t>
      </w:r>
    </w:p>
    <w:p w14:paraId="437A8612"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sz w:val="24"/>
          <w:szCs w:val="24"/>
        </w:rPr>
        <w:t>“</w:t>
      </w:r>
      <w:bookmarkStart w:id="5" w:name="bookmark=id.tyjcwt" w:colFirst="0" w:colLast="0"/>
      <w:bookmarkEnd w:id="5"/>
      <w:r w:rsidRPr="00CD61FF">
        <w:rPr>
          <w:rFonts w:ascii="Arial Narrow" w:eastAsia="Arial Narrow" w:hAnsi="Arial Narrow" w:cs="Arial Narrow"/>
          <w:i/>
          <w:iCs/>
          <w:sz w:val="24"/>
          <w:szCs w:val="24"/>
        </w:rPr>
        <w:t>ARTICULO 150. Corresponde al Congreso hacer las leyes. Por medio de ellas ejerce las siguientes funciones:</w:t>
      </w:r>
    </w:p>
    <w:p w14:paraId="4E763D3A" w14:textId="77777777" w:rsidR="00CD61FF" w:rsidRPr="00CD61FF" w:rsidRDefault="00CD61FF" w:rsidP="00CD61FF">
      <w:pPr>
        <w:numPr>
          <w:ilvl w:val="0"/>
          <w:numId w:val="5"/>
        </w:numPr>
        <w:pBdr>
          <w:top w:val="nil"/>
          <w:left w:val="nil"/>
          <w:bottom w:val="nil"/>
          <w:right w:val="nil"/>
          <w:between w:val="nil"/>
        </w:pBdr>
        <w:spacing w:after="240"/>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Interpretar, reformar y derogar las leyes.</w:t>
      </w:r>
    </w:p>
    <w:p w14:paraId="2917A7FF" w14:textId="77777777" w:rsidR="00CD61FF" w:rsidRPr="00CD61FF" w:rsidRDefault="00CD61FF" w:rsidP="00CD61FF">
      <w:pPr>
        <w:numPr>
          <w:ilvl w:val="0"/>
          <w:numId w:val="5"/>
        </w:numPr>
        <w:pBdr>
          <w:top w:val="nil"/>
          <w:left w:val="nil"/>
          <w:bottom w:val="nil"/>
          <w:right w:val="nil"/>
          <w:between w:val="nil"/>
        </w:pBdr>
        <w:spacing w:after="240"/>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Expedir códigos en todos los ramos de la legislación y reformar sus disposiciones.</w:t>
      </w:r>
    </w:p>
    <w:p w14:paraId="0B94B7E2"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i/>
          <w:iCs/>
          <w:sz w:val="24"/>
          <w:szCs w:val="24"/>
        </w:rPr>
        <w:t>(…)”</w:t>
      </w:r>
      <w:r w:rsidRPr="00CD61FF">
        <w:rPr>
          <w:rFonts w:ascii="Arial Narrow" w:eastAsia="Arial Narrow" w:hAnsi="Arial Narrow" w:cs="Arial Narrow"/>
          <w:sz w:val="24"/>
          <w:szCs w:val="24"/>
        </w:rPr>
        <w:t>.</w:t>
      </w:r>
    </w:p>
    <w:p w14:paraId="635F0F33"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sz w:val="24"/>
          <w:szCs w:val="24"/>
        </w:rPr>
        <w:t>“</w:t>
      </w:r>
      <w:r w:rsidRPr="00CD61FF">
        <w:rPr>
          <w:rFonts w:ascii="Arial Narrow" w:eastAsia="Arial Narrow" w:hAnsi="Arial Narrow" w:cs="Arial Narrow"/>
          <w:i/>
          <w:iCs/>
          <w:sz w:val="24"/>
          <w:szCs w:val="24"/>
        </w:rPr>
        <w:t xml:space="preserve">ARTÍCULO 151. 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las relativas a la asignación de competencias normativas a las entidades territoriales. Las leyes orgánicas </w:t>
      </w:r>
      <w:r w:rsidRPr="00CD61FF">
        <w:rPr>
          <w:rFonts w:ascii="Arial Narrow" w:eastAsia="Arial Narrow" w:hAnsi="Arial Narrow" w:cs="Arial Narrow"/>
          <w:i/>
          <w:iCs/>
          <w:sz w:val="24"/>
          <w:szCs w:val="24"/>
        </w:rPr>
        <w:lastRenderedPageBreak/>
        <w:t>requerirán, para su aprobación, la mayoría absoluta de los votos de los miembros de una y otra Cámara</w:t>
      </w:r>
      <w:r w:rsidRPr="00CD61FF">
        <w:rPr>
          <w:rFonts w:ascii="Arial Narrow" w:eastAsia="Arial Narrow" w:hAnsi="Arial Narrow" w:cs="Arial Narrow"/>
          <w:sz w:val="24"/>
          <w:szCs w:val="24"/>
        </w:rPr>
        <w:t>”</w:t>
      </w:r>
    </w:p>
    <w:p w14:paraId="50D6F6E9"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El tipo trámite del presente proyecto de ley será la de ley orgánica, esto según lo estipulado en el artículo 151 de la carta política, anteriormente citado.</w:t>
      </w:r>
    </w:p>
    <w:p w14:paraId="61CB2B40" w14:textId="77777777" w:rsidR="00CD61FF" w:rsidRPr="00CD61FF" w:rsidRDefault="00CD61FF" w:rsidP="00CD61FF">
      <w:pPr>
        <w:numPr>
          <w:ilvl w:val="1"/>
          <w:numId w:val="1"/>
        </w:numPr>
        <w:pBdr>
          <w:top w:val="nil"/>
          <w:left w:val="nil"/>
          <w:bottom w:val="nil"/>
          <w:right w:val="nil"/>
          <w:between w:val="nil"/>
        </w:pBdr>
        <w:spacing w:after="240"/>
        <w:rPr>
          <w:rFonts w:ascii="Arial Narrow" w:eastAsia="Arial Narrow" w:hAnsi="Arial Narrow" w:cs="Arial Narrow"/>
          <w:b/>
          <w:bCs/>
          <w:sz w:val="24"/>
          <w:szCs w:val="24"/>
        </w:rPr>
      </w:pPr>
      <w:r w:rsidRPr="00CD61FF">
        <w:rPr>
          <w:rFonts w:ascii="Arial Narrow" w:eastAsia="Arial Narrow" w:hAnsi="Arial Narrow" w:cs="Arial Narrow"/>
          <w:b/>
          <w:bCs/>
          <w:sz w:val="24"/>
          <w:szCs w:val="24"/>
        </w:rPr>
        <w:t xml:space="preserve">IMPACTO FISCAL </w:t>
      </w:r>
    </w:p>
    <w:p w14:paraId="4A471196"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En el marco de lo establecido en el artículo 7 de la Ley 819 de 2003, por la cual se dictan normas orgánicas en materia de presupuesto, responsabilidad y transparencia fiscal y se dictan otras disposiciones, que establece:</w:t>
      </w:r>
    </w:p>
    <w:p w14:paraId="237A9171"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sz w:val="24"/>
          <w:szCs w:val="24"/>
        </w:rPr>
        <w:t>“ARTÍCULO </w:t>
      </w:r>
      <w:bookmarkStart w:id="6" w:name="bookmark=id.3dy6vkm" w:colFirst="0" w:colLast="0"/>
      <w:bookmarkEnd w:id="6"/>
      <w:r w:rsidRPr="00CD61FF">
        <w:rPr>
          <w:rFonts w:ascii="Arial Narrow" w:eastAsia="Arial Narrow" w:hAnsi="Arial Narrow" w:cs="Arial Narrow"/>
          <w:sz w:val="24"/>
          <w:szCs w:val="24"/>
        </w:rPr>
        <w:t>7.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302A6FBF"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sz w:val="24"/>
          <w:szCs w:val="24"/>
        </w:rPr>
        <w:t>Para estos propósitos, deberá incluirse expresamente en la exposición de motivos y en las ponencias de trámite respectivas los costos fiscales de la iniciativa y la fuente de ingreso adicional generada para el financiamiento de dicho costo.</w:t>
      </w:r>
    </w:p>
    <w:p w14:paraId="670DC81A"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sz w:val="24"/>
          <w:szCs w:val="24"/>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16C285DC"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sz w:val="24"/>
          <w:szCs w:val="24"/>
        </w:rPr>
        <w:t>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14:paraId="3F95F86D" w14:textId="77777777"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sz w:val="24"/>
          <w:szCs w:val="24"/>
        </w:rPr>
        <w:lastRenderedPageBreak/>
        <w:t xml:space="preserve">En las entidades territoriales, el trámite previsto en el inciso anterior será surtido ante la respectiva Secretaría de Hacienda o quien haga sus veces”. </w:t>
      </w:r>
    </w:p>
    <w:p w14:paraId="77684D94"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Se considera que el presente proyecto de ley no genera impacto fiscal que implique una modificación en el marco presupuestal, dado que no establece gasto adicional para el Gobierno Nacional, además de no plantearse cambios en la fijación de las rentas nacionales o generar nuevos costos fiscales, así como tampoco compromete recursos adicionales del Presupuesto General de la Nación.</w:t>
      </w:r>
    </w:p>
    <w:p w14:paraId="77751AC0" w14:textId="77777777" w:rsidR="00CD61FF" w:rsidRPr="00CD61FF" w:rsidRDefault="00CD61FF" w:rsidP="00CD61FF">
      <w:pPr>
        <w:numPr>
          <w:ilvl w:val="1"/>
          <w:numId w:val="1"/>
        </w:numPr>
        <w:pBdr>
          <w:top w:val="nil"/>
          <w:left w:val="nil"/>
          <w:bottom w:val="nil"/>
          <w:right w:val="nil"/>
          <w:between w:val="nil"/>
        </w:pBdr>
        <w:spacing w:after="240"/>
        <w:rPr>
          <w:rFonts w:ascii="Arial Narrow" w:eastAsia="Arial Narrow" w:hAnsi="Arial Narrow" w:cs="Arial Narrow"/>
          <w:b/>
          <w:bCs/>
          <w:sz w:val="24"/>
          <w:szCs w:val="24"/>
        </w:rPr>
      </w:pPr>
      <w:r w:rsidRPr="00CD61FF">
        <w:rPr>
          <w:rFonts w:ascii="Arial Narrow" w:eastAsia="Arial Narrow" w:hAnsi="Arial Narrow" w:cs="Arial Narrow"/>
          <w:b/>
          <w:bCs/>
          <w:sz w:val="24"/>
          <w:szCs w:val="24"/>
        </w:rPr>
        <w:t xml:space="preserve"> RELACIÓN DE POSIBLES CONFLICTOS DE INTERÉS </w:t>
      </w:r>
    </w:p>
    <w:p w14:paraId="62903ED8"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La radicación, discusión y votación del presente proyecto de ley no genera conflictos de interés, de conformidad con lo dispuesto por el artículo 286 de la Ley 5ª de 1992, modificado por el artículo 1° de la Ley 2003 de 2019, toda vez que cualquier beneficio o carga en el que pueda existir un eventual interés coincide o se fusiona con los intereses del electorado, dado el carácter de general de aquellos. </w:t>
      </w:r>
    </w:p>
    <w:p w14:paraId="56BC8D43" w14:textId="74A45A2D"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Para esto, la segunda parte del artículo 286 de la ley 5° de 1992 expone unos casos en específico en la cual la misma ley entiende que no existe conflicto de intereses: </w:t>
      </w:r>
    </w:p>
    <w:p w14:paraId="1A842FEA" w14:textId="77777777" w:rsidR="00CD61FF" w:rsidRPr="00CD61FF" w:rsidRDefault="00CD61FF" w:rsidP="00CD61FF">
      <w:pPr>
        <w:spacing w:after="240"/>
        <w:ind w:left="708"/>
        <w:rPr>
          <w:rFonts w:ascii="Arial Narrow" w:eastAsia="Arial Narrow" w:hAnsi="Arial Narrow" w:cs="Arial Narrow"/>
          <w:i/>
          <w:iCs/>
          <w:sz w:val="24"/>
          <w:szCs w:val="24"/>
        </w:rPr>
      </w:pPr>
      <w:bookmarkStart w:id="7" w:name="bookmark=id.1t3h5sf" w:colFirst="0" w:colLast="0"/>
      <w:bookmarkEnd w:id="7"/>
      <w:r w:rsidRPr="00CD61FF">
        <w:rPr>
          <w:rFonts w:ascii="Arial Narrow" w:eastAsia="Arial Narrow" w:hAnsi="Arial Narrow" w:cs="Arial Narrow"/>
          <w:sz w:val="24"/>
          <w:szCs w:val="24"/>
        </w:rPr>
        <w:t>“</w:t>
      </w:r>
      <w:r w:rsidRPr="00CD61FF">
        <w:rPr>
          <w:rFonts w:ascii="Arial Narrow" w:eastAsia="Arial Narrow" w:hAnsi="Arial Narrow" w:cs="Arial Narrow"/>
          <w:i/>
          <w:iCs/>
          <w:sz w:val="24"/>
          <w:szCs w:val="24"/>
        </w:rPr>
        <w:t>ARTÍCULO 286. RÉGIMEN DE CONFLICTO DE INTERÉS DE LOS CONGRESISTAS. </w:t>
      </w:r>
    </w:p>
    <w:p w14:paraId="5C2EDF0D"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 xml:space="preserve">(…) </w:t>
      </w:r>
    </w:p>
    <w:p w14:paraId="0D2FD4A9"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Para todos los efectos se entiende que no hay conflicto de interés en las siguientes circunstancias:</w:t>
      </w:r>
    </w:p>
    <w:p w14:paraId="7EFE1030"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73BFF580"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b) Cuando el beneficio podría o no configurarse para el congresista en el futuro.</w:t>
      </w:r>
    </w:p>
    <w:p w14:paraId="263A1747"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lastRenderedPageBreak/>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D9BC84D"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C5FECB7"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e) &lt;Literal INEXEQUIBLE&gt;</w:t>
      </w:r>
    </w:p>
    <w:p w14:paraId="070911E9" w14:textId="77777777" w:rsidR="00CD61FF" w:rsidRPr="00CD61FF" w:rsidRDefault="00CD61FF" w:rsidP="00CD61FF">
      <w:pPr>
        <w:spacing w:after="240"/>
        <w:ind w:left="708"/>
        <w:rPr>
          <w:rFonts w:ascii="Arial Narrow" w:eastAsia="Arial Narrow" w:hAnsi="Arial Narrow" w:cs="Arial Narrow"/>
          <w:i/>
          <w:iCs/>
          <w:sz w:val="24"/>
          <w:szCs w:val="24"/>
        </w:rPr>
      </w:pPr>
      <w:r w:rsidRPr="00CD61FF">
        <w:rPr>
          <w:rFonts w:ascii="Arial Narrow" w:eastAsia="Arial Narrow" w:hAnsi="Arial Narrow" w:cs="Arial Narrow"/>
          <w:i/>
          <w:iCs/>
          <w:sz w:val="24"/>
          <w:szCs w:val="24"/>
        </w:rPr>
        <w:t>f) Cuando el congresista participa en la elección de otros servidores públicos mediante el voto secreto. Se exceptúan los casos en que se presenten inhabilidades referidas al parentesco con los candidatos.</w:t>
      </w:r>
    </w:p>
    <w:p w14:paraId="7104D262" w14:textId="3F14A09D" w:rsidR="00CD61FF" w:rsidRPr="00CD61FF" w:rsidRDefault="00CD61FF" w:rsidP="00CD61FF">
      <w:pPr>
        <w:spacing w:after="240"/>
        <w:ind w:left="708"/>
        <w:rPr>
          <w:rFonts w:ascii="Arial Narrow" w:eastAsia="Arial Narrow" w:hAnsi="Arial Narrow" w:cs="Arial Narrow"/>
          <w:sz w:val="24"/>
          <w:szCs w:val="24"/>
        </w:rPr>
      </w:pPr>
      <w:r w:rsidRPr="00CD61FF">
        <w:rPr>
          <w:rFonts w:ascii="Arial Narrow" w:eastAsia="Arial Narrow" w:hAnsi="Arial Narrow" w:cs="Arial Narrow"/>
          <w:i/>
          <w:iCs/>
          <w:sz w:val="24"/>
          <w:szCs w:val="24"/>
        </w:rPr>
        <w:t>(…)”</w:t>
      </w:r>
      <w:r w:rsidRPr="00CD61FF">
        <w:rPr>
          <w:rFonts w:ascii="Arial Narrow" w:eastAsia="Arial Narrow" w:hAnsi="Arial Narrow" w:cs="Arial Narrow"/>
          <w:sz w:val="24"/>
          <w:szCs w:val="24"/>
        </w:rPr>
        <w:t>.</w:t>
      </w:r>
    </w:p>
    <w:p w14:paraId="6107EB45" w14:textId="77777777" w:rsidR="00CD61FF" w:rsidRPr="00CD61FF" w:rsidRDefault="00CD61FF" w:rsidP="00CD61FF">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No obstante a lo anterior, se debe precisar que los conflictos de interés son personales y es facultad de cada congresista evaluarlos.</w:t>
      </w:r>
    </w:p>
    <w:p w14:paraId="417F7C8D" w14:textId="652B0967" w:rsidR="00BB587B" w:rsidRPr="00CD61FF" w:rsidRDefault="00CD61FF" w:rsidP="00BB587B">
      <w:pPr>
        <w:spacing w:after="240"/>
        <w:rPr>
          <w:rFonts w:ascii="Arial Narrow" w:eastAsia="Arial Narrow" w:hAnsi="Arial Narrow" w:cs="Arial Narrow"/>
          <w:sz w:val="24"/>
          <w:szCs w:val="24"/>
        </w:rPr>
      </w:pPr>
      <w:r w:rsidRPr="00CD61FF">
        <w:rPr>
          <w:rFonts w:ascii="Arial Narrow" w:eastAsia="Arial Narrow" w:hAnsi="Arial Narrow" w:cs="Arial Narrow"/>
          <w:sz w:val="24"/>
          <w:szCs w:val="24"/>
        </w:rPr>
        <w:t xml:space="preserve">De los Honorables Congresistas, </w:t>
      </w:r>
    </w:p>
    <w:p w14:paraId="52DA1273" w14:textId="77777777" w:rsidR="00BB587B" w:rsidRPr="00CD61FF" w:rsidRDefault="00BB587B" w:rsidP="00BB587B">
      <w:pPr>
        <w:spacing w:after="240"/>
        <w:rPr>
          <w:rFonts w:ascii="Arial Narrow" w:eastAsia="Arial" w:hAnsi="Arial Narrow" w:cs="Arial"/>
          <w:sz w:val="24"/>
          <w:szCs w:val="24"/>
        </w:rPr>
      </w:pPr>
    </w:p>
    <w:p w14:paraId="51737DBB" w14:textId="292D90E8" w:rsidR="00BB587B" w:rsidRPr="00CD61FF" w:rsidRDefault="00BB587B" w:rsidP="00BB587B">
      <w:pPr>
        <w:spacing w:line="240" w:lineRule="auto"/>
        <w:jc w:val="center"/>
        <w:rPr>
          <w:rFonts w:ascii="Arial Narrow" w:eastAsia="Arial" w:hAnsi="Arial Narrow" w:cs="Arial"/>
          <w:b/>
          <w:bCs/>
          <w:sz w:val="24"/>
          <w:szCs w:val="24"/>
        </w:rPr>
      </w:pPr>
      <w:r w:rsidRPr="00CD61FF">
        <w:rPr>
          <w:rFonts w:ascii="Arial Narrow" w:eastAsia="Arial" w:hAnsi="Arial Narrow" w:cs="Arial"/>
          <w:b/>
          <w:bCs/>
          <w:sz w:val="24"/>
          <w:szCs w:val="24"/>
        </w:rPr>
        <w:t>JHON JAIRO BERRIO LÓPEZ</w:t>
      </w:r>
    </w:p>
    <w:p w14:paraId="5B6BDAB0" w14:textId="3A83B99B" w:rsidR="00BB587B" w:rsidRPr="00CD61FF" w:rsidRDefault="00BB587B" w:rsidP="00BB587B">
      <w:pPr>
        <w:spacing w:line="240" w:lineRule="auto"/>
        <w:jc w:val="center"/>
        <w:rPr>
          <w:rFonts w:ascii="Arial Narrow" w:eastAsia="Arial" w:hAnsi="Arial Narrow" w:cs="Arial"/>
          <w:sz w:val="24"/>
          <w:szCs w:val="24"/>
        </w:rPr>
      </w:pPr>
      <w:r w:rsidRPr="00CD61FF">
        <w:rPr>
          <w:rFonts w:ascii="Arial Narrow" w:eastAsia="Arial" w:hAnsi="Arial Narrow" w:cs="Arial"/>
          <w:sz w:val="24"/>
          <w:szCs w:val="24"/>
        </w:rPr>
        <w:t xml:space="preserve">Miembro de la Cámara de Representantes </w:t>
      </w:r>
    </w:p>
    <w:p w14:paraId="08721C23" w14:textId="588194BE" w:rsidR="00BB587B" w:rsidRPr="00CD61FF" w:rsidRDefault="00BB587B" w:rsidP="00BB587B">
      <w:pPr>
        <w:spacing w:line="240" w:lineRule="auto"/>
        <w:jc w:val="center"/>
        <w:rPr>
          <w:rFonts w:ascii="Arial Narrow" w:eastAsia="Arial" w:hAnsi="Arial Narrow" w:cs="Arial"/>
          <w:sz w:val="24"/>
          <w:szCs w:val="24"/>
        </w:rPr>
      </w:pPr>
      <w:r w:rsidRPr="00CD61FF">
        <w:rPr>
          <w:rFonts w:ascii="Arial Narrow" w:eastAsia="Arial" w:hAnsi="Arial Narrow" w:cs="Arial"/>
          <w:sz w:val="24"/>
          <w:szCs w:val="24"/>
        </w:rPr>
        <w:t>Congreso de la República de Colombia</w:t>
      </w:r>
    </w:p>
    <w:p w14:paraId="247BCB68" w14:textId="77777777" w:rsidR="005D7C44" w:rsidRPr="00CD61FF" w:rsidRDefault="00F80727" w:rsidP="00BB587B">
      <w:pPr>
        <w:spacing w:after="240"/>
        <w:rPr>
          <w:rFonts w:ascii="Arial Narrow" w:eastAsia="Arial Narrow" w:hAnsi="Arial Narrow" w:cs="Arial Narrow"/>
          <w:sz w:val="24"/>
          <w:szCs w:val="24"/>
        </w:rPr>
      </w:pPr>
      <w:r w:rsidRPr="00CD61FF">
        <w:rPr>
          <w:rFonts w:ascii="Arial" w:eastAsia="Arial Narrow" w:hAnsi="Arial" w:cs="Arial"/>
          <w:sz w:val="24"/>
          <w:szCs w:val="24"/>
        </w:rPr>
        <w:t>​</w:t>
      </w:r>
      <w:r w:rsidRPr="00CD61FF">
        <w:rPr>
          <w:rFonts w:ascii="Arial Narrow" w:eastAsia="Arial Narrow" w:hAnsi="Arial Narrow" w:cs="Arial Narrow"/>
          <w:sz w:val="24"/>
          <w:szCs w:val="24"/>
        </w:rPr>
        <w:t>​</w:t>
      </w:r>
    </w:p>
    <w:p w14:paraId="09744F15" w14:textId="77777777" w:rsidR="00BB587B" w:rsidRPr="00CD61FF" w:rsidRDefault="00BB587B">
      <w:pPr>
        <w:spacing w:after="240"/>
        <w:rPr>
          <w:rFonts w:ascii="Arial Narrow" w:eastAsia="Arial Narrow" w:hAnsi="Arial Narrow" w:cs="Arial Narrow"/>
          <w:sz w:val="24"/>
          <w:szCs w:val="24"/>
        </w:rPr>
      </w:pPr>
      <w:bookmarkStart w:id="8" w:name="_heading=h.9nyjg1wu19bu" w:colFirst="0" w:colLast="0"/>
      <w:bookmarkEnd w:id="8"/>
    </w:p>
    <w:sectPr w:rsidR="00BB587B" w:rsidRPr="00CD61FF">
      <w:headerReference w:type="default" r:id="rId8"/>
      <w:footerReference w:type="default" r:id="rId9"/>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56133" w14:textId="77777777" w:rsidR="00F80727" w:rsidRDefault="00F80727">
      <w:pPr>
        <w:spacing w:line="240" w:lineRule="auto"/>
      </w:pPr>
      <w:r>
        <w:separator/>
      </w:r>
    </w:p>
  </w:endnote>
  <w:endnote w:type="continuationSeparator" w:id="0">
    <w:p w14:paraId="7DE89EB9" w14:textId="77777777" w:rsidR="00F80727" w:rsidRDefault="00F807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B6570F-FABE-490F-ADAE-2730E9FCA21C}"/>
    <w:embedBold r:id="rId2" w:fontKey="{EADB647F-48F1-480A-B693-441C39FB7C2D}"/>
    <w:embedBoldItalic r:id="rId3" w:fontKey="{1810A741-ABB0-4277-B3E4-D5BA67590AD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BB5665B3-62A5-41EA-914A-1E4362BC2E81}"/>
  </w:font>
  <w:font w:name="Georgia">
    <w:panose1 w:val="02040502050405020303"/>
    <w:charset w:val="00"/>
    <w:family w:val="roman"/>
    <w:pitch w:val="variable"/>
    <w:sig w:usb0="00000287" w:usb1="00000000" w:usb2="00000000" w:usb3="00000000" w:csb0="0000009F" w:csb1="00000000"/>
    <w:embedRegular r:id="rId5" w:fontKey="{FF9E64DB-16FF-48D9-891F-4B2D38992F87}"/>
    <w:embedItalic r:id="rId6" w:fontKey="{4E63F578-1EC5-409F-8860-19612DF70DF4}"/>
  </w:font>
  <w:font w:name="Arial 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7" w:fontKey="{D0E91512-FEA5-412C-BD8A-ED1EAA37D4AA}"/>
    <w:embedBold r:id="rId8" w:fontKey="{48CF3A07-562A-4B24-BC50-5F4C83CAFA9B}"/>
    <w:embedItalic r:id="rId9" w:fontKey="{23BBC976-1B57-4E1D-9D6C-DE1CB19F9FB2}"/>
    <w:embedBoldItalic r:id="rId10" w:fontKey="{95B62A8D-D51D-43EA-B1EE-B4F6095F6DF8}"/>
  </w:font>
  <w:font w:name="Calibri Light">
    <w:panose1 w:val="020F0302020204030204"/>
    <w:charset w:val="00"/>
    <w:family w:val="swiss"/>
    <w:pitch w:val="variable"/>
    <w:sig w:usb0="E4002EFF" w:usb1="C200247B" w:usb2="00000009" w:usb3="00000000" w:csb0="000001FF" w:csb1="00000000"/>
    <w:embedRegular r:id="rId11" w:fontKey="{4B694EAC-F605-4CB4-B35C-218F768AB6E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D185" w14:textId="77777777" w:rsidR="005D7C44" w:rsidRDefault="00F80727">
    <w:pPr>
      <w:tabs>
        <w:tab w:val="center" w:pos="4550"/>
        <w:tab w:val="left" w:pos="5818"/>
      </w:tabs>
      <w:ind w:right="-1085"/>
      <w:jc w:val="right"/>
      <w:rPr>
        <w:rFonts w:ascii="Arial Narrow" w:eastAsia="Arial Narrow" w:hAnsi="Arial Narrow" w:cs="Arial Narrow"/>
        <w:b/>
        <w:color w:val="2F5496"/>
        <w:sz w:val="20"/>
        <w:szCs w:val="20"/>
      </w:rPr>
    </w:pPr>
    <w:r>
      <w:rPr>
        <w:noProof/>
        <w:lang w:eastAsia="es-CO"/>
      </w:rPr>
      <w:drawing>
        <wp:anchor distT="0" distB="0" distL="0" distR="0" simplePos="0" relativeHeight="251660288" behindDoc="1" locked="0" layoutInCell="1" hidden="0" allowOverlap="1" wp14:anchorId="5FF821AF" wp14:editId="4D311A27">
          <wp:simplePos x="0" y="0"/>
          <wp:positionH relativeFrom="column">
            <wp:posOffset>-241934</wp:posOffset>
          </wp:positionH>
          <wp:positionV relativeFrom="paragraph">
            <wp:posOffset>172720</wp:posOffset>
          </wp:positionV>
          <wp:extent cx="1876425" cy="768985"/>
          <wp:effectExtent l="0" t="0" r="0" b="0"/>
          <wp:wrapNone/>
          <wp:docPr id="230" name="image1.jpg" descr="Centro Democrático | Camara de Representantes"/>
          <wp:cNvGraphicFramePr/>
          <a:graphic xmlns:a="http://schemas.openxmlformats.org/drawingml/2006/main">
            <a:graphicData uri="http://schemas.openxmlformats.org/drawingml/2006/picture">
              <pic:pic xmlns:pic="http://schemas.openxmlformats.org/drawingml/2006/picture">
                <pic:nvPicPr>
                  <pic:cNvPr id="0" name="image1.jpg" descr="Centro Democrático | Camara de Representantes"/>
                  <pic:cNvPicPr preferRelativeResize="0"/>
                </pic:nvPicPr>
                <pic:blipFill>
                  <a:blip r:embed="rId1"/>
                  <a:srcRect t="30749" b="28249"/>
                  <a:stretch>
                    <a:fillRect/>
                  </a:stretch>
                </pic:blipFill>
                <pic:spPr>
                  <a:xfrm>
                    <a:off x="0" y="0"/>
                    <a:ext cx="1876425" cy="768985"/>
                  </a:xfrm>
                  <a:prstGeom prst="rect">
                    <a:avLst/>
                  </a:prstGeom>
                  <a:ln/>
                </pic:spPr>
              </pic:pic>
            </a:graphicData>
          </a:graphic>
        </wp:anchor>
      </w:drawing>
    </w:r>
    <w:r>
      <w:rPr>
        <w:noProof/>
        <w:lang w:eastAsia="es-CO"/>
      </w:rPr>
      <w:drawing>
        <wp:anchor distT="0" distB="0" distL="0" distR="0" simplePos="0" relativeHeight="251661312" behindDoc="1" locked="0" layoutInCell="1" hidden="0" allowOverlap="1" wp14:anchorId="6FC5335D" wp14:editId="7B5077E2">
          <wp:simplePos x="0" y="0"/>
          <wp:positionH relativeFrom="column">
            <wp:posOffset>-1060449</wp:posOffset>
          </wp:positionH>
          <wp:positionV relativeFrom="paragraph">
            <wp:posOffset>133350</wp:posOffset>
          </wp:positionV>
          <wp:extent cx="1297305" cy="1228090"/>
          <wp:effectExtent l="0" t="0" r="0" b="0"/>
          <wp:wrapNone/>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67549" b="59044"/>
                  <a:stretch>
                    <a:fillRect/>
                  </a:stretch>
                </pic:blipFill>
                <pic:spPr>
                  <a:xfrm rot="10800000">
                    <a:off x="0" y="0"/>
                    <a:ext cx="1297305" cy="1228090"/>
                  </a:xfrm>
                  <a:prstGeom prst="rect">
                    <a:avLst/>
                  </a:prstGeom>
                  <a:ln/>
                </pic:spPr>
              </pic:pic>
            </a:graphicData>
          </a:graphic>
        </wp:anchor>
      </w:drawing>
    </w:r>
    <w:r>
      <w:rPr>
        <w:noProof/>
        <w:lang w:eastAsia="es-CO"/>
      </w:rPr>
      <w:drawing>
        <wp:anchor distT="0" distB="0" distL="0" distR="0" simplePos="0" relativeHeight="251662336" behindDoc="1" locked="0" layoutInCell="1" hidden="0" allowOverlap="1" wp14:anchorId="5914181B" wp14:editId="72ED9926">
          <wp:simplePos x="0" y="0"/>
          <wp:positionH relativeFrom="column">
            <wp:posOffset>4006215</wp:posOffset>
          </wp:positionH>
          <wp:positionV relativeFrom="paragraph">
            <wp:posOffset>100965</wp:posOffset>
          </wp:positionV>
          <wp:extent cx="1732810" cy="925288"/>
          <wp:effectExtent l="0" t="0" r="0" b="0"/>
          <wp:wrapNone/>
          <wp:docPr id="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32810" cy="925288"/>
                  </a:xfrm>
                  <a:prstGeom prst="rect">
                    <a:avLst/>
                  </a:prstGeom>
                  <a:ln/>
                </pic:spPr>
              </pic:pic>
            </a:graphicData>
          </a:graphic>
        </wp:anchor>
      </w:drawing>
    </w:r>
  </w:p>
  <w:p w14:paraId="0E77B42F" w14:textId="77777777" w:rsidR="005D7C44" w:rsidRDefault="005D7C44">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p>
  <w:p w14:paraId="214832E3" w14:textId="77777777" w:rsidR="005D7C44" w:rsidRDefault="00F80727">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Carrera 7 No. 8-62 – Oficina 403</w:t>
    </w:r>
  </w:p>
  <w:p w14:paraId="69D4F0B3" w14:textId="77777777" w:rsidR="005D7C44" w:rsidRDefault="00F80727">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 xml:space="preserve">Edificio </w:t>
    </w:r>
    <w:r>
      <w:rPr>
        <w:rFonts w:ascii="Arial Narrow" w:eastAsia="Arial Narrow" w:hAnsi="Arial Narrow" w:cs="Arial Narrow"/>
        <w:b/>
        <w:color w:val="002060"/>
        <w:sz w:val="20"/>
        <w:szCs w:val="20"/>
      </w:rPr>
      <w:t>Nuevo del Congreso - Bogotá D.C.</w:t>
    </w:r>
  </w:p>
  <w:p w14:paraId="2922F2BF" w14:textId="77777777" w:rsidR="005D7C44" w:rsidRDefault="00F80727">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hyperlink r:id="rId4">
      <w:r>
        <w:rPr>
          <w:rFonts w:ascii="Arial Narrow" w:eastAsia="Arial Narrow" w:hAnsi="Arial Narrow" w:cs="Arial Narrow"/>
          <w:b/>
          <w:color w:val="002060"/>
          <w:sz w:val="20"/>
          <w:szCs w:val="20"/>
          <w:u w:val="single"/>
        </w:rPr>
        <w:t>Jhon.berrio@camara.gov.co</w:t>
      </w:r>
    </w:hyperlink>
    <w:r>
      <w:rPr>
        <w:rFonts w:ascii="Arial Narrow" w:eastAsia="Arial Narrow" w:hAnsi="Arial Narrow" w:cs="Arial Narrow"/>
        <w:b/>
        <w:color w:val="002060"/>
        <w:sz w:val="20"/>
        <w:szCs w:val="20"/>
      </w:rPr>
      <w:t xml:space="preserve"> </w:t>
    </w:r>
  </w:p>
  <w:p w14:paraId="3CC75C8F" w14:textId="77777777" w:rsidR="005D7C44" w:rsidRDefault="005D7C44">
    <w:pPr>
      <w:tabs>
        <w:tab w:val="center" w:pos="4550"/>
        <w:tab w:val="left" w:pos="5818"/>
      </w:tabs>
      <w:ind w:right="-1085"/>
      <w:jc w:val="right"/>
      <w:rPr>
        <w:rFonts w:ascii="Arial Narrow" w:eastAsia="Arial Narrow" w:hAnsi="Arial Narrow" w:cs="Arial Narrow"/>
        <w:b/>
        <w:color w:val="2F5496"/>
        <w:sz w:val="20"/>
        <w:szCs w:val="20"/>
      </w:rPr>
    </w:pPr>
  </w:p>
  <w:p w14:paraId="4736A541" w14:textId="318EE090" w:rsidR="005D7C44" w:rsidRDefault="00F80727">
    <w:pPr>
      <w:tabs>
        <w:tab w:val="center" w:pos="4550"/>
        <w:tab w:val="left" w:pos="5818"/>
      </w:tabs>
      <w:ind w:right="-1085"/>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 xml:space="preserve">Página </w:t>
    </w:r>
    <w:r>
      <w:rPr>
        <w:rFonts w:ascii="Arial Narrow" w:eastAsia="Arial Narrow" w:hAnsi="Arial Narrow" w:cs="Arial Narrow"/>
        <w:b/>
        <w:color w:val="002060"/>
        <w:sz w:val="20"/>
        <w:szCs w:val="20"/>
      </w:rPr>
      <w:fldChar w:fldCharType="begin"/>
    </w:r>
    <w:r>
      <w:rPr>
        <w:rFonts w:ascii="Arial Narrow" w:eastAsia="Arial Narrow" w:hAnsi="Arial Narrow" w:cs="Arial Narrow"/>
        <w:b/>
        <w:color w:val="002060"/>
        <w:sz w:val="20"/>
        <w:szCs w:val="20"/>
      </w:rPr>
      <w:instrText>PAGE</w:instrText>
    </w:r>
    <w:r>
      <w:rPr>
        <w:rFonts w:ascii="Arial Narrow" w:eastAsia="Arial Narrow" w:hAnsi="Arial Narrow" w:cs="Arial Narrow"/>
        <w:b/>
        <w:color w:val="002060"/>
        <w:sz w:val="20"/>
        <w:szCs w:val="20"/>
      </w:rPr>
      <w:fldChar w:fldCharType="separate"/>
    </w:r>
    <w:r w:rsidR="004102F7">
      <w:rPr>
        <w:rFonts w:ascii="Arial Narrow" w:eastAsia="Arial Narrow" w:hAnsi="Arial Narrow" w:cs="Arial Narrow"/>
        <w:b/>
        <w:noProof/>
        <w:color w:val="002060"/>
        <w:sz w:val="20"/>
        <w:szCs w:val="20"/>
      </w:rPr>
      <w:t>13</w:t>
    </w:r>
    <w:r>
      <w:rPr>
        <w:rFonts w:ascii="Arial Narrow" w:eastAsia="Arial Narrow" w:hAnsi="Arial Narrow" w:cs="Arial Narrow"/>
        <w:b/>
        <w:color w:val="002060"/>
        <w:sz w:val="20"/>
        <w:szCs w:val="20"/>
      </w:rPr>
      <w:fldChar w:fldCharType="end"/>
    </w:r>
    <w:r>
      <w:rPr>
        <w:rFonts w:ascii="Arial Narrow" w:eastAsia="Arial Narrow" w:hAnsi="Arial Narrow" w:cs="Arial Narrow"/>
        <w:b/>
        <w:color w:val="002060"/>
        <w:sz w:val="20"/>
        <w:szCs w:val="20"/>
      </w:rPr>
      <w:t xml:space="preserve"> | </w:t>
    </w:r>
    <w:r>
      <w:rPr>
        <w:rFonts w:ascii="Arial Narrow" w:eastAsia="Arial Narrow" w:hAnsi="Arial Narrow" w:cs="Arial Narrow"/>
        <w:b/>
        <w:color w:val="002060"/>
        <w:sz w:val="20"/>
        <w:szCs w:val="20"/>
      </w:rPr>
      <w:fldChar w:fldCharType="begin"/>
    </w:r>
    <w:r>
      <w:rPr>
        <w:rFonts w:ascii="Arial Narrow" w:eastAsia="Arial Narrow" w:hAnsi="Arial Narrow" w:cs="Arial Narrow"/>
        <w:b/>
        <w:color w:val="002060"/>
        <w:sz w:val="20"/>
        <w:szCs w:val="20"/>
      </w:rPr>
      <w:instrText>NUMPAGES</w:instrText>
    </w:r>
    <w:r>
      <w:rPr>
        <w:rFonts w:ascii="Arial Narrow" w:eastAsia="Arial Narrow" w:hAnsi="Arial Narrow" w:cs="Arial Narrow"/>
        <w:b/>
        <w:color w:val="002060"/>
        <w:sz w:val="20"/>
        <w:szCs w:val="20"/>
      </w:rPr>
      <w:fldChar w:fldCharType="separate"/>
    </w:r>
    <w:r w:rsidR="004102F7">
      <w:rPr>
        <w:rFonts w:ascii="Arial Narrow" w:eastAsia="Arial Narrow" w:hAnsi="Arial Narrow" w:cs="Arial Narrow"/>
        <w:b/>
        <w:noProof/>
        <w:color w:val="002060"/>
        <w:sz w:val="20"/>
        <w:szCs w:val="20"/>
      </w:rPr>
      <w:t>13</w:t>
    </w:r>
    <w:r>
      <w:rPr>
        <w:rFonts w:ascii="Arial Narrow" w:eastAsia="Arial Narrow" w:hAnsi="Arial Narrow" w:cs="Arial Narrow"/>
        <w:b/>
        <w:color w:val="002060"/>
        <w:sz w:val="20"/>
        <w:szCs w:val="20"/>
      </w:rPr>
      <w:fldChar w:fldCharType="end"/>
    </w:r>
  </w:p>
  <w:p w14:paraId="166E7726" w14:textId="77777777" w:rsidR="005D7C44" w:rsidRDefault="005D7C44">
    <w:pPr>
      <w:pBdr>
        <w:top w:val="nil"/>
        <w:left w:val="nil"/>
        <w:bottom w:val="nil"/>
        <w:right w:val="nil"/>
        <w:between w:val="nil"/>
      </w:pBdr>
      <w:tabs>
        <w:tab w:val="center" w:pos="4419"/>
        <w:tab w:val="right" w:pos="8838"/>
      </w:tabs>
      <w:spacing w:line="240" w:lineRule="auto"/>
      <w:rPr>
        <w:rFonts w:ascii="Arial Narrow" w:eastAsia="Arial Narrow" w:hAnsi="Arial Narrow" w:cs="Arial Narrow"/>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3232B" w14:textId="77777777" w:rsidR="00F80727" w:rsidRDefault="00F80727">
      <w:pPr>
        <w:spacing w:line="240" w:lineRule="auto"/>
      </w:pPr>
      <w:r>
        <w:separator/>
      </w:r>
    </w:p>
  </w:footnote>
  <w:footnote w:type="continuationSeparator" w:id="0">
    <w:p w14:paraId="555E4906" w14:textId="77777777" w:rsidR="00F80727" w:rsidRDefault="00F807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4BD96" w14:textId="67909B11" w:rsidR="005D7C44" w:rsidRDefault="00BB587B">
    <w:pPr>
      <w:pBdr>
        <w:top w:val="nil"/>
        <w:left w:val="nil"/>
        <w:bottom w:val="nil"/>
        <w:right w:val="nil"/>
        <w:between w:val="nil"/>
      </w:pBdr>
      <w:tabs>
        <w:tab w:val="center" w:pos="4419"/>
        <w:tab w:val="right" w:pos="8838"/>
      </w:tabs>
      <w:spacing w:line="240" w:lineRule="auto"/>
      <w:rPr>
        <w:color w:val="000000"/>
      </w:rPr>
    </w:pPr>
    <w:r>
      <w:rPr>
        <w:noProof/>
        <w:lang w:eastAsia="es-CO"/>
      </w:rPr>
      <w:drawing>
        <wp:anchor distT="0" distB="0" distL="0" distR="0" simplePos="0" relativeHeight="251659264" behindDoc="1" locked="0" layoutInCell="1" hidden="0" allowOverlap="1" wp14:anchorId="2C771902" wp14:editId="6D089C95">
          <wp:simplePos x="0" y="0"/>
          <wp:positionH relativeFrom="column">
            <wp:posOffset>1898015</wp:posOffset>
          </wp:positionH>
          <wp:positionV relativeFrom="paragraph">
            <wp:posOffset>-125730</wp:posOffset>
          </wp:positionV>
          <wp:extent cx="1809750" cy="482600"/>
          <wp:effectExtent l="0" t="0" r="6350" b="0"/>
          <wp:wrapNone/>
          <wp:docPr id="229" name="image4.png" descr="Inicio | Camara de Representantes"/>
          <wp:cNvGraphicFramePr/>
          <a:graphic xmlns:a="http://schemas.openxmlformats.org/drawingml/2006/main">
            <a:graphicData uri="http://schemas.openxmlformats.org/drawingml/2006/picture">
              <pic:pic xmlns:pic="http://schemas.openxmlformats.org/drawingml/2006/picture">
                <pic:nvPicPr>
                  <pic:cNvPr id="0" name="image4.png" descr="Inicio | Camara de Representantes"/>
                  <pic:cNvPicPr preferRelativeResize="0"/>
                </pic:nvPicPr>
                <pic:blipFill>
                  <a:blip r:embed="rId1"/>
                  <a:srcRect/>
                  <a:stretch>
                    <a:fillRect/>
                  </a:stretch>
                </pic:blipFill>
                <pic:spPr>
                  <a:xfrm>
                    <a:off x="0" y="0"/>
                    <a:ext cx="1809750" cy="4826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0" distR="0" simplePos="0" relativeHeight="251658240" behindDoc="1" locked="0" layoutInCell="1" hidden="0" allowOverlap="1" wp14:anchorId="0EB02708" wp14:editId="0F5DEE3D">
          <wp:simplePos x="0" y="0"/>
          <wp:positionH relativeFrom="column">
            <wp:posOffset>5377180</wp:posOffset>
          </wp:positionH>
          <wp:positionV relativeFrom="paragraph">
            <wp:posOffset>-430529</wp:posOffset>
          </wp:positionV>
          <wp:extent cx="1297305" cy="1228090"/>
          <wp:effectExtent l="0" t="0" r="0" b="0"/>
          <wp:wrapNone/>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67549" b="59044"/>
                  <a:stretch>
                    <a:fillRect/>
                  </a:stretch>
                </pic:blipFill>
                <pic:spPr>
                  <a:xfrm>
                    <a:off x="0" y="0"/>
                    <a:ext cx="1297305" cy="1228090"/>
                  </a:xfrm>
                  <a:prstGeom prst="rect">
                    <a:avLst/>
                  </a:prstGeom>
                  <a:ln/>
                </pic:spPr>
              </pic:pic>
            </a:graphicData>
          </a:graphic>
        </wp:anchor>
      </w:drawing>
    </w:r>
  </w:p>
  <w:p w14:paraId="07D9FCBC" w14:textId="77777777" w:rsidR="005D7C44" w:rsidRDefault="005D7C44">
    <w:pPr>
      <w:pBdr>
        <w:top w:val="nil"/>
        <w:left w:val="nil"/>
        <w:bottom w:val="nil"/>
        <w:right w:val="nil"/>
        <w:between w:val="nil"/>
      </w:pBdr>
      <w:tabs>
        <w:tab w:val="center" w:pos="4419"/>
        <w:tab w:val="right" w:pos="8838"/>
      </w:tabs>
      <w:spacing w:line="240" w:lineRule="auto"/>
      <w:rPr>
        <w:color w:val="000000"/>
      </w:rPr>
    </w:pPr>
  </w:p>
  <w:p w14:paraId="50C17896" w14:textId="77777777" w:rsidR="005D7C44" w:rsidRDefault="005D7C44">
    <w:pPr>
      <w:pBdr>
        <w:top w:val="nil"/>
        <w:left w:val="nil"/>
        <w:bottom w:val="nil"/>
        <w:right w:val="nil"/>
        <w:between w:val="nil"/>
      </w:pBdr>
      <w:tabs>
        <w:tab w:val="center" w:pos="4419"/>
        <w:tab w:val="right" w:pos="8838"/>
      </w:tabs>
      <w:spacing w:line="240" w:lineRule="auto"/>
      <w:rPr>
        <w:color w:val="000000"/>
      </w:rPr>
    </w:pPr>
  </w:p>
  <w:p w14:paraId="60386CAD" w14:textId="5C8A981B" w:rsidR="00BB587B" w:rsidRPr="0086031D" w:rsidRDefault="00BB587B" w:rsidP="00BB587B">
    <w:pPr>
      <w:spacing w:line="240" w:lineRule="auto"/>
      <w:jc w:val="center"/>
      <w:rPr>
        <w:rFonts w:ascii="Arial Narrow" w:hAnsi="Arial Narrow" w:cs="Arial"/>
        <w:b/>
        <w:iCs/>
        <w:sz w:val="20"/>
        <w:szCs w:val="20"/>
      </w:rPr>
    </w:pPr>
    <w:r w:rsidRPr="0086031D">
      <w:rPr>
        <w:rFonts w:ascii="Arial Narrow" w:hAnsi="Arial Narrow" w:cs="Arial"/>
        <w:b/>
        <w:bCs/>
        <w:sz w:val="20"/>
        <w:szCs w:val="20"/>
      </w:rPr>
      <w:t>P</w:t>
    </w:r>
    <w:r w:rsidRPr="0086031D">
      <w:rPr>
        <w:rFonts w:ascii="Arial Narrow" w:hAnsi="Arial Narrow" w:cs="Arial"/>
        <w:b/>
        <w:iCs/>
        <w:sz w:val="20"/>
        <w:szCs w:val="20"/>
      </w:rPr>
      <w:t xml:space="preserve">ROYECTO DE LEY ORGANICA NÚMERO ____ </w:t>
    </w:r>
    <w:r>
      <w:rPr>
        <w:rFonts w:ascii="Arial Narrow" w:hAnsi="Arial Narrow" w:cs="Arial"/>
        <w:b/>
        <w:iCs/>
        <w:sz w:val="20"/>
        <w:szCs w:val="20"/>
      </w:rPr>
      <w:t xml:space="preserve">DE 2025 </w:t>
    </w:r>
    <w:r w:rsidRPr="0086031D">
      <w:rPr>
        <w:rFonts w:ascii="Arial Narrow" w:hAnsi="Arial Narrow" w:cs="Arial"/>
        <w:b/>
        <w:iCs/>
        <w:sz w:val="20"/>
        <w:szCs w:val="20"/>
      </w:rPr>
      <w:t>CÁMARA</w:t>
    </w:r>
  </w:p>
  <w:p w14:paraId="293BE67D" w14:textId="3D668516" w:rsidR="005D7C44" w:rsidRPr="00BB587B" w:rsidRDefault="00BB3C9B" w:rsidP="00BB587B">
    <w:pPr>
      <w:spacing w:line="240" w:lineRule="auto"/>
      <w:jc w:val="center"/>
      <w:rPr>
        <w:rFonts w:ascii="Arial Narrow" w:hAnsi="Arial Narrow" w:cs="Arial"/>
        <w:b/>
        <w:i/>
        <w:iCs/>
        <w:sz w:val="20"/>
        <w:szCs w:val="20"/>
      </w:rPr>
    </w:pPr>
    <w:r w:rsidRPr="00BB3C9B">
      <w:rPr>
        <w:rFonts w:ascii="Arial Narrow" w:hAnsi="Arial Narrow" w:cs="Arial"/>
        <w:b/>
        <w:bCs/>
        <w:color w:val="000000" w:themeColor="text1"/>
        <w:sz w:val="20"/>
        <w:szCs w:val="20"/>
      </w:rPr>
      <w:t>“</w:t>
    </w:r>
    <w:r w:rsidRPr="00BB3C9B">
      <w:rPr>
        <w:rFonts w:ascii="Arial Narrow" w:hAnsi="Arial Narrow" w:cs="Arial"/>
        <w:b/>
        <w:bCs/>
        <w:i/>
        <w:iCs/>
        <w:sz w:val="20"/>
        <w:szCs w:val="20"/>
      </w:rPr>
      <w:t xml:space="preserve">POR MEDIO DE </w:t>
    </w:r>
    <w:r w:rsidRPr="00BB3C9B">
      <w:rPr>
        <w:rFonts w:ascii="Arial Narrow" w:hAnsi="Arial Narrow" w:cs="Arial"/>
        <w:b/>
        <w:bCs/>
        <w:i/>
        <w:iCs/>
        <w:color w:val="000000" w:themeColor="text1"/>
        <w:sz w:val="20"/>
        <w:szCs w:val="20"/>
      </w:rPr>
      <w:t xml:space="preserve">LA CUAL </w:t>
    </w:r>
    <w:r w:rsidRPr="00BB3C9B">
      <w:rPr>
        <w:rFonts w:ascii="Arial Narrow" w:hAnsi="Arial Narrow" w:cs="Arial"/>
        <w:b/>
        <w:bCs/>
        <w:i/>
        <w:iCs/>
        <w:sz w:val="20"/>
        <w:szCs w:val="20"/>
      </w:rPr>
      <w:t>SE</w:t>
    </w:r>
    <w:r w:rsidRPr="00BB3C9B">
      <w:rPr>
        <w:rFonts w:ascii="Arial Narrow" w:hAnsi="Arial Narrow"/>
        <w:b/>
        <w:bCs/>
        <w:i/>
        <w:iCs/>
        <w:color w:val="000000"/>
        <w:sz w:val="20"/>
        <w:szCs w:val="20"/>
      </w:rPr>
      <w:t xml:space="preserve"> ADICIONA UN PARÁGRAFO AL ARTÍCULO 261 DE LA LEY 5º DE 1992, SE </w:t>
    </w:r>
    <w:r w:rsidRPr="00BB3C9B">
      <w:rPr>
        <w:rFonts w:ascii="Arial Narrow" w:hAnsi="Arial Narrow" w:cs="Arial"/>
        <w:b/>
        <w:bCs/>
        <w:i/>
        <w:iCs/>
        <w:sz w:val="20"/>
        <w:szCs w:val="20"/>
      </w:rPr>
      <w:t>FORTALECE LA MOCIÓN DE OBSERVACIÓN</w:t>
    </w:r>
    <w:r w:rsidRPr="00BB3C9B">
      <w:rPr>
        <w:rFonts w:ascii="Arial Narrow" w:hAnsi="Arial Narrow" w:cs="Arial"/>
        <w:b/>
        <w:i/>
        <w:iCs/>
        <w:sz w:val="20"/>
        <w:szCs w:val="24"/>
      </w:rPr>
      <w:t xml:space="preserve"> Y SE DICTAN OTRAS DISPOSICIONES</w:t>
    </w:r>
    <w:r w:rsidR="00BB587B" w:rsidRPr="00BB3C9B">
      <w:rPr>
        <w:rFonts w:ascii="Arial Narrow" w:hAnsi="Arial Narrow" w:cs="Arial"/>
        <w:b/>
        <w:i/>
        <w:iCs/>
        <w:sz w:val="20"/>
        <w:szCs w:val="20"/>
      </w:rPr>
      <w:t>”</w:t>
    </w:r>
  </w:p>
  <w:p w14:paraId="7A0614A3" w14:textId="77777777" w:rsidR="005D7C44" w:rsidRDefault="005D7C44">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26F05"/>
    <w:multiLevelType w:val="multilevel"/>
    <w:tmpl w:val="A2645A3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8FD7001"/>
    <w:multiLevelType w:val="multilevel"/>
    <w:tmpl w:val="69A2C6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6743FC"/>
    <w:multiLevelType w:val="multilevel"/>
    <w:tmpl w:val="D58E2A6C"/>
    <w:lvl w:ilvl="0">
      <w:start w:val="1"/>
      <w:numFmt w:val="upperRoman"/>
      <w:lvlText w:val="%1."/>
      <w:lvlJc w:val="left"/>
      <w:pPr>
        <w:ind w:left="1080" w:hanging="72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60795619"/>
    <w:multiLevelType w:val="multilevel"/>
    <w:tmpl w:val="7B92090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7A7A66D2"/>
    <w:multiLevelType w:val="hybridMultilevel"/>
    <w:tmpl w:val="49F23176"/>
    <w:lvl w:ilvl="0" w:tplc="6BAAE4B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C44"/>
    <w:rsid w:val="004102F7"/>
    <w:rsid w:val="005D7C44"/>
    <w:rsid w:val="007929B1"/>
    <w:rsid w:val="009541EC"/>
    <w:rsid w:val="00AC0ECC"/>
    <w:rsid w:val="00AD6C29"/>
    <w:rsid w:val="00BB3C9B"/>
    <w:rsid w:val="00BB587B"/>
    <w:rsid w:val="00CD61FF"/>
    <w:rsid w:val="00F807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210C6"/>
  <w15:docId w15:val="{29745A6B-B360-CA42-81D6-8AE3CCD21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58F"/>
    <w:rPr>
      <w:lang w:val="es-CO"/>
    </w:rPr>
  </w:style>
  <w:style w:type="paragraph" w:styleId="Ttulo1">
    <w:name w:val="heading 1"/>
    <w:basedOn w:val="Normal"/>
    <w:link w:val="Ttulo1Car"/>
    <w:uiPriority w:val="9"/>
    <w:qFormat/>
    <w:rsid w:val="0032003D"/>
    <w:pPr>
      <w:widowControl w:val="0"/>
      <w:autoSpaceDE w:val="0"/>
      <w:autoSpaceDN w:val="0"/>
      <w:spacing w:line="251" w:lineRule="exact"/>
      <w:ind w:left="100"/>
      <w:jc w:val="left"/>
      <w:outlineLvl w:val="0"/>
    </w:pPr>
    <w:rPr>
      <w:rFonts w:ascii="Arial" w:eastAsia="Arial" w:hAnsi="Arial" w:cs="Arial"/>
      <w:b/>
      <w:bCs/>
      <w:lang w:val="es-ES" w:eastAsia="es-ES" w:bidi="es-ES"/>
    </w:rPr>
  </w:style>
  <w:style w:type="paragraph" w:styleId="Ttulo2">
    <w:name w:val="heading 2"/>
    <w:basedOn w:val="Normal"/>
    <w:next w:val="Normal"/>
    <w:link w:val="Ttulo2Car"/>
    <w:uiPriority w:val="9"/>
    <w:semiHidden/>
    <w:unhideWhenUsed/>
    <w:qFormat/>
    <w:rsid w:val="00B95D61"/>
    <w:pPr>
      <w:keepNext/>
      <w:keepLines/>
      <w:spacing w:before="360" w:after="80" w:line="259" w:lineRule="auto"/>
      <w:jc w:val="left"/>
      <w:outlineLvl w:val="1"/>
    </w:pPr>
    <w:rPr>
      <w:b/>
      <w:sz w:val="36"/>
      <w:szCs w:val="36"/>
      <w:lang w:val="es-ES" w:eastAsia="es-CO"/>
    </w:rPr>
  </w:style>
  <w:style w:type="paragraph" w:styleId="Ttulo3">
    <w:name w:val="heading 3"/>
    <w:basedOn w:val="Normal"/>
    <w:link w:val="Ttulo3Car"/>
    <w:uiPriority w:val="9"/>
    <w:semiHidden/>
    <w:unhideWhenUsed/>
    <w:qFormat/>
    <w:rsid w:val="00B95D61"/>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semiHidden/>
    <w:unhideWhenUsed/>
    <w:qFormat/>
    <w:rsid w:val="00B95D61"/>
    <w:pPr>
      <w:keepNext/>
      <w:keepLines/>
      <w:spacing w:before="240" w:after="40" w:line="259" w:lineRule="auto"/>
      <w:jc w:val="left"/>
      <w:outlineLvl w:val="3"/>
    </w:pPr>
    <w:rPr>
      <w:b/>
      <w:sz w:val="24"/>
      <w:szCs w:val="24"/>
      <w:lang w:val="es-ES" w:eastAsia="es-CO"/>
    </w:rPr>
  </w:style>
  <w:style w:type="paragraph" w:styleId="Ttulo5">
    <w:name w:val="heading 5"/>
    <w:basedOn w:val="Normal"/>
    <w:next w:val="Normal"/>
    <w:link w:val="Ttulo5Car"/>
    <w:uiPriority w:val="9"/>
    <w:semiHidden/>
    <w:unhideWhenUsed/>
    <w:qFormat/>
    <w:rsid w:val="00B95D61"/>
    <w:pPr>
      <w:keepNext/>
      <w:keepLines/>
      <w:spacing w:before="220" w:after="40" w:line="259" w:lineRule="auto"/>
      <w:jc w:val="left"/>
      <w:outlineLvl w:val="4"/>
    </w:pPr>
    <w:rPr>
      <w:b/>
      <w:lang w:val="es-ES" w:eastAsia="es-CO"/>
    </w:rPr>
  </w:style>
  <w:style w:type="paragraph" w:styleId="Ttulo6">
    <w:name w:val="heading 6"/>
    <w:basedOn w:val="Normal"/>
    <w:next w:val="Normal"/>
    <w:link w:val="Ttulo6Car"/>
    <w:uiPriority w:val="9"/>
    <w:semiHidden/>
    <w:unhideWhenUsed/>
    <w:qFormat/>
    <w:rsid w:val="00B95D61"/>
    <w:pPr>
      <w:keepNext/>
      <w:keepLines/>
      <w:spacing w:before="200" w:after="40" w:line="259" w:lineRule="auto"/>
      <w:jc w:val="left"/>
      <w:outlineLvl w:val="5"/>
    </w:pPr>
    <w:rPr>
      <w:b/>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95D61"/>
    <w:pPr>
      <w:keepNext/>
      <w:keepLines/>
      <w:spacing w:before="480" w:after="120" w:line="259" w:lineRule="auto"/>
      <w:jc w:val="left"/>
    </w:pPr>
    <w:rPr>
      <w:b/>
      <w:sz w:val="72"/>
      <w:szCs w:val="72"/>
      <w:lang w:val="es-ES" w:eastAsia="es-CO"/>
    </w:rPr>
  </w:style>
  <w:style w:type="paragraph" w:styleId="Encabezado">
    <w:name w:val="header"/>
    <w:basedOn w:val="Normal"/>
    <w:link w:val="EncabezadoCar"/>
    <w:uiPriority w:val="99"/>
    <w:unhideWhenUsed/>
    <w:rsid w:val="00F8036E"/>
    <w:pPr>
      <w:tabs>
        <w:tab w:val="center" w:pos="4419"/>
        <w:tab w:val="right" w:pos="8838"/>
      </w:tabs>
      <w:spacing w:line="240" w:lineRule="auto"/>
    </w:pPr>
    <w:rPr>
      <w:lang w:val="en-US"/>
    </w:rPr>
  </w:style>
  <w:style w:type="character" w:customStyle="1" w:styleId="EncabezadoCar">
    <w:name w:val="Encabezado Car"/>
    <w:basedOn w:val="Fuentedeprrafopredeter"/>
    <w:link w:val="Encabezado"/>
    <w:uiPriority w:val="99"/>
    <w:rsid w:val="00F8036E"/>
  </w:style>
  <w:style w:type="paragraph" w:styleId="Piedepgina">
    <w:name w:val="footer"/>
    <w:basedOn w:val="Normal"/>
    <w:link w:val="PiedepginaCar"/>
    <w:uiPriority w:val="99"/>
    <w:unhideWhenUsed/>
    <w:rsid w:val="00F8036E"/>
    <w:pPr>
      <w:tabs>
        <w:tab w:val="center" w:pos="4419"/>
        <w:tab w:val="right" w:pos="8838"/>
      </w:tabs>
      <w:spacing w:line="240" w:lineRule="auto"/>
    </w:pPr>
    <w:rPr>
      <w:lang w:val="en-US"/>
    </w:rPr>
  </w:style>
  <w:style w:type="character" w:customStyle="1" w:styleId="PiedepginaCar">
    <w:name w:val="Pie de página Car"/>
    <w:basedOn w:val="Fuentedeprrafopredeter"/>
    <w:link w:val="Piedepgina"/>
    <w:uiPriority w:val="99"/>
    <w:rsid w:val="00F8036E"/>
  </w:style>
  <w:style w:type="paragraph" w:styleId="NormalWeb">
    <w:name w:val="Normal (Web)"/>
    <w:basedOn w:val="Normal"/>
    <w:uiPriority w:val="99"/>
    <w:unhideWhenUsed/>
    <w:rsid w:val="00F803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96477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4779"/>
    <w:rPr>
      <w:rFonts w:ascii="Segoe UI" w:hAnsi="Segoe UI" w:cs="Segoe UI"/>
      <w:sz w:val="18"/>
      <w:szCs w:val="18"/>
    </w:rPr>
  </w:style>
  <w:style w:type="table" w:styleId="Tablaconcuadrcula">
    <w:name w:val="Table Grid"/>
    <w:basedOn w:val="Tablanormal"/>
    <w:uiPriority w:val="39"/>
    <w:rsid w:val="002A458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A458F"/>
    <w:pPr>
      <w:ind w:left="720"/>
      <w:contextualSpacing/>
    </w:pPr>
  </w:style>
  <w:style w:type="character" w:styleId="nfasis">
    <w:name w:val="Emphasis"/>
    <w:qFormat/>
    <w:rsid w:val="00311619"/>
    <w:rPr>
      <w:i/>
      <w:iCs/>
    </w:rPr>
  </w:style>
  <w:style w:type="table" w:customStyle="1" w:styleId="Tablaconcuadrcula1">
    <w:name w:val="Tabla con cuadrícula1"/>
    <w:basedOn w:val="Tablanormal"/>
    <w:next w:val="Tablaconcuadrcula"/>
    <w:uiPriority w:val="39"/>
    <w:rsid w:val="00311619"/>
    <w:pPr>
      <w:spacing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73C1A"/>
    <w:pPr>
      <w:spacing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2003D"/>
    <w:rPr>
      <w:rFonts w:ascii="Arial" w:eastAsia="Arial" w:hAnsi="Arial" w:cs="Arial"/>
      <w:b/>
      <w:bCs/>
      <w:lang w:val="es-ES" w:eastAsia="es-ES" w:bidi="es-ES"/>
    </w:rPr>
  </w:style>
  <w:style w:type="paragraph" w:styleId="Textoindependiente">
    <w:name w:val="Body Text"/>
    <w:basedOn w:val="Normal"/>
    <w:link w:val="TextoindependienteCar"/>
    <w:uiPriority w:val="1"/>
    <w:qFormat/>
    <w:rsid w:val="0032003D"/>
    <w:pPr>
      <w:widowControl w:val="0"/>
      <w:autoSpaceDE w:val="0"/>
      <w:autoSpaceDN w:val="0"/>
      <w:spacing w:line="240" w:lineRule="auto"/>
      <w:jc w:val="left"/>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32003D"/>
    <w:rPr>
      <w:rFonts w:ascii="Arial" w:eastAsia="Arial" w:hAnsi="Arial" w:cs="Arial"/>
      <w:lang w:val="es-ES" w:eastAsia="es-ES" w:bidi="es-ES"/>
    </w:rPr>
  </w:style>
  <w:style w:type="paragraph" w:styleId="Sinespaciado">
    <w:name w:val="No Spacing"/>
    <w:uiPriority w:val="1"/>
    <w:qFormat/>
    <w:rsid w:val="0032003D"/>
    <w:pPr>
      <w:spacing w:line="240" w:lineRule="auto"/>
    </w:pPr>
    <w:rPr>
      <w:lang w:val="es-CO"/>
    </w:rPr>
  </w:style>
  <w:style w:type="character" w:styleId="Hipervnculo">
    <w:name w:val="Hyperlink"/>
    <w:basedOn w:val="Fuentedeprrafopredeter"/>
    <w:uiPriority w:val="99"/>
    <w:unhideWhenUsed/>
    <w:rsid w:val="005F3AF2"/>
    <w:rPr>
      <w:color w:val="0563C1" w:themeColor="hyperlink"/>
      <w:u w:val="single"/>
    </w:rPr>
  </w:style>
  <w:style w:type="paragraph" w:customStyle="1" w:styleId="Default">
    <w:name w:val="Default"/>
    <w:rsid w:val="00197A98"/>
    <w:pPr>
      <w:autoSpaceDE w:val="0"/>
      <w:autoSpaceDN w:val="0"/>
      <w:adjustRightInd w:val="0"/>
      <w:spacing w:line="240" w:lineRule="auto"/>
    </w:pPr>
    <w:rPr>
      <w:color w:val="000000"/>
      <w:sz w:val="24"/>
      <w:szCs w:val="24"/>
      <w:lang w:val="es-CO"/>
    </w:rPr>
  </w:style>
  <w:style w:type="character" w:styleId="Textoennegrita">
    <w:name w:val="Strong"/>
    <w:basedOn w:val="Fuentedeprrafopredeter"/>
    <w:uiPriority w:val="22"/>
    <w:qFormat/>
    <w:rsid w:val="00234A15"/>
    <w:rPr>
      <w:b/>
      <w:bCs/>
    </w:rPr>
  </w:style>
  <w:style w:type="character" w:customStyle="1" w:styleId="Ttulo2Car">
    <w:name w:val="Título 2 Car"/>
    <w:basedOn w:val="Fuentedeprrafopredeter"/>
    <w:link w:val="Ttulo2"/>
    <w:uiPriority w:val="9"/>
    <w:semiHidden/>
    <w:rsid w:val="00B95D61"/>
    <w:rPr>
      <w:rFonts w:ascii="Calibri" w:eastAsia="Calibri" w:hAnsi="Calibri" w:cs="Calibri"/>
      <w:b/>
      <w:sz w:val="36"/>
      <w:szCs w:val="36"/>
      <w:lang w:val="es-ES" w:eastAsia="es-CO"/>
    </w:rPr>
  </w:style>
  <w:style w:type="character" w:customStyle="1" w:styleId="Ttulo3Car">
    <w:name w:val="Título 3 Car"/>
    <w:basedOn w:val="Fuentedeprrafopredeter"/>
    <w:link w:val="Ttulo3"/>
    <w:uiPriority w:val="9"/>
    <w:rsid w:val="00B95D61"/>
    <w:rPr>
      <w:rFonts w:ascii="Times New Roman" w:eastAsia="Times New Roman" w:hAnsi="Times New Roman" w:cs="Times New Roman"/>
      <w:b/>
      <w:bCs/>
      <w:sz w:val="27"/>
      <w:szCs w:val="27"/>
      <w:lang w:val="es-CO" w:eastAsia="es-CO"/>
    </w:rPr>
  </w:style>
  <w:style w:type="character" w:customStyle="1" w:styleId="Ttulo4Car">
    <w:name w:val="Título 4 Car"/>
    <w:basedOn w:val="Fuentedeprrafopredeter"/>
    <w:link w:val="Ttulo4"/>
    <w:uiPriority w:val="9"/>
    <w:semiHidden/>
    <w:rsid w:val="00B95D61"/>
    <w:rPr>
      <w:rFonts w:ascii="Calibri" w:eastAsia="Calibri" w:hAnsi="Calibri" w:cs="Calibri"/>
      <w:b/>
      <w:sz w:val="24"/>
      <w:szCs w:val="24"/>
      <w:lang w:val="es-ES" w:eastAsia="es-CO"/>
    </w:rPr>
  </w:style>
  <w:style w:type="character" w:customStyle="1" w:styleId="Ttulo5Car">
    <w:name w:val="Título 5 Car"/>
    <w:basedOn w:val="Fuentedeprrafopredeter"/>
    <w:link w:val="Ttulo5"/>
    <w:uiPriority w:val="9"/>
    <w:semiHidden/>
    <w:rsid w:val="00B95D61"/>
    <w:rPr>
      <w:rFonts w:ascii="Calibri" w:eastAsia="Calibri" w:hAnsi="Calibri" w:cs="Calibri"/>
      <w:b/>
      <w:lang w:val="es-ES" w:eastAsia="es-CO"/>
    </w:rPr>
  </w:style>
  <w:style w:type="character" w:customStyle="1" w:styleId="Ttulo6Car">
    <w:name w:val="Título 6 Car"/>
    <w:basedOn w:val="Fuentedeprrafopredeter"/>
    <w:link w:val="Ttulo6"/>
    <w:uiPriority w:val="9"/>
    <w:semiHidden/>
    <w:rsid w:val="00B95D61"/>
    <w:rPr>
      <w:rFonts w:ascii="Calibri" w:eastAsia="Calibri" w:hAnsi="Calibri" w:cs="Calibri"/>
      <w:b/>
      <w:sz w:val="20"/>
      <w:szCs w:val="20"/>
      <w:lang w:val="es-ES" w:eastAsia="es-CO"/>
    </w:rPr>
  </w:style>
  <w:style w:type="character" w:customStyle="1" w:styleId="mw-headline">
    <w:name w:val="mw-headline"/>
    <w:basedOn w:val="Fuentedeprrafopredeter"/>
    <w:rsid w:val="00B95D61"/>
  </w:style>
  <w:style w:type="character" w:customStyle="1" w:styleId="mw-editsection">
    <w:name w:val="mw-editsection"/>
    <w:basedOn w:val="Fuentedeprrafopredeter"/>
    <w:rsid w:val="00B95D61"/>
  </w:style>
  <w:style w:type="character" w:customStyle="1" w:styleId="mw-editsection-bracket">
    <w:name w:val="mw-editsection-bracket"/>
    <w:basedOn w:val="Fuentedeprrafopredeter"/>
    <w:rsid w:val="00B95D61"/>
  </w:style>
  <w:style w:type="character" w:customStyle="1" w:styleId="iaj">
    <w:name w:val="i_aj"/>
    <w:basedOn w:val="Fuentedeprrafopredeter"/>
    <w:rsid w:val="00B95D61"/>
  </w:style>
  <w:style w:type="character" w:customStyle="1" w:styleId="baj">
    <w:name w:val="b_aj"/>
    <w:basedOn w:val="Fuentedeprrafopredeter"/>
    <w:rsid w:val="00B95D61"/>
  </w:style>
  <w:style w:type="character" w:styleId="Refdecomentario">
    <w:name w:val="annotation reference"/>
    <w:basedOn w:val="Fuentedeprrafopredeter"/>
    <w:uiPriority w:val="99"/>
    <w:semiHidden/>
    <w:unhideWhenUsed/>
    <w:rsid w:val="00B95D61"/>
    <w:rPr>
      <w:sz w:val="16"/>
      <w:szCs w:val="16"/>
    </w:rPr>
  </w:style>
  <w:style w:type="paragraph" w:styleId="Textocomentario">
    <w:name w:val="annotation text"/>
    <w:basedOn w:val="Normal"/>
    <w:link w:val="TextocomentarioCar"/>
    <w:uiPriority w:val="99"/>
    <w:unhideWhenUsed/>
    <w:rsid w:val="00B95D61"/>
    <w:pPr>
      <w:spacing w:after="160" w:line="240" w:lineRule="auto"/>
      <w:jc w:val="left"/>
    </w:pPr>
    <w:rPr>
      <w:sz w:val="20"/>
      <w:szCs w:val="20"/>
      <w:lang w:val="es-ES" w:eastAsia="es-CO"/>
    </w:rPr>
  </w:style>
  <w:style w:type="character" w:customStyle="1" w:styleId="TextocomentarioCar">
    <w:name w:val="Texto comentario Car"/>
    <w:basedOn w:val="Fuentedeprrafopredeter"/>
    <w:link w:val="Textocomentario"/>
    <w:uiPriority w:val="99"/>
    <w:rsid w:val="00B95D61"/>
    <w:rPr>
      <w:rFonts w:ascii="Calibri" w:eastAsia="Calibri" w:hAnsi="Calibri" w:cs="Calibri"/>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B95D61"/>
    <w:rPr>
      <w:b/>
      <w:bCs/>
    </w:rPr>
  </w:style>
  <w:style w:type="character" w:customStyle="1" w:styleId="AsuntodelcomentarioCar">
    <w:name w:val="Asunto del comentario Car"/>
    <w:basedOn w:val="TextocomentarioCar"/>
    <w:link w:val="Asuntodelcomentario"/>
    <w:uiPriority w:val="99"/>
    <w:semiHidden/>
    <w:rsid w:val="00B95D61"/>
    <w:rPr>
      <w:rFonts w:ascii="Calibri" w:eastAsia="Calibri" w:hAnsi="Calibri" w:cs="Calibri"/>
      <w:b/>
      <w:bCs/>
      <w:sz w:val="20"/>
      <w:szCs w:val="20"/>
      <w:lang w:val="es-ES" w:eastAsia="es-CO"/>
    </w:rPr>
  </w:style>
  <w:style w:type="character" w:styleId="Nmerodepgina">
    <w:name w:val="page number"/>
    <w:basedOn w:val="Fuentedeprrafopredeter"/>
    <w:uiPriority w:val="99"/>
    <w:unhideWhenUsed/>
    <w:rsid w:val="00B95D61"/>
  </w:style>
  <w:style w:type="character" w:customStyle="1" w:styleId="TtuloCar">
    <w:name w:val="Título Car"/>
    <w:basedOn w:val="Fuentedeprrafopredeter"/>
    <w:link w:val="Ttulo"/>
    <w:uiPriority w:val="1"/>
    <w:rsid w:val="00B95D61"/>
    <w:rPr>
      <w:rFonts w:ascii="Calibri" w:eastAsia="Calibri" w:hAnsi="Calibri" w:cs="Calibri"/>
      <w:b/>
      <w:sz w:val="72"/>
      <w:szCs w:val="72"/>
      <w:lang w:val="es-ES" w:eastAsia="es-CO"/>
    </w:rPr>
  </w:style>
  <w:style w:type="paragraph" w:styleId="Subttulo">
    <w:name w:val="Subtitle"/>
    <w:basedOn w:val="Normal"/>
    <w:next w:val="Normal"/>
    <w:link w:val="SubttuloCar"/>
    <w:uiPriority w:val="11"/>
    <w:qFormat/>
    <w:pPr>
      <w:keepNext/>
      <w:keepLines/>
      <w:spacing w:before="360" w:after="80" w:line="259" w:lineRule="auto"/>
      <w:jc w:val="left"/>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B95D61"/>
    <w:rPr>
      <w:rFonts w:ascii="Georgia" w:eastAsia="Georgia" w:hAnsi="Georgia" w:cs="Georgia"/>
      <w:i/>
      <w:color w:val="666666"/>
      <w:sz w:val="48"/>
      <w:szCs w:val="48"/>
      <w:lang w:val="es-ES" w:eastAsia="es-CO"/>
    </w:rPr>
  </w:style>
  <w:style w:type="paragraph" w:styleId="Textonotapie">
    <w:name w:val="footnote text"/>
    <w:basedOn w:val="Normal"/>
    <w:link w:val="TextonotapieCar"/>
    <w:uiPriority w:val="99"/>
    <w:semiHidden/>
    <w:unhideWhenUsed/>
    <w:rsid w:val="00B95D61"/>
    <w:pPr>
      <w:spacing w:line="240" w:lineRule="auto"/>
      <w:jc w:val="left"/>
    </w:pPr>
    <w:rPr>
      <w:sz w:val="20"/>
      <w:szCs w:val="20"/>
      <w:lang w:val="es-ES" w:eastAsia="es-CO"/>
    </w:rPr>
  </w:style>
  <w:style w:type="character" w:customStyle="1" w:styleId="TextonotapieCar">
    <w:name w:val="Texto nota pie Car"/>
    <w:basedOn w:val="Fuentedeprrafopredeter"/>
    <w:link w:val="Textonotapie"/>
    <w:uiPriority w:val="99"/>
    <w:semiHidden/>
    <w:rsid w:val="00B95D61"/>
    <w:rPr>
      <w:rFonts w:ascii="Calibri" w:eastAsia="Calibri" w:hAnsi="Calibri" w:cs="Calibri"/>
      <w:sz w:val="20"/>
      <w:szCs w:val="20"/>
      <w:lang w:val="es-ES" w:eastAsia="es-CO"/>
    </w:rPr>
  </w:style>
  <w:style w:type="character" w:styleId="Refdenotaalpie">
    <w:name w:val="footnote reference"/>
    <w:basedOn w:val="Fuentedeprrafopredeter"/>
    <w:uiPriority w:val="99"/>
    <w:semiHidden/>
    <w:unhideWhenUsed/>
    <w:rsid w:val="00B95D61"/>
    <w:rPr>
      <w:vertAlign w:val="superscript"/>
    </w:rPr>
  </w:style>
  <w:style w:type="paragraph" w:customStyle="1" w:styleId="TableParagraph">
    <w:name w:val="Table Paragraph"/>
    <w:basedOn w:val="Normal"/>
    <w:uiPriority w:val="1"/>
    <w:qFormat/>
    <w:rsid w:val="00B95D61"/>
    <w:pPr>
      <w:widowControl w:val="0"/>
      <w:autoSpaceDE w:val="0"/>
      <w:autoSpaceDN w:val="0"/>
      <w:spacing w:line="240" w:lineRule="auto"/>
      <w:jc w:val="left"/>
    </w:pPr>
    <w:rPr>
      <w:rFonts w:ascii="Arial MT" w:eastAsia="Arial MT" w:hAnsi="Arial MT" w:cs="Arial MT"/>
      <w:lang w:val="es-ES"/>
    </w:rPr>
  </w:style>
  <w:style w:type="character" w:customStyle="1" w:styleId="TextodegloboCar1">
    <w:name w:val="Texto de globo Car1"/>
    <w:basedOn w:val="Fuentedeprrafopredeter"/>
    <w:uiPriority w:val="99"/>
    <w:semiHidden/>
    <w:rsid w:val="00B95D61"/>
    <w:rPr>
      <w:rFonts w:ascii="Segoe UI" w:eastAsia="Calibri" w:hAnsi="Segoe UI" w:cs="Segoe UI"/>
      <w:sz w:val="18"/>
      <w:szCs w:val="18"/>
      <w:lang w:eastAsia="es-CO"/>
    </w:rPr>
  </w:style>
  <w:style w:type="table" w:styleId="Cuadrculadetablaclara">
    <w:name w:val="Grid Table Light"/>
    <w:basedOn w:val="Tablanormal"/>
    <w:uiPriority w:val="40"/>
    <w:rsid w:val="00B95D6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B95D6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95D6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ield-content">
    <w:name w:val="field-content"/>
    <w:basedOn w:val="Fuentedeprrafopredeter"/>
    <w:rsid w:val="00073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76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jpg"/><Relationship Id="rId4" Type="http://schemas.openxmlformats.org/officeDocument/2006/relationships/hyperlink" Target="mailto:Jhon.berrio@camar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8V1gXPfOTnFbrhyHyCYfP/UHzQ==">CgMxLjAyDmguOW55amcxd3UxOWJ1OAByITEwUk0zcmFfcGs5a25hSFRUWVNKVzI0ZENZMjBjX29rTA==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3212</Words>
  <Characters>17666</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Sebastian Builes Garcia</cp:lastModifiedBy>
  <cp:revision>5</cp:revision>
  <cp:lastPrinted>2025-08-25T22:37:00Z</cp:lastPrinted>
  <dcterms:created xsi:type="dcterms:W3CDTF">2025-07-25T18:15:00Z</dcterms:created>
  <dcterms:modified xsi:type="dcterms:W3CDTF">2025-08-25T22:40:00Z</dcterms:modified>
</cp:coreProperties>
</file>