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spacing w:line="331.2" w:lineRule="auto"/>
        <w:jc w:val="right"/>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Bogotá D.C., 20 de julio de 2025</w:t>
      </w:r>
    </w:p>
    <w:p w:rsidR="00000000" w:rsidDel="00000000" w:rsidP="00000000" w:rsidRDefault="00000000" w:rsidRPr="00000000" w14:paraId="0000000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7">
      <w:pPr>
        <w:spacing w:line="331.2"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Doctor</w:t>
        <w:br w:type="textWrapping"/>
      </w:r>
      <w:r w:rsidDel="00000000" w:rsidR="00000000" w:rsidRPr="00000000">
        <w:rPr>
          <w:rFonts w:ascii="Bookman Old Style" w:cs="Bookman Old Style" w:eastAsia="Bookman Old Style" w:hAnsi="Bookman Old Style"/>
          <w:b w:val="1"/>
          <w:rtl w:val="0"/>
        </w:rPr>
        <w:t xml:space="preserve">JAIME LUIS LACOUTURE</w:t>
        <w:br w:type="textWrapping"/>
      </w:r>
      <w:r w:rsidDel="00000000" w:rsidR="00000000" w:rsidRPr="00000000">
        <w:rPr>
          <w:rFonts w:ascii="Bookman Old Style" w:cs="Bookman Old Style" w:eastAsia="Bookman Old Style" w:hAnsi="Bookman Old Style"/>
          <w:rtl w:val="0"/>
        </w:rPr>
        <w:t xml:space="preserve">Secretario General</w:t>
        <w:br w:type="textWrapping"/>
        <w:t xml:space="preserve">Cámara de Representantes </w:t>
        <w:br w:type="textWrapping"/>
        <w:t xml:space="preserve">Ciudad</w:t>
      </w:r>
    </w:p>
    <w:p w:rsidR="00000000" w:rsidDel="00000000" w:rsidP="00000000" w:rsidRDefault="00000000" w:rsidRPr="00000000" w14:paraId="0000000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9">
      <w:pPr>
        <w:spacing w:line="331.2" w:lineRule="auto"/>
        <w:ind w:left="100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Asunto: PROYECTO DE LEY </w:t>
      </w:r>
      <w:r w:rsidDel="00000000" w:rsidR="00000000" w:rsidRPr="00000000">
        <w:rPr>
          <w:rFonts w:ascii="Bookman Old Style" w:cs="Bookman Old Style" w:eastAsia="Bookman Old Style" w:hAnsi="Bookman Old Style"/>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p>
    <w:p w:rsidR="00000000" w:rsidDel="00000000" w:rsidP="00000000" w:rsidRDefault="00000000" w:rsidRPr="00000000" w14:paraId="0000000A">
      <w:pPr>
        <w:spacing w:line="331.2" w:lineRule="auto"/>
        <w:ind w:left="100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D">
      <w:pPr>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nuestra condición de miembros del Congreso de la República y en uso del derecho estabecido  en el artículo 150 de la Constitución Política de Colombia, por su digno conducto nos permitimos poner a consideración de la Honorable Cámara de Representantes el siguiente </w:t>
      </w:r>
      <w:r w:rsidDel="00000000" w:rsidR="00000000" w:rsidRPr="00000000">
        <w:rPr>
          <w:rFonts w:ascii="Bookman Old Style" w:cs="Bookman Old Style" w:eastAsia="Bookman Old Style" w:hAnsi="Bookman Old Style"/>
          <w:b w:val="1"/>
          <w:rtl w:val="0"/>
        </w:rPr>
        <w:t xml:space="preserve">Proyecto de Ley </w:t>
      </w:r>
      <w:r w:rsidDel="00000000" w:rsidR="00000000" w:rsidRPr="00000000">
        <w:rPr>
          <w:rFonts w:ascii="Bookman Old Style" w:cs="Bookman Old Style" w:eastAsia="Bookman Old Style" w:hAnsi="Bookman Old Style"/>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r w:rsidDel="00000000" w:rsidR="00000000" w:rsidRPr="00000000">
        <w:rPr>
          <w:rtl w:val="0"/>
        </w:rPr>
      </w:r>
    </w:p>
    <w:p w:rsidR="00000000" w:rsidDel="00000000" w:rsidP="00000000" w:rsidRDefault="00000000" w:rsidRPr="00000000" w14:paraId="0000000E">
      <w:pPr>
        <w:spacing w:line="288"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Cordialmente,</w:t>
      </w:r>
      <w:r w:rsidDel="00000000" w:rsidR="00000000" w:rsidRPr="00000000">
        <w:drawing>
          <wp:anchor allowOverlap="1" behindDoc="1" distB="0" distT="0" distL="0" distR="0" hidden="0" layoutInCell="1" locked="0" relativeHeight="0" simplePos="0">
            <wp:simplePos x="0" y="0"/>
            <wp:positionH relativeFrom="column">
              <wp:posOffset>2171700</wp:posOffset>
            </wp:positionH>
            <wp:positionV relativeFrom="paragraph">
              <wp:posOffset>79236</wp:posOffset>
            </wp:positionV>
            <wp:extent cx="1600200" cy="657225"/>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00200" cy="657225"/>
                    </a:xfrm>
                    <a:prstGeom prst="rect"/>
                    <a:ln/>
                  </pic:spPr>
                </pic:pic>
              </a:graphicData>
            </a:graphic>
          </wp:anchor>
        </w:drawing>
      </w:r>
    </w:p>
    <w:p w:rsidR="00000000" w:rsidDel="00000000" w:rsidP="00000000" w:rsidRDefault="00000000" w:rsidRPr="00000000" w14:paraId="00000011">
      <w:pPr>
        <w:spacing w:line="288"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2">
      <w:pPr>
        <w:spacing w:line="288"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spacing w:line="288"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JUAN CARLOS LOZADA VARGAS</w:t>
      </w:r>
    </w:p>
    <w:p w:rsidR="00000000" w:rsidDel="00000000" w:rsidP="00000000" w:rsidRDefault="00000000" w:rsidRPr="00000000" w14:paraId="00000015">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 por Bogotá</w:t>
      </w:r>
    </w:p>
    <w:p w:rsidR="00000000" w:rsidDel="00000000" w:rsidP="00000000" w:rsidRDefault="00000000" w:rsidRPr="00000000" w14:paraId="00000016">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Partido Liberal Colombiano</w:t>
      </w:r>
    </w:p>
    <w:p w:rsidR="00000000" w:rsidDel="00000000" w:rsidP="00000000" w:rsidRDefault="00000000" w:rsidRPr="00000000" w14:paraId="0000001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A">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Proyecto de Ley No_____________de 2025</w:t>
      </w:r>
    </w:p>
    <w:p w:rsidR="00000000" w:rsidDel="00000000" w:rsidP="00000000" w:rsidRDefault="00000000" w:rsidRPr="00000000" w14:paraId="0000001B">
      <w:pPr>
        <w:spacing w:line="288" w:lineRule="auto"/>
        <w:jc w:val="both"/>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C">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r w:rsidDel="00000000" w:rsidR="00000000" w:rsidRPr="00000000">
        <w:rPr>
          <w:rtl w:val="0"/>
        </w:rPr>
      </w:r>
    </w:p>
    <w:p w:rsidR="00000000" w:rsidDel="00000000" w:rsidP="00000000" w:rsidRDefault="00000000" w:rsidRPr="00000000" w14:paraId="0000001D">
      <w:pPr>
        <w:rPr>
          <w:rFonts w:ascii="Bookman Old Style" w:cs="Bookman Old Style" w:eastAsia="Bookman Old Style" w:hAnsi="Bookman Old Style"/>
        </w:rPr>
      </w:pPr>
      <w:r w:rsidDel="00000000" w:rsidR="00000000" w:rsidRPr="00000000">
        <w:rPr>
          <w:rtl w:val="0"/>
        </w:rPr>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380"/>
        <w:tblGridChange w:id="0">
          <w:tblGrid>
            <w:gridCol w:w="4425"/>
            <w:gridCol w:w="4380"/>
          </w:tblGrid>
        </w:tblGridChange>
      </w:tblGrid>
      <w:tr>
        <w:trPr>
          <w:cantSplit w:val="0"/>
          <w:trHeight w:val="21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spacing w:line="288" w:lineRule="auto"/>
              <w:jc w:val="cente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spacing w:line="288" w:lineRule="auto"/>
              <w:jc w:val="center"/>
              <w:rPr>
                <w:rFonts w:ascii="Bookman Old Style" w:cs="Bookman Old Style" w:eastAsia="Bookman Old Style" w:hAnsi="Bookman Old Style"/>
              </w:rPr>
            </w:pPr>
            <w:r w:rsidDel="00000000" w:rsidR="00000000" w:rsidRPr="00000000">
              <w:rPr>
                <w:rtl w:val="0"/>
              </w:rPr>
            </w:r>
          </w:p>
        </w:tc>
      </w:tr>
      <w:tr>
        <w:trPr>
          <w:cantSplit w:val="0"/>
          <w:trHeight w:val="2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A">
            <w:pPr>
              <w:spacing w:line="288" w:lineRule="auto"/>
              <w:jc w:val="center"/>
              <w:rPr>
                <w:rFonts w:ascii="Bookman Old Style" w:cs="Bookman Old Style" w:eastAsia="Bookman Old Style" w:hAnsi="Bookman Old Styl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Bookman Old Style" w:cs="Bookman Old Style" w:eastAsia="Bookman Old Style" w:hAnsi="Bookman Old Style"/>
              </w:rPr>
            </w:pPr>
            <w:r w:rsidDel="00000000" w:rsidR="00000000" w:rsidRPr="00000000">
              <w:rPr>
                <w:rtl w:val="0"/>
              </w:rPr>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331.2" w:lineRule="auto"/>
              <w:rPr>
                <w:rFonts w:ascii="Bookman Old Style" w:cs="Bookman Old Style" w:eastAsia="Bookman Old Style" w:hAnsi="Bookman Old Style"/>
                <w:b w:val="1"/>
              </w:rPr>
            </w:pPr>
            <w:r w:rsidDel="00000000" w:rsidR="00000000" w:rsidRPr="00000000">
              <w:rPr>
                <w:rtl w:val="0"/>
              </w:rPr>
            </w:r>
          </w:p>
        </w:tc>
      </w:tr>
      <w:tr>
        <w:trPr>
          <w:cantSplit w:val="0"/>
          <w:trHeight w:val="1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Bookman Old Style" w:cs="Bookman Old Style" w:eastAsia="Bookman Old Style" w:hAnsi="Bookman Old Style"/>
              </w:rPr>
            </w:pPr>
            <w:r w:rsidDel="00000000" w:rsidR="00000000" w:rsidRPr="00000000">
              <w:rPr>
                <w:rtl w:val="0"/>
              </w:rPr>
            </w:r>
          </w:p>
        </w:tc>
      </w:tr>
      <w:tr>
        <w:trPr>
          <w:cantSplit w:val="0"/>
          <w:trHeight w:val="19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3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pStyle w:val="Heading1"/>
        <w:ind w:left="0" w:firstLine="0"/>
        <w:jc w:val="left"/>
        <w:rPr/>
      </w:pPr>
      <w:bookmarkStart w:colFirst="0" w:colLast="0" w:name="_rv6snirxib5b" w:id="0"/>
      <w:bookmarkEnd w:id="0"/>
      <w:r w:rsidDel="00000000" w:rsidR="00000000" w:rsidRPr="00000000">
        <w:rPr>
          <w:rtl w:val="0"/>
        </w:rPr>
      </w:r>
    </w:p>
    <w:p w:rsidR="00000000" w:rsidDel="00000000" w:rsidP="00000000" w:rsidRDefault="00000000" w:rsidRPr="00000000" w14:paraId="00000034">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Proyecto de Ley No_____________de 2025</w:t>
      </w:r>
    </w:p>
    <w:p w:rsidR="00000000" w:rsidDel="00000000" w:rsidP="00000000" w:rsidRDefault="00000000" w:rsidRPr="00000000" w14:paraId="00000035">
      <w:pPr>
        <w:spacing w:line="288" w:lineRule="auto"/>
        <w:jc w:val="both"/>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36">
      <w:pPr>
        <w:spacing w:line="288" w:lineRule="auto"/>
        <w:jc w:val="cente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p>
    <w:p w:rsidR="00000000" w:rsidDel="00000000" w:rsidP="00000000" w:rsidRDefault="00000000" w:rsidRPr="00000000" w14:paraId="00000037">
      <w:pPr>
        <w:widowControl w:val="0"/>
        <w:spacing w:line="24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8">
      <w:pPr>
        <w:tabs>
          <w:tab w:val="left" w:leader="none" w:pos="5436"/>
        </w:tabs>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EL CONGRESO DE COLOMBIA</w:t>
      </w:r>
    </w:p>
    <w:p w:rsidR="00000000" w:rsidDel="00000000" w:rsidP="00000000" w:rsidRDefault="00000000" w:rsidRPr="00000000" w14:paraId="00000039">
      <w:pPr>
        <w:tabs>
          <w:tab w:val="left" w:leader="none" w:pos="5436"/>
        </w:tabs>
        <w:spacing w:line="24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A">
      <w:pPr>
        <w:tabs>
          <w:tab w:val="left" w:leader="none" w:pos="5436"/>
        </w:tabs>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DECRETA: </w:t>
      </w:r>
    </w:p>
    <w:p w:rsidR="00000000" w:rsidDel="00000000" w:rsidP="00000000" w:rsidRDefault="00000000" w:rsidRPr="00000000" w14:paraId="0000003B">
      <w:pPr>
        <w:pStyle w:val="Heading1"/>
        <w:ind w:left="0" w:firstLine="0"/>
        <w:rPr/>
      </w:pPr>
      <w:bookmarkStart w:colFirst="0" w:colLast="0" w:name="_4rm158rw9owg" w:id="1"/>
      <w:bookmarkEnd w:id="1"/>
      <w:r w:rsidDel="00000000" w:rsidR="00000000" w:rsidRPr="00000000">
        <w:rPr>
          <w:rtl w:val="0"/>
        </w:rPr>
      </w:r>
    </w:p>
    <w:p w:rsidR="00000000" w:rsidDel="00000000" w:rsidP="00000000" w:rsidRDefault="00000000" w:rsidRPr="00000000" w14:paraId="0000003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 OBJETO. </w:t>
      </w:r>
      <w:r w:rsidDel="00000000" w:rsidR="00000000" w:rsidRPr="00000000">
        <w:rPr>
          <w:rFonts w:ascii="Bookman Old Style" w:cs="Bookman Old Style" w:eastAsia="Bookman Old Style" w:hAnsi="Bookman Old Style"/>
          <w:rtl w:val="0"/>
        </w:rPr>
        <w:t xml:space="preserve">El objeto de </w:t>
      </w:r>
      <w:r w:rsidDel="00000000" w:rsidR="00000000" w:rsidRPr="00000000">
        <w:rPr>
          <w:rFonts w:ascii="Bookman Old Style" w:cs="Bookman Old Style" w:eastAsia="Bookman Old Style" w:hAnsi="Bookman Old Style"/>
          <w:highlight w:val="white"/>
          <w:rtl w:val="0"/>
        </w:rPr>
        <w:t xml:space="preserve">la presente ley es fortalecer el acceso al recurso de objeción contra las órdenes de comparendo, comunicación efectiva de las garantías procesales en los procesos de policía, así como promover proyectos pedagógicos y de prevención en materia de seguridad </w:t>
      </w:r>
      <w:r w:rsidDel="00000000" w:rsidR="00000000" w:rsidRPr="00000000">
        <w:rPr>
          <w:rFonts w:ascii="Bookman Old Style" w:cs="Bookman Old Style" w:eastAsia="Bookman Old Style" w:hAnsi="Bookman Old Style"/>
          <w:rtl w:val="0"/>
        </w:rPr>
        <w:t xml:space="preserve">para el cumplimiento de medidas correctivas impuestas por las autoridades de policía y dictar otras disposiciones.</w:t>
      </w:r>
    </w:p>
    <w:p w:rsidR="00000000" w:rsidDel="00000000" w:rsidP="00000000" w:rsidRDefault="00000000" w:rsidRPr="00000000" w14:paraId="0000003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 </w:t>
      </w:r>
      <w:r w:rsidDel="00000000" w:rsidR="00000000" w:rsidRPr="00000000">
        <w:rPr>
          <w:rFonts w:ascii="Bookman Old Style" w:cs="Bookman Old Style" w:eastAsia="Bookman Old Style" w:hAnsi="Bookman Old Style"/>
          <w:rtl w:val="0"/>
        </w:rPr>
        <w:t xml:space="preserve">Modifíquese el Artículo 180 de la Ley 1801 de 2016, el cual quedará así: </w:t>
      </w:r>
    </w:p>
    <w:p w:rsidR="00000000" w:rsidDel="00000000" w:rsidP="00000000" w:rsidRDefault="00000000" w:rsidRPr="00000000" w14:paraId="0000004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42">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180. MULTAS.</w:t>
      </w:r>
      <w:r w:rsidDel="00000000" w:rsidR="00000000" w:rsidRPr="00000000">
        <w:rPr>
          <w:rFonts w:ascii="Bookman Old Style" w:cs="Bookman Old Style" w:eastAsia="Bookman Old Style" w:hAnsi="Bookman Old Style"/>
          <w:rtl w:val="0"/>
        </w:rPr>
        <w:t xml:space="preserve">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043">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4">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se clasifican en generales y especiales.</w:t>
      </w:r>
    </w:p>
    <w:p w:rsidR="00000000" w:rsidDel="00000000" w:rsidP="00000000" w:rsidRDefault="00000000" w:rsidRPr="00000000" w14:paraId="00000045">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6">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generales se clasifican de la siguiente manera.</w:t>
      </w:r>
    </w:p>
    <w:p w:rsidR="00000000" w:rsidDel="00000000" w:rsidP="00000000" w:rsidRDefault="00000000" w:rsidRPr="00000000" w14:paraId="00000047">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8">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1: Dos (2) salarios mínimos diarios legales vigentes (smdlv).</w:t>
      </w:r>
    </w:p>
    <w:p w:rsidR="00000000" w:rsidDel="00000000" w:rsidP="00000000" w:rsidRDefault="00000000" w:rsidRPr="00000000" w14:paraId="00000049">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A">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2: Cuatro (4) salarios mínimos diarios legales vigentes (smdlv).</w:t>
      </w:r>
    </w:p>
    <w:p w:rsidR="00000000" w:rsidDel="00000000" w:rsidP="00000000" w:rsidRDefault="00000000" w:rsidRPr="00000000" w14:paraId="0000004B">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C">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3: Ocho (8) salarios mínimos diarios legales vigentes (smdlv).</w:t>
      </w:r>
    </w:p>
    <w:p w:rsidR="00000000" w:rsidDel="00000000" w:rsidP="00000000" w:rsidRDefault="00000000" w:rsidRPr="00000000" w14:paraId="0000004D">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4: Dieciséis (16) salarios mínimos diarios legales vigentes (smdlv).</w:t>
      </w:r>
    </w:p>
    <w:p w:rsidR="00000000" w:rsidDel="00000000" w:rsidP="00000000" w:rsidRDefault="00000000" w:rsidRPr="00000000" w14:paraId="0000004F">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0">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especiales son de tres tipos:</w:t>
      </w:r>
    </w:p>
    <w:p w:rsidR="00000000" w:rsidDel="00000000" w:rsidP="00000000" w:rsidRDefault="00000000" w:rsidRPr="00000000" w14:paraId="00000051">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2">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Comportamientos de los organizadores de actividades que involucran aglomeraciones de público complejas.</w:t>
      </w:r>
    </w:p>
    <w:p w:rsidR="00000000" w:rsidDel="00000000" w:rsidP="00000000" w:rsidRDefault="00000000" w:rsidRPr="00000000" w14:paraId="00000053">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Infracción urbanística.</w:t>
      </w:r>
    </w:p>
    <w:p w:rsidR="00000000" w:rsidDel="00000000" w:rsidP="00000000" w:rsidRDefault="00000000" w:rsidRPr="00000000" w14:paraId="00000055">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Contaminación visual o ruido que afecte la convivencia.</w:t>
      </w:r>
    </w:p>
    <w:p w:rsidR="00000000" w:rsidDel="00000000" w:rsidP="00000000" w:rsidRDefault="00000000" w:rsidRPr="00000000" w14:paraId="00000057">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8">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w:t>
      </w:r>
      <w:r w:rsidDel="00000000" w:rsidR="00000000" w:rsidRPr="00000000">
        <w:rPr>
          <w:rFonts w:ascii="Bookman Old Style" w:cs="Bookman Old Style" w:eastAsia="Bookman Old Style" w:hAnsi="Bookman Old Style"/>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059">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A">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05B">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05D">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05F">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quince (15)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061">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2">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cambio del pago de la Multa General tipos 1 y 2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063">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4">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cambio de una reducción del 50% de la Multa General tipos 3 y 4</w:t>
      </w:r>
      <w:r w:rsidDel="00000000" w:rsidR="00000000" w:rsidRPr="00000000">
        <w:rPr>
          <w:rFonts w:ascii="Bookman Old Style" w:cs="Bookman Old Style" w:eastAsia="Bookman Old Style" w:hAnsi="Bookman Old Style"/>
          <w:rtl w:val="0"/>
        </w:rPr>
        <w:t xml:space="preserve">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065">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quince (15) días hábiles siguientes ante la autoridad competente, para objetar la medida mediante el procedimiento establecido en este Código.</w:t>
      </w:r>
    </w:p>
    <w:p w:rsidR="00000000" w:rsidDel="00000000" w:rsidP="00000000" w:rsidRDefault="00000000" w:rsidRPr="00000000" w14:paraId="00000067">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069">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A">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TRANSITORIO. </w:t>
      </w:r>
      <w:r w:rsidDel="00000000" w:rsidR="00000000" w:rsidRPr="00000000">
        <w:rPr>
          <w:rFonts w:ascii="Bookman Old Style" w:cs="Bookman Old Style" w:eastAsia="Bookman Old Style" w:hAnsi="Bookman Old Style"/>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p>
    <w:p w:rsidR="00000000" w:rsidDel="00000000" w:rsidP="00000000" w:rsidRDefault="00000000" w:rsidRPr="00000000" w14:paraId="0000006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ARTÍCULO 3. </w:t>
      </w:r>
      <w:r w:rsidDel="00000000" w:rsidR="00000000" w:rsidRPr="00000000">
        <w:rPr>
          <w:rFonts w:ascii="Bookman Old Style" w:cs="Bookman Old Style" w:eastAsia="Bookman Old Style" w:hAnsi="Bookman Old Style"/>
          <w:rtl w:val="0"/>
        </w:rPr>
        <w:t xml:space="preserve">Modifíquese el Artículo 183 de la Ley 1801 de 2016, el cual quedará así: </w:t>
      </w:r>
      <w:r w:rsidDel="00000000" w:rsidR="00000000" w:rsidRPr="00000000">
        <w:rPr>
          <w:rtl w:val="0"/>
        </w:rPr>
      </w:r>
    </w:p>
    <w:p w:rsidR="00000000" w:rsidDel="00000000" w:rsidP="00000000" w:rsidRDefault="00000000" w:rsidRPr="00000000" w14:paraId="0000006E">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F">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183. Consecuencias por el no pago de multas. </w:t>
      </w:r>
      <w:r w:rsidDel="00000000" w:rsidR="00000000" w:rsidRPr="00000000">
        <w:rPr>
          <w:rFonts w:ascii="Bookman Old Style" w:cs="Bookman Old Style" w:eastAsia="Bookman Old Style" w:hAnsi="Bookman Old Style"/>
          <w:rtl w:val="0"/>
        </w:rPr>
        <w:t xml:space="preserve">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070">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1">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Obtener o renovar permiso de tenencia o porte de armas.</w:t>
      </w:r>
    </w:p>
    <w:p w:rsidR="00000000" w:rsidDel="00000000" w:rsidP="00000000" w:rsidRDefault="00000000" w:rsidRPr="00000000" w14:paraId="00000072">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Ser nombrado o ascendido en cargo público.</w:t>
      </w:r>
    </w:p>
    <w:p w:rsidR="00000000" w:rsidDel="00000000" w:rsidP="00000000" w:rsidRDefault="00000000" w:rsidRPr="00000000" w14:paraId="00000074">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5">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Ingresar a las escuelas de formación de la Fuerza Pública.</w:t>
      </w:r>
    </w:p>
    <w:p w:rsidR="00000000" w:rsidDel="00000000" w:rsidP="00000000" w:rsidRDefault="00000000" w:rsidRPr="00000000" w14:paraId="00000076">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7">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Contratar o renovar contrato con cualquier entidad del Estado.</w:t>
      </w:r>
    </w:p>
    <w:p w:rsidR="00000000" w:rsidDel="00000000" w:rsidP="00000000" w:rsidRDefault="00000000" w:rsidRPr="00000000" w14:paraId="00000078">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9">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Obtener o renovar el registro mercantil en las cámaras de comercio.</w:t>
      </w:r>
    </w:p>
    <w:p w:rsidR="00000000" w:rsidDel="00000000" w:rsidP="00000000" w:rsidRDefault="00000000" w:rsidRPr="00000000" w14:paraId="0000007A">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B">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Inscribirse a los concursos que apertura la Comisión Nacional del Servicio Civil.</w:t>
      </w:r>
    </w:p>
    <w:p w:rsidR="00000000" w:rsidDel="00000000" w:rsidP="00000000" w:rsidRDefault="00000000" w:rsidRPr="00000000" w14:paraId="0000007C">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D">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Acceder a permisos que otorguen las alcaldías distritales o municipales para la venta de bienes.</w:t>
      </w:r>
    </w:p>
    <w:p w:rsidR="00000000" w:rsidDel="00000000" w:rsidP="00000000" w:rsidRDefault="00000000" w:rsidRPr="00000000" w14:paraId="0000007E">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F">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Realizar trámites de las oficinas de tránsito y transporte.</w:t>
      </w:r>
    </w:p>
    <w:p w:rsidR="00000000" w:rsidDel="00000000" w:rsidP="00000000" w:rsidRDefault="00000000" w:rsidRPr="00000000" w14:paraId="00000080">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1">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Acceder al mecanismo temporal de regularización que defina el Gobierno Nacional.</w:t>
      </w:r>
    </w:p>
    <w:p w:rsidR="00000000" w:rsidDel="00000000" w:rsidP="00000000" w:rsidRDefault="00000000" w:rsidRPr="00000000" w14:paraId="00000082">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3">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 </w:t>
      </w:r>
      <w:r w:rsidDel="00000000" w:rsidR="00000000" w:rsidRPr="00000000">
        <w:rPr>
          <w:rFonts w:ascii="Bookman Old Style" w:cs="Bookman Old Style" w:eastAsia="Bookman Old Style" w:hAnsi="Bookman Old Style"/>
          <w:rtl w:val="0"/>
        </w:rPr>
        <w:t xml:space="preserve">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084">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5">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 Los servidores públicos que omitan esta verificación incurrirán en falta grave y a los que no ostenten esta calidad se les aplicará la multa tipo 4.</w:t>
      </w:r>
    </w:p>
    <w:p w:rsidR="00000000" w:rsidDel="00000000" w:rsidP="00000000" w:rsidRDefault="00000000" w:rsidRPr="00000000" w14:paraId="00000086">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7">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8">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w:t>
      </w:r>
      <w:r w:rsidDel="00000000" w:rsidR="00000000" w:rsidRPr="00000000">
        <w:rPr>
          <w:rFonts w:ascii="Bookman Old Style" w:cs="Bookman Old Style" w:eastAsia="Bookman Old Style" w:hAnsi="Bookman Old Style"/>
          <w:rtl w:val="0"/>
        </w:rPr>
        <w:t xml:space="preserve"> El cobro coactivo de que trata la presente ley se regulará por lo dispuesto en el artículo 100, numeral 2 de la Ley 1437 de 2011.</w:t>
      </w:r>
    </w:p>
    <w:p w:rsidR="00000000" w:rsidDel="00000000" w:rsidP="00000000" w:rsidRDefault="00000000" w:rsidRPr="00000000" w14:paraId="00000089">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4. </w:t>
      </w:r>
      <w:r w:rsidDel="00000000" w:rsidR="00000000" w:rsidRPr="00000000">
        <w:rPr>
          <w:rFonts w:ascii="Bookman Old Style" w:cs="Bookman Old Style" w:eastAsia="Bookman Old Style" w:hAnsi="Bookman Old Style"/>
          <w:rtl w:val="0"/>
        </w:rPr>
        <w:t xml:space="preserve">Modifíquese el Artículo 219 de la Ley 1801 de 2016, el cual quedará así: </w:t>
      </w:r>
    </w:p>
    <w:p w:rsidR="00000000" w:rsidDel="00000000" w:rsidP="00000000" w:rsidRDefault="00000000" w:rsidRPr="00000000" w14:paraId="0000008C">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8D">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219. PROCEDIMIENTO PARA LA IMPOSICIÓN DE COMPARENDO.</w:t>
      </w:r>
      <w:r w:rsidDel="00000000" w:rsidR="00000000" w:rsidRPr="00000000">
        <w:rPr>
          <w:rFonts w:ascii="Bookman Old Style" w:cs="Bookman Old Style" w:eastAsia="Bookman Old Style" w:hAnsi="Bookman Old Style"/>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08E">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F">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090">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1">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1o.</w:t>
      </w:r>
      <w:r w:rsidDel="00000000" w:rsidR="00000000" w:rsidRPr="00000000">
        <w:rPr>
          <w:rFonts w:ascii="Bookman Old Style" w:cs="Bookman Old Style" w:eastAsia="Bookman Old Style" w:hAnsi="Bookman Old Style"/>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092">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3">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2o. </w:t>
      </w:r>
      <w:r w:rsidDel="00000000" w:rsidR="00000000" w:rsidRPr="00000000">
        <w:rPr>
          <w:rFonts w:ascii="Bookman Old Style" w:cs="Bookman Old Style" w:eastAsia="Bookman Old Style" w:hAnsi="Bookman Old Style"/>
          <w:rtl w:val="0"/>
        </w:rPr>
        <w:t xml:space="preserve">Las autoridades de Policía al imponer una medida correctiva, deberán de oficio suministrar toda la información al infractor, acerca de los recursos qu</w:t>
      </w:r>
      <w:r w:rsidDel="00000000" w:rsidR="00000000" w:rsidRPr="00000000">
        <w:rPr>
          <w:rFonts w:ascii="Bookman Old Style" w:cs="Bookman Old Style" w:eastAsia="Bookman Old Style" w:hAnsi="Bookman Old Style"/>
          <w:rtl w:val="0"/>
        </w:rPr>
        <w:t xml:space="preserve">e le corresponde y los términos que tiene para interponerlos. La orden de </w:t>
      </w:r>
      <w:r w:rsidDel="00000000" w:rsidR="00000000" w:rsidRPr="00000000">
        <w:rPr>
          <w:rFonts w:ascii="Bookman Old Style" w:cs="Bookman Old Style" w:eastAsia="Bookman Old Style" w:hAnsi="Bookman Old Style"/>
          <w:rtl w:val="0"/>
        </w:rPr>
        <w:t xml:space="preserve">comparendo</w:t>
      </w:r>
      <w:r w:rsidDel="00000000" w:rsidR="00000000" w:rsidRPr="00000000">
        <w:rPr>
          <w:rFonts w:ascii="Bookman Old Style" w:cs="Bookman Old Style" w:eastAsia="Bookman Old Style" w:hAnsi="Bookman Old Style"/>
          <w:rtl w:val="0"/>
        </w:rPr>
        <w:t xml:space="preserve"> deberá incluir </w:t>
      </w:r>
      <w:r w:rsidDel="00000000" w:rsidR="00000000" w:rsidRPr="00000000">
        <w:rPr>
          <w:rFonts w:ascii="Bookman Old Style" w:cs="Bookman Old Style" w:eastAsia="Bookman Old Style" w:hAnsi="Bookman Old Style"/>
          <w:rtl w:val="0"/>
        </w:rPr>
        <w:t xml:space="preserve">por escrito </w:t>
      </w:r>
      <w:r w:rsidDel="00000000" w:rsidR="00000000" w:rsidRPr="00000000">
        <w:rPr>
          <w:rFonts w:ascii="Bookman Old Style" w:cs="Bookman Old Style" w:eastAsia="Bookman Old Style" w:hAnsi="Bookman Old Style"/>
          <w:rtl w:val="0"/>
        </w:rPr>
        <w:t xml:space="preserve">de manera clara, específica y accesible los derechos, garantías y recursos, incluyendo los de objeción y apelación, que le corresponde al infractor. </w:t>
      </w:r>
    </w:p>
    <w:p w:rsidR="00000000" w:rsidDel="00000000" w:rsidP="00000000" w:rsidRDefault="00000000" w:rsidRPr="00000000" w14:paraId="00000094">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5">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Dentro de los 3 meses de la entrada en vigencia de la presente Ley la Policía Nacional incluirá en su página web los diferentes recursos disponibles al infractor a través del Sistema Registro Nacional de Medidas Correctivas RNMC, o la plataforma que haga sus veces. En el mismo sentido, la Policía Nacional deberá hacer un instructivo general en el que se informe a toda la institución sobre las garantías procesales respecto a los comparendos. </w:t>
      </w:r>
      <w:r w:rsidDel="00000000" w:rsidR="00000000" w:rsidRPr="00000000">
        <w:rPr>
          <w:rFonts w:ascii="Bookman Old Style" w:cs="Bookman Old Style" w:eastAsia="Bookman Old Style" w:hAnsi="Bookman Old Style"/>
          <w:rtl w:val="0"/>
        </w:rPr>
        <w:t xml:space="preserve">Por su parte la Defensoría del Pueblo hará pedagogía permanente sobre los derechos de la ciudadanía frente a los comparendos por comportamientos contrarios a la convivencia</w:t>
      </w:r>
      <w:r w:rsidDel="00000000" w:rsidR="00000000" w:rsidRPr="00000000">
        <w:rPr>
          <w:rtl w:val="0"/>
        </w:rPr>
      </w:r>
    </w:p>
    <w:p w:rsidR="00000000" w:rsidDel="00000000" w:rsidP="00000000" w:rsidRDefault="00000000" w:rsidRPr="00000000" w14:paraId="00000096">
      <w:pPr>
        <w:widowControl w:val="0"/>
        <w:spacing w:line="240" w:lineRule="auto"/>
        <w:ind w:left="7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97">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3o. </w:t>
      </w:r>
      <w:r w:rsidDel="00000000" w:rsidR="00000000" w:rsidRPr="00000000">
        <w:rPr>
          <w:rFonts w:ascii="Bookman Old Style" w:cs="Bookman Old Style" w:eastAsia="Bookman Old Style" w:hAnsi="Bookman Old Style"/>
          <w:rtl w:val="0"/>
        </w:rPr>
        <w:t xml:space="preserve">En un período máximo de un año, las autoridades competentes deberán crear canales virtuales para interponer el recurso de objeción contra las órdenes de comparendo.</w:t>
      </w:r>
    </w:p>
    <w:p w:rsidR="00000000" w:rsidDel="00000000" w:rsidP="00000000" w:rsidRDefault="00000000" w:rsidRPr="00000000" w14:paraId="00000098">
      <w:pPr>
        <w:widowControl w:val="0"/>
        <w:spacing w:line="240" w:lineRule="auto"/>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5. </w:t>
      </w:r>
      <w:r w:rsidDel="00000000" w:rsidR="00000000" w:rsidRPr="00000000">
        <w:rPr>
          <w:rFonts w:ascii="Bookman Old Style" w:cs="Bookman Old Style" w:eastAsia="Bookman Old Style" w:hAnsi="Bookman Old Style"/>
          <w:rtl w:val="0"/>
        </w:rPr>
        <w:t xml:space="preserve">Modifíquese el Artículo 223a de la Ley 1801 de 2016, el cual quedará así: </w:t>
      </w:r>
    </w:p>
    <w:p w:rsidR="00000000" w:rsidDel="00000000" w:rsidP="00000000" w:rsidRDefault="00000000" w:rsidRPr="00000000" w14:paraId="0000009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C">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09D">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E">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F">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0A0">
      <w:pPr>
        <w:widowControl w:val="0"/>
        <w:spacing w:line="240" w:lineRule="auto"/>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1">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Aceptación ficta de responsabilidad. Expedida la orden de comparendo en la que se señala multa general, se entenderá que el infractor acepta la responsabilidad cuando, dentro de los quince (15)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0A2">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3">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0A4">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5">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Firmeza de la multa señalada en orden de comparendo. No objetada, una vez vencidos los quince (15)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0A6">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7">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Pérdida de beneficios. Cuando se objete la multa general señalada por el uniformado en la orden de comparendo, se pierde el derecho a los descuentos por pronto pago.</w:t>
      </w:r>
    </w:p>
    <w:p w:rsidR="00000000" w:rsidDel="00000000" w:rsidP="00000000" w:rsidRDefault="00000000" w:rsidRPr="00000000" w14:paraId="000000A8">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9">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0AA">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B">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0AC">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D">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0AE">
      <w:pPr>
        <w:widowControl w:val="0"/>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F">
      <w:pPr>
        <w:widowControl w:val="0"/>
        <w:spacing w:line="240" w:lineRule="auto"/>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0B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6°. VIGENCIA.</w:t>
      </w:r>
      <w:r w:rsidDel="00000000" w:rsidR="00000000" w:rsidRPr="00000000">
        <w:rPr>
          <w:rFonts w:ascii="Bookman Old Style" w:cs="Bookman Old Style" w:eastAsia="Bookman Old Style" w:hAnsi="Bookman Old Style"/>
          <w:rtl w:val="0"/>
        </w:rPr>
        <w:t xml:space="preserve"> La presente ley rige a partir del momento de su promulgación y deroga todas las disposiciones que le sean contrarias.</w:t>
      </w:r>
    </w:p>
    <w:p w:rsidR="00000000" w:rsidDel="00000000" w:rsidP="00000000" w:rsidRDefault="00000000" w:rsidRPr="00000000" w14:paraId="000000B2">
      <w:pPr>
        <w:widowControl w:val="0"/>
        <w:spacing w:line="240" w:lineRule="auto"/>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B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los honorables congresistas, </w:t>
      </w:r>
      <w:r w:rsidDel="00000000" w:rsidR="00000000" w:rsidRPr="00000000">
        <w:drawing>
          <wp:anchor allowOverlap="1" behindDoc="1" distB="0" distT="0" distL="0" distR="0" hidden="0" layoutInCell="1" locked="0" relativeHeight="0" simplePos="0">
            <wp:simplePos x="0" y="0"/>
            <wp:positionH relativeFrom="column">
              <wp:posOffset>2171700</wp:posOffset>
            </wp:positionH>
            <wp:positionV relativeFrom="paragraph">
              <wp:posOffset>62838</wp:posOffset>
            </wp:positionV>
            <wp:extent cx="1600200" cy="65722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00200" cy="657225"/>
                    </a:xfrm>
                    <a:prstGeom prst="rect"/>
                    <a:ln/>
                  </pic:spPr>
                </pic:pic>
              </a:graphicData>
            </a:graphic>
          </wp:anchor>
        </w:drawing>
      </w:r>
    </w:p>
    <w:p w:rsidR="00000000" w:rsidDel="00000000" w:rsidP="00000000" w:rsidRDefault="00000000" w:rsidRPr="00000000" w14:paraId="000000B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6">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7">
      <w:pPr>
        <w:spacing w:line="288"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JUAN CARLOS LOZADA VARGAS</w:t>
      </w:r>
    </w:p>
    <w:p w:rsidR="00000000" w:rsidDel="00000000" w:rsidP="00000000" w:rsidRDefault="00000000" w:rsidRPr="00000000" w14:paraId="000000B8">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 por Bogotá</w:t>
      </w:r>
    </w:p>
    <w:p w:rsidR="00000000" w:rsidDel="00000000" w:rsidP="00000000" w:rsidRDefault="00000000" w:rsidRPr="00000000" w14:paraId="000000B9">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Partido Liberal Colombiano</w:t>
      </w:r>
    </w:p>
    <w:p w:rsidR="00000000" w:rsidDel="00000000" w:rsidP="00000000" w:rsidRDefault="00000000" w:rsidRPr="00000000" w14:paraId="000000BA">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B">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C">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D">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E">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F">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0">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1">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2">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3">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4">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5">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6">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Proyecto de Ley No_____________de 2025</w:t>
      </w:r>
    </w:p>
    <w:p w:rsidR="00000000" w:rsidDel="00000000" w:rsidP="00000000" w:rsidRDefault="00000000" w:rsidRPr="00000000" w14:paraId="000000C7">
      <w:pPr>
        <w:spacing w:line="288" w:lineRule="auto"/>
        <w:jc w:val="both"/>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C8">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r w:rsidDel="00000000" w:rsidR="00000000" w:rsidRPr="00000000">
        <w:rPr>
          <w:rtl w:val="0"/>
        </w:rPr>
      </w:r>
    </w:p>
    <w:p w:rsidR="00000000" w:rsidDel="00000000" w:rsidP="00000000" w:rsidRDefault="00000000" w:rsidRPr="00000000" w14:paraId="000000C9">
      <w:pPr>
        <w:rPr>
          <w:rFonts w:ascii="Bookman Old Style" w:cs="Bookman Old Style" w:eastAsia="Bookman Old Style" w:hAnsi="Bookman Old Style"/>
        </w:rPr>
      </w:pPr>
      <w:r w:rsidDel="00000000" w:rsidR="00000000" w:rsidRPr="00000000">
        <w:rPr>
          <w:rtl w:val="0"/>
        </w:rPr>
      </w:r>
    </w:p>
    <w:tbl>
      <w:tblPr>
        <w:tblStyle w:val="Table2"/>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380"/>
        <w:tblGridChange w:id="0">
          <w:tblGrid>
            <w:gridCol w:w="4425"/>
            <w:gridCol w:w="4380"/>
          </w:tblGrid>
        </w:tblGridChange>
      </w:tblGrid>
      <w:tr>
        <w:trPr>
          <w:cantSplit w:val="0"/>
          <w:trHeight w:val="21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F">
            <w:pPr>
              <w:spacing w:line="288" w:lineRule="auto"/>
              <w:jc w:val="cente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3">
            <w:pPr>
              <w:spacing w:line="288" w:lineRule="auto"/>
              <w:jc w:val="center"/>
              <w:rPr>
                <w:rFonts w:ascii="Bookman Old Style" w:cs="Bookman Old Style" w:eastAsia="Bookman Old Style" w:hAnsi="Bookman Old Style"/>
              </w:rPr>
            </w:pPr>
            <w:r w:rsidDel="00000000" w:rsidR="00000000" w:rsidRPr="00000000">
              <w:rPr>
                <w:rtl w:val="0"/>
              </w:rPr>
            </w:r>
          </w:p>
        </w:tc>
      </w:tr>
      <w:tr>
        <w:trPr>
          <w:cantSplit w:val="0"/>
          <w:trHeight w:val="2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6">
            <w:pPr>
              <w:spacing w:line="288" w:lineRule="auto"/>
              <w:jc w:val="center"/>
              <w:rPr>
                <w:rFonts w:ascii="Bookman Old Style" w:cs="Bookman Old Style" w:eastAsia="Bookman Old Style" w:hAnsi="Bookman Old Styl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Bookman Old Style" w:cs="Bookman Old Style" w:eastAsia="Bookman Old Style" w:hAnsi="Bookman Old Style"/>
              </w:rPr>
            </w:pPr>
            <w:r w:rsidDel="00000000" w:rsidR="00000000" w:rsidRPr="00000000">
              <w:rPr>
                <w:rtl w:val="0"/>
              </w:rPr>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331.2" w:lineRule="auto"/>
              <w:rPr>
                <w:rFonts w:ascii="Bookman Old Style" w:cs="Bookman Old Style" w:eastAsia="Bookman Old Style" w:hAnsi="Bookman Old Style"/>
                <w:b w:val="1"/>
              </w:rPr>
            </w:pPr>
            <w:r w:rsidDel="00000000" w:rsidR="00000000" w:rsidRPr="00000000">
              <w:rPr>
                <w:rtl w:val="0"/>
              </w:rPr>
            </w:r>
          </w:p>
        </w:tc>
      </w:tr>
      <w:tr>
        <w:trPr>
          <w:cantSplit w:val="0"/>
          <w:trHeight w:val="1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Bookman Old Style" w:cs="Bookman Old Style" w:eastAsia="Bookman Old Style" w:hAnsi="Bookman Old Style"/>
              </w:rPr>
            </w:pPr>
            <w:r w:rsidDel="00000000" w:rsidR="00000000" w:rsidRPr="00000000">
              <w:rPr>
                <w:rtl w:val="0"/>
              </w:rPr>
            </w:r>
          </w:p>
        </w:tc>
      </w:tr>
      <w:tr>
        <w:trPr>
          <w:cantSplit w:val="0"/>
          <w:trHeight w:val="19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DE">
      <w:pPr>
        <w:spacing w:line="288" w:lineRule="auto"/>
        <w:jc w:val="left"/>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DF">
      <w:pPr>
        <w:ind w:left="0" w:firstLine="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EXPOSICIÓN DE MOTIVOS</w:t>
      </w:r>
    </w:p>
    <w:p w:rsidR="00000000" w:rsidDel="00000000" w:rsidP="00000000" w:rsidRDefault="00000000" w:rsidRPr="00000000" w14:paraId="000000E0">
      <w:pPr>
        <w:ind w:firstLine="720"/>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E1">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Proyecto de Ley No_____________de 2025</w:t>
      </w:r>
    </w:p>
    <w:p w:rsidR="00000000" w:rsidDel="00000000" w:rsidP="00000000" w:rsidRDefault="00000000" w:rsidRPr="00000000" w14:paraId="000000E2">
      <w:pPr>
        <w:widowControl w:val="0"/>
        <w:spacing w:line="240" w:lineRule="auto"/>
        <w:jc w:val="cente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r w:rsidDel="00000000" w:rsidR="00000000" w:rsidRPr="00000000">
        <w:rPr>
          <w:rtl w:val="0"/>
        </w:rPr>
      </w:r>
    </w:p>
    <w:p w:rsidR="00000000" w:rsidDel="00000000" w:rsidP="00000000" w:rsidRDefault="00000000" w:rsidRPr="00000000" w14:paraId="000000E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4">
      <w:pPr>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CONTENIDO DE LA EXPOSICIÓN DE MOTIVOS:</w:t>
      </w:r>
    </w:p>
    <w:p w:rsidR="00000000" w:rsidDel="00000000" w:rsidP="00000000" w:rsidRDefault="00000000" w:rsidRPr="00000000" w14:paraId="000000E5">
      <w:pPr>
        <w:jc w:val="both"/>
        <w:rPr>
          <w:rFonts w:ascii="Bookman Old Style" w:cs="Bookman Old Style" w:eastAsia="Bookman Old Style" w:hAnsi="Bookman Old Style"/>
          <w:sz w:val="20"/>
          <w:szCs w:val="20"/>
        </w:rPr>
      </w:pPr>
      <w:r w:rsidDel="00000000" w:rsidR="00000000" w:rsidRPr="00000000">
        <w:rPr>
          <w:rtl w:val="0"/>
        </w:rPr>
      </w:r>
    </w:p>
    <w:sdt>
      <w:sdtPr>
        <w:id w:val="-190209430"/>
        <w:docPartObj>
          <w:docPartGallery w:val="Table of Contents"/>
          <w:docPartUnique w:val="1"/>
        </w:docPartObj>
      </w:sdtPr>
      <w:sdtContent>
        <w:p w:rsidR="00000000" w:rsidDel="00000000" w:rsidP="00000000" w:rsidRDefault="00000000" w:rsidRPr="00000000" w14:paraId="000000E6">
          <w:pPr>
            <w:widowControl w:val="0"/>
            <w:tabs>
              <w:tab w:val="right" w:leader="dot"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vboapp2uhsu">
            <w:r w:rsidDel="00000000" w:rsidR="00000000" w:rsidRPr="00000000">
              <w:rPr>
                <w:rFonts w:ascii="Bookman Old Style" w:cs="Bookman Old Style" w:eastAsia="Bookman Old Style" w:hAnsi="Bookman Old Style"/>
                <w:b w:val="0"/>
                <w:i w:val="0"/>
                <w:smallCaps w:val="0"/>
                <w:strike w:val="0"/>
                <w:color w:val="1155cc"/>
                <w:sz w:val="20"/>
                <w:szCs w:val="20"/>
                <w:u w:val="single"/>
                <w:shd w:fill="auto" w:val="clear"/>
                <w:vertAlign w:val="baseline"/>
                <w:rtl w:val="0"/>
              </w:rPr>
              <w:t xml:space="preserve">I. OBJETO DEL PROYECTO DE LEY</w:t>
              <w:tab/>
              <w:t xml:space="preserve">10</w:t>
            </w:r>
          </w:hyperlink>
          <w:r w:rsidDel="00000000" w:rsidR="00000000" w:rsidRPr="00000000">
            <w:rPr>
              <w:rtl w:val="0"/>
            </w:rPr>
          </w:r>
        </w:p>
        <w:p w:rsidR="00000000" w:rsidDel="00000000" w:rsidP="00000000" w:rsidRDefault="00000000" w:rsidRPr="00000000" w14:paraId="000000E7">
          <w:pPr>
            <w:widowControl w:val="0"/>
            <w:tabs>
              <w:tab w:val="right" w:leader="dot" w:pos="12000"/>
            </w:tabs>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3q5h12417xj">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II. JUSTIFICACIÓN DEL PROYECTO DE LEY</w:t>
              <w:tab/>
              <w:t xml:space="preserve">12</w:t>
            </w:r>
          </w:hyperlink>
          <w:r w:rsidDel="00000000" w:rsidR="00000000" w:rsidRPr="00000000">
            <w:rPr>
              <w:rtl w:val="0"/>
            </w:rPr>
          </w:r>
        </w:p>
        <w:p w:rsidR="00000000" w:rsidDel="00000000" w:rsidP="00000000" w:rsidRDefault="00000000" w:rsidRPr="00000000" w14:paraId="000000E8">
          <w:pPr>
            <w:widowControl w:val="0"/>
            <w:tabs>
              <w:tab w:val="right" w:leader="dot"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9lkyo75go0pa">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1. El tiempo para ejercer recursos es muy corto</w:t>
              <w:tab/>
              <w:t xml:space="preserve">12</w:t>
            </w:r>
          </w:hyperlink>
          <w:r w:rsidDel="00000000" w:rsidR="00000000" w:rsidRPr="00000000">
            <w:rPr>
              <w:rtl w:val="0"/>
            </w:rPr>
          </w:r>
        </w:p>
        <w:p w:rsidR="00000000" w:rsidDel="00000000" w:rsidP="00000000" w:rsidRDefault="00000000" w:rsidRPr="00000000" w14:paraId="000000E9">
          <w:pPr>
            <w:widowControl w:val="0"/>
            <w:tabs>
              <w:tab w:val="right" w:leader="dot"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ha7x9m29qedq">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2. Falta de claridad en la comunicación del comparendos contrarios a la convivencia y de los recursos existentes</w:t>
              <w:tab/>
              <w:t xml:space="preserve">12</w:t>
            </w:r>
          </w:hyperlink>
          <w:r w:rsidDel="00000000" w:rsidR="00000000" w:rsidRPr="00000000">
            <w:rPr>
              <w:rtl w:val="0"/>
            </w:rPr>
          </w:r>
        </w:p>
        <w:p w:rsidR="00000000" w:rsidDel="00000000" w:rsidP="00000000" w:rsidRDefault="00000000" w:rsidRPr="00000000" w14:paraId="000000EA">
          <w:pPr>
            <w:widowControl w:val="0"/>
            <w:tabs>
              <w:tab w:val="right" w:leader="dot"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3jcwn5fvdp4u">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3. Pocas medidas pedagógicas</w:t>
              <w:tab/>
              <w:t xml:space="preserve">12</w:t>
            </w:r>
          </w:hyperlink>
          <w:r w:rsidDel="00000000" w:rsidR="00000000" w:rsidRPr="00000000">
            <w:rPr>
              <w:rtl w:val="0"/>
            </w:rPr>
          </w:r>
        </w:p>
        <w:p w:rsidR="00000000" w:rsidDel="00000000" w:rsidP="00000000" w:rsidRDefault="00000000" w:rsidRPr="00000000" w14:paraId="000000EB">
          <w:pPr>
            <w:widowControl w:val="0"/>
            <w:tabs>
              <w:tab w:val="right" w:leader="dot"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vviwqufkqqca">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5. Falta de información y canales digitales</w:t>
              <w:tab/>
              <w:t xml:space="preserve">14</w:t>
            </w:r>
          </w:hyperlink>
          <w:r w:rsidDel="00000000" w:rsidR="00000000" w:rsidRPr="00000000">
            <w:rPr>
              <w:rtl w:val="0"/>
            </w:rPr>
          </w:r>
        </w:p>
        <w:p w:rsidR="00000000" w:rsidDel="00000000" w:rsidP="00000000" w:rsidRDefault="00000000" w:rsidRPr="00000000" w14:paraId="000000EC">
          <w:pPr>
            <w:widowControl w:val="0"/>
            <w:tabs>
              <w:tab w:val="right" w:leader="dot"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odak2vagu1w">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III. FUNDAMENTOS LEGALES Y COMPETENCIA DEL CONGRESO DE LA REPÚBLICA</w:t>
              <w:tab/>
              <w:t xml:space="preserve">16</w:t>
            </w:r>
          </w:hyperlink>
          <w:r w:rsidDel="00000000" w:rsidR="00000000" w:rsidRPr="00000000">
            <w:rPr>
              <w:rtl w:val="0"/>
            </w:rPr>
          </w:r>
        </w:p>
        <w:p w:rsidR="00000000" w:rsidDel="00000000" w:rsidP="00000000" w:rsidRDefault="00000000" w:rsidRPr="00000000" w14:paraId="000000ED">
          <w:pPr>
            <w:widowControl w:val="0"/>
            <w:tabs>
              <w:tab w:val="right" w:leader="dot"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a73ak3hphqxl">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IV. COMPARACIÓN TEXTO PROPUESTO CON EL TEXTO LEGAL VIGENTE DE LA LEY 1801 DE 2016</w:t>
              <w:tab/>
              <w:t xml:space="preserve">18</w:t>
            </w:r>
          </w:hyperlink>
          <w:r w:rsidDel="00000000" w:rsidR="00000000" w:rsidRPr="00000000">
            <w:rPr>
              <w:rtl w:val="0"/>
            </w:rPr>
          </w:r>
        </w:p>
        <w:p w:rsidR="00000000" w:rsidDel="00000000" w:rsidP="00000000" w:rsidRDefault="00000000" w:rsidRPr="00000000" w14:paraId="000000EE">
          <w:pPr>
            <w:widowControl w:val="0"/>
            <w:tabs>
              <w:tab w:val="right" w:leader="dot"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1rdx6hodznjn">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V. CONFLICTO DE INTERÉS</w:t>
              <w:tab/>
              <w:t xml:space="preserve">28</w:t>
            </w:r>
          </w:hyperlink>
          <w:r w:rsidDel="00000000" w:rsidR="00000000" w:rsidRPr="00000000">
            <w:rPr>
              <w:rtl w:val="0"/>
            </w:rPr>
          </w:r>
        </w:p>
        <w:p w:rsidR="00000000" w:rsidDel="00000000" w:rsidP="00000000" w:rsidRDefault="00000000" w:rsidRPr="00000000" w14:paraId="000000EF">
          <w:pPr>
            <w:widowControl w:val="0"/>
            <w:tabs>
              <w:tab w:val="right" w:leader="dot"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6e5v25mwaln">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VI. IMPACTO FISCAL</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F0">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F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2">
      <w:pPr>
        <w:pStyle w:val="Heading1"/>
        <w:numPr>
          <w:ilvl w:val="0"/>
          <w:numId w:val="1"/>
        </w:numPr>
        <w:jc w:val="both"/>
        <w:rPr/>
      </w:pPr>
      <w:bookmarkStart w:colFirst="0" w:colLast="0" w:name="_svboapp2uhsu" w:id="2"/>
      <w:bookmarkEnd w:id="2"/>
      <w:r w:rsidDel="00000000" w:rsidR="00000000" w:rsidRPr="00000000">
        <w:rPr>
          <w:rtl w:val="0"/>
        </w:rPr>
        <w:t xml:space="preserve">OBJETO DEL PROYECTO DE LEY</w:t>
      </w:r>
      <w:r w:rsidDel="00000000" w:rsidR="00000000" w:rsidRPr="00000000">
        <w:rPr>
          <w:rtl w:val="0"/>
        </w:rPr>
      </w:r>
    </w:p>
    <w:p w:rsidR="00000000" w:rsidDel="00000000" w:rsidP="00000000" w:rsidRDefault="00000000" w:rsidRPr="00000000" w14:paraId="000000F3">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Este proyecto de ley tiene como objetivo introducir garantías al proceso de establecimiento de comparendos establecidos en el Código Nacional de Seguridad y Convivencia Ciudadana —Ley 1801 de 2016—, particularmente a los artículos 180, 183, 219 y 223A, con el fin de hacer efectivos recursos como la objeción de comparendos, ampliar las alternativas pedagógicas al pago de multas, y asegurar una comunicación clara y accesible de las garantías procesales para quienes se ven involucrados en procedimientos policivos, así como las medidas de orden pedagógico para difundir estos derechos. </w:t>
      </w:r>
    </w:p>
    <w:p w:rsidR="00000000" w:rsidDel="00000000" w:rsidP="00000000" w:rsidRDefault="00000000" w:rsidRPr="00000000" w14:paraId="000000F4">
      <w:pPr>
        <w:spacing w:after="240" w:before="240" w:lineRule="auto"/>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rtl w:val="0"/>
        </w:rPr>
        <w:t xml:space="preserve">La reforma legislativa propuesta parte del reconocimiento de una problemática estructural en la aplicación de medidas correctivas, especialmente en lo relacionado con la imposición de multas mediante órdenes de comparendo. Estas dificultades se relacionan con el poco conocimiento de estos procedimientos y los tiempos excesivamente cortos para interponer recursos, lo cual afecta los derechos fundamentales de la ciudadanía, especialmente de jóvenes, personas en situación de vulnerabilidad económica, migrantes, trabajadores informales y comunidades periféricas, entre otros grupos vulnerables.</w:t>
      </w:r>
      <w:r w:rsidDel="00000000" w:rsidR="00000000" w:rsidRPr="00000000">
        <w:rPr>
          <w:rtl w:val="0"/>
        </w:rPr>
      </w:r>
    </w:p>
    <w:p w:rsidR="00000000" w:rsidDel="00000000" w:rsidP="00000000" w:rsidRDefault="00000000" w:rsidRPr="00000000" w14:paraId="000000F5">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Este proyecto tiene como propósito central introducir modificaciones que garanticen el acceso efectivo al recurso de objeción frente a comparendos policiales, promuevan la sustitución de multas por medidas pedagógicas de convivencia, y aseguren una adecuada comunicación de derechos a los ciudadanos. Para ello, se proponen las siguientes medidas:</w:t>
      </w:r>
    </w:p>
    <w:p w:rsidR="00000000" w:rsidDel="00000000" w:rsidP="00000000" w:rsidRDefault="00000000" w:rsidRPr="00000000" w14:paraId="000000F6">
      <w:pPr>
        <w:numPr>
          <w:ilvl w:val="0"/>
          <w:numId w:val="2"/>
        </w:numPr>
        <w:spacing w:after="0" w:afterAutospacing="0" w:befor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ampliación de los plazos para ejercer recursos de objeción (de 3 a 15 días) con el fin de que las personas conozcan los derechos que tienen respecto a los comparendos. </w:t>
      </w:r>
    </w:p>
    <w:p w:rsidR="00000000" w:rsidDel="00000000" w:rsidP="00000000" w:rsidRDefault="00000000" w:rsidRPr="00000000" w14:paraId="000000F7">
      <w:pPr>
        <w:numPr>
          <w:ilvl w:val="0"/>
          <w:numId w:val="2"/>
        </w:numPr>
        <w:spacing w:after="0" w:afterAutospacing="0" w:before="0" w:beforeAutospacing="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incorporación de una obligación clara para que las órdenes de </w:t>
      </w:r>
      <w:r w:rsidDel="00000000" w:rsidR="00000000" w:rsidRPr="00000000">
        <w:rPr>
          <w:rFonts w:ascii="Bookman Old Style" w:cs="Bookman Old Style" w:eastAsia="Bookman Old Style" w:hAnsi="Bookman Old Style"/>
          <w:rtl w:val="0"/>
        </w:rPr>
        <w:t xml:space="preserve">comparendo</w:t>
      </w:r>
      <w:r w:rsidDel="00000000" w:rsidR="00000000" w:rsidRPr="00000000">
        <w:rPr>
          <w:rFonts w:ascii="Bookman Old Style" w:cs="Bookman Old Style" w:eastAsia="Bookman Old Style" w:hAnsi="Bookman Old Style"/>
          <w:rtl w:val="0"/>
        </w:rPr>
        <w:t xml:space="preserve"> sean entregadas por escrito e incluyan información comprensible sobre los recursos disponibles.</w:t>
      </w:r>
    </w:p>
    <w:p w:rsidR="00000000" w:rsidDel="00000000" w:rsidP="00000000" w:rsidRDefault="00000000" w:rsidRPr="00000000" w14:paraId="000000F8">
      <w:pPr>
        <w:numPr>
          <w:ilvl w:val="0"/>
          <w:numId w:val="2"/>
        </w:numPr>
        <w:spacing w:after="0" w:afterAutospacing="0" w:before="0" w:beforeAutospacing="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extensión de la posibilidad de sustituir el valor del 50% de las multas tipo 3 y 4 por actividades pedagógicas bajo ciertos requisitos.</w:t>
      </w:r>
    </w:p>
    <w:p w:rsidR="00000000" w:rsidDel="00000000" w:rsidP="00000000" w:rsidRDefault="00000000" w:rsidRPr="00000000" w14:paraId="000000F9">
      <w:pPr>
        <w:numPr>
          <w:ilvl w:val="0"/>
          <w:numId w:val="2"/>
        </w:numPr>
        <w:spacing w:after="0" w:afterAutospacing="0" w:before="0" w:beforeAutospacing="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 elimina el numeral segundo del artículo 223A del </w:t>
      </w:r>
      <w:r w:rsidDel="00000000" w:rsidR="00000000" w:rsidRPr="00000000">
        <w:rPr>
          <w:rFonts w:ascii="Bookman Old Style" w:cs="Bookman Old Style" w:eastAsia="Bookman Old Style" w:hAnsi="Bookman Old Style"/>
          <w:i w:val="1"/>
          <w:color w:val="333333"/>
          <w:highlight w:val="white"/>
          <w:rtl w:val="0"/>
        </w:rPr>
        <w:t xml:space="preserve">Código Nacional de Seguridad y Convivencia Ciudadana</w:t>
      </w:r>
      <w:r w:rsidDel="00000000" w:rsidR="00000000" w:rsidRPr="00000000">
        <w:rPr>
          <w:rFonts w:ascii="Bookman Old Style" w:cs="Bookman Old Style" w:eastAsia="Bookman Old Style" w:hAnsi="Bookman Old Style"/>
          <w:rtl w:val="0"/>
        </w:rPr>
        <w:t xml:space="preserve"> por afectar el debido proceso en favor de la celeridad. </w:t>
      </w:r>
    </w:p>
    <w:p w:rsidR="00000000" w:rsidDel="00000000" w:rsidP="00000000" w:rsidRDefault="00000000" w:rsidRPr="00000000" w14:paraId="000000FA">
      <w:pPr>
        <w:numPr>
          <w:ilvl w:val="0"/>
          <w:numId w:val="2"/>
        </w:numPr>
        <w:spacing w:after="0" w:afterAutospacing="0" w:before="0" w:beforeAutospacing="0" w:lineRule="auto"/>
        <w:ind w:left="720"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highlight w:val="white"/>
          <w:rtl w:val="0"/>
        </w:rPr>
        <w:t xml:space="preserve">En su estado actual el numeral décimo del artículo 183 del Código Nacional de Seguridad y Convivencia Ciudadana no permite acceder a la conmutación de la multa tipo 1 y 2, por la participación en programa comunitario o actividad pedagógica de convivencia, a las personas que transcurridos seis meses desde la fecha de imposición de la multa no hayan realizado el pago. Se elimina este numeral dado que va en contravía del fin pedagógico de la norma.  </w:t>
      </w:r>
      <w:r w:rsidDel="00000000" w:rsidR="00000000" w:rsidRPr="00000000">
        <w:rPr>
          <w:rtl w:val="0"/>
        </w:rPr>
      </w:r>
    </w:p>
    <w:p w:rsidR="00000000" w:rsidDel="00000000" w:rsidP="00000000" w:rsidRDefault="00000000" w:rsidRPr="00000000" w14:paraId="000000FB">
      <w:pPr>
        <w:numPr>
          <w:ilvl w:val="0"/>
          <w:numId w:val="2"/>
        </w:numPr>
        <w:spacing w:after="0" w:afterAutospacing="0" w:before="0" w:beforeAutospacing="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fortalecimiento de la plataforma digital de la Policía Nacional para garantizar la publicidad de las medidas correctivas y el acceso a la información en todo el país. De la mismo modo, se establece la obligación para que la Policía Nacional realice un instructivo general en el que se informe a toda la institución sobre las garantías procesales respecto a los comparendos.</w:t>
      </w:r>
    </w:p>
    <w:p w:rsidR="00000000" w:rsidDel="00000000" w:rsidP="00000000" w:rsidRDefault="00000000" w:rsidRPr="00000000" w14:paraId="000000FC">
      <w:pPr>
        <w:widowControl w:val="0"/>
        <w:numPr>
          <w:ilvl w:val="0"/>
          <w:numId w:val="2"/>
        </w:numPr>
        <w:spacing w:after="0" w:afterAutospacing="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autoridades competentes deberán crear canales virtuales para interponer el recurso de objeción contra las órdenes de comparendo en un período máximo de un año. </w:t>
      </w:r>
      <w:r w:rsidDel="00000000" w:rsidR="00000000" w:rsidRPr="00000000">
        <w:rPr>
          <w:rFonts w:ascii="Bookman Old Style" w:cs="Bookman Old Style" w:eastAsia="Bookman Old Style" w:hAnsi="Bookman Old Style"/>
          <w:b w:val="1"/>
          <w:u w:val="single"/>
          <w:rtl w:val="0"/>
        </w:rPr>
        <w:t xml:space="preserve">  </w:t>
      </w:r>
      <w:r w:rsidDel="00000000" w:rsidR="00000000" w:rsidRPr="00000000">
        <w:rPr>
          <w:rtl w:val="0"/>
        </w:rPr>
      </w:r>
    </w:p>
    <w:p w:rsidR="00000000" w:rsidDel="00000000" w:rsidP="00000000" w:rsidRDefault="00000000" w:rsidRPr="00000000" w14:paraId="000000FD">
      <w:pPr>
        <w:numPr>
          <w:ilvl w:val="0"/>
          <w:numId w:val="2"/>
        </w:numPr>
        <w:spacing w:after="240" w:before="0" w:beforeAutospacing="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w:t>
      </w:r>
      <w:r w:rsidDel="00000000" w:rsidR="00000000" w:rsidRPr="00000000">
        <w:rPr>
          <w:rFonts w:ascii="Bookman Old Style" w:cs="Bookman Old Style" w:eastAsia="Bookman Old Style" w:hAnsi="Bookman Old Style"/>
          <w:rtl w:val="0"/>
        </w:rPr>
        <w:t xml:space="preserve">obligación por parte de la Defensoría</w:t>
      </w:r>
      <w:r w:rsidDel="00000000" w:rsidR="00000000" w:rsidRPr="00000000">
        <w:rPr>
          <w:rFonts w:ascii="Bookman Old Style" w:cs="Bookman Old Style" w:eastAsia="Bookman Old Style" w:hAnsi="Bookman Old Style"/>
          <w:rtl w:val="0"/>
        </w:rPr>
        <w:t xml:space="preserve"> del Pueblo de hacer pedagogía respecto a los derechos de la ciudadanía en relación con los comparendos.</w:t>
      </w:r>
      <w:r w:rsidDel="00000000" w:rsidR="00000000" w:rsidRPr="00000000">
        <w:rPr>
          <w:rtl w:val="0"/>
        </w:rPr>
      </w:r>
    </w:p>
    <w:p w:rsidR="00000000" w:rsidDel="00000000" w:rsidP="00000000" w:rsidRDefault="00000000" w:rsidRPr="00000000" w14:paraId="000000FE">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presente iniciativa legislativa busca introducir reformas procedimentales en el régimen de imposición de comparendos por parte de las autoridades de policía en Colombia, con el propósito de garantizar la protección efectiva de los derechos fundamentales, mejorar el acceso a la justicia sancionatoria y fortalecer los mecanismos pedagógicos para la promoción de la convivencia ciudadana.</w:t>
      </w:r>
    </w:p>
    <w:p w:rsidR="00000000" w:rsidDel="00000000" w:rsidP="00000000" w:rsidRDefault="00000000" w:rsidRPr="00000000" w14:paraId="000000FF">
      <w:pPr>
        <w:pStyle w:val="Heading2"/>
        <w:keepNext w:val="0"/>
        <w:keepLines w:val="0"/>
        <w:numPr>
          <w:ilvl w:val="0"/>
          <w:numId w:val="1"/>
        </w:numPr>
        <w:spacing w:after="80" w:lineRule="auto"/>
        <w:ind w:left="720" w:hanging="360"/>
        <w:jc w:val="both"/>
        <w:rPr>
          <w:rFonts w:ascii="Bookman Old Style" w:cs="Bookman Old Style" w:eastAsia="Bookman Old Style" w:hAnsi="Bookman Old Style"/>
          <w:b w:val="1"/>
          <w:sz w:val="22"/>
          <w:szCs w:val="22"/>
        </w:rPr>
      </w:pPr>
      <w:bookmarkStart w:colFirst="0" w:colLast="0" w:name="_y3q5h12417xj" w:id="3"/>
      <w:bookmarkEnd w:id="3"/>
      <w:r w:rsidDel="00000000" w:rsidR="00000000" w:rsidRPr="00000000">
        <w:rPr>
          <w:rFonts w:ascii="Bookman Old Style" w:cs="Bookman Old Style" w:eastAsia="Bookman Old Style" w:hAnsi="Bookman Old Style"/>
          <w:b w:val="1"/>
          <w:sz w:val="22"/>
          <w:szCs w:val="22"/>
          <w:rtl w:val="0"/>
        </w:rPr>
        <w:t xml:space="preserve">JUSTIFICACIÓN DEL PROYECTO DE LEY</w:t>
      </w:r>
      <w:r w:rsidDel="00000000" w:rsidR="00000000" w:rsidRPr="00000000">
        <w:rPr>
          <w:rtl w:val="0"/>
        </w:rPr>
      </w:r>
    </w:p>
    <w:p w:rsidR="00000000" w:rsidDel="00000000" w:rsidP="00000000" w:rsidRDefault="00000000" w:rsidRPr="00000000" w14:paraId="00000100">
      <w:pPr>
        <w:pStyle w:val="Heading3"/>
        <w:keepNext w:val="0"/>
        <w:keepLines w:val="0"/>
        <w:spacing w:before="280" w:lineRule="auto"/>
        <w:ind w:left="720" w:firstLine="0"/>
        <w:jc w:val="both"/>
        <w:rPr>
          <w:rFonts w:ascii="Bookman Old Style" w:cs="Bookman Old Style" w:eastAsia="Bookman Old Style" w:hAnsi="Bookman Old Style"/>
          <w:b w:val="1"/>
          <w:color w:val="000000"/>
          <w:sz w:val="22"/>
          <w:szCs w:val="22"/>
        </w:rPr>
      </w:pPr>
      <w:bookmarkStart w:colFirst="0" w:colLast="0" w:name="_9lkyo75go0pa" w:id="4"/>
      <w:bookmarkEnd w:id="4"/>
      <w:r w:rsidDel="00000000" w:rsidR="00000000" w:rsidRPr="00000000">
        <w:rPr>
          <w:rFonts w:ascii="Bookman Old Style" w:cs="Bookman Old Style" w:eastAsia="Bookman Old Style" w:hAnsi="Bookman Old Style"/>
          <w:b w:val="1"/>
          <w:color w:val="000000"/>
          <w:sz w:val="22"/>
          <w:szCs w:val="22"/>
          <w:rtl w:val="0"/>
        </w:rPr>
        <w:t xml:space="preserve">1. El tiempo para ejercer recursos es muy corto</w:t>
      </w:r>
    </w:p>
    <w:p w:rsidR="00000000" w:rsidDel="00000000" w:rsidP="00000000" w:rsidRDefault="00000000" w:rsidRPr="00000000" w14:paraId="00000101">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Uno de los problemas más apremiantes del régimen vigente es el plazo excesivamente corto para que las personas puedan ejercer el recurso de objeción contra una orden de comparendo. Actualmente, dicho plazo es de tres (3) días hábiles, lo cual resulta insuficiente en contextos donde las personas no cuentan con información oportuna sobre sus derechos, no conocen bien los procedimientos, no conocen los recursos existentes, enfrentan barreras geográficas para acceder a las autoridades competentes, o carecen de asesoría jurídica inmediata. Esta restricción desproporcionada afecta el principio de debido proceso y limita el ejercicio efectivo del derecho de defensa, especialmente en zonas rurales, territorios étnicos y sectores históricamente discriminados de las ciudades. También genera un riesgo de imposici</w:t>
      </w:r>
      <w:r w:rsidDel="00000000" w:rsidR="00000000" w:rsidRPr="00000000">
        <w:rPr>
          <w:rFonts w:ascii="Bookman Old Style" w:cs="Bookman Old Style" w:eastAsia="Bookman Old Style" w:hAnsi="Bookman Old Style"/>
          <w:rtl w:val="0"/>
        </w:rPr>
        <w:t xml:space="preserve">ón de</w:t>
      </w:r>
      <w:r w:rsidDel="00000000" w:rsidR="00000000" w:rsidRPr="00000000">
        <w:rPr>
          <w:rFonts w:ascii="Bookman Old Style" w:cs="Bookman Old Style" w:eastAsia="Bookman Old Style" w:hAnsi="Bookman Old Style"/>
          <w:rtl w:val="0"/>
        </w:rPr>
        <w:t xml:space="preserve"> sanciones sin contradicción, vulnerando el equilibrio mínimo que debe regir en toda actuación administrativa sancionatoria. Por tanto, se propone ampliar este plazo a quince (15) días hábiles, garantizando así una ventana razonable para que la ciudadanía pueda informarse, asesorarse legalmente y defender sus derechos.</w:t>
      </w:r>
    </w:p>
    <w:p w:rsidR="00000000" w:rsidDel="00000000" w:rsidP="00000000" w:rsidRDefault="00000000" w:rsidRPr="00000000" w14:paraId="00000102">
      <w:pPr>
        <w:pStyle w:val="Heading3"/>
        <w:keepNext w:val="0"/>
        <w:keepLines w:val="0"/>
        <w:spacing w:before="280" w:lineRule="auto"/>
        <w:ind w:left="720" w:firstLine="0"/>
        <w:jc w:val="both"/>
        <w:rPr>
          <w:rFonts w:ascii="Bookman Old Style" w:cs="Bookman Old Style" w:eastAsia="Bookman Old Style" w:hAnsi="Bookman Old Style"/>
          <w:b w:val="1"/>
          <w:color w:val="000000"/>
          <w:sz w:val="22"/>
          <w:szCs w:val="22"/>
        </w:rPr>
      </w:pPr>
      <w:bookmarkStart w:colFirst="0" w:colLast="0" w:name="_ha7x9m29qedq" w:id="5"/>
      <w:bookmarkEnd w:id="5"/>
      <w:r w:rsidDel="00000000" w:rsidR="00000000" w:rsidRPr="00000000">
        <w:rPr>
          <w:rFonts w:ascii="Bookman Old Style" w:cs="Bookman Old Style" w:eastAsia="Bookman Old Style" w:hAnsi="Bookman Old Style"/>
          <w:b w:val="1"/>
          <w:color w:val="000000"/>
          <w:sz w:val="22"/>
          <w:szCs w:val="22"/>
          <w:rtl w:val="0"/>
        </w:rPr>
        <w:t xml:space="preserve">2. Falta de claridad en la comunicación del comparendos contrarios a la convivencia y de los recursos existentes </w:t>
      </w:r>
    </w:p>
    <w:p w:rsidR="00000000" w:rsidDel="00000000" w:rsidP="00000000" w:rsidRDefault="00000000" w:rsidRPr="00000000" w14:paraId="00000103">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219 del Código actualmente no impone una obligación clara a las autoridades de policía de incluir en la orden de comparendo información explícita y accesible sobre los derechos del presunto infractor, los recursos disponibles y los plazos respectivos para ejercerlos. Esta omisión ha generado confusión generalizada entre los ciudadanos, quienes frecuentemente desconocen que pueden objetar una o</w:t>
      </w:r>
      <w:r w:rsidDel="00000000" w:rsidR="00000000" w:rsidRPr="00000000">
        <w:rPr>
          <w:rFonts w:ascii="Bookman Old Style" w:cs="Bookman Old Style" w:eastAsia="Bookman Old Style" w:hAnsi="Bookman Old Style"/>
          <w:rtl w:val="0"/>
        </w:rPr>
        <w:t xml:space="preserve">rden de comparendo</w:t>
      </w:r>
      <w:r w:rsidDel="00000000" w:rsidR="00000000" w:rsidRPr="00000000">
        <w:rPr>
          <w:rFonts w:ascii="Bookman Old Style" w:cs="Bookman Old Style" w:eastAsia="Bookman Old Style" w:hAnsi="Bookman Old Style"/>
          <w:rtl w:val="0"/>
        </w:rPr>
        <w:t xml:space="preserve"> o participar en medidas pedagógicas sustitutivas. Por ello también se ordena que el comparendo deberá ser entregado por escrito. La falta de información adecuada constituye una barrera estructural al acceso a la justicia y profundiza la desigualdad de la ciudadanía frente a la ley. Conforme a los principios de transparencia, publicidad y buena fe que rigen la actuación administrativa (Ley 1437 de 2011), resulta indispensable exigir que la notificación de comparendos incluya por escrito un instructivo claro y comprensible sobre los recursos legales disponibles, así como de los plazos para interponerlos. Esta medida no solo fortalece el debido proceso, sino que además promueve el cumplimiento voluntario y consciente de las sanciones, la posibilidad de presentar recursos frente a actos presuntamente arbitrarios reduciendo así los niveles de conflictividad.</w:t>
      </w:r>
    </w:p>
    <w:p w:rsidR="00000000" w:rsidDel="00000000" w:rsidP="00000000" w:rsidRDefault="00000000" w:rsidRPr="00000000" w14:paraId="00000104">
      <w:pPr>
        <w:pStyle w:val="Heading3"/>
        <w:keepNext w:val="0"/>
        <w:keepLines w:val="0"/>
        <w:spacing w:before="280" w:lineRule="auto"/>
        <w:ind w:left="720" w:firstLine="0"/>
        <w:jc w:val="both"/>
        <w:rPr>
          <w:rFonts w:ascii="Bookman Old Style" w:cs="Bookman Old Style" w:eastAsia="Bookman Old Style" w:hAnsi="Bookman Old Style"/>
          <w:b w:val="1"/>
          <w:color w:val="000000"/>
          <w:sz w:val="22"/>
          <w:szCs w:val="22"/>
        </w:rPr>
      </w:pPr>
      <w:bookmarkStart w:colFirst="0" w:colLast="0" w:name="_3jcwn5fvdp4u" w:id="6"/>
      <w:bookmarkEnd w:id="6"/>
      <w:r w:rsidDel="00000000" w:rsidR="00000000" w:rsidRPr="00000000">
        <w:rPr>
          <w:rFonts w:ascii="Bookman Old Style" w:cs="Bookman Old Style" w:eastAsia="Bookman Old Style" w:hAnsi="Bookman Old Style"/>
          <w:b w:val="1"/>
          <w:color w:val="000000"/>
          <w:sz w:val="22"/>
          <w:szCs w:val="22"/>
          <w:rtl w:val="0"/>
        </w:rPr>
        <w:t xml:space="preserve">3. Pocas medidas pedagógicas</w:t>
      </w:r>
    </w:p>
    <w:p w:rsidR="00000000" w:rsidDel="00000000" w:rsidP="00000000" w:rsidRDefault="00000000" w:rsidRPr="00000000" w14:paraId="00000105">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régimen actual limita la conmutación de multas por actividades pedagógicas a las multas tipo 1 y 2, excluyendo a quienes reciben sanciones tipo 3 y 4, aun cuando su comportamiento pueda ser susceptible de tratamiento restaurativo. Esta restricción no responde a un criterio de proporcionalidad, ni a una valoración individualizada del comportamiento ni del contexto socioeconómico del infractor. Por el contrario, reproduce un modelo punitivo centrado exclusivamente en la sanción económica, sin ofrecer alternativas que contribuyan a la transformación de los comportamientos que afectan la convivencia. Así mismo afecta a las poblaciones más vulnerables. Lo anterior aún cuando la Ley 1801 de 2016 incluía un Parágrafo Transitorio que permitía la participación en dichos programas durante el primer año de vigencia de la Ley.</w:t>
      </w:r>
    </w:p>
    <w:p w:rsidR="00000000" w:rsidDel="00000000" w:rsidP="00000000" w:rsidRDefault="00000000" w:rsidRPr="00000000" w14:paraId="00000106">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proyecto de ley propone ampliar esta posibilidad a todos los tipos de multa, permitiendo que personas sancionadas con multas tipo 3 o 4 puedan también participar en programas pedagógicos o comunitarios bajo ciertos requisitos. Adicionalmente, el proyecto de ley propone eliminar una disposici</w:t>
      </w:r>
      <w:r w:rsidDel="00000000" w:rsidR="00000000" w:rsidRPr="00000000">
        <w:rPr>
          <w:rFonts w:ascii="Bookman Old Style" w:cs="Bookman Old Style" w:eastAsia="Bookman Old Style" w:hAnsi="Bookman Old Style"/>
          <w:rtl w:val="0"/>
        </w:rPr>
        <w:t xml:space="preserve">ón que </w:t>
      </w:r>
      <w:r w:rsidDel="00000000" w:rsidR="00000000" w:rsidRPr="00000000">
        <w:rPr>
          <w:rFonts w:ascii="Bookman Old Style" w:cs="Bookman Old Style" w:eastAsia="Bookman Old Style" w:hAnsi="Bookman Old Style"/>
          <w:rtl w:val="0"/>
        </w:rPr>
        <w:t xml:space="preserve">prohibe</w:t>
      </w:r>
      <w:r w:rsidDel="00000000" w:rsidR="00000000" w:rsidRPr="00000000">
        <w:rPr>
          <w:rFonts w:ascii="Bookman Old Style" w:cs="Bookman Old Style" w:eastAsia="Bookman Old Style" w:hAnsi="Bookman Old Style"/>
          <w:rtl w:val="0"/>
        </w:rPr>
        <w:t xml:space="preserve"> que las personas acudan al beneficio de conmutación de las multas si no han realizado el pago transcurridos seis meses desde la fecha de su imposición, con la intención de ofrecer mayores alternativas pedagógicas de conformidad con los principios y finalidades de la norma.</w:t>
      </w:r>
    </w:p>
    <w:p w:rsidR="00000000" w:rsidDel="00000000" w:rsidP="00000000" w:rsidRDefault="00000000" w:rsidRPr="00000000" w14:paraId="00000107">
      <w:pPr>
        <w:spacing w:after="240" w:before="240" w:lineRule="auto"/>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4. Inequidad en el acceso a la justicia </w:t>
      </w:r>
      <w:r w:rsidDel="00000000" w:rsidR="00000000" w:rsidRPr="00000000">
        <w:rPr>
          <w:rFonts w:ascii="Bookman Old Style" w:cs="Bookman Old Style" w:eastAsia="Bookman Old Style" w:hAnsi="Bookman Old Style"/>
          <w:b w:val="1"/>
          <w:rtl w:val="0"/>
        </w:rPr>
        <w:t xml:space="preserve">respecto a comparendos </w:t>
      </w:r>
      <w:r w:rsidDel="00000000" w:rsidR="00000000" w:rsidRPr="00000000">
        <w:rPr>
          <w:rtl w:val="0"/>
        </w:rPr>
      </w:r>
    </w:p>
    <w:p w:rsidR="00000000" w:rsidDel="00000000" w:rsidP="00000000" w:rsidRDefault="00000000" w:rsidRPr="00000000" w14:paraId="00000108">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personas en situación de pobreza, exclusión social o marginalización territorial enfrentan una doble carga dentro del régimen sancionatorio vigente. Por un lado, tienen mayores dificultades para pagar las multas impuestas, lo que puede llevar a la acumulación de deudas, reportes en centrales de riesgo y afectaciones indirectas al goce de derechos como la educación, el empleo o la vivienda. Por otro lado, estas mismas personas encuentran obstáculos adicionales para ejercer su defensa, por falta de información, conectividad digital o asesoría jurídica oportuna. De esta manera los comparendos y multas pueden atrapar más a las personas en su condición de pobreza y generar mayores limitaciones para acceder a derechos. </w:t>
      </w:r>
    </w:p>
    <w:p w:rsidR="00000000" w:rsidDel="00000000" w:rsidP="00000000" w:rsidRDefault="00000000" w:rsidRPr="00000000" w14:paraId="00000109">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Este fenómeno ha sido documentado en profundidad en el informe “Por menos de un gramo” publicado por Temblores ONG</w:t>
      </w:r>
      <w:r w:rsidDel="00000000" w:rsidR="00000000" w:rsidRPr="00000000">
        <w:rPr>
          <w:rFonts w:ascii="Bookman Old Style" w:cs="Bookman Old Style" w:eastAsia="Bookman Old Style" w:hAnsi="Bookman Old Style"/>
          <w:vertAlign w:val="superscript"/>
        </w:rPr>
        <w:footnoteReference w:customMarkFollows="0" w:id="0"/>
      </w:r>
      <w:r w:rsidDel="00000000" w:rsidR="00000000" w:rsidRPr="00000000">
        <w:rPr>
          <w:rFonts w:ascii="Bookman Old Style" w:cs="Bookman Old Style" w:eastAsia="Bookman Old Style" w:hAnsi="Bookman Old Style"/>
          <w:rtl w:val="0"/>
        </w:rPr>
        <w:t xml:space="preserve">. El estudio pone en evidencia cómo las medidas correctivas impuestas por la Policía Nacional, particularmente en el contexto de la aplicación del artículo 140 del Código Nacional de Seguridad y Convivencia Ciudadana (relacionado con el porte y consumo de sustancias psicoactivas en el espacio público), se aplican de manera desproporcionada a jóvenes de sectores populares, </w:t>
      </w:r>
      <w:r w:rsidDel="00000000" w:rsidR="00000000" w:rsidRPr="00000000">
        <w:rPr>
          <w:rFonts w:ascii="Bookman Old Style" w:cs="Bookman Old Style" w:eastAsia="Bookman Old Style" w:hAnsi="Bookman Old Style"/>
          <w:rtl w:val="0"/>
        </w:rPr>
        <w:t xml:space="preserve">afectando</w:t>
      </w:r>
      <w:r w:rsidDel="00000000" w:rsidR="00000000" w:rsidRPr="00000000">
        <w:rPr>
          <w:rFonts w:ascii="Bookman Old Style" w:cs="Bookman Old Style" w:eastAsia="Bookman Old Style" w:hAnsi="Bookman Old Style"/>
          <w:rtl w:val="0"/>
        </w:rPr>
        <w:t xml:space="preserve"> desigualmente a la población urbana empobrecida y racializada.</w:t>
      </w:r>
    </w:p>
    <w:p w:rsidR="00000000" w:rsidDel="00000000" w:rsidP="00000000" w:rsidRDefault="00000000" w:rsidRPr="00000000" w14:paraId="0000010A">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informe revela que, entre 2017 y 2022, se impusieron 1.188.906 comparendos por comportamientos asociados al porte o consumo de sustancias, siendo Bogotá la ciudad con mayor número de sanciones. Esto significa que, en promedio, se imponen m</w:t>
      </w:r>
      <w:r w:rsidDel="00000000" w:rsidR="00000000" w:rsidRPr="00000000">
        <w:rPr>
          <w:rFonts w:ascii="Bookman Old Style" w:cs="Bookman Old Style" w:eastAsia="Bookman Old Style" w:hAnsi="Bookman Old Style"/>
          <w:rtl w:val="0"/>
        </w:rPr>
        <w:t xml:space="preserve">ás de 540 comparendos al día por el uso de sustancias en el espacio público.</w:t>
      </w:r>
      <w:r w:rsidDel="00000000" w:rsidR="00000000" w:rsidRPr="00000000">
        <w:rPr>
          <w:rFonts w:ascii="Bookman Old Style" w:cs="Bookman Old Style" w:eastAsia="Bookman Old Style" w:hAnsi="Bookman Old Style"/>
          <w:rtl w:val="0"/>
        </w:rPr>
        <w:t xml:space="preserve"> La evidencia recopilada demuestra que estas medidas no han cumplido un objetivo preventivo o educativo, sino que han generado formas de criminalización de la pobreza, multiplicando las barreras de acceso a la justicia y exponiendo a jóvenes a dinámicas de abuso, estigmatización y exclusión institucional.</w:t>
      </w:r>
    </w:p>
    <w:p w:rsidR="00000000" w:rsidDel="00000000" w:rsidP="00000000" w:rsidRDefault="00000000" w:rsidRPr="00000000" w14:paraId="0000010B">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Además, el estudio documenta que muchos de estos comparendos se aplican sin información clara sobre el derecho de objeción o apelación, y que el procedimiento sancionatorio incluye constantemente fallas de debida notificación, contradicción y oportunidad de defensa. En los testimonios recogidos, se evidencia que en la mayoría de casos, las personas jóvenes sancionadas no comprendieron el motivo de la medida, no fueron informadas sobre los recursos disponibles, y terminaron en procesos de cobro coactivo que aumentaron su situación de precariedad.</w:t>
      </w:r>
    </w:p>
    <w:p w:rsidR="00000000" w:rsidDel="00000000" w:rsidP="00000000" w:rsidRDefault="00000000" w:rsidRPr="00000000" w14:paraId="0000010C">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Estos hallazgos respaldan la urgencia de transformar el enfoque del sistema de medidas correctivas, pasando de un modelo basado en la punición rápida a uno centrado en el respeto de las garantías procesales, la proporcionalidad, y la prevención educativa. El informe también subraya la necesidad de medidas diferenciadas y sensibles al contexto social, como las que propone esta iniciativa legislativa: ampliación de plazos para ejercer objeciones, uso extensivo de medidas pedagógicas en lugar de sanciones económicas, y fortalecimiento de los canales digitales de defensa. Incluir estos cambios normativos es una manera de acoger el llamado de múltiples organizaciones de derechos humanos que han advertido sobre el carácter discriminatorio y clasista de la imposición de comparendos sin control judicial ni mecanismos efectivos de defensa. Esta situación no es aislada. De hecho, reproduce un patrón de actuación institucional que convierte las sanciones administrativas en mecanismos de persecución y marginación, generando desconfianza ciudadana en las instituciones del Estado y debilitando la legitimidad del sistema democrático. Por ello, las medidas propuestas en este proyecto de ley constituyen una respuesta legislativa responsable, proporcional y garantista, orientada a corregir estas distorsiones y recuperar el sentido educativo y restaurativo del sistema de convivencia.</w:t>
      </w:r>
    </w:p>
    <w:p w:rsidR="00000000" w:rsidDel="00000000" w:rsidP="00000000" w:rsidRDefault="00000000" w:rsidRPr="00000000" w14:paraId="0000010D">
      <w:pPr>
        <w:pStyle w:val="Heading3"/>
        <w:keepNext w:val="0"/>
        <w:keepLines w:val="0"/>
        <w:spacing w:before="280" w:lineRule="auto"/>
        <w:ind w:left="720" w:firstLine="0"/>
        <w:jc w:val="both"/>
        <w:rPr>
          <w:rFonts w:ascii="Bookman Old Style" w:cs="Bookman Old Style" w:eastAsia="Bookman Old Style" w:hAnsi="Bookman Old Style"/>
          <w:b w:val="1"/>
          <w:color w:val="000000"/>
          <w:sz w:val="22"/>
          <w:szCs w:val="22"/>
        </w:rPr>
      </w:pPr>
      <w:bookmarkStart w:colFirst="0" w:colLast="0" w:name="_vviwqufkqqca" w:id="7"/>
      <w:bookmarkEnd w:id="7"/>
      <w:r w:rsidDel="00000000" w:rsidR="00000000" w:rsidRPr="00000000">
        <w:rPr>
          <w:rFonts w:ascii="Bookman Old Style" w:cs="Bookman Old Style" w:eastAsia="Bookman Old Style" w:hAnsi="Bookman Old Style"/>
          <w:b w:val="1"/>
          <w:color w:val="000000"/>
          <w:sz w:val="22"/>
          <w:szCs w:val="22"/>
          <w:rtl w:val="0"/>
        </w:rPr>
        <w:t xml:space="preserve">5. Falta de información y canales digitales</w:t>
      </w:r>
    </w:p>
    <w:p w:rsidR="00000000" w:rsidDel="00000000" w:rsidP="00000000" w:rsidRDefault="00000000" w:rsidRPr="00000000" w14:paraId="0000010E">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Pese a la existencia del Registro Nacional de Medidas Correctivas (RNMC), muchas de las garantías procesales no se encuentran habilitadas de manera efectiva en canales digitales. La información sobre cómo objetar un comparendo, cómo acceder a programas pedagógicos o cómo interponer recursos, no está disponible de forma clara ni estandarizada en la página oficial de la Policía Nacional. Además, muchas personas desconocen la existencia de esta plataforma, lo que impide su utilización efectiva.</w:t>
      </w:r>
    </w:p>
    <w:p w:rsidR="00000000" w:rsidDel="00000000" w:rsidP="00000000" w:rsidRDefault="00000000" w:rsidRPr="00000000" w14:paraId="0000010F">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un contexto de digitalización creciente del Estado y de expansión del acceso a internet, resulta fundamental que el procedimiento sancionatorio se adapte a los principios de eficiencia y accesibilidad tecnológica. La ley propuesta establece una obligación para que, en un plazo de tres (3) meses desde su entrada en vigencia, la Policía Nacional garantice la publicación y disponibilidad de todos los recursos, términos y beneficios disponibles a través de su página web o la plataforma que haga sus veces. Del mismo modo, se establece la obligación para que la Policía Nacional realice un instructivo general en el que se informe a toda la institución sobre las garantías procesales respecto a los comparendos. </w:t>
      </w:r>
      <w:r w:rsidDel="00000000" w:rsidR="00000000" w:rsidRPr="00000000">
        <w:rPr>
          <w:rFonts w:ascii="Bookman Old Style" w:cs="Bookman Old Style" w:eastAsia="Bookman Old Style" w:hAnsi="Bookman Old Style"/>
          <w:rtl w:val="0"/>
        </w:rPr>
        <w:t xml:space="preserve">La ley propuesta también establece que en el plazo de un (1) año, las autoridades competentes deben crear canales virtuales que permitan que los ciudadanos interpongan el recurso de objeción contra las órdenes de comparendo.</w:t>
      </w:r>
    </w:p>
    <w:p w:rsidR="00000000" w:rsidDel="00000000" w:rsidP="00000000" w:rsidRDefault="00000000" w:rsidRPr="00000000" w14:paraId="00000110">
      <w:pPr>
        <w:spacing w:after="240" w:before="240" w:lineRule="auto"/>
        <w:jc w:val="both"/>
        <w:rPr>
          <w:rFonts w:ascii="Bookman Old Style" w:cs="Bookman Old Style" w:eastAsia="Bookman Old Style" w:hAnsi="Bookman Old Style"/>
          <w:b w:val="1"/>
          <w:color w:val="000000"/>
          <w:sz w:val="22"/>
          <w:szCs w:val="22"/>
        </w:rPr>
      </w:pPr>
      <w:r w:rsidDel="00000000" w:rsidR="00000000" w:rsidRPr="00000000">
        <w:rPr>
          <w:rFonts w:ascii="Bookman Old Style" w:cs="Bookman Old Style" w:eastAsia="Bookman Old Style" w:hAnsi="Bookman Old Style"/>
          <w:b w:val="1"/>
          <w:color w:val="000000"/>
          <w:sz w:val="22"/>
          <w:szCs w:val="22"/>
          <w:rtl w:val="0"/>
        </w:rPr>
        <w:t xml:space="preserve">6. Debilidad institucional en la pedagogía sobre convivencia</w:t>
      </w:r>
    </w:p>
    <w:p w:rsidR="00000000" w:rsidDel="00000000" w:rsidP="00000000" w:rsidRDefault="00000000" w:rsidRPr="00000000" w14:paraId="00000111">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w:t>
      </w:r>
      <w:r w:rsidDel="00000000" w:rsidR="00000000" w:rsidRPr="00000000">
        <w:rPr>
          <w:rFonts w:ascii="Bookman Old Style" w:cs="Bookman Old Style" w:eastAsia="Bookman Old Style" w:hAnsi="Bookman Old Style"/>
          <w:rtl w:val="0"/>
        </w:rPr>
        <w:t xml:space="preserve"> falta de institucionalización de procesos de formación ciudadana sobre los derechos que asisten a las personas frente a las órdenes de comparendo —como el derecho a la objeción, el plazo para interponer recursos o las alternativas pedagógicas al pago de la multa— ha generado una profunda desinformación y desconfianza entre la ciudadanía. Esta situación es particularmente grave en el caso de jóvenes, personas en situación de pobreza o comunidades históricamente discriminadas, quienes suelen desconocer completamente que existen recursos legales disponibles para impugnar una medida impuesta por la Policía Nacional.</w:t>
      </w:r>
    </w:p>
    <w:p w:rsidR="00000000" w:rsidDel="00000000" w:rsidP="00000000" w:rsidRDefault="00000000" w:rsidRPr="00000000" w14:paraId="00000112">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este contexto, cobra especial relevancia el papel que debe cumplir la Defensoría del Pueblo, conforme a su mandato constitucional y legal de promover los derechos humanos y vigilar el respeto de los mismos por parte de las autoridades. Este proyecto de ley reconoce que es indispensable fortalecer el rol pedagógico y preventivo de la Defensoría del Pueblo, particularmente en lo que concierne a la divulgación de los derechos ciudadanos en procedimientos sancionatorios.</w:t>
      </w:r>
    </w:p>
    <w:p w:rsidR="00000000" w:rsidDel="00000000" w:rsidP="00000000" w:rsidRDefault="00000000" w:rsidRPr="00000000" w14:paraId="00000113">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Por tanto, la iniciativa respalda la necesidad de que la Defensoría asuma activamente una función educativa permanente sobre el régimen de comparendos, orientada a informar a la ciudadanía —de forma clara, accesible y territorialmente diferenciada— sobre sus derechos frente a las medidas correctivas, los canales para objetarlas, y las rutas institucionales para buscar acompañamiento. </w:t>
      </w:r>
      <w:r w:rsidDel="00000000" w:rsidR="00000000" w:rsidRPr="00000000">
        <w:rPr>
          <w:rFonts w:ascii="Bookman Old Style" w:cs="Bookman Old Style" w:eastAsia="Bookman Old Style" w:hAnsi="Bookman Old Style"/>
          <w:rtl w:val="0"/>
        </w:rPr>
        <w:t xml:space="preserve">El proyecto también incluye la obligación de que las autoridades competentes deberán crear canales virtuales para interponer el recurso de objeción contra las órdenes de comparendo, para ello tendrá un plazo de implementación de un año. </w:t>
      </w:r>
    </w:p>
    <w:p w:rsidR="00000000" w:rsidDel="00000000" w:rsidP="00000000" w:rsidRDefault="00000000" w:rsidRPr="00000000" w14:paraId="00000114">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Esto no solo permitiría una mayor apropiación ciudadana del ordenamiento legal, sino que también contribuiría a prevenir abusos de autoridad y reduciría los niveles de sanciones impuestas sin respaldo en el debido proceso. Fortalecer esta pedagogía institucional es, además, un componente clave para dignificar la relación entre ciudadanía y fuerza pública, y reconstruir la legitimidad de los mecanismos del Estado para regular la convivencia en espacios públicos.</w:t>
      </w:r>
      <w:r w:rsidDel="00000000" w:rsidR="00000000" w:rsidRPr="00000000">
        <w:rPr>
          <w:rtl w:val="0"/>
        </w:rPr>
      </w:r>
    </w:p>
    <w:p w:rsidR="00000000" w:rsidDel="00000000" w:rsidP="00000000" w:rsidRDefault="00000000" w:rsidRPr="00000000" w14:paraId="00000115">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7. Sobre las eliminaciones </w:t>
      </w:r>
      <w:r w:rsidDel="00000000" w:rsidR="00000000" w:rsidRPr="00000000">
        <w:rPr>
          <w:rtl w:val="0"/>
        </w:rPr>
      </w:r>
    </w:p>
    <w:p w:rsidR="00000000" w:rsidDel="00000000" w:rsidP="00000000" w:rsidRDefault="00000000" w:rsidRPr="00000000" w14:paraId="00000116">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régimen actual establece que, en aquellos casos en los que no se interpone el recurso de objeción, el inspector de policía pierde la competencia para iniciar el proceso verbal abreviado. En consecuencia, los inspectores de policía se ven imposibilitados para examinar irregularidades en la imposición de las órdenes de comparendo, por lo que deben declarar la firmeza de la medida correctiva, remitir la documentación correspondiente e iniciar el proceso de cobro coactivo, sin posibilidad de hacer una revisión de fondo de la medida impuesta. En la práctica, esta situación genera serias afectaciones en el derecho a la defensa y el acceso a la administración de justicia, en contextos donde la ciudadanía no recibe información clara y oportuna sobre la posibilidad de objetar la orden de comparendo ni sobre el plazo para hacerlo. </w:t>
      </w:r>
    </w:p>
    <w:p w:rsidR="00000000" w:rsidDel="00000000" w:rsidP="00000000" w:rsidRDefault="00000000" w:rsidRPr="00000000" w14:paraId="00000117">
      <w:pPr>
        <w:spacing w:after="240" w:before="240" w:lineRule="auto"/>
        <w:jc w:val="both"/>
        <w:rPr>
          <w:rFonts w:ascii="Bookman Old Style" w:cs="Bookman Old Style" w:eastAsia="Bookman Old Style" w:hAnsi="Bookman Old Style"/>
          <w:b w:val="1"/>
          <w:highlight w:val="yellow"/>
        </w:rPr>
      </w:pPr>
      <w:r w:rsidDel="00000000" w:rsidR="00000000" w:rsidRPr="00000000">
        <w:rPr>
          <w:rFonts w:ascii="Bookman Old Style" w:cs="Bookman Old Style" w:eastAsia="Bookman Old Style" w:hAnsi="Bookman Old Style"/>
          <w:rtl w:val="0"/>
        </w:rPr>
        <w:t xml:space="preserve">El proyecto de ley propone eliminar esta prohibición para que los inspectores de policía cuenten con facultades para analizar de fondo las órdenes de comparendo, corregir errores materiales o procedimentales cometidos por la Policía y, en caso de encontrar vulneraciones al debido proceso o vicios sustanciales, abstenerse de imponer las medidas correctivas.</w:t>
      </w:r>
      <w:r w:rsidDel="00000000" w:rsidR="00000000" w:rsidRPr="00000000">
        <w:rPr>
          <w:rtl w:val="0"/>
        </w:rPr>
      </w:r>
    </w:p>
    <w:p w:rsidR="00000000" w:rsidDel="00000000" w:rsidP="00000000" w:rsidRDefault="00000000" w:rsidRPr="00000000" w14:paraId="00000118">
      <w:pPr>
        <w:pStyle w:val="Heading1"/>
        <w:ind w:left="0" w:firstLine="0"/>
        <w:jc w:val="both"/>
        <w:rPr/>
      </w:pPr>
      <w:bookmarkStart w:colFirst="0" w:colLast="0" w:name="_sgy9q62472oj" w:id="8"/>
      <w:bookmarkEnd w:id="8"/>
      <w:r w:rsidDel="00000000" w:rsidR="00000000" w:rsidRPr="00000000">
        <w:rPr>
          <w:rtl w:val="0"/>
        </w:rPr>
      </w:r>
    </w:p>
    <w:p w:rsidR="00000000" w:rsidDel="00000000" w:rsidP="00000000" w:rsidRDefault="00000000" w:rsidRPr="00000000" w14:paraId="00000119">
      <w:pPr>
        <w:pStyle w:val="Heading1"/>
        <w:ind w:left="0" w:firstLine="0"/>
        <w:jc w:val="both"/>
        <w:rPr/>
      </w:pPr>
      <w:bookmarkStart w:colFirst="0" w:colLast="0" w:name="_3odak2vagu1w" w:id="9"/>
      <w:bookmarkEnd w:id="9"/>
      <w:r w:rsidDel="00000000" w:rsidR="00000000" w:rsidRPr="00000000">
        <w:rPr>
          <w:rtl w:val="0"/>
        </w:rPr>
        <w:t xml:space="preserve">III. </w:t>
      </w:r>
      <w:r w:rsidDel="00000000" w:rsidR="00000000" w:rsidRPr="00000000">
        <w:rPr>
          <w:rtl w:val="0"/>
        </w:rPr>
        <w:t xml:space="preserve">FUNDAMENTOS LEGALES Y COMPETENCIA DEL CONGRESO DE LA REPÚBLICA</w:t>
      </w:r>
    </w:p>
    <w:p w:rsidR="00000000" w:rsidDel="00000000" w:rsidP="00000000" w:rsidRDefault="00000000" w:rsidRPr="00000000" w14:paraId="0000011A">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presente iniciati</w:t>
      </w:r>
      <w:r w:rsidDel="00000000" w:rsidR="00000000" w:rsidRPr="00000000">
        <w:rPr>
          <w:rFonts w:ascii="Bookman Old Style" w:cs="Bookman Old Style" w:eastAsia="Bookman Old Style" w:hAnsi="Bookman Old Style"/>
          <w:rtl w:val="0"/>
        </w:rPr>
        <w:t xml:space="preserve">va encuentra sustento en múltiples principios constitucionales, particularmente, los siguientes derechos f</w:t>
      </w:r>
      <w:r w:rsidDel="00000000" w:rsidR="00000000" w:rsidRPr="00000000">
        <w:rPr>
          <w:rFonts w:ascii="Bookman Old Style" w:cs="Bookman Old Style" w:eastAsia="Bookman Old Style" w:hAnsi="Bookman Old Style"/>
          <w:rtl w:val="0"/>
        </w:rPr>
        <w:t xml:space="preserve">undamentales: (i) </w:t>
      </w:r>
      <w:r w:rsidDel="00000000" w:rsidR="00000000" w:rsidRPr="00000000">
        <w:rPr>
          <w:rFonts w:ascii="Bookman Old Style" w:cs="Bookman Old Style" w:eastAsia="Bookman Old Style" w:hAnsi="Bookman Old Style"/>
          <w:b w:val="1"/>
          <w:rtl w:val="0"/>
        </w:rPr>
        <w:t xml:space="preserve">el derecho al debido proceso </w:t>
      </w:r>
      <w:r w:rsidDel="00000000" w:rsidR="00000000" w:rsidRPr="00000000">
        <w:rPr>
          <w:rFonts w:ascii="Bookman Old Style" w:cs="Bookman Old Style" w:eastAsia="Bookman Old Style" w:hAnsi="Bookman Old Style"/>
          <w:rtl w:val="0"/>
        </w:rPr>
        <w:t xml:space="preserve">(Art. 29 Constitución Política - en adelante CP -), que exige que toda actuación administrativa sea tramitada con garantías plenas de defensa, contradicción y publicidad; (ii) </w:t>
      </w:r>
      <w:r w:rsidDel="00000000" w:rsidR="00000000" w:rsidRPr="00000000">
        <w:rPr>
          <w:rFonts w:ascii="Bookman Old Style" w:cs="Bookman Old Style" w:eastAsia="Bookman Old Style" w:hAnsi="Bookman Old Style"/>
          <w:b w:val="1"/>
          <w:rtl w:val="0"/>
        </w:rPr>
        <w:t xml:space="preserve">El derecho a la igualdad real y efectiva</w:t>
      </w:r>
      <w:r w:rsidDel="00000000" w:rsidR="00000000" w:rsidRPr="00000000">
        <w:rPr>
          <w:rFonts w:ascii="Bookman Old Style" w:cs="Bookman Old Style" w:eastAsia="Bookman Old Style" w:hAnsi="Bookman Old Style"/>
          <w:rtl w:val="0"/>
        </w:rPr>
        <w:t xml:space="preserve"> (Art. 13 CP), que impone al Estado el deber de eliminar obstáculos que impidan el acceso equitativo a los mecanismos institucionales y la eliminación de la discriminación; (iii) </w:t>
      </w:r>
      <w:r w:rsidDel="00000000" w:rsidR="00000000" w:rsidRPr="00000000">
        <w:rPr>
          <w:rFonts w:ascii="Bookman Old Style" w:cs="Bookman Old Style" w:eastAsia="Bookman Old Style" w:hAnsi="Bookman Old Style"/>
          <w:b w:val="1"/>
          <w:rtl w:val="0"/>
        </w:rPr>
        <w:t xml:space="preserve">El derecho a la información veraz e imparcial</w:t>
      </w:r>
      <w:r w:rsidDel="00000000" w:rsidR="00000000" w:rsidRPr="00000000">
        <w:rPr>
          <w:rFonts w:ascii="Bookman Old Style" w:cs="Bookman Old Style" w:eastAsia="Bookman Old Style" w:hAnsi="Bookman Old Style"/>
          <w:rtl w:val="0"/>
        </w:rPr>
        <w:t xml:space="preserve"> (Art. 20 CP) que establece que las personas deben recibir los datos necesarios para defender sus derechos. Así mismo se garantiza el </w:t>
      </w:r>
      <w:r w:rsidDel="00000000" w:rsidR="00000000" w:rsidRPr="00000000">
        <w:rPr>
          <w:rFonts w:ascii="Bookman Old Style" w:cs="Bookman Old Style" w:eastAsia="Bookman Old Style" w:hAnsi="Bookman Old Style"/>
          <w:b w:val="1"/>
          <w:rtl w:val="0"/>
        </w:rPr>
        <w:t xml:space="preserve">principio de legalidad </w:t>
      </w:r>
      <w:r w:rsidDel="00000000" w:rsidR="00000000" w:rsidRPr="00000000">
        <w:rPr>
          <w:rFonts w:ascii="Bookman Old Style" w:cs="Bookman Old Style" w:eastAsia="Bookman Old Style" w:hAnsi="Bookman Old Style"/>
          <w:rtl w:val="0"/>
        </w:rPr>
        <w:t xml:space="preserve">en la imposición de sanciones (Art. 6 y 29 CP), que demanda normas claras y procedimientos definidos para cualquier actuación sancionatoria. </w:t>
      </w:r>
    </w:p>
    <w:p w:rsidR="00000000" w:rsidDel="00000000" w:rsidP="00000000" w:rsidRDefault="00000000" w:rsidRPr="00000000" w14:paraId="0000011B">
      <w:pPr>
        <w:spacing w:after="240" w:before="240" w:lineRule="auto"/>
        <w:jc w:val="both"/>
        <w:rPr>
          <w:rFonts w:ascii="Bookman Old Style" w:cs="Bookman Old Style" w:eastAsia="Bookman Old Style" w:hAnsi="Bookman Old Style"/>
          <w:color w:val="2d2d2d"/>
          <w:highlight w:val="white"/>
        </w:rPr>
      </w:pPr>
      <w:r w:rsidDel="00000000" w:rsidR="00000000" w:rsidRPr="00000000">
        <w:rPr>
          <w:rFonts w:ascii="Bookman Old Style" w:cs="Bookman Old Style" w:eastAsia="Bookman Old Style" w:hAnsi="Bookman Old Style"/>
          <w:rtl w:val="0"/>
        </w:rPr>
        <w:t xml:space="preserve">La Corte Constitucional ha determinado que en la imposición de las multas </w:t>
      </w:r>
      <w:r w:rsidDel="00000000" w:rsidR="00000000" w:rsidRPr="00000000">
        <w:rPr>
          <w:rFonts w:ascii="Bookman Old Style" w:cs="Bookman Old Style" w:eastAsia="Bookman Old Style" w:hAnsi="Bookman Old Style"/>
          <w:b w:val="1"/>
          <w:u w:val="single"/>
          <w:rtl w:val="0"/>
        </w:rPr>
        <w:t xml:space="preserve">“</w:t>
      </w:r>
      <w:r w:rsidDel="00000000" w:rsidR="00000000" w:rsidRPr="00000000">
        <w:rPr>
          <w:rFonts w:ascii="Bookman Old Style" w:cs="Bookman Old Style" w:eastAsia="Bookman Old Style" w:hAnsi="Bookman Old Style"/>
          <w:b w:val="1"/>
          <w:i w:val="1"/>
          <w:color w:val="2d2d2d"/>
          <w:highlight w:val="white"/>
          <w:u w:val="single"/>
          <w:rtl w:val="0"/>
        </w:rPr>
        <w:t xml:space="preserve">resultan aplicables las garantías propias del debido proceso</w:t>
      </w:r>
      <w:r w:rsidDel="00000000" w:rsidR="00000000" w:rsidRPr="00000000">
        <w:rPr>
          <w:rFonts w:ascii="Bookman Old Style" w:cs="Bookman Old Style" w:eastAsia="Bookman Old Style" w:hAnsi="Bookman Old Style"/>
          <w:b w:val="1"/>
          <w:color w:val="2d2d2d"/>
          <w:highlight w:val="white"/>
          <w:u w:val="single"/>
          <w:rtl w:val="0"/>
        </w:rPr>
        <w:t xml:space="preserve">” </w:t>
      </w:r>
      <w:r w:rsidDel="00000000" w:rsidR="00000000" w:rsidRPr="00000000">
        <w:rPr>
          <w:rFonts w:ascii="Bookman Old Style" w:cs="Bookman Old Style" w:eastAsia="Bookman Old Style" w:hAnsi="Bookman Old Style"/>
          <w:color w:val="2d2d2d"/>
          <w:highlight w:val="white"/>
          <w:rtl w:val="0"/>
        </w:rPr>
        <w:t xml:space="preserve">(Sentencia C-386 de 2022, Parr. 159). La Corte ha desarrollado este derecho en asuntos policivos señalando que: </w:t>
      </w:r>
      <w:r w:rsidDel="00000000" w:rsidR="00000000" w:rsidRPr="00000000">
        <w:rPr>
          <w:rFonts w:ascii="Bookman Old Style" w:cs="Bookman Old Style" w:eastAsia="Bookman Old Style" w:hAnsi="Bookman Old Style"/>
          <w:i w:val="1"/>
          <w:color w:val="2d2d2d"/>
          <w:highlight w:val="white"/>
          <w:rtl w:val="0"/>
        </w:rPr>
        <w:t xml:space="preserve">“la jurisprudencia constitucional ha señalado que los principios constitucionales mínimos que guían la actividad de la policía versan alrededor de (i) su sometimiento al principio de legalidad; (ii) la necesidad de que su ejercicio tienda a asegurar el orden público; (iii) que su actuación y las medidas a adoptar se encuentren limitadas a la conservación y restablecimiento de dicho orden; (iv) que las medidas que tome deben ser proporcionales y razonables,  sin que puedan entonces traducirse en la supresión absoluta de las libertades o en su limitación desproporcionada, (v) que no pueda imponerse discriminaciones injustificadas a ciertos sectores, (vi) que la medida policiva debe recaer contra el perturbador del orden público, pero no contra quien ejerce legalmente sus libertades, y (vii) que se encuentra sometida a los correspondientes controles judiciales” </w:t>
      </w:r>
      <w:r w:rsidDel="00000000" w:rsidR="00000000" w:rsidRPr="00000000">
        <w:rPr>
          <w:rFonts w:ascii="Bookman Old Style" w:cs="Bookman Old Style" w:eastAsia="Bookman Old Style" w:hAnsi="Bookman Old Style"/>
          <w:color w:val="2d2d2d"/>
          <w:highlight w:val="white"/>
          <w:rtl w:val="0"/>
        </w:rPr>
        <w:t xml:space="preserve">(Sentencia T-206 de 2024, Párr. 87). </w:t>
      </w:r>
    </w:p>
    <w:p w:rsidR="00000000" w:rsidDel="00000000" w:rsidP="00000000" w:rsidRDefault="00000000" w:rsidRPr="00000000" w14:paraId="0000011C">
      <w:pPr>
        <w:shd w:fill="ffffff" w:val="clear"/>
        <w:jc w:val="both"/>
        <w:rPr>
          <w:rFonts w:ascii="Bookman Old Style" w:cs="Bookman Old Style" w:eastAsia="Bookman Old Style" w:hAnsi="Bookman Old Style"/>
          <w:color w:val="222222"/>
          <w:highlight w:val="white"/>
        </w:rPr>
      </w:pPr>
      <w:r w:rsidDel="00000000" w:rsidR="00000000" w:rsidRPr="00000000">
        <w:rPr>
          <w:rFonts w:ascii="Bookman Old Style" w:cs="Bookman Old Style" w:eastAsia="Bookman Old Style" w:hAnsi="Bookman Old Style"/>
          <w:color w:val="222222"/>
          <w:highlight w:val="white"/>
          <w:rtl w:val="0"/>
        </w:rPr>
        <w:t xml:space="preserve">El numeral 2 del artículo 150 de la Constitución establece que corresponde al Congreso de la República: </w:t>
      </w:r>
      <w:r w:rsidDel="00000000" w:rsidR="00000000" w:rsidRPr="00000000">
        <w:rPr>
          <w:rFonts w:ascii="Bookman Old Style" w:cs="Bookman Old Style" w:eastAsia="Bookman Old Style" w:hAnsi="Bookman Old Style"/>
          <w:i w:val="1"/>
          <w:color w:val="222222"/>
          <w:highlight w:val="white"/>
          <w:rtl w:val="0"/>
        </w:rPr>
        <w:t xml:space="preserve">“expedir los códigos en todos los ramos de la legislación y reformar sus disposiciones”. </w:t>
      </w:r>
      <w:r w:rsidDel="00000000" w:rsidR="00000000" w:rsidRPr="00000000">
        <w:rPr>
          <w:rFonts w:ascii="Bookman Old Style" w:cs="Bookman Old Style" w:eastAsia="Bookman Old Style" w:hAnsi="Bookman Old Style"/>
          <w:color w:val="222222"/>
          <w:highlight w:val="white"/>
          <w:rtl w:val="0"/>
        </w:rPr>
        <w:t xml:space="preserve">Esta competencia es extensa y se caracteriza por una amplia libertad para definir procedimientos según las necesidades de cada caso. La Corte Constitucional ha establecido que esta libertad de configuración </w:t>
      </w:r>
      <w:r w:rsidDel="00000000" w:rsidR="00000000" w:rsidRPr="00000000">
        <w:rPr>
          <w:rFonts w:ascii="Bookman Old Style" w:cs="Bookman Old Style" w:eastAsia="Bookman Old Style" w:hAnsi="Bookman Old Style"/>
          <w:b w:val="1"/>
          <w:color w:val="222222"/>
          <w:highlight w:val="white"/>
          <w:u w:val="single"/>
          <w:rtl w:val="0"/>
        </w:rPr>
        <w:t xml:space="preserve">“</w:t>
      </w:r>
      <w:r w:rsidDel="00000000" w:rsidR="00000000" w:rsidRPr="00000000">
        <w:rPr>
          <w:rFonts w:ascii="Bookman Old Style" w:cs="Bookman Old Style" w:eastAsia="Bookman Old Style" w:hAnsi="Bookman Old Style"/>
          <w:b w:val="1"/>
          <w:i w:val="1"/>
          <w:color w:val="222222"/>
          <w:highlight w:val="white"/>
          <w:u w:val="single"/>
          <w:rtl w:val="0"/>
        </w:rPr>
        <w:t xml:space="preserve">le permite al legislador fijar las reglas a partir de las cuales se asegura la plena efectividad del derecho fundamental al debido proceso (artículo 29 C.P.), y del acceso efectivo a la administración de justicia (artículo 229 C.P.).</w:t>
      </w:r>
      <w:r w:rsidDel="00000000" w:rsidR="00000000" w:rsidRPr="00000000">
        <w:rPr>
          <w:rFonts w:ascii="Bookman Old Style" w:cs="Bookman Old Style" w:eastAsia="Bookman Old Style" w:hAnsi="Bookman Old Style"/>
          <w:i w:val="1"/>
          <w:color w:val="222222"/>
          <w:highlight w:val="white"/>
          <w:rtl w:val="0"/>
        </w:rPr>
        <w:t xml:space="preserve"> Además, son reglas que consolidan la seguridad jurídica, la racionalidad, el equilibrio y finalidad de los procesos, y permiten desarrollar el principio de legalidad propio del Estado Social de Derecho. Y (…) mientras el legislador, no ignore, obstruya o contraríe las garantías básicas previstas por la Constitución, goza de discreción para establecer las formas propias de cada juicio, entendidas éstas como ‘el conjunto de reglas señaladas en la ley que, según la naturaleza del proceso, determinan los trámites que deben surtirse ante las diversas instancias judiciales o administrativas’”</w:t>
      </w:r>
      <w:r w:rsidDel="00000000" w:rsidR="00000000" w:rsidRPr="00000000">
        <w:rPr>
          <w:rFonts w:ascii="Bookman Old Style" w:cs="Bookman Old Style" w:eastAsia="Bookman Old Style" w:hAnsi="Bookman Old Style"/>
          <w:color w:val="222222"/>
          <w:highlight w:val="white"/>
          <w:rtl w:val="0"/>
        </w:rPr>
        <w:t xml:space="preserve"> [subrayado fuera del texto original]  (Sentencia C-562 de 1997). </w:t>
      </w:r>
    </w:p>
    <w:p w:rsidR="00000000" w:rsidDel="00000000" w:rsidP="00000000" w:rsidRDefault="00000000" w:rsidRPr="00000000" w14:paraId="0000011D">
      <w:pPr>
        <w:shd w:fill="ffffff" w:val="clear"/>
        <w:jc w:val="both"/>
        <w:rPr>
          <w:rFonts w:ascii="Bookman Old Style" w:cs="Bookman Old Style" w:eastAsia="Bookman Old Style" w:hAnsi="Bookman Old Style"/>
          <w:color w:val="222222"/>
          <w:highlight w:val="white"/>
        </w:rPr>
      </w:pPr>
      <w:r w:rsidDel="00000000" w:rsidR="00000000" w:rsidRPr="00000000">
        <w:rPr>
          <w:rtl w:val="0"/>
        </w:rPr>
      </w:r>
    </w:p>
    <w:p w:rsidR="00000000" w:rsidDel="00000000" w:rsidP="00000000" w:rsidRDefault="00000000" w:rsidRPr="00000000" w14:paraId="0000011E">
      <w:pPr>
        <w:shd w:fill="ffffff" w:val="clear"/>
        <w:jc w:val="both"/>
        <w:rPr>
          <w:rFonts w:ascii="Bookman Old Style" w:cs="Bookman Old Style" w:eastAsia="Bookman Old Style" w:hAnsi="Bookman Old Style"/>
          <w:color w:val="2d2d2d"/>
          <w:highlight w:val="white"/>
        </w:rPr>
      </w:pPr>
      <w:r w:rsidDel="00000000" w:rsidR="00000000" w:rsidRPr="00000000">
        <w:rPr>
          <w:rFonts w:ascii="Bookman Old Style" w:cs="Bookman Old Style" w:eastAsia="Bookman Old Style" w:hAnsi="Bookman Old Style"/>
          <w:color w:val="222222"/>
          <w:highlight w:val="white"/>
          <w:rtl w:val="0"/>
        </w:rPr>
        <w:t xml:space="preserve">`En este mismo sentido la Corte ha determinado que en relación con el diseño de procedimiento, el Congreso puede “</w:t>
      </w:r>
      <w:r w:rsidDel="00000000" w:rsidR="00000000" w:rsidRPr="00000000">
        <w:rPr>
          <w:rFonts w:ascii="Bookman Old Style" w:cs="Bookman Old Style" w:eastAsia="Bookman Old Style" w:hAnsi="Bookman Old Style"/>
          <w:i w:val="1"/>
          <w:color w:val="222222"/>
          <w:highlight w:val="white"/>
          <w:rtl w:val="0"/>
        </w:rPr>
        <w:t xml:space="preserve">i</w:t>
      </w:r>
      <w:r w:rsidDel="00000000" w:rsidR="00000000" w:rsidRPr="00000000">
        <w:rPr>
          <w:rFonts w:ascii="Bookman Old Style" w:cs="Bookman Old Style" w:eastAsia="Bookman Old Style" w:hAnsi="Bookman Old Style"/>
          <w:b w:val="1"/>
          <w:i w:val="1"/>
          <w:color w:val="222222"/>
          <w:highlight w:val="white"/>
          <w:u w:val="single"/>
          <w:rtl w:val="0"/>
        </w:rPr>
        <w:t xml:space="preserve">) fijar las etapas de los diferentes procesos y establecer los términos y las formalidades que deben cumplir</w:t>
      </w:r>
      <w:r w:rsidDel="00000000" w:rsidR="00000000" w:rsidRPr="00000000">
        <w:rPr>
          <w:rFonts w:ascii="Bookman Old Style" w:cs="Bookman Old Style" w:eastAsia="Bookman Old Style" w:hAnsi="Bookman Old Style"/>
          <w:i w:val="1"/>
          <w:color w:val="222222"/>
          <w:highlight w:val="white"/>
          <w:rtl w:val="0"/>
        </w:rPr>
        <w:t xml:space="preserve">; ii) definir las competencias cuando no se han establecido por la Constitución de manera explícita entre los distintos entes u órganos del Estado; iii) regular los medios de prueba, elemento consustancial al debido proceso y al derecho de defensa; iv) definir los deberes, obligaciones y cargas procesales de las partes, los poderes y deberes del juez y aún las exigencias de la participación de terceros intervinientes, y v) </w:t>
      </w:r>
      <w:r w:rsidDel="00000000" w:rsidR="00000000" w:rsidRPr="00000000">
        <w:rPr>
          <w:rFonts w:ascii="Bookman Old Style" w:cs="Bookman Old Style" w:eastAsia="Bookman Old Style" w:hAnsi="Bookman Old Style"/>
          <w:b w:val="1"/>
          <w:i w:val="1"/>
          <w:color w:val="222222"/>
          <w:highlight w:val="white"/>
          <w:u w:val="single"/>
          <w:rtl w:val="0"/>
        </w:rPr>
        <w:t xml:space="preserve">definir los recursos y medios de defensa que pueden intentar los administrados contra los actos que profieren las autoridades</w:t>
      </w:r>
      <w:r w:rsidDel="00000000" w:rsidR="00000000" w:rsidRPr="00000000">
        <w:rPr>
          <w:rFonts w:ascii="Bookman Old Style" w:cs="Bookman Old Style" w:eastAsia="Bookman Old Style" w:hAnsi="Bookman Old Style"/>
          <w:i w:val="1"/>
          <w:color w:val="222222"/>
          <w:highlight w:val="white"/>
          <w:rtl w:val="0"/>
        </w:rPr>
        <w:t xml:space="preserve">.</w:t>
      </w:r>
      <w:r w:rsidDel="00000000" w:rsidR="00000000" w:rsidRPr="00000000">
        <w:rPr>
          <w:rFonts w:ascii="Bookman Old Style" w:cs="Bookman Old Style" w:eastAsia="Bookman Old Style" w:hAnsi="Bookman Old Style"/>
          <w:color w:val="222222"/>
          <w:highlight w:val="white"/>
          <w:rtl w:val="0"/>
        </w:rPr>
        <w:t xml:space="preserve">” [subrayado fuera del texto original] (Sentencia C-248 de 2013)</w:t>
      </w:r>
      <w:r w:rsidDel="00000000" w:rsidR="00000000" w:rsidRPr="00000000">
        <w:rPr>
          <w:rtl w:val="0"/>
        </w:rPr>
      </w:r>
    </w:p>
    <w:p w:rsidR="00000000" w:rsidDel="00000000" w:rsidP="00000000" w:rsidRDefault="00000000" w:rsidRPr="00000000" w14:paraId="0000011F">
      <w:pPr>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2d2d2d"/>
          <w:highlight w:val="white"/>
          <w:rtl w:val="0"/>
        </w:rPr>
        <w:t xml:space="preserve">Este proyecto de ley usa la amplia libertad de configuración del legislador para garantizar el derecho al debido proceso en los procesos de interposición de comparendos. Para ellos amplía los plazos </w:t>
      </w:r>
      <w:r w:rsidDel="00000000" w:rsidR="00000000" w:rsidRPr="00000000">
        <w:rPr>
          <w:rFonts w:ascii="Bookman Old Style" w:cs="Bookman Old Style" w:eastAsia="Bookman Old Style" w:hAnsi="Bookman Old Style"/>
          <w:rtl w:val="0"/>
        </w:rPr>
        <w:t xml:space="preserve">para ejercer recursos de objeción (de 3 a 15 días) lo cual es constitucional a la luz de la cláusula de competencia del legislador. Además, genera la obligación para que las órdenes de </w:t>
      </w:r>
      <w:r w:rsidDel="00000000" w:rsidR="00000000" w:rsidRPr="00000000">
        <w:rPr>
          <w:rFonts w:ascii="Bookman Old Style" w:cs="Bookman Old Style" w:eastAsia="Bookman Old Style" w:hAnsi="Bookman Old Style"/>
          <w:rtl w:val="0"/>
        </w:rPr>
        <w:t xml:space="preserve">comparendo</w:t>
      </w:r>
      <w:r w:rsidDel="00000000" w:rsidR="00000000" w:rsidRPr="00000000">
        <w:rPr>
          <w:rFonts w:ascii="Bookman Old Style" w:cs="Bookman Old Style" w:eastAsia="Bookman Old Style" w:hAnsi="Bookman Old Style"/>
          <w:rtl w:val="0"/>
        </w:rPr>
        <w:t xml:space="preserve"> sean entregadas por escrito y se incluya información sobre los recursos y garantías. Se extiende además la posibilidad de sustituir multas tipo 3 y 4 por actividades pedagógicas. En relación con las garantías se elimina el numeral segundo del artículo 223A del Código de Convivencia por afectar el debido proceso y se toman medidas para dar publicidad, hacer pedagogía y crear canales virtuales para los recursos. Todas estas medidas no solamente son posibles dentro del margen de configuración legislativa sino que además garantizan mejor los derechos fundamentales. Por tanto, el Congreso está facultado para hacer esta reforma que además cumple mejor los mandatos de la Constitución. </w:t>
      </w:r>
      <w:r w:rsidDel="00000000" w:rsidR="00000000" w:rsidRPr="00000000">
        <w:rPr>
          <w:rtl w:val="0"/>
        </w:rPr>
      </w:r>
    </w:p>
    <w:p w:rsidR="00000000" w:rsidDel="00000000" w:rsidP="00000000" w:rsidRDefault="00000000" w:rsidRPr="00000000" w14:paraId="00000120">
      <w:pPr>
        <w:pStyle w:val="Heading1"/>
        <w:ind w:left="0" w:firstLine="0"/>
        <w:jc w:val="both"/>
        <w:rPr/>
      </w:pPr>
      <w:bookmarkStart w:colFirst="0" w:colLast="0" w:name="_n7cvvhnbopi6" w:id="10"/>
      <w:bookmarkEnd w:id="10"/>
      <w:r w:rsidDel="00000000" w:rsidR="00000000" w:rsidRPr="00000000">
        <w:rPr>
          <w:rtl w:val="0"/>
        </w:rPr>
      </w:r>
    </w:p>
    <w:p w:rsidR="00000000" w:rsidDel="00000000" w:rsidP="00000000" w:rsidRDefault="00000000" w:rsidRPr="00000000" w14:paraId="00000121">
      <w:pPr>
        <w:pStyle w:val="Heading1"/>
        <w:ind w:left="0" w:firstLine="0"/>
        <w:jc w:val="both"/>
        <w:rPr/>
      </w:pPr>
      <w:bookmarkStart w:colFirst="0" w:colLast="0" w:name="_hdp00c5iiit6" w:id="11"/>
      <w:bookmarkEnd w:id="11"/>
      <w:r w:rsidDel="00000000" w:rsidR="00000000" w:rsidRPr="00000000">
        <w:rPr>
          <w:rtl w:val="0"/>
        </w:rPr>
      </w:r>
    </w:p>
    <w:p w:rsidR="00000000" w:rsidDel="00000000" w:rsidP="00000000" w:rsidRDefault="00000000" w:rsidRPr="00000000" w14:paraId="00000122">
      <w:pPr>
        <w:pStyle w:val="Heading1"/>
        <w:ind w:left="0" w:firstLine="0"/>
        <w:jc w:val="both"/>
        <w:rPr/>
      </w:pPr>
      <w:bookmarkStart w:colFirst="0" w:colLast="0" w:name="_a73ak3hphqxl" w:id="12"/>
      <w:bookmarkEnd w:id="12"/>
      <w:r w:rsidDel="00000000" w:rsidR="00000000" w:rsidRPr="00000000">
        <w:rPr>
          <w:rtl w:val="0"/>
        </w:rPr>
        <w:t xml:space="preserve">IV. COMPARACIÓN TEXTO PROPUESTO CON EL TEXTO LEGAL VIGENTE DE LA LEY 1801 DE 2016</w:t>
      </w:r>
    </w:p>
    <w:p w:rsidR="00000000" w:rsidDel="00000000" w:rsidP="00000000" w:rsidRDefault="00000000" w:rsidRPr="00000000" w14:paraId="00000123">
      <w:pPr>
        <w:rPr/>
      </w:pPr>
      <w:r w:rsidDel="00000000" w:rsidR="00000000" w:rsidRPr="00000000">
        <w:rPr>
          <w:rtl w:val="0"/>
        </w:rPr>
      </w:r>
    </w:p>
    <w:tbl>
      <w:tblPr>
        <w:tblStyle w:val="Table3"/>
        <w:tblW w:w="98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905"/>
        <w:tblGridChange w:id="0">
          <w:tblGrid>
            <w:gridCol w:w="4905"/>
            <w:gridCol w:w="490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Texto legal vigente Ley 1801 de 2016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Texto propuesto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both"/>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TÍTULO</w:t>
            </w:r>
            <w:r w:rsidDel="00000000" w:rsidR="00000000" w:rsidRPr="00000000">
              <w:rPr>
                <w:rFonts w:ascii="Bookman Old Style" w:cs="Bookman Old Style" w:eastAsia="Bookman Old Style" w:hAnsi="Bookman Old Style"/>
                <w:rtl w:val="0"/>
              </w:rPr>
              <w:t xml:space="preserve">: “Por medio de la cual se crean garantías procesales para los comparendos por comportamientos contrarios a la convivencia y se modifican los artículos 180, 183, 219 y 223A de la Ley 1801 de 2016 y se dictan otras disposiciones”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both"/>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 OBJETO. </w:t>
            </w:r>
            <w:r w:rsidDel="00000000" w:rsidR="00000000" w:rsidRPr="00000000">
              <w:rPr>
                <w:rFonts w:ascii="Bookman Old Style" w:cs="Bookman Old Style" w:eastAsia="Bookman Old Style" w:hAnsi="Bookman Old Style"/>
                <w:rtl w:val="0"/>
              </w:rPr>
              <w:t xml:space="preserve">El objeto de la presente ley es fortalecer el acceso al recurso de objeción contra las órdenes de comparendo, comunicación efectiva de las garantías procesales en los procesos de policía, así como promover proyectos pedagógicos y de prevención en materia de seguridad para el cumplimiento de medidas correctivas impuestas por las autoridades de policía y dictar otras disposiciones.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2B">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2C">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2D">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2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180. MULTAS.</w:t>
            </w:r>
            <w:r w:rsidDel="00000000" w:rsidR="00000000" w:rsidRPr="00000000">
              <w:rPr>
                <w:rFonts w:ascii="Bookman Old Style" w:cs="Bookman Old Style" w:eastAsia="Bookman Old Style" w:hAnsi="Bookman Old Style"/>
                <w:rtl w:val="0"/>
              </w:rPr>
              <w:t xml:space="preserve"> &lt;Artículo modificado por el artículo 19 de la Ley 2450 de 2025. El nuevo texto es el siguiente:&gt;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12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se clasifican en generales y especiales.</w:t>
            </w:r>
          </w:p>
          <w:p w:rsidR="00000000" w:rsidDel="00000000" w:rsidP="00000000" w:rsidRDefault="00000000" w:rsidRPr="00000000" w14:paraId="0000013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2">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generales se clasifican de la siguiente manera.</w:t>
            </w:r>
          </w:p>
          <w:p w:rsidR="00000000" w:rsidDel="00000000" w:rsidP="00000000" w:rsidRDefault="00000000" w:rsidRPr="00000000" w14:paraId="0000013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1: Dos (2) salarios mínimos diarios legales vigentes (smdlv).</w:t>
            </w:r>
          </w:p>
          <w:p w:rsidR="00000000" w:rsidDel="00000000" w:rsidP="00000000" w:rsidRDefault="00000000" w:rsidRPr="00000000" w14:paraId="0000013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2: Cuatro (4) salarios mínimos diarios legales vigentes (smdlv).</w:t>
            </w:r>
          </w:p>
          <w:p w:rsidR="00000000" w:rsidDel="00000000" w:rsidP="00000000" w:rsidRDefault="00000000" w:rsidRPr="00000000" w14:paraId="0000013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3: Ocho (8) salarios mínimos diarios legales vigentes (smdlv).</w:t>
            </w:r>
          </w:p>
          <w:p w:rsidR="00000000" w:rsidDel="00000000" w:rsidP="00000000" w:rsidRDefault="00000000" w:rsidRPr="00000000" w14:paraId="0000013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4: Dieciséis (16) salarios mínimos diarios legales vigentes (smdlv).</w:t>
            </w:r>
          </w:p>
          <w:p w:rsidR="00000000" w:rsidDel="00000000" w:rsidP="00000000" w:rsidRDefault="00000000" w:rsidRPr="00000000" w14:paraId="0000013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especiales son de tres tipos:</w:t>
            </w:r>
          </w:p>
          <w:p w:rsidR="00000000" w:rsidDel="00000000" w:rsidP="00000000" w:rsidRDefault="00000000" w:rsidRPr="00000000" w14:paraId="0000013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Comportamientos de los organizadores de actividades que involucran aglomeraciones de público complejas.</w:t>
            </w:r>
          </w:p>
          <w:p w:rsidR="00000000" w:rsidDel="00000000" w:rsidP="00000000" w:rsidRDefault="00000000" w:rsidRPr="00000000" w14:paraId="0000013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Infracción urbanística.</w:t>
            </w:r>
          </w:p>
          <w:p w:rsidR="00000000" w:rsidDel="00000000" w:rsidP="00000000" w:rsidRDefault="00000000" w:rsidRPr="00000000" w14:paraId="0000014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2">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Contaminación visual o ruido que afecte la convivencia.</w:t>
            </w:r>
          </w:p>
          <w:p w:rsidR="00000000" w:rsidDel="00000000" w:rsidP="00000000" w:rsidRDefault="00000000" w:rsidRPr="00000000" w14:paraId="0000014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w:t>
            </w:r>
            <w:r w:rsidDel="00000000" w:rsidR="00000000" w:rsidRPr="00000000">
              <w:rPr>
                <w:rFonts w:ascii="Bookman Old Style" w:cs="Bookman Old Style" w:eastAsia="Bookman Old Style" w:hAnsi="Bookman Old Style"/>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14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14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14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14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14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cambio del pago de la Multa General 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15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tres (3) días hábiles siguientes ante la autoridad competente, para objetar la medida mediante el procedimiento establecido en este Código.</w:t>
            </w:r>
          </w:p>
          <w:p w:rsidR="00000000" w:rsidDel="00000000" w:rsidP="00000000" w:rsidRDefault="00000000" w:rsidRPr="00000000" w14:paraId="0000015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15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TRANSITORIO. </w:t>
            </w:r>
            <w:r w:rsidDel="00000000" w:rsidR="00000000" w:rsidRPr="00000000">
              <w:rPr>
                <w:rFonts w:ascii="Bookman Old Style" w:cs="Bookman Old Style" w:eastAsia="Bookman Old Style" w:hAnsi="Bookman Old Style"/>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 </w:t>
            </w:r>
            <w:r w:rsidDel="00000000" w:rsidR="00000000" w:rsidRPr="00000000">
              <w:rPr>
                <w:rFonts w:ascii="Bookman Old Style" w:cs="Bookman Old Style" w:eastAsia="Bookman Old Style" w:hAnsi="Bookman Old Style"/>
                <w:rtl w:val="0"/>
              </w:rPr>
              <w:t xml:space="preserve">Modifíquese el Artículo 180 de la Ley 1801 de 2016, el cual quedará así: </w:t>
            </w:r>
          </w:p>
          <w:p w:rsidR="00000000" w:rsidDel="00000000" w:rsidP="00000000" w:rsidRDefault="00000000" w:rsidRPr="00000000" w14:paraId="0000016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3">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6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180. MULTAS.</w:t>
            </w:r>
            <w:r w:rsidDel="00000000" w:rsidR="00000000" w:rsidRPr="00000000">
              <w:rPr>
                <w:rFonts w:ascii="Bookman Old Style" w:cs="Bookman Old Style" w:eastAsia="Bookman Old Style" w:hAnsi="Bookman Old Style"/>
                <w:rtl w:val="0"/>
              </w:rPr>
              <w:t xml:space="preserve"> &lt;Artículo modificado por el artículo 19 de la Ley 2450 de 2025. El nuevo texto es el siguiente:&gt;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16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se clasifican en generales y especiales.</w:t>
            </w:r>
          </w:p>
          <w:p w:rsidR="00000000" w:rsidDel="00000000" w:rsidP="00000000" w:rsidRDefault="00000000" w:rsidRPr="00000000" w14:paraId="0000016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generales se clasifican de la siguiente manera.</w:t>
            </w:r>
          </w:p>
          <w:p w:rsidR="00000000" w:rsidDel="00000000" w:rsidP="00000000" w:rsidRDefault="00000000" w:rsidRPr="00000000" w14:paraId="0000016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1: Dos (2) salarios mínimos diarios legales vigentes (smdlv).</w:t>
            </w:r>
          </w:p>
          <w:p w:rsidR="00000000" w:rsidDel="00000000" w:rsidP="00000000" w:rsidRDefault="00000000" w:rsidRPr="00000000" w14:paraId="0000016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2: Cuatro (4) salarios mínimos diarios legales vigentes (smdlv).</w:t>
            </w:r>
          </w:p>
          <w:p w:rsidR="00000000" w:rsidDel="00000000" w:rsidP="00000000" w:rsidRDefault="00000000" w:rsidRPr="00000000" w14:paraId="0000016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3: Ocho (8) salarios mínimos diarios legales vigentes (smdlv).</w:t>
            </w:r>
          </w:p>
          <w:p w:rsidR="00000000" w:rsidDel="00000000" w:rsidP="00000000" w:rsidRDefault="00000000" w:rsidRPr="00000000" w14:paraId="0000016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Multa Tipo 4: Dieciséis (16) salarios mínimos diarios legales vigentes (smdlv).</w:t>
            </w:r>
          </w:p>
          <w:p w:rsidR="00000000" w:rsidDel="00000000" w:rsidP="00000000" w:rsidRDefault="00000000" w:rsidRPr="00000000" w14:paraId="0000017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2">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Las multas especiales son de tres tipos:</w:t>
            </w:r>
          </w:p>
          <w:p w:rsidR="00000000" w:rsidDel="00000000" w:rsidP="00000000" w:rsidRDefault="00000000" w:rsidRPr="00000000" w14:paraId="0000017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Comportamientos de los organizadores de actividades que involucran aglomeraciones de público complejas.</w:t>
            </w:r>
          </w:p>
          <w:p w:rsidR="00000000" w:rsidDel="00000000" w:rsidP="00000000" w:rsidRDefault="00000000" w:rsidRPr="00000000" w14:paraId="0000017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Infracción urbanística.</w:t>
            </w:r>
          </w:p>
          <w:p w:rsidR="00000000" w:rsidDel="00000000" w:rsidP="00000000" w:rsidRDefault="00000000" w:rsidRPr="00000000" w14:paraId="0000017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Contaminación visual o ruido que afecte la convivencia.</w:t>
            </w:r>
          </w:p>
          <w:p w:rsidR="00000000" w:rsidDel="00000000" w:rsidP="00000000" w:rsidRDefault="00000000" w:rsidRPr="00000000" w14:paraId="0000017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w:t>
            </w:r>
            <w:r w:rsidDel="00000000" w:rsidR="00000000" w:rsidRPr="00000000">
              <w:rPr>
                <w:rFonts w:ascii="Bookman Old Style" w:cs="Bookman Old Style" w:eastAsia="Bookman Old Style" w:hAnsi="Bookman Old Style"/>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17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17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17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18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2">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w:t>
            </w:r>
            <w:r w:rsidDel="00000000" w:rsidR="00000000" w:rsidRPr="00000000">
              <w:rPr>
                <w:rFonts w:ascii="Bookman Old Style" w:cs="Bookman Old Style" w:eastAsia="Bookman Old Style" w:hAnsi="Bookman Old Style"/>
                <w:b w:val="1"/>
                <w:strike w:val="1"/>
                <w:rtl w:val="0"/>
              </w:rPr>
              <w:t xml:space="preserve">cinco (5)</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u w:val="single"/>
                <w:rtl w:val="0"/>
              </w:rPr>
              <w:t xml:space="preserve">quince (15)</w:t>
            </w:r>
            <w:r w:rsidDel="00000000" w:rsidR="00000000" w:rsidRPr="00000000">
              <w:rPr>
                <w:rFonts w:ascii="Bookman Old Style" w:cs="Bookman Old Style" w:eastAsia="Bookman Old Style" w:hAnsi="Bookman Old Style"/>
                <w:rtl w:val="0"/>
              </w:rPr>
              <w:t xml:space="preserve">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18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cambio del pago de la Multa General tipos 1 y 2 la persona podrá, dentro de un plazo máximo de </w:t>
            </w:r>
            <w:r w:rsidDel="00000000" w:rsidR="00000000" w:rsidRPr="00000000">
              <w:rPr>
                <w:rFonts w:ascii="Bookman Old Style" w:cs="Bookman Old Style" w:eastAsia="Bookman Old Style" w:hAnsi="Bookman Old Style"/>
                <w:b w:val="1"/>
                <w:strike w:val="1"/>
                <w:rtl w:val="0"/>
              </w:rPr>
              <w:t xml:space="preserve">cinco (5)</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u w:val="single"/>
                <w:rtl w:val="0"/>
              </w:rPr>
              <w:t xml:space="preserve">quince (15</w:t>
            </w:r>
            <w:r w:rsidDel="00000000" w:rsidR="00000000" w:rsidRPr="00000000">
              <w:rPr>
                <w:rFonts w:ascii="Bookman Old Style" w:cs="Bookman Old Style" w:eastAsia="Bookman Old Style" w:hAnsi="Bookman Old Style"/>
                <w:rtl w:val="0"/>
              </w:rPr>
              <w:t xml:space="preserve">)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18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6">
            <w:pPr>
              <w:widowControl w:val="0"/>
              <w:spacing w:line="240" w:lineRule="auto"/>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A cambio de una reducción del 50% de la Multa General tipos 3 y 4</w:t>
            </w:r>
            <w:r w:rsidDel="00000000" w:rsidR="00000000" w:rsidRPr="00000000">
              <w:rPr>
                <w:rFonts w:ascii="Bookman Old Style" w:cs="Bookman Old Style" w:eastAsia="Bookman Old Style" w:hAnsi="Bookman Old Style"/>
                <w:b w:val="1"/>
                <w:u w:val="single"/>
                <w:rtl w:val="0"/>
              </w:rPr>
              <w:t xml:space="preserve">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18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w:t>
            </w:r>
            <w:r w:rsidDel="00000000" w:rsidR="00000000" w:rsidRPr="00000000">
              <w:rPr>
                <w:rFonts w:ascii="Bookman Old Style" w:cs="Bookman Old Style" w:eastAsia="Bookman Old Style" w:hAnsi="Bookman Old Style"/>
                <w:b w:val="1"/>
                <w:strike w:val="1"/>
                <w:rtl w:val="0"/>
              </w:rPr>
              <w:t xml:space="preserve">tres (3)</w:t>
            </w:r>
            <w:r w:rsidDel="00000000" w:rsidR="00000000" w:rsidRPr="00000000">
              <w:rPr>
                <w:rFonts w:ascii="Bookman Old Style" w:cs="Bookman Old Style" w:eastAsia="Bookman Old Style" w:hAnsi="Bookman Old Style"/>
                <w:b w:val="1"/>
                <w:rtl w:val="0"/>
              </w:rPr>
              <w:t xml:space="preserve"> </w:t>
            </w:r>
            <w:r w:rsidDel="00000000" w:rsidR="00000000" w:rsidRPr="00000000">
              <w:rPr>
                <w:rFonts w:ascii="Bookman Old Style" w:cs="Bookman Old Style" w:eastAsia="Bookman Old Style" w:hAnsi="Bookman Old Style"/>
                <w:b w:val="1"/>
                <w:u w:val="single"/>
                <w:rtl w:val="0"/>
              </w:rPr>
              <w:t xml:space="preserve">quince (15)</w:t>
            </w:r>
            <w:r w:rsidDel="00000000" w:rsidR="00000000" w:rsidRPr="00000000">
              <w:rPr>
                <w:rFonts w:ascii="Bookman Old Style" w:cs="Bookman Old Style" w:eastAsia="Bookman Old Style" w:hAnsi="Bookman Old Style"/>
                <w:rtl w:val="0"/>
              </w:rPr>
              <w:t xml:space="preserve"> días hábiles siguientes ante la autoridad competente, para objetar la medida mediante el procedimiento establecido en este Código.</w:t>
            </w:r>
          </w:p>
          <w:p w:rsidR="00000000" w:rsidDel="00000000" w:rsidP="00000000" w:rsidRDefault="00000000" w:rsidRPr="00000000" w14:paraId="0000018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18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C">
            <w:pPr>
              <w:widowControl w:val="0"/>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PARÁGRAFO TRANSITORIO. </w:t>
            </w:r>
            <w:r w:rsidDel="00000000" w:rsidR="00000000" w:rsidRPr="00000000">
              <w:rPr>
                <w:rFonts w:ascii="Bookman Old Style" w:cs="Bookman Old Style" w:eastAsia="Bookman Old Style" w:hAnsi="Bookman Old Style"/>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r w:rsidDel="00000000" w:rsidR="00000000" w:rsidRPr="00000000">
              <w:rPr>
                <w:rtl w:val="0"/>
              </w:rPr>
            </w:r>
          </w:p>
        </w:tc>
      </w:tr>
      <w:tr>
        <w:trPr>
          <w:cantSplit w:val="0"/>
          <w:tblHeader w:val="0"/>
        </w:trPr>
        <w:tc>
          <w:tcPr>
            <w:shd w:fill="auto" w:val="clear"/>
            <w:tcMar>
              <w:top w:w="99.36" w:type="dxa"/>
              <w:left w:w="99.36" w:type="dxa"/>
              <w:bottom w:w="99.36" w:type="dxa"/>
              <w:right w:w="99.36" w:type="dxa"/>
            </w:tcMar>
            <w:vAlign w:val="top"/>
          </w:tcPr>
          <w:p w:rsidR="00000000" w:rsidDel="00000000" w:rsidP="00000000" w:rsidRDefault="00000000" w:rsidRPr="00000000" w14:paraId="0000018D">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8E">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8F">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90">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9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183. Consecuencias por el no pago de multas.</w:t>
            </w:r>
            <w:r w:rsidDel="00000000" w:rsidR="00000000" w:rsidRPr="00000000">
              <w:rPr>
                <w:rFonts w:ascii="Bookman Old Style" w:cs="Bookman Old Style" w:eastAsia="Bookman Old Style" w:hAnsi="Bookman Old Style"/>
                <w:rtl w:val="0"/>
              </w:rPr>
              <w:t xml:space="preserve"> 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19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Obtener o renovar permiso de tenencia o porte de armas.</w:t>
            </w:r>
          </w:p>
          <w:p w:rsidR="00000000" w:rsidDel="00000000" w:rsidP="00000000" w:rsidRDefault="00000000" w:rsidRPr="00000000" w14:paraId="0000019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Ser nombrado o ascendido en cargo público.</w:t>
            </w:r>
          </w:p>
          <w:p w:rsidR="00000000" w:rsidDel="00000000" w:rsidP="00000000" w:rsidRDefault="00000000" w:rsidRPr="00000000" w14:paraId="0000019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C-093 de 2020)</w:t>
            </w:r>
          </w:p>
          <w:p w:rsidR="00000000" w:rsidDel="00000000" w:rsidP="00000000" w:rsidRDefault="00000000" w:rsidRPr="00000000" w14:paraId="0000019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Ingresar a las escuelas de formación de la Fuerza Pública.</w:t>
            </w:r>
          </w:p>
          <w:p w:rsidR="00000000" w:rsidDel="00000000" w:rsidP="00000000" w:rsidRDefault="00000000" w:rsidRPr="00000000" w14:paraId="0000019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Contratar o renovar contrato con cualquier entidad del Estado.</w:t>
            </w:r>
          </w:p>
          <w:p w:rsidR="00000000" w:rsidDel="00000000" w:rsidP="00000000" w:rsidRDefault="00000000" w:rsidRPr="00000000" w14:paraId="0000019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C-054 de 2019)</w:t>
            </w:r>
          </w:p>
          <w:p w:rsidR="00000000" w:rsidDel="00000000" w:rsidP="00000000" w:rsidRDefault="00000000" w:rsidRPr="00000000" w14:paraId="0000019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Obtener o renovar el registro mercantil en las cámaras de comercio.</w:t>
            </w:r>
          </w:p>
          <w:p w:rsidR="00000000" w:rsidDel="00000000" w:rsidP="00000000" w:rsidRDefault="00000000" w:rsidRPr="00000000" w14:paraId="000001A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C-054 de 2019)</w:t>
            </w:r>
          </w:p>
          <w:p w:rsidR="00000000" w:rsidDel="00000000" w:rsidP="00000000" w:rsidRDefault="00000000" w:rsidRPr="00000000" w14:paraId="000001A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Inscribirse a los concursos que apertura la Comisión Nacional del Servicio Civil.</w:t>
            </w:r>
          </w:p>
          <w:p w:rsidR="00000000" w:rsidDel="00000000" w:rsidP="00000000" w:rsidRDefault="00000000" w:rsidRPr="00000000" w14:paraId="000001A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A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Acceder a permisos que otorguen las alcaldías distritales o municipales para la venta de bienes.</w:t>
            </w:r>
          </w:p>
          <w:p w:rsidR="00000000" w:rsidDel="00000000" w:rsidP="00000000" w:rsidRDefault="00000000" w:rsidRPr="00000000" w14:paraId="000001A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A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Realizar trámites de las oficinas de tránsito y transporte.</w:t>
            </w:r>
          </w:p>
          <w:p w:rsidR="00000000" w:rsidDel="00000000" w:rsidP="00000000" w:rsidRDefault="00000000" w:rsidRPr="00000000" w14:paraId="000001A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A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Acceder al mecanismo temporal de regularización que defina el Gobierno Nacional.</w:t>
            </w:r>
          </w:p>
          <w:p w:rsidR="00000000" w:rsidDel="00000000" w:rsidP="00000000" w:rsidRDefault="00000000" w:rsidRPr="00000000" w14:paraId="000001B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B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 Acceder a la conmutación de la multa tipo 1 y 2, por la participación en programa comunitario o actividad pedagógica de convivencia.</w:t>
            </w:r>
          </w:p>
          <w:p w:rsidR="00000000" w:rsidDel="00000000" w:rsidP="00000000" w:rsidRDefault="00000000" w:rsidRPr="00000000" w14:paraId="000001B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B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 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1B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B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 Los servidores públicos que omitan esta verificación incurrirán en falta grave y a los que no ostenten esta calidad se les aplicará la multa tipo 4.</w:t>
            </w:r>
          </w:p>
          <w:p w:rsidR="00000000" w:rsidDel="00000000" w:rsidP="00000000" w:rsidRDefault="00000000" w:rsidRPr="00000000" w14:paraId="000001B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B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PARÁGRAFO . El cobro coactivo de que trata la presente ley se regulará por lo dispuesto en el artículo 100, numeral 2 de la Ley 1437 de 2011.</w:t>
            </w:r>
          </w:p>
          <w:p w:rsidR="00000000" w:rsidDel="00000000" w:rsidP="00000000" w:rsidRDefault="00000000" w:rsidRPr="00000000" w14:paraId="000001C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(Ver Sentencia de la Corte Constitucional C-054 de 2019)</w:t>
            </w:r>
          </w:p>
          <w:p w:rsidR="00000000" w:rsidDel="00000000" w:rsidP="00000000" w:rsidRDefault="00000000" w:rsidRPr="00000000" w14:paraId="000001C2">
            <w:pPr>
              <w:widowControl w:val="0"/>
              <w:spacing w:line="240" w:lineRule="auto"/>
              <w:jc w:val="both"/>
              <w:rPr>
                <w:rFonts w:ascii="Bookman Old Style" w:cs="Bookman Old Style" w:eastAsia="Bookman Old Style" w:hAnsi="Bookman Old Style"/>
                <w:b w:val="1"/>
              </w:rPr>
            </w:pPr>
            <w:r w:rsidDel="00000000" w:rsidR="00000000" w:rsidRPr="00000000">
              <w:rPr>
                <w:rtl w:val="0"/>
              </w:rPr>
            </w:r>
          </w:p>
        </w:tc>
        <w:tc>
          <w:tcPr>
            <w:shd w:fill="auto" w:val="clear"/>
            <w:tcMar>
              <w:top w:w="99.36" w:type="dxa"/>
              <w:left w:w="99.36" w:type="dxa"/>
              <w:bottom w:w="99.36" w:type="dxa"/>
              <w:right w:w="99.36" w:type="dxa"/>
            </w:tcMar>
            <w:vAlign w:val="top"/>
          </w:tcPr>
          <w:p w:rsidR="00000000" w:rsidDel="00000000" w:rsidP="00000000" w:rsidRDefault="00000000" w:rsidRPr="00000000" w14:paraId="000001C3">
            <w:pPr>
              <w:widowControl w:val="0"/>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ARTÍCULO 3. </w:t>
            </w:r>
            <w:r w:rsidDel="00000000" w:rsidR="00000000" w:rsidRPr="00000000">
              <w:rPr>
                <w:rFonts w:ascii="Bookman Old Style" w:cs="Bookman Old Style" w:eastAsia="Bookman Old Style" w:hAnsi="Bookman Old Style"/>
                <w:rtl w:val="0"/>
              </w:rPr>
              <w:t xml:space="preserve">Modifíquese el Artículo 183 de la Ley 1801 de 2016, el cual quedará así: </w:t>
            </w:r>
            <w:r w:rsidDel="00000000" w:rsidR="00000000" w:rsidRPr="00000000">
              <w:rPr>
                <w:rtl w:val="0"/>
              </w:rPr>
            </w:r>
          </w:p>
          <w:p w:rsidR="00000000" w:rsidDel="00000000" w:rsidP="00000000" w:rsidRDefault="00000000" w:rsidRPr="00000000" w14:paraId="000001C4">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C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183. Consecuencias por el no pago de multas. </w:t>
            </w:r>
            <w:r w:rsidDel="00000000" w:rsidR="00000000" w:rsidRPr="00000000">
              <w:rPr>
                <w:rFonts w:ascii="Bookman Old Style" w:cs="Bookman Old Style" w:eastAsia="Bookman Old Style" w:hAnsi="Bookman Old Style"/>
                <w:rtl w:val="0"/>
              </w:rPr>
              <w:t xml:space="preserve">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1C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Obtener o renovar permiso de tenencia o porte de armas.</w:t>
            </w:r>
          </w:p>
          <w:p w:rsidR="00000000" w:rsidDel="00000000" w:rsidP="00000000" w:rsidRDefault="00000000" w:rsidRPr="00000000" w14:paraId="000001C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Ser nombrado o ascendido en cargo público.</w:t>
            </w:r>
          </w:p>
          <w:p w:rsidR="00000000" w:rsidDel="00000000" w:rsidP="00000000" w:rsidRDefault="00000000" w:rsidRPr="00000000" w14:paraId="000001C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C-093 de 2020)</w:t>
            </w:r>
          </w:p>
          <w:p w:rsidR="00000000" w:rsidDel="00000000" w:rsidP="00000000" w:rsidRDefault="00000000" w:rsidRPr="00000000" w14:paraId="000001C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Ingresar a las escuelas de formación de la Fuerza Pública.</w:t>
            </w:r>
          </w:p>
          <w:p w:rsidR="00000000" w:rsidDel="00000000" w:rsidP="00000000" w:rsidRDefault="00000000" w:rsidRPr="00000000" w14:paraId="000001C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Contratar o renovar contrato con cualquier entidad del Estado.</w:t>
            </w:r>
          </w:p>
          <w:p w:rsidR="00000000" w:rsidDel="00000000" w:rsidP="00000000" w:rsidRDefault="00000000" w:rsidRPr="00000000" w14:paraId="000001D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C-054 de 2019)</w:t>
            </w:r>
          </w:p>
          <w:p w:rsidR="00000000" w:rsidDel="00000000" w:rsidP="00000000" w:rsidRDefault="00000000" w:rsidRPr="00000000" w14:paraId="000001D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Obtener o renovar el registro mercantil en las cámaras de comercio.</w:t>
            </w:r>
          </w:p>
          <w:p w:rsidR="00000000" w:rsidDel="00000000" w:rsidP="00000000" w:rsidRDefault="00000000" w:rsidRPr="00000000" w14:paraId="000001D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(Declarado EXEQUIBLE mediante Sentencia de la Corte Constitucional C-054 de 2019)</w:t>
            </w:r>
          </w:p>
          <w:p w:rsidR="00000000" w:rsidDel="00000000" w:rsidP="00000000" w:rsidRDefault="00000000" w:rsidRPr="00000000" w14:paraId="000001D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Inscribirse a los concursos que apertura la Comisión Nacional del Servicio Civil.</w:t>
            </w:r>
          </w:p>
          <w:p w:rsidR="00000000" w:rsidDel="00000000" w:rsidP="00000000" w:rsidRDefault="00000000" w:rsidRPr="00000000" w14:paraId="000001D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D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Acceder a permisos que otorguen las alcaldías distritales o municipales para la venta de bienes.</w:t>
            </w:r>
          </w:p>
          <w:p w:rsidR="00000000" w:rsidDel="00000000" w:rsidP="00000000" w:rsidRDefault="00000000" w:rsidRPr="00000000" w14:paraId="000001D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D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Realizar trámites de las oficinas de tránsito y transporte.</w:t>
            </w:r>
          </w:p>
          <w:p w:rsidR="00000000" w:rsidDel="00000000" w:rsidP="00000000" w:rsidRDefault="00000000" w:rsidRPr="00000000" w14:paraId="000001E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E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Acceder al mecanismo temporal de regularización que defina el Gobierno Nacional.</w:t>
            </w:r>
          </w:p>
          <w:p w:rsidR="00000000" w:rsidDel="00000000" w:rsidP="00000000" w:rsidRDefault="00000000" w:rsidRPr="00000000" w14:paraId="000001E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E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7">
            <w:pPr>
              <w:widowControl w:val="0"/>
              <w:spacing w:line="240" w:lineRule="auto"/>
              <w:jc w:val="both"/>
              <w:rPr>
                <w:rFonts w:ascii="Bookman Old Style" w:cs="Bookman Old Style" w:eastAsia="Bookman Old Style" w:hAnsi="Bookman Old Style"/>
                <w:b w:val="1"/>
                <w:strike w:val="1"/>
              </w:rPr>
            </w:pPr>
            <w:r w:rsidDel="00000000" w:rsidR="00000000" w:rsidRPr="00000000">
              <w:rPr>
                <w:rFonts w:ascii="Bookman Old Style" w:cs="Bookman Old Style" w:eastAsia="Bookman Old Style" w:hAnsi="Bookman Old Style"/>
                <w:b w:val="1"/>
                <w:strike w:val="1"/>
                <w:rtl w:val="0"/>
              </w:rPr>
              <w:t xml:space="preserve">10. Acceder a la conmutación de la multa tipo 1 y 2, por la participación en programa comunitario o actividad pedagógica de convivencia.</w:t>
            </w:r>
          </w:p>
          <w:p w:rsidR="00000000" w:rsidDel="00000000" w:rsidP="00000000" w:rsidRDefault="00000000" w:rsidRPr="00000000" w14:paraId="000001E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9">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E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10.</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strike w:val="1"/>
                <w:rtl w:val="0"/>
              </w:rPr>
              <w:t xml:space="preserve">11. </w:t>
            </w:r>
            <w:r w:rsidDel="00000000" w:rsidR="00000000" w:rsidRPr="00000000">
              <w:rPr>
                <w:rFonts w:ascii="Bookman Old Style" w:cs="Bookman Old Style" w:eastAsia="Bookman Old Style" w:hAnsi="Bookman Old Style"/>
                <w:rtl w:val="0"/>
              </w:rPr>
              <w:t xml:space="preserve">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1E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E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11.</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strike w:val="1"/>
                <w:rtl w:val="0"/>
              </w:rPr>
              <w:t xml:space="preserve">12. </w:t>
            </w:r>
            <w:r w:rsidDel="00000000" w:rsidR="00000000" w:rsidRPr="00000000">
              <w:rPr>
                <w:rFonts w:ascii="Bookman Old Style" w:cs="Bookman Old Style" w:eastAsia="Bookman Old Style" w:hAnsi="Bookman Old Style"/>
                <w:rtl w:val="0"/>
              </w:rPr>
              <w:t xml:space="preserve">Los servidores públicos que omitan esta verificación incurrirán en falta grave y a los que no ostenten esta calidad se les aplicará la multa tipo 4.</w:t>
            </w:r>
          </w:p>
          <w:p w:rsidR="00000000" w:rsidDel="00000000" w:rsidP="00000000" w:rsidRDefault="00000000" w:rsidRPr="00000000" w14:paraId="000001F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(Numeral Adicionado por el Art. 43 de la Ley 2197 de 2022)</w:t>
            </w:r>
          </w:p>
          <w:p w:rsidR="00000000" w:rsidDel="00000000" w:rsidP="00000000" w:rsidRDefault="00000000" w:rsidRPr="00000000" w14:paraId="000001F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3">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PARÁGRAFO . El cobro coactivo de que trata la presente ley se regulará por lo dispuesto en el artículo 100, numeral 2 de la Ley 1437 de 2011.</w:t>
            </w:r>
          </w:p>
          <w:p w:rsidR="00000000" w:rsidDel="00000000" w:rsidP="00000000" w:rsidRDefault="00000000" w:rsidRPr="00000000" w14:paraId="000001F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5">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(Ver Sentencia de la Corte Constitucional C-054 de 2019)</w:t>
            </w:r>
          </w:p>
          <w:p w:rsidR="00000000" w:rsidDel="00000000" w:rsidP="00000000" w:rsidRDefault="00000000" w:rsidRPr="00000000" w14:paraId="000001F6">
            <w:pPr>
              <w:widowControl w:val="0"/>
              <w:spacing w:line="240" w:lineRule="auto"/>
              <w:jc w:val="both"/>
              <w:rPr>
                <w:rFonts w:ascii="Bookman Old Style" w:cs="Bookman Old Style" w:eastAsia="Bookman Old Style" w:hAnsi="Bookman Old Styl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B">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219. PROCEDIMIENTO PARA LA IMPOSICIÓN DE COMPARENDO.</w:t>
            </w:r>
            <w:r w:rsidDel="00000000" w:rsidR="00000000" w:rsidRPr="00000000">
              <w:rPr>
                <w:rFonts w:ascii="Bookman Old Style" w:cs="Bookman Old Style" w:eastAsia="Bookman Old Style" w:hAnsi="Bookman Old Style"/>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1F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D">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1F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F">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1o.</w:t>
            </w:r>
            <w:r w:rsidDel="00000000" w:rsidR="00000000" w:rsidRPr="00000000">
              <w:rPr>
                <w:rFonts w:ascii="Bookman Old Style" w:cs="Bookman Old Style" w:eastAsia="Bookman Old Style" w:hAnsi="Bookman Old Style"/>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20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2o.</w:t>
            </w:r>
            <w:r w:rsidDel="00000000" w:rsidR="00000000" w:rsidRPr="00000000">
              <w:rPr>
                <w:rFonts w:ascii="Bookman Old Style" w:cs="Bookman Old Style" w:eastAsia="Bookman Old Style" w:hAnsi="Bookman Old Style"/>
                <w:rtl w:val="0"/>
              </w:rPr>
              <w:t xml:space="preserve"> Las autoridades de Policía al imponer una medida correctiva, deberán de oficio suministrar toda la información al infractor, acerca de los recursos que le corresponde y los términos que tiene para interponerlos.</w:t>
            </w:r>
          </w:p>
          <w:p w:rsidR="00000000" w:rsidDel="00000000" w:rsidP="00000000" w:rsidRDefault="00000000" w:rsidRPr="00000000" w14:paraId="0000020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4">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A">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C">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E">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0">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3">
            <w:pPr>
              <w:widowControl w:val="0"/>
              <w:spacing w:line="240" w:lineRule="auto"/>
              <w:jc w:val="both"/>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4. </w:t>
            </w:r>
            <w:r w:rsidDel="00000000" w:rsidR="00000000" w:rsidRPr="00000000">
              <w:rPr>
                <w:rFonts w:ascii="Bookman Old Style" w:cs="Bookman Old Style" w:eastAsia="Bookman Old Style" w:hAnsi="Bookman Old Style"/>
                <w:rtl w:val="0"/>
              </w:rPr>
              <w:t xml:space="preserve">Modifíquese el Artículo 219 de la Ley 1801 de 2016, el cual quedará así: </w:t>
            </w:r>
          </w:p>
          <w:p w:rsidR="00000000" w:rsidDel="00000000" w:rsidP="00000000" w:rsidRDefault="00000000" w:rsidRPr="00000000" w14:paraId="00000215">
            <w:pPr>
              <w:widowControl w:val="0"/>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1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219. PROCEDIMIENTO PARA LA IMPOSICIÓN DE COMPARENDO.</w:t>
            </w:r>
            <w:r w:rsidDel="00000000" w:rsidR="00000000" w:rsidRPr="00000000">
              <w:rPr>
                <w:rFonts w:ascii="Bookman Old Style" w:cs="Bookman Old Style" w:eastAsia="Bookman Old Style" w:hAnsi="Bookman Old Style"/>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21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21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PARÁGRAFO 1o.</w:t>
            </w:r>
            <w:r w:rsidDel="00000000" w:rsidR="00000000" w:rsidRPr="00000000">
              <w:rPr>
                <w:rFonts w:ascii="Bookman Old Style" w:cs="Bookman Old Style" w:eastAsia="Bookman Old Style" w:hAnsi="Bookman Old Style"/>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21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C">
            <w:pPr>
              <w:widowControl w:val="0"/>
              <w:spacing w:line="240" w:lineRule="auto"/>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rtl w:val="0"/>
              </w:rPr>
              <w:t xml:space="preserve">PARÁGRAFO 2o. </w:t>
            </w:r>
            <w:r w:rsidDel="00000000" w:rsidR="00000000" w:rsidRPr="00000000">
              <w:rPr>
                <w:rFonts w:ascii="Bookman Old Style" w:cs="Bookman Old Style" w:eastAsia="Bookman Old Style" w:hAnsi="Bookman Old Style"/>
                <w:rtl w:val="0"/>
              </w:rPr>
              <w:t xml:space="preserve">Las autoridades de Policía al imponer una medida correctiva, deberán de oficio suministrar toda la información al infractor, acerca de los recursos que le corresponde y los términos que tiene para interponerlos. </w:t>
            </w:r>
            <w:r w:rsidDel="00000000" w:rsidR="00000000" w:rsidRPr="00000000">
              <w:rPr>
                <w:rFonts w:ascii="Bookman Old Style" w:cs="Bookman Old Style" w:eastAsia="Bookman Old Style" w:hAnsi="Bookman Old Style"/>
                <w:b w:val="1"/>
                <w:u w:val="single"/>
                <w:rtl w:val="0"/>
              </w:rPr>
              <w:t xml:space="preserve">La orden de </w:t>
            </w:r>
            <w:r w:rsidDel="00000000" w:rsidR="00000000" w:rsidRPr="00000000">
              <w:rPr>
                <w:rFonts w:ascii="Bookman Old Style" w:cs="Bookman Old Style" w:eastAsia="Bookman Old Style" w:hAnsi="Bookman Old Style"/>
                <w:b w:val="1"/>
                <w:u w:val="single"/>
                <w:rtl w:val="0"/>
              </w:rPr>
              <w:t xml:space="preserve">comparendo</w:t>
            </w:r>
            <w:r w:rsidDel="00000000" w:rsidR="00000000" w:rsidRPr="00000000">
              <w:rPr>
                <w:rFonts w:ascii="Bookman Old Style" w:cs="Bookman Old Style" w:eastAsia="Bookman Old Style" w:hAnsi="Bookman Old Style"/>
                <w:b w:val="1"/>
                <w:u w:val="single"/>
                <w:rtl w:val="0"/>
              </w:rPr>
              <w:t xml:space="preserve"> deberá incluir </w:t>
            </w:r>
            <w:r w:rsidDel="00000000" w:rsidR="00000000" w:rsidRPr="00000000">
              <w:rPr>
                <w:rFonts w:ascii="Bookman Old Style" w:cs="Bookman Old Style" w:eastAsia="Bookman Old Style" w:hAnsi="Bookman Old Style"/>
                <w:b w:val="1"/>
                <w:u w:val="single"/>
                <w:rtl w:val="0"/>
              </w:rPr>
              <w:t xml:space="preserve">por escrito </w:t>
            </w:r>
            <w:r w:rsidDel="00000000" w:rsidR="00000000" w:rsidRPr="00000000">
              <w:rPr>
                <w:rFonts w:ascii="Bookman Old Style" w:cs="Bookman Old Style" w:eastAsia="Bookman Old Style" w:hAnsi="Bookman Old Style"/>
                <w:b w:val="1"/>
                <w:u w:val="single"/>
                <w:rtl w:val="0"/>
              </w:rPr>
              <w:t xml:space="preserve">de manera clara, específica y accesible los derechos, garantías y recursos, incluyendo los de objeción y apelación, que le corresponde al infractor. </w:t>
            </w:r>
          </w:p>
          <w:p w:rsidR="00000000" w:rsidDel="00000000" w:rsidP="00000000" w:rsidRDefault="00000000" w:rsidRPr="00000000" w14:paraId="0000021D">
            <w:pPr>
              <w:widowControl w:val="0"/>
              <w:spacing w:line="240" w:lineRule="auto"/>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21E">
            <w:pPr>
              <w:widowControl w:val="0"/>
              <w:spacing w:line="240" w:lineRule="auto"/>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Dentro de los 3 meses de la entrada en vigencia de la presente Ley la Policía Nacional incluirá en su página web los diferentes recursos disponibles al infractor a través del Sistema Registro Nacional de Medidas Correctivas RNMC, o la plataforma que haga sus veces. En el mismo sentido, la Policía Nacional deberá hacer un instructivo general en el que se informe a toda la institución sobre las garantías procesales respecto a los comparendos. </w:t>
            </w:r>
            <w:r w:rsidDel="00000000" w:rsidR="00000000" w:rsidRPr="00000000">
              <w:rPr>
                <w:rFonts w:ascii="Bookman Old Style" w:cs="Bookman Old Style" w:eastAsia="Bookman Old Style" w:hAnsi="Bookman Old Style"/>
                <w:b w:val="1"/>
                <w:u w:val="single"/>
                <w:rtl w:val="0"/>
              </w:rPr>
              <w:t xml:space="preserve">Por su parte la Defensoría del Pueblo hará pedagogía permanente sobre los derechos de la ciudadanía frente a los comparendos por comportamientos contrarios a la convivencia</w:t>
            </w:r>
            <w:r w:rsidDel="00000000" w:rsidR="00000000" w:rsidRPr="00000000">
              <w:rPr>
                <w:rtl w:val="0"/>
              </w:rPr>
            </w:r>
          </w:p>
          <w:p w:rsidR="00000000" w:rsidDel="00000000" w:rsidP="00000000" w:rsidRDefault="00000000" w:rsidRPr="00000000" w14:paraId="0000021F">
            <w:pPr>
              <w:widowControl w:val="0"/>
              <w:spacing w:line="240" w:lineRule="auto"/>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220">
            <w:pPr>
              <w:widowControl w:val="0"/>
              <w:spacing w:line="240" w:lineRule="auto"/>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Parágrafo 3o. En un período máximo de un año, las autoridades competentes deberán crear canales virtuales para interponer el recurso de objeción contra las órdenes de comparendo.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tl w:val="0"/>
              </w:rPr>
            </w:r>
          </w:p>
          <w:p w:rsidR="00000000" w:rsidDel="00000000" w:rsidP="00000000" w:rsidRDefault="00000000" w:rsidRPr="00000000" w14:paraId="00000222">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tl w:val="0"/>
              </w:rPr>
            </w:r>
          </w:p>
          <w:p w:rsidR="00000000" w:rsidDel="00000000" w:rsidP="00000000" w:rsidRDefault="00000000" w:rsidRPr="00000000" w14:paraId="00000223">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224">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tl w:val="0"/>
              </w:rPr>
            </w:r>
          </w:p>
          <w:p w:rsidR="00000000" w:rsidDel="00000000" w:rsidP="00000000" w:rsidRDefault="00000000" w:rsidRPr="00000000" w14:paraId="00000225">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226">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2. Término perentorio para objetar la orden de comparendo. Vencidos los 3 días hábiles posteriores a la expedición de la orden de comparendo en la que se señale Multa General, sin que se haya objetado; de conformidad con el principio de celeridad, no podrá iniciarse el proceso verbal abreviado, por cuanto se pierde la oportunidad legal establecida en el inciso quinto parágrafo del Artículo 180 de la Ley 1801 de 2016.</w:t>
            </w:r>
          </w:p>
          <w:p w:rsidR="00000000" w:rsidDel="00000000" w:rsidP="00000000" w:rsidRDefault="00000000" w:rsidRPr="00000000" w14:paraId="00000227">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tl w:val="0"/>
              </w:rPr>
            </w:r>
          </w:p>
          <w:p w:rsidR="00000000" w:rsidDel="00000000" w:rsidP="00000000" w:rsidRDefault="00000000" w:rsidRPr="00000000" w14:paraId="00000228">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3. Aceptación ficta de responsabilidad. Expedida la orden de comparendo en la que se señala multa general, se entenderá que el infractor acepta la responsabilidad cuando, dentro de los tres (3)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229">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4.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22A">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5. Firmeza de la multa señalada en orden de comparendo. No objetada, una vez vencidos los cinco (5) días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22B">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6. Pérdida de beneficios. Cuando se objete la multa general señalada por el uniformado en la orden de comparendo, se pierde el derecho a los descuentos por pronto pago.</w:t>
            </w:r>
          </w:p>
          <w:p w:rsidR="00000000" w:rsidDel="00000000" w:rsidP="00000000" w:rsidRDefault="00000000" w:rsidRPr="00000000" w14:paraId="0000022C">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7.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22D">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8.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22E">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9.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22F">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10.Reiteración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230">
            <w:pPr>
              <w:widowControl w:val="0"/>
              <w:shd w:fill="ffffff" w:val="clear"/>
              <w:spacing w:after="240" w:before="240" w:line="240" w:lineRule="auto"/>
              <w:jc w:val="both"/>
              <w:rPr>
                <w:rFonts w:ascii="Bookman Old Style" w:cs="Bookman Old Style" w:eastAsia="Bookman Old Style" w:hAnsi="Bookman Old Style"/>
                <w:color w:val="333333"/>
              </w:rPr>
            </w:pPr>
            <w:r w:rsidDel="00000000" w:rsidR="00000000" w:rsidRPr="00000000">
              <w:rPr>
                <w:rFonts w:ascii="Bookman Old Style" w:cs="Bookman Old Style" w:eastAsia="Bookman Old Style" w:hAnsi="Bookman Old Style"/>
                <w:color w:val="333333"/>
                <w:rtl w:val="0"/>
              </w:rPr>
              <w:t xml:space="preserve">(Adicionado por el Art. 47 de la Ley 2197 de 20229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5. </w:t>
            </w:r>
            <w:r w:rsidDel="00000000" w:rsidR="00000000" w:rsidRPr="00000000">
              <w:rPr>
                <w:rFonts w:ascii="Bookman Old Style" w:cs="Bookman Old Style" w:eastAsia="Bookman Old Style" w:hAnsi="Bookman Old Style"/>
                <w:rtl w:val="0"/>
              </w:rPr>
              <w:t xml:space="preserve">Modifíquese el Artículo 223a de la Ley 1801 de 2016, el cual quedará así: </w:t>
            </w:r>
          </w:p>
          <w:p w:rsidR="00000000" w:rsidDel="00000000" w:rsidP="00000000" w:rsidRDefault="00000000" w:rsidRPr="00000000" w14:paraId="00000232">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23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6">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7">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238">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A">
            <w:pPr>
              <w:widowControl w:val="0"/>
              <w:spacing w:line="240" w:lineRule="auto"/>
              <w:jc w:val="both"/>
              <w:rPr>
                <w:rFonts w:ascii="Bookman Old Style" w:cs="Bookman Old Style" w:eastAsia="Bookman Old Style" w:hAnsi="Bookman Old Style"/>
                <w:b w:val="1"/>
                <w:strike w:val="1"/>
              </w:rPr>
            </w:pPr>
            <w:r w:rsidDel="00000000" w:rsidR="00000000" w:rsidRPr="00000000">
              <w:rPr>
                <w:rFonts w:ascii="Bookman Old Style" w:cs="Bookman Old Style" w:eastAsia="Bookman Old Style" w:hAnsi="Bookman Old Style"/>
                <w:b w:val="1"/>
                <w:strike w:val="1"/>
                <w:rtl w:val="0"/>
              </w:rPr>
              <w:t xml:space="preserve">2. Término perentorio para objetar la orden de comparendo. Vencidos los 3 días hábiles posteriores a la expedición de la orden de comparendo en la que se señale Multa General, sin que se haya objetado; de conformidad con el principio de celeridad, no podrá iniciarse el proceso verbal abreviado, por cuanto se pierde la oportunidad legal establecida en el inciso quinto parágrafo del Artículo 180 de la Ley 1801 de 2016.</w:t>
            </w:r>
          </w:p>
          <w:p w:rsidR="00000000" w:rsidDel="00000000" w:rsidP="00000000" w:rsidRDefault="00000000" w:rsidRPr="00000000" w14:paraId="0000023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Aceptación ficta de responsabilidad. Expedida la orden de comparendo en la que se señala multa general, se entenderá que el infractor acepta la responsabilidad cuando, dentro de los</w:t>
            </w:r>
            <w:r w:rsidDel="00000000" w:rsidR="00000000" w:rsidRPr="00000000">
              <w:rPr>
                <w:rFonts w:ascii="Bookman Old Style" w:cs="Bookman Old Style" w:eastAsia="Bookman Old Style" w:hAnsi="Bookman Old Style"/>
                <w:b w:val="1"/>
                <w:strike w:val="1"/>
                <w:rtl w:val="0"/>
              </w:rPr>
              <w:t xml:space="preserve"> tres (3) </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u w:val="single"/>
                <w:rtl w:val="0"/>
              </w:rPr>
              <w:t xml:space="preserve">quince (15)</w:t>
            </w:r>
            <w:r w:rsidDel="00000000" w:rsidR="00000000" w:rsidRPr="00000000">
              <w:rPr>
                <w:rFonts w:ascii="Bookman Old Style" w:cs="Bookman Old Style" w:eastAsia="Bookman Old Style" w:hAnsi="Bookman Old Style"/>
                <w:rtl w:val="0"/>
              </w:rPr>
              <w:t xml:space="preserve">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23D">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23F">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0">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Firmeza de la multa señalada en orden de comparendo. No objetada, una vez vencidos los </w:t>
            </w:r>
            <w:r w:rsidDel="00000000" w:rsidR="00000000" w:rsidRPr="00000000">
              <w:rPr>
                <w:rFonts w:ascii="Bookman Old Style" w:cs="Bookman Old Style" w:eastAsia="Bookman Old Style" w:hAnsi="Bookman Old Style"/>
                <w:b w:val="1"/>
                <w:strike w:val="1"/>
                <w:rtl w:val="0"/>
              </w:rPr>
              <w:t xml:space="preserve">cinco (5) días</w:t>
            </w:r>
            <w:r w:rsidDel="00000000" w:rsidR="00000000" w:rsidRPr="00000000">
              <w:rPr>
                <w:rFonts w:ascii="Bookman Old Style" w:cs="Bookman Old Style" w:eastAsia="Bookman Old Style" w:hAnsi="Bookman Old Style"/>
                <w:b w:val="1"/>
                <w:rtl w:val="0"/>
              </w:rPr>
              <w:t xml:space="preserve"> quince (15)</w:t>
            </w:r>
            <w:r w:rsidDel="00000000" w:rsidR="00000000" w:rsidRPr="00000000">
              <w:rPr>
                <w:rFonts w:ascii="Bookman Old Style" w:cs="Bookman Old Style" w:eastAsia="Bookman Old Style" w:hAnsi="Bookman Old Style"/>
                <w:rtl w:val="0"/>
              </w:rPr>
              <w:t xml:space="preserve">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241">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2">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Pérdida de beneficios. Cuando se objete la multa general señalada por el uniformado en la orden de comparendo, se pierde el derecho a los descuentos por pronto pago.</w:t>
            </w:r>
          </w:p>
          <w:p w:rsidR="00000000" w:rsidDel="00000000" w:rsidP="00000000" w:rsidRDefault="00000000" w:rsidRPr="00000000" w14:paraId="00000243">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4">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245">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6">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247">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8">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249">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A">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24B">
            <w:pPr>
              <w:widowControl w:val="0"/>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C">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(Adicionado por el Art. 47 de la Ley 2197 de 20229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both"/>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6°. VIGENCIA.</w:t>
            </w:r>
            <w:r w:rsidDel="00000000" w:rsidR="00000000" w:rsidRPr="00000000">
              <w:rPr>
                <w:rFonts w:ascii="Bookman Old Style" w:cs="Bookman Old Style" w:eastAsia="Bookman Old Style" w:hAnsi="Bookman Old Style"/>
                <w:rtl w:val="0"/>
              </w:rPr>
              <w:t xml:space="preserve"> La presente ley rige a partir del momento de su promulgación y deroga todas las disposiciones que le sean contrarias.</w:t>
            </w:r>
          </w:p>
        </w:tc>
      </w:tr>
    </w:tbl>
    <w:p w:rsidR="00000000" w:rsidDel="00000000" w:rsidP="00000000" w:rsidRDefault="00000000" w:rsidRPr="00000000" w14:paraId="0000024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0">
      <w:pPr>
        <w:pStyle w:val="Heading1"/>
        <w:ind w:left="0" w:firstLine="0"/>
        <w:jc w:val="both"/>
        <w:rPr/>
      </w:pPr>
      <w:bookmarkStart w:colFirst="0" w:colLast="0" w:name="_tygtuzcxdxy9" w:id="13"/>
      <w:bookmarkEnd w:id="13"/>
      <w:r w:rsidDel="00000000" w:rsidR="00000000" w:rsidRPr="00000000">
        <w:rPr>
          <w:rtl w:val="0"/>
        </w:rPr>
      </w:r>
    </w:p>
    <w:p w:rsidR="00000000" w:rsidDel="00000000" w:rsidP="00000000" w:rsidRDefault="00000000" w:rsidRPr="00000000" w14:paraId="00000251">
      <w:pPr>
        <w:pStyle w:val="Heading1"/>
        <w:ind w:left="0" w:firstLine="0"/>
        <w:jc w:val="both"/>
        <w:rPr/>
      </w:pPr>
      <w:bookmarkStart w:colFirst="0" w:colLast="0" w:name="_1rdx6hodznjn" w:id="14"/>
      <w:bookmarkEnd w:id="14"/>
      <w:r w:rsidDel="00000000" w:rsidR="00000000" w:rsidRPr="00000000">
        <w:rPr>
          <w:rtl w:val="0"/>
        </w:rPr>
        <w:t xml:space="preserve">V. </w:t>
      </w:r>
      <w:r w:rsidDel="00000000" w:rsidR="00000000" w:rsidRPr="00000000">
        <w:rPr>
          <w:rtl w:val="0"/>
        </w:rPr>
        <w:t xml:space="preserve">CONFLICTO DE INTERÉS</w:t>
      </w:r>
    </w:p>
    <w:p w:rsidR="00000000" w:rsidDel="00000000" w:rsidP="00000000" w:rsidRDefault="00000000" w:rsidRPr="00000000" w14:paraId="00000252">
      <w:pPr>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3">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conformidad con lo dispuesto en la Ley 2003 de 2019, para que se configure un conflicto de intereses los congresistas deberán estar incursos en:</w:t>
      </w:r>
    </w:p>
    <w:p w:rsidR="00000000" w:rsidDel="00000000" w:rsidP="00000000" w:rsidRDefault="00000000" w:rsidRPr="00000000" w14:paraId="00000254">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5">
      <w:pPr>
        <w:spacing w:line="240" w:lineRule="auto"/>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a.</w:t>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256">
      <w:pPr>
        <w:spacing w:line="240" w:lineRule="auto"/>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b.</w:t>
        <w:tab/>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257">
      <w:pPr>
        <w:spacing w:line="240" w:lineRule="auto"/>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c.</w:t>
        <w:tab/>
        <w:t xml:space="preserve">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258">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9">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mismo artículo 1 de la Ley 2003 de 2019 dispone:</w:t>
      </w:r>
    </w:p>
    <w:p w:rsidR="00000000" w:rsidDel="00000000" w:rsidP="00000000" w:rsidRDefault="00000000" w:rsidRPr="00000000" w14:paraId="0000025A">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B">
      <w:pPr>
        <w:spacing w:line="240" w:lineRule="auto"/>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25C">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D">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cumplimiento de lo ordenado por el artículo 291 de la ley 5 de 1992, no se encuentran circunstancias que generen posibles conflictos de interés para las personas que integran el Congreso de la República, al no evidenciarse un beneficio particular, actual y directo con relación a las disposiciones que pretenden establecer el presente proyecto de ley, por ser una reforma general, abstracta e impersonal. Lo anterior no es óbice para que manifieste el impedimento aquél que considere encontrarse en alguna de las causales de conflictos interés referidas.</w:t>
      </w:r>
    </w:p>
    <w:p w:rsidR="00000000" w:rsidDel="00000000" w:rsidP="00000000" w:rsidRDefault="00000000" w:rsidRPr="00000000" w14:paraId="0000025E">
      <w:pPr>
        <w:ind w:lef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5F">
      <w:pPr>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0">
      <w:pPr>
        <w:pStyle w:val="Heading1"/>
        <w:ind w:left="0" w:firstLine="0"/>
        <w:jc w:val="both"/>
        <w:rPr/>
      </w:pPr>
      <w:bookmarkStart w:colFirst="0" w:colLast="0" w:name="_y6e5v25mwaln" w:id="15"/>
      <w:bookmarkEnd w:id="15"/>
      <w:r w:rsidDel="00000000" w:rsidR="00000000" w:rsidRPr="00000000">
        <w:rPr>
          <w:rtl w:val="0"/>
        </w:rPr>
        <w:t xml:space="preserve">VI. </w:t>
      </w:r>
      <w:r w:rsidDel="00000000" w:rsidR="00000000" w:rsidRPr="00000000">
        <w:rPr>
          <w:rtl w:val="0"/>
        </w:rPr>
        <w:t xml:space="preserve">IMPACTO FISCAL</w:t>
      </w:r>
    </w:p>
    <w:p w:rsidR="00000000" w:rsidDel="00000000" w:rsidP="00000000" w:rsidRDefault="00000000" w:rsidRPr="00000000" w14:paraId="00000261">
      <w:pPr>
        <w:ind w:left="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2">
      <w:pPr>
        <w:spacing w:after="160" w:line="278.0000000000000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7 de la Ley 819 de 2003</w:t>
      </w:r>
      <w:r w:rsidDel="00000000" w:rsidR="00000000" w:rsidRPr="00000000">
        <w:rPr>
          <w:rFonts w:ascii="Bookman Old Style" w:cs="Bookman Old Style" w:eastAsia="Bookman Old Style" w:hAnsi="Bookman Old Style"/>
          <w:vertAlign w:val="superscript"/>
        </w:rPr>
        <w:footnoteReference w:customMarkFollows="0" w:id="1"/>
      </w:r>
      <w:r w:rsidDel="00000000" w:rsidR="00000000" w:rsidRPr="00000000">
        <w:rPr>
          <w:rFonts w:ascii="Bookman Old Style" w:cs="Bookman Old Style" w:eastAsia="Bookman Old Style" w:hAnsi="Bookman Old Style"/>
          <w:rtl w:val="0"/>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marco fiscal de mediano plazo</w:t>
      </w:r>
      <w:r w:rsidDel="00000000" w:rsidR="00000000" w:rsidRPr="00000000">
        <w:rPr>
          <w:rFonts w:ascii="Bookman Old Style" w:cs="Bookman Old Style" w:eastAsia="Bookman Old Style" w:hAnsi="Bookman Old Style"/>
          <w:vertAlign w:val="superscript"/>
        </w:rPr>
        <w:footnoteReference w:customMarkFollows="0" w:id="2"/>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263">
      <w:pPr>
        <w:spacing w:after="160" w:line="278.0000000000000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Ese requisito formal busca velar por la sostenibilidad de las finanzas públicas y garantizar la estabilidad macroeconómica. Además, opera como un mecanismo de transparencia para asegurar la implementación y aplicación efectiva de las leyes</w:t>
      </w:r>
      <w:r w:rsidDel="00000000" w:rsidR="00000000" w:rsidRPr="00000000">
        <w:rPr>
          <w:rFonts w:ascii="Bookman Old Style" w:cs="Bookman Old Style" w:eastAsia="Bookman Old Style" w:hAnsi="Bookman Old Style"/>
          <w:vertAlign w:val="superscript"/>
        </w:rPr>
        <w:footnoteReference w:customMarkFollows="0" w:id="3"/>
      </w:r>
      <w:r w:rsidDel="00000000" w:rsidR="00000000" w:rsidRPr="00000000">
        <w:rPr>
          <w:rFonts w:ascii="Bookman Old Style" w:cs="Bookman Old Style" w:eastAsia="Bookman Old Style" w:hAnsi="Bookman Old Style"/>
          <w:rtl w:val="0"/>
        </w:rPr>
        <w:t xml:space="preserve">. La Corte Constitucional en su jurisprudencia ha fijado ciertas reglas para identificar las normas que conceden beneficios tributarios y las que ordenan un gasto. Ello, para poder determinar cuándo se hace exigible el requisito contenido en el artículo 7 de la Ley 819 de 2003. </w:t>
      </w:r>
    </w:p>
    <w:p w:rsidR="00000000" w:rsidDel="00000000" w:rsidP="00000000" w:rsidRDefault="00000000" w:rsidRPr="00000000" w14:paraId="00000264">
      <w:pPr>
        <w:spacing w:after="160" w:line="278.0000000000000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consecuencia, la alta Corte ha indicado que una norma otorga un beneficio tributario cuando pone en posición de privilegio o propone un trato preferencial para una persona o una actividad sujeta a tributar respecto de otras. Ello, en relación con una obligación preexistente</w:t>
      </w:r>
      <w:r w:rsidDel="00000000" w:rsidR="00000000" w:rsidRPr="00000000">
        <w:rPr>
          <w:rFonts w:ascii="Bookman Old Style" w:cs="Bookman Old Style" w:eastAsia="Bookman Old Style" w:hAnsi="Bookman Old Style"/>
          <w:vertAlign w:val="superscript"/>
        </w:rPr>
        <w:footnoteReference w:customMarkFollows="0" w:id="4"/>
      </w:r>
      <w:r w:rsidDel="00000000" w:rsidR="00000000" w:rsidRPr="00000000">
        <w:rPr>
          <w:rFonts w:ascii="Bookman Old Style" w:cs="Bookman Old Style" w:eastAsia="Bookman Old Style" w:hAnsi="Bookman Old Style"/>
          <w:rtl w:val="0"/>
        </w:rPr>
        <w:t xml:space="preserve">. Ese tipo de disposiciones requiere el referido análisis de impacto fiscal toda vez que su implementación conlleva la reducción de los ingresos tributarios que obtiene la nación</w:t>
      </w:r>
      <w:r w:rsidDel="00000000" w:rsidR="00000000" w:rsidRPr="00000000">
        <w:rPr>
          <w:rFonts w:ascii="Bookman Old Style" w:cs="Bookman Old Style" w:eastAsia="Bookman Old Style" w:hAnsi="Bookman Old Style"/>
          <w:vertAlign w:val="superscript"/>
        </w:rPr>
        <w:footnoteReference w:customMarkFollows="0" w:id="5"/>
      </w:r>
      <w:r w:rsidDel="00000000" w:rsidR="00000000" w:rsidRPr="00000000">
        <w:rPr>
          <w:rFonts w:ascii="Bookman Old Style" w:cs="Bookman Old Style" w:eastAsia="Bookman Old Style" w:hAnsi="Bookman Old Style"/>
          <w:rtl w:val="0"/>
        </w:rPr>
        <w:t xml:space="preserve">.</w:t>
      </w:r>
    </w:p>
    <w:p w:rsidR="00000000" w:rsidDel="00000000" w:rsidP="00000000" w:rsidRDefault="00000000" w:rsidRPr="00000000" w14:paraId="00000265">
      <w:pPr>
        <w:tabs>
          <w:tab w:val="left" w:leader="none" w:pos="426"/>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Por otro lado, en el entendimiento de la Corte Constitucional, las normas que ordenan gasto son aquellas que establecen con claridad un mandato imperativo de gasto que además sea un título jurídico suficiente y obligatorio para incluir una nueva partida presupuestal en la ley de presupuesto. Dentro de ese abanico de normas están las que ordenan un incremento en la remuneración de algunos servidores</w:t>
      </w:r>
      <w:r w:rsidDel="00000000" w:rsidR="00000000" w:rsidRPr="00000000">
        <w:rPr>
          <w:rFonts w:ascii="Bookman Old Style" w:cs="Bookman Old Style" w:eastAsia="Bookman Old Style" w:hAnsi="Bookman Old Style"/>
          <w:vertAlign w:val="superscript"/>
        </w:rPr>
        <w:footnoteReference w:customMarkFollows="0" w:id="6"/>
      </w:r>
      <w:r w:rsidDel="00000000" w:rsidR="00000000" w:rsidRPr="00000000">
        <w:rPr>
          <w:rFonts w:ascii="Bookman Old Style" w:cs="Bookman Old Style" w:eastAsia="Bookman Old Style" w:hAnsi="Bookman Old Style"/>
          <w:rtl w:val="0"/>
        </w:rPr>
        <w:t xml:space="preserve">, aquellas que crean cargos, dependencias o entidades</w:t>
      </w:r>
      <w:r w:rsidDel="00000000" w:rsidR="00000000" w:rsidRPr="00000000">
        <w:rPr>
          <w:rFonts w:ascii="Bookman Old Style" w:cs="Bookman Old Style" w:eastAsia="Bookman Old Style" w:hAnsi="Bookman Old Style"/>
          <w:vertAlign w:val="superscript"/>
        </w:rPr>
        <w:footnoteReference w:customMarkFollows="0" w:id="7"/>
      </w:r>
      <w:r w:rsidDel="00000000" w:rsidR="00000000" w:rsidRPr="00000000">
        <w:rPr>
          <w:rFonts w:ascii="Bookman Old Style" w:cs="Bookman Old Style" w:eastAsia="Bookman Old Style" w:hAnsi="Bookman Old Style"/>
          <w:rtl w:val="0"/>
        </w:rPr>
        <w:t xml:space="preserve">, o las que necesariamente derivan en un aumento de una partida presupuestal</w:t>
      </w:r>
      <w:r w:rsidDel="00000000" w:rsidR="00000000" w:rsidRPr="00000000">
        <w:rPr>
          <w:rFonts w:ascii="Bookman Old Style" w:cs="Bookman Old Style" w:eastAsia="Bookman Old Style" w:hAnsi="Bookman Old Style"/>
          <w:vertAlign w:val="superscript"/>
        </w:rPr>
        <w:footnoteReference w:customMarkFollows="0" w:id="8"/>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266">
      <w:pPr>
        <w:tabs>
          <w:tab w:val="left" w:leader="none" w:pos="426"/>
        </w:tabs>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7">
      <w:pPr>
        <w:tabs>
          <w:tab w:val="left" w:leader="none" w:pos="426"/>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la jurisprudencia constitucional se ha advertido que existen otras normas que pueden conllevar impactos fiscales, pero que no requieren el cumplimiento del requisito formal previsto en la Ley 819 de 2003 para su aprobación. Entre ellas figuran las disposiciones que (i) únicamente autorizan un gasto que puede ser o no incluido en el presupuesto conforme la voluntad del Gobierno Nacional, (ii) no determinan con claridad si ordenan o autorizan un gasto porque dejan margen para que el Gobierno defina la manera de ejecutar la disposición, (iii) simplemente habilitan la realización de arreglos presupuestales sin ordenar que se deba incurrir en un nuevo gasto o no fijan el responsable de cumplir la orden</w:t>
      </w:r>
      <w:r w:rsidDel="00000000" w:rsidR="00000000" w:rsidRPr="00000000">
        <w:rPr>
          <w:rFonts w:ascii="Bookman Old Style" w:cs="Bookman Old Style" w:eastAsia="Bookman Old Style" w:hAnsi="Bookman Old Style"/>
          <w:vertAlign w:val="superscript"/>
        </w:rPr>
        <w:footnoteReference w:customMarkFollows="0" w:id="9"/>
      </w:r>
      <w:r w:rsidDel="00000000" w:rsidR="00000000" w:rsidRPr="00000000">
        <w:rPr>
          <w:rFonts w:ascii="Bookman Old Style" w:cs="Bookman Old Style" w:eastAsia="Bookman Old Style" w:hAnsi="Bookman Old Style"/>
          <w:rtl w:val="0"/>
        </w:rPr>
        <w:t xml:space="preserve">, (iv) únicamente confieren competencias</w:t>
      </w:r>
      <w:r w:rsidDel="00000000" w:rsidR="00000000" w:rsidRPr="00000000">
        <w:rPr>
          <w:rFonts w:ascii="Bookman Old Style" w:cs="Bookman Old Style" w:eastAsia="Bookman Old Style" w:hAnsi="Bookman Old Style"/>
          <w:vertAlign w:val="superscript"/>
        </w:rPr>
        <w:footnoteReference w:customMarkFollows="0" w:id="10"/>
      </w:r>
      <w:r w:rsidDel="00000000" w:rsidR="00000000" w:rsidRPr="00000000">
        <w:rPr>
          <w:rFonts w:ascii="Bookman Old Style" w:cs="Bookman Old Style" w:eastAsia="Bookman Old Style" w:hAnsi="Bookman Old Style"/>
          <w:rtl w:val="0"/>
        </w:rPr>
        <w:t xml:space="preserve"> o (v) reproducen órdenes de gasto contenidas en normas anteriores que no pueden ser contrastadas por la Corte</w:t>
      </w:r>
      <w:r w:rsidDel="00000000" w:rsidR="00000000" w:rsidRPr="00000000">
        <w:rPr>
          <w:rFonts w:ascii="Bookman Old Style" w:cs="Bookman Old Style" w:eastAsia="Bookman Old Style" w:hAnsi="Bookman Old Style"/>
          <w:vertAlign w:val="superscript"/>
        </w:rPr>
        <w:footnoteReference w:customMarkFollows="0" w:id="11"/>
      </w:r>
      <w:r w:rsidDel="00000000" w:rsidR="00000000" w:rsidRPr="00000000">
        <w:rPr>
          <w:rFonts w:ascii="Bookman Old Style" w:cs="Bookman Old Style" w:eastAsia="Bookman Old Style" w:hAnsi="Bookman Old Style"/>
          <w:rtl w:val="0"/>
        </w:rPr>
        <w:t xml:space="preserve">. Tampoco ordenan gasto (vi) las normas que requieren de un desarrollo normativo posterior para su implementación</w:t>
      </w:r>
      <w:r w:rsidDel="00000000" w:rsidR="00000000" w:rsidRPr="00000000">
        <w:rPr>
          <w:rFonts w:ascii="Bookman Old Style" w:cs="Bookman Old Style" w:eastAsia="Bookman Old Style" w:hAnsi="Bookman Old Style"/>
          <w:vertAlign w:val="superscript"/>
        </w:rPr>
        <w:footnoteReference w:customMarkFollows="0" w:id="12"/>
      </w: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268">
      <w:pPr>
        <w:tabs>
          <w:tab w:val="left" w:leader="none" w:pos="426"/>
        </w:tabs>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9">
      <w:pPr>
        <w:spacing w:after="160" w:line="278.0000000000000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 todo, la Corte ha empleado dos criterios para determinar si una norma es ordenadora de gasto. En primer lugar, el sentido literal de la norma (criterio gramatical) y en segundo lugar ha reglado que se debe observar la finalidad de la norma y su relación con otras y se debe revisar su posibilidad de concreción y ejecutabilidad (criterio funcional)</w:t>
      </w:r>
      <w:r w:rsidDel="00000000" w:rsidR="00000000" w:rsidRPr="00000000">
        <w:rPr>
          <w:rFonts w:ascii="Bookman Old Style" w:cs="Bookman Old Style" w:eastAsia="Bookman Old Style" w:hAnsi="Bookman Old Style"/>
          <w:vertAlign w:val="superscript"/>
        </w:rPr>
        <w:footnoteReference w:customMarkFollows="0" w:id="13"/>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26A">
      <w:pPr>
        <w:spacing w:after="160" w:line="278.0000000000000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Así las cosas, el presente proyecto de ley no debe agotar el requisito de análisis de impacto fiscal contenido en la Ley 819 de 2003 toda vez que se trata de una modificación normativa que no tiene efectos fiscales. Lo anterior, porque lo que hace el proyecto es brindar garantías procesales en los procesos de interposición de </w:t>
      </w:r>
      <w:r w:rsidDel="00000000" w:rsidR="00000000" w:rsidRPr="00000000">
        <w:rPr>
          <w:rFonts w:ascii="Bookman Old Style" w:cs="Bookman Old Style" w:eastAsia="Bookman Old Style" w:hAnsi="Bookman Old Style"/>
          <w:rtl w:val="0"/>
        </w:rPr>
        <w:t xml:space="preserve">órdenes de comparendo</w:t>
      </w:r>
      <w:r w:rsidDel="00000000" w:rsidR="00000000" w:rsidRPr="00000000">
        <w:rPr>
          <w:rFonts w:ascii="Bookman Old Style" w:cs="Bookman Old Style" w:eastAsia="Bookman Old Style" w:hAnsi="Bookman Old Style"/>
          <w:rtl w:val="0"/>
        </w:rPr>
        <w:t xml:space="preserve">. Por ende, el objeto del proyecto no modifica los gastos fiscales asociados al funcionamiento del Congreso, no ordena un gasto ni concede un beneficio tributario y tampoco comporta impacto fiscal alguno. </w:t>
      </w:r>
      <w:r w:rsidDel="00000000" w:rsidR="00000000" w:rsidRPr="00000000">
        <w:rPr>
          <w:rtl w:val="0"/>
        </w:rPr>
      </w:r>
    </w:p>
    <w:p w:rsidR="00000000" w:rsidDel="00000000" w:rsidP="00000000" w:rsidRDefault="00000000" w:rsidRPr="00000000" w14:paraId="0000026B">
      <w:pPr>
        <w:ind w:left="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C">
      <w:pPr>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Cordialmente,</w:t>
      </w:r>
      <w:r w:rsidDel="00000000" w:rsidR="00000000" w:rsidRPr="00000000">
        <w:drawing>
          <wp:anchor allowOverlap="1" behindDoc="1" distB="0" distT="0" distL="0" distR="0" hidden="0" layoutInCell="1" locked="0" relativeHeight="0" simplePos="0">
            <wp:simplePos x="0" y="0"/>
            <wp:positionH relativeFrom="column">
              <wp:posOffset>2171700</wp:posOffset>
            </wp:positionH>
            <wp:positionV relativeFrom="paragraph">
              <wp:posOffset>166287</wp:posOffset>
            </wp:positionV>
            <wp:extent cx="1600200" cy="65722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00200" cy="657225"/>
                    </a:xfrm>
                    <a:prstGeom prst="rect"/>
                    <a:ln/>
                  </pic:spPr>
                </pic:pic>
              </a:graphicData>
            </a:graphic>
          </wp:anchor>
        </w:drawing>
      </w:r>
    </w:p>
    <w:p w:rsidR="00000000" w:rsidDel="00000000" w:rsidP="00000000" w:rsidRDefault="00000000" w:rsidRPr="00000000" w14:paraId="0000026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F">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0">
      <w:pPr>
        <w:spacing w:line="288"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JUAN CARLOS LOZADA VARGAS</w:t>
      </w:r>
    </w:p>
    <w:p w:rsidR="00000000" w:rsidDel="00000000" w:rsidP="00000000" w:rsidRDefault="00000000" w:rsidRPr="00000000" w14:paraId="00000271">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 por Bogotá</w:t>
      </w:r>
    </w:p>
    <w:p w:rsidR="00000000" w:rsidDel="00000000" w:rsidP="00000000" w:rsidRDefault="00000000" w:rsidRPr="00000000" w14:paraId="00000272">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Partido Liberal Colombiano</w:t>
      </w:r>
    </w:p>
    <w:p w:rsidR="00000000" w:rsidDel="00000000" w:rsidP="00000000" w:rsidRDefault="00000000" w:rsidRPr="00000000" w14:paraId="00000273">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4">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5">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6">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7">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8">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9">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A">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B">
      <w:pPr>
        <w:spacing w:line="288"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C">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Proyecto de Ley No_____________de 2025</w:t>
      </w:r>
    </w:p>
    <w:p w:rsidR="00000000" w:rsidDel="00000000" w:rsidP="00000000" w:rsidRDefault="00000000" w:rsidRPr="00000000" w14:paraId="0000027D">
      <w:pPr>
        <w:spacing w:line="288" w:lineRule="auto"/>
        <w:jc w:val="both"/>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27E">
      <w:pPr>
        <w:spacing w:line="288"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“Por medio de la cual se crean garantías procesales para los comparendos por comportamientos contrarios a la convivencia y se modifican los artículos 180, 183, 219 y 223A de la Ley 1801 de 2016 y se dictan otras disposiciones” (COMPARENDOS CON GARANTÍAS)</w:t>
      </w:r>
      <w:r w:rsidDel="00000000" w:rsidR="00000000" w:rsidRPr="00000000">
        <w:rPr>
          <w:rtl w:val="0"/>
        </w:rPr>
      </w:r>
    </w:p>
    <w:p w:rsidR="00000000" w:rsidDel="00000000" w:rsidP="00000000" w:rsidRDefault="00000000" w:rsidRPr="00000000" w14:paraId="0000027F">
      <w:pPr>
        <w:rPr>
          <w:rFonts w:ascii="Bookman Old Style" w:cs="Bookman Old Style" w:eastAsia="Bookman Old Style" w:hAnsi="Bookman Old Style"/>
        </w:rPr>
      </w:pPr>
      <w:r w:rsidDel="00000000" w:rsidR="00000000" w:rsidRPr="00000000">
        <w:rPr>
          <w:rtl w:val="0"/>
        </w:rPr>
      </w:r>
    </w:p>
    <w:tbl>
      <w:tblPr>
        <w:tblStyle w:val="Table4"/>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380"/>
        <w:tblGridChange w:id="0">
          <w:tblGrid>
            <w:gridCol w:w="4425"/>
            <w:gridCol w:w="4380"/>
          </w:tblGrid>
        </w:tblGridChange>
      </w:tblGrid>
      <w:tr>
        <w:trPr>
          <w:cantSplit w:val="0"/>
          <w:trHeight w:val="21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5">
            <w:pPr>
              <w:spacing w:line="288" w:lineRule="auto"/>
              <w:jc w:val="cente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9">
            <w:pPr>
              <w:spacing w:line="288" w:lineRule="auto"/>
              <w:jc w:val="center"/>
              <w:rPr>
                <w:rFonts w:ascii="Bookman Old Style" w:cs="Bookman Old Style" w:eastAsia="Bookman Old Style" w:hAnsi="Bookman Old Style"/>
              </w:rPr>
            </w:pPr>
            <w:r w:rsidDel="00000000" w:rsidR="00000000" w:rsidRPr="00000000">
              <w:rPr>
                <w:rtl w:val="0"/>
              </w:rPr>
            </w:r>
          </w:p>
        </w:tc>
      </w:tr>
      <w:tr>
        <w:trPr>
          <w:cantSplit w:val="0"/>
          <w:trHeight w:val="2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8C">
            <w:pPr>
              <w:spacing w:line="288" w:lineRule="auto"/>
              <w:jc w:val="center"/>
              <w:rPr>
                <w:rFonts w:ascii="Bookman Old Style" w:cs="Bookman Old Style" w:eastAsia="Bookman Old Style" w:hAnsi="Bookman Old Styl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D">
            <w:pPr>
              <w:rPr>
                <w:rFonts w:ascii="Bookman Old Style" w:cs="Bookman Old Style" w:eastAsia="Bookman Old Style" w:hAnsi="Bookman Old Style"/>
              </w:rPr>
            </w:pPr>
            <w:r w:rsidDel="00000000" w:rsidR="00000000" w:rsidRPr="00000000">
              <w:rPr>
                <w:rtl w:val="0"/>
              </w:rPr>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E">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331.2" w:lineRule="auto"/>
              <w:rPr>
                <w:rFonts w:ascii="Bookman Old Style" w:cs="Bookman Old Style" w:eastAsia="Bookman Old Style" w:hAnsi="Bookman Old Style"/>
                <w:b w:val="1"/>
              </w:rPr>
            </w:pPr>
            <w:r w:rsidDel="00000000" w:rsidR="00000000" w:rsidRPr="00000000">
              <w:rPr>
                <w:rtl w:val="0"/>
              </w:rPr>
            </w:r>
          </w:p>
        </w:tc>
      </w:tr>
      <w:tr>
        <w:trPr>
          <w:cantSplit w:val="0"/>
          <w:trHeight w:val="1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0">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1">
            <w:pPr>
              <w:rPr>
                <w:rFonts w:ascii="Bookman Old Style" w:cs="Bookman Old Style" w:eastAsia="Bookman Old Style" w:hAnsi="Bookman Old Style"/>
              </w:rPr>
            </w:pPr>
            <w:r w:rsidDel="00000000" w:rsidR="00000000" w:rsidRPr="00000000">
              <w:rPr>
                <w:rtl w:val="0"/>
              </w:rPr>
            </w:r>
          </w:p>
        </w:tc>
      </w:tr>
      <w:tr>
        <w:trPr>
          <w:cantSplit w:val="0"/>
          <w:trHeight w:val="19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2">
            <w:pPr>
              <w:rPr>
                <w:rFonts w:ascii="Bookman Old Style" w:cs="Bookman Old Style" w:eastAsia="Bookman Old Style" w:hAnsi="Bookman Old Styl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3">
            <w:pPr>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294">
      <w:pPr>
        <w:spacing w:line="288" w:lineRule="auto"/>
        <w:jc w:val="left"/>
        <w:rPr>
          <w:rFonts w:ascii="Bookman Old Style" w:cs="Bookman Old Style" w:eastAsia="Bookman Old Style" w:hAnsi="Bookman Old Styl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297">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Por la cual se dictan normas orgánicas en materia de presupuesto, responsabilidad y transparencia fiscal y se dictan otras disposiciones.</w:t>
      </w:r>
      <w:r w:rsidDel="00000000" w:rsidR="00000000" w:rsidRPr="00000000">
        <w:rPr>
          <w:rtl w:val="0"/>
        </w:rPr>
      </w:r>
    </w:p>
  </w:footnote>
  <w:footnote w:id="2">
    <w:p w:rsidR="00000000" w:rsidDel="00000000" w:rsidP="00000000" w:rsidRDefault="00000000" w:rsidRPr="00000000" w14:paraId="00000298">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C-134 de 2023, C-170 de 2021, C-133 de 2022. </w:t>
      </w:r>
      <w:r w:rsidDel="00000000" w:rsidR="00000000" w:rsidRPr="00000000">
        <w:rPr>
          <w:rtl w:val="0"/>
        </w:rPr>
      </w:r>
    </w:p>
  </w:footnote>
  <w:footnote w:id="3">
    <w:p w:rsidR="00000000" w:rsidDel="00000000" w:rsidP="00000000" w:rsidRDefault="00000000" w:rsidRPr="00000000" w14:paraId="00000299">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C-502 de 2007, C-315 de 2008, C-373 de 2009, C-124 de 2022, C-133 de 2022, C-175 de 2023, entre otras. </w:t>
      </w:r>
      <w:r w:rsidDel="00000000" w:rsidR="00000000" w:rsidRPr="00000000">
        <w:rPr>
          <w:rtl w:val="0"/>
        </w:rPr>
      </w:r>
    </w:p>
  </w:footnote>
  <w:footnote w:id="4">
    <w:p w:rsidR="00000000" w:rsidDel="00000000" w:rsidP="00000000" w:rsidRDefault="00000000" w:rsidRPr="00000000" w14:paraId="0000029A">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que al respecto reitera la sentencia C-520 de 2019. También se puede ver la sentencia C-175 de 2023. </w:t>
      </w:r>
      <w:r w:rsidDel="00000000" w:rsidR="00000000" w:rsidRPr="00000000">
        <w:rPr>
          <w:rtl w:val="0"/>
        </w:rPr>
      </w:r>
    </w:p>
  </w:footnote>
  <w:footnote w:id="5">
    <w:p w:rsidR="00000000" w:rsidDel="00000000" w:rsidP="00000000" w:rsidRDefault="00000000" w:rsidRPr="00000000" w14:paraId="0000029B">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C-170 de 2021.</w:t>
      </w:r>
      <w:r w:rsidDel="00000000" w:rsidR="00000000" w:rsidRPr="00000000">
        <w:rPr>
          <w:rtl w:val="0"/>
        </w:rPr>
      </w:r>
    </w:p>
  </w:footnote>
  <w:footnote w:id="6">
    <w:p w:rsidR="00000000" w:rsidDel="00000000" w:rsidP="00000000" w:rsidRDefault="00000000" w:rsidRPr="00000000" w14:paraId="0000029C">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C-075 de 2022. </w:t>
      </w:r>
      <w:r w:rsidDel="00000000" w:rsidR="00000000" w:rsidRPr="00000000">
        <w:rPr>
          <w:rtl w:val="0"/>
        </w:rPr>
      </w:r>
    </w:p>
  </w:footnote>
  <w:footnote w:id="7">
    <w:p w:rsidR="00000000" w:rsidDel="00000000" w:rsidP="00000000" w:rsidRDefault="00000000" w:rsidRPr="00000000" w14:paraId="0000029D">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C-134 de 2023, C-955 de 2007. Salvo cuando señalan que la financiación de esos costos debe darse con arreglo a los ajustes presupuestales que realice el ejecutivo. Al respecto ver la sentencia C-1011 de 2008. </w:t>
      </w:r>
      <w:r w:rsidDel="00000000" w:rsidR="00000000" w:rsidRPr="00000000">
        <w:rPr>
          <w:rtl w:val="0"/>
        </w:rPr>
      </w:r>
    </w:p>
  </w:footnote>
  <w:footnote w:id="8">
    <w:p w:rsidR="00000000" w:rsidDel="00000000" w:rsidP="00000000" w:rsidRDefault="00000000" w:rsidRPr="00000000" w14:paraId="0000029E">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C-856 de 2006. </w:t>
      </w:r>
      <w:r w:rsidDel="00000000" w:rsidR="00000000" w:rsidRPr="00000000">
        <w:rPr>
          <w:rtl w:val="0"/>
        </w:rPr>
      </w:r>
    </w:p>
  </w:footnote>
  <w:footnote w:id="9">
    <w:p w:rsidR="00000000" w:rsidDel="00000000" w:rsidP="00000000" w:rsidRDefault="00000000" w:rsidRPr="00000000" w14:paraId="0000029F">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Al respecto se debe destacar la Sentencia C-282 de 2021 en la que la Corte concluyó tras estudiar la constitucionalidad de un proyecto de ley estatutaria sobre una política pública de educación financiera, que una</w:t>
      </w:r>
      <w:r w:rsidDel="00000000" w:rsidR="00000000" w:rsidRPr="00000000">
        <w:rPr>
          <w:rFonts w:ascii="Garamond" w:cs="Garamond" w:eastAsia="Garamond" w:hAnsi="Garamond"/>
          <w:sz w:val="20"/>
          <w:szCs w:val="20"/>
          <w:rtl w:val="0"/>
        </w:rPr>
        <w:t xml:space="preserve"> </w:t>
      </w:r>
      <w:r w:rsidDel="00000000" w:rsidR="00000000" w:rsidRPr="00000000">
        <w:rPr>
          <w:rFonts w:ascii="Bookman Old Style" w:cs="Bookman Old Style" w:eastAsia="Bookman Old Style" w:hAnsi="Bookman Old Style"/>
          <w:sz w:val="20"/>
          <w:szCs w:val="20"/>
          <w:rtl w:val="0"/>
        </w:rPr>
        <w:t xml:space="preserve">disposición tendiente a ordenar la publicación y revisión de material pedagógico por parte del Gobierno no constituía una orden de gasto porque una interpretación posible de la norma indicaba que el Gobierno Nacional podría cumplirla con recursos previamente previstos en apropiaciones presupuestales previas. A su vez, en la Sentencia C-765 de 2012 la Corte señaló que una norma que asignaba deberes, competencias y responsabilidades a varias entidades del Estado para garantizar las políticas en favor de las personas con discapacidad no debía cumplir el requisito de impacto fiscal porque, aunque las normas propuestas requerían gastos, se trataba del reconocimiento de competencias administrativas que no implicaban nuevas erogaciones presupuestales.</w:t>
      </w:r>
      <w:r w:rsidDel="00000000" w:rsidR="00000000" w:rsidRPr="00000000">
        <w:rPr>
          <w:rtl w:val="0"/>
        </w:rPr>
      </w:r>
    </w:p>
  </w:footnote>
  <w:footnote w:id="10">
    <w:p w:rsidR="00000000" w:rsidDel="00000000" w:rsidP="00000000" w:rsidRDefault="00000000" w:rsidRPr="00000000" w14:paraId="000002A0">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w:t>
      </w:r>
      <w:r w:rsidDel="00000000" w:rsidR="00000000" w:rsidRPr="00000000">
        <w:rPr>
          <w:rtl w:val="0"/>
        </w:rPr>
      </w:r>
    </w:p>
  </w:footnote>
  <w:footnote w:id="11">
    <w:p w:rsidR="00000000" w:rsidDel="00000000" w:rsidP="00000000" w:rsidRDefault="00000000" w:rsidRPr="00000000" w14:paraId="000002A1">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w:t>
      </w:r>
      <w:r w:rsidDel="00000000" w:rsidR="00000000" w:rsidRPr="00000000">
        <w:rPr>
          <w:rtl w:val="0"/>
        </w:rPr>
      </w:r>
    </w:p>
  </w:footnote>
  <w:footnote w:id="12">
    <w:p w:rsidR="00000000" w:rsidDel="00000000" w:rsidP="00000000" w:rsidRDefault="00000000" w:rsidRPr="00000000" w14:paraId="000002A2">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que al respecto reitera las sentencias C-085 de 2022 y C-395 de 2021. </w:t>
      </w:r>
      <w:r w:rsidDel="00000000" w:rsidR="00000000" w:rsidRPr="00000000">
        <w:rPr>
          <w:rtl w:val="0"/>
        </w:rPr>
      </w:r>
    </w:p>
  </w:footnote>
  <w:footnote w:id="13">
    <w:p w:rsidR="00000000" w:rsidDel="00000000" w:rsidP="00000000" w:rsidRDefault="00000000" w:rsidRPr="00000000" w14:paraId="000002A3">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C-093 de 2024. </w:t>
      </w:r>
      <w:r w:rsidDel="00000000" w:rsidR="00000000" w:rsidRPr="00000000">
        <w:rPr>
          <w:rtl w:val="0"/>
        </w:rPr>
      </w:r>
    </w:p>
  </w:footnote>
  <w:footnote w:id="0">
    <w:p w:rsidR="00000000" w:rsidDel="00000000" w:rsidP="00000000" w:rsidRDefault="00000000" w:rsidRPr="00000000" w14:paraId="000002A4">
      <w:pPr>
        <w:spacing w:line="240" w:lineRule="auto"/>
        <w:rPr>
          <w:rFonts w:ascii="Bookman Old Style" w:cs="Bookman Old Style" w:eastAsia="Bookman Old Style" w:hAnsi="Bookman Old Style"/>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Temblores ONG. (2024). </w:t>
      </w:r>
      <w:r w:rsidDel="00000000" w:rsidR="00000000" w:rsidRPr="00000000">
        <w:rPr>
          <w:rFonts w:ascii="Bookman Old Style" w:cs="Bookman Old Style" w:eastAsia="Bookman Old Style" w:hAnsi="Bookman Old Style"/>
          <w:i w:val="1"/>
          <w:sz w:val="20"/>
          <w:szCs w:val="20"/>
          <w:rtl w:val="0"/>
        </w:rPr>
        <w:t xml:space="preserve">Por menos de un gramo: Treinta años de persecución policial a la dosis personal</w:t>
      </w:r>
      <w:r w:rsidDel="00000000" w:rsidR="00000000" w:rsidRPr="00000000">
        <w:rPr>
          <w:rFonts w:ascii="Bookman Old Style" w:cs="Bookman Old Style" w:eastAsia="Bookman Old Style" w:hAnsi="Bookman Old Style"/>
          <w:sz w:val="20"/>
          <w:szCs w:val="20"/>
          <w:rtl w:val="0"/>
        </w:rPr>
        <w:t xml:space="preserve">.</w:t>
      </w:r>
      <w:hyperlink r:id="rId1">
        <w:r w:rsidDel="00000000" w:rsidR="00000000" w:rsidRPr="00000000">
          <w:rPr>
            <w:rFonts w:ascii="Bookman Old Style" w:cs="Bookman Old Style" w:eastAsia="Bookman Old Style" w:hAnsi="Bookman Old Style"/>
            <w:sz w:val="20"/>
            <w:szCs w:val="20"/>
            <w:rtl w:val="0"/>
          </w:rPr>
          <w:t xml:space="preserve"> Disponible en </w:t>
        </w:r>
      </w:hyperlink>
      <w:hyperlink r:id="rId2">
        <w:r w:rsidDel="00000000" w:rsidR="00000000" w:rsidRPr="00000000">
          <w:rPr>
            <w:rFonts w:ascii="Bookman Old Style" w:cs="Bookman Old Style" w:eastAsia="Bookman Old Style" w:hAnsi="Bookman Old Style"/>
            <w:color w:val="1155cc"/>
            <w:sz w:val="20"/>
            <w:szCs w:val="20"/>
            <w:u w:val="single"/>
            <w:rtl w:val="0"/>
          </w:rPr>
          <w:t xml:space="preserve">https://www.temblores.org</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jc w:val="center"/>
      <w:rPr/>
    </w:pPr>
    <w:r w:rsidDel="00000000" w:rsidR="00000000" w:rsidRPr="00000000">
      <w:rPr/>
      <w:drawing>
        <wp:inline distB="114300" distT="114300" distL="114300" distR="114300">
          <wp:extent cx="21971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71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left="720" w:hanging="360"/>
    </w:pPr>
    <w:rPr>
      <w:rFonts w:ascii="Bookman Old Style" w:cs="Bookman Old Style" w:eastAsia="Bookman Old Style" w:hAnsi="Bookman Old Style"/>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temblores.org" TargetMode="External"/><Relationship Id="rId2" Type="http://schemas.openxmlformats.org/officeDocument/2006/relationships/hyperlink" Target="https://www.temblor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