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441BE" w14:textId="77777777" w:rsidR="00266DD1" w:rsidRPr="009667C9" w:rsidRDefault="00266DD1" w:rsidP="00266DD1">
      <w:pPr>
        <w:spacing w:after="0" w:line="240" w:lineRule="auto"/>
        <w:jc w:val="both"/>
        <w:rPr>
          <w:rFonts w:ascii="Arial" w:hAnsi="Arial" w:cs="Arial"/>
          <w:sz w:val="24"/>
          <w:szCs w:val="24"/>
        </w:rPr>
      </w:pPr>
    </w:p>
    <w:p w14:paraId="308AD530" w14:textId="7E1DDB52" w:rsidR="00266DD1" w:rsidRPr="009667C9" w:rsidRDefault="00266DD1" w:rsidP="00266DD1">
      <w:pPr>
        <w:spacing w:after="0" w:line="240" w:lineRule="auto"/>
        <w:jc w:val="both"/>
        <w:rPr>
          <w:rFonts w:ascii="Arial" w:hAnsi="Arial" w:cs="Arial"/>
          <w:sz w:val="24"/>
          <w:szCs w:val="24"/>
        </w:rPr>
      </w:pPr>
      <w:r w:rsidRPr="009667C9">
        <w:rPr>
          <w:rFonts w:ascii="Arial" w:hAnsi="Arial" w:cs="Arial"/>
          <w:sz w:val="24"/>
          <w:szCs w:val="24"/>
        </w:rPr>
        <w:t xml:space="preserve">Bogotá D.C., </w:t>
      </w:r>
      <w:r w:rsidR="001D3570">
        <w:rPr>
          <w:rFonts w:ascii="Arial" w:hAnsi="Arial" w:cs="Arial"/>
          <w:sz w:val="24"/>
          <w:szCs w:val="24"/>
        </w:rPr>
        <w:t>25</w:t>
      </w:r>
      <w:r w:rsidR="009667C9" w:rsidRPr="009667C9">
        <w:rPr>
          <w:rFonts w:ascii="Arial" w:hAnsi="Arial" w:cs="Arial"/>
          <w:sz w:val="24"/>
          <w:szCs w:val="24"/>
        </w:rPr>
        <w:t xml:space="preserve"> de </w:t>
      </w:r>
      <w:r w:rsidR="0030299B">
        <w:rPr>
          <w:rFonts w:ascii="Arial" w:hAnsi="Arial" w:cs="Arial"/>
          <w:sz w:val="24"/>
          <w:szCs w:val="24"/>
        </w:rPr>
        <w:t>noviembre</w:t>
      </w:r>
      <w:r w:rsidRPr="009667C9">
        <w:rPr>
          <w:rFonts w:ascii="Arial" w:hAnsi="Arial" w:cs="Arial"/>
          <w:sz w:val="24"/>
          <w:szCs w:val="24"/>
        </w:rPr>
        <w:t xml:space="preserve"> de 2019</w:t>
      </w:r>
    </w:p>
    <w:p w14:paraId="592170FF" w14:textId="77777777" w:rsidR="00266DD1" w:rsidRPr="009667C9" w:rsidRDefault="00266DD1" w:rsidP="00266DD1">
      <w:pPr>
        <w:spacing w:after="0" w:line="240" w:lineRule="auto"/>
        <w:jc w:val="both"/>
        <w:rPr>
          <w:rFonts w:ascii="Arial" w:hAnsi="Arial" w:cs="Arial"/>
          <w:sz w:val="24"/>
          <w:szCs w:val="24"/>
        </w:rPr>
      </w:pPr>
    </w:p>
    <w:p w14:paraId="72F8C951" w14:textId="77777777" w:rsidR="00266DD1" w:rsidRPr="009667C9" w:rsidRDefault="00266DD1" w:rsidP="00266DD1">
      <w:pPr>
        <w:spacing w:after="0" w:line="240" w:lineRule="auto"/>
        <w:jc w:val="both"/>
        <w:rPr>
          <w:rFonts w:ascii="Arial" w:hAnsi="Arial" w:cs="Arial"/>
          <w:sz w:val="24"/>
          <w:szCs w:val="24"/>
        </w:rPr>
      </w:pPr>
    </w:p>
    <w:p w14:paraId="4D500ABB" w14:textId="77777777" w:rsidR="00266DD1" w:rsidRPr="009667C9" w:rsidRDefault="00266DD1" w:rsidP="00266DD1">
      <w:pPr>
        <w:spacing w:after="0" w:line="240" w:lineRule="auto"/>
        <w:jc w:val="both"/>
        <w:rPr>
          <w:rFonts w:ascii="Arial" w:hAnsi="Arial" w:cs="Arial"/>
          <w:sz w:val="24"/>
          <w:szCs w:val="24"/>
        </w:rPr>
      </w:pPr>
    </w:p>
    <w:p w14:paraId="12B88DC4" w14:textId="77777777" w:rsidR="00266DD1" w:rsidRPr="009667C9" w:rsidRDefault="00266DD1" w:rsidP="00266DD1">
      <w:pPr>
        <w:spacing w:after="0" w:line="240" w:lineRule="auto"/>
        <w:jc w:val="both"/>
        <w:rPr>
          <w:rFonts w:ascii="Arial" w:hAnsi="Arial" w:cs="Arial"/>
          <w:sz w:val="24"/>
          <w:szCs w:val="24"/>
        </w:rPr>
      </w:pPr>
      <w:r w:rsidRPr="009667C9">
        <w:rPr>
          <w:rFonts w:ascii="Arial" w:hAnsi="Arial" w:cs="Arial"/>
          <w:sz w:val="24"/>
          <w:szCs w:val="24"/>
        </w:rPr>
        <w:t>Honorable Representante</w:t>
      </w:r>
    </w:p>
    <w:p w14:paraId="4D2345E9" w14:textId="77777777" w:rsidR="00266DD1" w:rsidRPr="009667C9" w:rsidRDefault="00700FEA" w:rsidP="00266DD1">
      <w:pPr>
        <w:spacing w:after="0" w:line="240" w:lineRule="auto"/>
        <w:jc w:val="both"/>
        <w:rPr>
          <w:rFonts w:ascii="Arial" w:hAnsi="Arial" w:cs="Arial"/>
          <w:b/>
          <w:sz w:val="24"/>
          <w:szCs w:val="24"/>
        </w:rPr>
      </w:pPr>
      <w:r w:rsidRPr="009667C9">
        <w:rPr>
          <w:rFonts w:ascii="Arial" w:hAnsi="Arial" w:cs="Arial"/>
          <w:b/>
          <w:sz w:val="24"/>
          <w:szCs w:val="24"/>
        </w:rPr>
        <w:t>CARLOS ALBERTO CUENCA CHAUX</w:t>
      </w:r>
    </w:p>
    <w:p w14:paraId="5D3DCDD7" w14:textId="77777777" w:rsidR="00266DD1" w:rsidRPr="00203B5E" w:rsidRDefault="00266DD1" w:rsidP="00266DD1">
      <w:pPr>
        <w:spacing w:after="0" w:line="240" w:lineRule="auto"/>
        <w:jc w:val="both"/>
        <w:rPr>
          <w:rFonts w:ascii="Arial" w:hAnsi="Arial" w:cs="Arial"/>
          <w:sz w:val="24"/>
          <w:szCs w:val="24"/>
        </w:rPr>
      </w:pPr>
      <w:r w:rsidRPr="00203B5E">
        <w:rPr>
          <w:rFonts w:ascii="Arial" w:hAnsi="Arial" w:cs="Arial"/>
          <w:sz w:val="24"/>
          <w:szCs w:val="24"/>
        </w:rPr>
        <w:t>Presidente Cámara de Representantes</w:t>
      </w:r>
    </w:p>
    <w:p w14:paraId="270E94E9" w14:textId="77777777" w:rsidR="00266DD1" w:rsidRPr="00203B5E" w:rsidRDefault="00266DD1" w:rsidP="00266DD1">
      <w:pPr>
        <w:spacing w:after="0" w:line="240" w:lineRule="auto"/>
        <w:jc w:val="both"/>
        <w:rPr>
          <w:rFonts w:ascii="Arial" w:hAnsi="Arial" w:cs="Arial"/>
          <w:sz w:val="24"/>
          <w:szCs w:val="24"/>
        </w:rPr>
      </w:pPr>
      <w:r w:rsidRPr="00203B5E">
        <w:rPr>
          <w:rFonts w:ascii="Arial" w:hAnsi="Arial" w:cs="Arial"/>
          <w:sz w:val="24"/>
          <w:szCs w:val="24"/>
        </w:rPr>
        <w:t>Ciudad</w:t>
      </w:r>
    </w:p>
    <w:p w14:paraId="75738662" w14:textId="77777777" w:rsidR="00266DD1" w:rsidRPr="00203B5E" w:rsidRDefault="00266DD1" w:rsidP="00266DD1">
      <w:pPr>
        <w:spacing w:after="0" w:line="240" w:lineRule="auto"/>
        <w:jc w:val="both"/>
        <w:rPr>
          <w:rFonts w:ascii="Arial" w:hAnsi="Arial" w:cs="Arial"/>
          <w:sz w:val="24"/>
          <w:szCs w:val="24"/>
        </w:rPr>
      </w:pPr>
    </w:p>
    <w:p w14:paraId="6BF75256" w14:textId="77777777" w:rsidR="00266DD1" w:rsidRPr="00203B5E" w:rsidRDefault="00266DD1" w:rsidP="00266DD1">
      <w:pPr>
        <w:spacing w:after="0" w:line="240" w:lineRule="auto"/>
        <w:jc w:val="both"/>
        <w:rPr>
          <w:rFonts w:ascii="Arial" w:hAnsi="Arial" w:cs="Arial"/>
          <w:sz w:val="24"/>
          <w:szCs w:val="24"/>
        </w:rPr>
      </w:pPr>
    </w:p>
    <w:p w14:paraId="0A1EAD73" w14:textId="77777777" w:rsidR="00266DD1" w:rsidRPr="00203B5E" w:rsidRDefault="00266DD1" w:rsidP="00266DD1">
      <w:pPr>
        <w:spacing w:after="0" w:line="240" w:lineRule="auto"/>
        <w:jc w:val="both"/>
        <w:rPr>
          <w:rFonts w:ascii="Arial" w:hAnsi="Arial" w:cs="Arial"/>
          <w:sz w:val="24"/>
          <w:szCs w:val="24"/>
        </w:rPr>
      </w:pPr>
    </w:p>
    <w:p w14:paraId="55F0C029" w14:textId="77777777" w:rsidR="00266DD1" w:rsidRPr="00203B5E" w:rsidRDefault="00266DD1" w:rsidP="00266DD1">
      <w:pPr>
        <w:spacing w:after="0" w:line="240" w:lineRule="auto"/>
        <w:ind w:left="2832"/>
        <w:jc w:val="both"/>
        <w:rPr>
          <w:rFonts w:ascii="Arial" w:hAnsi="Arial" w:cs="Arial"/>
          <w:sz w:val="24"/>
          <w:szCs w:val="24"/>
        </w:rPr>
      </w:pPr>
      <w:r w:rsidRPr="00203B5E">
        <w:rPr>
          <w:rFonts w:ascii="Arial" w:hAnsi="Arial" w:cs="Arial"/>
          <w:b/>
          <w:sz w:val="24"/>
          <w:szCs w:val="24"/>
        </w:rPr>
        <w:t>Asunto:</w:t>
      </w:r>
      <w:r w:rsidRPr="00203B5E">
        <w:rPr>
          <w:rFonts w:ascii="Arial" w:hAnsi="Arial" w:cs="Arial"/>
          <w:sz w:val="24"/>
          <w:szCs w:val="24"/>
        </w:rPr>
        <w:t xml:space="preserve"> Radicación Proyecto de Ley </w:t>
      </w:r>
      <w:r w:rsidRPr="00203B5E">
        <w:rPr>
          <w:rFonts w:ascii="Arial" w:hAnsi="Arial" w:cs="Arial"/>
          <w:i/>
          <w:sz w:val="24"/>
          <w:szCs w:val="24"/>
        </w:rPr>
        <w:t>“Por medio de</w:t>
      </w:r>
      <w:r w:rsidR="009667C9">
        <w:rPr>
          <w:rFonts w:ascii="Arial" w:hAnsi="Arial" w:cs="Arial"/>
          <w:i/>
          <w:sz w:val="24"/>
          <w:szCs w:val="24"/>
        </w:rPr>
        <w:t>l cual se establecen medidas contra el hacinamiento carcelario y penitenciario y se dictan otras disposiciones”</w:t>
      </w:r>
      <w:r w:rsidRPr="00203B5E">
        <w:rPr>
          <w:rFonts w:ascii="Arial" w:hAnsi="Arial" w:cs="Arial"/>
          <w:i/>
          <w:sz w:val="24"/>
          <w:szCs w:val="24"/>
        </w:rPr>
        <w:t>.</w:t>
      </w:r>
    </w:p>
    <w:p w14:paraId="1008C541" w14:textId="77777777" w:rsidR="00266DD1" w:rsidRPr="00203B5E" w:rsidRDefault="00266DD1" w:rsidP="00266DD1">
      <w:pPr>
        <w:spacing w:after="0" w:line="240" w:lineRule="auto"/>
        <w:jc w:val="both"/>
        <w:rPr>
          <w:rFonts w:ascii="Arial" w:hAnsi="Arial" w:cs="Arial"/>
          <w:sz w:val="24"/>
          <w:szCs w:val="24"/>
        </w:rPr>
      </w:pPr>
    </w:p>
    <w:p w14:paraId="3B8418B8" w14:textId="77777777" w:rsidR="00266DD1" w:rsidRPr="00203B5E" w:rsidRDefault="00266DD1" w:rsidP="00266DD1">
      <w:pPr>
        <w:spacing w:after="0" w:line="240" w:lineRule="auto"/>
        <w:jc w:val="both"/>
        <w:rPr>
          <w:rFonts w:ascii="Arial" w:hAnsi="Arial" w:cs="Arial"/>
          <w:sz w:val="24"/>
          <w:szCs w:val="24"/>
        </w:rPr>
      </w:pPr>
    </w:p>
    <w:p w14:paraId="55B516F8" w14:textId="77777777" w:rsidR="00266DD1" w:rsidRPr="00203B5E" w:rsidRDefault="00266DD1" w:rsidP="00266DD1">
      <w:pPr>
        <w:spacing w:after="0" w:line="240" w:lineRule="auto"/>
        <w:jc w:val="both"/>
        <w:rPr>
          <w:rFonts w:ascii="Arial" w:hAnsi="Arial" w:cs="Arial"/>
          <w:sz w:val="24"/>
          <w:szCs w:val="24"/>
        </w:rPr>
      </w:pPr>
      <w:r w:rsidRPr="00203B5E">
        <w:rPr>
          <w:rFonts w:ascii="Arial" w:hAnsi="Arial" w:cs="Arial"/>
          <w:sz w:val="24"/>
          <w:szCs w:val="24"/>
        </w:rPr>
        <w:t>Respetado Presidente,</w:t>
      </w:r>
    </w:p>
    <w:p w14:paraId="1F3F16EA" w14:textId="77777777" w:rsidR="00266DD1" w:rsidRPr="00203B5E" w:rsidRDefault="00266DD1" w:rsidP="00266DD1">
      <w:pPr>
        <w:spacing w:after="0" w:line="240" w:lineRule="auto"/>
        <w:jc w:val="both"/>
        <w:rPr>
          <w:rFonts w:ascii="Arial" w:hAnsi="Arial" w:cs="Arial"/>
          <w:sz w:val="24"/>
          <w:szCs w:val="24"/>
        </w:rPr>
      </w:pPr>
    </w:p>
    <w:p w14:paraId="525EDB49" w14:textId="77777777" w:rsidR="009A1913" w:rsidRDefault="00266DD1" w:rsidP="009A1913">
      <w:pPr>
        <w:spacing w:after="0" w:line="240" w:lineRule="auto"/>
        <w:jc w:val="both"/>
        <w:rPr>
          <w:rFonts w:ascii="Arial" w:hAnsi="Arial" w:cs="Arial"/>
          <w:i/>
          <w:sz w:val="24"/>
          <w:szCs w:val="24"/>
        </w:rPr>
      </w:pPr>
      <w:r w:rsidRPr="00203B5E">
        <w:rPr>
          <w:rFonts w:ascii="Arial" w:hAnsi="Arial" w:cs="Arial"/>
          <w:sz w:val="24"/>
          <w:szCs w:val="24"/>
        </w:rPr>
        <w:t>De conformidad con los artículos 139 y 140 de la Ley 5ta. de 1992 y demás normas concordantes, presento a consideración de la Honorable Cámara de Representantes, el proyecto de ley</w:t>
      </w:r>
      <w:r w:rsidR="009A1913">
        <w:rPr>
          <w:rFonts w:ascii="Arial" w:hAnsi="Arial" w:cs="Arial"/>
          <w:sz w:val="24"/>
          <w:szCs w:val="24"/>
        </w:rPr>
        <w:t xml:space="preserve"> </w:t>
      </w:r>
      <w:r w:rsidR="009A1913" w:rsidRPr="00203B5E">
        <w:rPr>
          <w:rFonts w:ascii="Arial" w:hAnsi="Arial" w:cs="Arial"/>
          <w:i/>
          <w:sz w:val="24"/>
          <w:szCs w:val="24"/>
        </w:rPr>
        <w:t>“Por medio de</w:t>
      </w:r>
      <w:r w:rsidR="009A1913">
        <w:rPr>
          <w:rFonts w:ascii="Arial" w:hAnsi="Arial" w:cs="Arial"/>
          <w:i/>
          <w:sz w:val="24"/>
          <w:szCs w:val="24"/>
        </w:rPr>
        <w:t xml:space="preserve"> </w:t>
      </w:r>
      <w:r w:rsidR="009A1913" w:rsidRPr="00203B5E">
        <w:rPr>
          <w:rFonts w:ascii="Arial" w:hAnsi="Arial" w:cs="Arial"/>
          <w:i/>
          <w:sz w:val="24"/>
          <w:szCs w:val="24"/>
        </w:rPr>
        <w:t>l</w:t>
      </w:r>
      <w:r w:rsidR="009A1913">
        <w:rPr>
          <w:rFonts w:ascii="Arial" w:hAnsi="Arial" w:cs="Arial"/>
          <w:i/>
          <w:sz w:val="24"/>
          <w:szCs w:val="24"/>
        </w:rPr>
        <w:t>a</w:t>
      </w:r>
      <w:r w:rsidR="009A1913" w:rsidRPr="00203B5E">
        <w:rPr>
          <w:rFonts w:ascii="Arial" w:hAnsi="Arial" w:cs="Arial"/>
          <w:i/>
          <w:sz w:val="24"/>
          <w:szCs w:val="24"/>
        </w:rPr>
        <w:t xml:space="preserve"> cual se</w:t>
      </w:r>
      <w:r w:rsidR="009667C9">
        <w:rPr>
          <w:rFonts w:ascii="Arial" w:hAnsi="Arial" w:cs="Arial"/>
          <w:i/>
          <w:sz w:val="24"/>
          <w:szCs w:val="24"/>
        </w:rPr>
        <w:t xml:space="preserve"> establecen medidas contra el hacinamiento carcelario y penitenciario y se</w:t>
      </w:r>
      <w:r w:rsidR="009A1913">
        <w:rPr>
          <w:rFonts w:ascii="Arial" w:hAnsi="Arial" w:cs="Arial"/>
          <w:i/>
          <w:sz w:val="24"/>
          <w:szCs w:val="24"/>
        </w:rPr>
        <w:t xml:space="preserve"> dictan otras disposiciones”.</w:t>
      </w:r>
    </w:p>
    <w:p w14:paraId="1C0F55EA" w14:textId="77777777" w:rsidR="00266DD1" w:rsidRPr="00203B5E" w:rsidRDefault="009A1913" w:rsidP="009A1913">
      <w:pPr>
        <w:spacing w:after="0" w:line="240" w:lineRule="auto"/>
        <w:jc w:val="both"/>
        <w:rPr>
          <w:rFonts w:ascii="Arial" w:hAnsi="Arial" w:cs="Arial"/>
          <w:sz w:val="24"/>
          <w:szCs w:val="24"/>
        </w:rPr>
      </w:pPr>
      <w:r w:rsidRPr="00203B5E">
        <w:rPr>
          <w:rFonts w:ascii="Arial" w:hAnsi="Arial" w:cs="Arial"/>
          <w:sz w:val="24"/>
          <w:szCs w:val="24"/>
        </w:rPr>
        <w:t xml:space="preserve"> </w:t>
      </w:r>
    </w:p>
    <w:p w14:paraId="135FB60C" w14:textId="77777777" w:rsidR="00266DD1" w:rsidRPr="00203B5E" w:rsidRDefault="00266DD1" w:rsidP="00266DD1">
      <w:pPr>
        <w:spacing w:after="0" w:line="240" w:lineRule="auto"/>
        <w:jc w:val="both"/>
        <w:rPr>
          <w:rFonts w:ascii="Arial" w:hAnsi="Arial" w:cs="Arial"/>
          <w:sz w:val="24"/>
          <w:szCs w:val="24"/>
        </w:rPr>
      </w:pPr>
      <w:r w:rsidRPr="00203B5E">
        <w:rPr>
          <w:rFonts w:ascii="Arial" w:hAnsi="Arial" w:cs="Arial"/>
          <w:sz w:val="24"/>
          <w:szCs w:val="24"/>
        </w:rPr>
        <w:t xml:space="preserve">Lo anterior, con la finalidad </w:t>
      </w:r>
      <w:r w:rsidR="00B66971">
        <w:rPr>
          <w:rFonts w:ascii="Arial" w:hAnsi="Arial" w:cs="Arial"/>
          <w:sz w:val="24"/>
          <w:szCs w:val="24"/>
        </w:rPr>
        <w:t xml:space="preserve">de que </w:t>
      </w:r>
      <w:r w:rsidRPr="00203B5E">
        <w:rPr>
          <w:rFonts w:ascii="Arial" w:hAnsi="Arial" w:cs="Arial"/>
          <w:sz w:val="24"/>
          <w:szCs w:val="24"/>
        </w:rPr>
        <w:t xml:space="preserve">se sirva ordenar a quien corresponda, dar el trámite correspondiente conforme a </w:t>
      </w:r>
      <w:r w:rsidR="00B66971">
        <w:rPr>
          <w:rFonts w:ascii="Arial" w:hAnsi="Arial" w:cs="Arial"/>
          <w:sz w:val="24"/>
          <w:szCs w:val="24"/>
        </w:rPr>
        <w:t xml:space="preserve">los términos establecidos por la Constitución y la Ley. </w:t>
      </w:r>
    </w:p>
    <w:p w14:paraId="59D79B23" w14:textId="77777777" w:rsidR="00266DD1" w:rsidRPr="00203B5E" w:rsidRDefault="00266DD1" w:rsidP="00266DD1">
      <w:pPr>
        <w:spacing w:after="0" w:line="240" w:lineRule="auto"/>
        <w:jc w:val="both"/>
        <w:rPr>
          <w:rFonts w:ascii="Arial" w:hAnsi="Arial" w:cs="Arial"/>
          <w:sz w:val="24"/>
          <w:szCs w:val="24"/>
        </w:rPr>
      </w:pPr>
    </w:p>
    <w:p w14:paraId="3F677112" w14:textId="77777777" w:rsidR="00266DD1" w:rsidRPr="00203B5E" w:rsidRDefault="00266DD1" w:rsidP="00266DD1">
      <w:pPr>
        <w:spacing w:after="0" w:line="240" w:lineRule="auto"/>
        <w:jc w:val="both"/>
        <w:rPr>
          <w:rFonts w:ascii="Arial" w:hAnsi="Arial" w:cs="Arial"/>
          <w:sz w:val="24"/>
          <w:szCs w:val="24"/>
        </w:rPr>
      </w:pPr>
    </w:p>
    <w:p w14:paraId="7E6993D4" w14:textId="77777777" w:rsidR="00266DD1" w:rsidRPr="00203B5E" w:rsidRDefault="00266DD1" w:rsidP="00266DD1">
      <w:pPr>
        <w:spacing w:after="0" w:line="240" w:lineRule="auto"/>
        <w:jc w:val="both"/>
        <w:rPr>
          <w:rFonts w:ascii="Arial" w:hAnsi="Arial" w:cs="Arial"/>
          <w:sz w:val="24"/>
          <w:szCs w:val="24"/>
        </w:rPr>
      </w:pPr>
      <w:r w:rsidRPr="00203B5E">
        <w:rPr>
          <w:rFonts w:ascii="Arial" w:hAnsi="Arial" w:cs="Arial"/>
          <w:sz w:val="24"/>
          <w:szCs w:val="24"/>
        </w:rPr>
        <w:t>Cordialmente,</w:t>
      </w:r>
    </w:p>
    <w:p w14:paraId="3359397B" w14:textId="77777777" w:rsidR="00266DD1" w:rsidRPr="00203B5E" w:rsidRDefault="00266DD1" w:rsidP="00266DD1">
      <w:pPr>
        <w:spacing w:after="0" w:line="240" w:lineRule="auto"/>
        <w:jc w:val="both"/>
        <w:rPr>
          <w:rFonts w:ascii="Arial" w:hAnsi="Arial" w:cs="Arial"/>
          <w:sz w:val="24"/>
          <w:szCs w:val="24"/>
        </w:rPr>
      </w:pPr>
    </w:p>
    <w:p w14:paraId="00FEFB21" w14:textId="77777777" w:rsidR="00266DD1" w:rsidRPr="00203B5E" w:rsidRDefault="00266DD1" w:rsidP="00266DD1">
      <w:pPr>
        <w:spacing w:after="0" w:line="240" w:lineRule="auto"/>
        <w:jc w:val="both"/>
        <w:rPr>
          <w:rFonts w:ascii="Arial" w:hAnsi="Arial" w:cs="Arial"/>
          <w:sz w:val="24"/>
          <w:szCs w:val="24"/>
        </w:rPr>
      </w:pPr>
    </w:p>
    <w:p w14:paraId="50F4D37D" w14:textId="77777777" w:rsidR="00266DD1" w:rsidRPr="00203B5E" w:rsidRDefault="00266DD1" w:rsidP="00266DD1">
      <w:pPr>
        <w:spacing w:after="0" w:line="240" w:lineRule="auto"/>
        <w:jc w:val="both"/>
        <w:rPr>
          <w:rFonts w:ascii="Arial" w:hAnsi="Arial" w:cs="Arial"/>
          <w:sz w:val="24"/>
          <w:szCs w:val="24"/>
        </w:rPr>
      </w:pPr>
    </w:p>
    <w:p w14:paraId="5B624C95" w14:textId="77777777" w:rsidR="00266DD1" w:rsidRPr="00203B5E" w:rsidRDefault="00266DD1" w:rsidP="00266DD1">
      <w:pPr>
        <w:spacing w:after="0" w:line="240" w:lineRule="auto"/>
        <w:jc w:val="both"/>
        <w:rPr>
          <w:rFonts w:ascii="Arial" w:hAnsi="Arial" w:cs="Arial"/>
          <w:sz w:val="24"/>
          <w:szCs w:val="24"/>
        </w:rPr>
      </w:pPr>
    </w:p>
    <w:p w14:paraId="6520E431" w14:textId="77777777" w:rsidR="00266DD1" w:rsidRPr="00203B5E" w:rsidRDefault="00266DD1" w:rsidP="00266DD1">
      <w:pPr>
        <w:spacing w:after="0" w:line="240" w:lineRule="auto"/>
        <w:jc w:val="both"/>
        <w:rPr>
          <w:rFonts w:ascii="Arial" w:hAnsi="Arial" w:cs="Arial"/>
          <w:b/>
          <w:sz w:val="24"/>
          <w:szCs w:val="24"/>
        </w:rPr>
      </w:pPr>
    </w:p>
    <w:p w14:paraId="39DF1381" w14:textId="77777777" w:rsidR="00266DD1" w:rsidRPr="00203B5E" w:rsidRDefault="00266DD1" w:rsidP="0030299B">
      <w:pPr>
        <w:spacing w:after="0" w:line="240" w:lineRule="auto"/>
        <w:jc w:val="center"/>
        <w:rPr>
          <w:rFonts w:ascii="Arial" w:hAnsi="Arial" w:cs="Arial"/>
          <w:b/>
          <w:sz w:val="24"/>
          <w:szCs w:val="24"/>
        </w:rPr>
      </w:pPr>
      <w:r w:rsidRPr="00203B5E">
        <w:rPr>
          <w:rFonts w:ascii="Arial" w:hAnsi="Arial" w:cs="Arial"/>
          <w:b/>
          <w:sz w:val="24"/>
          <w:szCs w:val="24"/>
        </w:rPr>
        <w:t>ENRIQUE CABRALES BAQUERO</w:t>
      </w:r>
    </w:p>
    <w:p w14:paraId="3DFBFE53" w14:textId="77777777" w:rsidR="00266DD1" w:rsidRPr="00203B5E" w:rsidRDefault="00266DD1" w:rsidP="0030299B">
      <w:pPr>
        <w:spacing w:after="0" w:line="240" w:lineRule="auto"/>
        <w:jc w:val="center"/>
        <w:rPr>
          <w:rFonts w:ascii="Arial" w:hAnsi="Arial" w:cs="Arial"/>
          <w:sz w:val="24"/>
          <w:szCs w:val="24"/>
        </w:rPr>
      </w:pPr>
      <w:r w:rsidRPr="00203B5E">
        <w:rPr>
          <w:rFonts w:ascii="Arial" w:hAnsi="Arial" w:cs="Arial"/>
          <w:sz w:val="24"/>
          <w:szCs w:val="24"/>
        </w:rPr>
        <w:t>Representante a la Cámara por Bogotá D.C.</w:t>
      </w:r>
    </w:p>
    <w:p w14:paraId="0758946A" w14:textId="77777777" w:rsidR="00266DD1" w:rsidRPr="00203B5E" w:rsidRDefault="00266DD1" w:rsidP="00266DD1">
      <w:pPr>
        <w:spacing w:after="0" w:line="240" w:lineRule="auto"/>
        <w:jc w:val="center"/>
        <w:rPr>
          <w:rFonts w:ascii="Arial" w:hAnsi="Arial" w:cs="Arial"/>
          <w:b/>
          <w:sz w:val="24"/>
          <w:szCs w:val="24"/>
        </w:rPr>
      </w:pPr>
    </w:p>
    <w:p w14:paraId="6C426D50" w14:textId="77777777" w:rsidR="00266DD1" w:rsidRDefault="00266DD1" w:rsidP="00266DD1">
      <w:pPr>
        <w:spacing w:after="0" w:line="240" w:lineRule="auto"/>
        <w:jc w:val="center"/>
        <w:rPr>
          <w:rFonts w:ascii="Arial" w:hAnsi="Arial" w:cs="Arial"/>
          <w:b/>
          <w:sz w:val="24"/>
          <w:szCs w:val="24"/>
        </w:rPr>
      </w:pPr>
    </w:p>
    <w:p w14:paraId="4B6888DA" w14:textId="77777777" w:rsidR="00266DD1" w:rsidRDefault="00266DD1" w:rsidP="00266DD1">
      <w:pPr>
        <w:spacing w:after="0" w:line="240" w:lineRule="auto"/>
        <w:jc w:val="center"/>
        <w:rPr>
          <w:rFonts w:ascii="Arial" w:hAnsi="Arial" w:cs="Arial"/>
          <w:b/>
          <w:sz w:val="24"/>
          <w:szCs w:val="24"/>
        </w:rPr>
      </w:pPr>
    </w:p>
    <w:p w14:paraId="3D64EE09" w14:textId="77777777" w:rsidR="001D3570" w:rsidRDefault="001D3570" w:rsidP="00266DD1">
      <w:pPr>
        <w:spacing w:after="0" w:line="240" w:lineRule="auto"/>
        <w:jc w:val="center"/>
        <w:rPr>
          <w:rFonts w:ascii="Arial" w:hAnsi="Arial" w:cs="Arial"/>
          <w:b/>
          <w:sz w:val="24"/>
          <w:szCs w:val="24"/>
        </w:rPr>
      </w:pPr>
    </w:p>
    <w:p w14:paraId="1762B1D7" w14:textId="7F4CB912" w:rsidR="00266DD1" w:rsidRPr="00203B5E" w:rsidRDefault="00266DD1" w:rsidP="00266DD1">
      <w:pPr>
        <w:spacing w:after="0" w:line="240" w:lineRule="auto"/>
        <w:jc w:val="center"/>
        <w:rPr>
          <w:rFonts w:ascii="Arial" w:hAnsi="Arial" w:cs="Arial"/>
          <w:b/>
          <w:sz w:val="24"/>
          <w:szCs w:val="24"/>
        </w:rPr>
      </w:pPr>
      <w:r w:rsidRPr="00203B5E">
        <w:rPr>
          <w:rFonts w:ascii="Arial" w:hAnsi="Arial" w:cs="Arial"/>
          <w:b/>
          <w:sz w:val="24"/>
          <w:szCs w:val="24"/>
        </w:rPr>
        <w:t>Proyecto de Ley No.________ de 2019 Cámara</w:t>
      </w:r>
    </w:p>
    <w:p w14:paraId="404D36A2" w14:textId="16CE5D3C" w:rsidR="00266DD1" w:rsidRDefault="00266DD1" w:rsidP="00266DD1">
      <w:pPr>
        <w:spacing w:after="0" w:line="240" w:lineRule="auto"/>
        <w:jc w:val="center"/>
        <w:rPr>
          <w:rFonts w:ascii="Arial" w:hAnsi="Arial" w:cs="Arial"/>
          <w:sz w:val="24"/>
          <w:szCs w:val="24"/>
        </w:rPr>
      </w:pPr>
    </w:p>
    <w:p w14:paraId="05DB86CA" w14:textId="77777777" w:rsidR="001D3570" w:rsidRPr="00203B5E" w:rsidRDefault="001D3570" w:rsidP="00266DD1">
      <w:pPr>
        <w:spacing w:after="0" w:line="240" w:lineRule="auto"/>
        <w:jc w:val="center"/>
        <w:rPr>
          <w:rFonts w:ascii="Arial" w:hAnsi="Arial" w:cs="Arial"/>
          <w:sz w:val="24"/>
          <w:szCs w:val="24"/>
        </w:rPr>
      </w:pPr>
    </w:p>
    <w:p w14:paraId="6D35C129" w14:textId="77777777" w:rsidR="00DF6672" w:rsidRDefault="009667C9" w:rsidP="009667C9">
      <w:pPr>
        <w:spacing w:after="0" w:line="240" w:lineRule="auto"/>
        <w:jc w:val="center"/>
        <w:rPr>
          <w:rFonts w:ascii="Arial" w:hAnsi="Arial" w:cs="Arial"/>
          <w:i/>
          <w:sz w:val="24"/>
          <w:szCs w:val="24"/>
        </w:rPr>
      </w:pPr>
      <w:r w:rsidRPr="00203B5E">
        <w:rPr>
          <w:rFonts w:ascii="Arial" w:hAnsi="Arial" w:cs="Arial"/>
          <w:i/>
          <w:sz w:val="24"/>
          <w:szCs w:val="24"/>
        </w:rPr>
        <w:t>“Por medio de</w:t>
      </w:r>
      <w:r>
        <w:rPr>
          <w:rFonts w:ascii="Arial" w:hAnsi="Arial" w:cs="Arial"/>
          <w:i/>
          <w:sz w:val="24"/>
          <w:szCs w:val="24"/>
        </w:rPr>
        <w:t xml:space="preserve"> </w:t>
      </w:r>
      <w:r w:rsidRPr="00203B5E">
        <w:rPr>
          <w:rFonts w:ascii="Arial" w:hAnsi="Arial" w:cs="Arial"/>
          <w:i/>
          <w:sz w:val="24"/>
          <w:szCs w:val="24"/>
        </w:rPr>
        <w:t>l</w:t>
      </w:r>
      <w:r>
        <w:rPr>
          <w:rFonts w:ascii="Arial" w:hAnsi="Arial" w:cs="Arial"/>
          <w:i/>
          <w:sz w:val="24"/>
          <w:szCs w:val="24"/>
        </w:rPr>
        <w:t>a</w:t>
      </w:r>
      <w:r w:rsidRPr="00203B5E">
        <w:rPr>
          <w:rFonts w:ascii="Arial" w:hAnsi="Arial" w:cs="Arial"/>
          <w:i/>
          <w:sz w:val="24"/>
          <w:szCs w:val="24"/>
        </w:rPr>
        <w:t xml:space="preserve"> cual se</w:t>
      </w:r>
      <w:r>
        <w:rPr>
          <w:rFonts w:ascii="Arial" w:hAnsi="Arial" w:cs="Arial"/>
          <w:i/>
          <w:sz w:val="24"/>
          <w:szCs w:val="24"/>
        </w:rPr>
        <w:t xml:space="preserve"> establecen medidas contra el hacinamiento carcelario y penitenciario y se dictan otras disposiciones”</w:t>
      </w:r>
    </w:p>
    <w:p w14:paraId="424039B4" w14:textId="59AC6E32" w:rsidR="009667C9" w:rsidRDefault="009667C9" w:rsidP="00266DD1">
      <w:pPr>
        <w:spacing w:after="0" w:line="240" w:lineRule="auto"/>
        <w:jc w:val="both"/>
        <w:rPr>
          <w:rFonts w:ascii="Arial" w:hAnsi="Arial" w:cs="Arial"/>
          <w:b/>
          <w:sz w:val="24"/>
          <w:szCs w:val="24"/>
        </w:rPr>
      </w:pPr>
    </w:p>
    <w:p w14:paraId="470C5053" w14:textId="77777777" w:rsidR="001D3570" w:rsidRPr="0055576F" w:rsidRDefault="001D3570" w:rsidP="00266DD1">
      <w:pPr>
        <w:spacing w:after="0" w:line="240" w:lineRule="auto"/>
        <w:jc w:val="both"/>
        <w:rPr>
          <w:rFonts w:ascii="Arial" w:hAnsi="Arial" w:cs="Arial"/>
          <w:b/>
          <w:sz w:val="24"/>
          <w:szCs w:val="24"/>
        </w:rPr>
      </w:pPr>
    </w:p>
    <w:p w14:paraId="34F29950" w14:textId="77777777" w:rsidR="00266DD1" w:rsidRPr="0055576F" w:rsidRDefault="00266DD1" w:rsidP="00266DD1">
      <w:pPr>
        <w:spacing w:after="0" w:line="240" w:lineRule="auto"/>
        <w:jc w:val="center"/>
        <w:rPr>
          <w:rFonts w:ascii="Arial" w:hAnsi="Arial" w:cs="Arial"/>
          <w:b/>
          <w:sz w:val="24"/>
          <w:szCs w:val="24"/>
        </w:rPr>
      </w:pPr>
      <w:r w:rsidRPr="0055576F">
        <w:rPr>
          <w:rFonts w:ascii="Arial" w:hAnsi="Arial" w:cs="Arial"/>
          <w:b/>
          <w:sz w:val="24"/>
          <w:szCs w:val="24"/>
        </w:rPr>
        <w:t>EL CONGRESO DE LA REPÚBLICA</w:t>
      </w:r>
    </w:p>
    <w:p w14:paraId="59F0739E" w14:textId="57C1C19B" w:rsidR="00266DD1" w:rsidRDefault="00266DD1" w:rsidP="00266DD1">
      <w:pPr>
        <w:spacing w:after="0" w:line="240" w:lineRule="auto"/>
        <w:jc w:val="center"/>
        <w:rPr>
          <w:rFonts w:ascii="Arial" w:hAnsi="Arial" w:cs="Arial"/>
          <w:b/>
          <w:sz w:val="24"/>
          <w:szCs w:val="24"/>
        </w:rPr>
      </w:pPr>
    </w:p>
    <w:p w14:paraId="3F2D3532" w14:textId="77777777" w:rsidR="001D3570" w:rsidRDefault="001D3570" w:rsidP="00266DD1">
      <w:pPr>
        <w:spacing w:after="0" w:line="240" w:lineRule="auto"/>
        <w:jc w:val="center"/>
        <w:rPr>
          <w:rFonts w:ascii="Arial" w:hAnsi="Arial" w:cs="Arial"/>
          <w:b/>
          <w:sz w:val="24"/>
          <w:szCs w:val="24"/>
        </w:rPr>
      </w:pPr>
    </w:p>
    <w:p w14:paraId="55F06AFB" w14:textId="77777777" w:rsidR="00266DD1" w:rsidRPr="0055576F" w:rsidRDefault="00266DD1" w:rsidP="00266DD1">
      <w:pPr>
        <w:spacing w:after="0" w:line="240" w:lineRule="auto"/>
        <w:jc w:val="center"/>
        <w:rPr>
          <w:rFonts w:ascii="Arial" w:hAnsi="Arial" w:cs="Arial"/>
          <w:b/>
          <w:sz w:val="24"/>
          <w:szCs w:val="24"/>
        </w:rPr>
      </w:pPr>
      <w:r w:rsidRPr="0055576F">
        <w:rPr>
          <w:rFonts w:ascii="Arial" w:hAnsi="Arial" w:cs="Arial"/>
          <w:b/>
          <w:sz w:val="24"/>
          <w:szCs w:val="24"/>
        </w:rPr>
        <w:t>DECRETA:</w:t>
      </w:r>
    </w:p>
    <w:p w14:paraId="03451400" w14:textId="6F1E4635" w:rsidR="009667C9" w:rsidRDefault="009667C9" w:rsidP="00266DD1">
      <w:pPr>
        <w:spacing w:after="0" w:line="240" w:lineRule="auto"/>
        <w:jc w:val="both"/>
        <w:rPr>
          <w:rFonts w:ascii="Arial" w:hAnsi="Arial" w:cs="Arial"/>
          <w:sz w:val="24"/>
          <w:szCs w:val="24"/>
        </w:rPr>
      </w:pPr>
    </w:p>
    <w:p w14:paraId="777843A8" w14:textId="77777777" w:rsidR="001D3570" w:rsidRDefault="001D3570" w:rsidP="00266DD1">
      <w:pPr>
        <w:spacing w:after="0" w:line="240" w:lineRule="auto"/>
        <w:jc w:val="both"/>
        <w:rPr>
          <w:rFonts w:ascii="Arial" w:hAnsi="Arial" w:cs="Arial"/>
          <w:sz w:val="24"/>
          <w:szCs w:val="24"/>
        </w:rPr>
      </w:pPr>
    </w:p>
    <w:p w14:paraId="4F54693A" w14:textId="77777777" w:rsidR="00DF6672" w:rsidRDefault="009667C9" w:rsidP="009667C9">
      <w:pPr>
        <w:spacing w:after="0" w:line="240" w:lineRule="auto"/>
        <w:jc w:val="center"/>
        <w:rPr>
          <w:rFonts w:ascii="Arial" w:hAnsi="Arial" w:cs="Arial"/>
          <w:b/>
          <w:sz w:val="24"/>
          <w:szCs w:val="24"/>
        </w:rPr>
      </w:pPr>
      <w:r>
        <w:rPr>
          <w:rFonts w:ascii="Arial" w:hAnsi="Arial" w:cs="Arial"/>
          <w:b/>
          <w:sz w:val="24"/>
          <w:szCs w:val="24"/>
        </w:rPr>
        <w:t>CAPITULO I</w:t>
      </w:r>
    </w:p>
    <w:p w14:paraId="7455A8B4" w14:textId="77777777" w:rsidR="009667C9" w:rsidRDefault="009667C9" w:rsidP="009667C9">
      <w:pPr>
        <w:spacing w:after="0" w:line="240" w:lineRule="auto"/>
        <w:jc w:val="center"/>
        <w:rPr>
          <w:rFonts w:ascii="Arial" w:hAnsi="Arial" w:cs="Arial"/>
          <w:b/>
          <w:sz w:val="24"/>
          <w:szCs w:val="24"/>
        </w:rPr>
      </w:pPr>
      <w:r>
        <w:rPr>
          <w:rFonts w:ascii="Arial" w:hAnsi="Arial" w:cs="Arial"/>
          <w:b/>
          <w:sz w:val="24"/>
          <w:szCs w:val="24"/>
        </w:rPr>
        <w:t>OBJETO</w:t>
      </w:r>
    </w:p>
    <w:p w14:paraId="1535FFB9" w14:textId="77777777" w:rsidR="009667C9" w:rsidRDefault="009667C9" w:rsidP="00266DD1">
      <w:pPr>
        <w:spacing w:after="0" w:line="240" w:lineRule="auto"/>
        <w:jc w:val="both"/>
        <w:rPr>
          <w:rFonts w:ascii="Arial" w:hAnsi="Arial" w:cs="Arial"/>
          <w:b/>
          <w:sz w:val="24"/>
          <w:szCs w:val="24"/>
        </w:rPr>
      </w:pPr>
    </w:p>
    <w:p w14:paraId="53A01946" w14:textId="77777777" w:rsidR="009667C9" w:rsidRPr="0055576F" w:rsidRDefault="0055576F" w:rsidP="00266DD1">
      <w:pPr>
        <w:spacing w:after="0" w:line="240" w:lineRule="auto"/>
        <w:jc w:val="both"/>
        <w:rPr>
          <w:rFonts w:ascii="Arial" w:hAnsi="Arial" w:cs="Arial"/>
          <w:sz w:val="24"/>
          <w:szCs w:val="24"/>
        </w:rPr>
      </w:pPr>
      <w:r>
        <w:rPr>
          <w:rFonts w:ascii="Arial" w:hAnsi="Arial" w:cs="Arial"/>
          <w:b/>
          <w:sz w:val="24"/>
          <w:szCs w:val="24"/>
        </w:rPr>
        <w:t>ARTÍCUL</w:t>
      </w:r>
      <w:r w:rsidRPr="0055576F">
        <w:rPr>
          <w:rFonts w:ascii="Arial" w:hAnsi="Arial" w:cs="Arial"/>
          <w:b/>
          <w:sz w:val="24"/>
          <w:szCs w:val="24"/>
        </w:rPr>
        <w:t>O 1</w:t>
      </w:r>
      <w:r w:rsidR="00266DD1" w:rsidRPr="0055576F">
        <w:rPr>
          <w:rFonts w:ascii="Arial" w:hAnsi="Arial" w:cs="Arial"/>
          <w:b/>
          <w:sz w:val="24"/>
          <w:szCs w:val="24"/>
        </w:rPr>
        <w:t xml:space="preserve">. </w:t>
      </w:r>
      <w:r w:rsidR="009667C9" w:rsidRPr="0055576F">
        <w:rPr>
          <w:rFonts w:ascii="Arial" w:hAnsi="Arial" w:cs="Arial"/>
          <w:b/>
          <w:sz w:val="24"/>
          <w:szCs w:val="24"/>
        </w:rPr>
        <w:t>OBJETO.</w:t>
      </w:r>
      <w:r w:rsidR="009667C9">
        <w:rPr>
          <w:rFonts w:ascii="Arial" w:hAnsi="Arial" w:cs="Arial"/>
          <w:sz w:val="24"/>
          <w:szCs w:val="24"/>
        </w:rPr>
        <w:t xml:space="preserve"> La presente L</w:t>
      </w:r>
      <w:r w:rsidR="00A80D18">
        <w:rPr>
          <w:rFonts w:ascii="Arial" w:hAnsi="Arial" w:cs="Arial"/>
          <w:sz w:val="24"/>
          <w:szCs w:val="24"/>
        </w:rPr>
        <w:t>ey tiene como finalidad,</w:t>
      </w:r>
      <w:r w:rsidR="009667C9">
        <w:rPr>
          <w:rFonts w:ascii="Arial" w:hAnsi="Arial" w:cs="Arial"/>
          <w:sz w:val="24"/>
          <w:szCs w:val="24"/>
        </w:rPr>
        <w:t xml:space="preserve"> dictar medidas para enfrentar </w:t>
      </w:r>
      <w:r w:rsidR="0004556F">
        <w:rPr>
          <w:rFonts w:ascii="Arial" w:hAnsi="Arial" w:cs="Arial"/>
          <w:sz w:val="24"/>
          <w:szCs w:val="24"/>
        </w:rPr>
        <w:t xml:space="preserve">y contrarrestar </w:t>
      </w:r>
      <w:r w:rsidR="009667C9">
        <w:rPr>
          <w:rFonts w:ascii="Arial" w:hAnsi="Arial" w:cs="Arial"/>
          <w:sz w:val="24"/>
          <w:szCs w:val="24"/>
        </w:rPr>
        <w:t>el hacinamiento carcelario</w:t>
      </w:r>
      <w:r w:rsidR="002010AD">
        <w:rPr>
          <w:rFonts w:ascii="Arial" w:hAnsi="Arial" w:cs="Arial"/>
          <w:sz w:val="24"/>
          <w:szCs w:val="24"/>
        </w:rPr>
        <w:t xml:space="preserve"> y/o penitenciario</w:t>
      </w:r>
      <w:r w:rsidR="009667C9">
        <w:rPr>
          <w:rFonts w:ascii="Arial" w:hAnsi="Arial" w:cs="Arial"/>
          <w:sz w:val="24"/>
          <w:szCs w:val="24"/>
        </w:rPr>
        <w:t xml:space="preserve">, garantizando </w:t>
      </w:r>
      <w:r>
        <w:rPr>
          <w:rFonts w:ascii="Arial" w:hAnsi="Arial" w:cs="Arial"/>
          <w:sz w:val="24"/>
          <w:szCs w:val="24"/>
        </w:rPr>
        <w:t xml:space="preserve">la dignidad humana </w:t>
      </w:r>
      <w:r w:rsidR="009667C9">
        <w:rPr>
          <w:rFonts w:ascii="Arial" w:hAnsi="Arial" w:cs="Arial"/>
          <w:sz w:val="24"/>
          <w:szCs w:val="24"/>
        </w:rPr>
        <w:t xml:space="preserve">de las personas privadas de </w:t>
      </w:r>
      <w:r w:rsidR="009667C9" w:rsidRPr="0055576F">
        <w:rPr>
          <w:rFonts w:ascii="Arial" w:hAnsi="Arial" w:cs="Arial"/>
          <w:sz w:val="24"/>
          <w:szCs w:val="24"/>
        </w:rPr>
        <w:t>la libertad</w:t>
      </w:r>
      <w:r w:rsidR="00BE2930">
        <w:rPr>
          <w:rFonts w:ascii="Arial" w:hAnsi="Arial" w:cs="Arial"/>
          <w:sz w:val="24"/>
          <w:szCs w:val="24"/>
        </w:rPr>
        <w:t xml:space="preserve"> que se enc</w:t>
      </w:r>
      <w:r w:rsidR="00700FEA">
        <w:rPr>
          <w:rFonts w:ascii="Arial" w:hAnsi="Arial" w:cs="Arial"/>
          <w:sz w:val="24"/>
          <w:szCs w:val="24"/>
        </w:rPr>
        <w:t>u</w:t>
      </w:r>
      <w:r w:rsidR="00BE2930">
        <w:rPr>
          <w:rFonts w:ascii="Arial" w:hAnsi="Arial" w:cs="Arial"/>
          <w:sz w:val="24"/>
          <w:szCs w:val="24"/>
        </w:rPr>
        <w:t>entren</w:t>
      </w:r>
      <w:r w:rsidR="009667C9" w:rsidRPr="0055576F">
        <w:rPr>
          <w:rFonts w:ascii="Arial" w:hAnsi="Arial" w:cs="Arial"/>
          <w:sz w:val="24"/>
          <w:szCs w:val="24"/>
        </w:rPr>
        <w:t xml:space="preserve"> </w:t>
      </w:r>
      <w:r w:rsidRPr="0055576F">
        <w:rPr>
          <w:rFonts w:ascii="Arial" w:hAnsi="Arial" w:cs="Arial"/>
          <w:sz w:val="24"/>
          <w:szCs w:val="24"/>
        </w:rPr>
        <w:t>recluidas en centros penitenciarios y</w:t>
      </w:r>
      <w:r w:rsidR="00BE2930">
        <w:rPr>
          <w:rFonts w:ascii="Arial" w:hAnsi="Arial" w:cs="Arial"/>
          <w:sz w:val="24"/>
          <w:szCs w:val="24"/>
        </w:rPr>
        <w:t>/o</w:t>
      </w:r>
      <w:r w:rsidRPr="0055576F">
        <w:rPr>
          <w:rFonts w:ascii="Arial" w:hAnsi="Arial" w:cs="Arial"/>
          <w:sz w:val="24"/>
          <w:szCs w:val="24"/>
        </w:rPr>
        <w:t xml:space="preserve"> carcelarios en</w:t>
      </w:r>
      <w:r w:rsidR="009667C9" w:rsidRPr="0055576F">
        <w:rPr>
          <w:rFonts w:ascii="Arial" w:hAnsi="Arial" w:cs="Arial"/>
          <w:sz w:val="24"/>
          <w:szCs w:val="24"/>
        </w:rPr>
        <w:t xml:space="preserve"> todo el territorio nacional.</w:t>
      </w:r>
    </w:p>
    <w:p w14:paraId="3FF66DB1" w14:textId="489D9E58" w:rsidR="0055576F" w:rsidRDefault="0055576F" w:rsidP="00266DD1">
      <w:pPr>
        <w:spacing w:after="0" w:line="240" w:lineRule="auto"/>
        <w:jc w:val="both"/>
        <w:rPr>
          <w:rFonts w:ascii="Arial" w:hAnsi="Arial" w:cs="Arial"/>
          <w:b/>
          <w:sz w:val="24"/>
          <w:szCs w:val="24"/>
        </w:rPr>
      </w:pPr>
    </w:p>
    <w:p w14:paraId="61D06E75" w14:textId="77777777" w:rsidR="001D3570" w:rsidRPr="0055576F" w:rsidRDefault="001D3570" w:rsidP="00266DD1">
      <w:pPr>
        <w:spacing w:after="0" w:line="240" w:lineRule="auto"/>
        <w:jc w:val="both"/>
        <w:rPr>
          <w:rFonts w:ascii="Arial" w:hAnsi="Arial" w:cs="Arial"/>
          <w:b/>
          <w:sz w:val="24"/>
          <w:szCs w:val="24"/>
        </w:rPr>
      </w:pPr>
    </w:p>
    <w:p w14:paraId="6BDB0247" w14:textId="77777777" w:rsidR="0055576F" w:rsidRPr="0055576F" w:rsidRDefault="0055576F" w:rsidP="0055576F">
      <w:pPr>
        <w:spacing w:after="0" w:line="240" w:lineRule="auto"/>
        <w:jc w:val="center"/>
        <w:rPr>
          <w:rFonts w:ascii="Arial" w:hAnsi="Arial" w:cs="Arial"/>
          <w:b/>
          <w:sz w:val="24"/>
          <w:szCs w:val="24"/>
        </w:rPr>
      </w:pPr>
      <w:r w:rsidRPr="0055576F">
        <w:rPr>
          <w:rFonts w:ascii="Arial" w:hAnsi="Arial" w:cs="Arial"/>
          <w:b/>
          <w:sz w:val="24"/>
          <w:szCs w:val="24"/>
        </w:rPr>
        <w:t>CAPITULO II</w:t>
      </w:r>
    </w:p>
    <w:p w14:paraId="4BF35BF9" w14:textId="77777777" w:rsidR="0055576F" w:rsidRPr="0055576F" w:rsidRDefault="0055576F" w:rsidP="0055576F">
      <w:pPr>
        <w:spacing w:after="0" w:line="240" w:lineRule="auto"/>
        <w:jc w:val="center"/>
        <w:rPr>
          <w:rFonts w:ascii="Arial" w:hAnsi="Arial" w:cs="Arial"/>
          <w:b/>
          <w:sz w:val="24"/>
          <w:szCs w:val="24"/>
        </w:rPr>
      </w:pPr>
      <w:r w:rsidRPr="0055576F">
        <w:rPr>
          <w:rFonts w:ascii="Arial" w:hAnsi="Arial" w:cs="Arial"/>
          <w:b/>
          <w:sz w:val="24"/>
          <w:szCs w:val="24"/>
        </w:rPr>
        <w:t>MEDIDAS CONTRA EL HACINAMIENTO CARCELARIO Y PENITENCIARIO</w:t>
      </w:r>
    </w:p>
    <w:p w14:paraId="521C34CD" w14:textId="77777777" w:rsidR="0055576F" w:rsidRDefault="0055576F" w:rsidP="00266DD1">
      <w:pPr>
        <w:spacing w:after="0" w:line="240" w:lineRule="auto"/>
        <w:jc w:val="both"/>
        <w:rPr>
          <w:rFonts w:ascii="Arial" w:hAnsi="Arial" w:cs="Arial"/>
          <w:sz w:val="24"/>
          <w:szCs w:val="24"/>
        </w:rPr>
      </w:pPr>
    </w:p>
    <w:p w14:paraId="1F22720B" w14:textId="77777777" w:rsidR="00BE2930" w:rsidRDefault="0055576F" w:rsidP="00266DD1">
      <w:pPr>
        <w:pStyle w:val="Default"/>
        <w:jc w:val="both"/>
      </w:pPr>
      <w:r>
        <w:rPr>
          <w:b/>
        </w:rPr>
        <w:t>ARTÍCULO 2</w:t>
      </w:r>
      <w:r w:rsidR="00266DD1" w:rsidRPr="00203B5E">
        <w:rPr>
          <w:b/>
        </w:rPr>
        <w:t xml:space="preserve">. </w:t>
      </w:r>
      <w:r w:rsidR="00BE2930" w:rsidRPr="00BE2930">
        <w:t>El Gobierno Nacional, dispondr</w:t>
      </w:r>
      <w:r w:rsidR="00BE2930">
        <w:t>á</w:t>
      </w:r>
      <w:r w:rsidR="00BE2930" w:rsidRPr="00BE2930">
        <w:t xml:space="preserve"> </w:t>
      </w:r>
      <w:r w:rsidR="00BE2930">
        <w:t>las políticas públicas</w:t>
      </w:r>
      <w:r w:rsidR="002010AD">
        <w:t xml:space="preserve"> de Estado</w:t>
      </w:r>
      <w:r w:rsidR="00BE2930">
        <w:t xml:space="preserve"> y apropiaciones presupuestales necesarias</w:t>
      </w:r>
      <w:r w:rsidR="00BE2930" w:rsidRPr="00BE2930">
        <w:t xml:space="preserve"> </w:t>
      </w:r>
      <w:r w:rsidR="002010AD">
        <w:t>dentro de los diez</w:t>
      </w:r>
      <w:r w:rsidR="00BE2930">
        <w:t xml:space="preserve"> (</w:t>
      </w:r>
      <w:r w:rsidR="002010AD">
        <w:t>10</w:t>
      </w:r>
      <w:r w:rsidR="00BE2930">
        <w:t xml:space="preserve">) años siguientes a la expedición de la presente ley, </w:t>
      </w:r>
      <w:r w:rsidR="00BE2930" w:rsidRPr="00BE2930">
        <w:t>con la finalidad de mitig</w:t>
      </w:r>
      <w:r w:rsidR="002010AD">
        <w:t>ar el hacinamiento</w:t>
      </w:r>
      <w:r w:rsidR="00BE2930">
        <w:t xml:space="preserve"> carcelario</w:t>
      </w:r>
      <w:r w:rsidR="002010AD">
        <w:t xml:space="preserve"> y/o penitenciario</w:t>
      </w:r>
      <w:r w:rsidR="00BE2930">
        <w:t xml:space="preserve"> en el que se encuentran personas privadas de la libertad.</w:t>
      </w:r>
    </w:p>
    <w:p w14:paraId="077DD41C" w14:textId="77777777" w:rsidR="00BE2930" w:rsidRDefault="00BE2930" w:rsidP="00266DD1">
      <w:pPr>
        <w:pStyle w:val="Default"/>
        <w:jc w:val="both"/>
      </w:pPr>
    </w:p>
    <w:p w14:paraId="013EEDEC" w14:textId="77777777" w:rsidR="0055576F" w:rsidRDefault="00BE2930" w:rsidP="00266DD1">
      <w:pPr>
        <w:pStyle w:val="Default"/>
        <w:jc w:val="both"/>
        <w:rPr>
          <w:b/>
        </w:rPr>
      </w:pPr>
      <w:r>
        <w:t xml:space="preserve">Dichas políticas públicas, deben responder a la garantía constitucional de </w:t>
      </w:r>
      <w:r w:rsidRPr="00BE2930">
        <w:t>la dignidad humana y demás derechos fundamentales reconocidos por el ordenamiento jurídico</w:t>
      </w:r>
      <w:r>
        <w:t xml:space="preserve"> a la población recluida en establecimientos penitenciarios y</w:t>
      </w:r>
      <w:r w:rsidR="002010AD">
        <w:t>/o</w:t>
      </w:r>
      <w:r>
        <w:t xml:space="preserve"> car</w:t>
      </w:r>
      <w:r w:rsidR="002010AD">
        <w:t>celarios</w:t>
      </w:r>
      <w:r w:rsidRPr="00BE2930">
        <w:t xml:space="preserve">, </w:t>
      </w:r>
      <w:r w:rsidR="002010AD">
        <w:t>sin más limitación de aquellos derechos que por la condición de procesado</w:t>
      </w:r>
      <w:r w:rsidR="00A80D18">
        <w:t>s</w:t>
      </w:r>
      <w:r w:rsidR="002010AD">
        <w:t xml:space="preserve"> o condenado</w:t>
      </w:r>
      <w:r w:rsidR="00A80D18">
        <w:t>s</w:t>
      </w:r>
      <w:r w:rsidR="002010AD">
        <w:t xml:space="preserve"> tuvieren.</w:t>
      </w:r>
      <w:r w:rsidR="002010AD">
        <w:rPr>
          <w:b/>
        </w:rPr>
        <w:t xml:space="preserve"> </w:t>
      </w:r>
    </w:p>
    <w:p w14:paraId="663A2F9A" w14:textId="77777777" w:rsidR="0055576F" w:rsidRDefault="0055576F" w:rsidP="00266DD1">
      <w:pPr>
        <w:pStyle w:val="Default"/>
        <w:jc w:val="both"/>
        <w:rPr>
          <w:b/>
        </w:rPr>
      </w:pPr>
    </w:p>
    <w:p w14:paraId="614121FA" w14:textId="77777777" w:rsidR="000108B0" w:rsidRDefault="002010AD" w:rsidP="002010AD">
      <w:pPr>
        <w:spacing w:after="0" w:line="240" w:lineRule="auto"/>
        <w:jc w:val="both"/>
        <w:rPr>
          <w:rFonts w:ascii="Arial" w:hAnsi="Arial" w:cs="Arial"/>
          <w:sz w:val="24"/>
          <w:szCs w:val="24"/>
        </w:rPr>
      </w:pPr>
      <w:r w:rsidRPr="00552346">
        <w:rPr>
          <w:rFonts w:ascii="Arial" w:hAnsi="Arial" w:cs="Arial"/>
          <w:sz w:val="24"/>
          <w:szCs w:val="24"/>
          <w:u w:val="single"/>
        </w:rPr>
        <w:t>Parágrafo 1º</w:t>
      </w:r>
      <w:r w:rsidRPr="00C47DC0">
        <w:rPr>
          <w:rFonts w:ascii="Arial" w:hAnsi="Arial" w:cs="Arial"/>
          <w:sz w:val="24"/>
          <w:szCs w:val="24"/>
        </w:rPr>
        <w:t xml:space="preserve">: </w:t>
      </w:r>
      <w:r>
        <w:rPr>
          <w:rFonts w:ascii="Arial" w:hAnsi="Arial" w:cs="Arial"/>
          <w:sz w:val="24"/>
          <w:szCs w:val="24"/>
        </w:rPr>
        <w:t xml:space="preserve">De conformidad con lo establecido en el inciso primero del presente artículo, el Gobierno Nacional </w:t>
      </w:r>
      <w:r w:rsidR="00EC72CB">
        <w:rPr>
          <w:rFonts w:ascii="Arial" w:hAnsi="Arial" w:cs="Arial"/>
          <w:sz w:val="24"/>
          <w:szCs w:val="24"/>
        </w:rPr>
        <w:t xml:space="preserve">liderará e </w:t>
      </w:r>
      <w:r w:rsidR="000108B0">
        <w:rPr>
          <w:rFonts w:ascii="Arial" w:hAnsi="Arial" w:cs="Arial"/>
          <w:sz w:val="24"/>
          <w:szCs w:val="24"/>
        </w:rPr>
        <w:t xml:space="preserve">implementará acciones a corto, mediano y </w:t>
      </w:r>
      <w:r w:rsidR="000108B0">
        <w:rPr>
          <w:rFonts w:ascii="Arial" w:hAnsi="Arial" w:cs="Arial"/>
          <w:sz w:val="24"/>
          <w:szCs w:val="24"/>
        </w:rPr>
        <w:lastRenderedPageBreak/>
        <w:t>largo plazo.</w:t>
      </w:r>
      <w:r>
        <w:rPr>
          <w:rFonts w:ascii="Arial" w:hAnsi="Arial" w:cs="Arial"/>
          <w:sz w:val="24"/>
          <w:szCs w:val="24"/>
        </w:rPr>
        <w:t xml:space="preserve"> </w:t>
      </w:r>
      <w:r w:rsidRPr="00C47DC0">
        <w:rPr>
          <w:rFonts w:ascii="Arial" w:hAnsi="Arial" w:cs="Arial"/>
          <w:sz w:val="24"/>
          <w:szCs w:val="24"/>
        </w:rPr>
        <w:t>En el corto pla</w:t>
      </w:r>
      <w:r w:rsidR="00931038">
        <w:rPr>
          <w:rFonts w:ascii="Arial" w:hAnsi="Arial" w:cs="Arial"/>
          <w:sz w:val="24"/>
          <w:szCs w:val="24"/>
        </w:rPr>
        <w:t>zo, comprendido entre el primer y tercer</w:t>
      </w:r>
      <w:r w:rsidRPr="00C47DC0">
        <w:rPr>
          <w:rFonts w:ascii="Arial" w:hAnsi="Arial" w:cs="Arial"/>
          <w:sz w:val="24"/>
          <w:szCs w:val="24"/>
        </w:rPr>
        <w:t xml:space="preserve"> año contados a partir de la promulgación de la presente ley, se realizarán gestiones </w:t>
      </w:r>
      <w:r w:rsidR="000108B0">
        <w:rPr>
          <w:rFonts w:ascii="Arial" w:hAnsi="Arial" w:cs="Arial"/>
          <w:sz w:val="24"/>
          <w:szCs w:val="24"/>
        </w:rPr>
        <w:t>monitoreo, diagnóstico y</w:t>
      </w:r>
      <w:r w:rsidRPr="00C47DC0">
        <w:rPr>
          <w:rFonts w:ascii="Arial" w:hAnsi="Arial" w:cs="Arial"/>
          <w:sz w:val="24"/>
          <w:szCs w:val="24"/>
        </w:rPr>
        <w:t xml:space="preserve"> divulgación de la información </w:t>
      </w:r>
      <w:r w:rsidR="000108B0">
        <w:rPr>
          <w:rFonts w:ascii="Arial" w:hAnsi="Arial" w:cs="Arial"/>
          <w:sz w:val="24"/>
          <w:szCs w:val="24"/>
        </w:rPr>
        <w:t>sobre las causas, retos y soluci</w:t>
      </w:r>
      <w:r w:rsidR="00931038">
        <w:rPr>
          <w:rFonts w:ascii="Arial" w:hAnsi="Arial" w:cs="Arial"/>
          <w:sz w:val="24"/>
          <w:szCs w:val="24"/>
        </w:rPr>
        <w:t>ones</w:t>
      </w:r>
      <w:r w:rsidR="000108B0">
        <w:rPr>
          <w:rFonts w:ascii="Arial" w:hAnsi="Arial" w:cs="Arial"/>
          <w:sz w:val="24"/>
          <w:szCs w:val="24"/>
        </w:rPr>
        <w:t xml:space="preserve"> a la problemática del hacinamiento carcelario. </w:t>
      </w:r>
      <w:r w:rsidRPr="00C47DC0">
        <w:rPr>
          <w:rFonts w:ascii="Arial" w:hAnsi="Arial" w:cs="Arial"/>
          <w:sz w:val="24"/>
          <w:szCs w:val="24"/>
        </w:rPr>
        <w:t>En el mediano plazo, com</w:t>
      </w:r>
      <w:r w:rsidR="00931038">
        <w:rPr>
          <w:rFonts w:ascii="Arial" w:hAnsi="Arial" w:cs="Arial"/>
          <w:sz w:val="24"/>
          <w:szCs w:val="24"/>
        </w:rPr>
        <w:t>prendido entre el cuarto y noveno</w:t>
      </w:r>
      <w:r w:rsidRPr="00C47DC0">
        <w:rPr>
          <w:rFonts w:ascii="Arial" w:hAnsi="Arial" w:cs="Arial"/>
          <w:sz w:val="24"/>
          <w:szCs w:val="24"/>
        </w:rPr>
        <w:t xml:space="preserve"> año, se efectuarán labores de </w:t>
      </w:r>
      <w:r w:rsidR="000108B0">
        <w:rPr>
          <w:rFonts w:ascii="Arial" w:hAnsi="Arial" w:cs="Arial"/>
          <w:sz w:val="24"/>
          <w:szCs w:val="24"/>
        </w:rPr>
        <w:t>ejecuci</w:t>
      </w:r>
      <w:r w:rsidR="00A80D18">
        <w:rPr>
          <w:rFonts w:ascii="Arial" w:hAnsi="Arial" w:cs="Arial"/>
          <w:sz w:val="24"/>
          <w:szCs w:val="24"/>
        </w:rPr>
        <w:t>ón de</w:t>
      </w:r>
      <w:r w:rsidR="000108B0">
        <w:rPr>
          <w:rFonts w:ascii="Arial" w:hAnsi="Arial" w:cs="Arial"/>
          <w:sz w:val="24"/>
          <w:szCs w:val="24"/>
        </w:rPr>
        <w:t xml:space="preserve"> la mitigación y solución de las problemáticas que originan el hacinamiento carcelario y/o penitenciario. </w:t>
      </w:r>
      <w:r w:rsidRPr="00C47DC0">
        <w:rPr>
          <w:rFonts w:ascii="Arial" w:hAnsi="Arial" w:cs="Arial"/>
          <w:sz w:val="24"/>
          <w:szCs w:val="24"/>
        </w:rPr>
        <w:t xml:space="preserve">En el largo plazo, </w:t>
      </w:r>
      <w:r w:rsidR="00931038">
        <w:rPr>
          <w:rFonts w:ascii="Arial" w:hAnsi="Arial" w:cs="Arial"/>
          <w:sz w:val="24"/>
          <w:szCs w:val="24"/>
        </w:rPr>
        <w:t>contado a partir del décimo año</w:t>
      </w:r>
      <w:r w:rsidRPr="00C47DC0">
        <w:rPr>
          <w:rFonts w:ascii="Arial" w:hAnsi="Arial" w:cs="Arial"/>
          <w:sz w:val="24"/>
          <w:szCs w:val="24"/>
        </w:rPr>
        <w:t xml:space="preserve"> y </w:t>
      </w:r>
      <w:r w:rsidR="00931038">
        <w:rPr>
          <w:rFonts w:ascii="Arial" w:hAnsi="Arial" w:cs="Arial"/>
          <w:sz w:val="24"/>
          <w:szCs w:val="24"/>
        </w:rPr>
        <w:t>en adelante</w:t>
      </w:r>
      <w:r w:rsidR="000108B0">
        <w:rPr>
          <w:rFonts w:ascii="Arial" w:hAnsi="Arial" w:cs="Arial"/>
          <w:sz w:val="24"/>
          <w:szCs w:val="24"/>
        </w:rPr>
        <w:t>, se consolidarán las políticas públicas contra el hacinamiento carcelario y/o penitenciario.</w:t>
      </w:r>
      <w:r w:rsidR="00931038">
        <w:rPr>
          <w:rFonts w:ascii="Arial" w:hAnsi="Arial" w:cs="Arial"/>
          <w:sz w:val="24"/>
          <w:szCs w:val="24"/>
        </w:rPr>
        <w:t xml:space="preserve"> En esta última,</w:t>
      </w:r>
      <w:r w:rsidR="000108B0">
        <w:rPr>
          <w:rFonts w:ascii="Arial" w:hAnsi="Arial" w:cs="Arial"/>
          <w:sz w:val="24"/>
          <w:szCs w:val="24"/>
        </w:rPr>
        <w:t xml:space="preserve"> las problemáticas de hacinamiento carcelario</w:t>
      </w:r>
      <w:r w:rsidR="00A80D18">
        <w:rPr>
          <w:rFonts w:ascii="Arial" w:hAnsi="Arial" w:cs="Arial"/>
          <w:sz w:val="24"/>
          <w:szCs w:val="24"/>
        </w:rPr>
        <w:t xml:space="preserve"> y</w:t>
      </w:r>
      <w:r w:rsidR="00BD24A5">
        <w:rPr>
          <w:rFonts w:ascii="Arial" w:hAnsi="Arial" w:cs="Arial"/>
          <w:sz w:val="24"/>
          <w:szCs w:val="24"/>
        </w:rPr>
        <w:t>/o penitenciario</w:t>
      </w:r>
      <w:r w:rsidR="000108B0">
        <w:rPr>
          <w:rFonts w:ascii="Arial" w:hAnsi="Arial" w:cs="Arial"/>
          <w:sz w:val="24"/>
          <w:szCs w:val="24"/>
        </w:rPr>
        <w:t xml:space="preserve"> deben estar </w:t>
      </w:r>
      <w:r w:rsidR="00BD24A5">
        <w:rPr>
          <w:rFonts w:ascii="Arial" w:hAnsi="Arial" w:cs="Arial"/>
          <w:sz w:val="24"/>
          <w:szCs w:val="24"/>
        </w:rPr>
        <w:t xml:space="preserve">plenamente </w:t>
      </w:r>
      <w:r w:rsidR="009F3D18">
        <w:rPr>
          <w:rFonts w:ascii="Arial" w:hAnsi="Arial" w:cs="Arial"/>
          <w:sz w:val="24"/>
          <w:szCs w:val="24"/>
        </w:rPr>
        <w:t>superadas</w:t>
      </w:r>
      <w:r w:rsidR="000108B0">
        <w:rPr>
          <w:rFonts w:ascii="Arial" w:hAnsi="Arial" w:cs="Arial"/>
          <w:sz w:val="24"/>
          <w:szCs w:val="24"/>
        </w:rPr>
        <w:t>.</w:t>
      </w:r>
    </w:p>
    <w:p w14:paraId="1AC162DE" w14:textId="77777777" w:rsidR="00EC72CB" w:rsidRDefault="00EC72CB" w:rsidP="002010AD">
      <w:pPr>
        <w:spacing w:after="0" w:line="240" w:lineRule="auto"/>
        <w:jc w:val="both"/>
        <w:rPr>
          <w:rFonts w:ascii="Arial" w:hAnsi="Arial" w:cs="Arial"/>
          <w:sz w:val="24"/>
          <w:szCs w:val="24"/>
        </w:rPr>
      </w:pPr>
    </w:p>
    <w:p w14:paraId="07FA9979" w14:textId="77777777" w:rsidR="00131137" w:rsidRDefault="00EC72CB" w:rsidP="002010AD">
      <w:pPr>
        <w:spacing w:after="0" w:line="240" w:lineRule="auto"/>
        <w:jc w:val="both"/>
        <w:rPr>
          <w:rFonts w:ascii="Arial" w:hAnsi="Arial" w:cs="Arial"/>
          <w:sz w:val="24"/>
          <w:szCs w:val="24"/>
        </w:rPr>
      </w:pPr>
      <w:r>
        <w:rPr>
          <w:rFonts w:ascii="Arial" w:hAnsi="Arial" w:cs="Arial"/>
          <w:sz w:val="24"/>
          <w:szCs w:val="24"/>
        </w:rPr>
        <w:t>Durante la implementación de dichas acciones</w:t>
      </w:r>
      <w:r w:rsidRPr="001113FB">
        <w:rPr>
          <w:rFonts w:ascii="Arial" w:hAnsi="Arial" w:cs="Arial"/>
          <w:sz w:val="24"/>
          <w:szCs w:val="24"/>
        </w:rPr>
        <w:t xml:space="preserve">, se conformará un Comité Técnico integrado por </w:t>
      </w:r>
      <w:r w:rsidR="00131137" w:rsidRPr="001113FB">
        <w:rPr>
          <w:rFonts w:ascii="Arial" w:hAnsi="Arial" w:cs="Arial"/>
          <w:sz w:val="24"/>
          <w:szCs w:val="24"/>
        </w:rPr>
        <w:t>el Ministro de Justicia y del Derecho y/o su delegado</w:t>
      </w:r>
      <w:r w:rsidR="0068748E">
        <w:rPr>
          <w:rFonts w:ascii="Arial" w:hAnsi="Arial" w:cs="Arial"/>
          <w:sz w:val="24"/>
          <w:szCs w:val="24"/>
        </w:rPr>
        <w:t xml:space="preserve"> quien lo presidirá</w:t>
      </w:r>
      <w:r w:rsidR="00131137" w:rsidRPr="001113FB">
        <w:rPr>
          <w:rFonts w:ascii="Arial" w:hAnsi="Arial" w:cs="Arial"/>
          <w:sz w:val="24"/>
          <w:szCs w:val="24"/>
        </w:rPr>
        <w:t xml:space="preserve">, </w:t>
      </w:r>
      <w:r w:rsidR="007A539A" w:rsidRPr="001113FB">
        <w:rPr>
          <w:rFonts w:ascii="Arial" w:hAnsi="Arial" w:cs="Arial"/>
          <w:sz w:val="24"/>
          <w:szCs w:val="24"/>
        </w:rPr>
        <w:t xml:space="preserve">el Ministro del Trabajo y/o su delegado, el Ministro de Educación y/o su delegado, el Director Nacional de Planeación y/o su delegado, el Director Nacional de Inteligencia y/o su delegado, </w:t>
      </w:r>
      <w:r w:rsidR="00131137" w:rsidRPr="001113FB">
        <w:rPr>
          <w:rFonts w:ascii="Arial" w:hAnsi="Arial" w:cs="Arial"/>
          <w:sz w:val="24"/>
          <w:szCs w:val="24"/>
        </w:rPr>
        <w:t xml:space="preserve">el Director General del Instituto Nacional Penitenciario y Carcelario –INPEC- y/o su delegado, el Director de la Unidad </w:t>
      </w:r>
      <w:r w:rsidR="00E577DC">
        <w:rPr>
          <w:rFonts w:ascii="Arial" w:hAnsi="Arial" w:cs="Arial"/>
          <w:sz w:val="24"/>
          <w:szCs w:val="24"/>
        </w:rPr>
        <w:t xml:space="preserve">Administrativa </w:t>
      </w:r>
      <w:r w:rsidR="00131137" w:rsidRPr="001113FB">
        <w:rPr>
          <w:rFonts w:ascii="Arial" w:hAnsi="Arial" w:cs="Arial"/>
          <w:sz w:val="24"/>
          <w:szCs w:val="24"/>
        </w:rPr>
        <w:t>de Servicios Penitenciarios y Carcelarios –USPEC- y/o su delegado</w:t>
      </w:r>
      <w:r w:rsidR="007A539A" w:rsidRPr="001113FB">
        <w:rPr>
          <w:rFonts w:ascii="Arial" w:hAnsi="Arial" w:cs="Arial"/>
          <w:sz w:val="24"/>
          <w:szCs w:val="24"/>
        </w:rPr>
        <w:t xml:space="preserve">, el Presidente de la Corte Suprema de Justicia y/o su delegado, el Presidente de la Sala Penal de la Corte Suprema de Justicia y/o su delegado, el Presidente del Consejo Superior de la Judicatura y/o su delegado, el Director Nacional de la Policía Nacional y/o su delegado, el Procurador General de la Nación y/o su delegado, </w:t>
      </w:r>
      <w:r w:rsidR="001113FB">
        <w:rPr>
          <w:rFonts w:ascii="Arial" w:hAnsi="Arial" w:cs="Arial"/>
          <w:sz w:val="24"/>
          <w:szCs w:val="24"/>
        </w:rPr>
        <w:t xml:space="preserve">y </w:t>
      </w:r>
      <w:r w:rsidR="007A539A" w:rsidRPr="001113FB">
        <w:rPr>
          <w:rFonts w:ascii="Arial" w:hAnsi="Arial" w:cs="Arial"/>
          <w:sz w:val="24"/>
          <w:szCs w:val="24"/>
        </w:rPr>
        <w:t xml:space="preserve">el Defensor del Pueblo y/o su </w:t>
      </w:r>
      <w:r w:rsidR="001113FB" w:rsidRPr="001113FB">
        <w:rPr>
          <w:rFonts w:ascii="Arial" w:hAnsi="Arial" w:cs="Arial"/>
          <w:sz w:val="24"/>
          <w:szCs w:val="24"/>
        </w:rPr>
        <w:t>delegado</w:t>
      </w:r>
      <w:r w:rsidR="001113FB">
        <w:rPr>
          <w:rFonts w:ascii="Arial" w:hAnsi="Arial" w:cs="Arial"/>
          <w:sz w:val="24"/>
          <w:szCs w:val="24"/>
        </w:rPr>
        <w:t>, con la finalidad de emitir conceptos vinculantes con miras a ejecutar las distintas disposiciones en el corto, mediano y largo plazo.</w:t>
      </w:r>
      <w:r w:rsidR="0068748E">
        <w:rPr>
          <w:rFonts w:ascii="Arial" w:hAnsi="Arial" w:cs="Arial"/>
          <w:sz w:val="24"/>
          <w:szCs w:val="24"/>
        </w:rPr>
        <w:t xml:space="preserve"> Dicho Comité Técnico adoptará su propio reglamento y sesionará por lo menos dos (2) veces al año.</w:t>
      </w:r>
    </w:p>
    <w:p w14:paraId="33DE5AA0" w14:textId="77777777" w:rsidR="000108B0" w:rsidRDefault="000108B0" w:rsidP="002010AD">
      <w:pPr>
        <w:spacing w:after="0" w:line="240" w:lineRule="auto"/>
        <w:jc w:val="both"/>
        <w:rPr>
          <w:rFonts w:ascii="Arial" w:hAnsi="Arial" w:cs="Arial"/>
          <w:sz w:val="24"/>
          <w:szCs w:val="24"/>
        </w:rPr>
      </w:pPr>
    </w:p>
    <w:p w14:paraId="74477148" w14:textId="77777777" w:rsidR="000108B0" w:rsidRDefault="009F3D18" w:rsidP="002010AD">
      <w:pPr>
        <w:spacing w:after="0" w:line="240" w:lineRule="auto"/>
        <w:jc w:val="both"/>
        <w:rPr>
          <w:rFonts w:ascii="Arial" w:hAnsi="Arial" w:cs="Arial"/>
          <w:sz w:val="24"/>
          <w:szCs w:val="24"/>
        </w:rPr>
      </w:pPr>
      <w:r w:rsidRPr="009F3D18">
        <w:rPr>
          <w:rFonts w:ascii="Arial" w:hAnsi="Arial" w:cs="Arial"/>
          <w:sz w:val="24"/>
          <w:szCs w:val="24"/>
          <w:u w:val="single"/>
        </w:rPr>
        <w:t>Parágrafo</w:t>
      </w:r>
      <w:r w:rsidR="00931038">
        <w:rPr>
          <w:rFonts w:ascii="Arial" w:hAnsi="Arial" w:cs="Arial"/>
          <w:sz w:val="24"/>
          <w:szCs w:val="24"/>
          <w:u w:val="single"/>
        </w:rPr>
        <w:t xml:space="preserve"> 2</w:t>
      </w:r>
      <w:r w:rsidR="000108B0" w:rsidRPr="009F3D18">
        <w:rPr>
          <w:rFonts w:ascii="Arial" w:hAnsi="Arial" w:cs="Arial"/>
          <w:sz w:val="24"/>
          <w:szCs w:val="24"/>
          <w:u w:val="single"/>
        </w:rPr>
        <w:t>º</w:t>
      </w:r>
      <w:r w:rsidR="000108B0">
        <w:rPr>
          <w:rFonts w:ascii="Arial" w:hAnsi="Arial" w:cs="Arial"/>
          <w:sz w:val="24"/>
          <w:szCs w:val="24"/>
        </w:rPr>
        <w:t>. Las apropiaciones presupuestales a las</w:t>
      </w:r>
      <w:r>
        <w:rPr>
          <w:rFonts w:ascii="Arial" w:hAnsi="Arial" w:cs="Arial"/>
          <w:sz w:val="24"/>
          <w:szCs w:val="24"/>
        </w:rPr>
        <w:t xml:space="preserve"> que se refiere el inciso primero del presente artículo deberán hacerse año a año, con observancia a superar las vicisitudes al cabo de los diez (10) años previamente señalados.</w:t>
      </w:r>
      <w:r w:rsidR="00A80D18">
        <w:rPr>
          <w:rFonts w:ascii="Arial" w:hAnsi="Arial" w:cs="Arial"/>
          <w:sz w:val="24"/>
          <w:szCs w:val="24"/>
        </w:rPr>
        <w:t xml:space="preserve"> En la formulación del mismo, participarán </w:t>
      </w:r>
      <w:r w:rsidR="00931038">
        <w:rPr>
          <w:rFonts w:ascii="Arial" w:hAnsi="Arial" w:cs="Arial"/>
          <w:sz w:val="24"/>
          <w:szCs w:val="24"/>
        </w:rPr>
        <w:t>el Ministerio de Hacienda y Crédito Público, el Ministerio de Justicia y del Derecho y el Departamento Nacional de Planeación, con el objeto de planear de manera adecuada las inversiones a que haya lugar.</w:t>
      </w:r>
    </w:p>
    <w:p w14:paraId="73D1CA18" w14:textId="77777777" w:rsidR="00AC06B1" w:rsidRDefault="00AC06B1" w:rsidP="002010AD">
      <w:pPr>
        <w:spacing w:after="0" w:line="240" w:lineRule="auto"/>
        <w:jc w:val="both"/>
        <w:rPr>
          <w:rFonts w:ascii="Arial" w:hAnsi="Arial" w:cs="Arial"/>
          <w:sz w:val="24"/>
          <w:szCs w:val="24"/>
        </w:rPr>
      </w:pPr>
    </w:p>
    <w:p w14:paraId="5242ED22" w14:textId="77777777" w:rsidR="00AC06B1" w:rsidRPr="00DB0C89" w:rsidRDefault="00AC06B1" w:rsidP="00AC06B1">
      <w:pPr>
        <w:spacing w:after="0" w:line="240" w:lineRule="auto"/>
        <w:jc w:val="both"/>
        <w:rPr>
          <w:rFonts w:ascii="Arial" w:hAnsi="Arial" w:cs="Arial"/>
          <w:sz w:val="24"/>
          <w:szCs w:val="24"/>
        </w:rPr>
      </w:pPr>
      <w:r w:rsidRPr="00DB0C89">
        <w:rPr>
          <w:rFonts w:ascii="Arial" w:hAnsi="Arial" w:cs="Arial"/>
          <w:sz w:val="24"/>
          <w:szCs w:val="24"/>
          <w:u w:val="single"/>
        </w:rPr>
        <w:t>Parágrafo</w:t>
      </w:r>
      <w:r w:rsidR="00E937F8" w:rsidRPr="00DB0C89">
        <w:rPr>
          <w:rFonts w:ascii="Arial" w:hAnsi="Arial" w:cs="Arial"/>
          <w:sz w:val="24"/>
          <w:szCs w:val="24"/>
          <w:u w:val="single"/>
        </w:rPr>
        <w:t xml:space="preserve"> 3</w:t>
      </w:r>
      <w:r w:rsidRPr="00DB0C89">
        <w:rPr>
          <w:rFonts w:ascii="Arial" w:hAnsi="Arial" w:cs="Arial"/>
          <w:sz w:val="24"/>
          <w:szCs w:val="24"/>
          <w:u w:val="single"/>
        </w:rPr>
        <w:t>º</w:t>
      </w:r>
      <w:r w:rsidRPr="00DB0C89">
        <w:rPr>
          <w:rFonts w:ascii="Arial" w:hAnsi="Arial" w:cs="Arial"/>
          <w:sz w:val="24"/>
          <w:szCs w:val="24"/>
        </w:rPr>
        <w:t>. Del análisis y comportamiento del asunto se rendirá informe anual a los entes de control por parte del Ministro de Justicia y del Derecho y/o su delegado, so pretexto de incurrir en causal de mala conducta. Dicho informe deberá ser presentado antes del 31 de marzo de cada año, reportando el respectivo análisis de la vigencia fiscal anterior.</w:t>
      </w:r>
    </w:p>
    <w:p w14:paraId="6C901946" w14:textId="77777777" w:rsidR="00AC06B1" w:rsidRPr="00DB0C89" w:rsidRDefault="00AC06B1" w:rsidP="002010AD">
      <w:pPr>
        <w:spacing w:after="0" w:line="240" w:lineRule="auto"/>
        <w:jc w:val="both"/>
        <w:rPr>
          <w:rFonts w:ascii="Arial" w:hAnsi="Arial" w:cs="Arial"/>
          <w:sz w:val="24"/>
          <w:szCs w:val="24"/>
        </w:rPr>
      </w:pPr>
    </w:p>
    <w:p w14:paraId="6F269028" w14:textId="77777777" w:rsidR="00AC06B1" w:rsidRPr="00DB0C89" w:rsidRDefault="00AC06B1" w:rsidP="002010AD">
      <w:pPr>
        <w:spacing w:after="0" w:line="240" w:lineRule="auto"/>
        <w:jc w:val="both"/>
        <w:rPr>
          <w:rFonts w:ascii="Arial" w:hAnsi="Arial" w:cs="Arial"/>
          <w:sz w:val="24"/>
          <w:szCs w:val="24"/>
        </w:rPr>
      </w:pPr>
      <w:r w:rsidRPr="00DB0C89">
        <w:rPr>
          <w:rFonts w:ascii="Arial" w:hAnsi="Arial" w:cs="Arial"/>
          <w:b/>
          <w:sz w:val="24"/>
          <w:szCs w:val="24"/>
        </w:rPr>
        <w:lastRenderedPageBreak/>
        <w:t>ARTÍCULO 3.</w:t>
      </w:r>
      <w:r w:rsidR="00E937F8" w:rsidRPr="00DB0C89">
        <w:rPr>
          <w:rFonts w:ascii="Arial" w:hAnsi="Arial" w:cs="Arial"/>
          <w:b/>
          <w:sz w:val="24"/>
          <w:szCs w:val="24"/>
        </w:rPr>
        <w:t xml:space="preserve"> COLONIAS</w:t>
      </w:r>
      <w:r w:rsidR="00054841" w:rsidRPr="00DB0C89">
        <w:rPr>
          <w:rFonts w:ascii="Arial" w:eastAsia="Times New Roman" w:hAnsi="Arial" w:cs="Arial"/>
          <w:b/>
          <w:bCs/>
          <w:sz w:val="24"/>
          <w:szCs w:val="24"/>
          <w:lang w:eastAsia="es-CO"/>
        </w:rPr>
        <w:t xml:space="preserve"> </w:t>
      </w:r>
      <w:r w:rsidR="00054841" w:rsidRPr="00054841">
        <w:rPr>
          <w:rFonts w:ascii="Arial" w:eastAsia="Times New Roman" w:hAnsi="Arial" w:cs="Arial"/>
          <w:b/>
          <w:bCs/>
          <w:sz w:val="24"/>
          <w:szCs w:val="24"/>
          <w:lang w:eastAsia="es-CO"/>
        </w:rPr>
        <w:t>AGRÍCOLAS.</w:t>
      </w:r>
      <w:r w:rsidR="00054841" w:rsidRPr="00DB0C89">
        <w:rPr>
          <w:rFonts w:ascii="Arial" w:eastAsia="Times New Roman" w:hAnsi="Arial" w:cs="Arial"/>
          <w:b/>
          <w:bCs/>
          <w:sz w:val="24"/>
          <w:szCs w:val="24"/>
          <w:lang w:eastAsia="es-CO"/>
        </w:rPr>
        <w:t xml:space="preserve"> Modifíquese el artículo 28 de la Ley 65 de 1993, el cual quedará así:</w:t>
      </w:r>
    </w:p>
    <w:p w14:paraId="357546F1" w14:textId="77777777" w:rsidR="00AC06B1" w:rsidRPr="00DB0C89" w:rsidRDefault="00AC06B1" w:rsidP="002010AD">
      <w:pPr>
        <w:spacing w:after="0" w:line="240" w:lineRule="auto"/>
        <w:jc w:val="both"/>
        <w:rPr>
          <w:rFonts w:ascii="Arial" w:hAnsi="Arial" w:cs="Arial"/>
          <w:sz w:val="24"/>
          <w:szCs w:val="24"/>
        </w:rPr>
      </w:pPr>
      <w:r w:rsidRPr="00DB0C89">
        <w:rPr>
          <w:rFonts w:ascii="Arial" w:hAnsi="Arial" w:cs="Arial"/>
          <w:sz w:val="24"/>
          <w:szCs w:val="24"/>
        </w:rPr>
        <w:t xml:space="preserve"> </w:t>
      </w:r>
    </w:p>
    <w:p w14:paraId="6F2F617E" w14:textId="165A4F0F" w:rsidR="00054841" w:rsidRDefault="00054841" w:rsidP="00054841">
      <w:pPr>
        <w:spacing w:after="0" w:line="240" w:lineRule="auto"/>
        <w:jc w:val="both"/>
        <w:rPr>
          <w:rFonts w:ascii="Arial" w:eastAsia="Times New Roman" w:hAnsi="Arial" w:cs="Arial"/>
          <w:sz w:val="24"/>
          <w:szCs w:val="24"/>
          <w:lang w:eastAsia="es-CO"/>
        </w:rPr>
      </w:pPr>
      <w:bookmarkStart w:id="0" w:name="28"/>
      <w:r w:rsidRPr="00054841">
        <w:rPr>
          <w:rFonts w:ascii="Arial" w:eastAsia="Times New Roman" w:hAnsi="Arial" w:cs="Arial"/>
          <w:b/>
          <w:bCs/>
          <w:sz w:val="24"/>
          <w:szCs w:val="24"/>
          <w:lang w:eastAsia="es-CO"/>
        </w:rPr>
        <w:t>ARTÍCULO 28. COLONIAS AGRÍCOLAS.</w:t>
      </w:r>
      <w:bookmarkEnd w:id="0"/>
      <w:r w:rsidRPr="00DB0C89">
        <w:rPr>
          <w:rFonts w:ascii="Arial" w:eastAsia="Times New Roman" w:hAnsi="Arial" w:cs="Arial"/>
          <w:sz w:val="24"/>
          <w:szCs w:val="24"/>
          <w:lang w:eastAsia="es-CO"/>
        </w:rPr>
        <w:t xml:space="preserve"> Son establecimientos para cumplir la detención preventiva y/o </w:t>
      </w:r>
      <w:r w:rsidRPr="00054841">
        <w:rPr>
          <w:rFonts w:ascii="Arial" w:eastAsia="Times New Roman" w:hAnsi="Arial" w:cs="Arial"/>
          <w:sz w:val="24"/>
          <w:szCs w:val="24"/>
          <w:lang w:eastAsia="es-CO"/>
        </w:rPr>
        <w:t xml:space="preserve">purgar la pena, preferencialmente para </w:t>
      </w:r>
      <w:r w:rsidRPr="00DB0C89">
        <w:rPr>
          <w:rFonts w:ascii="Arial" w:eastAsia="Times New Roman" w:hAnsi="Arial" w:cs="Arial"/>
          <w:sz w:val="24"/>
          <w:szCs w:val="24"/>
          <w:lang w:eastAsia="es-CO"/>
        </w:rPr>
        <w:t xml:space="preserve">procesados y/o </w:t>
      </w:r>
      <w:r w:rsidRPr="00054841">
        <w:rPr>
          <w:rFonts w:ascii="Arial" w:eastAsia="Times New Roman" w:hAnsi="Arial" w:cs="Arial"/>
          <w:sz w:val="24"/>
          <w:szCs w:val="24"/>
          <w:lang w:eastAsia="es-CO"/>
        </w:rPr>
        <w:t xml:space="preserve">condenados de extracción campesina o para propiciar la enseñanza </w:t>
      </w:r>
      <w:r w:rsidR="00DB0C89" w:rsidRPr="00DB0C89">
        <w:rPr>
          <w:rFonts w:ascii="Arial" w:eastAsia="Times New Roman" w:hAnsi="Arial" w:cs="Arial"/>
          <w:sz w:val="24"/>
          <w:szCs w:val="24"/>
          <w:lang w:eastAsia="es-CO"/>
        </w:rPr>
        <w:t xml:space="preserve">y/o labor </w:t>
      </w:r>
      <w:r w:rsidRPr="00054841">
        <w:rPr>
          <w:rFonts w:ascii="Arial" w:eastAsia="Times New Roman" w:hAnsi="Arial" w:cs="Arial"/>
          <w:sz w:val="24"/>
          <w:szCs w:val="24"/>
          <w:lang w:eastAsia="es-CO"/>
        </w:rPr>
        <w:t>agropecuaria.</w:t>
      </w:r>
    </w:p>
    <w:p w14:paraId="2197C03A" w14:textId="77777777" w:rsidR="001D3570" w:rsidRPr="00DB0C89" w:rsidRDefault="001D3570" w:rsidP="00054841">
      <w:pPr>
        <w:spacing w:after="0" w:line="240" w:lineRule="auto"/>
        <w:jc w:val="both"/>
        <w:rPr>
          <w:rFonts w:ascii="Arial" w:eastAsia="Times New Roman" w:hAnsi="Arial" w:cs="Arial"/>
          <w:sz w:val="24"/>
          <w:szCs w:val="24"/>
          <w:lang w:eastAsia="es-CO"/>
        </w:rPr>
      </w:pPr>
    </w:p>
    <w:p w14:paraId="53347A39" w14:textId="77777777" w:rsidR="00054841" w:rsidRPr="00054841" w:rsidRDefault="00054841" w:rsidP="00054841">
      <w:pPr>
        <w:spacing w:after="0" w:line="240" w:lineRule="auto"/>
        <w:jc w:val="both"/>
        <w:rPr>
          <w:rFonts w:ascii="Arial" w:eastAsia="Times New Roman" w:hAnsi="Arial" w:cs="Arial"/>
          <w:sz w:val="24"/>
          <w:szCs w:val="24"/>
          <w:lang w:eastAsia="es-CO"/>
        </w:rPr>
      </w:pPr>
      <w:r w:rsidRPr="00054841">
        <w:rPr>
          <w:rFonts w:ascii="Arial" w:eastAsia="Times New Roman" w:hAnsi="Arial" w:cs="Arial"/>
          <w:sz w:val="24"/>
          <w:szCs w:val="24"/>
          <w:lang w:eastAsia="es-CO"/>
        </w:rPr>
        <w:t>Cuando la extensión de las tierras lo permitan podrán crearse en ellas constelaciones agrícolas, conformadas por varias unidades o campamentos, con organización especial.</w:t>
      </w:r>
    </w:p>
    <w:p w14:paraId="1F41CBC1" w14:textId="77777777" w:rsidR="00054841" w:rsidRPr="00DB0C89" w:rsidRDefault="00054841" w:rsidP="00054841">
      <w:pPr>
        <w:spacing w:after="0" w:line="240" w:lineRule="auto"/>
        <w:jc w:val="both"/>
        <w:rPr>
          <w:rFonts w:ascii="Arial" w:eastAsia="Times New Roman" w:hAnsi="Arial" w:cs="Arial"/>
          <w:b/>
          <w:bCs/>
          <w:sz w:val="24"/>
          <w:szCs w:val="24"/>
          <w:u w:val="single"/>
          <w:lang w:eastAsia="es-CO"/>
        </w:rPr>
      </w:pPr>
    </w:p>
    <w:p w14:paraId="3A3265EF" w14:textId="77777777" w:rsidR="00054841" w:rsidRPr="00DB0C89" w:rsidRDefault="00054841" w:rsidP="00054841">
      <w:pPr>
        <w:spacing w:after="0" w:line="240" w:lineRule="auto"/>
        <w:jc w:val="both"/>
        <w:rPr>
          <w:rFonts w:ascii="Arial" w:eastAsia="Times New Roman" w:hAnsi="Arial" w:cs="Arial"/>
          <w:sz w:val="24"/>
          <w:szCs w:val="24"/>
          <w:lang w:eastAsia="es-CO"/>
        </w:rPr>
      </w:pPr>
      <w:r w:rsidRPr="00DB0C89">
        <w:rPr>
          <w:rFonts w:ascii="Arial" w:eastAsia="Times New Roman" w:hAnsi="Arial" w:cs="Arial"/>
          <w:bCs/>
          <w:sz w:val="24"/>
          <w:szCs w:val="24"/>
          <w:u w:val="single"/>
          <w:lang w:eastAsia="es-CO"/>
        </w:rPr>
        <w:t>Parágrafo 1º</w:t>
      </w:r>
      <w:r w:rsidRPr="00DB0C89">
        <w:rPr>
          <w:rFonts w:ascii="Arial" w:eastAsia="Times New Roman" w:hAnsi="Arial" w:cs="Arial"/>
          <w:bCs/>
          <w:sz w:val="24"/>
          <w:szCs w:val="24"/>
          <w:lang w:eastAsia="es-CO"/>
        </w:rPr>
        <w:t>.</w:t>
      </w:r>
      <w:r w:rsidRPr="00054841">
        <w:rPr>
          <w:rFonts w:ascii="Arial" w:eastAsia="Times New Roman" w:hAnsi="Arial" w:cs="Arial"/>
          <w:sz w:val="24"/>
          <w:szCs w:val="24"/>
          <w:lang w:eastAsia="es-CO"/>
        </w:rPr>
        <w:t xml:space="preserve"> La producción de estas colonias servirá de fuente de abastecimiento. En los casos en los que existan excedentes de producción, estos podrán ser comercializados. Lo anterior sin perjuicio del cumplimiento de las obligaciones que correspondan al Instituto Nacional P</w:t>
      </w:r>
      <w:r w:rsidRPr="00DB0C89">
        <w:rPr>
          <w:rFonts w:ascii="Arial" w:eastAsia="Times New Roman" w:hAnsi="Arial" w:cs="Arial"/>
          <w:sz w:val="24"/>
          <w:szCs w:val="24"/>
          <w:lang w:eastAsia="es-CO"/>
        </w:rPr>
        <w:t>enitenciario y Carcelario (INPEC</w:t>
      </w:r>
      <w:r w:rsidRPr="00054841">
        <w:rPr>
          <w:rFonts w:ascii="Arial" w:eastAsia="Times New Roman" w:hAnsi="Arial" w:cs="Arial"/>
          <w:sz w:val="24"/>
          <w:szCs w:val="24"/>
          <w:lang w:eastAsia="es-CO"/>
        </w:rPr>
        <w:t>) y la Unidad Administrativo de Servicios Penitenciarios y Carcelarios.</w:t>
      </w:r>
    </w:p>
    <w:p w14:paraId="3A7D4BDB" w14:textId="77777777" w:rsidR="00DB0C89" w:rsidRPr="00DB0C89" w:rsidRDefault="00DB0C89" w:rsidP="00DB0C89">
      <w:pPr>
        <w:spacing w:after="0" w:line="240" w:lineRule="auto"/>
        <w:jc w:val="both"/>
        <w:rPr>
          <w:rFonts w:ascii="Arial" w:eastAsia="Times New Roman" w:hAnsi="Arial" w:cs="Arial"/>
          <w:b/>
          <w:bCs/>
          <w:sz w:val="24"/>
          <w:szCs w:val="24"/>
          <w:u w:val="single"/>
          <w:lang w:eastAsia="es-CO"/>
        </w:rPr>
      </w:pPr>
    </w:p>
    <w:p w14:paraId="73D3D5B7" w14:textId="77777777" w:rsidR="00DB0C89" w:rsidRPr="00054841" w:rsidRDefault="00DB0C89" w:rsidP="00DB0C89">
      <w:pPr>
        <w:spacing w:after="0" w:line="240" w:lineRule="auto"/>
        <w:jc w:val="both"/>
        <w:rPr>
          <w:rFonts w:ascii="Arial" w:eastAsia="Times New Roman" w:hAnsi="Arial" w:cs="Arial"/>
          <w:sz w:val="24"/>
          <w:szCs w:val="24"/>
          <w:lang w:eastAsia="es-CO"/>
        </w:rPr>
      </w:pPr>
      <w:r w:rsidRPr="00DB0C89">
        <w:rPr>
          <w:rFonts w:ascii="Arial" w:eastAsia="Times New Roman" w:hAnsi="Arial" w:cs="Arial"/>
          <w:bCs/>
          <w:sz w:val="24"/>
          <w:szCs w:val="24"/>
          <w:u w:val="single"/>
          <w:lang w:eastAsia="es-CO"/>
        </w:rPr>
        <w:t>Parágrafo 2º</w:t>
      </w:r>
      <w:r w:rsidRPr="00DB0C89">
        <w:rPr>
          <w:rFonts w:ascii="Arial" w:eastAsia="Times New Roman" w:hAnsi="Arial" w:cs="Arial"/>
          <w:bCs/>
          <w:sz w:val="24"/>
          <w:szCs w:val="24"/>
          <w:lang w:eastAsia="es-CO"/>
        </w:rPr>
        <w:t xml:space="preserve">. Con la finalidad de mitigar las problemáticas de hacinamiento carcelario, la autoridad judicial </w:t>
      </w:r>
      <w:r w:rsidR="00C01E11">
        <w:rPr>
          <w:rFonts w:ascii="Arial" w:eastAsia="Times New Roman" w:hAnsi="Arial" w:cs="Arial"/>
          <w:bCs/>
          <w:sz w:val="24"/>
          <w:szCs w:val="24"/>
          <w:lang w:eastAsia="es-CO"/>
        </w:rPr>
        <w:t xml:space="preserve">o administrativa </w:t>
      </w:r>
      <w:r w:rsidRPr="00DB0C89">
        <w:rPr>
          <w:rFonts w:ascii="Arial" w:eastAsia="Times New Roman" w:hAnsi="Arial" w:cs="Arial"/>
          <w:bCs/>
          <w:sz w:val="24"/>
          <w:szCs w:val="24"/>
          <w:lang w:eastAsia="es-CO"/>
        </w:rPr>
        <w:t xml:space="preserve">correspondiente podrá disponer la reclusión o remisión de personas privadas de la libertad a colonias agrícolas, de aquellos internos que sin gozar de las calidades establecidas en el inciso primero del presente artículo, tengan la voluntad de ejecutar labores agropecuarias.   </w:t>
      </w:r>
    </w:p>
    <w:p w14:paraId="20BAC06C" w14:textId="77777777" w:rsidR="00AC06B1" w:rsidRPr="00AC06B1" w:rsidRDefault="00AC06B1" w:rsidP="00AC06B1">
      <w:pPr>
        <w:spacing w:after="0" w:line="240" w:lineRule="auto"/>
        <w:jc w:val="both"/>
        <w:rPr>
          <w:rFonts w:ascii="Arial" w:hAnsi="Arial" w:cs="Arial"/>
          <w:sz w:val="24"/>
          <w:szCs w:val="24"/>
        </w:rPr>
      </w:pPr>
    </w:p>
    <w:p w14:paraId="3774BB4A" w14:textId="77777777" w:rsidR="006F251E" w:rsidRDefault="00DD0B4A" w:rsidP="00AC06B1">
      <w:pPr>
        <w:spacing w:after="0" w:line="240" w:lineRule="auto"/>
        <w:jc w:val="both"/>
        <w:rPr>
          <w:rFonts w:ascii="Arial" w:hAnsi="Arial" w:cs="Arial"/>
          <w:sz w:val="24"/>
          <w:szCs w:val="24"/>
        </w:rPr>
      </w:pPr>
      <w:r>
        <w:rPr>
          <w:rFonts w:ascii="Arial" w:hAnsi="Arial" w:cs="Arial"/>
          <w:b/>
          <w:sz w:val="24"/>
          <w:szCs w:val="24"/>
        </w:rPr>
        <w:t xml:space="preserve">ARTÍCULO </w:t>
      </w:r>
      <w:r w:rsidR="00912AC0">
        <w:rPr>
          <w:rFonts w:ascii="Arial" w:hAnsi="Arial" w:cs="Arial"/>
          <w:b/>
          <w:sz w:val="24"/>
          <w:szCs w:val="24"/>
        </w:rPr>
        <w:t>4</w:t>
      </w:r>
      <w:r w:rsidR="00AC06B1" w:rsidRPr="00AC06B1">
        <w:rPr>
          <w:rFonts w:ascii="Arial" w:hAnsi="Arial" w:cs="Arial"/>
          <w:b/>
          <w:sz w:val="24"/>
          <w:szCs w:val="24"/>
        </w:rPr>
        <w:t>.</w:t>
      </w:r>
      <w:r w:rsidR="00C01E11">
        <w:rPr>
          <w:rFonts w:ascii="Arial" w:hAnsi="Arial" w:cs="Arial"/>
          <w:b/>
          <w:sz w:val="24"/>
          <w:szCs w:val="24"/>
        </w:rPr>
        <w:t xml:space="preserve"> </w:t>
      </w:r>
      <w:r>
        <w:rPr>
          <w:rFonts w:ascii="Arial" w:hAnsi="Arial" w:cs="Arial"/>
          <w:b/>
          <w:sz w:val="24"/>
          <w:szCs w:val="24"/>
        </w:rPr>
        <w:t xml:space="preserve">LA </w:t>
      </w:r>
      <w:r w:rsidR="00DB38B7">
        <w:rPr>
          <w:rFonts w:ascii="Arial" w:hAnsi="Arial" w:cs="Arial"/>
          <w:b/>
          <w:sz w:val="24"/>
          <w:szCs w:val="24"/>
        </w:rPr>
        <w:t>FIANZA DENTRO DEL PROCESO PENAL</w:t>
      </w:r>
      <w:r>
        <w:rPr>
          <w:rFonts w:ascii="Arial" w:hAnsi="Arial" w:cs="Arial"/>
          <w:b/>
          <w:sz w:val="24"/>
          <w:szCs w:val="24"/>
        </w:rPr>
        <w:t>.</w:t>
      </w:r>
      <w:r w:rsidR="00DB38B7">
        <w:rPr>
          <w:rFonts w:ascii="Arial" w:hAnsi="Arial" w:cs="Arial"/>
          <w:b/>
          <w:sz w:val="24"/>
          <w:szCs w:val="24"/>
        </w:rPr>
        <w:t xml:space="preserve"> </w:t>
      </w:r>
      <w:r w:rsidR="00DB38B7" w:rsidRPr="00DB38B7">
        <w:rPr>
          <w:rFonts w:ascii="Arial" w:hAnsi="Arial" w:cs="Arial"/>
          <w:sz w:val="24"/>
          <w:szCs w:val="24"/>
        </w:rPr>
        <w:t xml:space="preserve">Se entenderá </w:t>
      </w:r>
      <w:r w:rsidR="006F251E">
        <w:rPr>
          <w:rFonts w:ascii="Arial" w:hAnsi="Arial" w:cs="Arial"/>
          <w:sz w:val="24"/>
          <w:szCs w:val="24"/>
        </w:rPr>
        <w:t xml:space="preserve">como fianza </w:t>
      </w:r>
      <w:r w:rsidR="00DB38B7" w:rsidRPr="00DB38B7">
        <w:rPr>
          <w:rFonts w:ascii="Arial" w:hAnsi="Arial" w:cs="Arial"/>
          <w:sz w:val="24"/>
          <w:szCs w:val="24"/>
        </w:rPr>
        <w:t>aquella caución en dinero</w:t>
      </w:r>
      <w:r w:rsidR="006F251E">
        <w:rPr>
          <w:rFonts w:ascii="Arial" w:hAnsi="Arial" w:cs="Arial"/>
          <w:sz w:val="24"/>
          <w:szCs w:val="24"/>
        </w:rPr>
        <w:t xml:space="preserve"> o en especie que pueda tener valor monetario, establecida por</w:t>
      </w:r>
      <w:r w:rsidR="00DB38B7" w:rsidRPr="00DB38B7">
        <w:rPr>
          <w:rFonts w:ascii="Arial" w:hAnsi="Arial" w:cs="Arial"/>
          <w:sz w:val="24"/>
          <w:szCs w:val="24"/>
        </w:rPr>
        <w:t xml:space="preserve"> un juez de la república, </w:t>
      </w:r>
      <w:r w:rsidR="006F251E">
        <w:rPr>
          <w:rFonts w:ascii="Arial" w:hAnsi="Arial" w:cs="Arial"/>
          <w:sz w:val="24"/>
          <w:szCs w:val="24"/>
        </w:rPr>
        <w:t>con la finalidad de asegurar</w:t>
      </w:r>
      <w:r w:rsidR="00DB38B7" w:rsidRPr="00DB38B7">
        <w:rPr>
          <w:rFonts w:ascii="Arial" w:hAnsi="Arial" w:cs="Arial"/>
          <w:sz w:val="24"/>
          <w:szCs w:val="24"/>
        </w:rPr>
        <w:t xml:space="preserve"> la </w:t>
      </w:r>
      <w:r w:rsidR="00364C58">
        <w:rPr>
          <w:rFonts w:ascii="Arial" w:hAnsi="Arial" w:cs="Arial"/>
          <w:sz w:val="24"/>
          <w:szCs w:val="24"/>
        </w:rPr>
        <w:t>comparecencia de</w:t>
      </w:r>
      <w:r w:rsidR="0084653E">
        <w:rPr>
          <w:rFonts w:ascii="Arial" w:hAnsi="Arial" w:cs="Arial"/>
          <w:sz w:val="24"/>
          <w:szCs w:val="24"/>
        </w:rPr>
        <w:t>l</w:t>
      </w:r>
      <w:r w:rsidR="00364C58">
        <w:rPr>
          <w:rFonts w:ascii="Arial" w:hAnsi="Arial" w:cs="Arial"/>
          <w:sz w:val="24"/>
          <w:szCs w:val="24"/>
        </w:rPr>
        <w:t xml:space="preserve"> procesado </w:t>
      </w:r>
      <w:r w:rsidR="0084653E">
        <w:rPr>
          <w:rFonts w:ascii="Arial" w:hAnsi="Arial" w:cs="Arial"/>
          <w:sz w:val="24"/>
          <w:szCs w:val="24"/>
        </w:rPr>
        <w:t>a</w:t>
      </w:r>
      <w:r w:rsidR="00364C58">
        <w:rPr>
          <w:rFonts w:ascii="Arial" w:hAnsi="Arial" w:cs="Arial"/>
          <w:sz w:val="24"/>
          <w:szCs w:val="24"/>
        </w:rPr>
        <w:t xml:space="preserve">l </w:t>
      </w:r>
      <w:r w:rsidR="00DB38B7" w:rsidRPr="00DB38B7">
        <w:rPr>
          <w:rFonts w:ascii="Arial" w:hAnsi="Arial" w:cs="Arial"/>
          <w:sz w:val="24"/>
          <w:szCs w:val="24"/>
        </w:rPr>
        <w:t>proceso penal</w:t>
      </w:r>
      <w:r w:rsidR="006F251E">
        <w:rPr>
          <w:rFonts w:ascii="Arial" w:hAnsi="Arial" w:cs="Arial"/>
          <w:sz w:val="24"/>
          <w:szCs w:val="24"/>
        </w:rPr>
        <w:t>.</w:t>
      </w:r>
    </w:p>
    <w:p w14:paraId="1441C760" w14:textId="77777777" w:rsidR="00C37C3D" w:rsidRDefault="00C37C3D" w:rsidP="00AC06B1">
      <w:pPr>
        <w:spacing w:after="0" w:line="240" w:lineRule="auto"/>
        <w:jc w:val="both"/>
        <w:rPr>
          <w:rFonts w:ascii="Arial" w:hAnsi="Arial" w:cs="Arial"/>
          <w:sz w:val="24"/>
          <w:szCs w:val="24"/>
        </w:rPr>
      </w:pPr>
    </w:p>
    <w:p w14:paraId="3A8A57E9" w14:textId="77777777" w:rsidR="00C37C3D" w:rsidRDefault="00C37C3D" w:rsidP="00AC06B1">
      <w:pPr>
        <w:spacing w:after="0" w:line="240" w:lineRule="auto"/>
        <w:jc w:val="both"/>
        <w:rPr>
          <w:rFonts w:ascii="Arial" w:hAnsi="Arial" w:cs="Arial"/>
          <w:sz w:val="24"/>
          <w:szCs w:val="24"/>
        </w:rPr>
      </w:pPr>
      <w:r>
        <w:rPr>
          <w:rFonts w:ascii="Arial" w:hAnsi="Arial" w:cs="Arial"/>
          <w:sz w:val="24"/>
          <w:szCs w:val="24"/>
        </w:rPr>
        <w:t xml:space="preserve">Una vez pagada </w:t>
      </w:r>
      <w:r w:rsidR="00E577DC">
        <w:rPr>
          <w:rFonts w:ascii="Arial" w:hAnsi="Arial" w:cs="Arial"/>
          <w:sz w:val="24"/>
          <w:szCs w:val="24"/>
        </w:rPr>
        <w:t xml:space="preserve">y/o constituida </w:t>
      </w:r>
      <w:r>
        <w:rPr>
          <w:rFonts w:ascii="Arial" w:hAnsi="Arial" w:cs="Arial"/>
          <w:sz w:val="24"/>
          <w:szCs w:val="24"/>
        </w:rPr>
        <w:t>la fian</w:t>
      </w:r>
      <w:r w:rsidR="00326C7D">
        <w:rPr>
          <w:rFonts w:ascii="Arial" w:hAnsi="Arial" w:cs="Arial"/>
          <w:sz w:val="24"/>
          <w:szCs w:val="24"/>
        </w:rPr>
        <w:t>za por parte del procesado, deber</w:t>
      </w:r>
      <w:r>
        <w:rPr>
          <w:rFonts w:ascii="Arial" w:hAnsi="Arial" w:cs="Arial"/>
          <w:sz w:val="24"/>
          <w:szCs w:val="24"/>
        </w:rPr>
        <w:t>á ser puesto en libertad</w:t>
      </w:r>
      <w:r w:rsidR="00364C58">
        <w:rPr>
          <w:rFonts w:ascii="Arial" w:hAnsi="Arial" w:cs="Arial"/>
          <w:sz w:val="24"/>
          <w:szCs w:val="24"/>
        </w:rPr>
        <w:t xml:space="preserve"> con el compromiso</w:t>
      </w:r>
      <w:r w:rsidR="00326C7D">
        <w:rPr>
          <w:rFonts w:ascii="Arial" w:hAnsi="Arial" w:cs="Arial"/>
          <w:sz w:val="24"/>
          <w:szCs w:val="24"/>
        </w:rPr>
        <w:t xml:space="preserve"> bajo la gravedad del juramento</w:t>
      </w:r>
      <w:r w:rsidR="00364C58">
        <w:rPr>
          <w:rFonts w:ascii="Arial" w:hAnsi="Arial" w:cs="Arial"/>
          <w:sz w:val="24"/>
          <w:szCs w:val="24"/>
        </w:rPr>
        <w:t xml:space="preserve"> de comparecer al proceso penal las veces que sea citado</w:t>
      </w:r>
      <w:r w:rsidR="0084653E">
        <w:rPr>
          <w:rFonts w:ascii="Arial" w:hAnsi="Arial" w:cs="Arial"/>
          <w:sz w:val="24"/>
          <w:szCs w:val="24"/>
        </w:rPr>
        <w:t xml:space="preserve"> por la autoridad judicial competente</w:t>
      </w:r>
      <w:r w:rsidR="00326C7D">
        <w:rPr>
          <w:rFonts w:ascii="Arial" w:hAnsi="Arial" w:cs="Arial"/>
          <w:sz w:val="24"/>
          <w:szCs w:val="24"/>
        </w:rPr>
        <w:t>, so pena de incurrir en las responsabilidades penales a que haya lugar</w:t>
      </w:r>
      <w:r w:rsidR="00364C58">
        <w:rPr>
          <w:rFonts w:ascii="Arial" w:hAnsi="Arial" w:cs="Arial"/>
          <w:sz w:val="24"/>
          <w:szCs w:val="24"/>
        </w:rPr>
        <w:t xml:space="preserve">. La fianza </w:t>
      </w:r>
      <w:r w:rsidR="0030299B">
        <w:rPr>
          <w:rFonts w:ascii="Arial" w:hAnsi="Arial" w:cs="Arial"/>
          <w:sz w:val="24"/>
          <w:szCs w:val="24"/>
        </w:rPr>
        <w:t xml:space="preserve">o caución </w:t>
      </w:r>
      <w:r w:rsidR="00364C58">
        <w:rPr>
          <w:rFonts w:ascii="Arial" w:hAnsi="Arial" w:cs="Arial"/>
          <w:sz w:val="24"/>
          <w:szCs w:val="24"/>
        </w:rPr>
        <w:t>se devolverá cuando el proceso penal haya finalizado.</w:t>
      </w:r>
    </w:p>
    <w:p w14:paraId="685B5BA9" w14:textId="77777777" w:rsidR="00364C58" w:rsidRDefault="00364C58" w:rsidP="00AC06B1">
      <w:pPr>
        <w:spacing w:after="0" w:line="240" w:lineRule="auto"/>
        <w:jc w:val="both"/>
        <w:rPr>
          <w:rFonts w:ascii="Arial" w:hAnsi="Arial" w:cs="Arial"/>
          <w:sz w:val="24"/>
          <w:szCs w:val="24"/>
        </w:rPr>
      </w:pPr>
    </w:p>
    <w:p w14:paraId="13D85051" w14:textId="77777777" w:rsidR="00364C58" w:rsidRDefault="00364C58" w:rsidP="00AC06B1">
      <w:pPr>
        <w:spacing w:after="0" w:line="240" w:lineRule="auto"/>
        <w:jc w:val="both"/>
        <w:rPr>
          <w:rFonts w:ascii="Arial" w:hAnsi="Arial" w:cs="Arial"/>
          <w:sz w:val="24"/>
          <w:szCs w:val="24"/>
        </w:rPr>
      </w:pPr>
      <w:r>
        <w:rPr>
          <w:rFonts w:ascii="Arial" w:hAnsi="Arial" w:cs="Arial"/>
          <w:sz w:val="24"/>
          <w:szCs w:val="24"/>
        </w:rPr>
        <w:t xml:space="preserve">Si durante el proceso penal, el procesado no comparece ante la autoridad judicial cuando haya sido citado, perderá la garantía prendaría, y se podrá emitir la respectiva orden de captura. </w:t>
      </w:r>
    </w:p>
    <w:p w14:paraId="6C8DF8CF" w14:textId="77777777" w:rsidR="00326C7D" w:rsidRDefault="00326C7D" w:rsidP="00AC06B1">
      <w:pPr>
        <w:spacing w:after="0" w:line="240" w:lineRule="auto"/>
        <w:jc w:val="both"/>
        <w:rPr>
          <w:rFonts w:ascii="Arial" w:hAnsi="Arial" w:cs="Arial"/>
          <w:sz w:val="24"/>
          <w:szCs w:val="24"/>
        </w:rPr>
      </w:pPr>
    </w:p>
    <w:p w14:paraId="1D8EFEAF" w14:textId="77777777" w:rsidR="00326C7D" w:rsidRDefault="00326C7D" w:rsidP="00AC06B1">
      <w:pPr>
        <w:spacing w:after="0" w:line="240" w:lineRule="auto"/>
        <w:jc w:val="both"/>
        <w:rPr>
          <w:rFonts w:ascii="Arial" w:hAnsi="Arial" w:cs="Arial"/>
          <w:sz w:val="24"/>
          <w:szCs w:val="24"/>
        </w:rPr>
      </w:pPr>
      <w:r>
        <w:rPr>
          <w:rFonts w:ascii="Arial" w:hAnsi="Arial" w:cs="Arial"/>
          <w:sz w:val="24"/>
          <w:szCs w:val="24"/>
        </w:rPr>
        <w:lastRenderedPageBreak/>
        <w:t>En los casos donde se dicte sentencia condenatoria, el condenado</w:t>
      </w:r>
      <w:r w:rsidR="00561A27">
        <w:rPr>
          <w:rFonts w:ascii="Arial" w:hAnsi="Arial" w:cs="Arial"/>
          <w:sz w:val="24"/>
          <w:szCs w:val="24"/>
        </w:rPr>
        <w:t xml:space="preserve"> perderá la totalidad de la fianza, la cual deberá ser computada en la dosificación punitiva correspondiente.</w:t>
      </w:r>
      <w:r>
        <w:rPr>
          <w:rFonts w:ascii="Arial" w:hAnsi="Arial" w:cs="Arial"/>
          <w:sz w:val="24"/>
          <w:szCs w:val="24"/>
        </w:rPr>
        <w:t xml:space="preserve"> </w:t>
      </w:r>
    </w:p>
    <w:p w14:paraId="11CD3F31" w14:textId="77777777" w:rsidR="006F251E" w:rsidRDefault="006F251E" w:rsidP="00AC06B1">
      <w:pPr>
        <w:spacing w:after="0" w:line="240" w:lineRule="auto"/>
        <w:jc w:val="both"/>
        <w:rPr>
          <w:rFonts w:ascii="Arial" w:hAnsi="Arial" w:cs="Arial"/>
          <w:sz w:val="24"/>
          <w:szCs w:val="24"/>
        </w:rPr>
      </w:pPr>
    </w:p>
    <w:p w14:paraId="09FDF673" w14:textId="77777777" w:rsidR="00226FCE" w:rsidRDefault="00C37C3D" w:rsidP="00C37C3D">
      <w:pPr>
        <w:spacing w:after="0" w:line="240" w:lineRule="auto"/>
        <w:jc w:val="both"/>
        <w:rPr>
          <w:rFonts w:ascii="Arial" w:hAnsi="Arial" w:cs="Arial"/>
          <w:sz w:val="24"/>
          <w:szCs w:val="24"/>
        </w:rPr>
      </w:pPr>
      <w:r w:rsidRPr="00C37C3D">
        <w:rPr>
          <w:rFonts w:ascii="Arial" w:hAnsi="Arial" w:cs="Arial"/>
          <w:sz w:val="24"/>
          <w:szCs w:val="24"/>
          <w:u w:val="single"/>
        </w:rPr>
        <w:t>Parágrafo</w:t>
      </w:r>
      <w:r w:rsidR="00226FCE">
        <w:rPr>
          <w:rFonts w:ascii="Arial" w:hAnsi="Arial" w:cs="Arial"/>
          <w:sz w:val="24"/>
          <w:szCs w:val="24"/>
          <w:u w:val="single"/>
        </w:rPr>
        <w:t xml:space="preserve"> 1</w:t>
      </w:r>
      <w:r>
        <w:rPr>
          <w:rFonts w:ascii="Arial" w:hAnsi="Arial" w:cs="Arial"/>
          <w:sz w:val="24"/>
          <w:szCs w:val="24"/>
        </w:rPr>
        <w:t>: Dentro de los dos (2) meses siguientes a la expedición de la presente ley, el Gobierno N</w:t>
      </w:r>
      <w:r w:rsidR="00364C58">
        <w:rPr>
          <w:rFonts w:ascii="Arial" w:hAnsi="Arial" w:cs="Arial"/>
          <w:sz w:val="24"/>
          <w:szCs w:val="24"/>
        </w:rPr>
        <w:t>acional</w:t>
      </w:r>
      <w:r>
        <w:rPr>
          <w:rFonts w:ascii="Arial" w:hAnsi="Arial" w:cs="Arial"/>
          <w:sz w:val="24"/>
          <w:szCs w:val="24"/>
        </w:rPr>
        <w:t xml:space="preserve"> reglamentará la manera como se constituirá la fianza dentro del proceso penal ante el Banco Agrario de Colombia</w:t>
      </w:r>
      <w:r w:rsidR="00326C7D">
        <w:rPr>
          <w:rFonts w:ascii="Arial" w:hAnsi="Arial" w:cs="Arial"/>
          <w:sz w:val="24"/>
          <w:szCs w:val="24"/>
        </w:rPr>
        <w:t>, en</w:t>
      </w:r>
      <w:r>
        <w:rPr>
          <w:rFonts w:ascii="Arial" w:hAnsi="Arial" w:cs="Arial"/>
          <w:sz w:val="24"/>
          <w:szCs w:val="24"/>
        </w:rPr>
        <w:t xml:space="preserve"> nombre de</w:t>
      </w:r>
      <w:r w:rsidR="0084653E">
        <w:rPr>
          <w:rFonts w:ascii="Arial" w:hAnsi="Arial" w:cs="Arial"/>
          <w:sz w:val="24"/>
          <w:szCs w:val="24"/>
        </w:rPr>
        <w:t xml:space="preserve"> </w:t>
      </w:r>
      <w:r>
        <w:rPr>
          <w:rFonts w:ascii="Arial" w:hAnsi="Arial" w:cs="Arial"/>
          <w:sz w:val="24"/>
          <w:szCs w:val="24"/>
        </w:rPr>
        <w:t>l</w:t>
      </w:r>
      <w:r w:rsidR="0084653E">
        <w:rPr>
          <w:rFonts w:ascii="Arial" w:hAnsi="Arial" w:cs="Arial"/>
          <w:sz w:val="24"/>
          <w:szCs w:val="24"/>
        </w:rPr>
        <w:t xml:space="preserve">a autoridad judicial </w:t>
      </w:r>
      <w:r>
        <w:rPr>
          <w:rFonts w:ascii="Arial" w:hAnsi="Arial" w:cs="Arial"/>
          <w:sz w:val="24"/>
          <w:szCs w:val="24"/>
        </w:rPr>
        <w:t>que impone la</w:t>
      </w:r>
      <w:r w:rsidR="00326C7D">
        <w:rPr>
          <w:rFonts w:ascii="Arial" w:hAnsi="Arial" w:cs="Arial"/>
          <w:sz w:val="24"/>
          <w:szCs w:val="24"/>
        </w:rPr>
        <w:t xml:space="preserve"> respectiva</w:t>
      </w:r>
      <w:r>
        <w:rPr>
          <w:rFonts w:ascii="Arial" w:hAnsi="Arial" w:cs="Arial"/>
          <w:sz w:val="24"/>
          <w:szCs w:val="24"/>
        </w:rPr>
        <w:t xml:space="preserve"> caución.</w:t>
      </w:r>
    </w:p>
    <w:p w14:paraId="6EE43D5E" w14:textId="77777777" w:rsidR="00226FCE" w:rsidRDefault="00226FCE" w:rsidP="00C37C3D">
      <w:pPr>
        <w:spacing w:after="0" w:line="240" w:lineRule="auto"/>
        <w:jc w:val="both"/>
        <w:rPr>
          <w:rFonts w:ascii="Arial" w:hAnsi="Arial" w:cs="Arial"/>
          <w:sz w:val="24"/>
          <w:szCs w:val="24"/>
        </w:rPr>
      </w:pPr>
    </w:p>
    <w:p w14:paraId="451323B4" w14:textId="77777777" w:rsidR="00C37C3D" w:rsidRDefault="00226FCE" w:rsidP="00C37C3D">
      <w:pPr>
        <w:spacing w:after="0" w:line="240" w:lineRule="auto"/>
        <w:jc w:val="both"/>
        <w:rPr>
          <w:rFonts w:ascii="Arial" w:hAnsi="Arial" w:cs="Arial"/>
          <w:sz w:val="24"/>
          <w:szCs w:val="24"/>
        </w:rPr>
      </w:pPr>
      <w:r w:rsidRPr="006A6E81">
        <w:rPr>
          <w:rFonts w:ascii="Arial" w:hAnsi="Arial" w:cs="Arial"/>
          <w:sz w:val="24"/>
          <w:szCs w:val="24"/>
          <w:u w:val="single"/>
        </w:rPr>
        <w:t>Parágrafo 2</w:t>
      </w:r>
      <w:r>
        <w:rPr>
          <w:rFonts w:ascii="Arial" w:hAnsi="Arial" w:cs="Arial"/>
          <w:sz w:val="24"/>
          <w:szCs w:val="24"/>
        </w:rPr>
        <w:t xml:space="preserve">: Cuando el dinero o especie cuantificable en dinero consecuencia de la </w:t>
      </w:r>
      <w:r w:rsidR="00E577DC">
        <w:rPr>
          <w:rFonts w:ascii="Arial" w:hAnsi="Arial" w:cs="Arial"/>
          <w:sz w:val="24"/>
          <w:szCs w:val="24"/>
        </w:rPr>
        <w:t>caución, quede</w:t>
      </w:r>
      <w:r>
        <w:rPr>
          <w:rFonts w:ascii="Arial" w:hAnsi="Arial" w:cs="Arial"/>
          <w:sz w:val="24"/>
          <w:szCs w:val="24"/>
        </w:rPr>
        <w:t xml:space="preserve"> definitivamente a disposición de</w:t>
      </w:r>
      <w:r w:rsidR="0023532D">
        <w:rPr>
          <w:rFonts w:ascii="Arial" w:hAnsi="Arial" w:cs="Arial"/>
          <w:sz w:val="24"/>
          <w:szCs w:val="24"/>
        </w:rPr>
        <w:t xml:space="preserve"> </w:t>
      </w:r>
      <w:r>
        <w:rPr>
          <w:rFonts w:ascii="Arial" w:hAnsi="Arial" w:cs="Arial"/>
          <w:sz w:val="24"/>
          <w:szCs w:val="24"/>
        </w:rPr>
        <w:t>l</w:t>
      </w:r>
      <w:r w:rsidR="0023532D">
        <w:rPr>
          <w:rFonts w:ascii="Arial" w:hAnsi="Arial" w:cs="Arial"/>
          <w:sz w:val="24"/>
          <w:szCs w:val="24"/>
        </w:rPr>
        <w:t xml:space="preserve">a autoridad judicial </w:t>
      </w:r>
      <w:r w:rsidR="006A6E81">
        <w:rPr>
          <w:rFonts w:ascii="Arial" w:hAnsi="Arial" w:cs="Arial"/>
          <w:sz w:val="24"/>
          <w:szCs w:val="24"/>
        </w:rPr>
        <w:t>competente, hará parte del presupuesto general de la nación, y se destinará a proyectos tendientes a mitigar el hacinamiento carcelario y/o penitenciario. El Gobierno Nacional, reglamentará la manera en que se realizarán las apropiaciones correspondientes para tal efecto.</w:t>
      </w:r>
      <w:r>
        <w:rPr>
          <w:rFonts w:ascii="Arial" w:hAnsi="Arial" w:cs="Arial"/>
          <w:sz w:val="24"/>
          <w:szCs w:val="24"/>
        </w:rPr>
        <w:t xml:space="preserve"> </w:t>
      </w:r>
      <w:r w:rsidR="00C37C3D">
        <w:rPr>
          <w:rFonts w:ascii="Arial" w:hAnsi="Arial" w:cs="Arial"/>
          <w:sz w:val="24"/>
          <w:szCs w:val="24"/>
        </w:rPr>
        <w:t xml:space="preserve"> </w:t>
      </w:r>
    </w:p>
    <w:p w14:paraId="0A4D813E" w14:textId="77777777" w:rsidR="00C37C3D" w:rsidRDefault="00C37C3D" w:rsidP="00C37C3D">
      <w:pPr>
        <w:spacing w:after="0" w:line="240" w:lineRule="auto"/>
        <w:jc w:val="both"/>
        <w:rPr>
          <w:rFonts w:ascii="Arial" w:hAnsi="Arial" w:cs="Arial"/>
          <w:b/>
          <w:sz w:val="24"/>
          <w:szCs w:val="24"/>
        </w:rPr>
      </w:pPr>
      <w:r>
        <w:rPr>
          <w:rFonts w:ascii="Arial" w:hAnsi="Arial" w:cs="Arial"/>
          <w:b/>
          <w:sz w:val="24"/>
          <w:szCs w:val="24"/>
        </w:rPr>
        <w:t xml:space="preserve"> </w:t>
      </w:r>
    </w:p>
    <w:p w14:paraId="5A63DAA0" w14:textId="77777777" w:rsidR="00AC06B1" w:rsidRDefault="00DD0B4A" w:rsidP="00AC06B1">
      <w:pPr>
        <w:spacing w:after="0" w:line="240" w:lineRule="auto"/>
        <w:jc w:val="both"/>
        <w:rPr>
          <w:rFonts w:ascii="Arial" w:hAnsi="Arial" w:cs="Arial"/>
          <w:b/>
          <w:sz w:val="24"/>
          <w:szCs w:val="24"/>
        </w:rPr>
      </w:pPr>
      <w:r>
        <w:rPr>
          <w:rFonts w:ascii="Arial" w:hAnsi="Arial" w:cs="Arial"/>
          <w:b/>
          <w:sz w:val="24"/>
          <w:szCs w:val="24"/>
        </w:rPr>
        <w:t>A</w:t>
      </w:r>
      <w:r w:rsidR="00326C7D">
        <w:rPr>
          <w:rFonts w:ascii="Arial" w:hAnsi="Arial" w:cs="Arial"/>
          <w:b/>
          <w:sz w:val="24"/>
          <w:szCs w:val="24"/>
        </w:rPr>
        <w:t>RTÍCULO 5</w:t>
      </w:r>
      <w:r w:rsidRPr="00AC06B1">
        <w:rPr>
          <w:rFonts w:ascii="Arial" w:hAnsi="Arial" w:cs="Arial"/>
          <w:b/>
          <w:sz w:val="24"/>
          <w:szCs w:val="24"/>
        </w:rPr>
        <w:t>.</w:t>
      </w:r>
      <w:r>
        <w:rPr>
          <w:rFonts w:ascii="Arial" w:hAnsi="Arial" w:cs="Arial"/>
          <w:b/>
          <w:sz w:val="24"/>
          <w:szCs w:val="24"/>
        </w:rPr>
        <w:t xml:space="preserve"> </w:t>
      </w:r>
      <w:r w:rsidR="00C01E11">
        <w:rPr>
          <w:rFonts w:ascii="Arial" w:hAnsi="Arial" w:cs="Arial"/>
          <w:b/>
          <w:sz w:val="24"/>
          <w:szCs w:val="24"/>
        </w:rPr>
        <w:t>Adiciónese un parágrafo al artículo 308 de la Ley 906 de 2004, el cual quedará así:</w:t>
      </w:r>
    </w:p>
    <w:p w14:paraId="43C70152" w14:textId="77777777" w:rsidR="00C01E11" w:rsidRDefault="00C01E11" w:rsidP="00AC06B1">
      <w:pPr>
        <w:spacing w:after="0" w:line="240" w:lineRule="auto"/>
        <w:jc w:val="both"/>
        <w:rPr>
          <w:rFonts w:ascii="Arial" w:hAnsi="Arial" w:cs="Arial"/>
          <w:b/>
          <w:sz w:val="24"/>
          <w:szCs w:val="24"/>
        </w:rPr>
      </w:pPr>
    </w:p>
    <w:p w14:paraId="448A6E6C" w14:textId="77777777" w:rsidR="00326C7D" w:rsidRDefault="00C01E11" w:rsidP="00326C7D">
      <w:pPr>
        <w:spacing w:after="0" w:line="240" w:lineRule="auto"/>
        <w:jc w:val="both"/>
        <w:rPr>
          <w:rFonts w:ascii="Arial" w:hAnsi="Arial" w:cs="Arial"/>
          <w:sz w:val="24"/>
          <w:szCs w:val="24"/>
        </w:rPr>
      </w:pPr>
      <w:r>
        <w:rPr>
          <w:rFonts w:ascii="Arial" w:hAnsi="Arial" w:cs="Arial"/>
          <w:b/>
          <w:sz w:val="24"/>
          <w:szCs w:val="24"/>
        </w:rPr>
        <w:t xml:space="preserve">Parágrafo: </w:t>
      </w:r>
      <w:r>
        <w:rPr>
          <w:rFonts w:ascii="Arial" w:hAnsi="Arial" w:cs="Arial"/>
          <w:sz w:val="24"/>
          <w:szCs w:val="24"/>
        </w:rPr>
        <w:t>El juez de control de garantías, previa imposici</w:t>
      </w:r>
      <w:r w:rsidR="00BF7375">
        <w:rPr>
          <w:rFonts w:ascii="Arial" w:hAnsi="Arial" w:cs="Arial"/>
          <w:sz w:val="24"/>
          <w:szCs w:val="24"/>
        </w:rPr>
        <w:t>ón de</w:t>
      </w:r>
      <w:r>
        <w:rPr>
          <w:rFonts w:ascii="Arial" w:hAnsi="Arial" w:cs="Arial"/>
          <w:sz w:val="24"/>
          <w:szCs w:val="24"/>
        </w:rPr>
        <w:t xml:space="preserve"> la medid</w:t>
      </w:r>
      <w:r w:rsidR="007F278B">
        <w:rPr>
          <w:rFonts w:ascii="Arial" w:hAnsi="Arial" w:cs="Arial"/>
          <w:sz w:val="24"/>
          <w:szCs w:val="24"/>
        </w:rPr>
        <w:t>a de aseguramiento establecida co</w:t>
      </w:r>
      <w:r>
        <w:rPr>
          <w:rFonts w:ascii="Arial" w:hAnsi="Arial" w:cs="Arial"/>
          <w:sz w:val="24"/>
          <w:szCs w:val="24"/>
        </w:rPr>
        <w:t xml:space="preserve">n </w:t>
      </w:r>
      <w:r w:rsidR="00BF7375">
        <w:rPr>
          <w:rFonts w:ascii="Arial" w:hAnsi="Arial" w:cs="Arial"/>
          <w:sz w:val="24"/>
          <w:szCs w:val="24"/>
        </w:rPr>
        <w:t>ocasión a</w:t>
      </w:r>
      <w:r>
        <w:rPr>
          <w:rFonts w:ascii="Arial" w:hAnsi="Arial" w:cs="Arial"/>
          <w:sz w:val="24"/>
          <w:szCs w:val="24"/>
        </w:rPr>
        <w:t xml:space="preserve">l </w:t>
      </w:r>
      <w:r w:rsidR="00BF7375">
        <w:rPr>
          <w:rFonts w:ascii="Arial" w:hAnsi="Arial" w:cs="Arial"/>
          <w:sz w:val="24"/>
          <w:szCs w:val="24"/>
        </w:rPr>
        <w:t xml:space="preserve">numeral 3º del </w:t>
      </w:r>
      <w:r>
        <w:rPr>
          <w:rFonts w:ascii="Arial" w:hAnsi="Arial" w:cs="Arial"/>
          <w:sz w:val="24"/>
          <w:szCs w:val="24"/>
        </w:rPr>
        <w:t xml:space="preserve">presente artículo, y atendiendo las políticas públicas tendientes a mitigar el hacinamiento carcelario y/o penitenciario, </w:t>
      </w:r>
      <w:r w:rsidR="00BF7375">
        <w:rPr>
          <w:rFonts w:ascii="Arial" w:hAnsi="Arial" w:cs="Arial"/>
          <w:sz w:val="24"/>
          <w:szCs w:val="24"/>
        </w:rPr>
        <w:t xml:space="preserve">podrá imponer fianza al imputado </w:t>
      </w:r>
      <w:r w:rsidR="00DD0B4A">
        <w:rPr>
          <w:rFonts w:ascii="Arial" w:hAnsi="Arial" w:cs="Arial"/>
          <w:sz w:val="24"/>
          <w:szCs w:val="24"/>
        </w:rPr>
        <w:t xml:space="preserve">solo respecto a aquellos delitos que describan multa, y su cuantía será la </w:t>
      </w:r>
      <w:r w:rsidR="00561A27">
        <w:rPr>
          <w:rFonts w:ascii="Arial" w:hAnsi="Arial" w:cs="Arial"/>
          <w:sz w:val="24"/>
          <w:szCs w:val="24"/>
        </w:rPr>
        <w:t>mínima</w:t>
      </w:r>
      <w:r w:rsidR="00DD0B4A">
        <w:rPr>
          <w:rFonts w:ascii="Arial" w:hAnsi="Arial" w:cs="Arial"/>
          <w:sz w:val="24"/>
          <w:szCs w:val="24"/>
        </w:rPr>
        <w:t xml:space="preserve"> estipulada en el respectivo tipo penal.</w:t>
      </w:r>
      <w:r w:rsidR="00561A27">
        <w:rPr>
          <w:rFonts w:ascii="Arial" w:hAnsi="Arial" w:cs="Arial"/>
          <w:sz w:val="24"/>
          <w:szCs w:val="24"/>
        </w:rPr>
        <w:t xml:space="preserve"> La fianza solo procederá frente a procesados que no tengan antecedentes penales. </w:t>
      </w:r>
      <w:r w:rsidR="00DD0B4A">
        <w:rPr>
          <w:rFonts w:ascii="Arial" w:hAnsi="Arial" w:cs="Arial"/>
          <w:sz w:val="24"/>
          <w:szCs w:val="24"/>
        </w:rPr>
        <w:t xml:space="preserve"> </w:t>
      </w:r>
    </w:p>
    <w:p w14:paraId="0DBAF197" w14:textId="77777777" w:rsidR="00723E89" w:rsidRDefault="00723E89" w:rsidP="00326C7D">
      <w:pPr>
        <w:spacing w:after="0" w:line="240" w:lineRule="auto"/>
        <w:jc w:val="both"/>
        <w:rPr>
          <w:rFonts w:ascii="Arial" w:hAnsi="Arial" w:cs="Arial"/>
          <w:sz w:val="24"/>
          <w:szCs w:val="24"/>
        </w:rPr>
      </w:pPr>
    </w:p>
    <w:p w14:paraId="57D2E4DA" w14:textId="77777777" w:rsidR="00AC06B1" w:rsidRDefault="00892380" w:rsidP="00E1710D">
      <w:pPr>
        <w:spacing w:after="0" w:line="240" w:lineRule="auto"/>
        <w:jc w:val="both"/>
        <w:rPr>
          <w:rFonts w:ascii="Arial" w:hAnsi="Arial" w:cs="Arial"/>
          <w:sz w:val="24"/>
          <w:szCs w:val="24"/>
        </w:rPr>
      </w:pPr>
      <w:r>
        <w:rPr>
          <w:rFonts w:ascii="Arial" w:hAnsi="Arial" w:cs="Arial"/>
          <w:sz w:val="24"/>
          <w:szCs w:val="24"/>
        </w:rPr>
        <w:t xml:space="preserve">No procederá la fianza frente </w:t>
      </w:r>
      <w:r w:rsidR="00723E89">
        <w:rPr>
          <w:rFonts w:ascii="Arial" w:hAnsi="Arial" w:cs="Arial"/>
          <w:sz w:val="24"/>
          <w:szCs w:val="24"/>
        </w:rPr>
        <w:t>a</w:t>
      </w:r>
      <w:r>
        <w:rPr>
          <w:rFonts w:ascii="Arial" w:hAnsi="Arial" w:cs="Arial"/>
          <w:sz w:val="24"/>
          <w:szCs w:val="24"/>
        </w:rPr>
        <w:t>:</w:t>
      </w:r>
      <w:r w:rsidR="00723E89">
        <w:rPr>
          <w:rFonts w:ascii="Arial" w:hAnsi="Arial" w:cs="Arial"/>
          <w:sz w:val="24"/>
          <w:szCs w:val="24"/>
        </w:rPr>
        <w:t xml:space="preserve"> </w:t>
      </w:r>
      <w:r w:rsidR="00723E89" w:rsidRPr="00125025">
        <w:rPr>
          <w:rFonts w:ascii="Arial" w:hAnsi="Arial" w:cs="Arial"/>
          <w:sz w:val="24"/>
          <w:szCs w:val="24"/>
        </w:rPr>
        <w:t xml:space="preserve">delitos contra la vida y la integridad personal, salvo lesiones personales; </w:t>
      </w:r>
      <w:r w:rsidR="002912B7" w:rsidRPr="00125025">
        <w:rPr>
          <w:rFonts w:ascii="Arial" w:hAnsi="Arial" w:cs="Arial"/>
          <w:sz w:val="24"/>
          <w:szCs w:val="24"/>
        </w:rPr>
        <w:t xml:space="preserve">delitos contra personas y bienes protegidos por el Derecho Internacional Humanitario; delitos contra la libertad individual y otras </w:t>
      </w:r>
      <w:r w:rsidR="008E79FD" w:rsidRPr="00125025">
        <w:rPr>
          <w:rFonts w:ascii="Arial" w:hAnsi="Arial" w:cs="Arial"/>
          <w:sz w:val="24"/>
          <w:szCs w:val="24"/>
        </w:rPr>
        <w:t>garantías</w:t>
      </w:r>
      <w:r w:rsidR="002912B7" w:rsidRPr="00125025">
        <w:rPr>
          <w:rFonts w:ascii="Arial" w:hAnsi="Arial" w:cs="Arial"/>
          <w:sz w:val="24"/>
          <w:szCs w:val="24"/>
        </w:rPr>
        <w:t xml:space="preserve">; delitos contra la libertad, integridad y formación sexuales; </w:t>
      </w:r>
      <w:r w:rsidR="008E79FD" w:rsidRPr="00125025">
        <w:rPr>
          <w:rFonts w:ascii="Arial" w:hAnsi="Arial" w:cs="Arial"/>
          <w:sz w:val="24"/>
          <w:szCs w:val="24"/>
        </w:rPr>
        <w:t xml:space="preserve">el delito de extorsión; el delito de estafa; delitos contra la protección de la información y de los datos; delitos contra la fe pública; el delito de lavado de activos; </w:t>
      </w:r>
      <w:r w:rsidRPr="00125025">
        <w:rPr>
          <w:rFonts w:ascii="Arial" w:hAnsi="Arial" w:cs="Arial"/>
          <w:sz w:val="24"/>
          <w:szCs w:val="24"/>
        </w:rPr>
        <w:t xml:space="preserve">el delito de soborno transnacional; </w:t>
      </w:r>
      <w:r w:rsidR="008E79FD" w:rsidRPr="00125025">
        <w:rPr>
          <w:rFonts w:ascii="Arial" w:hAnsi="Arial" w:cs="Arial"/>
          <w:sz w:val="24"/>
          <w:szCs w:val="24"/>
        </w:rPr>
        <w:t>el delito de enriquecimiento ilícito</w:t>
      </w:r>
      <w:r w:rsidR="00F866B9" w:rsidRPr="00125025">
        <w:rPr>
          <w:rFonts w:ascii="Arial" w:hAnsi="Arial" w:cs="Arial"/>
          <w:sz w:val="24"/>
          <w:szCs w:val="24"/>
        </w:rPr>
        <w:t xml:space="preserve"> de particulares</w:t>
      </w:r>
      <w:r w:rsidR="008E79FD" w:rsidRPr="00125025">
        <w:rPr>
          <w:rFonts w:ascii="Arial" w:hAnsi="Arial" w:cs="Arial"/>
          <w:sz w:val="24"/>
          <w:szCs w:val="24"/>
        </w:rPr>
        <w:t xml:space="preserve">; </w:t>
      </w:r>
      <w:r w:rsidR="00F866B9" w:rsidRPr="00125025">
        <w:rPr>
          <w:rFonts w:ascii="Arial" w:hAnsi="Arial" w:cs="Arial"/>
          <w:sz w:val="24"/>
          <w:szCs w:val="24"/>
        </w:rPr>
        <w:t xml:space="preserve">delitos contra los recursos naturales y el medio ambiente; delitos contra la seguridad pública; delitos </w:t>
      </w:r>
      <w:r w:rsidRPr="00125025">
        <w:rPr>
          <w:rFonts w:ascii="Arial" w:hAnsi="Arial" w:cs="Arial"/>
          <w:sz w:val="24"/>
          <w:szCs w:val="24"/>
        </w:rPr>
        <w:t xml:space="preserve">dolosos </w:t>
      </w:r>
      <w:r w:rsidR="00F866B9" w:rsidRPr="00125025">
        <w:rPr>
          <w:rFonts w:ascii="Arial" w:hAnsi="Arial" w:cs="Arial"/>
          <w:sz w:val="24"/>
          <w:szCs w:val="24"/>
        </w:rPr>
        <w:t>contra la administración pública; delitos contra la eficaz y recta impartición de justicia; delitos contra el régimen constitucional y legal.</w:t>
      </w:r>
      <w:r w:rsidR="00125025">
        <w:rPr>
          <w:rFonts w:ascii="Arial" w:hAnsi="Arial" w:cs="Arial"/>
          <w:sz w:val="24"/>
          <w:szCs w:val="24"/>
        </w:rPr>
        <w:t xml:space="preserve"> Tampoco procederá </w:t>
      </w:r>
      <w:r w:rsidR="00E1710D">
        <w:rPr>
          <w:rFonts w:ascii="Arial" w:hAnsi="Arial" w:cs="Arial"/>
          <w:sz w:val="24"/>
          <w:szCs w:val="24"/>
        </w:rPr>
        <w:t>sobre</w:t>
      </w:r>
      <w:r w:rsidR="00612A60">
        <w:rPr>
          <w:rFonts w:ascii="Arial" w:hAnsi="Arial" w:cs="Arial"/>
          <w:sz w:val="24"/>
          <w:szCs w:val="24"/>
        </w:rPr>
        <w:t xml:space="preserve"> alguno de </w:t>
      </w:r>
      <w:r w:rsidR="00125025">
        <w:rPr>
          <w:rFonts w:ascii="Arial" w:hAnsi="Arial" w:cs="Arial"/>
          <w:sz w:val="24"/>
          <w:szCs w:val="24"/>
        </w:rPr>
        <w:t xml:space="preserve">los delitos </w:t>
      </w:r>
      <w:r w:rsidR="00E1710D">
        <w:rPr>
          <w:rFonts w:ascii="Arial" w:hAnsi="Arial" w:cs="Arial"/>
          <w:sz w:val="24"/>
          <w:szCs w:val="24"/>
        </w:rPr>
        <w:t xml:space="preserve">descritos </w:t>
      </w:r>
      <w:r w:rsidR="00125025">
        <w:rPr>
          <w:rFonts w:ascii="Arial" w:hAnsi="Arial" w:cs="Arial"/>
          <w:sz w:val="24"/>
          <w:szCs w:val="24"/>
        </w:rPr>
        <w:t xml:space="preserve">en el </w:t>
      </w:r>
      <w:r w:rsidR="00E1710D">
        <w:rPr>
          <w:rFonts w:ascii="Arial" w:hAnsi="Arial" w:cs="Arial"/>
          <w:sz w:val="24"/>
          <w:szCs w:val="24"/>
        </w:rPr>
        <w:t xml:space="preserve">inciso </w:t>
      </w:r>
      <w:r w:rsidR="00A966DF">
        <w:rPr>
          <w:rFonts w:ascii="Arial" w:hAnsi="Arial" w:cs="Arial"/>
          <w:sz w:val="24"/>
          <w:szCs w:val="24"/>
        </w:rPr>
        <w:t xml:space="preserve">segundo </w:t>
      </w:r>
      <w:r w:rsidR="00E1710D">
        <w:rPr>
          <w:rFonts w:ascii="Arial" w:hAnsi="Arial" w:cs="Arial"/>
          <w:sz w:val="24"/>
          <w:szCs w:val="24"/>
        </w:rPr>
        <w:t xml:space="preserve">del </w:t>
      </w:r>
      <w:r w:rsidR="00125025">
        <w:rPr>
          <w:rFonts w:ascii="Arial" w:hAnsi="Arial" w:cs="Arial"/>
          <w:sz w:val="24"/>
          <w:szCs w:val="24"/>
        </w:rPr>
        <w:t xml:space="preserve">artículo </w:t>
      </w:r>
      <w:r w:rsidR="00E1710D">
        <w:rPr>
          <w:rFonts w:ascii="Arial" w:hAnsi="Arial" w:cs="Arial"/>
          <w:sz w:val="24"/>
          <w:szCs w:val="24"/>
        </w:rPr>
        <w:t xml:space="preserve">68A de la Ley 599 de 2000 y </w:t>
      </w:r>
      <w:r w:rsidR="00A966DF">
        <w:rPr>
          <w:rFonts w:ascii="Arial" w:hAnsi="Arial" w:cs="Arial"/>
          <w:sz w:val="24"/>
          <w:szCs w:val="24"/>
        </w:rPr>
        <w:t xml:space="preserve">el </w:t>
      </w:r>
      <w:r w:rsidR="00E1710D">
        <w:rPr>
          <w:rFonts w:ascii="Arial" w:hAnsi="Arial" w:cs="Arial"/>
          <w:sz w:val="24"/>
          <w:szCs w:val="24"/>
        </w:rPr>
        <w:t>parágrafo del artículo 314 de la Ley 906 de 2004.</w:t>
      </w:r>
      <w:r w:rsidR="00723E89" w:rsidRPr="00125025">
        <w:rPr>
          <w:rFonts w:ascii="Arial" w:hAnsi="Arial" w:cs="Arial"/>
          <w:sz w:val="24"/>
          <w:szCs w:val="24"/>
        </w:rPr>
        <w:t xml:space="preserve"> </w:t>
      </w:r>
    </w:p>
    <w:p w14:paraId="50A26579" w14:textId="77777777" w:rsidR="00EC2D2F" w:rsidRDefault="00EC2D2F" w:rsidP="00AC06B1">
      <w:pPr>
        <w:spacing w:after="0" w:line="240" w:lineRule="auto"/>
        <w:jc w:val="both"/>
        <w:rPr>
          <w:rFonts w:ascii="Arial" w:hAnsi="Arial" w:cs="Arial"/>
          <w:sz w:val="24"/>
          <w:szCs w:val="24"/>
        </w:rPr>
      </w:pPr>
    </w:p>
    <w:p w14:paraId="011BAA7A" w14:textId="77777777" w:rsidR="00EC2D2F" w:rsidRPr="00EC2D2F" w:rsidRDefault="00EC2D2F" w:rsidP="00EC2D2F">
      <w:pPr>
        <w:spacing w:after="0" w:line="240" w:lineRule="auto"/>
        <w:jc w:val="both"/>
        <w:rPr>
          <w:rFonts w:ascii="Arial" w:eastAsia="Calibri" w:hAnsi="Arial" w:cs="Arial"/>
          <w:color w:val="000000"/>
          <w:sz w:val="24"/>
          <w:szCs w:val="24"/>
        </w:rPr>
      </w:pPr>
      <w:r>
        <w:rPr>
          <w:rFonts w:ascii="Arial" w:hAnsi="Arial" w:cs="Arial"/>
          <w:b/>
          <w:sz w:val="24"/>
          <w:szCs w:val="24"/>
        </w:rPr>
        <w:lastRenderedPageBreak/>
        <w:t>ARTÍCULO 6</w:t>
      </w:r>
      <w:r w:rsidRPr="008E76AB">
        <w:rPr>
          <w:rFonts w:ascii="Arial" w:eastAsia="Calibri" w:hAnsi="Arial" w:cs="Arial"/>
          <w:b/>
          <w:color w:val="000000"/>
          <w:sz w:val="24"/>
          <w:szCs w:val="24"/>
        </w:rPr>
        <w:t>.</w:t>
      </w:r>
      <w:r>
        <w:rPr>
          <w:rFonts w:ascii="Arial" w:eastAsia="Calibri" w:hAnsi="Arial" w:cs="Arial"/>
          <w:b/>
          <w:color w:val="000000"/>
          <w:sz w:val="24"/>
          <w:szCs w:val="24"/>
        </w:rPr>
        <w:t xml:space="preserve"> </w:t>
      </w:r>
      <w:r w:rsidR="00757F4F">
        <w:rPr>
          <w:rFonts w:ascii="Arial" w:eastAsia="Calibri" w:hAnsi="Arial" w:cs="Arial"/>
          <w:color w:val="000000"/>
          <w:sz w:val="24"/>
          <w:szCs w:val="24"/>
        </w:rPr>
        <w:t>Las autoridades administrativas competentes en articulación con el Gobierno Nacional, propenderán porque en t</w:t>
      </w:r>
      <w:r w:rsidRPr="00EC2D2F">
        <w:rPr>
          <w:rFonts w:ascii="Arial" w:eastAsia="Calibri" w:hAnsi="Arial" w:cs="Arial"/>
          <w:color w:val="000000"/>
          <w:sz w:val="24"/>
          <w:szCs w:val="24"/>
        </w:rPr>
        <w:t>odo establecimiento carcelario y/</w:t>
      </w:r>
      <w:r w:rsidR="00757F4F">
        <w:rPr>
          <w:rFonts w:ascii="Arial" w:eastAsia="Calibri" w:hAnsi="Arial" w:cs="Arial"/>
          <w:color w:val="000000"/>
          <w:sz w:val="24"/>
          <w:szCs w:val="24"/>
        </w:rPr>
        <w:t>o penitenciario, se mitigue materialmente</w:t>
      </w:r>
      <w:r>
        <w:rPr>
          <w:rFonts w:ascii="Arial" w:eastAsia="Calibri" w:hAnsi="Arial" w:cs="Arial"/>
          <w:color w:val="000000"/>
          <w:sz w:val="24"/>
          <w:szCs w:val="24"/>
        </w:rPr>
        <w:t xml:space="preserve"> la sobrepoblación</w:t>
      </w:r>
      <w:r w:rsidR="00757F4F">
        <w:rPr>
          <w:rFonts w:ascii="Arial" w:eastAsia="Calibri" w:hAnsi="Arial" w:cs="Arial"/>
          <w:color w:val="000000"/>
          <w:sz w:val="24"/>
          <w:szCs w:val="24"/>
        </w:rPr>
        <w:t xml:space="preserve"> carcelaria,</w:t>
      </w:r>
      <w:r>
        <w:rPr>
          <w:rFonts w:ascii="Arial" w:eastAsia="Calibri" w:hAnsi="Arial" w:cs="Arial"/>
          <w:color w:val="000000"/>
          <w:sz w:val="24"/>
          <w:szCs w:val="24"/>
        </w:rPr>
        <w:t xml:space="preserve"> con la finalidad de garantizar la dignidad humana, y </w:t>
      </w:r>
      <w:r w:rsidR="00757F4F">
        <w:rPr>
          <w:rFonts w:ascii="Arial" w:eastAsia="Calibri" w:hAnsi="Arial" w:cs="Arial"/>
          <w:color w:val="000000"/>
          <w:sz w:val="24"/>
          <w:szCs w:val="24"/>
        </w:rPr>
        <w:t xml:space="preserve">se </w:t>
      </w:r>
      <w:r>
        <w:rPr>
          <w:rFonts w:ascii="Arial" w:eastAsia="Calibri" w:hAnsi="Arial" w:cs="Arial"/>
          <w:color w:val="000000"/>
          <w:sz w:val="24"/>
          <w:szCs w:val="24"/>
        </w:rPr>
        <w:t>proveerá</w:t>
      </w:r>
      <w:r w:rsidR="00757F4F">
        <w:rPr>
          <w:rFonts w:ascii="Arial" w:eastAsia="Calibri" w:hAnsi="Arial" w:cs="Arial"/>
          <w:color w:val="000000"/>
          <w:sz w:val="24"/>
          <w:szCs w:val="24"/>
        </w:rPr>
        <w:t xml:space="preserve">n los insumos necesarios a efectos de garantizar </w:t>
      </w:r>
      <w:r>
        <w:rPr>
          <w:rFonts w:ascii="Arial" w:eastAsia="Calibri" w:hAnsi="Arial" w:cs="Arial"/>
          <w:color w:val="000000"/>
          <w:sz w:val="24"/>
          <w:szCs w:val="24"/>
        </w:rPr>
        <w:t>servicios sanitarios básicos, agua, asistencia en salud, y demás que propendan por la vida digna del prisionero.</w:t>
      </w:r>
    </w:p>
    <w:p w14:paraId="1D67C3CB" w14:textId="466B8A7A" w:rsidR="00EC2D2F" w:rsidRDefault="00EC2D2F" w:rsidP="008E76AB">
      <w:pPr>
        <w:spacing w:after="0" w:line="240" w:lineRule="auto"/>
        <w:rPr>
          <w:rFonts w:ascii="Arial" w:hAnsi="Arial" w:cs="Arial"/>
          <w:b/>
          <w:sz w:val="24"/>
          <w:szCs w:val="24"/>
        </w:rPr>
      </w:pPr>
    </w:p>
    <w:p w14:paraId="26AC3B9F" w14:textId="77777777" w:rsidR="001D3570" w:rsidRPr="008E76AB" w:rsidRDefault="001D3570" w:rsidP="008E76AB">
      <w:pPr>
        <w:spacing w:after="0" w:line="240" w:lineRule="auto"/>
        <w:rPr>
          <w:rFonts w:ascii="Arial" w:hAnsi="Arial" w:cs="Arial"/>
          <w:b/>
          <w:sz w:val="24"/>
          <w:szCs w:val="24"/>
        </w:rPr>
      </w:pPr>
    </w:p>
    <w:p w14:paraId="30CF0270" w14:textId="77777777" w:rsidR="008E76AB" w:rsidRDefault="008E76AB" w:rsidP="008E76AB">
      <w:pPr>
        <w:spacing w:after="0" w:line="240" w:lineRule="auto"/>
        <w:jc w:val="center"/>
        <w:rPr>
          <w:rFonts w:ascii="Arial" w:hAnsi="Arial" w:cs="Arial"/>
          <w:b/>
          <w:sz w:val="24"/>
          <w:szCs w:val="24"/>
        </w:rPr>
      </w:pPr>
      <w:r w:rsidRPr="008E76AB">
        <w:rPr>
          <w:rFonts w:ascii="Arial" w:hAnsi="Arial" w:cs="Arial"/>
          <w:b/>
          <w:sz w:val="24"/>
          <w:szCs w:val="24"/>
        </w:rPr>
        <w:t>CAPITULO III</w:t>
      </w:r>
    </w:p>
    <w:p w14:paraId="109D50CE" w14:textId="77777777" w:rsidR="008E76AB" w:rsidRDefault="008E76AB" w:rsidP="008E76AB">
      <w:pPr>
        <w:spacing w:after="0" w:line="240" w:lineRule="auto"/>
        <w:jc w:val="center"/>
        <w:rPr>
          <w:rFonts w:ascii="Arial" w:hAnsi="Arial" w:cs="Arial"/>
          <w:b/>
          <w:sz w:val="24"/>
          <w:szCs w:val="24"/>
        </w:rPr>
      </w:pPr>
      <w:r>
        <w:rPr>
          <w:rFonts w:ascii="Arial" w:hAnsi="Arial" w:cs="Arial"/>
          <w:b/>
          <w:sz w:val="24"/>
          <w:szCs w:val="24"/>
        </w:rPr>
        <w:t>VIGENCIAS Y DEROGATORIAS</w:t>
      </w:r>
    </w:p>
    <w:p w14:paraId="7E319CF3" w14:textId="77777777" w:rsidR="008E76AB" w:rsidRPr="008E76AB" w:rsidRDefault="008E76AB" w:rsidP="008E76AB">
      <w:pPr>
        <w:spacing w:after="0" w:line="240" w:lineRule="auto"/>
        <w:jc w:val="center"/>
        <w:rPr>
          <w:rFonts w:ascii="Arial" w:hAnsi="Arial" w:cs="Arial"/>
          <w:b/>
          <w:sz w:val="24"/>
          <w:szCs w:val="24"/>
        </w:rPr>
      </w:pPr>
    </w:p>
    <w:p w14:paraId="505F21FB" w14:textId="77777777" w:rsidR="008E76AB" w:rsidRPr="008E76AB" w:rsidRDefault="00EC2D2F" w:rsidP="008E76AB">
      <w:pPr>
        <w:spacing w:after="0" w:line="240" w:lineRule="auto"/>
        <w:jc w:val="both"/>
        <w:rPr>
          <w:rFonts w:ascii="Arial" w:hAnsi="Arial" w:cs="Arial"/>
          <w:sz w:val="24"/>
          <w:szCs w:val="24"/>
        </w:rPr>
      </w:pPr>
      <w:r>
        <w:rPr>
          <w:rFonts w:ascii="Arial" w:hAnsi="Arial" w:cs="Arial"/>
          <w:b/>
          <w:sz w:val="24"/>
          <w:szCs w:val="24"/>
        </w:rPr>
        <w:t>ARTÍCULO 7</w:t>
      </w:r>
      <w:r w:rsidR="008E76AB" w:rsidRPr="008E76AB">
        <w:rPr>
          <w:rFonts w:ascii="Arial" w:eastAsia="Calibri" w:hAnsi="Arial" w:cs="Arial"/>
          <w:b/>
          <w:color w:val="000000"/>
          <w:sz w:val="24"/>
          <w:szCs w:val="24"/>
        </w:rPr>
        <w:t xml:space="preserve">. </w:t>
      </w:r>
      <w:r w:rsidR="008E76AB" w:rsidRPr="008E76AB">
        <w:rPr>
          <w:rFonts w:ascii="Arial" w:eastAsia="Calibri" w:hAnsi="Arial" w:cs="Arial"/>
          <w:color w:val="000000"/>
          <w:sz w:val="24"/>
          <w:szCs w:val="24"/>
        </w:rPr>
        <w:t>La presente ley rige a partir de su promulgación y deroga todas las disposiciones que le sean contrarias.</w:t>
      </w:r>
    </w:p>
    <w:p w14:paraId="6CA77A9D" w14:textId="77777777" w:rsidR="001513BB" w:rsidRDefault="001513BB" w:rsidP="00266DD1">
      <w:pPr>
        <w:pStyle w:val="Default"/>
        <w:jc w:val="both"/>
      </w:pPr>
    </w:p>
    <w:p w14:paraId="7017D078" w14:textId="15C8E7FA" w:rsidR="00CF361D" w:rsidRDefault="00CF361D" w:rsidP="00266DD1">
      <w:pPr>
        <w:pStyle w:val="Default"/>
        <w:jc w:val="both"/>
      </w:pPr>
    </w:p>
    <w:p w14:paraId="577824CE" w14:textId="77777777" w:rsidR="001D3570" w:rsidRDefault="001D3570" w:rsidP="00266DD1">
      <w:pPr>
        <w:pStyle w:val="Default"/>
        <w:jc w:val="both"/>
      </w:pPr>
    </w:p>
    <w:p w14:paraId="5CA57A1D" w14:textId="77777777" w:rsidR="008E76AB" w:rsidRPr="00203B5E" w:rsidRDefault="00266DD1" w:rsidP="00266DD1">
      <w:pPr>
        <w:pStyle w:val="Default"/>
        <w:jc w:val="both"/>
      </w:pPr>
      <w:r w:rsidRPr="00203B5E">
        <w:t>De los Honorables Congresistas,</w:t>
      </w:r>
    </w:p>
    <w:p w14:paraId="534A8160" w14:textId="77777777" w:rsidR="00266DD1" w:rsidRPr="00203B5E" w:rsidRDefault="00266DD1" w:rsidP="00266DD1">
      <w:pPr>
        <w:pStyle w:val="Default"/>
        <w:jc w:val="both"/>
      </w:pPr>
    </w:p>
    <w:p w14:paraId="6C522DB8" w14:textId="77777777" w:rsidR="00266DD1" w:rsidRDefault="00266DD1" w:rsidP="00266DD1">
      <w:pPr>
        <w:pStyle w:val="Default"/>
        <w:jc w:val="both"/>
      </w:pPr>
    </w:p>
    <w:p w14:paraId="27B0D0A0" w14:textId="77777777" w:rsidR="00EA2DE0" w:rsidRDefault="00EA2DE0" w:rsidP="007100D7">
      <w:pPr>
        <w:pStyle w:val="Default"/>
        <w:jc w:val="center"/>
      </w:pPr>
    </w:p>
    <w:p w14:paraId="45404970" w14:textId="77777777" w:rsidR="00EA2DE0" w:rsidRPr="00203B5E" w:rsidRDefault="00EA2DE0" w:rsidP="007100D7">
      <w:pPr>
        <w:pStyle w:val="Default"/>
        <w:jc w:val="center"/>
      </w:pPr>
    </w:p>
    <w:p w14:paraId="4E4E3A2F" w14:textId="180C0172" w:rsidR="00266DD1" w:rsidRDefault="00266DD1" w:rsidP="007100D7">
      <w:pPr>
        <w:pStyle w:val="Default"/>
        <w:jc w:val="center"/>
      </w:pPr>
    </w:p>
    <w:p w14:paraId="1FA0315B" w14:textId="77777777" w:rsidR="001D3570" w:rsidRPr="00203B5E" w:rsidRDefault="001D3570" w:rsidP="007100D7">
      <w:pPr>
        <w:pStyle w:val="Default"/>
        <w:jc w:val="center"/>
      </w:pPr>
    </w:p>
    <w:p w14:paraId="2A1AF784" w14:textId="77777777" w:rsidR="00266DD1" w:rsidRPr="00203B5E" w:rsidRDefault="00266DD1" w:rsidP="007100D7">
      <w:pPr>
        <w:pStyle w:val="Default"/>
        <w:jc w:val="center"/>
        <w:rPr>
          <w:b/>
        </w:rPr>
      </w:pPr>
      <w:r w:rsidRPr="00203B5E">
        <w:rPr>
          <w:b/>
        </w:rPr>
        <w:t>ENRIQUE CABRALES BAQUERO</w:t>
      </w:r>
    </w:p>
    <w:p w14:paraId="67963FA5" w14:textId="77777777" w:rsidR="00266DD1" w:rsidRPr="00203B5E" w:rsidRDefault="00266DD1" w:rsidP="007100D7">
      <w:pPr>
        <w:pStyle w:val="Default"/>
        <w:jc w:val="center"/>
      </w:pPr>
      <w:r w:rsidRPr="00203B5E">
        <w:t>Representante a la Cámara por Bogotá</w:t>
      </w:r>
    </w:p>
    <w:p w14:paraId="0A147BBB" w14:textId="77777777" w:rsidR="00266DD1" w:rsidRPr="00203B5E" w:rsidRDefault="00266DD1" w:rsidP="00266DD1">
      <w:pPr>
        <w:spacing w:after="0" w:line="240" w:lineRule="auto"/>
        <w:jc w:val="center"/>
        <w:rPr>
          <w:rFonts w:ascii="Arial" w:hAnsi="Arial" w:cs="Arial"/>
          <w:b/>
          <w:sz w:val="24"/>
          <w:szCs w:val="24"/>
        </w:rPr>
      </w:pPr>
    </w:p>
    <w:p w14:paraId="4EDB5FCB" w14:textId="0E45E48B" w:rsidR="00266DD1" w:rsidRDefault="00266DD1" w:rsidP="00266DD1">
      <w:pPr>
        <w:spacing w:after="0" w:line="240" w:lineRule="auto"/>
        <w:jc w:val="center"/>
        <w:rPr>
          <w:rFonts w:ascii="Arial" w:hAnsi="Arial" w:cs="Arial"/>
          <w:b/>
          <w:sz w:val="24"/>
          <w:szCs w:val="24"/>
        </w:rPr>
      </w:pPr>
    </w:p>
    <w:p w14:paraId="2A5D61BE" w14:textId="69CD008C" w:rsidR="001D3570" w:rsidRDefault="001D3570" w:rsidP="00266DD1">
      <w:pPr>
        <w:spacing w:after="0" w:line="240" w:lineRule="auto"/>
        <w:jc w:val="center"/>
        <w:rPr>
          <w:rFonts w:ascii="Arial" w:hAnsi="Arial" w:cs="Arial"/>
          <w:b/>
          <w:sz w:val="24"/>
          <w:szCs w:val="24"/>
        </w:rPr>
      </w:pPr>
    </w:p>
    <w:p w14:paraId="789ADCF0" w14:textId="2EF5689E" w:rsidR="001D3570" w:rsidRDefault="001D3570" w:rsidP="00266DD1">
      <w:pPr>
        <w:spacing w:after="0" w:line="240" w:lineRule="auto"/>
        <w:jc w:val="center"/>
        <w:rPr>
          <w:rFonts w:ascii="Arial" w:hAnsi="Arial" w:cs="Arial"/>
          <w:b/>
          <w:sz w:val="24"/>
          <w:szCs w:val="24"/>
        </w:rPr>
      </w:pPr>
    </w:p>
    <w:p w14:paraId="17BB5011" w14:textId="2A04734A" w:rsidR="001D3570" w:rsidRDefault="001D3570" w:rsidP="00266DD1">
      <w:pPr>
        <w:spacing w:after="0" w:line="240" w:lineRule="auto"/>
        <w:jc w:val="center"/>
        <w:rPr>
          <w:rFonts w:ascii="Arial" w:hAnsi="Arial" w:cs="Arial"/>
          <w:b/>
          <w:sz w:val="24"/>
          <w:szCs w:val="24"/>
        </w:rPr>
      </w:pPr>
    </w:p>
    <w:p w14:paraId="07C7B39B" w14:textId="185CFAAC" w:rsidR="001D3570" w:rsidRDefault="001D3570" w:rsidP="00266DD1">
      <w:pPr>
        <w:spacing w:after="0" w:line="240" w:lineRule="auto"/>
        <w:jc w:val="center"/>
        <w:rPr>
          <w:rFonts w:ascii="Arial" w:hAnsi="Arial" w:cs="Arial"/>
          <w:b/>
          <w:sz w:val="24"/>
          <w:szCs w:val="24"/>
        </w:rPr>
      </w:pPr>
    </w:p>
    <w:p w14:paraId="42094B83" w14:textId="29B3AC37" w:rsidR="001D3570" w:rsidRDefault="001D3570" w:rsidP="00266DD1">
      <w:pPr>
        <w:spacing w:after="0" w:line="240" w:lineRule="auto"/>
        <w:jc w:val="center"/>
        <w:rPr>
          <w:rFonts w:ascii="Arial" w:hAnsi="Arial" w:cs="Arial"/>
          <w:b/>
          <w:sz w:val="24"/>
          <w:szCs w:val="24"/>
        </w:rPr>
      </w:pPr>
    </w:p>
    <w:p w14:paraId="6CE295C4" w14:textId="4D04F565" w:rsidR="001D3570" w:rsidRDefault="001D3570" w:rsidP="00266DD1">
      <w:pPr>
        <w:spacing w:after="0" w:line="240" w:lineRule="auto"/>
        <w:jc w:val="center"/>
        <w:rPr>
          <w:rFonts w:ascii="Arial" w:hAnsi="Arial" w:cs="Arial"/>
          <w:b/>
          <w:sz w:val="24"/>
          <w:szCs w:val="24"/>
        </w:rPr>
      </w:pPr>
    </w:p>
    <w:p w14:paraId="5246FC55" w14:textId="5E22EB3B" w:rsidR="001D3570" w:rsidRDefault="001D3570" w:rsidP="00266DD1">
      <w:pPr>
        <w:spacing w:after="0" w:line="240" w:lineRule="auto"/>
        <w:jc w:val="center"/>
        <w:rPr>
          <w:rFonts w:ascii="Arial" w:hAnsi="Arial" w:cs="Arial"/>
          <w:b/>
          <w:sz w:val="24"/>
          <w:szCs w:val="24"/>
        </w:rPr>
      </w:pPr>
    </w:p>
    <w:p w14:paraId="7CA725A0" w14:textId="23E2C178" w:rsidR="001D3570" w:rsidRDefault="001D3570" w:rsidP="00266DD1">
      <w:pPr>
        <w:spacing w:after="0" w:line="240" w:lineRule="auto"/>
        <w:jc w:val="center"/>
        <w:rPr>
          <w:rFonts w:ascii="Arial" w:hAnsi="Arial" w:cs="Arial"/>
          <w:b/>
          <w:sz w:val="24"/>
          <w:szCs w:val="24"/>
        </w:rPr>
      </w:pPr>
    </w:p>
    <w:p w14:paraId="4D24CBFE" w14:textId="037156BD" w:rsidR="001D3570" w:rsidRDefault="001D3570" w:rsidP="00266DD1">
      <w:pPr>
        <w:spacing w:after="0" w:line="240" w:lineRule="auto"/>
        <w:jc w:val="center"/>
        <w:rPr>
          <w:rFonts w:ascii="Arial" w:hAnsi="Arial" w:cs="Arial"/>
          <w:b/>
          <w:sz w:val="24"/>
          <w:szCs w:val="24"/>
        </w:rPr>
      </w:pPr>
    </w:p>
    <w:p w14:paraId="2E194F60" w14:textId="15B8E3BF" w:rsidR="001D3570" w:rsidRDefault="001D3570" w:rsidP="00266DD1">
      <w:pPr>
        <w:spacing w:after="0" w:line="240" w:lineRule="auto"/>
        <w:jc w:val="center"/>
        <w:rPr>
          <w:rFonts w:ascii="Arial" w:hAnsi="Arial" w:cs="Arial"/>
          <w:b/>
          <w:sz w:val="24"/>
          <w:szCs w:val="24"/>
        </w:rPr>
      </w:pPr>
    </w:p>
    <w:p w14:paraId="7105CC1C" w14:textId="3068025D" w:rsidR="001D3570" w:rsidRDefault="001D3570" w:rsidP="00266DD1">
      <w:pPr>
        <w:spacing w:after="0" w:line="240" w:lineRule="auto"/>
        <w:jc w:val="center"/>
        <w:rPr>
          <w:rFonts w:ascii="Arial" w:hAnsi="Arial" w:cs="Arial"/>
          <w:b/>
          <w:sz w:val="24"/>
          <w:szCs w:val="24"/>
        </w:rPr>
      </w:pPr>
    </w:p>
    <w:p w14:paraId="212F856D" w14:textId="1446B429" w:rsidR="001D3570" w:rsidRDefault="001D3570" w:rsidP="00266DD1">
      <w:pPr>
        <w:spacing w:after="0" w:line="240" w:lineRule="auto"/>
        <w:jc w:val="center"/>
        <w:rPr>
          <w:rFonts w:ascii="Arial" w:hAnsi="Arial" w:cs="Arial"/>
          <w:b/>
          <w:sz w:val="24"/>
          <w:szCs w:val="24"/>
        </w:rPr>
      </w:pPr>
    </w:p>
    <w:p w14:paraId="777A3DA4" w14:textId="0FD1EB3D" w:rsidR="001D3570" w:rsidRDefault="001D3570" w:rsidP="00266DD1">
      <w:pPr>
        <w:spacing w:after="0" w:line="240" w:lineRule="auto"/>
        <w:jc w:val="center"/>
        <w:rPr>
          <w:rFonts w:ascii="Arial" w:hAnsi="Arial" w:cs="Arial"/>
          <w:b/>
          <w:sz w:val="24"/>
          <w:szCs w:val="24"/>
        </w:rPr>
      </w:pPr>
    </w:p>
    <w:p w14:paraId="033A4BEB" w14:textId="1F3F5AA2" w:rsidR="001D3570" w:rsidRDefault="001D3570" w:rsidP="00266DD1">
      <w:pPr>
        <w:spacing w:after="0" w:line="240" w:lineRule="auto"/>
        <w:jc w:val="center"/>
        <w:rPr>
          <w:rFonts w:ascii="Arial" w:hAnsi="Arial" w:cs="Arial"/>
          <w:b/>
          <w:sz w:val="24"/>
          <w:szCs w:val="24"/>
        </w:rPr>
      </w:pPr>
    </w:p>
    <w:p w14:paraId="4677C808" w14:textId="77777777" w:rsidR="001D3570" w:rsidRDefault="001D3570" w:rsidP="00266DD1">
      <w:pPr>
        <w:spacing w:after="0" w:line="240" w:lineRule="auto"/>
        <w:jc w:val="center"/>
        <w:rPr>
          <w:rFonts w:ascii="Arial" w:hAnsi="Arial" w:cs="Arial"/>
          <w:b/>
          <w:sz w:val="24"/>
          <w:szCs w:val="24"/>
        </w:rPr>
      </w:pPr>
    </w:p>
    <w:p w14:paraId="494B4655" w14:textId="174ED616" w:rsidR="00266DD1" w:rsidRPr="00203B5E" w:rsidRDefault="00266DD1" w:rsidP="00266DD1">
      <w:pPr>
        <w:spacing w:after="0" w:line="240" w:lineRule="auto"/>
        <w:jc w:val="center"/>
        <w:rPr>
          <w:rFonts w:ascii="Arial" w:hAnsi="Arial" w:cs="Arial"/>
          <w:b/>
          <w:sz w:val="24"/>
          <w:szCs w:val="24"/>
        </w:rPr>
      </w:pPr>
      <w:r w:rsidRPr="00203B5E">
        <w:rPr>
          <w:rFonts w:ascii="Arial" w:hAnsi="Arial" w:cs="Arial"/>
          <w:b/>
          <w:sz w:val="24"/>
          <w:szCs w:val="24"/>
        </w:rPr>
        <w:t>Proyecto de Ley No.________ de 2019 Cámara</w:t>
      </w:r>
    </w:p>
    <w:p w14:paraId="67D60BFC" w14:textId="77777777" w:rsidR="00001705" w:rsidRDefault="00001705" w:rsidP="00001705">
      <w:pPr>
        <w:spacing w:after="0" w:line="240" w:lineRule="auto"/>
        <w:jc w:val="center"/>
        <w:rPr>
          <w:rFonts w:ascii="Arial" w:hAnsi="Arial" w:cs="Arial"/>
          <w:i/>
          <w:sz w:val="24"/>
          <w:szCs w:val="24"/>
        </w:rPr>
      </w:pPr>
    </w:p>
    <w:p w14:paraId="1996ABF9" w14:textId="77777777" w:rsidR="001513BB" w:rsidRPr="00001705" w:rsidRDefault="00001705" w:rsidP="00001705">
      <w:pPr>
        <w:spacing w:after="0" w:line="240" w:lineRule="auto"/>
        <w:jc w:val="center"/>
        <w:rPr>
          <w:rFonts w:ascii="Arial" w:hAnsi="Arial" w:cs="Arial"/>
          <w:i/>
          <w:sz w:val="24"/>
          <w:szCs w:val="24"/>
        </w:rPr>
      </w:pPr>
      <w:r w:rsidRPr="00203B5E">
        <w:rPr>
          <w:rFonts w:ascii="Arial" w:hAnsi="Arial" w:cs="Arial"/>
          <w:i/>
          <w:sz w:val="24"/>
          <w:szCs w:val="24"/>
        </w:rPr>
        <w:t>“Por medio de</w:t>
      </w:r>
      <w:r>
        <w:rPr>
          <w:rFonts w:ascii="Arial" w:hAnsi="Arial" w:cs="Arial"/>
          <w:i/>
          <w:sz w:val="24"/>
          <w:szCs w:val="24"/>
        </w:rPr>
        <w:t xml:space="preserve"> </w:t>
      </w:r>
      <w:r w:rsidRPr="00203B5E">
        <w:rPr>
          <w:rFonts w:ascii="Arial" w:hAnsi="Arial" w:cs="Arial"/>
          <w:i/>
          <w:sz w:val="24"/>
          <w:szCs w:val="24"/>
        </w:rPr>
        <w:t>l</w:t>
      </w:r>
      <w:r>
        <w:rPr>
          <w:rFonts w:ascii="Arial" w:hAnsi="Arial" w:cs="Arial"/>
          <w:i/>
          <w:sz w:val="24"/>
          <w:szCs w:val="24"/>
        </w:rPr>
        <w:t>a</w:t>
      </w:r>
      <w:r w:rsidRPr="00203B5E">
        <w:rPr>
          <w:rFonts w:ascii="Arial" w:hAnsi="Arial" w:cs="Arial"/>
          <w:i/>
          <w:sz w:val="24"/>
          <w:szCs w:val="24"/>
        </w:rPr>
        <w:t xml:space="preserve"> cual se</w:t>
      </w:r>
      <w:r>
        <w:rPr>
          <w:rFonts w:ascii="Arial" w:hAnsi="Arial" w:cs="Arial"/>
          <w:i/>
          <w:sz w:val="24"/>
          <w:szCs w:val="24"/>
        </w:rPr>
        <w:t xml:space="preserve"> establecen medidas contra el hacinamiento carcelario y penitenciario y se dictan otras disposiciones”</w:t>
      </w:r>
    </w:p>
    <w:p w14:paraId="445038BD" w14:textId="77777777" w:rsidR="005F0DCC" w:rsidRDefault="005F0DCC" w:rsidP="00266DD1">
      <w:pPr>
        <w:spacing w:after="0" w:line="240" w:lineRule="auto"/>
        <w:jc w:val="center"/>
        <w:rPr>
          <w:rFonts w:ascii="Arial" w:hAnsi="Arial" w:cs="Arial"/>
          <w:b/>
          <w:sz w:val="24"/>
          <w:szCs w:val="24"/>
        </w:rPr>
      </w:pPr>
    </w:p>
    <w:p w14:paraId="549D76DC" w14:textId="77777777" w:rsidR="00266DD1" w:rsidRPr="00203B5E" w:rsidRDefault="00266DD1" w:rsidP="00266DD1">
      <w:pPr>
        <w:spacing w:after="0" w:line="240" w:lineRule="auto"/>
        <w:jc w:val="center"/>
        <w:rPr>
          <w:rFonts w:ascii="Arial" w:hAnsi="Arial" w:cs="Arial"/>
          <w:b/>
          <w:sz w:val="24"/>
          <w:szCs w:val="24"/>
        </w:rPr>
      </w:pPr>
      <w:r w:rsidRPr="00203B5E">
        <w:rPr>
          <w:rFonts w:ascii="Arial" w:hAnsi="Arial" w:cs="Arial"/>
          <w:b/>
          <w:sz w:val="24"/>
          <w:szCs w:val="24"/>
        </w:rPr>
        <w:t>EXPOSICIÓN DE MOTIVOS:</w:t>
      </w:r>
    </w:p>
    <w:p w14:paraId="37E5CBB6" w14:textId="77777777" w:rsidR="00266DD1" w:rsidRPr="00203B5E" w:rsidRDefault="00266DD1" w:rsidP="00266DD1">
      <w:pPr>
        <w:spacing w:after="0" w:line="240" w:lineRule="auto"/>
        <w:jc w:val="both"/>
        <w:rPr>
          <w:rFonts w:ascii="Arial" w:hAnsi="Arial" w:cs="Arial"/>
          <w:sz w:val="24"/>
          <w:szCs w:val="24"/>
        </w:rPr>
      </w:pPr>
    </w:p>
    <w:p w14:paraId="05C4CD47" w14:textId="77777777" w:rsidR="00266DD1" w:rsidRPr="00203B5E" w:rsidRDefault="00266DD1" w:rsidP="00266DD1">
      <w:pPr>
        <w:pStyle w:val="Default"/>
        <w:numPr>
          <w:ilvl w:val="0"/>
          <w:numId w:val="12"/>
        </w:numPr>
        <w:jc w:val="both"/>
        <w:rPr>
          <w:b/>
          <w:u w:val="thick"/>
        </w:rPr>
      </w:pPr>
      <w:r w:rsidRPr="00203B5E">
        <w:rPr>
          <w:b/>
          <w:u w:val="thick"/>
        </w:rPr>
        <w:t xml:space="preserve">Objeto del Proyecto de Ley: </w:t>
      </w:r>
    </w:p>
    <w:p w14:paraId="6A03CD32" w14:textId="77777777" w:rsidR="00266DD1" w:rsidRPr="00203B5E" w:rsidRDefault="00266DD1" w:rsidP="00266DD1">
      <w:pPr>
        <w:pStyle w:val="Default"/>
        <w:jc w:val="both"/>
        <w:rPr>
          <w:b/>
          <w:u w:val="thick"/>
        </w:rPr>
      </w:pPr>
    </w:p>
    <w:p w14:paraId="2EE3DE0B" w14:textId="77777777" w:rsidR="00266DD1" w:rsidRPr="00203B5E" w:rsidRDefault="00001705" w:rsidP="00815932">
      <w:pPr>
        <w:pStyle w:val="Default"/>
        <w:jc w:val="both"/>
      </w:pPr>
      <w:r>
        <w:t xml:space="preserve">El presente proyecto de </w:t>
      </w:r>
      <w:r w:rsidR="00EA2DE0">
        <w:t>l</w:t>
      </w:r>
      <w:r>
        <w:t xml:space="preserve">ey tiene como finalidad, dictar medidas </w:t>
      </w:r>
      <w:r w:rsidR="00CF361D">
        <w:t xml:space="preserve">que coadyuven la labor del gobierno central, </w:t>
      </w:r>
      <w:r>
        <w:t xml:space="preserve">para </w:t>
      </w:r>
      <w:r w:rsidR="00666279">
        <w:t xml:space="preserve">enfrentar y </w:t>
      </w:r>
      <w:r w:rsidR="00CF361D">
        <w:t xml:space="preserve">contrarrestar </w:t>
      </w:r>
      <w:r>
        <w:t xml:space="preserve">el hacinamiento carcelario y/o penitenciario, garantizando la dignidad humana de las personas privadas de </w:t>
      </w:r>
      <w:r w:rsidRPr="0055576F">
        <w:t>la libertad</w:t>
      </w:r>
      <w:r>
        <w:t xml:space="preserve"> que se encentren</w:t>
      </w:r>
      <w:r w:rsidRPr="0055576F">
        <w:t xml:space="preserve"> recluidas en centros penitenciarios y</w:t>
      </w:r>
      <w:r>
        <w:t>/o</w:t>
      </w:r>
      <w:r w:rsidRPr="0055576F">
        <w:t xml:space="preserve"> carcelarios en todo el territorio nacional.</w:t>
      </w:r>
      <w:r>
        <w:t xml:space="preserve"> Lo anterior, con observancia a las garantías constitucionales, legales y jurispru</w:t>
      </w:r>
      <w:bookmarkStart w:id="1" w:name="_GoBack"/>
      <w:bookmarkEnd w:id="1"/>
      <w:r>
        <w:t>denciales</w:t>
      </w:r>
      <w:r w:rsidR="00612A60">
        <w:t xml:space="preserve"> vigentes</w:t>
      </w:r>
      <w:r>
        <w:t>.</w:t>
      </w:r>
    </w:p>
    <w:p w14:paraId="76CA0E88" w14:textId="77777777" w:rsidR="00266DD1" w:rsidRPr="00203B5E" w:rsidRDefault="00266DD1" w:rsidP="00266DD1">
      <w:pPr>
        <w:pStyle w:val="Default"/>
        <w:jc w:val="both"/>
        <w:rPr>
          <w:b/>
          <w:u w:val="thick"/>
        </w:rPr>
      </w:pPr>
    </w:p>
    <w:p w14:paraId="409C5CA2" w14:textId="77777777" w:rsidR="00266DD1" w:rsidRPr="00203B5E" w:rsidRDefault="00266DD1" w:rsidP="00266DD1">
      <w:pPr>
        <w:pStyle w:val="Default"/>
        <w:numPr>
          <w:ilvl w:val="0"/>
          <w:numId w:val="12"/>
        </w:numPr>
        <w:jc w:val="both"/>
        <w:rPr>
          <w:b/>
          <w:u w:val="thick"/>
        </w:rPr>
      </w:pPr>
      <w:r w:rsidRPr="00203B5E">
        <w:rPr>
          <w:b/>
          <w:u w:val="thick"/>
        </w:rPr>
        <w:t>Generalidades – Contexto, Marco Jurídico y Contenido del Proyecto:</w:t>
      </w:r>
    </w:p>
    <w:p w14:paraId="499A9BFA" w14:textId="77777777" w:rsidR="00266DD1" w:rsidRPr="00203B5E" w:rsidRDefault="00266DD1" w:rsidP="00266DD1">
      <w:pPr>
        <w:pStyle w:val="Default"/>
        <w:jc w:val="both"/>
      </w:pPr>
    </w:p>
    <w:p w14:paraId="4B5E9997" w14:textId="77777777" w:rsidR="00666279" w:rsidRDefault="006D6AC1" w:rsidP="00EC2D2F">
      <w:pPr>
        <w:pStyle w:val="Default"/>
        <w:jc w:val="both"/>
        <w:rPr>
          <w:color w:val="auto"/>
          <w:szCs w:val="22"/>
        </w:rPr>
      </w:pPr>
      <w:r>
        <w:rPr>
          <w:color w:val="auto"/>
          <w:szCs w:val="22"/>
        </w:rPr>
        <w:t>Estableció el artículo primero de la Constitución Política de Colombia (principio fundamental), que:</w:t>
      </w:r>
    </w:p>
    <w:p w14:paraId="0737128C" w14:textId="77777777" w:rsidR="006D6AC1" w:rsidRDefault="006D6AC1" w:rsidP="00EC2D2F">
      <w:pPr>
        <w:pStyle w:val="Default"/>
        <w:jc w:val="both"/>
        <w:rPr>
          <w:color w:val="auto"/>
          <w:szCs w:val="22"/>
        </w:rPr>
      </w:pPr>
    </w:p>
    <w:p w14:paraId="66CF2C6B" w14:textId="77777777" w:rsidR="006D6AC1" w:rsidRPr="006D6AC1" w:rsidRDefault="006D6AC1" w:rsidP="006D6AC1">
      <w:pPr>
        <w:pStyle w:val="Default"/>
        <w:ind w:left="708"/>
        <w:jc w:val="both"/>
        <w:rPr>
          <w:color w:val="auto"/>
          <w:szCs w:val="22"/>
        </w:rPr>
      </w:pPr>
      <w:bookmarkStart w:id="2" w:name="1"/>
      <w:r>
        <w:rPr>
          <w:i/>
          <w:sz w:val="22"/>
          <w:szCs w:val="22"/>
        </w:rPr>
        <w:t>“</w:t>
      </w:r>
      <w:r w:rsidRPr="006D6AC1">
        <w:rPr>
          <w:i/>
          <w:sz w:val="22"/>
          <w:szCs w:val="22"/>
        </w:rPr>
        <w:t>ART</w:t>
      </w:r>
      <w:r>
        <w:rPr>
          <w:i/>
          <w:sz w:val="22"/>
          <w:szCs w:val="22"/>
        </w:rPr>
        <w:t>Í</w:t>
      </w:r>
      <w:r w:rsidRPr="006D6AC1">
        <w:rPr>
          <w:i/>
          <w:sz w:val="22"/>
          <w:szCs w:val="22"/>
        </w:rPr>
        <w:t>CULO 1o.</w:t>
      </w:r>
      <w:bookmarkEnd w:id="2"/>
      <w:r w:rsidRPr="006D6AC1">
        <w:rPr>
          <w:i/>
          <w:sz w:val="22"/>
          <w:szCs w:val="22"/>
        </w:rPr>
        <w:t xml:space="preserve"> </w:t>
      </w:r>
      <w:r w:rsidRPr="006D6AC1">
        <w:rPr>
          <w:b/>
          <w:i/>
          <w:sz w:val="22"/>
          <w:szCs w:val="22"/>
          <w:u w:val="single"/>
        </w:rPr>
        <w:t>Colombia es un Estado social de derecho</w:t>
      </w:r>
      <w:r w:rsidRPr="006D6AC1">
        <w:rPr>
          <w:i/>
          <w:sz w:val="22"/>
          <w:szCs w:val="22"/>
        </w:rPr>
        <w:t xml:space="preserve">, organizado en forma de República unitaria, descentralizada, con autonomía de sus entidades territoriales, democrática, participativa y pluralista, </w:t>
      </w:r>
      <w:r w:rsidRPr="006D6AC1">
        <w:rPr>
          <w:b/>
          <w:i/>
          <w:sz w:val="22"/>
          <w:szCs w:val="22"/>
          <w:u w:val="single"/>
        </w:rPr>
        <w:t>fundada en el respeto de la dignidad humana</w:t>
      </w:r>
      <w:r w:rsidRPr="006D6AC1">
        <w:rPr>
          <w:i/>
          <w:sz w:val="22"/>
          <w:szCs w:val="22"/>
        </w:rPr>
        <w:t>, en el trabajo y la solidaridad de las personas que la integran y en la prevalencia del interés general</w:t>
      </w:r>
      <w:r>
        <w:rPr>
          <w:i/>
          <w:sz w:val="22"/>
          <w:szCs w:val="22"/>
        </w:rPr>
        <w:t>”</w:t>
      </w:r>
      <w:r w:rsidRPr="006D6AC1">
        <w:rPr>
          <w:i/>
          <w:sz w:val="22"/>
          <w:szCs w:val="22"/>
        </w:rPr>
        <w:t>.</w:t>
      </w:r>
      <w:r>
        <w:rPr>
          <w:szCs w:val="22"/>
        </w:rPr>
        <w:t xml:space="preserve"> (Subraya y negrilla fuera de texto).</w:t>
      </w:r>
    </w:p>
    <w:p w14:paraId="34E8017A" w14:textId="77777777" w:rsidR="00666279" w:rsidRDefault="00666279" w:rsidP="00EC2D2F">
      <w:pPr>
        <w:pStyle w:val="Default"/>
        <w:jc w:val="both"/>
        <w:rPr>
          <w:color w:val="auto"/>
          <w:szCs w:val="22"/>
        </w:rPr>
      </w:pPr>
    </w:p>
    <w:p w14:paraId="438D81C8" w14:textId="77777777" w:rsidR="006D6AC1" w:rsidRDefault="006D6AC1" w:rsidP="00EC2D2F">
      <w:pPr>
        <w:pStyle w:val="Default"/>
        <w:jc w:val="both"/>
        <w:rPr>
          <w:color w:val="auto"/>
          <w:szCs w:val="22"/>
        </w:rPr>
      </w:pPr>
      <w:r>
        <w:rPr>
          <w:color w:val="auto"/>
          <w:szCs w:val="22"/>
        </w:rPr>
        <w:t xml:space="preserve">La dignidad humana a la cual se hace referencia, ha sido interpretada por la Corte Constitucional de diversas maneras, sin embargo, </w:t>
      </w:r>
      <w:r w:rsidR="00572C5F">
        <w:rPr>
          <w:color w:val="auto"/>
          <w:szCs w:val="22"/>
        </w:rPr>
        <w:t xml:space="preserve">sí </w:t>
      </w:r>
      <w:r>
        <w:rPr>
          <w:color w:val="auto"/>
          <w:szCs w:val="22"/>
        </w:rPr>
        <w:t>ha hecho hincapié en lo siguiente (Sentencia T-291 de 2016; M.P. Alberto Rojas Ríos):</w:t>
      </w:r>
    </w:p>
    <w:p w14:paraId="26B8B50B" w14:textId="77777777" w:rsidR="00572C5F" w:rsidRDefault="00572C5F" w:rsidP="00EC2D2F">
      <w:pPr>
        <w:pStyle w:val="Default"/>
        <w:jc w:val="both"/>
        <w:rPr>
          <w:color w:val="auto"/>
          <w:szCs w:val="22"/>
        </w:rPr>
      </w:pPr>
    </w:p>
    <w:p w14:paraId="1706233E" w14:textId="77777777" w:rsidR="00572C5F" w:rsidRPr="00572C5F" w:rsidRDefault="00572C5F" w:rsidP="00572C5F">
      <w:pPr>
        <w:spacing w:after="0" w:line="240" w:lineRule="auto"/>
        <w:ind w:left="567"/>
        <w:jc w:val="both"/>
        <w:rPr>
          <w:rFonts w:ascii="Arial" w:eastAsia="Times New Roman" w:hAnsi="Arial" w:cs="Arial"/>
          <w:lang w:eastAsia="es-CO"/>
        </w:rPr>
      </w:pPr>
      <w:r>
        <w:rPr>
          <w:rFonts w:ascii="Arial" w:eastAsia="Times New Roman" w:hAnsi="Arial" w:cs="Arial"/>
          <w:i/>
          <w:iCs/>
          <w:lang w:eastAsia="es-CO"/>
        </w:rPr>
        <w:t>“</w:t>
      </w:r>
      <w:r w:rsidRPr="00572C5F">
        <w:rPr>
          <w:rFonts w:ascii="Arial" w:eastAsia="Times New Roman" w:hAnsi="Arial" w:cs="Arial"/>
          <w:i/>
          <w:iCs/>
          <w:lang w:eastAsia="es-CO"/>
        </w:rPr>
        <w:t xml:space="preserve">La Corporación ha identificado tres lineamientos claros y diferenciables: (i) la dignidad humana entendida como autonomía o como posibilidad de diseñar un plan vital y de determinarse según sus características; (ii) la dignidad humana entendida como ciertas condiciones materiales concretas de existencia; y </w:t>
      </w:r>
      <w:r w:rsidRPr="00572C5F">
        <w:rPr>
          <w:rFonts w:ascii="Arial" w:eastAsia="Times New Roman" w:hAnsi="Arial" w:cs="Arial"/>
          <w:b/>
          <w:i/>
          <w:iCs/>
          <w:u w:val="single"/>
          <w:lang w:eastAsia="es-CO"/>
        </w:rPr>
        <w:t>(iii) la dignidad humana entendida como intangibilidad de los bienes no patrimoniales, integridad física e integridad moral o, en otras palabras, que los ciudadanos puedan vivir sin ser sometidos a cualquier forma de humillación o tortura.</w:t>
      </w:r>
      <w:r w:rsidRPr="00572C5F">
        <w:rPr>
          <w:rFonts w:ascii="Arial" w:eastAsia="Times New Roman" w:hAnsi="Arial" w:cs="Arial"/>
          <w:i/>
          <w:iCs/>
          <w:lang w:eastAsia="es-CO"/>
        </w:rPr>
        <w:t xml:space="preserve"> </w:t>
      </w:r>
      <w:r w:rsidRPr="00572C5F">
        <w:rPr>
          <w:rFonts w:ascii="Arial" w:eastAsia="Times New Roman" w:hAnsi="Arial" w:cs="Arial"/>
          <w:i/>
          <w:iCs/>
          <w:u w:val="single"/>
          <w:lang w:eastAsia="es-CO"/>
        </w:rPr>
        <w:t xml:space="preserve">Frente a la funcionalidad de la norma, este Tribunal ha puntualizado tres expresiones de la dignidad humana entendida como: (i) principio fundante del </w:t>
      </w:r>
      <w:r w:rsidRPr="00572C5F">
        <w:rPr>
          <w:rFonts w:ascii="Arial" w:eastAsia="Times New Roman" w:hAnsi="Arial" w:cs="Arial"/>
          <w:i/>
          <w:iCs/>
          <w:u w:val="single"/>
          <w:lang w:eastAsia="es-CO"/>
        </w:rPr>
        <w:lastRenderedPageBreak/>
        <w:t>ordenamiento jurídico y por tanto del Estado, y en este sentido la dignidad como valor; (ii) principio constitucional; y (iii) derecho fundamental autónomo”</w:t>
      </w:r>
      <w:r w:rsidRPr="00572C5F">
        <w:rPr>
          <w:rFonts w:ascii="Arial" w:eastAsia="Times New Roman" w:hAnsi="Arial" w:cs="Arial"/>
          <w:i/>
          <w:iCs/>
          <w:lang w:eastAsia="es-CO"/>
        </w:rPr>
        <w:t>.</w:t>
      </w:r>
    </w:p>
    <w:p w14:paraId="6182B67F" w14:textId="77777777" w:rsidR="00572C5F" w:rsidRPr="00572C5F" w:rsidRDefault="00572C5F" w:rsidP="00572C5F">
      <w:pPr>
        <w:spacing w:after="0" w:line="240" w:lineRule="auto"/>
        <w:ind w:left="567"/>
        <w:jc w:val="both"/>
        <w:rPr>
          <w:rFonts w:ascii="Arial" w:eastAsia="Times New Roman" w:hAnsi="Arial" w:cs="Arial"/>
          <w:lang w:eastAsia="es-CO"/>
        </w:rPr>
      </w:pPr>
    </w:p>
    <w:p w14:paraId="6EA01015" w14:textId="77777777" w:rsidR="00572C5F" w:rsidRPr="00572C5F" w:rsidRDefault="00572C5F" w:rsidP="00572C5F">
      <w:pPr>
        <w:spacing w:after="0" w:line="240" w:lineRule="auto"/>
        <w:ind w:left="567"/>
        <w:jc w:val="both"/>
        <w:rPr>
          <w:rFonts w:ascii="Arial" w:eastAsia="Times New Roman" w:hAnsi="Arial" w:cs="Arial"/>
          <w:sz w:val="24"/>
          <w:lang w:eastAsia="es-CO"/>
        </w:rPr>
      </w:pPr>
      <w:r>
        <w:rPr>
          <w:rFonts w:ascii="Arial" w:eastAsia="Times New Roman" w:hAnsi="Arial" w:cs="Arial"/>
          <w:i/>
          <w:iCs/>
          <w:color w:val="000000"/>
          <w:lang w:eastAsia="es-CO"/>
        </w:rPr>
        <w:t xml:space="preserve">“[…] </w:t>
      </w:r>
      <w:r w:rsidRPr="00572C5F">
        <w:rPr>
          <w:rFonts w:ascii="Arial" w:eastAsia="Times New Roman" w:hAnsi="Arial" w:cs="Arial"/>
          <w:i/>
          <w:iCs/>
          <w:color w:val="000000"/>
          <w:lang w:eastAsia="es-CO"/>
        </w:rPr>
        <w:t xml:space="preserve">Entendido como derecho fundamental autónomo, </w:t>
      </w:r>
      <w:r w:rsidRPr="00572C5F">
        <w:rPr>
          <w:rFonts w:ascii="Arial" w:eastAsia="Times New Roman" w:hAnsi="Arial" w:cs="Arial"/>
          <w:i/>
          <w:iCs/>
          <w:color w:val="000000"/>
          <w:u w:val="single"/>
          <w:lang w:eastAsia="es-CO"/>
        </w:rPr>
        <w:t xml:space="preserve">la Corte ha determinado que la dignidad humana equivale: (i) al merecimiento de un trato especial que tiene toda persona por el hecho de ser tal; y (ii) a la facultad que tiene toda persona de exigir de los demás un trato acorde con su condición humana. </w:t>
      </w:r>
      <w:r w:rsidRPr="00572C5F">
        <w:rPr>
          <w:rFonts w:ascii="Arial" w:eastAsia="Times New Roman" w:hAnsi="Arial" w:cs="Arial"/>
          <w:b/>
          <w:i/>
          <w:iCs/>
          <w:color w:val="000000"/>
          <w:u w:val="single"/>
          <w:lang w:eastAsia="es-CO"/>
        </w:rPr>
        <w:t>Por tanto, la dignidad humana se erige como un derecho fundamental, de eficacia directa, cuyo reconocimiento general compromete el fundamento político del Estado</w:t>
      </w:r>
      <w:r>
        <w:rPr>
          <w:rFonts w:ascii="Arial" w:eastAsia="Times New Roman" w:hAnsi="Arial" w:cs="Arial"/>
          <w:i/>
          <w:iCs/>
          <w:color w:val="000000"/>
          <w:lang w:eastAsia="es-CO"/>
        </w:rPr>
        <w:t>”.</w:t>
      </w:r>
      <w:r>
        <w:rPr>
          <w:rFonts w:ascii="Arial" w:eastAsia="Times New Roman" w:hAnsi="Arial" w:cs="Arial"/>
          <w:iCs/>
          <w:color w:val="000000"/>
          <w:sz w:val="24"/>
          <w:lang w:eastAsia="es-CO"/>
        </w:rPr>
        <w:t xml:space="preserve"> (Subraya y negrilla fuera de texto).</w:t>
      </w:r>
    </w:p>
    <w:p w14:paraId="0D95EFB1" w14:textId="77777777" w:rsidR="00572C5F" w:rsidRPr="00572C5F" w:rsidRDefault="00572C5F" w:rsidP="00572C5F">
      <w:pPr>
        <w:pStyle w:val="Default"/>
        <w:jc w:val="both"/>
        <w:rPr>
          <w:color w:val="auto"/>
          <w:sz w:val="22"/>
          <w:szCs w:val="22"/>
        </w:rPr>
      </w:pPr>
    </w:p>
    <w:p w14:paraId="4C1908BB" w14:textId="77777777" w:rsidR="00354D8F" w:rsidRPr="00EC2D2F" w:rsidRDefault="00572C5F" w:rsidP="00EC2D2F">
      <w:pPr>
        <w:pStyle w:val="Default"/>
        <w:jc w:val="both"/>
        <w:rPr>
          <w:color w:val="auto"/>
          <w:szCs w:val="22"/>
        </w:rPr>
      </w:pPr>
      <w:r w:rsidRPr="00572C5F">
        <w:rPr>
          <w:color w:val="auto"/>
        </w:rPr>
        <w:t>Pese a ello, en el tema que nos atañe, esto es, el sistema carcelario y/o penitenciario</w:t>
      </w:r>
      <w:r>
        <w:rPr>
          <w:color w:val="auto"/>
        </w:rPr>
        <w:t xml:space="preserve">, el asunto se contrapone al postulado constitucional. Recordemos que la </w:t>
      </w:r>
      <w:r w:rsidR="00EA2DE0" w:rsidRPr="004F2F90">
        <w:rPr>
          <w:b/>
          <w:color w:val="auto"/>
          <w:szCs w:val="22"/>
        </w:rPr>
        <w:t>sentencia T- 153 de 1998</w:t>
      </w:r>
      <w:r w:rsidR="00EA2DE0" w:rsidRPr="00EC2D2F">
        <w:rPr>
          <w:color w:val="auto"/>
          <w:szCs w:val="22"/>
        </w:rPr>
        <w:t xml:space="preserve"> de la Corte Constitucional </w:t>
      </w:r>
      <w:r w:rsidR="00EC2D2F">
        <w:rPr>
          <w:color w:val="auto"/>
          <w:szCs w:val="22"/>
        </w:rPr>
        <w:t xml:space="preserve">(M.P. Eduardo Cifuentes Muñoz), </w:t>
      </w:r>
      <w:r w:rsidR="00EA2DE0" w:rsidRPr="00EC2D2F">
        <w:rPr>
          <w:color w:val="auto"/>
          <w:szCs w:val="22"/>
        </w:rPr>
        <w:t>estableció que</w:t>
      </w:r>
      <w:r w:rsidR="00354D8F" w:rsidRPr="00EC2D2F">
        <w:rPr>
          <w:color w:val="auto"/>
          <w:szCs w:val="22"/>
        </w:rPr>
        <w:t>:</w:t>
      </w:r>
    </w:p>
    <w:p w14:paraId="7770C6F2" w14:textId="77777777" w:rsidR="00EA2DE0" w:rsidRPr="00EC2D2F" w:rsidRDefault="00EA2DE0" w:rsidP="00EC2D2F">
      <w:pPr>
        <w:pStyle w:val="Default"/>
        <w:jc w:val="both"/>
        <w:rPr>
          <w:color w:val="auto"/>
          <w:sz w:val="22"/>
          <w:szCs w:val="22"/>
        </w:rPr>
      </w:pPr>
    </w:p>
    <w:p w14:paraId="3C8D2A06" w14:textId="77777777" w:rsidR="00117BF0" w:rsidRDefault="00EC2D2F" w:rsidP="00117BF0">
      <w:pPr>
        <w:shd w:val="clear" w:color="auto" w:fill="FFFFFF"/>
        <w:spacing w:line="240" w:lineRule="auto"/>
        <w:ind w:left="567" w:right="51"/>
        <w:jc w:val="both"/>
        <w:textAlignment w:val="baseline"/>
        <w:rPr>
          <w:rFonts w:ascii="Arial" w:eastAsia="Times New Roman" w:hAnsi="Arial" w:cs="Arial"/>
          <w:i/>
          <w:iCs/>
          <w:color w:val="2D2D2D"/>
          <w:bdr w:val="none" w:sz="0" w:space="0" w:color="auto" w:frame="1"/>
          <w:lang w:eastAsia="es-CO"/>
        </w:rPr>
      </w:pPr>
      <w:r>
        <w:rPr>
          <w:rFonts w:ascii="Arial" w:eastAsia="Calibri" w:hAnsi="Arial" w:cs="Arial"/>
        </w:rPr>
        <w:t>“</w:t>
      </w:r>
      <w:r w:rsidRPr="008A1954">
        <w:rPr>
          <w:rFonts w:ascii="Arial" w:eastAsia="Times New Roman" w:hAnsi="Arial" w:cs="Arial"/>
          <w:i/>
          <w:iCs/>
          <w:color w:val="2D2D2D"/>
          <w:u w:val="single"/>
          <w:bdr w:val="none" w:sz="0" w:space="0" w:color="auto" w:frame="1"/>
          <w:lang w:eastAsia="es-CO"/>
        </w:rPr>
        <w:t>Las condiciones de hacinamiento impiden brindarle a todos los reclusos los medios diseñados para el proyecto de resocialización (estudio, trabajo, etc.). Dada la imprevisión y el desgreño que han reinado en materia de infraestructura carcelaria, la sobrepoblación ha conducido a que los reclusos ni siquiera puedan gozar de las más mínimas condiciones para llevar una vida digna en la prisión, tales como contar con un camarote, con agua suficiente, con servicios sanitarios, con asistencia en salud, con visitas familiares en condiciones decorosas, etc. De manera general se puede concluir que el hacinamiento desvirtúa de manera absoluta los fines del tratamiento penitenciario. Con todo, la Corte quiere concentrar su atención en una consecuencia que considera de mucha gravedad, cual es la de que la sobrepoblación carcelaria impide la separación de los internos por categorías.</w:t>
      </w:r>
      <w:r w:rsidRPr="00EC2D2F">
        <w:rPr>
          <w:rFonts w:ascii="Arial" w:eastAsia="Times New Roman" w:hAnsi="Arial" w:cs="Arial"/>
          <w:i/>
          <w:iCs/>
          <w:color w:val="2D2D2D"/>
          <w:bdr w:val="none" w:sz="0" w:space="0" w:color="auto" w:frame="1"/>
          <w:lang w:eastAsia="es-CO"/>
        </w:rPr>
        <w:t xml:space="preserve"> En efecto, la ley ordena que los sindicados estén separados de los condenados; que los reincidentes de los primarios, los miembros de la Fuerza Pública, los funcionarios públicos y los indígenas de los demás reclusos, etc.</w:t>
      </w:r>
      <w:r w:rsidR="00117BF0">
        <w:rPr>
          <w:rFonts w:ascii="Arial" w:eastAsia="Times New Roman" w:hAnsi="Arial" w:cs="Arial"/>
          <w:i/>
          <w:iCs/>
          <w:color w:val="2D2D2D"/>
          <w:bdr w:val="none" w:sz="0" w:space="0" w:color="auto" w:frame="1"/>
          <w:lang w:eastAsia="es-CO"/>
        </w:rPr>
        <w:t xml:space="preserve"> […]”.</w:t>
      </w:r>
    </w:p>
    <w:p w14:paraId="0E92089E" w14:textId="77777777" w:rsidR="00EC2D2F" w:rsidRPr="00EC2D2F" w:rsidRDefault="00117BF0" w:rsidP="00117BF0">
      <w:pPr>
        <w:shd w:val="clear" w:color="auto" w:fill="FFFFFF"/>
        <w:spacing w:line="240" w:lineRule="auto"/>
        <w:ind w:left="567" w:right="51"/>
        <w:jc w:val="both"/>
        <w:textAlignment w:val="baseline"/>
        <w:rPr>
          <w:rFonts w:ascii="Arial" w:eastAsia="Times New Roman" w:hAnsi="Arial" w:cs="Arial"/>
          <w:color w:val="2D2D2D"/>
          <w:lang w:eastAsia="es-CO"/>
        </w:rPr>
      </w:pPr>
      <w:r w:rsidRPr="008A1954">
        <w:rPr>
          <w:rFonts w:ascii="Arial" w:eastAsia="Calibri" w:hAnsi="Arial" w:cs="Arial"/>
          <w:u w:val="single"/>
        </w:rPr>
        <w:t>“</w:t>
      </w:r>
      <w:r w:rsidR="00EC2D2F" w:rsidRPr="00EC2D2F">
        <w:rPr>
          <w:rFonts w:ascii="Arial" w:eastAsia="Times New Roman" w:hAnsi="Arial" w:cs="Arial"/>
          <w:i/>
          <w:iCs/>
          <w:color w:val="2D2D2D"/>
          <w:u w:val="single"/>
          <w:bdr w:val="none" w:sz="0" w:space="0" w:color="auto" w:frame="1"/>
          <w:lang w:eastAsia="es-CO"/>
        </w:rPr>
        <w:t>La labor de resocialización no consiste en imponer determinados valores a los reclusos, sino en brindarles los medios para que, haciendo uso de su autodeterminación, establezca cada interno el camino de su reinserción al conglomerado social. Precisamente desde la perspectiva de la dignidad de los reclusos y de la obligación del Estado de brindarles los medios necesarios para su resocialización se deben interpretar distintos artículos del Código Penitenciario que regulan las condiciones de albergue de los internos, y sus derechos al trabajo, a la educación y enseñanza, al servicio de sanidad, a la comunicación con el exterior y la recepción de visitas, a la atención social</w:t>
      </w:r>
      <w:r w:rsidR="00EC2D2F" w:rsidRPr="00EC2D2F">
        <w:rPr>
          <w:rFonts w:ascii="Arial" w:eastAsia="Times New Roman" w:hAnsi="Arial" w:cs="Arial"/>
          <w:i/>
          <w:iCs/>
          <w:color w:val="2D2D2D"/>
          <w:bdr w:val="none" w:sz="0" w:space="0" w:color="auto" w:frame="1"/>
          <w:lang w:eastAsia="es-CO"/>
        </w:rPr>
        <w:t>, etc</w:t>
      </w:r>
      <w:r>
        <w:rPr>
          <w:rFonts w:ascii="Arial" w:eastAsia="Times New Roman" w:hAnsi="Arial" w:cs="Arial"/>
          <w:i/>
          <w:iCs/>
          <w:color w:val="2D2D2D"/>
          <w:bdr w:val="none" w:sz="0" w:space="0" w:color="auto" w:frame="1"/>
          <w:lang w:eastAsia="es-CO"/>
        </w:rPr>
        <w:t>”</w:t>
      </w:r>
      <w:r w:rsidR="00EC2D2F" w:rsidRPr="00EC2D2F">
        <w:rPr>
          <w:rFonts w:ascii="Arial" w:eastAsia="Times New Roman" w:hAnsi="Arial" w:cs="Arial"/>
          <w:i/>
          <w:iCs/>
          <w:color w:val="2D2D2D"/>
          <w:bdr w:val="none" w:sz="0" w:space="0" w:color="auto" w:frame="1"/>
          <w:lang w:eastAsia="es-CO"/>
        </w:rPr>
        <w:t>.</w:t>
      </w:r>
    </w:p>
    <w:p w14:paraId="1361401C" w14:textId="77777777" w:rsidR="00EC2D2F" w:rsidRPr="00EC2D2F" w:rsidRDefault="00EC2D2F" w:rsidP="00EC2D2F">
      <w:pPr>
        <w:shd w:val="clear" w:color="auto" w:fill="FFFFFF"/>
        <w:spacing w:after="0" w:line="240" w:lineRule="auto"/>
        <w:ind w:right="51"/>
        <w:jc w:val="both"/>
        <w:textAlignment w:val="baseline"/>
        <w:rPr>
          <w:rFonts w:ascii="Arial" w:eastAsia="Times New Roman" w:hAnsi="Arial" w:cs="Arial"/>
          <w:color w:val="2D2D2D"/>
          <w:lang w:eastAsia="es-CO"/>
        </w:rPr>
      </w:pPr>
      <w:r w:rsidRPr="00EC2D2F">
        <w:rPr>
          <w:rFonts w:ascii="Arial" w:eastAsia="Times New Roman" w:hAnsi="Arial" w:cs="Arial"/>
          <w:color w:val="2D2D2D"/>
          <w:bdr w:val="none" w:sz="0" w:space="0" w:color="auto" w:frame="1"/>
          <w:lang w:eastAsia="es-CO"/>
        </w:rPr>
        <w:t> </w:t>
      </w:r>
    </w:p>
    <w:p w14:paraId="14E53A2E" w14:textId="77777777" w:rsidR="00EC2D2F" w:rsidRPr="00EC2D2F" w:rsidRDefault="00117BF0" w:rsidP="00117BF0">
      <w:pPr>
        <w:shd w:val="clear" w:color="auto" w:fill="FFFFFF"/>
        <w:spacing w:after="0" w:line="240" w:lineRule="auto"/>
        <w:ind w:left="567"/>
        <w:jc w:val="both"/>
        <w:textAlignment w:val="baseline"/>
        <w:rPr>
          <w:rFonts w:ascii="Arial" w:eastAsia="Times New Roman" w:hAnsi="Arial" w:cs="Arial"/>
          <w:color w:val="2D2D2D"/>
          <w:sz w:val="24"/>
          <w:lang w:eastAsia="es-CO"/>
        </w:rPr>
      </w:pPr>
      <w:r>
        <w:rPr>
          <w:rFonts w:ascii="Arial" w:eastAsia="Times New Roman" w:hAnsi="Arial" w:cs="Arial"/>
          <w:i/>
          <w:iCs/>
          <w:color w:val="2D2D2D"/>
          <w:bdr w:val="none" w:sz="0" w:space="0" w:color="auto" w:frame="1"/>
          <w:lang w:eastAsia="es-CO"/>
        </w:rPr>
        <w:t xml:space="preserve">“[…] </w:t>
      </w:r>
      <w:r w:rsidR="00EC2D2F" w:rsidRPr="00EC2D2F">
        <w:rPr>
          <w:rFonts w:ascii="Arial" w:eastAsia="Times New Roman" w:hAnsi="Arial" w:cs="Arial"/>
          <w:i/>
          <w:iCs/>
          <w:color w:val="2D2D2D"/>
          <w:bdr w:val="none" w:sz="0" w:space="0" w:color="auto" w:frame="1"/>
          <w:lang w:eastAsia="es-CO"/>
        </w:rPr>
        <w:t xml:space="preserve">La remisión al recurso de nulidad no toma en cuenta las condiciones extremas de violación del derecho a la dignidad de los reclusos, y las inminentes amenazas contra su vida e integridad personal. El recurso ante la jurisdicción contencioso </w:t>
      </w:r>
      <w:r w:rsidR="00D33ADA" w:rsidRPr="00EC2D2F">
        <w:rPr>
          <w:rFonts w:ascii="Arial" w:eastAsia="Times New Roman" w:hAnsi="Arial" w:cs="Arial"/>
          <w:i/>
          <w:iCs/>
          <w:color w:val="2D2D2D"/>
          <w:bdr w:val="none" w:sz="0" w:space="0" w:color="auto" w:frame="1"/>
          <w:lang w:eastAsia="es-CO"/>
        </w:rPr>
        <w:lastRenderedPageBreak/>
        <w:t>administrativa no</w:t>
      </w:r>
      <w:r w:rsidR="00EC2D2F" w:rsidRPr="00EC2D2F">
        <w:rPr>
          <w:rFonts w:ascii="Arial" w:eastAsia="Times New Roman" w:hAnsi="Arial" w:cs="Arial"/>
          <w:i/>
          <w:iCs/>
          <w:color w:val="2D2D2D"/>
          <w:bdr w:val="none" w:sz="0" w:space="0" w:color="auto" w:frame="1"/>
          <w:lang w:eastAsia="es-CO"/>
        </w:rPr>
        <w:t xml:space="preserve"> es eficaz en este caso. Las obras de remodelación terminarían mucho antes de que finalizara el proceso, y están en capacidad de generar un mayor ambiente de violencia en la cárcel, poniendo en grave riesgo la vida e integridad personal de los reclusos. Por otra parte, se argumenta que, dado que muchas de las situaciones descritas constituyen una clara violación de la ley, se ha debido recurrir a la acción de cumplimiento. Al respecto debe recordarse que esta Corporación ha señalado que en los casos extremos de omisión de sus obligaciones por parte de las autoridades - situación que se expresa también cuando se presenta un craso, grave, reiterado y prolongado incumplimiento de la ley -, los afectados pueden también recurrir a la tutela, siempre y cuando la actitud negligente de la administración vulnere o amenace en forma inminente sus derechos fundamentales. </w:t>
      </w:r>
      <w:r w:rsidR="00EC2D2F" w:rsidRPr="00EC2D2F">
        <w:rPr>
          <w:rFonts w:ascii="Arial" w:eastAsia="Times New Roman" w:hAnsi="Arial" w:cs="Arial"/>
          <w:i/>
          <w:iCs/>
          <w:color w:val="2D2D2D"/>
          <w:u w:val="single"/>
          <w:bdr w:val="none" w:sz="0" w:space="0" w:color="auto" w:frame="1"/>
          <w:lang w:eastAsia="es-CO"/>
        </w:rPr>
        <w:t>En efecto, la inacción de las autoridades ha significado la violación sistemática de los derechos de los reclusos, durante décadas, y a pesar de las muchas solicitudes y críticas elevadas con respecto al sistema penitenciario no se percibe ninguna política oficial para modificar de raíz la gravísima situación carcelaria del país</w:t>
      </w:r>
      <w:r w:rsidR="008A1954" w:rsidRPr="008A1954">
        <w:rPr>
          <w:rFonts w:ascii="Arial" w:eastAsia="Times New Roman" w:hAnsi="Arial" w:cs="Arial"/>
          <w:i/>
          <w:iCs/>
          <w:color w:val="2D2D2D"/>
          <w:u w:val="single"/>
          <w:bdr w:val="none" w:sz="0" w:space="0" w:color="auto" w:frame="1"/>
          <w:lang w:eastAsia="es-CO"/>
        </w:rPr>
        <w:t>”</w:t>
      </w:r>
      <w:r w:rsidR="00EC2D2F" w:rsidRPr="00EC2D2F">
        <w:rPr>
          <w:rFonts w:ascii="Arial" w:eastAsia="Times New Roman" w:hAnsi="Arial" w:cs="Arial"/>
          <w:i/>
          <w:iCs/>
          <w:color w:val="2D2D2D"/>
          <w:u w:val="single"/>
          <w:bdr w:val="none" w:sz="0" w:space="0" w:color="auto" w:frame="1"/>
          <w:lang w:eastAsia="es-CO"/>
        </w:rPr>
        <w:t>.</w:t>
      </w:r>
      <w:r w:rsidR="008A1954">
        <w:rPr>
          <w:rFonts w:ascii="Arial" w:eastAsia="Times New Roman" w:hAnsi="Arial" w:cs="Arial"/>
          <w:iCs/>
          <w:color w:val="2D2D2D"/>
          <w:sz w:val="24"/>
          <w:bdr w:val="none" w:sz="0" w:space="0" w:color="auto" w:frame="1"/>
          <w:lang w:eastAsia="es-CO"/>
        </w:rPr>
        <w:t xml:space="preserve"> (Subraya fuera de texto).</w:t>
      </w:r>
    </w:p>
    <w:p w14:paraId="38F5BF8B" w14:textId="77777777" w:rsidR="00EC2D2F" w:rsidRDefault="00EC2D2F" w:rsidP="00EC2D2F">
      <w:pPr>
        <w:shd w:val="clear" w:color="auto" w:fill="FFFFFF"/>
        <w:spacing w:after="0" w:line="240" w:lineRule="auto"/>
        <w:jc w:val="both"/>
        <w:textAlignment w:val="baseline"/>
        <w:rPr>
          <w:rFonts w:ascii="Arial" w:eastAsia="Times New Roman" w:hAnsi="Arial" w:cs="Arial"/>
          <w:color w:val="2D2D2D"/>
          <w:bdr w:val="none" w:sz="0" w:space="0" w:color="auto" w:frame="1"/>
          <w:lang w:eastAsia="es-CO"/>
        </w:rPr>
      </w:pPr>
      <w:r w:rsidRPr="00EC2D2F">
        <w:rPr>
          <w:rFonts w:ascii="Arial" w:eastAsia="Times New Roman" w:hAnsi="Arial" w:cs="Arial"/>
          <w:color w:val="2D2D2D"/>
          <w:bdr w:val="none" w:sz="0" w:space="0" w:color="auto" w:frame="1"/>
          <w:lang w:eastAsia="es-CO"/>
        </w:rPr>
        <w:t> </w:t>
      </w:r>
    </w:p>
    <w:p w14:paraId="46C20040" w14:textId="77777777" w:rsidR="008A1954" w:rsidRDefault="008A1954" w:rsidP="00EC2D2F">
      <w:pPr>
        <w:shd w:val="clear" w:color="auto" w:fill="FFFFFF"/>
        <w:spacing w:after="0" w:line="240" w:lineRule="auto"/>
        <w:jc w:val="both"/>
        <w:textAlignment w:val="baseline"/>
        <w:rPr>
          <w:rFonts w:ascii="Arial" w:eastAsia="Times New Roman" w:hAnsi="Arial" w:cs="Arial"/>
          <w:color w:val="2D2D2D"/>
          <w:sz w:val="24"/>
          <w:bdr w:val="none" w:sz="0" w:space="0" w:color="auto" w:frame="1"/>
          <w:lang w:eastAsia="es-CO"/>
        </w:rPr>
      </w:pPr>
      <w:r>
        <w:rPr>
          <w:rFonts w:ascii="Arial" w:eastAsia="Times New Roman" w:hAnsi="Arial" w:cs="Arial"/>
          <w:color w:val="2D2D2D"/>
          <w:sz w:val="24"/>
          <w:bdr w:val="none" w:sz="0" w:space="0" w:color="auto" w:frame="1"/>
          <w:lang w:eastAsia="es-CO"/>
        </w:rPr>
        <w:t>Seguidamente, aborda el estado de cosas inconstitucional, así:</w:t>
      </w:r>
    </w:p>
    <w:p w14:paraId="1B907F67" w14:textId="77777777" w:rsidR="008A1954" w:rsidRDefault="008A1954" w:rsidP="00EC2D2F">
      <w:pPr>
        <w:shd w:val="clear" w:color="auto" w:fill="FFFFFF"/>
        <w:spacing w:after="0" w:line="240" w:lineRule="auto"/>
        <w:jc w:val="both"/>
        <w:textAlignment w:val="baseline"/>
        <w:rPr>
          <w:rFonts w:ascii="Arial" w:eastAsia="Times New Roman" w:hAnsi="Arial" w:cs="Arial"/>
          <w:b/>
          <w:bCs/>
          <w:color w:val="2D2D2D"/>
          <w:bdr w:val="none" w:sz="0" w:space="0" w:color="auto" w:frame="1"/>
          <w:lang w:eastAsia="es-CO"/>
        </w:rPr>
      </w:pPr>
    </w:p>
    <w:p w14:paraId="11745854" w14:textId="77777777" w:rsidR="00EC2D2F" w:rsidRPr="00EC2D2F" w:rsidRDefault="008A1954" w:rsidP="008A1954">
      <w:pPr>
        <w:shd w:val="clear" w:color="auto" w:fill="FFFFFF"/>
        <w:spacing w:after="0" w:line="240" w:lineRule="auto"/>
        <w:ind w:left="567"/>
        <w:jc w:val="both"/>
        <w:textAlignment w:val="baseline"/>
        <w:rPr>
          <w:rFonts w:ascii="Arial" w:eastAsia="Times New Roman" w:hAnsi="Arial" w:cs="Arial"/>
          <w:color w:val="2D2D2D"/>
          <w:lang w:eastAsia="es-CO"/>
        </w:rPr>
      </w:pPr>
      <w:r>
        <w:rPr>
          <w:rFonts w:ascii="Arial" w:eastAsia="Times New Roman" w:hAnsi="Arial" w:cs="Arial"/>
          <w:i/>
          <w:iCs/>
          <w:color w:val="2D2D2D"/>
          <w:bdr w:val="none" w:sz="0" w:space="0" w:color="auto" w:frame="1"/>
          <w:lang w:eastAsia="es-CO"/>
        </w:rPr>
        <w:t>“</w:t>
      </w:r>
      <w:r w:rsidRPr="008A1954">
        <w:rPr>
          <w:rFonts w:ascii="Arial" w:eastAsia="Times New Roman" w:hAnsi="Arial" w:cs="Arial"/>
          <w:b/>
          <w:i/>
          <w:iCs/>
          <w:color w:val="2D2D2D"/>
          <w:u w:val="single"/>
          <w:bdr w:val="none" w:sz="0" w:space="0" w:color="auto" w:frame="1"/>
          <w:lang w:eastAsia="es-CO"/>
        </w:rPr>
        <w:t>E</w:t>
      </w:r>
      <w:r w:rsidR="00EC2D2F" w:rsidRPr="00EC2D2F">
        <w:rPr>
          <w:rFonts w:ascii="Arial" w:eastAsia="Times New Roman" w:hAnsi="Arial" w:cs="Arial"/>
          <w:b/>
          <w:i/>
          <w:iCs/>
          <w:color w:val="2D2D2D"/>
          <w:u w:val="single"/>
          <w:bdr w:val="none" w:sz="0" w:space="0" w:color="auto" w:frame="1"/>
          <w:lang w:eastAsia="es-CO"/>
        </w:rPr>
        <w:t>sta Corporación ha hecho uso de la figura del estado de cosas inconstitucional con el fin de buscar remedio a situaciones de vulneración de los derechos fundamentales que tengan un carácter general - en tanto que afectan a multitud de personas -, y cuyas causas sean de naturaleza estructural - es decir que, por lo regular, no se originan de manera exclusiva en la autoridad demandada y, por lo tanto, su solución exige la acción mancomunada de distintas entidades</w:t>
      </w:r>
      <w:r w:rsidR="00EC2D2F" w:rsidRPr="00EC2D2F">
        <w:rPr>
          <w:rFonts w:ascii="Arial" w:eastAsia="Times New Roman" w:hAnsi="Arial" w:cs="Arial"/>
          <w:i/>
          <w:iCs/>
          <w:color w:val="2D2D2D"/>
          <w:bdr w:val="none" w:sz="0" w:space="0" w:color="auto" w:frame="1"/>
          <w:lang w:eastAsia="es-CO"/>
        </w:rPr>
        <w:t>. En estas condiciones, la Corte ha considerado que dado que miles de personas se encuentran en igual situación y que si todas acudieran a la tutela podrían congestionar de manera innecesaria la administración de justicia, lo más indicado es dictar órdenes a las instituciones oficiales competentes con el fin de que pongan en acción sus facultades para eliminar ese estado de cosas inconstitucional</w:t>
      </w:r>
      <w:r>
        <w:rPr>
          <w:rFonts w:ascii="Arial" w:eastAsia="Times New Roman" w:hAnsi="Arial" w:cs="Arial"/>
          <w:i/>
          <w:iCs/>
          <w:color w:val="2D2D2D"/>
          <w:bdr w:val="none" w:sz="0" w:space="0" w:color="auto" w:frame="1"/>
          <w:lang w:eastAsia="es-CO"/>
        </w:rPr>
        <w:t>”</w:t>
      </w:r>
      <w:r w:rsidR="00EC2D2F" w:rsidRPr="00EC2D2F">
        <w:rPr>
          <w:rFonts w:ascii="Arial" w:eastAsia="Times New Roman" w:hAnsi="Arial" w:cs="Arial"/>
          <w:i/>
          <w:iCs/>
          <w:color w:val="2D2D2D"/>
          <w:bdr w:val="none" w:sz="0" w:space="0" w:color="auto" w:frame="1"/>
          <w:lang w:eastAsia="es-CO"/>
        </w:rPr>
        <w:t>.</w:t>
      </w:r>
    </w:p>
    <w:p w14:paraId="376D540D" w14:textId="77777777" w:rsidR="00EC2D2F" w:rsidRPr="00EC2D2F" w:rsidRDefault="00EC2D2F" w:rsidP="00EC2D2F">
      <w:pPr>
        <w:shd w:val="clear" w:color="auto" w:fill="FFFFFF"/>
        <w:spacing w:after="0" w:line="240" w:lineRule="auto"/>
        <w:jc w:val="both"/>
        <w:textAlignment w:val="baseline"/>
        <w:rPr>
          <w:rFonts w:ascii="Arial" w:eastAsia="Times New Roman" w:hAnsi="Arial" w:cs="Arial"/>
          <w:color w:val="2D2D2D"/>
          <w:lang w:eastAsia="es-CO"/>
        </w:rPr>
      </w:pPr>
      <w:r w:rsidRPr="00EC2D2F">
        <w:rPr>
          <w:rFonts w:ascii="Arial" w:eastAsia="Times New Roman" w:hAnsi="Arial" w:cs="Arial"/>
          <w:color w:val="2D2D2D"/>
          <w:bdr w:val="none" w:sz="0" w:space="0" w:color="auto" w:frame="1"/>
          <w:lang w:eastAsia="es-CO"/>
        </w:rPr>
        <w:t> </w:t>
      </w:r>
    </w:p>
    <w:p w14:paraId="783E3FC6" w14:textId="77777777" w:rsidR="00EC2D2F" w:rsidRPr="00EC2D2F" w:rsidRDefault="008A1954" w:rsidP="008A1954">
      <w:pPr>
        <w:shd w:val="clear" w:color="auto" w:fill="FFFFFF"/>
        <w:spacing w:after="0" w:line="240" w:lineRule="auto"/>
        <w:ind w:left="567"/>
        <w:jc w:val="both"/>
        <w:textAlignment w:val="baseline"/>
        <w:rPr>
          <w:rFonts w:ascii="Arial" w:eastAsia="Times New Roman" w:hAnsi="Arial" w:cs="Arial"/>
          <w:color w:val="2D2D2D"/>
          <w:sz w:val="24"/>
          <w:lang w:eastAsia="es-CO"/>
        </w:rPr>
      </w:pPr>
      <w:r w:rsidRPr="00B15615">
        <w:rPr>
          <w:rFonts w:ascii="Arial" w:eastAsia="Times New Roman" w:hAnsi="Arial" w:cs="Arial"/>
          <w:b/>
          <w:i/>
          <w:iCs/>
          <w:color w:val="2D2D2D"/>
          <w:u w:val="single"/>
          <w:bdr w:val="none" w:sz="0" w:space="0" w:color="auto" w:frame="1"/>
          <w:lang w:eastAsia="es-CO"/>
        </w:rPr>
        <w:t>“</w:t>
      </w:r>
      <w:r w:rsidR="00EC2D2F" w:rsidRPr="00EC2D2F">
        <w:rPr>
          <w:rFonts w:ascii="Arial" w:eastAsia="Times New Roman" w:hAnsi="Arial" w:cs="Arial"/>
          <w:b/>
          <w:i/>
          <w:iCs/>
          <w:color w:val="2D2D2D"/>
          <w:u w:val="single"/>
          <w:bdr w:val="none" w:sz="0" w:space="0" w:color="auto" w:frame="1"/>
          <w:lang w:eastAsia="es-CO"/>
        </w:rPr>
        <w:t xml:space="preserve">Las cárceles colombianas se caracterizan por el hacinamiento, las graves deficiencias en materia de servicios públicos y asistenciales, el imperio de la violencia, la extorsión y la corrupción, y la carencia de oportunidades y medios para la resocialización de los reclusos. Esta situación se ajusta plenamente a la definición del estado de cosas inconstitucional. Y de allí se deduce una flagrante violación de un abanico de derechos fundamentales de los internos en los centros penitenciarios colombianos, tales como la dignidad, la vida e integridad personal, los derechos a la familia, a la salud, al trabajo y a la presunción de inocencia, etc. Durante muchos años, la sociedad y el Estado se han cruzado de brazos frente a esta situación, observando con indiferencia la tragedia diaria de las cárceles, a pesar de que ella representaba día a día la transgresión de la Constitución y de las leyes. Las circunstancias en las que transcurre la vida en las cárceles exigen una pronta solución. En </w:t>
      </w:r>
      <w:r w:rsidR="00EC2D2F" w:rsidRPr="00EC2D2F">
        <w:rPr>
          <w:rFonts w:ascii="Arial" w:eastAsia="Times New Roman" w:hAnsi="Arial" w:cs="Arial"/>
          <w:b/>
          <w:i/>
          <w:iCs/>
          <w:color w:val="2D2D2D"/>
          <w:u w:val="single"/>
          <w:bdr w:val="none" w:sz="0" w:space="0" w:color="auto" w:frame="1"/>
          <w:lang w:eastAsia="es-CO"/>
        </w:rPr>
        <w:lastRenderedPageBreak/>
        <w:t xml:space="preserve">realidad, el problema carcelario representa no sólo un delicado asunto de orden público, como se percibe actualmente, sino una situación de extrema gravedad social que no puede dejarse desatendida. Pero el remedio de los males que azotan al sistema penitenciario no está únicamente en las manos del INPEC o del Ministerio de Justicia. Por eso, la </w:t>
      </w:r>
      <w:r w:rsidR="00D33ADA" w:rsidRPr="00EC2D2F">
        <w:rPr>
          <w:rFonts w:ascii="Arial" w:eastAsia="Times New Roman" w:hAnsi="Arial" w:cs="Arial"/>
          <w:b/>
          <w:i/>
          <w:iCs/>
          <w:color w:val="2D2D2D"/>
          <w:u w:val="single"/>
          <w:bdr w:val="none" w:sz="0" w:space="0" w:color="auto" w:frame="1"/>
          <w:lang w:eastAsia="es-CO"/>
        </w:rPr>
        <w:t>Corte tiene</w:t>
      </w:r>
      <w:r w:rsidR="00EC2D2F" w:rsidRPr="00EC2D2F">
        <w:rPr>
          <w:rFonts w:ascii="Arial" w:eastAsia="Times New Roman" w:hAnsi="Arial" w:cs="Arial"/>
          <w:b/>
          <w:i/>
          <w:iCs/>
          <w:color w:val="2D2D2D"/>
          <w:u w:val="single"/>
          <w:bdr w:val="none" w:sz="0" w:space="0" w:color="auto" w:frame="1"/>
          <w:lang w:eastAsia="es-CO"/>
        </w:rPr>
        <w:t xml:space="preserve"> que pasar a requerir </w:t>
      </w:r>
      <w:r w:rsidR="00D33ADA" w:rsidRPr="00EC2D2F">
        <w:rPr>
          <w:rFonts w:ascii="Arial" w:eastAsia="Times New Roman" w:hAnsi="Arial" w:cs="Arial"/>
          <w:b/>
          <w:i/>
          <w:iCs/>
          <w:color w:val="2D2D2D"/>
          <w:u w:val="single"/>
          <w:bdr w:val="none" w:sz="0" w:space="0" w:color="auto" w:frame="1"/>
          <w:lang w:eastAsia="es-CO"/>
        </w:rPr>
        <w:t>a distintas</w:t>
      </w:r>
      <w:r w:rsidR="00EC2D2F" w:rsidRPr="00EC2D2F">
        <w:rPr>
          <w:rFonts w:ascii="Arial" w:eastAsia="Times New Roman" w:hAnsi="Arial" w:cs="Arial"/>
          <w:b/>
          <w:i/>
          <w:iCs/>
          <w:color w:val="2D2D2D"/>
          <w:u w:val="single"/>
          <w:bdr w:val="none" w:sz="0" w:space="0" w:color="auto" w:frame="1"/>
          <w:lang w:eastAsia="es-CO"/>
        </w:rPr>
        <w:t xml:space="preserve"> ramas y órganos del Poder Público para que tomen las medidas adecuadas en dirección a la solución de este problema</w:t>
      </w:r>
      <w:r w:rsidR="00117BF0" w:rsidRPr="00B15615">
        <w:rPr>
          <w:rFonts w:ascii="Arial" w:eastAsia="Times New Roman" w:hAnsi="Arial" w:cs="Arial"/>
          <w:b/>
          <w:i/>
          <w:iCs/>
          <w:color w:val="2D2D2D"/>
          <w:u w:val="single"/>
          <w:bdr w:val="none" w:sz="0" w:space="0" w:color="auto" w:frame="1"/>
          <w:lang w:eastAsia="es-CO"/>
        </w:rPr>
        <w:t>”</w:t>
      </w:r>
      <w:r w:rsidR="00EC2D2F" w:rsidRPr="00EC2D2F">
        <w:rPr>
          <w:rFonts w:ascii="Arial" w:eastAsia="Times New Roman" w:hAnsi="Arial" w:cs="Arial"/>
          <w:b/>
          <w:i/>
          <w:iCs/>
          <w:color w:val="2D2D2D"/>
          <w:u w:val="single"/>
          <w:bdr w:val="none" w:sz="0" w:space="0" w:color="auto" w:frame="1"/>
          <w:lang w:eastAsia="es-CO"/>
        </w:rPr>
        <w:t>.</w:t>
      </w:r>
      <w:r>
        <w:rPr>
          <w:rFonts w:ascii="Arial" w:eastAsia="Times New Roman" w:hAnsi="Arial" w:cs="Arial"/>
          <w:iCs/>
          <w:color w:val="2D2D2D"/>
          <w:sz w:val="24"/>
          <w:bdr w:val="none" w:sz="0" w:space="0" w:color="auto" w:frame="1"/>
          <w:lang w:eastAsia="es-CO"/>
        </w:rPr>
        <w:t xml:space="preserve"> (Subraya </w:t>
      </w:r>
      <w:r w:rsidR="00B15615">
        <w:rPr>
          <w:rFonts w:ascii="Arial" w:eastAsia="Times New Roman" w:hAnsi="Arial" w:cs="Arial"/>
          <w:iCs/>
          <w:color w:val="2D2D2D"/>
          <w:sz w:val="24"/>
          <w:bdr w:val="none" w:sz="0" w:space="0" w:color="auto" w:frame="1"/>
          <w:lang w:eastAsia="es-CO"/>
        </w:rPr>
        <w:t xml:space="preserve">y negrilla </w:t>
      </w:r>
      <w:r>
        <w:rPr>
          <w:rFonts w:ascii="Arial" w:eastAsia="Times New Roman" w:hAnsi="Arial" w:cs="Arial"/>
          <w:iCs/>
          <w:color w:val="2D2D2D"/>
          <w:sz w:val="24"/>
          <w:bdr w:val="none" w:sz="0" w:space="0" w:color="auto" w:frame="1"/>
          <w:lang w:eastAsia="es-CO"/>
        </w:rPr>
        <w:t>fuera de texto).</w:t>
      </w:r>
    </w:p>
    <w:p w14:paraId="072192F5" w14:textId="77777777" w:rsidR="00EC2D2F" w:rsidRPr="00EC2D2F" w:rsidRDefault="00EC2D2F" w:rsidP="00EC2D2F">
      <w:pPr>
        <w:shd w:val="clear" w:color="auto" w:fill="FFFFFF"/>
        <w:spacing w:after="0" w:line="240" w:lineRule="auto"/>
        <w:jc w:val="both"/>
        <w:textAlignment w:val="baseline"/>
        <w:rPr>
          <w:rFonts w:ascii="Times New Roman" w:eastAsia="Times New Roman" w:hAnsi="Times New Roman" w:cs="Times New Roman"/>
          <w:color w:val="2D2D2D"/>
          <w:sz w:val="20"/>
          <w:szCs w:val="20"/>
          <w:lang w:eastAsia="es-CO"/>
        </w:rPr>
      </w:pPr>
      <w:r w:rsidRPr="00EC2D2F">
        <w:rPr>
          <w:rFonts w:ascii="Times New Roman" w:eastAsia="Times New Roman" w:hAnsi="Times New Roman" w:cs="Times New Roman"/>
          <w:color w:val="2D2D2D"/>
          <w:sz w:val="28"/>
          <w:szCs w:val="28"/>
          <w:bdr w:val="none" w:sz="0" w:space="0" w:color="auto" w:frame="1"/>
          <w:lang w:eastAsia="es-CO"/>
        </w:rPr>
        <w:t> </w:t>
      </w:r>
    </w:p>
    <w:p w14:paraId="2E0F7694" w14:textId="77777777" w:rsidR="00EA2DE0" w:rsidRDefault="00B15615" w:rsidP="00EC2D2F">
      <w:pPr>
        <w:pStyle w:val="Default"/>
        <w:tabs>
          <w:tab w:val="left" w:pos="1485"/>
        </w:tabs>
        <w:jc w:val="both"/>
        <w:rPr>
          <w:color w:val="auto"/>
        </w:rPr>
      </w:pPr>
      <w:r>
        <w:rPr>
          <w:color w:val="auto"/>
        </w:rPr>
        <w:t xml:space="preserve">Como se observa, se establece por parte del tribunal constitucional, </w:t>
      </w:r>
      <w:r w:rsidRPr="004F2F90">
        <w:rPr>
          <w:b/>
          <w:color w:val="auto"/>
          <w:u w:val="single"/>
        </w:rPr>
        <w:t>que en C</w:t>
      </w:r>
      <w:r w:rsidR="00C0595B" w:rsidRPr="004F2F90">
        <w:rPr>
          <w:b/>
          <w:color w:val="auto"/>
          <w:u w:val="single"/>
        </w:rPr>
        <w:t>olombia</w:t>
      </w:r>
      <w:r w:rsidRPr="004F2F90">
        <w:rPr>
          <w:b/>
          <w:color w:val="auto"/>
          <w:u w:val="single"/>
        </w:rPr>
        <w:t xml:space="preserve"> no se garantizan los derechos fundamentales de la población privada de la libertad, y tampoco se cumple con la función de resocialización</w:t>
      </w:r>
      <w:r>
        <w:rPr>
          <w:color w:val="auto"/>
        </w:rPr>
        <w:t>.</w:t>
      </w:r>
    </w:p>
    <w:p w14:paraId="2244E0BD" w14:textId="77777777" w:rsidR="00B15615" w:rsidRDefault="00B15615" w:rsidP="00EC2D2F">
      <w:pPr>
        <w:pStyle w:val="Default"/>
        <w:tabs>
          <w:tab w:val="left" w:pos="1485"/>
        </w:tabs>
        <w:jc w:val="both"/>
        <w:rPr>
          <w:color w:val="auto"/>
        </w:rPr>
      </w:pPr>
    </w:p>
    <w:p w14:paraId="476E6563" w14:textId="77777777" w:rsidR="00D031AD" w:rsidRDefault="00B15615" w:rsidP="00EC2D2F">
      <w:pPr>
        <w:pStyle w:val="Default"/>
        <w:tabs>
          <w:tab w:val="left" w:pos="1485"/>
        </w:tabs>
        <w:jc w:val="both"/>
        <w:rPr>
          <w:color w:val="auto"/>
        </w:rPr>
      </w:pPr>
      <w:r>
        <w:rPr>
          <w:color w:val="auto"/>
        </w:rPr>
        <w:t xml:space="preserve">Posteriormente, </w:t>
      </w:r>
      <w:r w:rsidR="00C0595B">
        <w:rPr>
          <w:color w:val="auto"/>
        </w:rPr>
        <w:t xml:space="preserve">la misma Corte Constitucional en </w:t>
      </w:r>
      <w:r w:rsidR="00C0595B" w:rsidRPr="004F2F90">
        <w:rPr>
          <w:b/>
          <w:color w:val="auto"/>
        </w:rPr>
        <w:t>sentencia T-388 de 2013</w:t>
      </w:r>
      <w:r w:rsidR="00C0595B">
        <w:rPr>
          <w:color w:val="auto"/>
        </w:rPr>
        <w:t xml:space="preserve"> (M.P. María Victoria Calle Correa), consideró que las violaciones sistemáticas de derechos humanos persistían, y que no podían ser superadas únicamente con la construcción de </w:t>
      </w:r>
      <w:r w:rsidR="00D031AD">
        <w:rPr>
          <w:color w:val="auto"/>
        </w:rPr>
        <w:t>nuevos cupos carcelarios.</w:t>
      </w:r>
    </w:p>
    <w:p w14:paraId="71345FAD" w14:textId="77777777" w:rsidR="00D031AD" w:rsidRDefault="00D031AD" w:rsidP="00EC2D2F">
      <w:pPr>
        <w:pStyle w:val="Default"/>
        <w:tabs>
          <w:tab w:val="left" w:pos="1485"/>
        </w:tabs>
        <w:jc w:val="both"/>
        <w:rPr>
          <w:color w:val="auto"/>
        </w:rPr>
      </w:pPr>
    </w:p>
    <w:p w14:paraId="01477274" w14:textId="77777777" w:rsidR="00D031AD" w:rsidRDefault="00D031AD" w:rsidP="00EC2D2F">
      <w:pPr>
        <w:pStyle w:val="Default"/>
        <w:tabs>
          <w:tab w:val="left" w:pos="1485"/>
        </w:tabs>
        <w:jc w:val="both"/>
        <w:rPr>
          <w:color w:val="auto"/>
        </w:rPr>
      </w:pPr>
      <w:r>
        <w:rPr>
          <w:color w:val="auto"/>
        </w:rPr>
        <w:t xml:space="preserve">Seguidamente, el tribunal constitucional en </w:t>
      </w:r>
      <w:r w:rsidRPr="004F2F90">
        <w:rPr>
          <w:b/>
          <w:color w:val="auto"/>
        </w:rPr>
        <w:t>sentencia T-762 de 2015</w:t>
      </w:r>
      <w:r>
        <w:rPr>
          <w:color w:val="auto"/>
        </w:rPr>
        <w:t xml:space="preserve"> (M.P. Gloria Stella Ortiz Delgado), </w:t>
      </w:r>
      <w:r w:rsidRPr="004F2F90">
        <w:rPr>
          <w:b/>
          <w:color w:val="auto"/>
          <w:u w:val="single"/>
        </w:rPr>
        <w:t>reiteró la existencia de un estado de cosas contrarias a la Constitución Política de 1991</w:t>
      </w:r>
      <w:r>
        <w:rPr>
          <w:color w:val="auto"/>
        </w:rPr>
        <w:t>, ordenó el fortaleci</w:t>
      </w:r>
      <w:r w:rsidR="00E577DC">
        <w:rPr>
          <w:color w:val="auto"/>
        </w:rPr>
        <w:t>miento del Consejo Superior de P</w:t>
      </w:r>
      <w:r>
        <w:rPr>
          <w:color w:val="auto"/>
        </w:rPr>
        <w:t xml:space="preserve">olítica Criminal, e igualmente, ordenó </w:t>
      </w:r>
      <w:r w:rsidR="00E577DC">
        <w:rPr>
          <w:color w:val="auto"/>
        </w:rPr>
        <w:t>l</w:t>
      </w:r>
      <w:r>
        <w:rPr>
          <w:color w:val="auto"/>
        </w:rPr>
        <w:t>a creación del comité interparlamentario para la estructuración de las normas técnicas sobre privación de la libertad.</w:t>
      </w:r>
    </w:p>
    <w:p w14:paraId="2CFE7055" w14:textId="77777777" w:rsidR="00D031AD" w:rsidRDefault="00D031AD" w:rsidP="00EC2D2F">
      <w:pPr>
        <w:pStyle w:val="Default"/>
        <w:tabs>
          <w:tab w:val="left" w:pos="1485"/>
        </w:tabs>
        <w:jc w:val="both"/>
        <w:rPr>
          <w:color w:val="auto"/>
        </w:rPr>
      </w:pPr>
    </w:p>
    <w:p w14:paraId="38283C74" w14:textId="77777777" w:rsidR="00B15615" w:rsidRDefault="00D031AD" w:rsidP="00EC2D2F">
      <w:pPr>
        <w:pStyle w:val="Default"/>
        <w:tabs>
          <w:tab w:val="left" w:pos="1485"/>
        </w:tabs>
        <w:jc w:val="both"/>
        <w:rPr>
          <w:color w:val="auto"/>
        </w:rPr>
      </w:pPr>
      <w:r>
        <w:rPr>
          <w:color w:val="auto"/>
        </w:rPr>
        <w:t xml:space="preserve">Finalmente, a través del </w:t>
      </w:r>
      <w:r w:rsidR="004F2F90">
        <w:rPr>
          <w:b/>
          <w:color w:val="auto"/>
        </w:rPr>
        <w:t>A</w:t>
      </w:r>
      <w:r w:rsidRPr="004F2F90">
        <w:rPr>
          <w:b/>
          <w:color w:val="auto"/>
        </w:rPr>
        <w:t>uto 1212 de 2018</w:t>
      </w:r>
      <w:r w:rsidR="00C0595B">
        <w:rPr>
          <w:color w:val="auto"/>
        </w:rPr>
        <w:t xml:space="preserve"> </w:t>
      </w:r>
      <w:r w:rsidR="004F2F90">
        <w:rPr>
          <w:color w:val="auto"/>
        </w:rPr>
        <w:t>la C</w:t>
      </w:r>
      <w:r>
        <w:rPr>
          <w:color w:val="auto"/>
        </w:rPr>
        <w:t>orte Constitucional estableció cuatro bastiones de seguimiento: 1) Base de datos y el sistema de información sobre política criminal; 2) Normas Técnicas sobre privación de la libertad; 3) Línea base; y 4) Definición de los indicadores de goce efectivo de derechos.</w:t>
      </w:r>
    </w:p>
    <w:p w14:paraId="7AA40FBB" w14:textId="77777777" w:rsidR="00960DDA" w:rsidRDefault="00960DDA" w:rsidP="00EC2D2F">
      <w:pPr>
        <w:pStyle w:val="Default"/>
        <w:tabs>
          <w:tab w:val="left" w:pos="1485"/>
        </w:tabs>
        <w:jc w:val="both"/>
        <w:rPr>
          <w:color w:val="auto"/>
        </w:rPr>
      </w:pPr>
    </w:p>
    <w:p w14:paraId="02FC7C83" w14:textId="77777777" w:rsidR="00D50DA7" w:rsidRPr="00D50DA7" w:rsidRDefault="00960DDA" w:rsidP="00D50DA7">
      <w:pPr>
        <w:pStyle w:val="Default"/>
        <w:tabs>
          <w:tab w:val="left" w:pos="1485"/>
        </w:tabs>
        <w:jc w:val="both"/>
        <w:rPr>
          <w:color w:val="auto"/>
        </w:rPr>
      </w:pPr>
      <w:r>
        <w:rPr>
          <w:color w:val="auto"/>
        </w:rPr>
        <w:t xml:space="preserve">Teniendo en cuenta los postulados precedentes, </w:t>
      </w:r>
      <w:r w:rsidRPr="004F2F90">
        <w:rPr>
          <w:b/>
          <w:color w:val="auto"/>
          <w:u w:val="single"/>
        </w:rPr>
        <w:t>consideramos pertinente la formulación de instrumentos legales que coadyuven en la superación de la problemática declarada como “</w:t>
      </w:r>
      <w:r w:rsidRPr="004F2F90">
        <w:rPr>
          <w:b/>
          <w:i/>
          <w:color w:val="auto"/>
          <w:u w:val="single"/>
        </w:rPr>
        <w:t>estado de cosas inconstitucional</w:t>
      </w:r>
      <w:r w:rsidRPr="004F2F90">
        <w:rPr>
          <w:b/>
          <w:color w:val="auto"/>
          <w:u w:val="single"/>
        </w:rPr>
        <w:t>”</w:t>
      </w:r>
      <w:r w:rsidR="00D50DA7" w:rsidRPr="004F2F90">
        <w:rPr>
          <w:b/>
          <w:color w:val="auto"/>
          <w:u w:val="single"/>
        </w:rPr>
        <w:t xml:space="preserve"> por parte de la Corte Constitucional</w:t>
      </w:r>
      <w:r w:rsidR="00D50DA7">
        <w:rPr>
          <w:color w:val="auto"/>
        </w:rPr>
        <w:t xml:space="preserve">. Es así, como se pone a consideración del Congreso de la República, el proyecto de ley </w:t>
      </w:r>
      <w:r w:rsidR="00D50DA7" w:rsidRPr="00203B5E">
        <w:rPr>
          <w:i/>
        </w:rPr>
        <w:t>“Por medio de</w:t>
      </w:r>
      <w:r w:rsidR="00D50DA7">
        <w:rPr>
          <w:i/>
        </w:rPr>
        <w:t xml:space="preserve"> </w:t>
      </w:r>
      <w:r w:rsidR="00D50DA7" w:rsidRPr="00203B5E">
        <w:rPr>
          <w:i/>
        </w:rPr>
        <w:t>l</w:t>
      </w:r>
      <w:r w:rsidR="00D50DA7">
        <w:rPr>
          <w:i/>
        </w:rPr>
        <w:t>a</w:t>
      </w:r>
      <w:r w:rsidR="00D50DA7" w:rsidRPr="00203B5E">
        <w:rPr>
          <w:i/>
        </w:rPr>
        <w:t xml:space="preserve"> cual se</w:t>
      </w:r>
      <w:r w:rsidR="00D50DA7">
        <w:rPr>
          <w:i/>
        </w:rPr>
        <w:t xml:space="preserve"> establecen medidas contra el hacinamiento carcelario y penitenciario y se dictan otras disposiciones”</w:t>
      </w:r>
      <w:r w:rsidR="00D50DA7">
        <w:t xml:space="preserve">, con miras a enfrentar la sobrepoblación o el hacinamiento carcelario y/o penitenciario, garantizando la dignidad humana </w:t>
      </w:r>
      <w:r w:rsidR="00A87C06">
        <w:t xml:space="preserve">y demás garantías fundamentales </w:t>
      </w:r>
      <w:r w:rsidR="00D50DA7">
        <w:t xml:space="preserve">de las personas privadas de </w:t>
      </w:r>
      <w:r w:rsidR="00D50DA7" w:rsidRPr="0055576F">
        <w:t>la libertad</w:t>
      </w:r>
      <w:r w:rsidR="00D50DA7">
        <w:t>, que se encentren</w:t>
      </w:r>
      <w:r w:rsidR="00D50DA7" w:rsidRPr="0055576F">
        <w:t xml:space="preserve"> recluidas en centros penitenciarios y</w:t>
      </w:r>
      <w:r w:rsidR="00D50DA7">
        <w:t>/o</w:t>
      </w:r>
      <w:r w:rsidR="00D50DA7" w:rsidRPr="0055576F">
        <w:t xml:space="preserve"> carcelarios en todo el territorio nacional.</w:t>
      </w:r>
      <w:r w:rsidR="00D50DA7">
        <w:t xml:space="preserve"> Ello, con observancia a las garantías constitucionales, legales y jurisprudenciales.</w:t>
      </w:r>
    </w:p>
    <w:p w14:paraId="05FC1D71" w14:textId="58841932" w:rsidR="00E577DC" w:rsidRDefault="00E577DC" w:rsidP="00D50DA7">
      <w:pPr>
        <w:pStyle w:val="Default"/>
        <w:tabs>
          <w:tab w:val="left" w:pos="1485"/>
        </w:tabs>
        <w:jc w:val="both"/>
        <w:rPr>
          <w:color w:val="auto"/>
        </w:rPr>
      </w:pPr>
      <w:r>
        <w:rPr>
          <w:color w:val="auto"/>
        </w:rPr>
        <w:lastRenderedPageBreak/>
        <w:t>Como fundamento de lo anterior, se considerá pertinente tener en cuenta</w:t>
      </w:r>
      <w:r w:rsidR="00381F15">
        <w:rPr>
          <w:color w:val="auto"/>
        </w:rPr>
        <w:t xml:space="preserve"> los siguientes acápites</w:t>
      </w:r>
      <w:r>
        <w:rPr>
          <w:color w:val="auto"/>
        </w:rPr>
        <w:t>:</w:t>
      </w:r>
    </w:p>
    <w:p w14:paraId="3402216A" w14:textId="77777777" w:rsidR="00E577DC" w:rsidRDefault="00E577DC" w:rsidP="00D50DA7">
      <w:pPr>
        <w:pStyle w:val="Default"/>
        <w:tabs>
          <w:tab w:val="left" w:pos="1485"/>
        </w:tabs>
        <w:jc w:val="both"/>
        <w:rPr>
          <w:color w:val="auto"/>
        </w:rPr>
      </w:pPr>
    </w:p>
    <w:p w14:paraId="50C89D2C" w14:textId="77777777" w:rsidR="000E4410" w:rsidRPr="007100D7" w:rsidRDefault="000E4410" w:rsidP="00D33ADA">
      <w:pPr>
        <w:pStyle w:val="Default"/>
        <w:numPr>
          <w:ilvl w:val="0"/>
          <w:numId w:val="40"/>
        </w:numPr>
        <w:tabs>
          <w:tab w:val="left" w:pos="1485"/>
        </w:tabs>
        <w:jc w:val="both"/>
        <w:rPr>
          <w:b/>
          <w:color w:val="auto"/>
        </w:rPr>
      </w:pPr>
      <w:r w:rsidRPr="00D33ADA">
        <w:rPr>
          <w:b/>
          <w:color w:val="auto"/>
          <w:u w:val="single"/>
        </w:rPr>
        <w:t>De la población carcelaria en Colombia</w:t>
      </w:r>
      <w:r w:rsidR="007100D7" w:rsidRPr="00D33ADA">
        <w:rPr>
          <w:b/>
          <w:color w:val="auto"/>
          <w:u w:val="single"/>
        </w:rPr>
        <w:t>:</w:t>
      </w:r>
    </w:p>
    <w:p w14:paraId="3B428DA2" w14:textId="77777777" w:rsidR="000E4410" w:rsidRDefault="000E4410" w:rsidP="00D50DA7">
      <w:pPr>
        <w:pStyle w:val="Default"/>
        <w:tabs>
          <w:tab w:val="left" w:pos="1485"/>
        </w:tabs>
        <w:jc w:val="both"/>
        <w:rPr>
          <w:color w:val="auto"/>
        </w:rPr>
      </w:pPr>
    </w:p>
    <w:p w14:paraId="034041DE" w14:textId="3E69FBBB" w:rsidR="000E4410" w:rsidRDefault="000E4410" w:rsidP="002A0A71">
      <w:pPr>
        <w:pStyle w:val="Default"/>
        <w:tabs>
          <w:tab w:val="left" w:pos="1485"/>
        </w:tabs>
        <w:jc w:val="both"/>
        <w:rPr>
          <w:color w:val="auto"/>
        </w:rPr>
      </w:pPr>
      <w:r>
        <w:rPr>
          <w:color w:val="auto"/>
        </w:rPr>
        <w:t xml:space="preserve">Dentro del sistema </w:t>
      </w:r>
      <w:r w:rsidR="002A0A71">
        <w:rPr>
          <w:color w:val="auto"/>
        </w:rPr>
        <w:t>normativo</w:t>
      </w:r>
      <w:r>
        <w:rPr>
          <w:color w:val="auto"/>
        </w:rPr>
        <w:t xml:space="preserve"> colombiano, el ordenamiento jurídico de procedimiento penal establece como causa para que un individuo </w:t>
      </w:r>
      <w:r w:rsidR="002A0A71">
        <w:rPr>
          <w:color w:val="auto"/>
        </w:rPr>
        <w:t>sea recluido en un establecimiento carcelario y/o penitenciario,</w:t>
      </w:r>
      <w:r w:rsidR="008E7823">
        <w:rPr>
          <w:color w:val="auto"/>
        </w:rPr>
        <w:t xml:space="preserve"> una de dos situaciones: p</w:t>
      </w:r>
      <w:r>
        <w:rPr>
          <w:color w:val="auto"/>
        </w:rPr>
        <w:t xml:space="preserve">or un lado, la aplicación de una caución personal (física) denominada medida de aseguramiento, la cual implica que el sujeto contra quien se </w:t>
      </w:r>
      <w:r w:rsidR="008F7B41">
        <w:rPr>
          <w:color w:val="auto"/>
        </w:rPr>
        <w:t xml:space="preserve">adelanta </w:t>
      </w:r>
      <w:r>
        <w:rPr>
          <w:color w:val="auto"/>
        </w:rPr>
        <w:t xml:space="preserve">la investigación penal y posterior juicio, enfrente </w:t>
      </w:r>
      <w:r w:rsidR="002A0A71">
        <w:rPr>
          <w:color w:val="auto"/>
        </w:rPr>
        <w:t>el</w:t>
      </w:r>
      <w:r>
        <w:rPr>
          <w:color w:val="auto"/>
        </w:rPr>
        <w:t xml:space="preserve"> proceso de</w:t>
      </w:r>
      <w:r w:rsidR="002A0A71">
        <w:rPr>
          <w:color w:val="auto"/>
        </w:rPr>
        <w:t>sde un establecimiento carcelario</w:t>
      </w:r>
      <w:r>
        <w:rPr>
          <w:color w:val="auto"/>
        </w:rPr>
        <w:t xml:space="preserve"> y se presenta por una de tres causales taxativas. El artículo </w:t>
      </w:r>
      <w:r w:rsidR="008F7B41">
        <w:rPr>
          <w:color w:val="auto"/>
        </w:rPr>
        <w:t>308</w:t>
      </w:r>
      <w:r>
        <w:rPr>
          <w:color w:val="auto"/>
        </w:rPr>
        <w:t xml:space="preserve"> del Código de Procedimiento Penal </w:t>
      </w:r>
      <w:r w:rsidR="008F7B41">
        <w:rPr>
          <w:color w:val="auto"/>
        </w:rPr>
        <w:t>establece que la procedencia de la pedida de aseguramiento se sustenta en</w:t>
      </w:r>
      <w:r w:rsidR="002A0A71">
        <w:rPr>
          <w:color w:val="auto"/>
        </w:rPr>
        <w:t>:</w:t>
      </w:r>
      <w:r w:rsidR="008F7B41">
        <w:rPr>
          <w:color w:val="auto"/>
        </w:rPr>
        <w:t xml:space="preserve"> a) Que la medida de aseguramiento se muestre como necesaria para evitar que el imputado obstruya el debido eje</w:t>
      </w:r>
      <w:r w:rsidR="002A0A71">
        <w:rPr>
          <w:color w:val="auto"/>
        </w:rPr>
        <w:t>rcicio de la justicia;</w:t>
      </w:r>
      <w:r w:rsidR="008F7B41">
        <w:rPr>
          <w:color w:val="auto"/>
        </w:rPr>
        <w:t xml:space="preserve"> b) Que el imputado constituya un peligro para la seguridad de la sociedad o de la víctima</w:t>
      </w:r>
      <w:r w:rsidR="002A0A71">
        <w:rPr>
          <w:color w:val="auto"/>
        </w:rPr>
        <w:t>;</w:t>
      </w:r>
      <w:r w:rsidR="008F7B41">
        <w:rPr>
          <w:color w:val="auto"/>
        </w:rPr>
        <w:t xml:space="preserve"> y c) Que resulte probable que el imputado no comparecerá al proceso o que no cumplirá la sentencia. </w:t>
      </w:r>
    </w:p>
    <w:p w14:paraId="532B9619" w14:textId="77777777" w:rsidR="008F7B41" w:rsidRDefault="008F7B41" w:rsidP="00D50DA7">
      <w:pPr>
        <w:pStyle w:val="Default"/>
        <w:tabs>
          <w:tab w:val="left" w:pos="1485"/>
        </w:tabs>
        <w:jc w:val="both"/>
        <w:rPr>
          <w:color w:val="auto"/>
        </w:rPr>
      </w:pPr>
    </w:p>
    <w:p w14:paraId="4A2A1C9E" w14:textId="5E2F74AD" w:rsidR="008F7B41" w:rsidRDefault="008F7B41" w:rsidP="00D50DA7">
      <w:pPr>
        <w:pStyle w:val="Default"/>
        <w:tabs>
          <w:tab w:val="left" w:pos="1485"/>
        </w:tabs>
        <w:jc w:val="both"/>
        <w:rPr>
          <w:color w:val="auto"/>
        </w:rPr>
      </w:pPr>
      <w:r>
        <w:rPr>
          <w:color w:val="auto"/>
        </w:rPr>
        <w:t xml:space="preserve">Entonces, de presentarse </w:t>
      </w:r>
      <w:r w:rsidR="003B7AA4">
        <w:rPr>
          <w:color w:val="auto"/>
        </w:rPr>
        <w:t>suficientemente argumentada</w:t>
      </w:r>
      <w:r>
        <w:rPr>
          <w:color w:val="auto"/>
        </w:rPr>
        <w:t xml:space="preserve"> por la Fiscalía </w:t>
      </w:r>
      <w:r w:rsidR="00EB0F46">
        <w:rPr>
          <w:color w:val="auto"/>
        </w:rPr>
        <w:t xml:space="preserve">General de la Nación </w:t>
      </w:r>
      <w:r>
        <w:rPr>
          <w:color w:val="auto"/>
        </w:rPr>
        <w:t>una de estas tres causales, el juez decretará la aplicación de la medida de aseguramiento y dispondrá de la libertad del procesado remitiéndolo</w:t>
      </w:r>
      <w:r w:rsidR="002A0A71">
        <w:rPr>
          <w:color w:val="auto"/>
        </w:rPr>
        <w:t>,</w:t>
      </w:r>
      <w:r>
        <w:rPr>
          <w:color w:val="auto"/>
        </w:rPr>
        <w:t xml:space="preserve"> entre otras, a un</w:t>
      </w:r>
      <w:r w:rsidR="002A0A71">
        <w:rPr>
          <w:color w:val="auto"/>
        </w:rPr>
        <w:t xml:space="preserve"> establecimiento carcelario y/o</w:t>
      </w:r>
      <w:r>
        <w:rPr>
          <w:color w:val="auto"/>
        </w:rPr>
        <w:t xml:space="preserve"> penitenciari</w:t>
      </w:r>
      <w:r w:rsidR="002A0A71">
        <w:rPr>
          <w:color w:val="auto"/>
        </w:rPr>
        <w:t>o</w:t>
      </w:r>
      <w:r>
        <w:rPr>
          <w:color w:val="auto"/>
        </w:rPr>
        <w:t xml:space="preserve">. </w:t>
      </w:r>
    </w:p>
    <w:p w14:paraId="4C98BA94" w14:textId="77777777" w:rsidR="000E4410" w:rsidRDefault="000E4410" w:rsidP="00D50DA7">
      <w:pPr>
        <w:pStyle w:val="Default"/>
        <w:tabs>
          <w:tab w:val="left" w:pos="1485"/>
        </w:tabs>
        <w:jc w:val="both"/>
        <w:rPr>
          <w:color w:val="auto"/>
        </w:rPr>
      </w:pPr>
    </w:p>
    <w:p w14:paraId="1A3AB029" w14:textId="6327448B" w:rsidR="003B7AA4" w:rsidRDefault="003B7AA4" w:rsidP="00D50DA7">
      <w:pPr>
        <w:pStyle w:val="Default"/>
        <w:tabs>
          <w:tab w:val="left" w:pos="1485"/>
        </w:tabs>
        <w:jc w:val="both"/>
        <w:rPr>
          <w:color w:val="auto"/>
        </w:rPr>
      </w:pPr>
      <w:r>
        <w:rPr>
          <w:color w:val="auto"/>
        </w:rPr>
        <w:t xml:space="preserve">Por el otro, un individuo llega a una cárcel o penitenciaría, por resultar condenado mediante sentencia judicial, lo que implica determinarlo como responsable penalmente por la comisión de un delito, sentencia que es el resultado de todo un proceso de investigación y juicio, adelantado por la Fiscalía </w:t>
      </w:r>
      <w:r w:rsidR="00EB0F46">
        <w:rPr>
          <w:color w:val="auto"/>
        </w:rPr>
        <w:t xml:space="preserve">General de la Nación </w:t>
      </w:r>
      <w:r>
        <w:rPr>
          <w:color w:val="auto"/>
        </w:rPr>
        <w:t xml:space="preserve">ante un juez de la República. </w:t>
      </w:r>
    </w:p>
    <w:p w14:paraId="5884DA0D" w14:textId="77777777" w:rsidR="003B7AA4" w:rsidRDefault="003B7AA4" w:rsidP="00D50DA7">
      <w:pPr>
        <w:pStyle w:val="Default"/>
        <w:tabs>
          <w:tab w:val="left" w:pos="1485"/>
        </w:tabs>
        <w:jc w:val="both"/>
        <w:rPr>
          <w:color w:val="auto"/>
        </w:rPr>
      </w:pPr>
    </w:p>
    <w:p w14:paraId="7BAE17A9" w14:textId="44467517" w:rsidR="00014489" w:rsidRDefault="00EB0F46" w:rsidP="002F2589">
      <w:pPr>
        <w:pStyle w:val="Default"/>
        <w:tabs>
          <w:tab w:val="left" w:pos="1485"/>
        </w:tabs>
        <w:jc w:val="both"/>
        <w:rPr>
          <w:color w:val="auto"/>
        </w:rPr>
      </w:pPr>
      <w:r>
        <w:rPr>
          <w:color w:val="auto"/>
        </w:rPr>
        <w:t>Con fundamento</w:t>
      </w:r>
      <w:r w:rsidR="003B7AA4">
        <w:rPr>
          <w:color w:val="auto"/>
        </w:rPr>
        <w:t xml:space="preserve"> en lo anterior</w:t>
      </w:r>
      <w:r w:rsidR="002A0A71">
        <w:rPr>
          <w:color w:val="auto"/>
        </w:rPr>
        <w:t>,</w:t>
      </w:r>
      <w:r w:rsidR="003B7AA4">
        <w:rPr>
          <w:color w:val="auto"/>
        </w:rPr>
        <w:t xml:space="preserve"> es apenas lógico y razonable concluir que, la principal causa de la llegada de un sujeto a un</w:t>
      </w:r>
      <w:r w:rsidR="002A0A71">
        <w:rPr>
          <w:color w:val="auto"/>
        </w:rPr>
        <w:t xml:space="preserve"> establecimiento carcelario y/o penitenciario</w:t>
      </w:r>
      <w:r w:rsidR="003B7AA4">
        <w:rPr>
          <w:color w:val="auto"/>
        </w:rPr>
        <w:t xml:space="preserve">, es ser condenado penalmente. </w:t>
      </w:r>
      <w:r w:rsidR="002A0A71">
        <w:rPr>
          <w:color w:val="auto"/>
        </w:rPr>
        <w:t>Sin embargo, según el M</w:t>
      </w:r>
      <w:r w:rsidR="003B7AA4">
        <w:rPr>
          <w:color w:val="auto"/>
        </w:rPr>
        <w:t xml:space="preserve">inisterio de </w:t>
      </w:r>
      <w:r w:rsidR="002A0A71">
        <w:rPr>
          <w:color w:val="auto"/>
        </w:rPr>
        <w:t>J</w:t>
      </w:r>
      <w:r w:rsidR="003B7AA4">
        <w:rPr>
          <w:color w:val="auto"/>
        </w:rPr>
        <w:t xml:space="preserve">usticia y del </w:t>
      </w:r>
      <w:r w:rsidR="002A0A71">
        <w:rPr>
          <w:color w:val="auto"/>
        </w:rPr>
        <w:t>D</w:t>
      </w:r>
      <w:r w:rsidR="003B7AA4">
        <w:rPr>
          <w:color w:val="auto"/>
        </w:rPr>
        <w:t xml:space="preserve">erecho y el INPEC, de la totalidad de la población recluida en cárceles, penitenciarias o </w:t>
      </w:r>
      <w:r w:rsidR="00DD7D67">
        <w:rPr>
          <w:color w:val="auto"/>
        </w:rPr>
        <w:t>cualquier</w:t>
      </w:r>
      <w:r w:rsidR="003B7AA4">
        <w:rPr>
          <w:color w:val="auto"/>
        </w:rPr>
        <w:t xml:space="preserve"> otra </w:t>
      </w:r>
      <w:r w:rsidR="00DD7D67">
        <w:rPr>
          <w:color w:val="auto"/>
        </w:rPr>
        <w:t>institución</w:t>
      </w:r>
      <w:r w:rsidR="003B7AA4">
        <w:rPr>
          <w:color w:val="auto"/>
        </w:rPr>
        <w:t xml:space="preserve"> de reclusión,</w:t>
      </w:r>
      <w:r w:rsidR="008B7591">
        <w:rPr>
          <w:color w:val="auto"/>
        </w:rPr>
        <w:t xml:space="preserve"> e</w:t>
      </w:r>
      <w:r w:rsidR="008B7591" w:rsidRPr="008B7591">
        <w:rPr>
          <w:color w:val="auto"/>
        </w:rPr>
        <w:t>l censo de personas</w:t>
      </w:r>
      <w:r w:rsidR="008B7591">
        <w:rPr>
          <w:color w:val="auto"/>
        </w:rPr>
        <w:t xml:space="preserve"> privadas de la libertad en </w:t>
      </w:r>
      <w:r>
        <w:rPr>
          <w:color w:val="auto"/>
        </w:rPr>
        <w:t xml:space="preserve">los citados establecimientos </w:t>
      </w:r>
      <w:r w:rsidR="008B7591" w:rsidRPr="008B7591">
        <w:rPr>
          <w:color w:val="auto"/>
        </w:rPr>
        <w:t xml:space="preserve">del país, reveló </w:t>
      </w:r>
      <w:r w:rsidR="008B7591">
        <w:rPr>
          <w:color w:val="auto"/>
        </w:rPr>
        <w:t xml:space="preserve">que el </w:t>
      </w:r>
      <w:r w:rsidR="008B7591" w:rsidRPr="008B7591">
        <w:rPr>
          <w:color w:val="auto"/>
        </w:rPr>
        <w:t>hacinamiento</w:t>
      </w:r>
      <w:r>
        <w:rPr>
          <w:color w:val="auto"/>
        </w:rPr>
        <w:t xml:space="preserve"> en dichos</w:t>
      </w:r>
      <w:r w:rsidR="008B7591">
        <w:rPr>
          <w:color w:val="auto"/>
        </w:rPr>
        <w:t xml:space="preserve"> lugares corresponde a un 53.58 %</w:t>
      </w:r>
      <w:r w:rsidR="002F2589">
        <w:rPr>
          <w:color w:val="auto"/>
        </w:rPr>
        <w:t xml:space="preserve"> (</w:t>
      </w:r>
      <w:r w:rsidR="008B7591" w:rsidRPr="008B7591">
        <w:rPr>
          <w:color w:val="auto"/>
        </w:rPr>
        <w:t xml:space="preserve">Colombia </w:t>
      </w:r>
      <w:r w:rsidR="002F2589">
        <w:rPr>
          <w:color w:val="auto"/>
        </w:rPr>
        <w:t>cuenta con</w:t>
      </w:r>
      <w:r w:rsidR="008B7591" w:rsidRPr="008B7591">
        <w:rPr>
          <w:color w:val="auto"/>
        </w:rPr>
        <w:t xml:space="preserve"> 80.373 cupos</w:t>
      </w:r>
      <w:r w:rsidR="008B7591">
        <w:rPr>
          <w:color w:val="auto"/>
        </w:rPr>
        <w:t xml:space="preserve"> carcelarios</w:t>
      </w:r>
      <w:r>
        <w:rPr>
          <w:color w:val="auto"/>
        </w:rPr>
        <w:t xml:space="preserve">, sin embargo existe un total de 123.434 </w:t>
      </w:r>
      <w:r>
        <w:rPr>
          <w:color w:val="auto"/>
        </w:rPr>
        <w:lastRenderedPageBreak/>
        <w:t>internos en las cárceles, lo que nos lleva a concluir que hay u</w:t>
      </w:r>
      <w:r w:rsidR="002F2589">
        <w:rPr>
          <w:color w:val="auto"/>
        </w:rPr>
        <w:t xml:space="preserve">na </w:t>
      </w:r>
      <w:r>
        <w:rPr>
          <w:color w:val="auto"/>
        </w:rPr>
        <w:t>sobre</w:t>
      </w:r>
      <w:r w:rsidR="002F2589">
        <w:rPr>
          <w:color w:val="auto"/>
        </w:rPr>
        <w:t xml:space="preserve">población que se excede en </w:t>
      </w:r>
      <w:r w:rsidR="002F2589" w:rsidRPr="008B7591">
        <w:rPr>
          <w:color w:val="auto"/>
        </w:rPr>
        <w:t>40.361</w:t>
      </w:r>
      <w:r w:rsidR="002F2589">
        <w:rPr>
          <w:color w:val="auto"/>
        </w:rPr>
        <w:t>)</w:t>
      </w:r>
      <w:r w:rsidR="002F2589">
        <w:rPr>
          <w:rStyle w:val="Refdenotaalpie"/>
          <w:color w:val="auto"/>
        </w:rPr>
        <w:footnoteReference w:id="1"/>
      </w:r>
      <w:r w:rsidR="002F2589">
        <w:rPr>
          <w:color w:val="auto"/>
        </w:rPr>
        <w:t>.</w:t>
      </w:r>
    </w:p>
    <w:p w14:paraId="60CEA0A9" w14:textId="77777777" w:rsidR="00014489" w:rsidRDefault="00014489" w:rsidP="00D50DA7">
      <w:pPr>
        <w:pStyle w:val="Default"/>
        <w:tabs>
          <w:tab w:val="left" w:pos="1485"/>
        </w:tabs>
        <w:jc w:val="both"/>
        <w:rPr>
          <w:color w:val="auto"/>
        </w:rPr>
      </w:pPr>
    </w:p>
    <w:p w14:paraId="71F64D61" w14:textId="2ACEF630" w:rsidR="00014489" w:rsidRDefault="00014489" w:rsidP="00D50DA7">
      <w:pPr>
        <w:pStyle w:val="Default"/>
        <w:tabs>
          <w:tab w:val="left" w:pos="1485"/>
        </w:tabs>
        <w:jc w:val="both"/>
        <w:rPr>
          <w:color w:val="auto"/>
        </w:rPr>
      </w:pPr>
      <w:r>
        <w:rPr>
          <w:color w:val="auto"/>
        </w:rPr>
        <w:t xml:space="preserve">Ahora, lo grave de la situación planteada, entre otras, es </w:t>
      </w:r>
      <w:r w:rsidR="00EB0F46">
        <w:rPr>
          <w:color w:val="auto"/>
        </w:rPr>
        <w:t xml:space="preserve">que el panorama va empeorando día tras día. En </w:t>
      </w:r>
      <w:r w:rsidRPr="00014489">
        <w:rPr>
          <w:color w:val="auto"/>
        </w:rPr>
        <w:t xml:space="preserve">enero del año en curso, </w:t>
      </w:r>
      <w:r>
        <w:rPr>
          <w:color w:val="auto"/>
        </w:rPr>
        <w:t xml:space="preserve">según </w:t>
      </w:r>
      <w:r w:rsidRPr="00014489">
        <w:rPr>
          <w:color w:val="auto"/>
        </w:rPr>
        <w:t xml:space="preserve">la </w:t>
      </w:r>
      <w:r>
        <w:rPr>
          <w:color w:val="auto"/>
        </w:rPr>
        <w:t xml:space="preserve">ex </w:t>
      </w:r>
      <w:r w:rsidR="002F2589">
        <w:rPr>
          <w:color w:val="auto"/>
        </w:rPr>
        <w:t>M</w:t>
      </w:r>
      <w:r w:rsidRPr="00014489">
        <w:rPr>
          <w:color w:val="auto"/>
        </w:rPr>
        <w:t>inistra de Justicia, Gloria María Borrero, el hacinamiento en los</w:t>
      </w:r>
      <w:r w:rsidR="00EB0F46">
        <w:rPr>
          <w:color w:val="auto"/>
        </w:rPr>
        <w:t xml:space="preserve"> centros carcelarios era del 49</w:t>
      </w:r>
      <w:r w:rsidRPr="00014489">
        <w:rPr>
          <w:color w:val="auto"/>
        </w:rPr>
        <w:t xml:space="preserve">%, </w:t>
      </w:r>
      <w:r w:rsidR="00993A1B">
        <w:rPr>
          <w:color w:val="auto"/>
        </w:rPr>
        <w:t xml:space="preserve">lo cual evidencia </w:t>
      </w:r>
      <w:r w:rsidRPr="00014489">
        <w:rPr>
          <w:color w:val="auto"/>
        </w:rPr>
        <w:t>un incremento del 4.58% en cuestión de seis meses.</w:t>
      </w:r>
      <w:r w:rsidR="00993A1B">
        <w:rPr>
          <w:color w:val="auto"/>
        </w:rPr>
        <w:t xml:space="preserve"> Cifras que deben generar alarma.</w:t>
      </w:r>
    </w:p>
    <w:p w14:paraId="5E06C999" w14:textId="77777777" w:rsidR="00EB0F46" w:rsidRDefault="00EB0F46" w:rsidP="00D50DA7">
      <w:pPr>
        <w:pStyle w:val="Default"/>
        <w:tabs>
          <w:tab w:val="left" w:pos="1485"/>
        </w:tabs>
        <w:jc w:val="both"/>
        <w:rPr>
          <w:color w:val="auto"/>
        </w:rPr>
      </w:pPr>
    </w:p>
    <w:p w14:paraId="11038837" w14:textId="77777777" w:rsidR="00014489" w:rsidRPr="00014489" w:rsidRDefault="00014489" w:rsidP="00014489">
      <w:pPr>
        <w:pStyle w:val="Default"/>
        <w:tabs>
          <w:tab w:val="left" w:pos="1485"/>
        </w:tabs>
        <w:jc w:val="both"/>
      </w:pPr>
      <w:r>
        <w:t>El hacinamiento carcelario fue un punto esencial en el que</w:t>
      </w:r>
      <w:r w:rsidRPr="00014489">
        <w:t xml:space="preserve"> se enfocó la Comisi</w:t>
      </w:r>
      <w:r>
        <w:t xml:space="preserve">ón </w:t>
      </w:r>
      <w:r w:rsidR="002F2589">
        <w:t>A</w:t>
      </w:r>
      <w:r>
        <w:t xml:space="preserve">sesora de </w:t>
      </w:r>
      <w:r w:rsidR="002F2589">
        <w:t>P</w:t>
      </w:r>
      <w:r>
        <w:t xml:space="preserve">olítica </w:t>
      </w:r>
      <w:r w:rsidR="002F2589">
        <w:t>C</w:t>
      </w:r>
      <w:r>
        <w:t>riminal. Ésta le recomendó</w:t>
      </w:r>
      <w:r w:rsidRPr="00014489">
        <w:t xml:space="preserve"> al Gobierno </w:t>
      </w:r>
      <w:r w:rsidR="002F2589">
        <w:t xml:space="preserve">Nacional </w:t>
      </w:r>
      <w:r w:rsidRPr="00014489">
        <w:t>que no insistiera en la medida de pris</w:t>
      </w:r>
      <w:r>
        <w:t>ión perpetua para quienes cometieran</w:t>
      </w:r>
      <w:r w:rsidRPr="00014489">
        <w:t xml:space="preserve"> delitos en contra de los menores de edad.</w:t>
      </w:r>
    </w:p>
    <w:p w14:paraId="4F8D50C4" w14:textId="77777777" w:rsidR="00014489" w:rsidRDefault="00014489" w:rsidP="00014489">
      <w:pPr>
        <w:pStyle w:val="Default"/>
        <w:tabs>
          <w:tab w:val="left" w:pos="1485"/>
        </w:tabs>
        <w:jc w:val="both"/>
      </w:pPr>
    </w:p>
    <w:p w14:paraId="7B603E2D" w14:textId="16BBC7F4" w:rsidR="00014489" w:rsidRDefault="00014489" w:rsidP="00D50DA7">
      <w:pPr>
        <w:pStyle w:val="Default"/>
        <w:tabs>
          <w:tab w:val="left" w:pos="1485"/>
        </w:tabs>
        <w:jc w:val="both"/>
        <w:rPr>
          <w:color w:val="auto"/>
        </w:rPr>
      </w:pPr>
      <w:r>
        <w:t xml:space="preserve">Por otro lado, la Comisión señaló </w:t>
      </w:r>
      <w:r w:rsidRPr="00014489">
        <w:t xml:space="preserve">que de imponerse </w:t>
      </w:r>
      <w:r>
        <w:t xml:space="preserve">aquella medida, le generaría al Estado, construir más </w:t>
      </w:r>
      <w:r w:rsidRPr="00014489">
        <w:t>centros carcelarios o a</w:t>
      </w:r>
      <w:r>
        <w:t>grandar la infraestructura de lo</w:t>
      </w:r>
      <w:r w:rsidRPr="00014489">
        <w:t>s ya construid</w:t>
      </w:r>
      <w:r>
        <w:t>o</w:t>
      </w:r>
      <w:r w:rsidRPr="00014489">
        <w:t xml:space="preserve">s. </w:t>
      </w:r>
      <w:r>
        <w:t>Importante para tener en cuenta es que financiar un cupo nuevo para un prisionero en Colombia por año</w:t>
      </w:r>
      <w:r w:rsidR="002F2589">
        <w:t>,</w:t>
      </w:r>
      <w:r w:rsidR="00993A1B">
        <w:t xml:space="preserve"> asciende a un valor de $120.</w:t>
      </w:r>
      <w:r>
        <w:t>218.981</w:t>
      </w:r>
      <w:r w:rsidR="00993A1B">
        <w:t xml:space="preserve"> en promedio</w:t>
      </w:r>
      <w:r w:rsidR="00993A1B">
        <w:rPr>
          <w:rStyle w:val="Refdenotaalpie"/>
        </w:rPr>
        <w:footnoteReference w:id="2"/>
      </w:r>
      <w:r w:rsidR="002F2589">
        <w:t>.</w:t>
      </w:r>
      <w:r>
        <w:rPr>
          <w:color w:val="auto"/>
        </w:rPr>
        <w:t xml:space="preserve"> </w:t>
      </w:r>
    </w:p>
    <w:p w14:paraId="363E2F6C" w14:textId="77777777" w:rsidR="0006562C" w:rsidRDefault="0006562C" w:rsidP="00D50DA7">
      <w:pPr>
        <w:pStyle w:val="Default"/>
        <w:tabs>
          <w:tab w:val="left" w:pos="1485"/>
        </w:tabs>
        <w:jc w:val="both"/>
        <w:rPr>
          <w:color w:val="auto"/>
        </w:rPr>
      </w:pPr>
    </w:p>
    <w:p w14:paraId="0AAE0B71" w14:textId="77777777" w:rsidR="0006562C" w:rsidRDefault="0006562C" w:rsidP="00D50DA7">
      <w:pPr>
        <w:pStyle w:val="Default"/>
        <w:tabs>
          <w:tab w:val="left" w:pos="1485"/>
        </w:tabs>
        <w:jc w:val="both"/>
        <w:rPr>
          <w:color w:val="auto"/>
        </w:rPr>
      </w:pPr>
      <w:r>
        <w:rPr>
          <w:color w:val="auto"/>
        </w:rPr>
        <w:t>Si bien, como se dijo, una de las causas del hacinamiento carcelario lo constituyen aquellas personas con prisión preventiva (mientras se surte el proceso penal en su contra), también es cierto, que se deben buscar medida que flexibilicen la medida de aseguramiento con observancia a una política pública que vele por los derechos mínimos de las personas incursas en este tipo de procesos, con sujeción a la dignidad humana.</w:t>
      </w:r>
    </w:p>
    <w:p w14:paraId="51F9B349" w14:textId="77777777" w:rsidR="00014489" w:rsidRDefault="00014489" w:rsidP="00D50DA7">
      <w:pPr>
        <w:pStyle w:val="Default"/>
        <w:tabs>
          <w:tab w:val="left" w:pos="1485"/>
        </w:tabs>
        <w:jc w:val="both"/>
        <w:rPr>
          <w:color w:val="auto"/>
        </w:rPr>
      </w:pPr>
    </w:p>
    <w:p w14:paraId="735FCB10" w14:textId="77777777" w:rsidR="00165585" w:rsidRPr="00D33ADA" w:rsidRDefault="00165585" w:rsidP="00D33ADA">
      <w:pPr>
        <w:pStyle w:val="Default"/>
        <w:numPr>
          <w:ilvl w:val="0"/>
          <w:numId w:val="40"/>
        </w:numPr>
        <w:tabs>
          <w:tab w:val="left" w:pos="1485"/>
        </w:tabs>
        <w:jc w:val="both"/>
        <w:rPr>
          <w:b/>
          <w:color w:val="auto"/>
          <w:u w:val="single"/>
        </w:rPr>
      </w:pPr>
      <w:r w:rsidRPr="00D33ADA">
        <w:rPr>
          <w:b/>
          <w:color w:val="auto"/>
          <w:u w:val="single"/>
        </w:rPr>
        <w:t>De la caución pecuniaria o fianza</w:t>
      </w:r>
      <w:r w:rsidR="00D33ADA">
        <w:rPr>
          <w:b/>
          <w:color w:val="auto"/>
          <w:u w:val="single"/>
        </w:rPr>
        <w:t>:</w:t>
      </w:r>
    </w:p>
    <w:p w14:paraId="3CFE12F5" w14:textId="77777777" w:rsidR="00165585" w:rsidRDefault="00165585" w:rsidP="00D50DA7">
      <w:pPr>
        <w:pStyle w:val="Default"/>
        <w:tabs>
          <w:tab w:val="left" w:pos="1485"/>
        </w:tabs>
        <w:jc w:val="both"/>
        <w:rPr>
          <w:color w:val="auto"/>
        </w:rPr>
      </w:pPr>
    </w:p>
    <w:p w14:paraId="7A2A1B70" w14:textId="0D691DBD" w:rsidR="00165585" w:rsidRDefault="00165585" w:rsidP="00D50DA7">
      <w:pPr>
        <w:pStyle w:val="Default"/>
        <w:tabs>
          <w:tab w:val="left" w:pos="1485"/>
        </w:tabs>
        <w:jc w:val="both"/>
        <w:rPr>
          <w:color w:val="auto"/>
        </w:rPr>
      </w:pPr>
      <w:r>
        <w:rPr>
          <w:color w:val="auto"/>
        </w:rPr>
        <w:t>Como se explicó en el</w:t>
      </w:r>
      <w:r w:rsidR="00625FBC">
        <w:rPr>
          <w:color w:val="auto"/>
        </w:rPr>
        <w:t xml:space="preserve"> acápite precedente</w:t>
      </w:r>
      <w:r>
        <w:rPr>
          <w:color w:val="auto"/>
        </w:rPr>
        <w:t xml:space="preserve">, la medida de aseguramiento </w:t>
      </w:r>
      <w:r w:rsidR="00625FBC">
        <w:rPr>
          <w:color w:val="auto"/>
        </w:rPr>
        <w:t>opera</w:t>
      </w:r>
      <w:r>
        <w:rPr>
          <w:color w:val="auto"/>
        </w:rPr>
        <w:t xml:space="preserve"> si se prueba por </w:t>
      </w:r>
      <w:r w:rsidR="00625FBC">
        <w:rPr>
          <w:color w:val="auto"/>
        </w:rPr>
        <w:t xml:space="preserve">parte del ente </w:t>
      </w:r>
      <w:r>
        <w:rPr>
          <w:color w:val="auto"/>
        </w:rPr>
        <w:t>investigador que el imputado (contra quien se adelanta la investigación formalmente)</w:t>
      </w:r>
      <w:r w:rsidR="00625FBC">
        <w:rPr>
          <w:color w:val="auto"/>
        </w:rPr>
        <w:t>,</w:t>
      </w:r>
      <w:r>
        <w:rPr>
          <w:color w:val="auto"/>
        </w:rPr>
        <w:t xml:space="preserve"> incurre en una de tres situaciones: que éste obstruya el ejercicio de la justicia, que se constituya como un peligro para la sociedad o la victima del supuesto delito</w:t>
      </w:r>
      <w:r w:rsidR="00316C0A">
        <w:rPr>
          <w:color w:val="auto"/>
        </w:rPr>
        <w:t>,</w:t>
      </w:r>
      <w:r>
        <w:rPr>
          <w:color w:val="auto"/>
        </w:rPr>
        <w:t xml:space="preserve"> o finalmente</w:t>
      </w:r>
      <w:r w:rsidR="00625FBC">
        <w:rPr>
          <w:color w:val="auto"/>
        </w:rPr>
        <w:t>,</w:t>
      </w:r>
      <w:r>
        <w:rPr>
          <w:color w:val="auto"/>
        </w:rPr>
        <w:t xml:space="preserve"> que haya riesgo fundado </w:t>
      </w:r>
      <w:r>
        <w:rPr>
          <w:color w:val="auto"/>
        </w:rPr>
        <w:lastRenderedPageBreak/>
        <w:t xml:space="preserve">de que no comparecerá al proceso o no cumplirá la sentencia con que termina aquel. </w:t>
      </w:r>
    </w:p>
    <w:p w14:paraId="3C6BA11B" w14:textId="77777777" w:rsidR="00165585" w:rsidRDefault="00165585" w:rsidP="00D50DA7">
      <w:pPr>
        <w:pStyle w:val="Default"/>
        <w:tabs>
          <w:tab w:val="left" w:pos="1485"/>
        </w:tabs>
        <w:jc w:val="both"/>
        <w:rPr>
          <w:color w:val="auto"/>
        </w:rPr>
      </w:pPr>
    </w:p>
    <w:p w14:paraId="081067BF" w14:textId="764CC1AB" w:rsidR="00A52953" w:rsidRDefault="00165585" w:rsidP="00D50DA7">
      <w:pPr>
        <w:pStyle w:val="Default"/>
        <w:tabs>
          <w:tab w:val="left" w:pos="1485"/>
        </w:tabs>
        <w:jc w:val="both"/>
        <w:rPr>
          <w:color w:val="auto"/>
        </w:rPr>
      </w:pPr>
      <w:r>
        <w:rPr>
          <w:color w:val="auto"/>
        </w:rPr>
        <w:t>Con el ánimo de explicar el punto real del proyecto, se clasificarán las causales referidas en el párrafo anterior. La primera y la segunda constituyen en su naturaleza, una esencia material, es decir que contienen como supuesto de hecho, situaciones de fondo, afectar u obstruir el proceso (lo que implica un delito) o continuar constituyéndose como peligro socialmente o para la victima (lo que implica de primera mano que el procesado puede resultar condenado). Sin embargo, la tercera causal, la que hace referencia a la no comparecencia</w:t>
      </w:r>
      <w:r w:rsidR="00A52953">
        <w:rPr>
          <w:color w:val="auto"/>
        </w:rPr>
        <w:t xml:space="preserve"> al proceso </w:t>
      </w:r>
      <w:r>
        <w:rPr>
          <w:color w:val="auto"/>
        </w:rPr>
        <w:t xml:space="preserve">o </w:t>
      </w:r>
      <w:r w:rsidR="00A52953">
        <w:rPr>
          <w:color w:val="auto"/>
        </w:rPr>
        <w:t xml:space="preserve">el </w:t>
      </w:r>
      <w:r>
        <w:rPr>
          <w:color w:val="auto"/>
        </w:rPr>
        <w:t xml:space="preserve">incumplimiento de </w:t>
      </w:r>
      <w:r w:rsidR="00A52953">
        <w:rPr>
          <w:color w:val="auto"/>
        </w:rPr>
        <w:t>la sentencia, naturalmente es en su esencia una situación de forma.  Se entiende entonces que las causales primera y segunda por su carácter materia</w:t>
      </w:r>
      <w:r w:rsidR="00E110D7">
        <w:rPr>
          <w:color w:val="auto"/>
        </w:rPr>
        <w:t>l</w:t>
      </w:r>
      <w:r w:rsidR="00A52953">
        <w:rPr>
          <w:color w:val="auto"/>
        </w:rPr>
        <w:t xml:space="preserve"> o de fondo, son fundamentales y necesarias en su operatividad e </w:t>
      </w:r>
      <w:r w:rsidR="00625FBC">
        <w:rPr>
          <w:color w:val="auto"/>
        </w:rPr>
        <w:t>imposición,</w:t>
      </w:r>
      <w:r w:rsidR="00E110D7">
        <w:rPr>
          <w:color w:val="auto"/>
        </w:rPr>
        <w:t xml:space="preserve"> sin embargo, la causal tercera por presentarse como una causal de carácter formal, se estima, puede ser utilizada para la propuesta que contiene este proyecto</w:t>
      </w:r>
      <w:r w:rsidR="00A6561A">
        <w:rPr>
          <w:color w:val="auto"/>
        </w:rPr>
        <w:t xml:space="preserve"> de ley</w:t>
      </w:r>
      <w:r w:rsidR="00E110D7">
        <w:rPr>
          <w:color w:val="auto"/>
        </w:rPr>
        <w:t xml:space="preserve">. </w:t>
      </w:r>
    </w:p>
    <w:p w14:paraId="7868C32E" w14:textId="77777777" w:rsidR="00E110D7" w:rsidRDefault="00E110D7" w:rsidP="00D50DA7">
      <w:pPr>
        <w:pStyle w:val="Default"/>
        <w:tabs>
          <w:tab w:val="left" w:pos="1485"/>
        </w:tabs>
        <w:jc w:val="both"/>
        <w:rPr>
          <w:color w:val="auto"/>
        </w:rPr>
      </w:pPr>
    </w:p>
    <w:p w14:paraId="6614AFC6" w14:textId="47CC7DA1" w:rsidR="00625FBC" w:rsidRDefault="00E110D7" w:rsidP="00D50DA7">
      <w:pPr>
        <w:pStyle w:val="Default"/>
        <w:tabs>
          <w:tab w:val="left" w:pos="1485"/>
        </w:tabs>
        <w:jc w:val="both"/>
        <w:rPr>
          <w:color w:val="auto"/>
        </w:rPr>
      </w:pPr>
      <w:r>
        <w:rPr>
          <w:color w:val="auto"/>
        </w:rPr>
        <w:t>Lo que</w:t>
      </w:r>
      <w:r w:rsidR="00A6561A">
        <w:rPr>
          <w:color w:val="auto"/>
        </w:rPr>
        <w:t xml:space="preserve"> se busca con este proyecto de l</w:t>
      </w:r>
      <w:r>
        <w:rPr>
          <w:color w:val="auto"/>
        </w:rPr>
        <w:t xml:space="preserve">ey es evitar </w:t>
      </w:r>
      <w:r w:rsidR="000D56DE">
        <w:rPr>
          <w:color w:val="auto"/>
        </w:rPr>
        <w:t>que,</w:t>
      </w:r>
      <w:r>
        <w:rPr>
          <w:color w:val="auto"/>
        </w:rPr>
        <w:t xml:space="preserve"> por la invocación de la causal tercera referida abundantemente en apartes anteriores, que contiene como supuesto de hecho, la no comparecencia </w:t>
      </w:r>
      <w:r w:rsidR="00A6561A">
        <w:rPr>
          <w:color w:val="auto"/>
        </w:rPr>
        <w:t xml:space="preserve">al proceso </w:t>
      </w:r>
      <w:r>
        <w:rPr>
          <w:color w:val="auto"/>
        </w:rPr>
        <w:t>o incumplimiento de la se</w:t>
      </w:r>
      <w:r w:rsidR="00190C2A">
        <w:rPr>
          <w:color w:val="auto"/>
        </w:rPr>
        <w:t xml:space="preserve">ntencia por parte </w:t>
      </w:r>
      <w:r w:rsidR="00625FBC">
        <w:rPr>
          <w:color w:val="auto"/>
        </w:rPr>
        <w:t>del procesado, el juez,</w:t>
      </w:r>
      <w:r w:rsidR="00190C2A">
        <w:rPr>
          <w:color w:val="auto"/>
        </w:rPr>
        <w:t xml:space="preserve"> a discreción propia</w:t>
      </w:r>
      <w:r w:rsidR="00625FBC">
        <w:rPr>
          <w:color w:val="auto"/>
        </w:rPr>
        <w:t>,</w:t>
      </w:r>
      <w:r w:rsidR="00190C2A">
        <w:rPr>
          <w:color w:val="auto"/>
        </w:rPr>
        <w:t xml:space="preserve"> </w:t>
      </w:r>
      <w:r w:rsidR="00625FBC">
        <w:rPr>
          <w:color w:val="auto"/>
        </w:rPr>
        <w:t xml:space="preserve">cuando </w:t>
      </w:r>
      <w:r w:rsidR="00190C2A">
        <w:rPr>
          <w:color w:val="auto"/>
        </w:rPr>
        <w:t>decida si procede la medida de aseguramiento, deba establecer una cauci</w:t>
      </w:r>
      <w:r w:rsidR="0040249F">
        <w:rPr>
          <w:color w:val="auto"/>
        </w:rPr>
        <w:t>ón en dinero que será depositada por el imputado para asegurar su comparecencia y el cumplimiento de la sentencia de ser condenado</w:t>
      </w:r>
      <w:r w:rsidR="00625FBC">
        <w:rPr>
          <w:color w:val="auto"/>
        </w:rPr>
        <w:t>. Ello, en busca de coadyuvar instrumentalmente, el hacinamiento carcelario.</w:t>
      </w:r>
    </w:p>
    <w:p w14:paraId="42A826B5" w14:textId="77777777" w:rsidR="00625FBC" w:rsidRDefault="00625FBC" w:rsidP="00D50DA7">
      <w:pPr>
        <w:pStyle w:val="Default"/>
        <w:tabs>
          <w:tab w:val="left" w:pos="1485"/>
        </w:tabs>
        <w:jc w:val="both"/>
        <w:rPr>
          <w:color w:val="auto"/>
        </w:rPr>
      </w:pPr>
    </w:p>
    <w:p w14:paraId="47E1B72F" w14:textId="77777777" w:rsidR="0040249F" w:rsidRDefault="00391E1C" w:rsidP="00D50DA7">
      <w:pPr>
        <w:pStyle w:val="Default"/>
        <w:tabs>
          <w:tab w:val="left" w:pos="1485"/>
        </w:tabs>
        <w:jc w:val="both"/>
        <w:rPr>
          <w:color w:val="auto"/>
        </w:rPr>
      </w:pPr>
      <w:r>
        <w:rPr>
          <w:color w:val="auto"/>
        </w:rPr>
        <w:t>En el Derecho P</w:t>
      </w:r>
      <w:r w:rsidR="0040249F">
        <w:rPr>
          <w:color w:val="auto"/>
        </w:rPr>
        <w:t>enal</w:t>
      </w:r>
      <w:r>
        <w:rPr>
          <w:color w:val="auto"/>
        </w:rPr>
        <w:t xml:space="preserve"> C</w:t>
      </w:r>
      <w:r w:rsidR="0040249F">
        <w:rPr>
          <w:color w:val="auto"/>
        </w:rPr>
        <w:t>ontinental</w:t>
      </w:r>
      <w:r>
        <w:rPr>
          <w:color w:val="auto"/>
        </w:rPr>
        <w:t xml:space="preserve"> o R</w:t>
      </w:r>
      <w:r w:rsidR="0040249F">
        <w:rPr>
          <w:color w:val="auto"/>
        </w:rPr>
        <w:t>omano-</w:t>
      </w:r>
      <w:r>
        <w:rPr>
          <w:color w:val="auto"/>
        </w:rPr>
        <w:t>G</w:t>
      </w:r>
      <w:r w:rsidR="0040249F">
        <w:rPr>
          <w:color w:val="auto"/>
        </w:rPr>
        <w:t>ermánico</w:t>
      </w:r>
      <w:r>
        <w:rPr>
          <w:color w:val="auto"/>
        </w:rPr>
        <w:t xml:space="preserve">, la figura de la </w:t>
      </w:r>
      <w:r w:rsidR="009F1E4D">
        <w:rPr>
          <w:color w:val="auto"/>
        </w:rPr>
        <w:t>caución</w:t>
      </w:r>
      <w:r>
        <w:rPr>
          <w:color w:val="auto"/>
        </w:rPr>
        <w:t xml:space="preserve"> pecuniaria o fianza (como es conocida en los sistemas jurídicos anglosajones o de Common Law), no existe</w:t>
      </w:r>
      <w:r w:rsidR="0019472E">
        <w:rPr>
          <w:color w:val="auto"/>
        </w:rPr>
        <w:t>,</w:t>
      </w:r>
      <w:r>
        <w:rPr>
          <w:color w:val="auto"/>
        </w:rPr>
        <w:t xml:space="preserve"> o por lo menos en los sistemas jurídicos latinoamericanos que tienen como base el derecho francés y este a su vez, el </w:t>
      </w:r>
      <w:r w:rsidRPr="00391E1C">
        <w:rPr>
          <w:color w:val="auto"/>
        </w:rPr>
        <w:t>Romano-Germánico</w:t>
      </w:r>
      <w:r>
        <w:rPr>
          <w:color w:val="auto"/>
        </w:rPr>
        <w:t xml:space="preserve">, no está contenida en las legislaciones procesales penales. La fianza en su naturaleza tiene existencia en el Derecho Privado continental mas no en el Penal como ya se dijo. </w:t>
      </w:r>
    </w:p>
    <w:p w14:paraId="393D6037" w14:textId="77777777" w:rsidR="00391E1C" w:rsidRDefault="00391E1C" w:rsidP="00D50DA7">
      <w:pPr>
        <w:pStyle w:val="Default"/>
        <w:tabs>
          <w:tab w:val="left" w:pos="1485"/>
        </w:tabs>
        <w:jc w:val="both"/>
        <w:rPr>
          <w:color w:val="auto"/>
        </w:rPr>
      </w:pPr>
    </w:p>
    <w:p w14:paraId="02A0E52B" w14:textId="77777777" w:rsidR="00391E1C" w:rsidRDefault="00391E1C" w:rsidP="00D50DA7">
      <w:pPr>
        <w:pStyle w:val="Default"/>
        <w:tabs>
          <w:tab w:val="left" w:pos="1485"/>
        </w:tabs>
        <w:jc w:val="both"/>
        <w:rPr>
          <w:color w:val="auto"/>
        </w:rPr>
      </w:pPr>
      <w:r>
        <w:rPr>
          <w:color w:val="auto"/>
        </w:rPr>
        <w:t xml:space="preserve">Sin </w:t>
      </w:r>
      <w:r w:rsidR="0019472E">
        <w:rPr>
          <w:color w:val="auto"/>
        </w:rPr>
        <w:t>embargo,</w:t>
      </w:r>
      <w:r>
        <w:rPr>
          <w:color w:val="auto"/>
        </w:rPr>
        <w:t xml:space="preserve"> en el sistema penal procesal norteamericano, en lo que concierne al </w:t>
      </w:r>
      <w:r w:rsidRPr="00391E1C">
        <w:rPr>
          <w:color w:val="auto"/>
        </w:rPr>
        <w:t xml:space="preserve">federal, los </w:t>
      </w:r>
      <w:r w:rsidR="009F1E4D">
        <w:rPr>
          <w:color w:val="auto"/>
        </w:rPr>
        <w:t xml:space="preserve">individuos </w:t>
      </w:r>
      <w:r w:rsidRPr="00391E1C">
        <w:rPr>
          <w:color w:val="auto"/>
        </w:rPr>
        <w:t xml:space="preserve">generalmente son </w:t>
      </w:r>
      <w:r>
        <w:rPr>
          <w:color w:val="auto"/>
        </w:rPr>
        <w:t xml:space="preserve">capturados </w:t>
      </w:r>
      <w:r w:rsidRPr="00391E1C">
        <w:rPr>
          <w:color w:val="auto"/>
        </w:rPr>
        <w:t>una vez que un jurado de acusación les ha impu</w:t>
      </w:r>
      <w:r>
        <w:rPr>
          <w:color w:val="auto"/>
        </w:rPr>
        <w:t>tado formalmente un delito, no obstante</w:t>
      </w:r>
      <w:r w:rsidRPr="00391E1C">
        <w:rPr>
          <w:color w:val="auto"/>
        </w:rPr>
        <w:t xml:space="preserve">, un juez puede dictar orden de </w:t>
      </w:r>
      <w:r>
        <w:rPr>
          <w:color w:val="auto"/>
        </w:rPr>
        <w:t xml:space="preserve">captura </w:t>
      </w:r>
      <w:r w:rsidRPr="00391E1C">
        <w:rPr>
          <w:color w:val="auto"/>
        </w:rPr>
        <w:t>antes de la acusación formal si se presenta una denuncia que exponga pruebas suficientes</w:t>
      </w:r>
      <w:r>
        <w:rPr>
          <w:color w:val="auto"/>
        </w:rPr>
        <w:t xml:space="preserve"> para establecer causa probable</w:t>
      </w:r>
      <w:r w:rsidRPr="00391E1C">
        <w:rPr>
          <w:color w:val="auto"/>
        </w:rPr>
        <w:t xml:space="preserve">. </w:t>
      </w:r>
    </w:p>
    <w:p w14:paraId="71844529" w14:textId="77777777" w:rsidR="00391E1C" w:rsidRDefault="00391E1C" w:rsidP="00D50DA7">
      <w:pPr>
        <w:pStyle w:val="Default"/>
        <w:tabs>
          <w:tab w:val="left" w:pos="1485"/>
        </w:tabs>
        <w:jc w:val="both"/>
        <w:rPr>
          <w:color w:val="auto"/>
        </w:rPr>
      </w:pPr>
    </w:p>
    <w:p w14:paraId="7A5E2BFB" w14:textId="3A697F48" w:rsidR="009F1E4D" w:rsidRDefault="00391E1C" w:rsidP="00D50DA7">
      <w:pPr>
        <w:pStyle w:val="Default"/>
        <w:tabs>
          <w:tab w:val="left" w:pos="1485"/>
        </w:tabs>
        <w:jc w:val="both"/>
        <w:rPr>
          <w:color w:val="auto"/>
        </w:rPr>
      </w:pPr>
      <w:r>
        <w:rPr>
          <w:color w:val="auto"/>
        </w:rPr>
        <w:lastRenderedPageBreak/>
        <w:t xml:space="preserve">Generalmente, el ente acusador </w:t>
      </w:r>
      <w:r w:rsidR="009F1E4D">
        <w:rPr>
          <w:color w:val="auto"/>
        </w:rPr>
        <w:t xml:space="preserve">(Fiscalía) </w:t>
      </w:r>
      <w:r w:rsidRPr="00391E1C">
        <w:rPr>
          <w:color w:val="auto"/>
        </w:rPr>
        <w:t xml:space="preserve">solicita al tribunal que dicte orden de </w:t>
      </w:r>
      <w:r>
        <w:rPr>
          <w:color w:val="auto"/>
        </w:rPr>
        <w:t xml:space="preserve">captura </w:t>
      </w:r>
      <w:r w:rsidRPr="00391E1C">
        <w:rPr>
          <w:color w:val="auto"/>
        </w:rPr>
        <w:t xml:space="preserve">contra la persona nombrada en la acusación </w:t>
      </w:r>
      <w:r w:rsidR="00A6561A">
        <w:rPr>
          <w:color w:val="auto"/>
        </w:rPr>
        <w:t>formal (en Colombia imputación)</w:t>
      </w:r>
      <w:r>
        <w:rPr>
          <w:color w:val="auto"/>
        </w:rPr>
        <w:t>.</w:t>
      </w:r>
      <w:r w:rsidRPr="00391E1C">
        <w:rPr>
          <w:color w:val="auto"/>
        </w:rPr>
        <w:t xml:space="preserve"> Dependiendo</w:t>
      </w:r>
      <w:r>
        <w:rPr>
          <w:color w:val="auto"/>
        </w:rPr>
        <w:t xml:space="preserve"> de varios factores, después de la captura</w:t>
      </w:r>
      <w:r w:rsidRPr="00391E1C">
        <w:rPr>
          <w:color w:val="auto"/>
        </w:rPr>
        <w:t xml:space="preserve">, el </w:t>
      </w:r>
      <w:r>
        <w:rPr>
          <w:color w:val="auto"/>
        </w:rPr>
        <w:t xml:space="preserve">imputado </w:t>
      </w:r>
      <w:r w:rsidRPr="00391E1C">
        <w:rPr>
          <w:color w:val="auto"/>
        </w:rPr>
        <w:t xml:space="preserve">puede ser puesto en libertad bajo fianza (libertad provisional o condicional) en tanto se da el juicio, o puede permanecer encarcelado. Estos factores incluyen la gravedad del delito, los antecedentes delictivos del </w:t>
      </w:r>
      <w:r w:rsidR="009F1E4D">
        <w:rPr>
          <w:color w:val="auto"/>
        </w:rPr>
        <w:t xml:space="preserve">imputado </w:t>
      </w:r>
      <w:r w:rsidRPr="00391E1C">
        <w:rPr>
          <w:color w:val="auto"/>
        </w:rPr>
        <w:t xml:space="preserve">y las probabilidades de que se fugue. </w:t>
      </w:r>
    </w:p>
    <w:p w14:paraId="09CA374B" w14:textId="77777777" w:rsidR="009F1E4D" w:rsidRDefault="009F1E4D" w:rsidP="00D50DA7">
      <w:pPr>
        <w:pStyle w:val="Default"/>
        <w:tabs>
          <w:tab w:val="left" w:pos="1485"/>
        </w:tabs>
        <w:jc w:val="both"/>
        <w:rPr>
          <w:color w:val="auto"/>
        </w:rPr>
      </w:pPr>
    </w:p>
    <w:p w14:paraId="2DB7FC82" w14:textId="77777777" w:rsidR="00980286" w:rsidRDefault="00391E1C" w:rsidP="009F1E4D">
      <w:pPr>
        <w:pStyle w:val="Default"/>
        <w:tabs>
          <w:tab w:val="left" w:pos="1485"/>
        </w:tabs>
        <w:jc w:val="both"/>
        <w:rPr>
          <w:color w:val="auto"/>
        </w:rPr>
      </w:pPr>
      <w:r w:rsidRPr="00391E1C">
        <w:rPr>
          <w:color w:val="auto"/>
        </w:rPr>
        <w:t xml:space="preserve">Un juez determina si un </w:t>
      </w:r>
      <w:r w:rsidR="009F1E4D">
        <w:rPr>
          <w:color w:val="auto"/>
        </w:rPr>
        <w:t xml:space="preserve">imputado </w:t>
      </w:r>
      <w:r w:rsidRPr="00391E1C">
        <w:rPr>
          <w:color w:val="auto"/>
        </w:rPr>
        <w:t>debe permanecer encarcelado o ser liberado y, en ese caso, bajo qué condiciones. Estas condiciones pueden incluir el requisito de que el</w:t>
      </w:r>
      <w:r w:rsidR="009F1E4D">
        <w:rPr>
          <w:color w:val="auto"/>
        </w:rPr>
        <w:t xml:space="preserve"> imputado</w:t>
      </w:r>
      <w:r w:rsidRPr="00391E1C">
        <w:rPr>
          <w:color w:val="auto"/>
        </w:rPr>
        <w:t xml:space="preserve">, o alguna persona que actúe en su nombre, entreguen como garantía dinero o bienes que perderá si el </w:t>
      </w:r>
      <w:r w:rsidR="009F1E4D">
        <w:rPr>
          <w:color w:val="auto"/>
        </w:rPr>
        <w:t xml:space="preserve">imputado </w:t>
      </w:r>
      <w:r w:rsidR="00980286">
        <w:rPr>
          <w:color w:val="auto"/>
        </w:rPr>
        <w:t>no se presenta al juicio.</w:t>
      </w:r>
    </w:p>
    <w:p w14:paraId="065ECCEA" w14:textId="77777777" w:rsidR="0019472E" w:rsidRDefault="0019472E" w:rsidP="009F1E4D">
      <w:pPr>
        <w:pStyle w:val="Default"/>
        <w:tabs>
          <w:tab w:val="left" w:pos="1485"/>
        </w:tabs>
        <w:jc w:val="both"/>
        <w:rPr>
          <w:color w:val="auto"/>
        </w:rPr>
      </w:pPr>
    </w:p>
    <w:p w14:paraId="7DE7DDA2" w14:textId="77777777" w:rsidR="00980286" w:rsidRDefault="00980286" w:rsidP="009F1E4D">
      <w:pPr>
        <w:pStyle w:val="Default"/>
        <w:tabs>
          <w:tab w:val="left" w:pos="1485"/>
        </w:tabs>
        <w:jc w:val="both"/>
        <w:rPr>
          <w:bCs/>
        </w:rPr>
      </w:pPr>
      <w:r w:rsidRPr="00980286">
        <w:rPr>
          <w:bCs/>
        </w:rPr>
        <w:t>Existen distintos géneros de fianzas</w:t>
      </w:r>
      <w:r>
        <w:rPr>
          <w:bCs/>
        </w:rPr>
        <w:t xml:space="preserve"> en el mundo del Derecho, como </w:t>
      </w:r>
      <w:r w:rsidR="0019472E">
        <w:rPr>
          <w:bCs/>
        </w:rPr>
        <w:t xml:space="preserve">se </w:t>
      </w:r>
      <w:r>
        <w:rPr>
          <w:bCs/>
        </w:rPr>
        <w:t>expuso anteriormente, en nuestro sistema jurídico, solo existen en el mundo del Derecho Privado</w:t>
      </w:r>
      <w:r w:rsidRPr="00980286">
        <w:rPr>
          <w:bCs/>
        </w:rPr>
        <w:t>, sin embargo, haciendo un análisis de cómo op</w:t>
      </w:r>
      <w:r>
        <w:rPr>
          <w:bCs/>
        </w:rPr>
        <w:t>era la fianza en temas penales en los sistemas anglosajones, principalmente el norteamericano, esta figu</w:t>
      </w:r>
      <w:r w:rsidR="0019472E">
        <w:rPr>
          <w:bCs/>
        </w:rPr>
        <w:t>ra opera de la siguiente manera.</w:t>
      </w:r>
    </w:p>
    <w:p w14:paraId="432E8BA2" w14:textId="77777777" w:rsidR="009F1E4D" w:rsidRPr="009F1E4D" w:rsidRDefault="00980286" w:rsidP="009F1E4D">
      <w:pPr>
        <w:pStyle w:val="Default"/>
        <w:tabs>
          <w:tab w:val="left" w:pos="1485"/>
        </w:tabs>
        <w:jc w:val="both"/>
      </w:pPr>
      <w:r>
        <w:t xml:space="preserve">La fianza garantiza </w:t>
      </w:r>
      <w:r w:rsidR="009F1E4D" w:rsidRPr="00980286">
        <w:t>el cumplimiento de las obligaciones</w:t>
      </w:r>
      <w:r>
        <w:t xml:space="preserve"> que establece el Juez a una persona f</w:t>
      </w:r>
      <w:r w:rsidR="009F1E4D" w:rsidRPr="009F1E4D">
        <w:t>ísica que se encuentra sujeta a un proceso penal por la comisión de algún delito para obtener su libertad, los tipos de fianza más comunes son</w:t>
      </w:r>
      <w:r w:rsidR="0019472E">
        <w:rPr>
          <w:rStyle w:val="Refdenotaalpie"/>
        </w:rPr>
        <w:footnoteReference w:id="3"/>
      </w:r>
      <w:r w:rsidR="009F1E4D" w:rsidRPr="009F1E4D">
        <w:t>:</w:t>
      </w:r>
    </w:p>
    <w:p w14:paraId="6BAFA263" w14:textId="77777777" w:rsidR="00980286" w:rsidRDefault="00980286" w:rsidP="009F1E4D">
      <w:pPr>
        <w:pStyle w:val="Default"/>
        <w:tabs>
          <w:tab w:val="left" w:pos="1485"/>
        </w:tabs>
        <w:jc w:val="both"/>
        <w:rPr>
          <w:b/>
          <w:bCs/>
        </w:rPr>
      </w:pPr>
    </w:p>
    <w:p w14:paraId="4BF59651" w14:textId="5888E27E" w:rsidR="009F1E4D" w:rsidRPr="00A6561A" w:rsidRDefault="00A6561A" w:rsidP="0019472E">
      <w:pPr>
        <w:pStyle w:val="Default"/>
        <w:tabs>
          <w:tab w:val="left" w:pos="1485"/>
        </w:tabs>
        <w:ind w:left="708"/>
        <w:jc w:val="both"/>
        <w:rPr>
          <w:i/>
          <w:sz w:val="22"/>
        </w:rPr>
      </w:pPr>
      <w:r w:rsidRPr="00A6561A">
        <w:rPr>
          <w:bCs/>
          <w:i/>
          <w:sz w:val="22"/>
        </w:rPr>
        <w:t>“</w:t>
      </w:r>
      <w:r w:rsidR="009F1E4D" w:rsidRPr="00A6561A">
        <w:rPr>
          <w:bCs/>
          <w:i/>
          <w:sz w:val="22"/>
        </w:rPr>
        <w:t>a) Libertad Provisional.</w:t>
      </w:r>
      <w:r w:rsidR="009F1E4D" w:rsidRPr="00A6561A">
        <w:rPr>
          <w:i/>
          <w:sz w:val="22"/>
        </w:rPr>
        <w:t> Es aquella que se otorga cuando el fiado se encuentra dentro del proceso inicial (presunto responsable) y aún no se ha dictado sentencia definitiva, estando a disposición del juzgado siempre que éste lo requiera</w:t>
      </w:r>
      <w:r w:rsidRPr="00A6561A">
        <w:rPr>
          <w:i/>
          <w:sz w:val="22"/>
        </w:rPr>
        <w:t>”</w:t>
      </w:r>
      <w:r w:rsidR="009F1E4D" w:rsidRPr="00A6561A">
        <w:rPr>
          <w:i/>
          <w:sz w:val="22"/>
        </w:rPr>
        <w:t>.</w:t>
      </w:r>
    </w:p>
    <w:p w14:paraId="27948010" w14:textId="77777777" w:rsidR="00980286" w:rsidRPr="00A6561A" w:rsidRDefault="00980286" w:rsidP="009F1E4D">
      <w:pPr>
        <w:pStyle w:val="Default"/>
        <w:tabs>
          <w:tab w:val="left" w:pos="1485"/>
        </w:tabs>
        <w:jc w:val="both"/>
        <w:rPr>
          <w:bCs/>
          <w:i/>
          <w:sz w:val="22"/>
        </w:rPr>
      </w:pPr>
    </w:p>
    <w:p w14:paraId="0701A91A" w14:textId="6D8CDBAD" w:rsidR="009F1E4D" w:rsidRPr="00A6561A" w:rsidRDefault="00A6561A" w:rsidP="0019472E">
      <w:pPr>
        <w:pStyle w:val="Default"/>
        <w:tabs>
          <w:tab w:val="left" w:pos="1485"/>
        </w:tabs>
        <w:ind w:left="708"/>
        <w:jc w:val="both"/>
        <w:rPr>
          <w:i/>
          <w:sz w:val="22"/>
        </w:rPr>
      </w:pPr>
      <w:r w:rsidRPr="00A6561A">
        <w:rPr>
          <w:bCs/>
          <w:i/>
          <w:sz w:val="22"/>
        </w:rPr>
        <w:t>“</w:t>
      </w:r>
      <w:r w:rsidR="009F1E4D" w:rsidRPr="00A6561A">
        <w:rPr>
          <w:bCs/>
          <w:i/>
          <w:sz w:val="22"/>
        </w:rPr>
        <w:t>b) Libertad Condicional.</w:t>
      </w:r>
      <w:r w:rsidR="009F1E4D" w:rsidRPr="00A6561A">
        <w:rPr>
          <w:i/>
          <w:sz w:val="22"/>
        </w:rPr>
        <w:t> Se da cuando el procesado fue sentenciado pero el delito cometido. Se considera menor, pudiendo obtener su libertad a condición de cumplir las obligaciones que le establezca el juez y presentarse a disposición cuando éste lo requiera</w:t>
      </w:r>
      <w:r w:rsidRPr="00A6561A">
        <w:rPr>
          <w:i/>
          <w:sz w:val="22"/>
        </w:rPr>
        <w:t>”</w:t>
      </w:r>
      <w:r w:rsidR="009F1E4D" w:rsidRPr="00A6561A">
        <w:rPr>
          <w:i/>
          <w:sz w:val="22"/>
        </w:rPr>
        <w:t>.</w:t>
      </w:r>
    </w:p>
    <w:p w14:paraId="65C10244" w14:textId="77777777" w:rsidR="00980286" w:rsidRPr="00A6561A" w:rsidRDefault="00980286" w:rsidP="009F1E4D">
      <w:pPr>
        <w:pStyle w:val="Default"/>
        <w:tabs>
          <w:tab w:val="left" w:pos="1485"/>
        </w:tabs>
        <w:jc w:val="both"/>
        <w:rPr>
          <w:b/>
          <w:bCs/>
          <w:i/>
          <w:sz w:val="22"/>
        </w:rPr>
      </w:pPr>
    </w:p>
    <w:p w14:paraId="3880D0E8" w14:textId="2038F5F9" w:rsidR="009F1E4D" w:rsidRPr="00A6561A" w:rsidRDefault="00A6561A" w:rsidP="0019472E">
      <w:pPr>
        <w:pStyle w:val="Default"/>
        <w:tabs>
          <w:tab w:val="left" w:pos="1485"/>
        </w:tabs>
        <w:ind w:left="708"/>
        <w:jc w:val="both"/>
        <w:rPr>
          <w:i/>
          <w:sz w:val="22"/>
        </w:rPr>
      </w:pPr>
      <w:r w:rsidRPr="00A6561A">
        <w:rPr>
          <w:bCs/>
          <w:i/>
          <w:sz w:val="22"/>
        </w:rPr>
        <w:t>“</w:t>
      </w:r>
      <w:r w:rsidR="009F1E4D" w:rsidRPr="00A6561A">
        <w:rPr>
          <w:bCs/>
          <w:i/>
          <w:sz w:val="22"/>
        </w:rPr>
        <w:t>c) Libertad Preparatoria.</w:t>
      </w:r>
      <w:r w:rsidR="009F1E4D" w:rsidRPr="00A6561A">
        <w:rPr>
          <w:i/>
          <w:sz w:val="22"/>
        </w:rPr>
        <w:t xml:space="preserve"> Se otorga para aquella persona que fue sentenciada y que ha cumplido una parte de su pena o sentencia dentro del presidio pudiendo obtener su </w:t>
      </w:r>
      <w:r w:rsidR="00980286" w:rsidRPr="00A6561A">
        <w:rPr>
          <w:i/>
          <w:sz w:val="22"/>
        </w:rPr>
        <w:t>libertad</w:t>
      </w:r>
      <w:r w:rsidR="009F1E4D" w:rsidRPr="00A6561A">
        <w:rPr>
          <w:i/>
          <w:sz w:val="22"/>
        </w:rPr>
        <w:t xml:space="preserve"> anticipadamente por la buena conducta y rehabilitación manifestada</w:t>
      </w:r>
      <w:r w:rsidRPr="00A6561A">
        <w:rPr>
          <w:i/>
          <w:sz w:val="22"/>
        </w:rPr>
        <w:t>”</w:t>
      </w:r>
      <w:r w:rsidR="009F1E4D" w:rsidRPr="00A6561A">
        <w:rPr>
          <w:i/>
          <w:sz w:val="22"/>
        </w:rPr>
        <w:t>.</w:t>
      </w:r>
    </w:p>
    <w:p w14:paraId="40DB24D4" w14:textId="77777777" w:rsidR="00165585" w:rsidRDefault="00165585" w:rsidP="00D50DA7">
      <w:pPr>
        <w:pStyle w:val="Default"/>
        <w:tabs>
          <w:tab w:val="left" w:pos="1485"/>
        </w:tabs>
        <w:jc w:val="both"/>
        <w:rPr>
          <w:color w:val="auto"/>
        </w:rPr>
      </w:pPr>
    </w:p>
    <w:p w14:paraId="3220BCF9" w14:textId="77777777" w:rsidR="00980286" w:rsidRDefault="00C66BF9" w:rsidP="00D50DA7">
      <w:pPr>
        <w:pStyle w:val="Default"/>
        <w:tabs>
          <w:tab w:val="left" w:pos="1485"/>
        </w:tabs>
        <w:jc w:val="both"/>
        <w:rPr>
          <w:color w:val="auto"/>
        </w:rPr>
      </w:pPr>
      <w:r>
        <w:rPr>
          <w:color w:val="auto"/>
        </w:rPr>
        <w:t xml:space="preserve">Con </w:t>
      </w:r>
      <w:r w:rsidR="00D074E7">
        <w:rPr>
          <w:color w:val="auto"/>
        </w:rPr>
        <w:t xml:space="preserve">fundamento </w:t>
      </w:r>
      <w:r>
        <w:rPr>
          <w:color w:val="auto"/>
        </w:rPr>
        <w:t>en la anterior categorización, lo que el proyecto requiere incorporar en el sistema judicial colombiano es</w:t>
      </w:r>
      <w:r w:rsidR="0019472E">
        <w:rPr>
          <w:color w:val="auto"/>
        </w:rPr>
        <w:t>,</w:t>
      </w:r>
      <w:r>
        <w:rPr>
          <w:color w:val="auto"/>
        </w:rPr>
        <w:t xml:space="preserve"> la fianza que implica la libertad provisional a esperas de un juicio y una sentencia que puede encontrar respecto del procesado la absolución de los cargos o la condena por los mismos. Y la </w:t>
      </w:r>
      <w:r>
        <w:rPr>
          <w:color w:val="auto"/>
        </w:rPr>
        <w:lastRenderedPageBreak/>
        <w:t>operatividad de tal propuesta se articula de manera armoniosa al criterio del autor del proyecto, de la mano del numeral 3</w:t>
      </w:r>
      <w:r w:rsidR="0019472E">
        <w:rPr>
          <w:color w:val="auto"/>
        </w:rPr>
        <w:t>°</w:t>
      </w:r>
      <w:r>
        <w:rPr>
          <w:color w:val="auto"/>
        </w:rPr>
        <w:t xml:space="preserve"> del artículo 308 del Código de Procedimiento Penal. </w:t>
      </w:r>
    </w:p>
    <w:p w14:paraId="2CFE5BC6" w14:textId="77777777" w:rsidR="00C66BF9" w:rsidRPr="00D33ADA" w:rsidRDefault="00C66BF9" w:rsidP="00D50DA7">
      <w:pPr>
        <w:pStyle w:val="Default"/>
        <w:tabs>
          <w:tab w:val="left" w:pos="1485"/>
        </w:tabs>
        <w:jc w:val="both"/>
        <w:rPr>
          <w:b/>
          <w:color w:val="auto"/>
          <w:u w:val="single"/>
        </w:rPr>
      </w:pPr>
    </w:p>
    <w:p w14:paraId="35138110" w14:textId="1CD0B52B" w:rsidR="00C66BF9" w:rsidRPr="00D33ADA" w:rsidRDefault="00C66BF9" w:rsidP="00D33ADA">
      <w:pPr>
        <w:pStyle w:val="Default"/>
        <w:numPr>
          <w:ilvl w:val="0"/>
          <w:numId w:val="40"/>
        </w:numPr>
        <w:tabs>
          <w:tab w:val="left" w:pos="1485"/>
        </w:tabs>
        <w:jc w:val="both"/>
        <w:rPr>
          <w:b/>
          <w:color w:val="auto"/>
          <w:u w:val="single"/>
        </w:rPr>
      </w:pPr>
      <w:r w:rsidRPr="00D33ADA">
        <w:rPr>
          <w:b/>
          <w:color w:val="auto"/>
          <w:u w:val="single"/>
        </w:rPr>
        <w:t>De la vulneración de los D</w:t>
      </w:r>
      <w:r w:rsidR="000D481F">
        <w:rPr>
          <w:b/>
          <w:color w:val="auto"/>
          <w:u w:val="single"/>
        </w:rPr>
        <w:t xml:space="preserve">erechos </w:t>
      </w:r>
      <w:r w:rsidRPr="00D33ADA">
        <w:rPr>
          <w:b/>
          <w:color w:val="auto"/>
          <w:u w:val="single"/>
        </w:rPr>
        <w:t>E</w:t>
      </w:r>
      <w:r w:rsidR="000D481F">
        <w:rPr>
          <w:b/>
          <w:color w:val="auto"/>
          <w:u w:val="single"/>
        </w:rPr>
        <w:t xml:space="preserve">conómicos, </w:t>
      </w:r>
      <w:r w:rsidRPr="00D33ADA">
        <w:rPr>
          <w:b/>
          <w:color w:val="auto"/>
          <w:u w:val="single"/>
        </w:rPr>
        <w:t>S</w:t>
      </w:r>
      <w:r w:rsidR="000D481F">
        <w:rPr>
          <w:b/>
          <w:color w:val="auto"/>
          <w:u w:val="single"/>
        </w:rPr>
        <w:t xml:space="preserve">ociales y </w:t>
      </w:r>
      <w:r w:rsidRPr="00D33ADA">
        <w:rPr>
          <w:b/>
          <w:color w:val="auto"/>
          <w:u w:val="single"/>
        </w:rPr>
        <w:t>C</w:t>
      </w:r>
      <w:r w:rsidR="000D481F">
        <w:rPr>
          <w:b/>
          <w:color w:val="auto"/>
          <w:u w:val="single"/>
        </w:rPr>
        <w:t>ulturales -DESC-</w:t>
      </w:r>
      <w:r w:rsidRPr="00D33ADA">
        <w:rPr>
          <w:b/>
          <w:color w:val="auto"/>
          <w:u w:val="single"/>
        </w:rPr>
        <w:t xml:space="preserve"> y del derecho a la vida de las personas detenidas</w:t>
      </w:r>
      <w:r w:rsidR="000D56DE" w:rsidRPr="000D56DE">
        <w:rPr>
          <w:rStyle w:val="Refdenotaalpie"/>
          <w:color w:val="auto"/>
          <w:u w:val="single"/>
        </w:rPr>
        <w:footnoteReference w:id="4"/>
      </w:r>
      <w:r w:rsidR="00D33ADA" w:rsidRPr="00D33ADA">
        <w:rPr>
          <w:b/>
          <w:color w:val="auto"/>
          <w:u w:val="single"/>
        </w:rPr>
        <w:t>:</w:t>
      </w:r>
    </w:p>
    <w:p w14:paraId="484B1D40" w14:textId="77777777" w:rsidR="00C66BF9" w:rsidRDefault="00C66BF9" w:rsidP="00D50DA7">
      <w:pPr>
        <w:pStyle w:val="Default"/>
        <w:tabs>
          <w:tab w:val="left" w:pos="1485"/>
        </w:tabs>
        <w:jc w:val="both"/>
        <w:rPr>
          <w:color w:val="auto"/>
        </w:rPr>
      </w:pPr>
    </w:p>
    <w:p w14:paraId="04AE034F" w14:textId="07D62514" w:rsidR="000B4016" w:rsidRDefault="00C66BF9" w:rsidP="00D50DA7">
      <w:pPr>
        <w:pStyle w:val="Default"/>
        <w:tabs>
          <w:tab w:val="left" w:pos="1485"/>
        </w:tabs>
        <w:jc w:val="both"/>
        <w:rPr>
          <w:color w:val="FF0000"/>
        </w:rPr>
      </w:pPr>
      <w:r>
        <w:rPr>
          <w:color w:val="auto"/>
        </w:rPr>
        <w:t xml:space="preserve">La noción de interrelación y complementariedad implica el entendimiento de la siguiente premisa: </w:t>
      </w:r>
      <w:r w:rsidR="00CC63C9">
        <w:rPr>
          <w:color w:val="auto"/>
        </w:rPr>
        <w:t>el cumplimiento y la garantía de tal situación, no debe ser vista de manera aislada o alternativa entre los distintos tipos de derechos que le son propios a los seres</w:t>
      </w:r>
      <w:r w:rsidR="000D481F">
        <w:rPr>
          <w:color w:val="auto"/>
        </w:rPr>
        <w:t xml:space="preserve"> humanos.</w:t>
      </w:r>
      <w:r w:rsidR="0040054B">
        <w:rPr>
          <w:color w:val="auto"/>
        </w:rPr>
        <w:t xml:space="preserve"> Por ende, cuando constitucionalmente se ha establecido que el Estado debe </w:t>
      </w:r>
      <w:r w:rsidR="000B4016">
        <w:rPr>
          <w:color w:val="auto"/>
        </w:rPr>
        <w:t>garantizarles</w:t>
      </w:r>
      <w:r w:rsidR="0040054B">
        <w:rPr>
          <w:color w:val="auto"/>
        </w:rPr>
        <w:t xml:space="preserve"> a las personas privadas de su libertad todos sus derechos humanos (evidentemente a excepción de la libertad), </w:t>
      </w:r>
      <w:r w:rsidR="000D481F" w:rsidRPr="000D481F">
        <w:rPr>
          <w:i/>
          <w:color w:val="auto"/>
        </w:rPr>
        <w:t>“</w:t>
      </w:r>
      <w:r w:rsidR="0040054B" w:rsidRPr="000D481F">
        <w:rPr>
          <w:i/>
          <w:color w:val="auto"/>
        </w:rPr>
        <w:t xml:space="preserve">no está haciendo una jerarquización </w:t>
      </w:r>
      <w:r w:rsidR="000B4016" w:rsidRPr="000D481F">
        <w:rPr>
          <w:i/>
          <w:color w:val="auto"/>
        </w:rPr>
        <w:t>entre los mismos, sino más bien un mandato de hacerlos complementarios y de lograr su mutuo refuerzo</w:t>
      </w:r>
      <w:r w:rsidR="000D481F" w:rsidRPr="000D481F">
        <w:rPr>
          <w:i/>
          <w:color w:val="auto"/>
        </w:rPr>
        <w:t>”</w:t>
      </w:r>
      <w:r w:rsidR="000B4016" w:rsidRPr="000D481F">
        <w:rPr>
          <w:i/>
          <w:color w:val="auto"/>
        </w:rPr>
        <w:t xml:space="preserve">. </w:t>
      </w:r>
    </w:p>
    <w:p w14:paraId="22C1A61F" w14:textId="77777777" w:rsidR="000B4016" w:rsidRDefault="000B4016" w:rsidP="00D50DA7">
      <w:pPr>
        <w:pStyle w:val="Default"/>
        <w:tabs>
          <w:tab w:val="left" w:pos="1485"/>
        </w:tabs>
        <w:jc w:val="both"/>
        <w:rPr>
          <w:color w:val="FF0000"/>
        </w:rPr>
      </w:pPr>
    </w:p>
    <w:p w14:paraId="7A0EC47B" w14:textId="77777777" w:rsidR="000B4016" w:rsidRDefault="000B4016" w:rsidP="00D50DA7">
      <w:pPr>
        <w:pStyle w:val="Default"/>
        <w:tabs>
          <w:tab w:val="left" w:pos="1485"/>
        </w:tabs>
        <w:jc w:val="both"/>
        <w:rPr>
          <w:color w:val="000000" w:themeColor="text1"/>
        </w:rPr>
      </w:pPr>
      <w:r w:rsidRPr="000B4016">
        <w:rPr>
          <w:color w:val="000000" w:themeColor="text1"/>
        </w:rPr>
        <w:t>Es claro que los DESC tienen una estrecha interrelación directa con otras categorías de derechos y es precisamente en la escena carcelaria y pen</w:t>
      </w:r>
      <w:r>
        <w:rPr>
          <w:color w:val="000000" w:themeColor="text1"/>
        </w:rPr>
        <w:t xml:space="preserve">itenciaria donde se permite comprobar tal premisa, escenarios donde existe como regla principal, la restricción bastante fuerte de derechos. </w:t>
      </w:r>
    </w:p>
    <w:p w14:paraId="23949EFE" w14:textId="77777777" w:rsidR="006030FE" w:rsidRDefault="006030FE" w:rsidP="00D50DA7">
      <w:pPr>
        <w:pStyle w:val="Default"/>
        <w:tabs>
          <w:tab w:val="left" w:pos="1485"/>
        </w:tabs>
        <w:jc w:val="both"/>
        <w:rPr>
          <w:color w:val="000000" w:themeColor="text1"/>
        </w:rPr>
      </w:pPr>
    </w:p>
    <w:p w14:paraId="17A436F0" w14:textId="77777777" w:rsidR="006030FE" w:rsidRDefault="006030FE" w:rsidP="00D50DA7">
      <w:pPr>
        <w:pStyle w:val="Default"/>
        <w:tabs>
          <w:tab w:val="left" w:pos="1485"/>
        </w:tabs>
        <w:jc w:val="both"/>
        <w:rPr>
          <w:color w:val="000000" w:themeColor="text1"/>
        </w:rPr>
      </w:pPr>
      <w:r>
        <w:rPr>
          <w:color w:val="000000" w:themeColor="text1"/>
        </w:rPr>
        <w:t xml:space="preserve">Recuérdese que la restricción de la libertad no significa la absoluta anulación de la condición básica de la dignidad humana y de la vida digna. Entonces, derechos sociales, económicos y culturales (DESC) como la alimentación, la salud, el saneamiento básico, la educación, el trabajo y la reunión, absolutamente tienen un impacto en la sostenibilidad de una vida en condiciones de dignidad en condiciones de especial sujeción como lo son las personas privadas de la libertad. </w:t>
      </w:r>
    </w:p>
    <w:p w14:paraId="11DC65AA" w14:textId="77777777" w:rsidR="006030FE" w:rsidRDefault="006030FE" w:rsidP="00D50DA7">
      <w:pPr>
        <w:pStyle w:val="Default"/>
        <w:tabs>
          <w:tab w:val="left" w:pos="1485"/>
        </w:tabs>
        <w:jc w:val="both"/>
        <w:rPr>
          <w:color w:val="000000" w:themeColor="text1"/>
        </w:rPr>
      </w:pPr>
    </w:p>
    <w:p w14:paraId="4F34E161" w14:textId="502E43D8" w:rsidR="00C52298" w:rsidRDefault="006030FE" w:rsidP="00D50DA7">
      <w:pPr>
        <w:pStyle w:val="Default"/>
        <w:tabs>
          <w:tab w:val="left" w:pos="1485"/>
        </w:tabs>
        <w:jc w:val="both"/>
        <w:rPr>
          <w:color w:val="000000" w:themeColor="text1"/>
        </w:rPr>
      </w:pPr>
      <w:r>
        <w:rPr>
          <w:color w:val="000000" w:themeColor="text1"/>
        </w:rPr>
        <w:t>La tesis es la siguiente: En las cárceles de Colombia, se vulnera sistemáticamente derechos sociales</w:t>
      </w:r>
      <w:r w:rsidR="00C20D49">
        <w:rPr>
          <w:color w:val="000000" w:themeColor="text1"/>
        </w:rPr>
        <w:t>,</w:t>
      </w:r>
      <w:r>
        <w:rPr>
          <w:color w:val="000000" w:themeColor="text1"/>
        </w:rPr>
        <w:t xml:space="preserve"> económicos y culturales que de su garantía y protección (aún en las cárceles y penitenciarias colombianas) depende el mantenimiento de </w:t>
      </w:r>
      <w:r w:rsidR="00C52298">
        <w:rPr>
          <w:color w:val="000000" w:themeColor="text1"/>
        </w:rPr>
        <w:t>una vida digna para cada preso y todo ello tiene origen en la problemática establecida en el objeto de este proyecto de Ley, el hacinamiento.</w:t>
      </w:r>
    </w:p>
    <w:p w14:paraId="3AB7300A" w14:textId="77777777" w:rsidR="00C52298" w:rsidRDefault="00C52298" w:rsidP="00D50DA7">
      <w:pPr>
        <w:pStyle w:val="Default"/>
        <w:tabs>
          <w:tab w:val="left" w:pos="1485"/>
        </w:tabs>
        <w:jc w:val="both"/>
        <w:rPr>
          <w:color w:val="000000" w:themeColor="text1"/>
        </w:rPr>
      </w:pPr>
    </w:p>
    <w:p w14:paraId="20BAB565" w14:textId="77777777" w:rsidR="00C52298" w:rsidRDefault="00C52298" w:rsidP="00D50DA7">
      <w:pPr>
        <w:pStyle w:val="Default"/>
        <w:tabs>
          <w:tab w:val="left" w:pos="1485"/>
        </w:tabs>
        <w:jc w:val="both"/>
        <w:rPr>
          <w:color w:val="000000" w:themeColor="text1"/>
        </w:rPr>
      </w:pPr>
      <w:r>
        <w:rPr>
          <w:color w:val="000000" w:themeColor="text1"/>
        </w:rPr>
        <w:t xml:space="preserve">La Corte Constitucional en varias sentencias de sus primeros años de existencia se refirió al estado de crisis que vivían los presos en el país, lo que implicó la </w:t>
      </w:r>
      <w:r>
        <w:rPr>
          <w:color w:val="000000" w:themeColor="text1"/>
        </w:rPr>
        <w:lastRenderedPageBreak/>
        <w:t>vulneración de derechos a gran escala sobre esta población. La reiteración jurisprudencial llevó a que en 1998, esta corporación declarara el estado de cosas inconstitucional. Dijo la Corte:</w:t>
      </w:r>
    </w:p>
    <w:p w14:paraId="35CD9B4A" w14:textId="77777777" w:rsidR="00C52298" w:rsidRDefault="00C52298" w:rsidP="00D50DA7">
      <w:pPr>
        <w:pStyle w:val="Default"/>
        <w:tabs>
          <w:tab w:val="left" w:pos="1485"/>
        </w:tabs>
        <w:jc w:val="both"/>
        <w:rPr>
          <w:color w:val="000000" w:themeColor="text1"/>
        </w:rPr>
      </w:pPr>
    </w:p>
    <w:p w14:paraId="2BCB372E" w14:textId="39F4E981" w:rsidR="00C52298" w:rsidRPr="00C20D49" w:rsidRDefault="00C52298" w:rsidP="00C20D49">
      <w:pPr>
        <w:pStyle w:val="Default"/>
        <w:tabs>
          <w:tab w:val="left" w:pos="1485"/>
        </w:tabs>
        <w:ind w:left="708"/>
        <w:jc w:val="both"/>
        <w:rPr>
          <w:color w:val="000000" w:themeColor="text1"/>
          <w:sz w:val="22"/>
        </w:rPr>
      </w:pPr>
      <w:r w:rsidRPr="00C20D49">
        <w:rPr>
          <w:i/>
          <w:color w:val="000000" w:themeColor="text1"/>
          <w:sz w:val="22"/>
          <w:szCs w:val="22"/>
        </w:rPr>
        <w:t xml:space="preserve">“Dada la imprevisión y el desgreño que han reinado en materia de infraestructura carcelaria, la sobrepoblación ha conducido a que los reclusos ni siquiera puedan gozar de las </w:t>
      </w:r>
      <w:r w:rsidR="00E05FF8" w:rsidRPr="00C20D49">
        <w:rPr>
          <w:i/>
          <w:color w:val="000000" w:themeColor="text1"/>
          <w:sz w:val="22"/>
          <w:szCs w:val="22"/>
        </w:rPr>
        <w:t>más</w:t>
      </w:r>
      <w:r w:rsidRPr="00C20D49">
        <w:rPr>
          <w:i/>
          <w:color w:val="000000" w:themeColor="text1"/>
          <w:sz w:val="22"/>
          <w:szCs w:val="22"/>
        </w:rPr>
        <w:t xml:space="preserve"> </w:t>
      </w:r>
      <w:r w:rsidR="00E05FF8" w:rsidRPr="00C20D49">
        <w:rPr>
          <w:i/>
          <w:color w:val="000000" w:themeColor="text1"/>
          <w:sz w:val="22"/>
          <w:szCs w:val="22"/>
        </w:rPr>
        <w:t>mínimas</w:t>
      </w:r>
      <w:r w:rsidRPr="00C20D49">
        <w:rPr>
          <w:i/>
          <w:color w:val="000000" w:themeColor="text1"/>
          <w:sz w:val="22"/>
          <w:szCs w:val="22"/>
        </w:rPr>
        <w:t xml:space="preserve"> condiciones para llevar una vida digna en la prisión, tales como contar con un camarote, con agua suficiente, servicios sanitarios, con salud, visitas de familia en condiciones decorosas etc. De manera general se puede concluir que el hacinamiento </w:t>
      </w:r>
      <w:r w:rsidR="00E05FF8" w:rsidRPr="00C20D49">
        <w:rPr>
          <w:i/>
          <w:color w:val="000000" w:themeColor="text1"/>
          <w:sz w:val="22"/>
          <w:szCs w:val="22"/>
        </w:rPr>
        <w:t>desvirtúa</w:t>
      </w:r>
      <w:r w:rsidRPr="00C20D49">
        <w:rPr>
          <w:i/>
          <w:color w:val="000000" w:themeColor="text1"/>
          <w:sz w:val="22"/>
          <w:szCs w:val="22"/>
        </w:rPr>
        <w:t xml:space="preserve"> de manera </w:t>
      </w:r>
      <w:r w:rsidR="00E05FF8" w:rsidRPr="00C20D49">
        <w:rPr>
          <w:i/>
          <w:color w:val="000000" w:themeColor="text1"/>
          <w:sz w:val="22"/>
          <w:szCs w:val="22"/>
        </w:rPr>
        <w:t>absoluta</w:t>
      </w:r>
      <w:r w:rsidRPr="00C20D49">
        <w:rPr>
          <w:i/>
          <w:color w:val="000000" w:themeColor="text1"/>
          <w:sz w:val="22"/>
          <w:szCs w:val="22"/>
        </w:rPr>
        <w:t xml:space="preserve"> los fines de tratamiento penitenciario</w:t>
      </w:r>
      <w:r w:rsidR="00C20D49" w:rsidRPr="00C20D49">
        <w:rPr>
          <w:i/>
          <w:color w:val="000000" w:themeColor="text1"/>
          <w:sz w:val="22"/>
          <w:szCs w:val="22"/>
        </w:rPr>
        <w:t>”</w:t>
      </w:r>
      <w:r w:rsidRPr="00C20D49">
        <w:rPr>
          <w:i/>
          <w:color w:val="000000" w:themeColor="text1"/>
          <w:sz w:val="22"/>
          <w:szCs w:val="22"/>
        </w:rPr>
        <w:t>.</w:t>
      </w:r>
      <w:r w:rsidRPr="00C20D49">
        <w:rPr>
          <w:color w:val="000000" w:themeColor="text1"/>
          <w:sz w:val="22"/>
        </w:rPr>
        <w:t xml:space="preserve"> SENT  T 153 DE 1998 MP. EDUARDO CIFUENTES MUÑOEZ.”</w:t>
      </w:r>
    </w:p>
    <w:p w14:paraId="2E10BCA0" w14:textId="77777777" w:rsidR="005118CE" w:rsidRDefault="005118CE" w:rsidP="00D50DA7">
      <w:pPr>
        <w:pStyle w:val="Default"/>
        <w:tabs>
          <w:tab w:val="left" w:pos="1485"/>
        </w:tabs>
        <w:jc w:val="both"/>
        <w:rPr>
          <w:color w:val="000000" w:themeColor="text1"/>
        </w:rPr>
      </w:pPr>
    </w:p>
    <w:p w14:paraId="53210297" w14:textId="77777777" w:rsidR="00C52298" w:rsidRDefault="00B129EE" w:rsidP="00D50DA7">
      <w:pPr>
        <w:pStyle w:val="Default"/>
        <w:tabs>
          <w:tab w:val="left" w:pos="1485"/>
        </w:tabs>
        <w:jc w:val="both"/>
        <w:rPr>
          <w:color w:val="000000" w:themeColor="text1"/>
        </w:rPr>
      </w:pPr>
      <w:r>
        <w:rPr>
          <w:color w:val="000000" w:themeColor="text1"/>
        </w:rPr>
        <w:t>E</w:t>
      </w:r>
      <w:r w:rsidR="00CA0ABF">
        <w:rPr>
          <w:color w:val="000000" w:themeColor="text1"/>
        </w:rPr>
        <w:t xml:space="preserve">l hacinamiento en las cárceles de Colombia, es una realidad que tiene como consecuencia directa, la vulneración sistemática de derechos de distintas categorías pero que transversalmente trasgrede la condición de humanidad que se predica de toda persona recluida. </w:t>
      </w:r>
    </w:p>
    <w:p w14:paraId="346D4B19" w14:textId="77777777" w:rsidR="00CA0ABF" w:rsidRDefault="00CA0ABF" w:rsidP="00D50DA7">
      <w:pPr>
        <w:pStyle w:val="Default"/>
        <w:tabs>
          <w:tab w:val="left" w:pos="1485"/>
        </w:tabs>
        <w:jc w:val="both"/>
        <w:rPr>
          <w:color w:val="000000" w:themeColor="text1"/>
        </w:rPr>
      </w:pPr>
    </w:p>
    <w:p w14:paraId="5FE6DBAA" w14:textId="03AECB8A" w:rsidR="00CA0ABF" w:rsidRDefault="00CA0ABF" w:rsidP="00D50DA7">
      <w:pPr>
        <w:pStyle w:val="Default"/>
        <w:tabs>
          <w:tab w:val="left" w:pos="1485"/>
        </w:tabs>
        <w:jc w:val="both"/>
        <w:rPr>
          <w:color w:val="000000" w:themeColor="text1"/>
        </w:rPr>
      </w:pPr>
      <w:r>
        <w:rPr>
          <w:color w:val="000000" w:themeColor="text1"/>
        </w:rPr>
        <w:t xml:space="preserve">Derechos </w:t>
      </w:r>
      <w:r w:rsidR="00B129EE">
        <w:rPr>
          <w:color w:val="000000" w:themeColor="text1"/>
        </w:rPr>
        <w:t>como la alimentación, la salubridad, el agua, la recreación, la intimidad familiar</w:t>
      </w:r>
      <w:r w:rsidR="00C20D49">
        <w:rPr>
          <w:color w:val="000000" w:themeColor="text1"/>
        </w:rPr>
        <w:t>,</w:t>
      </w:r>
      <w:r w:rsidR="00B129EE">
        <w:rPr>
          <w:color w:val="000000" w:themeColor="text1"/>
        </w:rPr>
        <w:t xml:space="preserve"> entre otros, son afectados directamente por la sobrepoblación en las cárceles del país, lo que implica el mantenimiento prolongado de unas condiciones de vida que no llegan a cubrir el mínimo estándar que se exige para la garantía de una vida digna, situación que implica contrario sensu que, la vulneración de DESC en las cárceles implica vulnerar a su vez el derecho a la vida y el principio de dignidad humana, es decir, el derecho a vivir con dignidad, aun así se esté cumpliendo una pena como castigo a la comisión de un delito. </w:t>
      </w:r>
    </w:p>
    <w:p w14:paraId="368603F1" w14:textId="77777777" w:rsidR="00C52298" w:rsidRPr="000B4016" w:rsidRDefault="00C52298" w:rsidP="00D50DA7">
      <w:pPr>
        <w:pStyle w:val="Default"/>
        <w:tabs>
          <w:tab w:val="left" w:pos="1485"/>
        </w:tabs>
        <w:jc w:val="both"/>
        <w:rPr>
          <w:color w:val="000000" w:themeColor="text1"/>
        </w:rPr>
      </w:pPr>
      <w:r>
        <w:rPr>
          <w:color w:val="000000" w:themeColor="text1"/>
        </w:rPr>
        <w:t xml:space="preserve"> </w:t>
      </w:r>
    </w:p>
    <w:p w14:paraId="4E51FFB4" w14:textId="77777777" w:rsidR="002834A5" w:rsidRPr="00E05FF8" w:rsidRDefault="002834A5" w:rsidP="00D33ADA">
      <w:pPr>
        <w:pStyle w:val="Default"/>
        <w:numPr>
          <w:ilvl w:val="0"/>
          <w:numId w:val="40"/>
        </w:numPr>
        <w:tabs>
          <w:tab w:val="left" w:pos="1485"/>
        </w:tabs>
        <w:jc w:val="both"/>
        <w:rPr>
          <w:color w:val="000000" w:themeColor="text1"/>
        </w:rPr>
      </w:pPr>
      <w:r w:rsidRPr="00D33ADA">
        <w:rPr>
          <w:b/>
          <w:color w:val="auto"/>
          <w:u w:val="single"/>
        </w:rPr>
        <w:t>Contenido del articulado</w:t>
      </w:r>
      <w:r w:rsidR="00D83C41" w:rsidRPr="00D83C41">
        <w:rPr>
          <w:b/>
          <w:color w:val="auto"/>
        </w:rPr>
        <w:t>:</w:t>
      </w:r>
      <w:r w:rsidRPr="00D83C41">
        <w:rPr>
          <w:b/>
          <w:color w:val="auto"/>
        </w:rPr>
        <w:t xml:space="preserve"> </w:t>
      </w:r>
    </w:p>
    <w:p w14:paraId="3ACB7D59" w14:textId="364DCA65" w:rsidR="00B666E0" w:rsidRPr="002834A5" w:rsidRDefault="00B666E0" w:rsidP="00940AFE">
      <w:pPr>
        <w:pStyle w:val="Default"/>
        <w:jc w:val="both"/>
        <w:rPr>
          <w:color w:val="auto"/>
        </w:rPr>
      </w:pPr>
    </w:p>
    <w:p w14:paraId="18A3714F" w14:textId="1036B7B1" w:rsidR="00D95740" w:rsidRPr="00376064" w:rsidRDefault="002834A5" w:rsidP="00940AFE">
      <w:pPr>
        <w:pStyle w:val="Default"/>
        <w:jc w:val="both"/>
        <w:rPr>
          <w:color w:val="auto"/>
        </w:rPr>
      </w:pPr>
      <w:r w:rsidRPr="00376064">
        <w:rPr>
          <w:color w:val="auto"/>
        </w:rPr>
        <w:t>El presente proyecto de Ley está estr</w:t>
      </w:r>
      <w:r w:rsidR="001B553D" w:rsidRPr="00376064">
        <w:rPr>
          <w:color w:val="auto"/>
        </w:rPr>
        <w:t>ucturado de la siguiente manera:</w:t>
      </w:r>
      <w:r w:rsidR="00376064" w:rsidRPr="00376064">
        <w:rPr>
          <w:color w:val="auto"/>
        </w:rPr>
        <w:t xml:space="preserve"> Consta de tres capitulos integrados por </w:t>
      </w:r>
      <w:r w:rsidR="00D95740" w:rsidRPr="00376064">
        <w:rPr>
          <w:color w:val="auto"/>
        </w:rPr>
        <w:t xml:space="preserve">siete artículos. </w:t>
      </w:r>
    </w:p>
    <w:p w14:paraId="6D117ECA" w14:textId="77777777" w:rsidR="00D95740" w:rsidRPr="00376064" w:rsidRDefault="00D95740" w:rsidP="00940AFE">
      <w:pPr>
        <w:pStyle w:val="Default"/>
        <w:jc w:val="both"/>
        <w:rPr>
          <w:color w:val="auto"/>
        </w:rPr>
      </w:pPr>
    </w:p>
    <w:p w14:paraId="1F5CCE6B" w14:textId="12E06CCE" w:rsidR="00D95740" w:rsidRDefault="00D95740" w:rsidP="00D95740">
      <w:pPr>
        <w:pStyle w:val="Default"/>
        <w:jc w:val="both"/>
      </w:pPr>
      <w:r w:rsidRPr="00376064">
        <w:rPr>
          <w:color w:val="auto"/>
        </w:rPr>
        <w:t xml:space="preserve">El Capitulo I contiene el artículo primero, el cual contempla el objeto del proyecto de ley, que tiene como finalidad, dictar medidas para enfrentar y contrarrestar el hacinamiento carcelario y/o </w:t>
      </w:r>
      <w:r>
        <w:t xml:space="preserve">penitenciario, garantizando la dignidad humana de las personas privadas de </w:t>
      </w:r>
      <w:r w:rsidRPr="0055576F">
        <w:t>la libertad</w:t>
      </w:r>
      <w:r>
        <w:t xml:space="preserve"> que se encuentren</w:t>
      </w:r>
      <w:r w:rsidRPr="0055576F">
        <w:t xml:space="preserve"> recluidas en centros penitenciarios y</w:t>
      </w:r>
      <w:r>
        <w:t>/o</w:t>
      </w:r>
      <w:r w:rsidRPr="0055576F">
        <w:t xml:space="preserve"> carcelarios en todo el territorio nacional.</w:t>
      </w:r>
    </w:p>
    <w:p w14:paraId="46BAD189" w14:textId="77777777" w:rsidR="00D95740" w:rsidRDefault="00D95740" w:rsidP="00D95740">
      <w:pPr>
        <w:pStyle w:val="Default"/>
        <w:jc w:val="both"/>
      </w:pPr>
    </w:p>
    <w:p w14:paraId="4A9B76F7" w14:textId="649AC8A7" w:rsidR="00D95740" w:rsidRDefault="00376064" w:rsidP="00083E05">
      <w:pPr>
        <w:pStyle w:val="Default"/>
        <w:jc w:val="both"/>
        <w:rPr>
          <w:rFonts w:eastAsiaTheme="minorHAnsi"/>
          <w:color w:val="auto"/>
          <w:u w:val="single"/>
        </w:rPr>
      </w:pPr>
      <w:r>
        <w:t>El C</w:t>
      </w:r>
      <w:r w:rsidR="00D95740">
        <w:t xml:space="preserve">apitulo </w:t>
      </w:r>
      <w:r>
        <w:t xml:space="preserve">II </w:t>
      </w:r>
      <w:r w:rsidR="00D95740">
        <w:t xml:space="preserve">comprende cinco artículos (2, 3, 4, 5 y 6) y constituyen la escencia del proyecto, esto es, las medidas propuestas contra el hacinamiento carcelario y penitenciario. Así, se empieza con el artículo segundo, el cual dispone que el Gobierno Nacional deberá disponer de las políticas públicas de Estado y </w:t>
      </w:r>
      <w:r w:rsidR="00D95740">
        <w:lastRenderedPageBreak/>
        <w:t>apropiaciones presupuestales necesarias</w:t>
      </w:r>
      <w:r w:rsidR="00D95740" w:rsidRPr="00BE2930">
        <w:t xml:space="preserve"> </w:t>
      </w:r>
      <w:r w:rsidR="00D95740">
        <w:t>dentro de los diez (10) años siguiente</w:t>
      </w:r>
      <w:r w:rsidR="001D3570">
        <w:t>s a la expedición de la</w:t>
      </w:r>
      <w:r w:rsidR="00D95740">
        <w:t xml:space="preserve"> ley, </w:t>
      </w:r>
      <w:r w:rsidR="00D95740" w:rsidRPr="00BE2930">
        <w:t>con la finalidad de mitig</w:t>
      </w:r>
      <w:r w:rsidR="00D95740">
        <w:t xml:space="preserve">ar el hacinamiento carcelario y/o penitenciario en el que se encuentran personas privadas de la libertad. Con ello, se pretende que dichas políticas públicas, deban responder a la garantía constitucional de </w:t>
      </w:r>
      <w:r w:rsidR="00D95740" w:rsidRPr="00BE2930">
        <w:t>la dignidad humana y demás derechos fundamentales reconocidos por el ordenamiento jurídico</w:t>
      </w:r>
      <w:r w:rsidR="00D95740">
        <w:t xml:space="preserve"> a la población recluida en establecimientos penitenciarios y/o carcelarios</w:t>
      </w:r>
      <w:r w:rsidR="00D95740" w:rsidRPr="00BE2930">
        <w:t xml:space="preserve">, </w:t>
      </w:r>
      <w:r w:rsidR="00D95740">
        <w:t xml:space="preserve">sin más limitación de aquellos derechos que por la condición de procesados o condenados tuvieren. Por lo mismo, </w:t>
      </w:r>
      <w:r w:rsidR="00083E05">
        <w:t>se establecen unos lapsos de tiempo para ir implementando acciones, en coa</w:t>
      </w:r>
      <w:r w:rsidR="001D3570">
        <w:t>dyuvancia con un Comité Técnico. Así mismo,</w:t>
      </w:r>
      <w:r w:rsidR="00083E05">
        <w:t xml:space="preserve"> se garanticen las apropiaciones presupuestales a que haya lugar en virtud del principio de planeación</w:t>
      </w:r>
      <w:r w:rsidR="001D3570">
        <w:t>;</w:t>
      </w:r>
      <w:r w:rsidR="00083E05">
        <w:t xml:space="preserve"> y de todo lo que se realice</w:t>
      </w:r>
      <w:r w:rsidR="001D3570">
        <w:t xml:space="preserve"> en virtud de dicha disposición, </w:t>
      </w:r>
      <w:r w:rsidR="00083E05">
        <w:t>se rinda informe a los entes de control.</w:t>
      </w:r>
    </w:p>
    <w:p w14:paraId="66447892" w14:textId="77777777" w:rsidR="00083E05" w:rsidRPr="00083E05" w:rsidRDefault="00083E05" w:rsidP="00083E05">
      <w:pPr>
        <w:pStyle w:val="Default"/>
        <w:jc w:val="both"/>
        <w:rPr>
          <w:rFonts w:eastAsiaTheme="minorHAnsi"/>
          <w:color w:val="auto"/>
        </w:rPr>
      </w:pPr>
    </w:p>
    <w:p w14:paraId="6BD253B3" w14:textId="217469B0" w:rsidR="00083E05" w:rsidRDefault="00083E05" w:rsidP="00083E05">
      <w:pPr>
        <w:pStyle w:val="Default"/>
        <w:jc w:val="both"/>
        <w:rPr>
          <w:rFonts w:eastAsiaTheme="minorHAnsi"/>
          <w:color w:val="auto"/>
        </w:rPr>
      </w:pPr>
      <w:r w:rsidRPr="00083E05">
        <w:rPr>
          <w:rFonts w:eastAsiaTheme="minorHAnsi"/>
          <w:color w:val="auto"/>
        </w:rPr>
        <w:t xml:space="preserve">El artículo tercero, pretende hacer una modificación al artículo 28 de la Ley 65 de 1993, con la finalidad de ampliar el espectro de las colonias agricolas en virtud de una política pública que coadyuve a mitigar el hacinamiento carcelario y/o penitenciario. </w:t>
      </w:r>
    </w:p>
    <w:p w14:paraId="0A0748D3" w14:textId="77777777" w:rsidR="00F43183" w:rsidRDefault="00F43183" w:rsidP="00083E05">
      <w:pPr>
        <w:pStyle w:val="Default"/>
        <w:jc w:val="both"/>
        <w:rPr>
          <w:rFonts w:eastAsiaTheme="minorHAnsi"/>
          <w:color w:val="auto"/>
        </w:rPr>
      </w:pPr>
    </w:p>
    <w:p w14:paraId="11AA7307" w14:textId="19A1A198" w:rsidR="00D95740" w:rsidRPr="00376064" w:rsidRDefault="00F43183" w:rsidP="00083E05">
      <w:pPr>
        <w:pStyle w:val="Default"/>
        <w:jc w:val="both"/>
      </w:pPr>
      <w:r>
        <w:rPr>
          <w:rFonts w:eastAsiaTheme="minorHAnsi"/>
          <w:color w:val="auto"/>
        </w:rPr>
        <w:t>Los artículos</w:t>
      </w:r>
      <w:r w:rsidR="00083E05">
        <w:rPr>
          <w:rFonts w:eastAsiaTheme="minorHAnsi"/>
          <w:color w:val="auto"/>
        </w:rPr>
        <w:t xml:space="preserve"> cuatro y cinco del proyecto, buscan crear e implementar la fianza dentro del ordenamiento jurídico procesal penal (esta última incluye un parágrafo al artículo 308 del Código de Procedimiento Penal, que regula la medida de aseguramiento). Y el artículo sexto, busca que todas</w:t>
      </w:r>
      <w:r w:rsidR="00083E05">
        <w:t xml:space="preserve"> l</w:t>
      </w:r>
      <w:r w:rsidR="00D95740">
        <w:t xml:space="preserve">as autoridades administrativas </w:t>
      </w:r>
      <w:r w:rsidR="00083E05">
        <w:t>involucradas o responsables del manejo de los centro penitenciarios y/o carcelarios, en artículación con el Gobierno Nacional</w:t>
      </w:r>
      <w:r>
        <w:t>,</w:t>
      </w:r>
      <w:r w:rsidR="00083E05">
        <w:t xml:space="preserve"> </w:t>
      </w:r>
      <w:r>
        <w:t>propenda</w:t>
      </w:r>
      <w:r w:rsidR="00D95740">
        <w:t xml:space="preserve">n porque en </w:t>
      </w:r>
      <w:r w:rsidR="00083E05">
        <w:t>dichos centros</w:t>
      </w:r>
      <w:r w:rsidR="00D95740">
        <w:t xml:space="preserve"> se mitigue materialmente la sobrepoblación carcelaria, con la finalidad de garantizar l</w:t>
      </w:r>
      <w:r>
        <w:t xml:space="preserve">a dignidad humana, y se provean </w:t>
      </w:r>
      <w:r w:rsidR="00D95740">
        <w:t>los insumos necesarios a efectos de garantizar servicios sanitarios básicos, agua, asistencia en sal</w:t>
      </w:r>
      <w:r w:rsidR="00D95740" w:rsidRPr="00376064">
        <w:t>ud, y demás que propendan p</w:t>
      </w:r>
      <w:r w:rsidR="00083E05" w:rsidRPr="00376064">
        <w:t>or la vida digna del prisionero, entre otras, los DESC previamente mencionados.</w:t>
      </w:r>
    </w:p>
    <w:p w14:paraId="530B9FD2" w14:textId="77777777" w:rsidR="00D95740" w:rsidRPr="00376064" w:rsidRDefault="00D95740" w:rsidP="00D95740">
      <w:pPr>
        <w:spacing w:after="0" w:line="240" w:lineRule="auto"/>
        <w:rPr>
          <w:rFonts w:ascii="Arial" w:hAnsi="Arial" w:cs="Arial"/>
          <w:sz w:val="24"/>
          <w:szCs w:val="24"/>
        </w:rPr>
      </w:pPr>
    </w:p>
    <w:p w14:paraId="7091B07F" w14:textId="37D523C3" w:rsidR="00376064" w:rsidRPr="00376064" w:rsidRDefault="00376064" w:rsidP="00376064">
      <w:pPr>
        <w:spacing w:after="0" w:line="240" w:lineRule="auto"/>
        <w:jc w:val="both"/>
        <w:rPr>
          <w:rFonts w:ascii="Arial" w:hAnsi="Arial" w:cs="Arial"/>
          <w:sz w:val="24"/>
          <w:szCs w:val="24"/>
        </w:rPr>
      </w:pPr>
      <w:r w:rsidRPr="00376064">
        <w:rPr>
          <w:rFonts w:ascii="Arial" w:hAnsi="Arial" w:cs="Arial"/>
          <w:sz w:val="24"/>
          <w:szCs w:val="24"/>
        </w:rPr>
        <w:t>Fina</w:t>
      </w:r>
      <w:r>
        <w:rPr>
          <w:rFonts w:ascii="Arial" w:hAnsi="Arial" w:cs="Arial"/>
          <w:sz w:val="24"/>
          <w:szCs w:val="24"/>
        </w:rPr>
        <w:t>lmente, el Capitulo III adscribe</w:t>
      </w:r>
      <w:r w:rsidRPr="00376064">
        <w:rPr>
          <w:rFonts w:ascii="Arial" w:hAnsi="Arial" w:cs="Arial"/>
          <w:sz w:val="24"/>
          <w:szCs w:val="24"/>
        </w:rPr>
        <w:t xml:space="preserve"> el artículo séptimo, contentivo de la vigencia y derogatorias.</w:t>
      </w:r>
    </w:p>
    <w:p w14:paraId="7F043BCF" w14:textId="77777777" w:rsidR="00B70AEA" w:rsidRPr="00815932" w:rsidRDefault="00B70AEA" w:rsidP="00B70AEA">
      <w:pPr>
        <w:pStyle w:val="Default"/>
        <w:jc w:val="both"/>
        <w:rPr>
          <w:color w:val="FF0000"/>
        </w:rPr>
      </w:pPr>
    </w:p>
    <w:p w14:paraId="60776603" w14:textId="77777777" w:rsidR="00266DD1" w:rsidRPr="00B666E0" w:rsidRDefault="00266DD1" w:rsidP="00266DD1">
      <w:pPr>
        <w:pStyle w:val="Prrafodelista"/>
        <w:numPr>
          <w:ilvl w:val="0"/>
          <w:numId w:val="12"/>
        </w:numPr>
        <w:spacing w:after="0" w:line="240" w:lineRule="auto"/>
        <w:jc w:val="both"/>
        <w:rPr>
          <w:rFonts w:ascii="Arial" w:hAnsi="Arial" w:cs="Arial"/>
          <w:b/>
          <w:sz w:val="24"/>
          <w:u w:val="thick"/>
        </w:rPr>
      </w:pPr>
      <w:r w:rsidRPr="00B666E0">
        <w:rPr>
          <w:rFonts w:ascii="Arial" w:hAnsi="Arial" w:cs="Arial"/>
          <w:b/>
          <w:sz w:val="24"/>
          <w:u w:val="thick"/>
        </w:rPr>
        <w:t>Impacto Fiscal:</w:t>
      </w:r>
    </w:p>
    <w:p w14:paraId="5F917DFE" w14:textId="77777777" w:rsidR="008139E6" w:rsidRPr="00C7262A" w:rsidRDefault="008139E6" w:rsidP="008139E6">
      <w:pPr>
        <w:tabs>
          <w:tab w:val="left" w:pos="2127"/>
        </w:tabs>
        <w:spacing w:after="0" w:line="240" w:lineRule="auto"/>
        <w:jc w:val="both"/>
        <w:rPr>
          <w:rFonts w:ascii="Arial" w:hAnsi="Arial" w:cs="Arial"/>
          <w:sz w:val="24"/>
          <w:szCs w:val="24"/>
        </w:rPr>
      </w:pPr>
    </w:p>
    <w:p w14:paraId="6B9B719B" w14:textId="1953924D" w:rsidR="00E34EAF" w:rsidRDefault="00E34EAF" w:rsidP="00E34EAF">
      <w:pPr>
        <w:tabs>
          <w:tab w:val="left" w:pos="2127"/>
        </w:tabs>
        <w:spacing w:after="0" w:line="240" w:lineRule="auto"/>
        <w:jc w:val="both"/>
        <w:rPr>
          <w:rFonts w:ascii="Arial" w:hAnsi="Arial" w:cs="Arial"/>
          <w:sz w:val="24"/>
          <w:szCs w:val="24"/>
        </w:rPr>
      </w:pPr>
      <w:r w:rsidRPr="00B90634">
        <w:rPr>
          <w:rFonts w:ascii="Arial" w:hAnsi="Arial" w:cs="Arial"/>
          <w:sz w:val="24"/>
        </w:rPr>
        <w:t xml:space="preserve">De conformidad con la sustentación previamente desarrollada, el impacto fiscal del proyecto de ley en </w:t>
      </w:r>
      <w:r w:rsidRPr="00B90634">
        <w:rPr>
          <w:rFonts w:ascii="Arial" w:hAnsi="Arial" w:cs="Arial"/>
          <w:sz w:val="24"/>
          <w:szCs w:val="24"/>
        </w:rPr>
        <w:t xml:space="preserve">cuestión </w:t>
      </w:r>
      <w:r>
        <w:rPr>
          <w:rFonts w:ascii="Arial" w:hAnsi="Arial" w:cs="Arial"/>
          <w:sz w:val="24"/>
          <w:szCs w:val="24"/>
        </w:rPr>
        <w:t>no se puede</w:t>
      </w:r>
      <w:r w:rsidRPr="00B90634">
        <w:rPr>
          <w:rFonts w:ascii="Arial" w:hAnsi="Arial" w:cs="Arial"/>
          <w:sz w:val="24"/>
          <w:szCs w:val="24"/>
        </w:rPr>
        <w:t xml:space="preserve"> cuantificar dado que</w:t>
      </w:r>
      <w:r>
        <w:rPr>
          <w:rFonts w:ascii="Arial" w:hAnsi="Arial" w:cs="Arial"/>
          <w:sz w:val="24"/>
          <w:szCs w:val="24"/>
        </w:rPr>
        <w:t xml:space="preserve"> no tiene vocación en </w:t>
      </w:r>
      <w:r w:rsidRPr="00426F75">
        <w:rPr>
          <w:rFonts w:ascii="Arial" w:hAnsi="Arial" w:cs="Arial"/>
          <w:sz w:val="24"/>
        </w:rPr>
        <w:t>materia de ordenanza de gasto</w:t>
      </w:r>
      <w:r>
        <w:rPr>
          <w:rFonts w:ascii="Arial" w:hAnsi="Arial" w:cs="Arial"/>
          <w:sz w:val="24"/>
        </w:rPr>
        <w:t>, ni plantea</w:t>
      </w:r>
      <w:r w:rsidRPr="00426F75">
        <w:rPr>
          <w:rFonts w:ascii="Arial" w:hAnsi="Arial" w:cs="Arial"/>
          <w:sz w:val="24"/>
        </w:rPr>
        <w:t xml:space="preserve"> aumentos de ingresos</w:t>
      </w:r>
      <w:r>
        <w:rPr>
          <w:rFonts w:ascii="Arial" w:hAnsi="Arial" w:cs="Arial"/>
          <w:sz w:val="24"/>
        </w:rPr>
        <w:t>;</w:t>
      </w:r>
      <w:r w:rsidRPr="00B90634">
        <w:rPr>
          <w:rFonts w:ascii="Arial" w:hAnsi="Arial" w:cs="Arial"/>
          <w:sz w:val="24"/>
          <w:szCs w:val="24"/>
        </w:rPr>
        <w:t xml:space="preserve"> lo que se propone es dictar medidas para enfrentar y contrarrestar el hacinamient</w:t>
      </w:r>
      <w:r>
        <w:rPr>
          <w:rFonts w:ascii="Arial" w:hAnsi="Arial" w:cs="Arial"/>
          <w:sz w:val="24"/>
          <w:szCs w:val="24"/>
        </w:rPr>
        <w:t xml:space="preserve">o carcelario y/o penitenciario. </w:t>
      </w:r>
      <w:r w:rsidRPr="00B90634">
        <w:rPr>
          <w:rFonts w:ascii="Arial" w:hAnsi="Arial" w:cs="Arial"/>
          <w:sz w:val="24"/>
          <w:szCs w:val="24"/>
        </w:rPr>
        <w:t xml:space="preserve">Sin embargo, el proyecto de Ley en cuestión propende </w:t>
      </w:r>
      <w:r w:rsidR="00557039">
        <w:rPr>
          <w:rFonts w:ascii="Arial" w:hAnsi="Arial" w:cs="Arial"/>
          <w:sz w:val="24"/>
          <w:szCs w:val="24"/>
        </w:rPr>
        <w:lastRenderedPageBreak/>
        <w:t xml:space="preserve">por </w:t>
      </w:r>
      <w:r w:rsidRPr="00B90634">
        <w:rPr>
          <w:rFonts w:ascii="Arial" w:hAnsi="Arial" w:cs="Arial"/>
          <w:sz w:val="24"/>
          <w:szCs w:val="24"/>
        </w:rPr>
        <w:t xml:space="preserve">generar un impacto económico dado que busca la eficiencia en el uso de los recursos </w:t>
      </w:r>
      <w:r>
        <w:rPr>
          <w:rFonts w:ascii="Arial" w:hAnsi="Arial" w:cs="Arial"/>
          <w:sz w:val="24"/>
          <w:szCs w:val="24"/>
        </w:rPr>
        <w:t xml:space="preserve">por implementar, </w:t>
      </w:r>
      <w:r w:rsidRPr="00B90634">
        <w:rPr>
          <w:rFonts w:ascii="Arial" w:hAnsi="Arial" w:cs="Arial"/>
          <w:sz w:val="24"/>
          <w:szCs w:val="24"/>
        </w:rPr>
        <w:t xml:space="preserve">además de brindar beneficios para la población a la que va </w:t>
      </w:r>
      <w:r>
        <w:rPr>
          <w:rFonts w:ascii="Arial" w:hAnsi="Arial" w:cs="Arial"/>
          <w:sz w:val="24"/>
          <w:szCs w:val="24"/>
        </w:rPr>
        <w:t>dirigido</w:t>
      </w:r>
      <w:r w:rsidRPr="00B90634">
        <w:rPr>
          <w:rFonts w:ascii="Arial" w:hAnsi="Arial" w:cs="Arial"/>
          <w:sz w:val="24"/>
          <w:szCs w:val="24"/>
        </w:rPr>
        <w:t xml:space="preserve"> dicho proyecto. </w:t>
      </w:r>
    </w:p>
    <w:p w14:paraId="45623C92" w14:textId="77777777" w:rsidR="00E34EAF" w:rsidRDefault="00E34EAF" w:rsidP="00E34EAF">
      <w:pPr>
        <w:tabs>
          <w:tab w:val="left" w:pos="2127"/>
        </w:tabs>
        <w:spacing w:after="0" w:line="240" w:lineRule="auto"/>
        <w:jc w:val="both"/>
        <w:rPr>
          <w:rFonts w:ascii="Arial" w:hAnsi="Arial" w:cs="Arial"/>
          <w:sz w:val="24"/>
          <w:szCs w:val="24"/>
        </w:rPr>
      </w:pPr>
    </w:p>
    <w:p w14:paraId="64BA9137" w14:textId="77777777" w:rsidR="00E34EAF" w:rsidRDefault="00E34EAF" w:rsidP="00E34EAF">
      <w:pPr>
        <w:tabs>
          <w:tab w:val="left" w:pos="2127"/>
        </w:tabs>
        <w:spacing w:after="0" w:line="240" w:lineRule="auto"/>
        <w:jc w:val="both"/>
        <w:rPr>
          <w:rFonts w:ascii="Arial" w:hAnsi="Arial" w:cs="Arial"/>
          <w:sz w:val="24"/>
          <w:szCs w:val="24"/>
        </w:rPr>
      </w:pPr>
      <w:r>
        <w:rPr>
          <w:rFonts w:ascii="Arial" w:hAnsi="Arial" w:cs="Arial"/>
          <w:sz w:val="24"/>
          <w:szCs w:val="24"/>
        </w:rPr>
        <w:t xml:space="preserve">Ahora bien, se presentarán algunas de las problemáticas del hacinamiento en Colombia. Desde hace varios años, la demanda que arroja el sistema penal ha presentado tendencias crecientes sostenidas, sin embargo, la capacidad instalada y el número de cárceles no ha incrementado en la misma proporción, lo cual genera un aumento de los índices de hacinamiento penitenciario en el tiempo. </w:t>
      </w:r>
    </w:p>
    <w:p w14:paraId="6461E590" w14:textId="77777777" w:rsidR="00E34EAF" w:rsidRPr="00C7262A" w:rsidRDefault="00E34EAF" w:rsidP="00E34EAF">
      <w:pPr>
        <w:tabs>
          <w:tab w:val="left" w:pos="2127"/>
        </w:tabs>
        <w:spacing w:after="0" w:line="240" w:lineRule="auto"/>
        <w:jc w:val="both"/>
        <w:rPr>
          <w:rFonts w:ascii="Arial" w:hAnsi="Arial" w:cs="Arial"/>
          <w:sz w:val="24"/>
          <w:szCs w:val="24"/>
        </w:rPr>
      </w:pPr>
    </w:p>
    <w:p w14:paraId="1AB0A573" w14:textId="43311E2B" w:rsidR="00E34EAF" w:rsidRDefault="00E34EAF" w:rsidP="00E34EAF">
      <w:pPr>
        <w:tabs>
          <w:tab w:val="left" w:pos="2127"/>
        </w:tabs>
        <w:spacing w:after="0" w:line="240" w:lineRule="auto"/>
        <w:jc w:val="both"/>
        <w:rPr>
          <w:rFonts w:ascii="Arial" w:hAnsi="Arial" w:cs="Arial"/>
          <w:sz w:val="24"/>
          <w:szCs w:val="24"/>
        </w:rPr>
      </w:pPr>
      <w:r>
        <w:rPr>
          <w:rFonts w:ascii="Arial" w:hAnsi="Arial" w:cs="Arial"/>
          <w:sz w:val="24"/>
          <w:szCs w:val="24"/>
        </w:rPr>
        <w:t>Tomando como</w:t>
      </w:r>
      <w:r w:rsidRPr="00C7262A">
        <w:rPr>
          <w:rFonts w:ascii="Arial" w:hAnsi="Arial" w:cs="Arial"/>
          <w:sz w:val="24"/>
          <w:szCs w:val="24"/>
        </w:rPr>
        <w:t xml:space="preserve"> </w:t>
      </w:r>
      <w:r>
        <w:rPr>
          <w:rFonts w:ascii="Arial" w:hAnsi="Arial" w:cs="Arial"/>
          <w:sz w:val="24"/>
          <w:szCs w:val="24"/>
        </w:rPr>
        <w:t>referencia el informe estadístico del Instituto Nacional Penitenciario y Carcelario</w:t>
      </w:r>
      <w:r w:rsidR="00557039">
        <w:rPr>
          <w:rFonts w:ascii="Arial" w:hAnsi="Arial" w:cs="Arial"/>
          <w:sz w:val="24"/>
          <w:szCs w:val="24"/>
        </w:rPr>
        <w:t xml:space="preserve"> –INPEC-</w:t>
      </w:r>
      <w:r>
        <w:rPr>
          <w:rFonts w:ascii="Arial" w:hAnsi="Arial" w:cs="Arial"/>
          <w:sz w:val="24"/>
          <w:szCs w:val="24"/>
        </w:rPr>
        <w:t>, al día de hoy la infraestructura del Instituto está conformada por 132 establecimientos ubicados en 120 municipios</w:t>
      </w:r>
      <w:r>
        <w:rPr>
          <w:rStyle w:val="Refdenotaalpie"/>
          <w:rFonts w:ascii="Arial" w:hAnsi="Arial" w:cs="Arial"/>
          <w:sz w:val="24"/>
          <w:szCs w:val="24"/>
        </w:rPr>
        <w:footnoteReference w:id="5"/>
      </w:r>
      <w:r>
        <w:rPr>
          <w:rFonts w:ascii="Arial" w:hAnsi="Arial" w:cs="Arial"/>
          <w:sz w:val="24"/>
          <w:szCs w:val="24"/>
        </w:rPr>
        <w:t xml:space="preserve">. </w:t>
      </w:r>
    </w:p>
    <w:p w14:paraId="05C7E1FB" w14:textId="77777777" w:rsidR="00E34EAF" w:rsidRDefault="00E34EAF" w:rsidP="00E34EAF">
      <w:pPr>
        <w:tabs>
          <w:tab w:val="left" w:pos="2127"/>
        </w:tabs>
        <w:spacing w:after="0" w:line="240" w:lineRule="auto"/>
        <w:jc w:val="both"/>
        <w:rPr>
          <w:rFonts w:ascii="Arial" w:hAnsi="Arial" w:cs="Arial"/>
          <w:sz w:val="24"/>
          <w:szCs w:val="24"/>
        </w:rPr>
      </w:pPr>
    </w:p>
    <w:p w14:paraId="60350C4F" w14:textId="77777777" w:rsidR="00E34EAF" w:rsidRDefault="00E34EAF" w:rsidP="00E34EAF">
      <w:pPr>
        <w:tabs>
          <w:tab w:val="left" w:pos="2127"/>
        </w:tabs>
        <w:spacing w:after="0" w:line="240" w:lineRule="auto"/>
        <w:jc w:val="both"/>
        <w:rPr>
          <w:rFonts w:ascii="Arial" w:hAnsi="Arial" w:cs="Arial"/>
          <w:sz w:val="24"/>
          <w:szCs w:val="24"/>
        </w:rPr>
      </w:pPr>
      <w:r>
        <w:rPr>
          <w:rFonts w:ascii="Arial" w:hAnsi="Arial" w:cs="Arial"/>
          <w:sz w:val="24"/>
          <w:szCs w:val="24"/>
        </w:rPr>
        <w:t>Al observar la evolución de la población intramural en los últimos años se evidencia que en el año 2014 se presentó una disminución de 5,3%</w:t>
      </w:r>
      <w:r>
        <w:rPr>
          <w:rStyle w:val="Refdenotaalpie"/>
          <w:rFonts w:ascii="Arial" w:hAnsi="Arial" w:cs="Arial"/>
          <w:sz w:val="24"/>
          <w:szCs w:val="24"/>
        </w:rPr>
        <w:footnoteReference w:id="6"/>
      </w:r>
      <w:r>
        <w:rPr>
          <w:rFonts w:ascii="Arial" w:hAnsi="Arial" w:cs="Arial"/>
          <w:sz w:val="24"/>
          <w:szCs w:val="24"/>
        </w:rPr>
        <w:t xml:space="preserve">. En 2015, la población se estabiliza y retoma su tendencia creciente, no obstante, en el año 2016 se presenta una tendencia decreciente (-1,6%), la cual se acentúa en 2017 al presentar una disminución de 3,2%. A partir del año 2018 se mantuvo una tendencia creciente (3,3%)  la cual se sigue presentando en lo corrido del 2019. (Ver tabla 1) </w:t>
      </w:r>
    </w:p>
    <w:p w14:paraId="6E262064" w14:textId="77777777" w:rsidR="00E34EAF" w:rsidRDefault="00E34EAF" w:rsidP="00E34EAF">
      <w:pPr>
        <w:tabs>
          <w:tab w:val="left" w:pos="2127"/>
        </w:tabs>
        <w:spacing w:after="0" w:line="240" w:lineRule="auto"/>
        <w:jc w:val="both"/>
        <w:rPr>
          <w:rFonts w:ascii="Arial" w:hAnsi="Arial" w:cs="Arial"/>
          <w:sz w:val="24"/>
          <w:szCs w:val="24"/>
        </w:rPr>
      </w:pPr>
    </w:p>
    <w:p w14:paraId="47B59988" w14:textId="77777777" w:rsidR="00E34EAF" w:rsidRDefault="00E34EAF" w:rsidP="00E34EAF">
      <w:pPr>
        <w:tabs>
          <w:tab w:val="left" w:pos="2127"/>
        </w:tabs>
        <w:spacing w:after="0" w:line="240" w:lineRule="auto"/>
        <w:jc w:val="center"/>
        <w:rPr>
          <w:rFonts w:ascii="Arial" w:hAnsi="Arial" w:cs="Arial"/>
          <w:b/>
          <w:szCs w:val="24"/>
        </w:rPr>
      </w:pPr>
      <w:r w:rsidRPr="00E14B40">
        <w:rPr>
          <w:rFonts w:ascii="Arial" w:hAnsi="Arial" w:cs="Arial"/>
          <w:b/>
          <w:szCs w:val="24"/>
        </w:rPr>
        <w:t>Tabla 1. Población reclusa intramural a cargo del Inpec 2013 – Mayo</w:t>
      </w:r>
      <w:r>
        <w:rPr>
          <w:rFonts w:ascii="Arial" w:hAnsi="Arial" w:cs="Arial"/>
          <w:b/>
          <w:szCs w:val="24"/>
        </w:rPr>
        <w:t xml:space="preserve"> 2019.</w:t>
      </w:r>
    </w:p>
    <w:p w14:paraId="1CCFE454" w14:textId="77777777" w:rsidR="00E34EAF" w:rsidRPr="00E14B40" w:rsidRDefault="00E34EAF" w:rsidP="00E34EAF">
      <w:pPr>
        <w:tabs>
          <w:tab w:val="left" w:pos="2127"/>
        </w:tabs>
        <w:spacing w:after="0" w:line="240" w:lineRule="auto"/>
        <w:jc w:val="center"/>
        <w:rPr>
          <w:rFonts w:ascii="Arial" w:hAnsi="Arial" w:cs="Arial"/>
          <w:b/>
          <w:sz w:val="16"/>
          <w:szCs w:val="16"/>
        </w:rPr>
      </w:pPr>
    </w:p>
    <w:tbl>
      <w:tblPr>
        <w:tblW w:w="9600" w:type="dxa"/>
        <w:tblInd w:w="-5" w:type="dxa"/>
        <w:tblCellMar>
          <w:left w:w="70" w:type="dxa"/>
          <w:right w:w="70" w:type="dxa"/>
        </w:tblCellMar>
        <w:tblLook w:val="04A0" w:firstRow="1" w:lastRow="0" w:firstColumn="1" w:lastColumn="0" w:noHBand="0" w:noVBand="1"/>
      </w:tblPr>
      <w:tblGrid>
        <w:gridCol w:w="1200"/>
        <w:gridCol w:w="1200"/>
        <w:gridCol w:w="1200"/>
        <w:gridCol w:w="1645"/>
        <w:gridCol w:w="1843"/>
        <w:gridCol w:w="1312"/>
        <w:gridCol w:w="1200"/>
      </w:tblGrid>
      <w:tr w:rsidR="00E34EAF" w:rsidRPr="00F673BE" w14:paraId="2D15E28A" w14:textId="77777777" w:rsidTr="008E7823">
        <w:trPr>
          <w:trHeight w:val="450"/>
        </w:trPr>
        <w:tc>
          <w:tcPr>
            <w:tcW w:w="1200" w:type="dxa"/>
            <w:vMerge w:val="restart"/>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6E772FE6" w14:textId="77777777" w:rsidR="00E34EAF" w:rsidRPr="00F673BE" w:rsidRDefault="00E34EAF" w:rsidP="008E7823">
            <w:pPr>
              <w:spacing w:after="0" w:line="240" w:lineRule="auto"/>
              <w:jc w:val="center"/>
              <w:rPr>
                <w:rFonts w:ascii="Arial" w:eastAsia="Times New Roman" w:hAnsi="Arial" w:cs="Arial"/>
                <w:color w:val="FFFFFF"/>
                <w:sz w:val="16"/>
                <w:szCs w:val="16"/>
                <w:lang w:eastAsia="es-CO"/>
              </w:rPr>
            </w:pPr>
            <w:r w:rsidRPr="00F673BE">
              <w:rPr>
                <w:rFonts w:ascii="Arial" w:eastAsia="Times New Roman" w:hAnsi="Arial" w:cs="Arial"/>
                <w:color w:val="FFFFFF"/>
                <w:w w:val="105"/>
                <w:sz w:val="16"/>
                <w:szCs w:val="16"/>
                <w:lang w:val="es-ES" w:eastAsia="es-CO"/>
              </w:rPr>
              <w:t>Año</w:t>
            </w:r>
          </w:p>
        </w:tc>
        <w:tc>
          <w:tcPr>
            <w:tcW w:w="1200" w:type="dxa"/>
            <w:vMerge w:val="restart"/>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6D756C09" w14:textId="77777777" w:rsidR="00E34EAF" w:rsidRPr="00F673BE" w:rsidRDefault="00E34EAF" w:rsidP="008E7823">
            <w:pPr>
              <w:spacing w:after="0" w:line="240" w:lineRule="auto"/>
              <w:jc w:val="center"/>
              <w:rPr>
                <w:rFonts w:ascii="Arial" w:eastAsia="Times New Roman" w:hAnsi="Arial" w:cs="Arial"/>
                <w:color w:val="FFFFFF"/>
                <w:sz w:val="16"/>
                <w:szCs w:val="16"/>
                <w:lang w:eastAsia="es-CO"/>
              </w:rPr>
            </w:pPr>
            <w:r w:rsidRPr="00F673BE">
              <w:rPr>
                <w:rFonts w:ascii="Arial" w:eastAsia="Times New Roman" w:hAnsi="Arial" w:cs="Arial"/>
                <w:color w:val="FFFFFF"/>
                <w:w w:val="105"/>
                <w:sz w:val="16"/>
                <w:szCs w:val="16"/>
                <w:lang w:val="es-ES" w:eastAsia="es-CO"/>
              </w:rPr>
              <w:t>Población colombiana</w:t>
            </w:r>
          </w:p>
        </w:tc>
        <w:tc>
          <w:tcPr>
            <w:tcW w:w="1200" w:type="dxa"/>
            <w:vMerge w:val="restart"/>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4CBE7B3F" w14:textId="77777777" w:rsidR="00E34EAF" w:rsidRPr="00F673BE" w:rsidRDefault="00E34EAF" w:rsidP="008E7823">
            <w:pPr>
              <w:spacing w:after="0" w:line="240" w:lineRule="auto"/>
              <w:jc w:val="center"/>
              <w:rPr>
                <w:rFonts w:ascii="Arial" w:eastAsia="Times New Roman" w:hAnsi="Arial" w:cs="Arial"/>
                <w:color w:val="FFFFFF"/>
                <w:sz w:val="16"/>
                <w:szCs w:val="16"/>
                <w:lang w:eastAsia="es-CO"/>
              </w:rPr>
            </w:pPr>
            <w:r w:rsidRPr="00F673BE">
              <w:rPr>
                <w:rFonts w:ascii="Arial" w:eastAsia="Times New Roman" w:hAnsi="Arial" w:cs="Arial"/>
                <w:color w:val="FFFFFF"/>
                <w:w w:val="105"/>
                <w:sz w:val="16"/>
                <w:szCs w:val="16"/>
                <w:lang w:val="es-ES" w:eastAsia="es-CO"/>
              </w:rPr>
              <w:t>Población reclusa intramural Inpec</w:t>
            </w:r>
          </w:p>
        </w:tc>
        <w:tc>
          <w:tcPr>
            <w:tcW w:w="3488" w:type="dxa"/>
            <w:gridSpan w:val="2"/>
            <w:tcBorders>
              <w:top w:val="single" w:sz="4" w:space="0" w:color="FFFFFF"/>
              <w:left w:val="nil"/>
              <w:bottom w:val="single" w:sz="4" w:space="0" w:color="FFFFFF"/>
              <w:right w:val="single" w:sz="4" w:space="0" w:color="FFFFFF"/>
            </w:tcBorders>
            <w:shd w:val="clear" w:color="000000" w:fill="00486C"/>
            <w:vAlign w:val="center"/>
            <w:hideMark/>
          </w:tcPr>
          <w:p w14:paraId="428B01F8" w14:textId="77777777" w:rsidR="00E34EAF" w:rsidRPr="00F673BE" w:rsidRDefault="00E34EAF" w:rsidP="008E7823">
            <w:pPr>
              <w:spacing w:after="0" w:line="240" w:lineRule="auto"/>
              <w:jc w:val="center"/>
              <w:rPr>
                <w:rFonts w:ascii="Arial" w:eastAsia="Times New Roman" w:hAnsi="Arial" w:cs="Arial"/>
                <w:color w:val="FFFFFF"/>
                <w:sz w:val="16"/>
                <w:szCs w:val="16"/>
                <w:lang w:eastAsia="es-CO"/>
              </w:rPr>
            </w:pPr>
            <w:r w:rsidRPr="00F673BE">
              <w:rPr>
                <w:rFonts w:ascii="Arial" w:eastAsia="Times New Roman" w:hAnsi="Arial" w:cs="Arial"/>
                <w:color w:val="FFFFFF"/>
                <w:spacing w:val="-4"/>
                <w:w w:val="105"/>
                <w:sz w:val="16"/>
                <w:szCs w:val="16"/>
                <w:lang w:val="es-ES" w:eastAsia="es-CO"/>
              </w:rPr>
              <w:t>Variación anual población reclusa intramural</w:t>
            </w:r>
          </w:p>
        </w:tc>
        <w:tc>
          <w:tcPr>
            <w:tcW w:w="1312" w:type="dxa"/>
            <w:vMerge w:val="restart"/>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69D75804" w14:textId="77777777" w:rsidR="00E34EAF" w:rsidRPr="00F673BE" w:rsidRDefault="00E34EAF" w:rsidP="008E7823">
            <w:pPr>
              <w:spacing w:after="0" w:line="240" w:lineRule="auto"/>
              <w:jc w:val="center"/>
              <w:rPr>
                <w:rFonts w:ascii="Arial" w:eastAsia="Times New Roman" w:hAnsi="Arial" w:cs="Arial"/>
                <w:color w:val="FFFFFF"/>
                <w:sz w:val="16"/>
                <w:szCs w:val="16"/>
                <w:lang w:eastAsia="es-CO"/>
              </w:rPr>
            </w:pPr>
            <w:r w:rsidRPr="00F673BE">
              <w:rPr>
                <w:rFonts w:ascii="Arial" w:eastAsia="Times New Roman" w:hAnsi="Arial" w:cs="Arial"/>
                <w:color w:val="FFFFFF"/>
                <w:w w:val="105"/>
                <w:sz w:val="16"/>
                <w:szCs w:val="16"/>
                <w:lang w:val="es-ES" w:eastAsia="es-CO"/>
              </w:rPr>
              <w:t>Participación nacional</w:t>
            </w:r>
          </w:p>
        </w:tc>
        <w:tc>
          <w:tcPr>
            <w:tcW w:w="1200" w:type="dxa"/>
            <w:vMerge w:val="restart"/>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055871E4" w14:textId="77777777" w:rsidR="00E34EAF" w:rsidRPr="00F673BE" w:rsidRDefault="00E34EAF" w:rsidP="008E7823">
            <w:pPr>
              <w:spacing w:after="0" w:line="240" w:lineRule="auto"/>
              <w:jc w:val="center"/>
              <w:rPr>
                <w:rFonts w:ascii="Arial" w:eastAsia="Times New Roman" w:hAnsi="Arial" w:cs="Arial"/>
                <w:color w:val="FFFFFF"/>
                <w:sz w:val="16"/>
                <w:szCs w:val="16"/>
                <w:lang w:eastAsia="es-CO"/>
              </w:rPr>
            </w:pPr>
            <w:r w:rsidRPr="00F673BE">
              <w:rPr>
                <w:rFonts w:ascii="Arial" w:eastAsia="Times New Roman" w:hAnsi="Arial" w:cs="Arial"/>
                <w:color w:val="FFFFFF"/>
                <w:w w:val="105"/>
                <w:sz w:val="16"/>
                <w:szCs w:val="16"/>
                <w:lang w:val="es-ES" w:eastAsia="es-CO"/>
              </w:rPr>
              <w:t>Tasa población intramural por 100 mil habitantes</w:t>
            </w:r>
          </w:p>
        </w:tc>
      </w:tr>
      <w:tr w:rsidR="00E34EAF" w:rsidRPr="00F673BE" w14:paraId="6B9F2A89" w14:textId="77777777" w:rsidTr="008E7823">
        <w:trPr>
          <w:trHeight w:val="300"/>
        </w:trPr>
        <w:tc>
          <w:tcPr>
            <w:tcW w:w="1200" w:type="dxa"/>
            <w:vMerge/>
            <w:tcBorders>
              <w:top w:val="single" w:sz="4" w:space="0" w:color="FFFFFF"/>
              <w:left w:val="single" w:sz="4" w:space="0" w:color="FFFFFF"/>
              <w:bottom w:val="single" w:sz="4" w:space="0" w:color="FFFFFF"/>
              <w:right w:val="single" w:sz="4" w:space="0" w:color="FFFFFF"/>
            </w:tcBorders>
            <w:vAlign w:val="center"/>
            <w:hideMark/>
          </w:tcPr>
          <w:p w14:paraId="3BA09024" w14:textId="77777777" w:rsidR="00E34EAF" w:rsidRPr="00F673BE" w:rsidRDefault="00E34EAF" w:rsidP="008E7823">
            <w:pPr>
              <w:spacing w:after="0" w:line="240" w:lineRule="auto"/>
              <w:rPr>
                <w:rFonts w:ascii="Arial" w:eastAsia="Times New Roman" w:hAnsi="Arial" w:cs="Arial"/>
                <w:color w:val="FFFFFF"/>
                <w:sz w:val="16"/>
                <w:szCs w:val="16"/>
                <w:lang w:eastAsia="es-CO"/>
              </w:rPr>
            </w:pPr>
          </w:p>
        </w:tc>
        <w:tc>
          <w:tcPr>
            <w:tcW w:w="1200" w:type="dxa"/>
            <w:vMerge/>
            <w:tcBorders>
              <w:top w:val="single" w:sz="4" w:space="0" w:color="FFFFFF"/>
              <w:left w:val="single" w:sz="4" w:space="0" w:color="FFFFFF"/>
              <w:bottom w:val="single" w:sz="4" w:space="0" w:color="FFFFFF"/>
              <w:right w:val="single" w:sz="4" w:space="0" w:color="FFFFFF"/>
            </w:tcBorders>
            <w:vAlign w:val="center"/>
            <w:hideMark/>
          </w:tcPr>
          <w:p w14:paraId="19C67DE9" w14:textId="77777777" w:rsidR="00E34EAF" w:rsidRPr="00F673BE" w:rsidRDefault="00E34EAF" w:rsidP="008E7823">
            <w:pPr>
              <w:spacing w:after="0" w:line="240" w:lineRule="auto"/>
              <w:rPr>
                <w:rFonts w:ascii="Arial" w:eastAsia="Times New Roman" w:hAnsi="Arial" w:cs="Arial"/>
                <w:color w:val="FFFFFF"/>
                <w:sz w:val="16"/>
                <w:szCs w:val="16"/>
                <w:lang w:eastAsia="es-CO"/>
              </w:rPr>
            </w:pPr>
          </w:p>
        </w:tc>
        <w:tc>
          <w:tcPr>
            <w:tcW w:w="1200" w:type="dxa"/>
            <w:vMerge/>
            <w:tcBorders>
              <w:top w:val="single" w:sz="4" w:space="0" w:color="FFFFFF"/>
              <w:left w:val="single" w:sz="4" w:space="0" w:color="FFFFFF"/>
              <w:bottom w:val="single" w:sz="4" w:space="0" w:color="FFFFFF"/>
              <w:right w:val="single" w:sz="4" w:space="0" w:color="FFFFFF"/>
            </w:tcBorders>
            <w:vAlign w:val="center"/>
            <w:hideMark/>
          </w:tcPr>
          <w:p w14:paraId="6ED91C66" w14:textId="77777777" w:rsidR="00E34EAF" w:rsidRPr="00F673BE" w:rsidRDefault="00E34EAF" w:rsidP="008E7823">
            <w:pPr>
              <w:spacing w:after="0" w:line="240" w:lineRule="auto"/>
              <w:rPr>
                <w:rFonts w:ascii="Arial" w:eastAsia="Times New Roman" w:hAnsi="Arial" w:cs="Arial"/>
                <w:color w:val="FFFFFF"/>
                <w:sz w:val="16"/>
                <w:szCs w:val="16"/>
                <w:lang w:eastAsia="es-CO"/>
              </w:rPr>
            </w:pPr>
          </w:p>
        </w:tc>
        <w:tc>
          <w:tcPr>
            <w:tcW w:w="1645" w:type="dxa"/>
            <w:tcBorders>
              <w:top w:val="nil"/>
              <w:left w:val="nil"/>
              <w:bottom w:val="single" w:sz="4" w:space="0" w:color="FFFFFF"/>
              <w:right w:val="single" w:sz="4" w:space="0" w:color="FFFFFF"/>
            </w:tcBorders>
            <w:shd w:val="clear" w:color="000000" w:fill="00486C"/>
            <w:vAlign w:val="center"/>
            <w:hideMark/>
          </w:tcPr>
          <w:p w14:paraId="1A235D35" w14:textId="77777777" w:rsidR="00E34EAF" w:rsidRPr="00F673BE" w:rsidRDefault="00E34EAF" w:rsidP="008E7823">
            <w:pPr>
              <w:spacing w:after="0" w:line="240" w:lineRule="auto"/>
              <w:jc w:val="center"/>
              <w:rPr>
                <w:rFonts w:ascii="Arial" w:eastAsia="Times New Roman" w:hAnsi="Arial" w:cs="Arial"/>
                <w:color w:val="FFFFFF"/>
                <w:sz w:val="16"/>
                <w:szCs w:val="16"/>
                <w:lang w:eastAsia="es-CO"/>
              </w:rPr>
            </w:pPr>
            <w:r w:rsidRPr="00F673BE">
              <w:rPr>
                <w:rFonts w:ascii="Arial" w:eastAsia="Times New Roman" w:hAnsi="Arial" w:cs="Arial"/>
                <w:color w:val="FFFFFF"/>
                <w:w w:val="105"/>
                <w:sz w:val="16"/>
                <w:szCs w:val="16"/>
                <w:lang w:val="es-ES" w:eastAsia="es-CO"/>
              </w:rPr>
              <w:t>Absoluta</w:t>
            </w:r>
          </w:p>
        </w:tc>
        <w:tc>
          <w:tcPr>
            <w:tcW w:w="1843" w:type="dxa"/>
            <w:tcBorders>
              <w:top w:val="nil"/>
              <w:left w:val="nil"/>
              <w:bottom w:val="single" w:sz="4" w:space="0" w:color="FFFFFF"/>
              <w:right w:val="single" w:sz="4" w:space="0" w:color="FFFFFF"/>
            </w:tcBorders>
            <w:shd w:val="clear" w:color="000000" w:fill="00486C"/>
            <w:vAlign w:val="center"/>
            <w:hideMark/>
          </w:tcPr>
          <w:p w14:paraId="59BB8050" w14:textId="77777777" w:rsidR="00E34EAF" w:rsidRPr="00F673BE" w:rsidRDefault="00E34EAF" w:rsidP="008E7823">
            <w:pPr>
              <w:spacing w:after="0" w:line="240" w:lineRule="auto"/>
              <w:jc w:val="center"/>
              <w:rPr>
                <w:rFonts w:ascii="Arial" w:eastAsia="Times New Roman" w:hAnsi="Arial" w:cs="Arial"/>
                <w:color w:val="FFFFFF"/>
                <w:sz w:val="16"/>
                <w:szCs w:val="16"/>
                <w:lang w:eastAsia="es-CO"/>
              </w:rPr>
            </w:pPr>
            <w:r w:rsidRPr="00F673BE">
              <w:rPr>
                <w:rFonts w:ascii="Arial" w:eastAsia="Times New Roman" w:hAnsi="Arial" w:cs="Arial"/>
                <w:color w:val="FFFFFF"/>
                <w:w w:val="105"/>
                <w:sz w:val="16"/>
                <w:szCs w:val="16"/>
                <w:lang w:val="es-ES" w:eastAsia="es-CO"/>
              </w:rPr>
              <w:t>Relativa</w:t>
            </w:r>
          </w:p>
        </w:tc>
        <w:tc>
          <w:tcPr>
            <w:tcW w:w="1312" w:type="dxa"/>
            <w:vMerge/>
            <w:tcBorders>
              <w:top w:val="single" w:sz="4" w:space="0" w:color="FFFFFF"/>
              <w:left w:val="single" w:sz="4" w:space="0" w:color="FFFFFF"/>
              <w:bottom w:val="single" w:sz="4" w:space="0" w:color="FFFFFF"/>
              <w:right w:val="single" w:sz="4" w:space="0" w:color="FFFFFF"/>
            </w:tcBorders>
            <w:vAlign w:val="center"/>
            <w:hideMark/>
          </w:tcPr>
          <w:p w14:paraId="09365089" w14:textId="77777777" w:rsidR="00E34EAF" w:rsidRPr="00F673BE" w:rsidRDefault="00E34EAF" w:rsidP="008E7823">
            <w:pPr>
              <w:spacing w:after="0" w:line="240" w:lineRule="auto"/>
              <w:rPr>
                <w:rFonts w:ascii="Arial" w:eastAsia="Times New Roman" w:hAnsi="Arial" w:cs="Arial"/>
                <w:color w:val="FFFFFF"/>
                <w:sz w:val="16"/>
                <w:szCs w:val="16"/>
                <w:lang w:eastAsia="es-CO"/>
              </w:rPr>
            </w:pPr>
          </w:p>
        </w:tc>
        <w:tc>
          <w:tcPr>
            <w:tcW w:w="1200" w:type="dxa"/>
            <w:vMerge/>
            <w:tcBorders>
              <w:top w:val="single" w:sz="4" w:space="0" w:color="FFFFFF"/>
              <w:left w:val="single" w:sz="4" w:space="0" w:color="FFFFFF"/>
              <w:bottom w:val="single" w:sz="4" w:space="0" w:color="FFFFFF"/>
              <w:right w:val="single" w:sz="4" w:space="0" w:color="FFFFFF"/>
            </w:tcBorders>
            <w:vAlign w:val="center"/>
            <w:hideMark/>
          </w:tcPr>
          <w:p w14:paraId="03BC5896" w14:textId="77777777" w:rsidR="00E34EAF" w:rsidRPr="00F673BE" w:rsidRDefault="00E34EAF" w:rsidP="008E7823">
            <w:pPr>
              <w:spacing w:after="0" w:line="240" w:lineRule="auto"/>
              <w:rPr>
                <w:rFonts w:ascii="Arial" w:eastAsia="Times New Roman" w:hAnsi="Arial" w:cs="Arial"/>
                <w:color w:val="FFFFFF"/>
                <w:sz w:val="16"/>
                <w:szCs w:val="16"/>
                <w:lang w:eastAsia="es-CO"/>
              </w:rPr>
            </w:pPr>
          </w:p>
        </w:tc>
      </w:tr>
      <w:tr w:rsidR="00E34EAF" w:rsidRPr="00F673BE" w14:paraId="70592FB6" w14:textId="77777777" w:rsidTr="008E7823">
        <w:trPr>
          <w:trHeight w:val="300"/>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542FC4E0"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sz w:val="17"/>
                <w:szCs w:val="17"/>
                <w:lang w:val="es-ES" w:eastAsia="es-CO"/>
              </w:rPr>
              <w:t>2013</w:t>
            </w:r>
          </w:p>
        </w:tc>
        <w:tc>
          <w:tcPr>
            <w:tcW w:w="1200" w:type="dxa"/>
            <w:tcBorders>
              <w:top w:val="nil"/>
              <w:left w:val="nil"/>
              <w:bottom w:val="single" w:sz="4" w:space="0" w:color="FFFFFF"/>
              <w:right w:val="single" w:sz="4" w:space="0" w:color="FFFFFF"/>
            </w:tcBorders>
            <w:shd w:val="clear" w:color="000000" w:fill="DDEBF7"/>
            <w:vAlign w:val="center"/>
            <w:hideMark/>
          </w:tcPr>
          <w:p w14:paraId="47A0AFFF"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47.121.089</w:t>
            </w:r>
          </w:p>
        </w:tc>
        <w:tc>
          <w:tcPr>
            <w:tcW w:w="1200" w:type="dxa"/>
            <w:tcBorders>
              <w:top w:val="nil"/>
              <w:left w:val="nil"/>
              <w:bottom w:val="single" w:sz="4" w:space="0" w:color="FFFFFF"/>
              <w:right w:val="single" w:sz="4" w:space="0" w:color="FFFFFF"/>
            </w:tcBorders>
            <w:shd w:val="clear" w:color="000000" w:fill="DDEBF7"/>
            <w:vAlign w:val="center"/>
            <w:hideMark/>
          </w:tcPr>
          <w:p w14:paraId="7A8CB5AE"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120.032</w:t>
            </w:r>
          </w:p>
        </w:tc>
        <w:tc>
          <w:tcPr>
            <w:tcW w:w="1645" w:type="dxa"/>
            <w:tcBorders>
              <w:top w:val="nil"/>
              <w:left w:val="nil"/>
              <w:bottom w:val="single" w:sz="4" w:space="0" w:color="FFFFFF"/>
              <w:right w:val="single" w:sz="4" w:space="0" w:color="FFFFFF"/>
            </w:tcBorders>
            <w:shd w:val="clear" w:color="000000" w:fill="DDEBF7"/>
            <w:vAlign w:val="center"/>
            <w:hideMark/>
          </w:tcPr>
          <w:p w14:paraId="0322D192"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6.148</w:t>
            </w:r>
          </w:p>
        </w:tc>
        <w:tc>
          <w:tcPr>
            <w:tcW w:w="1843" w:type="dxa"/>
            <w:tcBorders>
              <w:top w:val="nil"/>
              <w:left w:val="nil"/>
              <w:bottom w:val="single" w:sz="4" w:space="0" w:color="FFFFFF"/>
              <w:right w:val="single" w:sz="4" w:space="0" w:color="FFFFFF"/>
            </w:tcBorders>
            <w:shd w:val="clear" w:color="000000" w:fill="DDEBF7"/>
            <w:vAlign w:val="center"/>
            <w:hideMark/>
          </w:tcPr>
          <w:p w14:paraId="69CE7D2B"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5,4%</w:t>
            </w:r>
          </w:p>
        </w:tc>
        <w:tc>
          <w:tcPr>
            <w:tcW w:w="1312" w:type="dxa"/>
            <w:tcBorders>
              <w:top w:val="nil"/>
              <w:left w:val="nil"/>
              <w:bottom w:val="single" w:sz="4" w:space="0" w:color="FFFFFF"/>
              <w:right w:val="single" w:sz="4" w:space="0" w:color="FFFFFF"/>
            </w:tcBorders>
            <w:shd w:val="clear" w:color="000000" w:fill="DDEBF7"/>
            <w:vAlign w:val="center"/>
            <w:hideMark/>
          </w:tcPr>
          <w:p w14:paraId="31A4BE21"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0,3%</w:t>
            </w:r>
          </w:p>
        </w:tc>
        <w:tc>
          <w:tcPr>
            <w:tcW w:w="1200" w:type="dxa"/>
            <w:tcBorders>
              <w:top w:val="nil"/>
              <w:left w:val="nil"/>
              <w:bottom w:val="single" w:sz="4" w:space="0" w:color="FFFFFF"/>
              <w:right w:val="single" w:sz="4" w:space="0" w:color="FFFFFF"/>
            </w:tcBorders>
            <w:shd w:val="clear" w:color="000000" w:fill="DDEBF7"/>
            <w:vAlign w:val="center"/>
            <w:hideMark/>
          </w:tcPr>
          <w:p w14:paraId="181ECADD"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255</w:t>
            </w:r>
          </w:p>
        </w:tc>
      </w:tr>
      <w:tr w:rsidR="00E34EAF" w:rsidRPr="00F673BE" w14:paraId="52036121" w14:textId="77777777" w:rsidTr="008E7823">
        <w:trPr>
          <w:trHeight w:val="300"/>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2888587F"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sz w:val="17"/>
                <w:szCs w:val="17"/>
                <w:lang w:val="es-ES" w:eastAsia="es-CO"/>
              </w:rPr>
              <w:t>2014</w:t>
            </w:r>
          </w:p>
        </w:tc>
        <w:tc>
          <w:tcPr>
            <w:tcW w:w="1200" w:type="dxa"/>
            <w:tcBorders>
              <w:top w:val="nil"/>
              <w:left w:val="nil"/>
              <w:bottom w:val="single" w:sz="4" w:space="0" w:color="FFFFFF"/>
              <w:right w:val="single" w:sz="4" w:space="0" w:color="FFFFFF"/>
            </w:tcBorders>
            <w:shd w:val="clear" w:color="000000" w:fill="DDEBF7"/>
            <w:vAlign w:val="center"/>
            <w:hideMark/>
          </w:tcPr>
          <w:p w14:paraId="11B7D1E3"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47.661.787</w:t>
            </w:r>
          </w:p>
        </w:tc>
        <w:tc>
          <w:tcPr>
            <w:tcW w:w="1200" w:type="dxa"/>
            <w:tcBorders>
              <w:top w:val="nil"/>
              <w:left w:val="nil"/>
              <w:bottom w:val="single" w:sz="4" w:space="0" w:color="FFFFFF"/>
              <w:right w:val="single" w:sz="4" w:space="0" w:color="FFFFFF"/>
            </w:tcBorders>
            <w:shd w:val="clear" w:color="000000" w:fill="DDEBF7"/>
            <w:vAlign w:val="center"/>
            <w:hideMark/>
          </w:tcPr>
          <w:p w14:paraId="53FBAB75"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113.623</w:t>
            </w:r>
          </w:p>
        </w:tc>
        <w:tc>
          <w:tcPr>
            <w:tcW w:w="1645" w:type="dxa"/>
            <w:tcBorders>
              <w:top w:val="nil"/>
              <w:left w:val="nil"/>
              <w:bottom w:val="single" w:sz="4" w:space="0" w:color="FFFFFF"/>
              <w:right w:val="single" w:sz="4" w:space="0" w:color="FFFFFF"/>
            </w:tcBorders>
            <w:shd w:val="clear" w:color="000000" w:fill="DDEBF7"/>
            <w:vAlign w:val="center"/>
            <w:hideMark/>
          </w:tcPr>
          <w:p w14:paraId="78ED97F8"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-6.409</w:t>
            </w:r>
          </w:p>
        </w:tc>
        <w:tc>
          <w:tcPr>
            <w:tcW w:w="1843" w:type="dxa"/>
            <w:tcBorders>
              <w:top w:val="nil"/>
              <w:left w:val="nil"/>
              <w:bottom w:val="single" w:sz="4" w:space="0" w:color="FFFFFF"/>
              <w:right w:val="single" w:sz="4" w:space="0" w:color="FFFFFF"/>
            </w:tcBorders>
            <w:shd w:val="clear" w:color="000000" w:fill="DDEBF7"/>
            <w:vAlign w:val="center"/>
            <w:hideMark/>
          </w:tcPr>
          <w:p w14:paraId="4DEBF795"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-5,3%</w:t>
            </w:r>
          </w:p>
        </w:tc>
        <w:tc>
          <w:tcPr>
            <w:tcW w:w="1312" w:type="dxa"/>
            <w:tcBorders>
              <w:top w:val="nil"/>
              <w:left w:val="nil"/>
              <w:bottom w:val="single" w:sz="4" w:space="0" w:color="FFFFFF"/>
              <w:right w:val="single" w:sz="4" w:space="0" w:color="FFFFFF"/>
            </w:tcBorders>
            <w:shd w:val="clear" w:color="000000" w:fill="DDEBF7"/>
            <w:vAlign w:val="center"/>
            <w:hideMark/>
          </w:tcPr>
          <w:p w14:paraId="7085FDF2"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0,2%</w:t>
            </w:r>
          </w:p>
        </w:tc>
        <w:tc>
          <w:tcPr>
            <w:tcW w:w="1200" w:type="dxa"/>
            <w:tcBorders>
              <w:top w:val="nil"/>
              <w:left w:val="nil"/>
              <w:bottom w:val="single" w:sz="4" w:space="0" w:color="FFFFFF"/>
              <w:right w:val="single" w:sz="4" w:space="0" w:color="FFFFFF"/>
            </w:tcBorders>
            <w:shd w:val="clear" w:color="000000" w:fill="DDEBF7"/>
            <w:vAlign w:val="center"/>
            <w:hideMark/>
          </w:tcPr>
          <w:p w14:paraId="5F6C1F8E"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238</w:t>
            </w:r>
          </w:p>
        </w:tc>
      </w:tr>
      <w:tr w:rsidR="00E34EAF" w:rsidRPr="00F673BE" w14:paraId="4BD665DF" w14:textId="77777777" w:rsidTr="008E7823">
        <w:trPr>
          <w:trHeight w:val="300"/>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66B200F5"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sz w:val="17"/>
                <w:szCs w:val="17"/>
                <w:lang w:val="es-ES" w:eastAsia="es-CO"/>
              </w:rPr>
              <w:t>2015</w:t>
            </w:r>
          </w:p>
        </w:tc>
        <w:tc>
          <w:tcPr>
            <w:tcW w:w="1200" w:type="dxa"/>
            <w:tcBorders>
              <w:top w:val="nil"/>
              <w:left w:val="nil"/>
              <w:bottom w:val="single" w:sz="4" w:space="0" w:color="FFFFFF"/>
              <w:right w:val="single" w:sz="4" w:space="0" w:color="FFFFFF"/>
            </w:tcBorders>
            <w:shd w:val="clear" w:color="000000" w:fill="DDEBF7"/>
            <w:vAlign w:val="center"/>
            <w:hideMark/>
          </w:tcPr>
          <w:p w14:paraId="55DBAC44"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48.401.701</w:t>
            </w:r>
          </w:p>
        </w:tc>
        <w:tc>
          <w:tcPr>
            <w:tcW w:w="1200" w:type="dxa"/>
            <w:tcBorders>
              <w:top w:val="nil"/>
              <w:left w:val="nil"/>
              <w:bottom w:val="single" w:sz="4" w:space="0" w:color="FFFFFF"/>
              <w:right w:val="single" w:sz="4" w:space="0" w:color="FFFFFF"/>
            </w:tcBorders>
            <w:shd w:val="clear" w:color="000000" w:fill="DDEBF7"/>
            <w:vAlign w:val="center"/>
            <w:hideMark/>
          </w:tcPr>
          <w:p w14:paraId="676C90CE"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120.444</w:t>
            </w:r>
          </w:p>
        </w:tc>
        <w:tc>
          <w:tcPr>
            <w:tcW w:w="1645" w:type="dxa"/>
            <w:tcBorders>
              <w:top w:val="nil"/>
              <w:left w:val="nil"/>
              <w:bottom w:val="single" w:sz="4" w:space="0" w:color="FFFFFF"/>
              <w:right w:val="single" w:sz="4" w:space="0" w:color="FFFFFF"/>
            </w:tcBorders>
            <w:shd w:val="clear" w:color="000000" w:fill="DDEBF7"/>
            <w:vAlign w:val="center"/>
            <w:hideMark/>
          </w:tcPr>
          <w:p w14:paraId="4AFC2273"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6.821</w:t>
            </w:r>
          </w:p>
        </w:tc>
        <w:tc>
          <w:tcPr>
            <w:tcW w:w="1843" w:type="dxa"/>
            <w:tcBorders>
              <w:top w:val="nil"/>
              <w:left w:val="nil"/>
              <w:bottom w:val="single" w:sz="4" w:space="0" w:color="FFFFFF"/>
              <w:right w:val="single" w:sz="4" w:space="0" w:color="FFFFFF"/>
            </w:tcBorders>
            <w:shd w:val="clear" w:color="000000" w:fill="DDEBF7"/>
            <w:vAlign w:val="center"/>
            <w:hideMark/>
          </w:tcPr>
          <w:p w14:paraId="45C27A08"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6,0%</w:t>
            </w:r>
          </w:p>
        </w:tc>
        <w:tc>
          <w:tcPr>
            <w:tcW w:w="1312" w:type="dxa"/>
            <w:tcBorders>
              <w:top w:val="nil"/>
              <w:left w:val="nil"/>
              <w:bottom w:val="single" w:sz="4" w:space="0" w:color="FFFFFF"/>
              <w:right w:val="single" w:sz="4" w:space="0" w:color="FFFFFF"/>
            </w:tcBorders>
            <w:shd w:val="clear" w:color="000000" w:fill="DDEBF7"/>
            <w:vAlign w:val="center"/>
            <w:hideMark/>
          </w:tcPr>
          <w:p w14:paraId="50D06018"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0,2%</w:t>
            </w:r>
          </w:p>
        </w:tc>
        <w:tc>
          <w:tcPr>
            <w:tcW w:w="1200" w:type="dxa"/>
            <w:tcBorders>
              <w:top w:val="nil"/>
              <w:left w:val="nil"/>
              <w:bottom w:val="single" w:sz="4" w:space="0" w:color="FFFFFF"/>
              <w:right w:val="single" w:sz="4" w:space="0" w:color="FFFFFF"/>
            </w:tcBorders>
            <w:shd w:val="clear" w:color="000000" w:fill="DDEBF7"/>
            <w:vAlign w:val="center"/>
            <w:hideMark/>
          </w:tcPr>
          <w:p w14:paraId="650354BB"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249</w:t>
            </w:r>
          </w:p>
        </w:tc>
      </w:tr>
      <w:tr w:rsidR="00E34EAF" w:rsidRPr="00F673BE" w14:paraId="0EBD42F5" w14:textId="77777777" w:rsidTr="008E7823">
        <w:trPr>
          <w:trHeight w:val="300"/>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7B0EF0FA"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sz w:val="17"/>
                <w:szCs w:val="17"/>
                <w:lang w:val="es-ES" w:eastAsia="es-CO"/>
              </w:rPr>
              <w:t>2016</w:t>
            </w:r>
          </w:p>
        </w:tc>
        <w:tc>
          <w:tcPr>
            <w:tcW w:w="1200" w:type="dxa"/>
            <w:tcBorders>
              <w:top w:val="nil"/>
              <w:left w:val="nil"/>
              <w:bottom w:val="single" w:sz="4" w:space="0" w:color="FFFFFF"/>
              <w:right w:val="single" w:sz="4" w:space="0" w:color="FFFFFF"/>
            </w:tcBorders>
            <w:shd w:val="clear" w:color="000000" w:fill="DDEBF7"/>
            <w:vAlign w:val="center"/>
            <w:hideMark/>
          </w:tcPr>
          <w:p w14:paraId="073FA647"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48.747.708</w:t>
            </w:r>
          </w:p>
        </w:tc>
        <w:tc>
          <w:tcPr>
            <w:tcW w:w="1200" w:type="dxa"/>
            <w:tcBorders>
              <w:top w:val="nil"/>
              <w:left w:val="nil"/>
              <w:bottom w:val="single" w:sz="4" w:space="0" w:color="FFFFFF"/>
              <w:right w:val="single" w:sz="4" w:space="0" w:color="FFFFFF"/>
            </w:tcBorders>
            <w:shd w:val="clear" w:color="000000" w:fill="DDEBF7"/>
            <w:vAlign w:val="center"/>
            <w:hideMark/>
          </w:tcPr>
          <w:p w14:paraId="2FDAA439"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118.532</w:t>
            </w:r>
          </w:p>
        </w:tc>
        <w:tc>
          <w:tcPr>
            <w:tcW w:w="1645" w:type="dxa"/>
            <w:tcBorders>
              <w:top w:val="nil"/>
              <w:left w:val="nil"/>
              <w:bottom w:val="single" w:sz="4" w:space="0" w:color="FFFFFF"/>
              <w:right w:val="single" w:sz="4" w:space="0" w:color="FFFFFF"/>
            </w:tcBorders>
            <w:shd w:val="clear" w:color="000000" w:fill="DDEBF7"/>
            <w:vAlign w:val="center"/>
            <w:hideMark/>
          </w:tcPr>
          <w:p w14:paraId="71DADB8C"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-1.912</w:t>
            </w:r>
          </w:p>
        </w:tc>
        <w:tc>
          <w:tcPr>
            <w:tcW w:w="1843" w:type="dxa"/>
            <w:tcBorders>
              <w:top w:val="nil"/>
              <w:left w:val="nil"/>
              <w:bottom w:val="single" w:sz="4" w:space="0" w:color="FFFFFF"/>
              <w:right w:val="single" w:sz="4" w:space="0" w:color="FFFFFF"/>
            </w:tcBorders>
            <w:shd w:val="clear" w:color="000000" w:fill="DDEBF7"/>
            <w:vAlign w:val="center"/>
            <w:hideMark/>
          </w:tcPr>
          <w:p w14:paraId="74257694"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-1,6%</w:t>
            </w:r>
          </w:p>
        </w:tc>
        <w:tc>
          <w:tcPr>
            <w:tcW w:w="1312" w:type="dxa"/>
            <w:tcBorders>
              <w:top w:val="nil"/>
              <w:left w:val="nil"/>
              <w:bottom w:val="single" w:sz="4" w:space="0" w:color="FFFFFF"/>
              <w:right w:val="single" w:sz="4" w:space="0" w:color="FFFFFF"/>
            </w:tcBorders>
            <w:shd w:val="clear" w:color="000000" w:fill="DDEBF7"/>
            <w:vAlign w:val="center"/>
            <w:hideMark/>
          </w:tcPr>
          <w:p w14:paraId="5C42FB2F"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0,2%</w:t>
            </w:r>
          </w:p>
        </w:tc>
        <w:tc>
          <w:tcPr>
            <w:tcW w:w="1200" w:type="dxa"/>
            <w:tcBorders>
              <w:top w:val="nil"/>
              <w:left w:val="nil"/>
              <w:bottom w:val="single" w:sz="4" w:space="0" w:color="FFFFFF"/>
              <w:right w:val="single" w:sz="4" w:space="0" w:color="FFFFFF"/>
            </w:tcBorders>
            <w:shd w:val="clear" w:color="000000" w:fill="DDEBF7"/>
            <w:vAlign w:val="center"/>
            <w:hideMark/>
          </w:tcPr>
          <w:p w14:paraId="10AB17D0"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243</w:t>
            </w:r>
          </w:p>
        </w:tc>
      </w:tr>
      <w:tr w:rsidR="00E34EAF" w:rsidRPr="00F673BE" w14:paraId="12AD86A8" w14:textId="77777777" w:rsidTr="008E7823">
        <w:trPr>
          <w:trHeight w:val="300"/>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0DBE73EB"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sz w:val="17"/>
                <w:szCs w:val="17"/>
                <w:lang w:val="es-ES" w:eastAsia="es-CO"/>
              </w:rPr>
              <w:t>2017</w:t>
            </w:r>
          </w:p>
        </w:tc>
        <w:tc>
          <w:tcPr>
            <w:tcW w:w="1200" w:type="dxa"/>
            <w:tcBorders>
              <w:top w:val="nil"/>
              <w:left w:val="nil"/>
              <w:bottom w:val="single" w:sz="4" w:space="0" w:color="FFFFFF"/>
              <w:right w:val="single" w:sz="4" w:space="0" w:color="FFFFFF"/>
            </w:tcBorders>
            <w:shd w:val="clear" w:color="000000" w:fill="DDEBF7"/>
            <w:vAlign w:val="center"/>
            <w:hideMark/>
          </w:tcPr>
          <w:p w14:paraId="5E71B9B6"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49.582.835</w:t>
            </w:r>
          </w:p>
        </w:tc>
        <w:tc>
          <w:tcPr>
            <w:tcW w:w="1200" w:type="dxa"/>
            <w:tcBorders>
              <w:top w:val="nil"/>
              <w:left w:val="nil"/>
              <w:bottom w:val="single" w:sz="4" w:space="0" w:color="FFFFFF"/>
              <w:right w:val="single" w:sz="4" w:space="0" w:color="FFFFFF"/>
            </w:tcBorders>
            <w:shd w:val="clear" w:color="000000" w:fill="DDEBF7"/>
            <w:vAlign w:val="center"/>
            <w:hideMark/>
          </w:tcPr>
          <w:p w14:paraId="4BEE75ED"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114.75</w:t>
            </w:r>
          </w:p>
        </w:tc>
        <w:tc>
          <w:tcPr>
            <w:tcW w:w="1645" w:type="dxa"/>
            <w:tcBorders>
              <w:top w:val="nil"/>
              <w:left w:val="nil"/>
              <w:bottom w:val="single" w:sz="4" w:space="0" w:color="FFFFFF"/>
              <w:right w:val="single" w:sz="4" w:space="0" w:color="FFFFFF"/>
            </w:tcBorders>
            <w:shd w:val="clear" w:color="000000" w:fill="DDEBF7"/>
            <w:vAlign w:val="center"/>
            <w:hideMark/>
          </w:tcPr>
          <w:p w14:paraId="162ED3C6"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-3.782</w:t>
            </w:r>
          </w:p>
        </w:tc>
        <w:tc>
          <w:tcPr>
            <w:tcW w:w="1843" w:type="dxa"/>
            <w:tcBorders>
              <w:top w:val="nil"/>
              <w:left w:val="nil"/>
              <w:bottom w:val="single" w:sz="4" w:space="0" w:color="FFFFFF"/>
              <w:right w:val="single" w:sz="4" w:space="0" w:color="FFFFFF"/>
            </w:tcBorders>
            <w:shd w:val="clear" w:color="000000" w:fill="DDEBF7"/>
            <w:vAlign w:val="center"/>
            <w:hideMark/>
          </w:tcPr>
          <w:p w14:paraId="1D7F2222"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-3,2%</w:t>
            </w:r>
          </w:p>
        </w:tc>
        <w:tc>
          <w:tcPr>
            <w:tcW w:w="1312" w:type="dxa"/>
            <w:tcBorders>
              <w:top w:val="nil"/>
              <w:left w:val="nil"/>
              <w:bottom w:val="single" w:sz="4" w:space="0" w:color="FFFFFF"/>
              <w:right w:val="single" w:sz="4" w:space="0" w:color="FFFFFF"/>
            </w:tcBorders>
            <w:shd w:val="clear" w:color="000000" w:fill="DDEBF7"/>
            <w:vAlign w:val="center"/>
            <w:hideMark/>
          </w:tcPr>
          <w:p w14:paraId="314D259B"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0,2%</w:t>
            </w:r>
          </w:p>
        </w:tc>
        <w:tc>
          <w:tcPr>
            <w:tcW w:w="1200" w:type="dxa"/>
            <w:tcBorders>
              <w:top w:val="nil"/>
              <w:left w:val="nil"/>
              <w:bottom w:val="single" w:sz="4" w:space="0" w:color="FFFFFF"/>
              <w:right w:val="single" w:sz="4" w:space="0" w:color="FFFFFF"/>
            </w:tcBorders>
            <w:shd w:val="clear" w:color="000000" w:fill="DDEBF7"/>
            <w:vAlign w:val="center"/>
            <w:hideMark/>
          </w:tcPr>
          <w:p w14:paraId="77A86813"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231</w:t>
            </w:r>
          </w:p>
        </w:tc>
      </w:tr>
      <w:tr w:rsidR="00E34EAF" w:rsidRPr="00F673BE" w14:paraId="7295599D" w14:textId="77777777" w:rsidTr="008E7823">
        <w:trPr>
          <w:trHeight w:val="300"/>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2613A849"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sz w:val="17"/>
                <w:szCs w:val="17"/>
                <w:lang w:val="es-ES" w:eastAsia="es-CO"/>
              </w:rPr>
              <w:t>2018</w:t>
            </w:r>
          </w:p>
        </w:tc>
        <w:tc>
          <w:tcPr>
            <w:tcW w:w="1200" w:type="dxa"/>
            <w:tcBorders>
              <w:top w:val="nil"/>
              <w:left w:val="nil"/>
              <w:bottom w:val="single" w:sz="4" w:space="0" w:color="FFFFFF"/>
              <w:right w:val="single" w:sz="4" w:space="0" w:color="FFFFFF"/>
            </w:tcBorders>
            <w:shd w:val="clear" w:color="000000" w:fill="DDEBF7"/>
            <w:vAlign w:val="center"/>
            <w:hideMark/>
          </w:tcPr>
          <w:p w14:paraId="5B2BB669"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49.834.240</w:t>
            </w:r>
          </w:p>
        </w:tc>
        <w:tc>
          <w:tcPr>
            <w:tcW w:w="1200" w:type="dxa"/>
            <w:tcBorders>
              <w:top w:val="nil"/>
              <w:left w:val="nil"/>
              <w:bottom w:val="single" w:sz="4" w:space="0" w:color="FFFFFF"/>
              <w:right w:val="single" w:sz="4" w:space="0" w:color="FFFFFF"/>
            </w:tcBorders>
            <w:shd w:val="clear" w:color="000000" w:fill="DDEBF7"/>
            <w:vAlign w:val="center"/>
            <w:hideMark/>
          </w:tcPr>
          <w:p w14:paraId="3701B555"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118.513</w:t>
            </w:r>
          </w:p>
        </w:tc>
        <w:tc>
          <w:tcPr>
            <w:tcW w:w="1645" w:type="dxa"/>
            <w:tcBorders>
              <w:top w:val="nil"/>
              <w:left w:val="nil"/>
              <w:bottom w:val="single" w:sz="4" w:space="0" w:color="FFFFFF"/>
              <w:right w:val="single" w:sz="4" w:space="0" w:color="FFFFFF"/>
            </w:tcBorders>
            <w:shd w:val="clear" w:color="000000" w:fill="DDEBF7"/>
            <w:vAlign w:val="center"/>
            <w:hideMark/>
          </w:tcPr>
          <w:p w14:paraId="579659E4"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3.763</w:t>
            </w:r>
          </w:p>
        </w:tc>
        <w:tc>
          <w:tcPr>
            <w:tcW w:w="1843" w:type="dxa"/>
            <w:tcBorders>
              <w:top w:val="nil"/>
              <w:left w:val="nil"/>
              <w:bottom w:val="single" w:sz="4" w:space="0" w:color="FFFFFF"/>
              <w:right w:val="single" w:sz="4" w:space="0" w:color="FFFFFF"/>
            </w:tcBorders>
            <w:shd w:val="clear" w:color="000000" w:fill="DDEBF7"/>
            <w:vAlign w:val="center"/>
            <w:hideMark/>
          </w:tcPr>
          <w:p w14:paraId="3E035BC4"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3,3%</w:t>
            </w:r>
          </w:p>
        </w:tc>
        <w:tc>
          <w:tcPr>
            <w:tcW w:w="1312" w:type="dxa"/>
            <w:tcBorders>
              <w:top w:val="nil"/>
              <w:left w:val="nil"/>
              <w:bottom w:val="single" w:sz="4" w:space="0" w:color="FFFFFF"/>
              <w:right w:val="single" w:sz="4" w:space="0" w:color="FFFFFF"/>
            </w:tcBorders>
            <w:shd w:val="clear" w:color="000000" w:fill="DDEBF7"/>
            <w:vAlign w:val="center"/>
            <w:hideMark/>
          </w:tcPr>
          <w:p w14:paraId="21E4432D"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0,2%</w:t>
            </w:r>
          </w:p>
        </w:tc>
        <w:tc>
          <w:tcPr>
            <w:tcW w:w="1200" w:type="dxa"/>
            <w:tcBorders>
              <w:top w:val="nil"/>
              <w:left w:val="nil"/>
              <w:bottom w:val="single" w:sz="4" w:space="0" w:color="FFFFFF"/>
              <w:right w:val="single" w:sz="4" w:space="0" w:color="FFFFFF"/>
            </w:tcBorders>
            <w:shd w:val="clear" w:color="000000" w:fill="DDEBF7"/>
            <w:vAlign w:val="center"/>
            <w:hideMark/>
          </w:tcPr>
          <w:p w14:paraId="4CF1C813"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238</w:t>
            </w:r>
          </w:p>
        </w:tc>
      </w:tr>
      <w:tr w:rsidR="00E34EAF" w:rsidRPr="00F673BE" w14:paraId="1E3A6F1B" w14:textId="77777777" w:rsidTr="008E7823">
        <w:trPr>
          <w:trHeight w:val="300"/>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669BDEA2"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sz w:val="17"/>
                <w:szCs w:val="17"/>
                <w:lang w:val="es-ES" w:eastAsia="es-CO"/>
              </w:rPr>
              <w:t>2019</w:t>
            </w:r>
          </w:p>
        </w:tc>
        <w:tc>
          <w:tcPr>
            <w:tcW w:w="1200" w:type="dxa"/>
            <w:tcBorders>
              <w:top w:val="nil"/>
              <w:left w:val="nil"/>
              <w:bottom w:val="single" w:sz="4" w:space="0" w:color="FFFFFF"/>
              <w:right w:val="single" w:sz="4" w:space="0" w:color="FFFFFF"/>
            </w:tcBorders>
            <w:shd w:val="clear" w:color="000000" w:fill="DDEBF7"/>
            <w:vAlign w:val="center"/>
            <w:hideMark/>
          </w:tcPr>
          <w:p w14:paraId="04B8DDC6"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50.374.478</w:t>
            </w:r>
          </w:p>
        </w:tc>
        <w:tc>
          <w:tcPr>
            <w:tcW w:w="1200" w:type="dxa"/>
            <w:tcBorders>
              <w:top w:val="nil"/>
              <w:left w:val="nil"/>
              <w:bottom w:val="single" w:sz="4" w:space="0" w:color="FFFFFF"/>
              <w:right w:val="single" w:sz="4" w:space="0" w:color="FFFFFF"/>
            </w:tcBorders>
            <w:shd w:val="clear" w:color="000000" w:fill="DDEBF7"/>
            <w:vAlign w:val="center"/>
            <w:hideMark/>
          </w:tcPr>
          <w:p w14:paraId="43209E24"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121.487</w:t>
            </w:r>
          </w:p>
        </w:tc>
        <w:tc>
          <w:tcPr>
            <w:tcW w:w="1645" w:type="dxa"/>
            <w:tcBorders>
              <w:top w:val="nil"/>
              <w:left w:val="nil"/>
              <w:bottom w:val="single" w:sz="4" w:space="0" w:color="FFFFFF"/>
              <w:right w:val="single" w:sz="4" w:space="0" w:color="FFFFFF"/>
            </w:tcBorders>
            <w:shd w:val="clear" w:color="000000" w:fill="DDEBF7"/>
            <w:vAlign w:val="center"/>
            <w:hideMark/>
          </w:tcPr>
          <w:p w14:paraId="555FA12B"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2.974</w:t>
            </w:r>
          </w:p>
        </w:tc>
        <w:tc>
          <w:tcPr>
            <w:tcW w:w="1843" w:type="dxa"/>
            <w:tcBorders>
              <w:top w:val="nil"/>
              <w:left w:val="nil"/>
              <w:bottom w:val="single" w:sz="4" w:space="0" w:color="FFFFFF"/>
              <w:right w:val="single" w:sz="4" w:space="0" w:color="FFFFFF"/>
            </w:tcBorders>
            <w:shd w:val="clear" w:color="000000" w:fill="DDEBF7"/>
            <w:vAlign w:val="center"/>
            <w:hideMark/>
          </w:tcPr>
          <w:p w14:paraId="50B6E382"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2,5%</w:t>
            </w:r>
          </w:p>
        </w:tc>
        <w:tc>
          <w:tcPr>
            <w:tcW w:w="1312" w:type="dxa"/>
            <w:tcBorders>
              <w:top w:val="nil"/>
              <w:left w:val="nil"/>
              <w:bottom w:val="single" w:sz="4" w:space="0" w:color="FFFFFF"/>
              <w:right w:val="single" w:sz="4" w:space="0" w:color="FFFFFF"/>
            </w:tcBorders>
            <w:shd w:val="clear" w:color="000000" w:fill="DDEBF7"/>
            <w:vAlign w:val="center"/>
            <w:hideMark/>
          </w:tcPr>
          <w:p w14:paraId="1342D9DB"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0,2%</w:t>
            </w:r>
          </w:p>
        </w:tc>
        <w:tc>
          <w:tcPr>
            <w:tcW w:w="1200" w:type="dxa"/>
            <w:tcBorders>
              <w:top w:val="nil"/>
              <w:left w:val="nil"/>
              <w:bottom w:val="single" w:sz="4" w:space="0" w:color="FFFFFF"/>
              <w:right w:val="single" w:sz="4" w:space="0" w:color="FFFFFF"/>
            </w:tcBorders>
            <w:shd w:val="clear" w:color="000000" w:fill="DDEBF7"/>
            <w:vAlign w:val="center"/>
            <w:hideMark/>
          </w:tcPr>
          <w:p w14:paraId="06AC620E"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241</w:t>
            </w:r>
          </w:p>
        </w:tc>
      </w:tr>
    </w:tbl>
    <w:p w14:paraId="42C5253E" w14:textId="77777777" w:rsidR="00E34EAF" w:rsidRPr="00A77453" w:rsidRDefault="00E34EAF" w:rsidP="00E34EAF">
      <w:pPr>
        <w:tabs>
          <w:tab w:val="left" w:pos="2127"/>
        </w:tabs>
        <w:spacing w:after="0" w:line="240" w:lineRule="auto"/>
        <w:jc w:val="both"/>
        <w:rPr>
          <w:rFonts w:ascii="Arial" w:hAnsi="Arial" w:cs="Arial"/>
          <w:sz w:val="40"/>
          <w:szCs w:val="24"/>
        </w:rPr>
      </w:pPr>
      <w:r>
        <w:rPr>
          <w:b/>
        </w:rPr>
        <w:t xml:space="preserve"> </w:t>
      </w:r>
      <w:r w:rsidRPr="00A77453">
        <w:rPr>
          <w:b/>
        </w:rPr>
        <w:t xml:space="preserve">Fuente: </w:t>
      </w:r>
      <w:r w:rsidRPr="00A77453">
        <w:t>SISIPEC WEB</w:t>
      </w:r>
    </w:p>
    <w:p w14:paraId="20328B79" w14:textId="77777777" w:rsidR="00E34EAF" w:rsidRDefault="00E34EAF" w:rsidP="00E34EAF">
      <w:pPr>
        <w:tabs>
          <w:tab w:val="left" w:pos="2127"/>
        </w:tabs>
        <w:spacing w:after="0" w:line="240" w:lineRule="auto"/>
        <w:jc w:val="both"/>
        <w:rPr>
          <w:rFonts w:ascii="Arial" w:hAnsi="Arial" w:cs="Arial"/>
          <w:sz w:val="24"/>
          <w:szCs w:val="24"/>
        </w:rPr>
      </w:pPr>
    </w:p>
    <w:p w14:paraId="4E1D7387" w14:textId="16BA3909" w:rsidR="00E34EAF" w:rsidRDefault="00E34EAF" w:rsidP="00E34EAF">
      <w:pPr>
        <w:tabs>
          <w:tab w:val="left" w:pos="2127"/>
        </w:tabs>
        <w:spacing w:after="0" w:line="240" w:lineRule="auto"/>
        <w:jc w:val="both"/>
        <w:rPr>
          <w:rFonts w:ascii="Arial" w:hAnsi="Arial" w:cs="Arial"/>
          <w:sz w:val="24"/>
          <w:szCs w:val="24"/>
        </w:rPr>
      </w:pPr>
      <w:r>
        <w:rPr>
          <w:rFonts w:ascii="Arial" w:hAnsi="Arial" w:cs="Arial"/>
          <w:sz w:val="24"/>
          <w:szCs w:val="24"/>
        </w:rPr>
        <w:lastRenderedPageBreak/>
        <w:t>En materia de hacinamiento, de acuerdo con el Instituto Nacional Penitenciario y Carcelario</w:t>
      </w:r>
      <w:r w:rsidR="00557039">
        <w:rPr>
          <w:rFonts w:ascii="Arial" w:hAnsi="Arial" w:cs="Arial"/>
          <w:sz w:val="24"/>
          <w:szCs w:val="24"/>
        </w:rPr>
        <w:t xml:space="preserve"> –INPEC-</w:t>
      </w:r>
      <w:r>
        <w:rPr>
          <w:rFonts w:ascii="Arial" w:hAnsi="Arial" w:cs="Arial"/>
          <w:sz w:val="24"/>
          <w:szCs w:val="24"/>
        </w:rPr>
        <w:t>, a mayo de 2019 se registraron un total de 80.236 cupos penitenciarios, sin embargo, el número de internos alcanzó la cifra de 121.487 arrojando una sobrepoblación de 41.521 personas, lo que representa un índice de hacinamiento de 51,4%.</w:t>
      </w:r>
    </w:p>
    <w:p w14:paraId="012AC7BE" w14:textId="77777777" w:rsidR="00A843ED" w:rsidRPr="00342699" w:rsidRDefault="00A843ED" w:rsidP="00E34EAF">
      <w:pPr>
        <w:tabs>
          <w:tab w:val="left" w:pos="2127"/>
        </w:tabs>
        <w:spacing w:after="0" w:line="240" w:lineRule="auto"/>
        <w:jc w:val="both"/>
        <w:rPr>
          <w:rFonts w:ascii="Arial" w:hAnsi="Arial" w:cs="Arial"/>
          <w:sz w:val="24"/>
          <w:szCs w:val="24"/>
        </w:rPr>
      </w:pPr>
    </w:p>
    <w:p w14:paraId="5AE5E253" w14:textId="77777777" w:rsidR="00E34EAF" w:rsidRDefault="00E34EAF" w:rsidP="00E34EAF">
      <w:pPr>
        <w:tabs>
          <w:tab w:val="left" w:pos="2127"/>
        </w:tabs>
        <w:spacing w:after="0" w:line="240" w:lineRule="auto"/>
        <w:jc w:val="center"/>
        <w:rPr>
          <w:b/>
        </w:rPr>
      </w:pPr>
      <w:r w:rsidRPr="00D77B35">
        <w:rPr>
          <w:rFonts w:ascii="Arial" w:hAnsi="Arial" w:cs="Arial"/>
          <w:b/>
          <w:szCs w:val="24"/>
        </w:rPr>
        <w:t>Tabla 2.  Capacidad de ERON por regiones</w:t>
      </w:r>
      <w:r w:rsidRPr="00D77B35">
        <w:rPr>
          <w:b/>
        </w:rPr>
        <w:t xml:space="preserve"> </w:t>
      </w:r>
    </w:p>
    <w:p w14:paraId="402873A7" w14:textId="77777777" w:rsidR="00E34EAF" w:rsidRPr="00D77B35" w:rsidRDefault="00E34EAF" w:rsidP="00E34EAF">
      <w:pPr>
        <w:tabs>
          <w:tab w:val="left" w:pos="2127"/>
        </w:tabs>
        <w:spacing w:after="0" w:line="240" w:lineRule="auto"/>
        <w:jc w:val="center"/>
        <w:rPr>
          <w:b/>
          <w:sz w:val="14"/>
        </w:rPr>
      </w:pPr>
      <w:r>
        <w:rPr>
          <w:b/>
        </w:rPr>
        <w:fldChar w:fldCharType="begin"/>
      </w:r>
      <w:r w:rsidRPr="00D77B35">
        <w:rPr>
          <w:b/>
        </w:rPr>
        <w:instrText xml:space="preserve"> LINK </w:instrText>
      </w:r>
      <w:r>
        <w:rPr>
          <w:b/>
        </w:rPr>
        <w:instrText xml:space="preserve">Excel.Sheet.12 "C:\\Users\\jesus.lorduy\\Desktop\\JENN\\cifras inpec.xlsx" Hoja1!F19C3:F24C10 </w:instrText>
      </w:r>
      <w:r w:rsidRPr="00D77B35">
        <w:rPr>
          <w:b/>
        </w:rPr>
        <w:instrText xml:space="preserve">\a \f 4 \h  \* MERGEFORMAT </w:instrText>
      </w:r>
      <w:r>
        <w:rPr>
          <w:b/>
        </w:rPr>
        <w:fldChar w:fldCharType="separate"/>
      </w:r>
    </w:p>
    <w:tbl>
      <w:tblPr>
        <w:tblW w:w="9351" w:type="dxa"/>
        <w:tblCellMar>
          <w:left w:w="70" w:type="dxa"/>
          <w:right w:w="70" w:type="dxa"/>
        </w:tblCellMar>
        <w:tblLook w:val="04A0" w:firstRow="1" w:lastRow="0" w:firstColumn="1" w:lastColumn="0" w:noHBand="0" w:noVBand="1"/>
      </w:tblPr>
      <w:tblGrid>
        <w:gridCol w:w="1555"/>
        <w:gridCol w:w="1134"/>
        <w:gridCol w:w="1134"/>
        <w:gridCol w:w="992"/>
        <w:gridCol w:w="1134"/>
        <w:gridCol w:w="992"/>
        <w:gridCol w:w="1276"/>
        <w:gridCol w:w="1134"/>
      </w:tblGrid>
      <w:tr w:rsidR="00E34EAF" w:rsidRPr="00AF0232" w14:paraId="799EB6EC" w14:textId="77777777" w:rsidTr="008E7823">
        <w:trPr>
          <w:trHeight w:val="300"/>
        </w:trPr>
        <w:tc>
          <w:tcPr>
            <w:tcW w:w="1555" w:type="dxa"/>
            <w:vMerge w:val="restart"/>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6AE99DEA" w14:textId="77777777" w:rsidR="00E34EAF" w:rsidRPr="00AF0232" w:rsidRDefault="00E34EAF" w:rsidP="008E7823">
            <w:pPr>
              <w:spacing w:after="0" w:line="240" w:lineRule="auto"/>
              <w:jc w:val="center"/>
              <w:rPr>
                <w:rFonts w:ascii="Arial" w:eastAsia="Times New Roman" w:hAnsi="Arial" w:cs="Arial"/>
                <w:b/>
                <w:bCs/>
                <w:color w:val="FFFFFF"/>
                <w:sz w:val="16"/>
                <w:szCs w:val="16"/>
                <w:lang w:eastAsia="es-CO"/>
              </w:rPr>
            </w:pPr>
            <w:r w:rsidRPr="00AF0232">
              <w:rPr>
                <w:rFonts w:ascii="Arial" w:eastAsia="Times New Roman" w:hAnsi="Arial" w:cs="Arial"/>
                <w:b/>
                <w:bCs/>
                <w:color w:val="FFFFFF"/>
                <w:sz w:val="16"/>
                <w:lang w:val="es-ES" w:eastAsia="es-CO"/>
              </w:rPr>
              <w:t>Variable</w:t>
            </w:r>
          </w:p>
        </w:tc>
        <w:tc>
          <w:tcPr>
            <w:tcW w:w="6662" w:type="dxa"/>
            <w:gridSpan w:val="6"/>
            <w:tcBorders>
              <w:top w:val="single" w:sz="4" w:space="0" w:color="FFFFFF"/>
              <w:left w:val="nil"/>
              <w:bottom w:val="single" w:sz="4" w:space="0" w:color="FFFFFF"/>
              <w:right w:val="single" w:sz="4" w:space="0" w:color="FFFFFF"/>
            </w:tcBorders>
            <w:shd w:val="clear" w:color="000000" w:fill="00486C"/>
            <w:vAlign w:val="center"/>
            <w:hideMark/>
          </w:tcPr>
          <w:p w14:paraId="1F5C0874" w14:textId="77777777" w:rsidR="00E34EAF" w:rsidRPr="00AF0232" w:rsidRDefault="00E34EAF" w:rsidP="008E7823">
            <w:pPr>
              <w:spacing w:after="0" w:line="240" w:lineRule="auto"/>
              <w:jc w:val="center"/>
              <w:rPr>
                <w:rFonts w:ascii="Arial" w:eastAsia="Times New Roman" w:hAnsi="Arial" w:cs="Arial"/>
                <w:b/>
                <w:bCs/>
                <w:color w:val="FFFFFF"/>
                <w:sz w:val="15"/>
                <w:szCs w:val="15"/>
                <w:lang w:eastAsia="es-CO"/>
              </w:rPr>
            </w:pPr>
            <w:r w:rsidRPr="00AF0232">
              <w:rPr>
                <w:rFonts w:ascii="Arial" w:eastAsia="Times New Roman" w:hAnsi="Arial" w:cs="Arial"/>
                <w:b/>
                <w:bCs/>
                <w:color w:val="FFFFFF"/>
                <w:sz w:val="15"/>
                <w:lang w:val="es-ES" w:eastAsia="es-CO"/>
              </w:rPr>
              <w:t>R e g i o n a l</w:t>
            </w:r>
          </w:p>
        </w:tc>
        <w:tc>
          <w:tcPr>
            <w:tcW w:w="1134" w:type="dxa"/>
            <w:vMerge w:val="restart"/>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28BD1A17" w14:textId="77777777" w:rsidR="00E34EAF" w:rsidRPr="00AF0232" w:rsidRDefault="00E34EAF" w:rsidP="008E7823">
            <w:pPr>
              <w:spacing w:after="0" w:line="240" w:lineRule="auto"/>
              <w:jc w:val="center"/>
              <w:rPr>
                <w:rFonts w:ascii="Arial" w:eastAsia="Times New Roman" w:hAnsi="Arial" w:cs="Arial"/>
                <w:b/>
                <w:bCs/>
                <w:color w:val="FFFFFF"/>
                <w:sz w:val="16"/>
                <w:szCs w:val="16"/>
                <w:lang w:eastAsia="es-CO"/>
              </w:rPr>
            </w:pPr>
            <w:r w:rsidRPr="00AF0232">
              <w:rPr>
                <w:rFonts w:ascii="Arial" w:eastAsia="Times New Roman" w:hAnsi="Arial" w:cs="Arial"/>
                <w:b/>
                <w:bCs/>
                <w:color w:val="FFFFFF"/>
                <w:sz w:val="16"/>
                <w:lang w:val="es-ES" w:eastAsia="es-CO"/>
              </w:rPr>
              <w:t>Total</w:t>
            </w:r>
          </w:p>
        </w:tc>
      </w:tr>
      <w:tr w:rsidR="00E34EAF" w:rsidRPr="00AF0232" w14:paraId="79FC15E5" w14:textId="77777777" w:rsidTr="008E7823">
        <w:trPr>
          <w:trHeight w:val="345"/>
        </w:trPr>
        <w:tc>
          <w:tcPr>
            <w:tcW w:w="1555" w:type="dxa"/>
            <w:vMerge/>
            <w:tcBorders>
              <w:top w:val="single" w:sz="4" w:space="0" w:color="FFFFFF"/>
              <w:left w:val="single" w:sz="4" w:space="0" w:color="FFFFFF"/>
              <w:bottom w:val="single" w:sz="4" w:space="0" w:color="FFFFFF"/>
              <w:right w:val="single" w:sz="4" w:space="0" w:color="FFFFFF"/>
            </w:tcBorders>
            <w:vAlign w:val="center"/>
            <w:hideMark/>
          </w:tcPr>
          <w:p w14:paraId="58DC8261" w14:textId="77777777" w:rsidR="00E34EAF" w:rsidRPr="00AF0232" w:rsidRDefault="00E34EAF" w:rsidP="008E7823">
            <w:pPr>
              <w:spacing w:after="0" w:line="240" w:lineRule="auto"/>
              <w:rPr>
                <w:rFonts w:ascii="Arial" w:eastAsia="Times New Roman" w:hAnsi="Arial" w:cs="Arial"/>
                <w:b/>
                <w:bCs/>
                <w:color w:val="FFFFFF"/>
                <w:sz w:val="16"/>
                <w:szCs w:val="16"/>
                <w:lang w:eastAsia="es-CO"/>
              </w:rPr>
            </w:pPr>
          </w:p>
        </w:tc>
        <w:tc>
          <w:tcPr>
            <w:tcW w:w="1134" w:type="dxa"/>
            <w:tcBorders>
              <w:top w:val="nil"/>
              <w:left w:val="nil"/>
              <w:bottom w:val="single" w:sz="4" w:space="0" w:color="FFFFFF"/>
              <w:right w:val="single" w:sz="4" w:space="0" w:color="FFFFFF"/>
            </w:tcBorders>
            <w:shd w:val="clear" w:color="000000" w:fill="00486C"/>
            <w:vAlign w:val="center"/>
            <w:hideMark/>
          </w:tcPr>
          <w:p w14:paraId="1E82ACD1" w14:textId="77777777" w:rsidR="00E34EAF" w:rsidRPr="00AF0232" w:rsidRDefault="00E34EAF" w:rsidP="008E7823">
            <w:pPr>
              <w:spacing w:after="0" w:line="240" w:lineRule="auto"/>
              <w:jc w:val="center"/>
              <w:rPr>
                <w:rFonts w:ascii="Arial" w:eastAsia="Times New Roman" w:hAnsi="Arial" w:cs="Arial"/>
                <w:b/>
                <w:bCs/>
                <w:color w:val="FFFFFF"/>
                <w:sz w:val="16"/>
                <w:szCs w:val="16"/>
                <w:lang w:eastAsia="es-CO"/>
              </w:rPr>
            </w:pPr>
            <w:r w:rsidRPr="00AF0232">
              <w:rPr>
                <w:rFonts w:ascii="Arial" w:eastAsia="Times New Roman" w:hAnsi="Arial" w:cs="Arial"/>
                <w:b/>
                <w:bCs/>
                <w:color w:val="FFFFFF"/>
                <w:sz w:val="16"/>
                <w:lang w:val="es-ES" w:eastAsia="es-CO"/>
              </w:rPr>
              <w:t>Central</w:t>
            </w:r>
          </w:p>
        </w:tc>
        <w:tc>
          <w:tcPr>
            <w:tcW w:w="1134" w:type="dxa"/>
            <w:tcBorders>
              <w:top w:val="nil"/>
              <w:left w:val="nil"/>
              <w:bottom w:val="single" w:sz="4" w:space="0" w:color="FFFFFF"/>
              <w:right w:val="single" w:sz="4" w:space="0" w:color="FFFFFF"/>
            </w:tcBorders>
            <w:shd w:val="clear" w:color="000000" w:fill="00486C"/>
            <w:vAlign w:val="center"/>
            <w:hideMark/>
          </w:tcPr>
          <w:p w14:paraId="162C7EC8" w14:textId="77777777" w:rsidR="00E34EAF" w:rsidRPr="00AF0232" w:rsidRDefault="00E34EAF" w:rsidP="008E7823">
            <w:pPr>
              <w:spacing w:after="0" w:line="240" w:lineRule="auto"/>
              <w:jc w:val="center"/>
              <w:rPr>
                <w:rFonts w:ascii="Arial" w:eastAsia="Times New Roman" w:hAnsi="Arial" w:cs="Arial"/>
                <w:b/>
                <w:bCs/>
                <w:color w:val="FFFFFF"/>
                <w:sz w:val="16"/>
                <w:szCs w:val="16"/>
                <w:lang w:eastAsia="es-CO"/>
              </w:rPr>
            </w:pPr>
            <w:r w:rsidRPr="00AF0232">
              <w:rPr>
                <w:rFonts w:ascii="Arial" w:eastAsia="Times New Roman" w:hAnsi="Arial" w:cs="Arial"/>
                <w:b/>
                <w:bCs/>
                <w:color w:val="FFFFFF"/>
                <w:sz w:val="16"/>
                <w:lang w:val="es-ES" w:eastAsia="es-CO"/>
              </w:rPr>
              <w:t>Occidente</w:t>
            </w:r>
          </w:p>
        </w:tc>
        <w:tc>
          <w:tcPr>
            <w:tcW w:w="992" w:type="dxa"/>
            <w:tcBorders>
              <w:top w:val="nil"/>
              <w:left w:val="nil"/>
              <w:bottom w:val="single" w:sz="4" w:space="0" w:color="FFFFFF"/>
              <w:right w:val="single" w:sz="4" w:space="0" w:color="FFFFFF"/>
            </w:tcBorders>
            <w:shd w:val="clear" w:color="000000" w:fill="00486C"/>
            <w:vAlign w:val="center"/>
            <w:hideMark/>
          </w:tcPr>
          <w:p w14:paraId="4408829E" w14:textId="77777777" w:rsidR="00E34EAF" w:rsidRPr="00AF0232" w:rsidRDefault="00E34EAF" w:rsidP="008E7823">
            <w:pPr>
              <w:spacing w:after="0" w:line="240" w:lineRule="auto"/>
              <w:jc w:val="center"/>
              <w:rPr>
                <w:rFonts w:ascii="Arial" w:eastAsia="Times New Roman" w:hAnsi="Arial" w:cs="Arial"/>
                <w:b/>
                <w:bCs/>
                <w:color w:val="FFFFFF"/>
                <w:sz w:val="16"/>
                <w:szCs w:val="16"/>
                <w:lang w:eastAsia="es-CO"/>
              </w:rPr>
            </w:pPr>
            <w:r w:rsidRPr="00AF0232">
              <w:rPr>
                <w:rFonts w:ascii="Arial" w:eastAsia="Times New Roman" w:hAnsi="Arial" w:cs="Arial"/>
                <w:b/>
                <w:bCs/>
                <w:color w:val="FFFFFF"/>
                <w:sz w:val="16"/>
                <w:lang w:val="es-ES" w:eastAsia="es-CO"/>
              </w:rPr>
              <w:t>Norte</w:t>
            </w:r>
          </w:p>
        </w:tc>
        <w:tc>
          <w:tcPr>
            <w:tcW w:w="1134" w:type="dxa"/>
            <w:tcBorders>
              <w:top w:val="nil"/>
              <w:left w:val="nil"/>
              <w:bottom w:val="single" w:sz="4" w:space="0" w:color="FFFFFF"/>
              <w:right w:val="single" w:sz="4" w:space="0" w:color="FFFFFF"/>
            </w:tcBorders>
            <w:shd w:val="clear" w:color="000000" w:fill="00486C"/>
            <w:vAlign w:val="center"/>
            <w:hideMark/>
          </w:tcPr>
          <w:p w14:paraId="1587B793" w14:textId="77777777" w:rsidR="00E34EAF" w:rsidRPr="00AF0232" w:rsidRDefault="00E34EAF" w:rsidP="008E7823">
            <w:pPr>
              <w:spacing w:after="0" w:line="240" w:lineRule="auto"/>
              <w:jc w:val="center"/>
              <w:rPr>
                <w:rFonts w:ascii="Arial" w:eastAsia="Times New Roman" w:hAnsi="Arial" w:cs="Arial"/>
                <w:b/>
                <w:bCs/>
                <w:color w:val="FFFFFF"/>
                <w:sz w:val="16"/>
                <w:szCs w:val="16"/>
                <w:lang w:eastAsia="es-CO"/>
              </w:rPr>
            </w:pPr>
            <w:r w:rsidRPr="00AF0232">
              <w:rPr>
                <w:rFonts w:ascii="Arial" w:eastAsia="Times New Roman" w:hAnsi="Arial" w:cs="Arial"/>
                <w:b/>
                <w:bCs/>
                <w:color w:val="FFFFFF"/>
                <w:sz w:val="16"/>
                <w:lang w:val="es-ES" w:eastAsia="es-CO"/>
              </w:rPr>
              <w:t>Oriente</w:t>
            </w:r>
          </w:p>
        </w:tc>
        <w:tc>
          <w:tcPr>
            <w:tcW w:w="992" w:type="dxa"/>
            <w:tcBorders>
              <w:top w:val="nil"/>
              <w:left w:val="nil"/>
              <w:bottom w:val="single" w:sz="4" w:space="0" w:color="FFFFFF"/>
              <w:right w:val="single" w:sz="4" w:space="0" w:color="FFFFFF"/>
            </w:tcBorders>
            <w:shd w:val="clear" w:color="000000" w:fill="00486C"/>
            <w:vAlign w:val="center"/>
            <w:hideMark/>
          </w:tcPr>
          <w:p w14:paraId="129A4385" w14:textId="77777777" w:rsidR="00E34EAF" w:rsidRPr="00AF0232" w:rsidRDefault="00E34EAF" w:rsidP="008E7823">
            <w:pPr>
              <w:spacing w:after="0" w:line="240" w:lineRule="auto"/>
              <w:jc w:val="center"/>
              <w:rPr>
                <w:rFonts w:ascii="Arial" w:eastAsia="Times New Roman" w:hAnsi="Arial" w:cs="Arial"/>
                <w:b/>
                <w:bCs/>
                <w:color w:val="FFFFFF"/>
                <w:sz w:val="16"/>
                <w:szCs w:val="16"/>
                <w:lang w:eastAsia="es-CO"/>
              </w:rPr>
            </w:pPr>
            <w:r w:rsidRPr="00AF0232">
              <w:rPr>
                <w:rFonts w:ascii="Arial" w:eastAsia="Times New Roman" w:hAnsi="Arial" w:cs="Arial"/>
                <w:b/>
                <w:bCs/>
                <w:color w:val="FFFFFF"/>
                <w:sz w:val="16"/>
                <w:lang w:val="es-ES" w:eastAsia="es-CO"/>
              </w:rPr>
              <w:t>Noroeste</w:t>
            </w:r>
          </w:p>
        </w:tc>
        <w:tc>
          <w:tcPr>
            <w:tcW w:w="1276" w:type="dxa"/>
            <w:tcBorders>
              <w:top w:val="nil"/>
              <w:left w:val="nil"/>
              <w:bottom w:val="single" w:sz="4" w:space="0" w:color="FFFFFF"/>
              <w:right w:val="single" w:sz="4" w:space="0" w:color="FFFFFF"/>
            </w:tcBorders>
            <w:shd w:val="clear" w:color="000000" w:fill="00486C"/>
            <w:vAlign w:val="center"/>
            <w:hideMark/>
          </w:tcPr>
          <w:p w14:paraId="431CF2DF" w14:textId="77777777" w:rsidR="00E34EAF" w:rsidRPr="00AF0232" w:rsidRDefault="00E34EAF" w:rsidP="008E7823">
            <w:pPr>
              <w:spacing w:after="0" w:line="240" w:lineRule="auto"/>
              <w:jc w:val="center"/>
              <w:rPr>
                <w:rFonts w:ascii="Arial" w:eastAsia="Times New Roman" w:hAnsi="Arial" w:cs="Arial"/>
                <w:b/>
                <w:bCs/>
                <w:color w:val="FFFFFF"/>
                <w:sz w:val="16"/>
                <w:szCs w:val="16"/>
                <w:lang w:eastAsia="es-CO"/>
              </w:rPr>
            </w:pPr>
            <w:r w:rsidRPr="00AF0232">
              <w:rPr>
                <w:rFonts w:ascii="Arial" w:eastAsia="Times New Roman" w:hAnsi="Arial" w:cs="Arial"/>
                <w:b/>
                <w:bCs/>
                <w:color w:val="FFFFFF"/>
                <w:sz w:val="16"/>
                <w:lang w:val="es-ES" w:eastAsia="es-CO"/>
              </w:rPr>
              <w:t>Viejo Caldas</w:t>
            </w:r>
          </w:p>
        </w:tc>
        <w:tc>
          <w:tcPr>
            <w:tcW w:w="1134" w:type="dxa"/>
            <w:vMerge/>
            <w:tcBorders>
              <w:top w:val="single" w:sz="4" w:space="0" w:color="FFFFFF"/>
              <w:left w:val="single" w:sz="4" w:space="0" w:color="FFFFFF"/>
              <w:bottom w:val="single" w:sz="4" w:space="0" w:color="FFFFFF"/>
              <w:right w:val="single" w:sz="4" w:space="0" w:color="FFFFFF"/>
            </w:tcBorders>
            <w:vAlign w:val="center"/>
            <w:hideMark/>
          </w:tcPr>
          <w:p w14:paraId="489E3FA2" w14:textId="77777777" w:rsidR="00E34EAF" w:rsidRPr="00AF0232" w:rsidRDefault="00E34EAF" w:rsidP="008E7823">
            <w:pPr>
              <w:spacing w:after="0" w:line="240" w:lineRule="auto"/>
              <w:rPr>
                <w:rFonts w:ascii="Arial" w:eastAsia="Times New Roman" w:hAnsi="Arial" w:cs="Arial"/>
                <w:b/>
                <w:bCs/>
                <w:color w:val="FFFFFF"/>
                <w:sz w:val="16"/>
                <w:szCs w:val="16"/>
                <w:lang w:eastAsia="es-CO"/>
              </w:rPr>
            </w:pPr>
          </w:p>
        </w:tc>
      </w:tr>
      <w:tr w:rsidR="00E34EAF" w:rsidRPr="00AF0232" w14:paraId="0B6AFE8E" w14:textId="77777777" w:rsidTr="008E7823">
        <w:trPr>
          <w:trHeight w:val="300"/>
        </w:trPr>
        <w:tc>
          <w:tcPr>
            <w:tcW w:w="1555" w:type="dxa"/>
            <w:tcBorders>
              <w:top w:val="nil"/>
              <w:left w:val="single" w:sz="4" w:space="0" w:color="FFFFFF"/>
              <w:bottom w:val="single" w:sz="4" w:space="0" w:color="FFFFFF"/>
              <w:right w:val="single" w:sz="4" w:space="0" w:color="FFFFFF"/>
            </w:tcBorders>
            <w:shd w:val="clear" w:color="000000" w:fill="DDEBF7"/>
            <w:vAlign w:val="center"/>
            <w:hideMark/>
          </w:tcPr>
          <w:p w14:paraId="56E0EF8C" w14:textId="77777777" w:rsidR="00E34EAF" w:rsidRPr="00AF0232" w:rsidRDefault="00E34EAF" w:rsidP="008E7823">
            <w:pPr>
              <w:spacing w:after="0" w:line="240" w:lineRule="auto"/>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Capacidad</w:t>
            </w:r>
          </w:p>
        </w:tc>
        <w:tc>
          <w:tcPr>
            <w:tcW w:w="1134" w:type="dxa"/>
            <w:tcBorders>
              <w:top w:val="nil"/>
              <w:left w:val="nil"/>
              <w:bottom w:val="single" w:sz="4" w:space="0" w:color="FFFFFF"/>
              <w:right w:val="single" w:sz="4" w:space="0" w:color="FFFFFF"/>
            </w:tcBorders>
            <w:shd w:val="clear" w:color="000000" w:fill="DDEBF7"/>
            <w:vAlign w:val="center"/>
            <w:hideMark/>
          </w:tcPr>
          <w:p w14:paraId="0E52A35B"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30.304</w:t>
            </w:r>
          </w:p>
        </w:tc>
        <w:tc>
          <w:tcPr>
            <w:tcW w:w="1134" w:type="dxa"/>
            <w:tcBorders>
              <w:top w:val="nil"/>
              <w:left w:val="nil"/>
              <w:bottom w:val="single" w:sz="4" w:space="0" w:color="FFFFFF"/>
              <w:right w:val="single" w:sz="4" w:space="0" w:color="FFFFFF"/>
            </w:tcBorders>
            <w:shd w:val="clear" w:color="000000" w:fill="DDEBF7"/>
            <w:vAlign w:val="center"/>
            <w:hideMark/>
          </w:tcPr>
          <w:p w14:paraId="13519734"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15.076</w:t>
            </w:r>
          </w:p>
        </w:tc>
        <w:tc>
          <w:tcPr>
            <w:tcW w:w="992" w:type="dxa"/>
            <w:tcBorders>
              <w:top w:val="nil"/>
              <w:left w:val="nil"/>
              <w:bottom w:val="single" w:sz="4" w:space="0" w:color="FFFFFF"/>
              <w:right w:val="single" w:sz="4" w:space="0" w:color="FFFFFF"/>
            </w:tcBorders>
            <w:shd w:val="clear" w:color="000000" w:fill="DDEBF7"/>
            <w:vAlign w:val="center"/>
            <w:hideMark/>
          </w:tcPr>
          <w:p w14:paraId="3C2261C2"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7.747</w:t>
            </w:r>
          </w:p>
        </w:tc>
        <w:tc>
          <w:tcPr>
            <w:tcW w:w="1134" w:type="dxa"/>
            <w:tcBorders>
              <w:top w:val="nil"/>
              <w:left w:val="nil"/>
              <w:bottom w:val="single" w:sz="4" w:space="0" w:color="FFFFFF"/>
              <w:right w:val="single" w:sz="4" w:space="0" w:color="FFFFFF"/>
            </w:tcBorders>
            <w:shd w:val="clear" w:color="000000" w:fill="DDEBF7"/>
            <w:vAlign w:val="center"/>
            <w:hideMark/>
          </w:tcPr>
          <w:p w14:paraId="0E0D2E57"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7.88</w:t>
            </w:r>
          </w:p>
        </w:tc>
        <w:tc>
          <w:tcPr>
            <w:tcW w:w="992" w:type="dxa"/>
            <w:tcBorders>
              <w:top w:val="nil"/>
              <w:left w:val="nil"/>
              <w:bottom w:val="single" w:sz="4" w:space="0" w:color="FFFFFF"/>
              <w:right w:val="single" w:sz="4" w:space="0" w:color="FFFFFF"/>
            </w:tcBorders>
            <w:shd w:val="clear" w:color="000000" w:fill="DDEBF7"/>
            <w:vAlign w:val="center"/>
            <w:hideMark/>
          </w:tcPr>
          <w:p w14:paraId="2AB7716F"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8.002</w:t>
            </w:r>
          </w:p>
        </w:tc>
        <w:tc>
          <w:tcPr>
            <w:tcW w:w="1276" w:type="dxa"/>
            <w:tcBorders>
              <w:top w:val="nil"/>
              <w:left w:val="nil"/>
              <w:bottom w:val="single" w:sz="4" w:space="0" w:color="FFFFFF"/>
              <w:right w:val="single" w:sz="4" w:space="0" w:color="FFFFFF"/>
            </w:tcBorders>
            <w:shd w:val="clear" w:color="000000" w:fill="DDEBF7"/>
            <w:vAlign w:val="center"/>
            <w:hideMark/>
          </w:tcPr>
          <w:p w14:paraId="5A878125"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11.227</w:t>
            </w:r>
          </w:p>
        </w:tc>
        <w:tc>
          <w:tcPr>
            <w:tcW w:w="1134" w:type="dxa"/>
            <w:tcBorders>
              <w:top w:val="nil"/>
              <w:left w:val="nil"/>
              <w:bottom w:val="single" w:sz="4" w:space="0" w:color="FFFFFF"/>
              <w:right w:val="single" w:sz="4" w:space="0" w:color="FFFFFF"/>
            </w:tcBorders>
            <w:shd w:val="clear" w:color="000000" w:fill="DDEBF7"/>
            <w:vAlign w:val="center"/>
            <w:hideMark/>
          </w:tcPr>
          <w:p w14:paraId="1B724FC5"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80.236</w:t>
            </w:r>
          </w:p>
        </w:tc>
      </w:tr>
      <w:tr w:rsidR="00E34EAF" w:rsidRPr="00AF0232" w14:paraId="45444AC9" w14:textId="77777777" w:rsidTr="008E7823">
        <w:trPr>
          <w:trHeight w:val="300"/>
        </w:trPr>
        <w:tc>
          <w:tcPr>
            <w:tcW w:w="1555" w:type="dxa"/>
            <w:tcBorders>
              <w:top w:val="nil"/>
              <w:left w:val="single" w:sz="4" w:space="0" w:color="FFFFFF"/>
              <w:bottom w:val="single" w:sz="4" w:space="0" w:color="FFFFFF"/>
              <w:right w:val="single" w:sz="4" w:space="0" w:color="FFFFFF"/>
            </w:tcBorders>
            <w:shd w:val="clear" w:color="000000" w:fill="DDEBF7"/>
            <w:vAlign w:val="center"/>
            <w:hideMark/>
          </w:tcPr>
          <w:p w14:paraId="22B433BA" w14:textId="77777777" w:rsidR="00E34EAF" w:rsidRPr="00AF0232" w:rsidRDefault="00E34EAF" w:rsidP="008E7823">
            <w:pPr>
              <w:spacing w:after="0" w:line="240" w:lineRule="auto"/>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No. Internos(as)</w:t>
            </w:r>
          </w:p>
        </w:tc>
        <w:tc>
          <w:tcPr>
            <w:tcW w:w="1134" w:type="dxa"/>
            <w:tcBorders>
              <w:top w:val="nil"/>
              <w:left w:val="nil"/>
              <w:bottom w:val="single" w:sz="4" w:space="0" w:color="FFFFFF"/>
              <w:right w:val="single" w:sz="4" w:space="0" w:color="FFFFFF"/>
            </w:tcBorders>
            <w:shd w:val="clear" w:color="000000" w:fill="DDEBF7"/>
            <w:vAlign w:val="center"/>
            <w:hideMark/>
          </w:tcPr>
          <w:p w14:paraId="76312B80"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44.175</w:t>
            </w:r>
          </w:p>
        </w:tc>
        <w:tc>
          <w:tcPr>
            <w:tcW w:w="1134" w:type="dxa"/>
            <w:tcBorders>
              <w:top w:val="nil"/>
              <w:left w:val="nil"/>
              <w:bottom w:val="single" w:sz="4" w:space="0" w:color="FFFFFF"/>
              <w:right w:val="single" w:sz="4" w:space="0" w:color="FFFFFF"/>
            </w:tcBorders>
            <w:shd w:val="clear" w:color="000000" w:fill="DDEBF7"/>
            <w:vAlign w:val="center"/>
            <w:hideMark/>
          </w:tcPr>
          <w:p w14:paraId="575ED1E6"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23.252</w:t>
            </w:r>
          </w:p>
        </w:tc>
        <w:tc>
          <w:tcPr>
            <w:tcW w:w="992" w:type="dxa"/>
            <w:tcBorders>
              <w:top w:val="nil"/>
              <w:left w:val="nil"/>
              <w:bottom w:val="single" w:sz="4" w:space="0" w:color="FFFFFF"/>
              <w:right w:val="single" w:sz="4" w:space="0" w:color="FFFFFF"/>
            </w:tcBorders>
            <w:shd w:val="clear" w:color="000000" w:fill="DDEBF7"/>
            <w:vAlign w:val="center"/>
            <w:hideMark/>
          </w:tcPr>
          <w:p w14:paraId="6BA73CE5"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13.775</w:t>
            </w:r>
          </w:p>
        </w:tc>
        <w:tc>
          <w:tcPr>
            <w:tcW w:w="1134" w:type="dxa"/>
            <w:tcBorders>
              <w:top w:val="nil"/>
              <w:left w:val="nil"/>
              <w:bottom w:val="single" w:sz="4" w:space="0" w:color="FFFFFF"/>
              <w:right w:val="single" w:sz="4" w:space="0" w:color="FFFFFF"/>
            </w:tcBorders>
            <w:shd w:val="clear" w:color="000000" w:fill="DDEBF7"/>
            <w:vAlign w:val="center"/>
            <w:hideMark/>
          </w:tcPr>
          <w:p w14:paraId="09D7FCF4"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12.219</w:t>
            </w:r>
          </w:p>
        </w:tc>
        <w:tc>
          <w:tcPr>
            <w:tcW w:w="992" w:type="dxa"/>
            <w:tcBorders>
              <w:top w:val="nil"/>
              <w:left w:val="nil"/>
              <w:bottom w:val="single" w:sz="4" w:space="0" w:color="FFFFFF"/>
              <w:right w:val="single" w:sz="4" w:space="0" w:color="FFFFFF"/>
            </w:tcBorders>
            <w:shd w:val="clear" w:color="000000" w:fill="DDEBF7"/>
            <w:vAlign w:val="center"/>
            <w:hideMark/>
          </w:tcPr>
          <w:p w14:paraId="3E0FD583"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14.47</w:t>
            </w:r>
          </w:p>
        </w:tc>
        <w:tc>
          <w:tcPr>
            <w:tcW w:w="1276" w:type="dxa"/>
            <w:tcBorders>
              <w:top w:val="nil"/>
              <w:left w:val="nil"/>
              <w:bottom w:val="single" w:sz="4" w:space="0" w:color="FFFFFF"/>
              <w:right w:val="single" w:sz="4" w:space="0" w:color="FFFFFF"/>
            </w:tcBorders>
            <w:shd w:val="clear" w:color="000000" w:fill="DDEBF7"/>
            <w:vAlign w:val="center"/>
            <w:hideMark/>
          </w:tcPr>
          <w:p w14:paraId="007ED743"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13.596</w:t>
            </w:r>
          </w:p>
        </w:tc>
        <w:tc>
          <w:tcPr>
            <w:tcW w:w="1134" w:type="dxa"/>
            <w:tcBorders>
              <w:top w:val="nil"/>
              <w:left w:val="nil"/>
              <w:bottom w:val="single" w:sz="4" w:space="0" w:color="FFFFFF"/>
              <w:right w:val="single" w:sz="4" w:space="0" w:color="FFFFFF"/>
            </w:tcBorders>
            <w:shd w:val="clear" w:color="000000" w:fill="DDEBF7"/>
            <w:vAlign w:val="center"/>
            <w:hideMark/>
          </w:tcPr>
          <w:p w14:paraId="1D14E28F"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121.487</w:t>
            </w:r>
          </w:p>
        </w:tc>
      </w:tr>
      <w:tr w:rsidR="00E34EAF" w:rsidRPr="00AF0232" w14:paraId="20656ECA" w14:textId="77777777" w:rsidTr="008E7823">
        <w:trPr>
          <w:trHeight w:val="300"/>
        </w:trPr>
        <w:tc>
          <w:tcPr>
            <w:tcW w:w="1555" w:type="dxa"/>
            <w:tcBorders>
              <w:top w:val="nil"/>
              <w:left w:val="single" w:sz="4" w:space="0" w:color="FFFFFF"/>
              <w:bottom w:val="single" w:sz="4" w:space="0" w:color="FFFFFF"/>
              <w:right w:val="single" w:sz="4" w:space="0" w:color="FFFFFF"/>
            </w:tcBorders>
            <w:shd w:val="clear" w:color="000000" w:fill="DDEBF7"/>
            <w:vAlign w:val="center"/>
            <w:hideMark/>
          </w:tcPr>
          <w:p w14:paraId="67F5E742" w14:textId="77777777" w:rsidR="00E34EAF" w:rsidRPr="00AF0232" w:rsidRDefault="00E34EAF" w:rsidP="008E7823">
            <w:pPr>
              <w:spacing w:after="0" w:line="240" w:lineRule="auto"/>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Sobrepoblación</w:t>
            </w:r>
          </w:p>
        </w:tc>
        <w:tc>
          <w:tcPr>
            <w:tcW w:w="1134" w:type="dxa"/>
            <w:tcBorders>
              <w:top w:val="nil"/>
              <w:left w:val="nil"/>
              <w:bottom w:val="single" w:sz="4" w:space="0" w:color="FFFFFF"/>
              <w:right w:val="single" w:sz="4" w:space="0" w:color="FFFFFF"/>
            </w:tcBorders>
            <w:shd w:val="clear" w:color="000000" w:fill="DDEBF7"/>
            <w:vAlign w:val="center"/>
            <w:hideMark/>
          </w:tcPr>
          <w:p w14:paraId="5FB5B63A" w14:textId="77777777" w:rsidR="00E34EAF" w:rsidRPr="00AF0232" w:rsidRDefault="00E34EAF" w:rsidP="008E7823">
            <w:pPr>
              <w:spacing w:after="0" w:line="240" w:lineRule="auto"/>
              <w:jc w:val="center"/>
              <w:rPr>
                <w:rFonts w:ascii="Arial" w:eastAsia="Times New Roman" w:hAnsi="Arial" w:cs="Arial"/>
                <w:color w:val="C00000"/>
                <w:sz w:val="17"/>
                <w:szCs w:val="17"/>
                <w:lang w:eastAsia="es-CO"/>
              </w:rPr>
            </w:pPr>
            <w:r w:rsidRPr="00AF0232">
              <w:rPr>
                <w:rFonts w:ascii="Arial" w:eastAsia="Times New Roman" w:hAnsi="Arial" w:cs="Arial"/>
                <w:color w:val="C00000"/>
                <w:sz w:val="17"/>
                <w:szCs w:val="17"/>
                <w:lang w:val="es-ES" w:eastAsia="es-CO"/>
              </w:rPr>
              <w:t>13.871</w:t>
            </w:r>
          </w:p>
        </w:tc>
        <w:tc>
          <w:tcPr>
            <w:tcW w:w="1134" w:type="dxa"/>
            <w:tcBorders>
              <w:top w:val="nil"/>
              <w:left w:val="nil"/>
              <w:bottom w:val="single" w:sz="4" w:space="0" w:color="FFFFFF"/>
              <w:right w:val="single" w:sz="4" w:space="0" w:color="FFFFFF"/>
            </w:tcBorders>
            <w:shd w:val="clear" w:color="000000" w:fill="DDEBF7"/>
            <w:vAlign w:val="center"/>
            <w:hideMark/>
          </w:tcPr>
          <w:p w14:paraId="591CB472" w14:textId="77777777" w:rsidR="00E34EAF" w:rsidRPr="00AF0232" w:rsidRDefault="00E34EAF" w:rsidP="008E7823">
            <w:pPr>
              <w:spacing w:after="0" w:line="240" w:lineRule="auto"/>
              <w:jc w:val="center"/>
              <w:rPr>
                <w:rFonts w:ascii="Arial" w:eastAsia="Times New Roman" w:hAnsi="Arial" w:cs="Arial"/>
                <w:color w:val="C00000"/>
                <w:sz w:val="17"/>
                <w:szCs w:val="17"/>
                <w:lang w:eastAsia="es-CO"/>
              </w:rPr>
            </w:pPr>
            <w:r w:rsidRPr="00AF0232">
              <w:rPr>
                <w:rFonts w:ascii="Arial" w:eastAsia="Times New Roman" w:hAnsi="Arial" w:cs="Arial"/>
                <w:color w:val="C00000"/>
                <w:sz w:val="17"/>
                <w:szCs w:val="17"/>
                <w:lang w:val="es-ES" w:eastAsia="es-CO"/>
              </w:rPr>
              <w:t>8.176</w:t>
            </w:r>
          </w:p>
        </w:tc>
        <w:tc>
          <w:tcPr>
            <w:tcW w:w="992" w:type="dxa"/>
            <w:tcBorders>
              <w:top w:val="nil"/>
              <w:left w:val="nil"/>
              <w:bottom w:val="single" w:sz="4" w:space="0" w:color="FFFFFF"/>
              <w:right w:val="single" w:sz="4" w:space="0" w:color="FFFFFF"/>
            </w:tcBorders>
            <w:shd w:val="clear" w:color="000000" w:fill="DDEBF7"/>
            <w:vAlign w:val="center"/>
            <w:hideMark/>
          </w:tcPr>
          <w:p w14:paraId="3D437067" w14:textId="77777777" w:rsidR="00E34EAF" w:rsidRPr="00AF0232" w:rsidRDefault="00E34EAF" w:rsidP="008E7823">
            <w:pPr>
              <w:spacing w:after="0" w:line="240" w:lineRule="auto"/>
              <w:jc w:val="center"/>
              <w:rPr>
                <w:rFonts w:ascii="Arial" w:eastAsia="Times New Roman" w:hAnsi="Arial" w:cs="Arial"/>
                <w:color w:val="C00000"/>
                <w:sz w:val="17"/>
                <w:szCs w:val="17"/>
                <w:lang w:eastAsia="es-CO"/>
              </w:rPr>
            </w:pPr>
            <w:r w:rsidRPr="00AF0232">
              <w:rPr>
                <w:rFonts w:ascii="Arial" w:eastAsia="Times New Roman" w:hAnsi="Arial" w:cs="Arial"/>
                <w:color w:val="C00000"/>
                <w:sz w:val="17"/>
                <w:szCs w:val="17"/>
                <w:lang w:val="es-ES" w:eastAsia="es-CO"/>
              </w:rPr>
              <w:t>6.028</w:t>
            </w:r>
          </w:p>
        </w:tc>
        <w:tc>
          <w:tcPr>
            <w:tcW w:w="1134" w:type="dxa"/>
            <w:tcBorders>
              <w:top w:val="nil"/>
              <w:left w:val="nil"/>
              <w:bottom w:val="single" w:sz="4" w:space="0" w:color="FFFFFF"/>
              <w:right w:val="single" w:sz="4" w:space="0" w:color="FFFFFF"/>
            </w:tcBorders>
            <w:shd w:val="clear" w:color="000000" w:fill="DDEBF7"/>
            <w:vAlign w:val="center"/>
            <w:hideMark/>
          </w:tcPr>
          <w:p w14:paraId="5F3BE3FA" w14:textId="77777777" w:rsidR="00E34EAF" w:rsidRPr="00AF0232" w:rsidRDefault="00E34EAF" w:rsidP="008E7823">
            <w:pPr>
              <w:spacing w:after="0" w:line="240" w:lineRule="auto"/>
              <w:jc w:val="center"/>
              <w:rPr>
                <w:rFonts w:ascii="Arial" w:eastAsia="Times New Roman" w:hAnsi="Arial" w:cs="Arial"/>
                <w:color w:val="C00000"/>
                <w:sz w:val="17"/>
                <w:szCs w:val="17"/>
                <w:lang w:eastAsia="es-CO"/>
              </w:rPr>
            </w:pPr>
            <w:r w:rsidRPr="00AF0232">
              <w:rPr>
                <w:rFonts w:ascii="Arial" w:eastAsia="Times New Roman" w:hAnsi="Arial" w:cs="Arial"/>
                <w:color w:val="C00000"/>
                <w:sz w:val="17"/>
                <w:szCs w:val="17"/>
                <w:lang w:val="es-ES" w:eastAsia="es-CO"/>
              </w:rPr>
              <w:t>4.339</w:t>
            </w:r>
          </w:p>
        </w:tc>
        <w:tc>
          <w:tcPr>
            <w:tcW w:w="992" w:type="dxa"/>
            <w:tcBorders>
              <w:top w:val="nil"/>
              <w:left w:val="nil"/>
              <w:bottom w:val="single" w:sz="4" w:space="0" w:color="FFFFFF"/>
              <w:right w:val="single" w:sz="4" w:space="0" w:color="FFFFFF"/>
            </w:tcBorders>
            <w:shd w:val="clear" w:color="000000" w:fill="DDEBF7"/>
            <w:vAlign w:val="center"/>
            <w:hideMark/>
          </w:tcPr>
          <w:p w14:paraId="17A5CF61" w14:textId="77777777" w:rsidR="00E34EAF" w:rsidRPr="00AF0232" w:rsidRDefault="00E34EAF" w:rsidP="008E7823">
            <w:pPr>
              <w:spacing w:after="0" w:line="240" w:lineRule="auto"/>
              <w:jc w:val="center"/>
              <w:rPr>
                <w:rFonts w:ascii="Arial" w:eastAsia="Times New Roman" w:hAnsi="Arial" w:cs="Arial"/>
                <w:color w:val="C00000"/>
                <w:sz w:val="17"/>
                <w:szCs w:val="17"/>
                <w:lang w:eastAsia="es-CO"/>
              </w:rPr>
            </w:pPr>
            <w:r w:rsidRPr="00AF0232">
              <w:rPr>
                <w:rFonts w:ascii="Arial" w:eastAsia="Times New Roman" w:hAnsi="Arial" w:cs="Arial"/>
                <w:color w:val="C00000"/>
                <w:sz w:val="17"/>
                <w:szCs w:val="17"/>
                <w:lang w:val="es-ES" w:eastAsia="es-CO"/>
              </w:rPr>
              <w:t>6.468</w:t>
            </w:r>
          </w:p>
        </w:tc>
        <w:tc>
          <w:tcPr>
            <w:tcW w:w="1276" w:type="dxa"/>
            <w:tcBorders>
              <w:top w:val="nil"/>
              <w:left w:val="nil"/>
              <w:bottom w:val="single" w:sz="4" w:space="0" w:color="FFFFFF"/>
              <w:right w:val="single" w:sz="4" w:space="0" w:color="FFFFFF"/>
            </w:tcBorders>
            <w:shd w:val="clear" w:color="000000" w:fill="DDEBF7"/>
            <w:vAlign w:val="center"/>
            <w:hideMark/>
          </w:tcPr>
          <w:p w14:paraId="4F1182BF" w14:textId="77777777" w:rsidR="00E34EAF" w:rsidRPr="00AF0232" w:rsidRDefault="00E34EAF" w:rsidP="008E7823">
            <w:pPr>
              <w:spacing w:after="0" w:line="240" w:lineRule="auto"/>
              <w:jc w:val="center"/>
              <w:rPr>
                <w:rFonts w:ascii="Arial" w:eastAsia="Times New Roman" w:hAnsi="Arial" w:cs="Arial"/>
                <w:color w:val="C00000"/>
                <w:sz w:val="17"/>
                <w:szCs w:val="17"/>
                <w:lang w:eastAsia="es-CO"/>
              </w:rPr>
            </w:pPr>
            <w:r w:rsidRPr="00AF0232">
              <w:rPr>
                <w:rFonts w:ascii="Arial" w:eastAsia="Times New Roman" w:hAnsi="Arial" w:cs="Arial"/>
                <w:color w:val="C00000"/>
                <w:sz w:val="17"/>
                <w:szCs w:val="17"/>
                <w:lang w:val="es-ES" w:eastAsia="es-CO"/>
              </w:rPr>
              <w:t>2.369</w:t>
            </w:r>
          </w:p>
        </w:tc>
        <w:tc>
          <w:tcPr>
            <w:tcW w:w="1134" w:type="dxa"/>
            <w:tcBorders>
              <w:top w:val="nil"/>
              <w:left w:val="nil"/>
              <w:bottom w:val="single" w:sz="4" w:space="0" w:color="FFFFFF"/>
              <w:right w:val="single" w:sz="4" w:space="0" w:color="FFFFFF"/>
            </w:tcBorders>
            <w:shd w:val="clear" w:color="000000" w:fill="DDEBF7"/>
            <w:vAlign w:val="center"/>
            <w:hideMark/>
          </w:tcPr>
          <w:p w14:paraId="6DD1B04D" w14:textId="77777777" w:rsidR="00E34EAF" w:rsidRPr="00AF0232" w:rsidRDefault="00E34EAF" w:rsidP="008E7823">
            <w:pPr>
              <w:spacing w:after="0" w:line="240" w:lineRule="auto"/>
              <w:jc w:val="center"/>
              <w:rPr>
                <w:rFonts w:ascii="Arial" w:eastAsia="Times New Roman" w:hAnsi="Arial" w:cs="Arial"/>
                <w:color w:val="C00000"/>
                <w:sz w:val="17"/>
                <w:szCs w:val="17"/>
                <w:lang w:eastAsia="es-CO"/>
              </w:rPr>
            </w:pPr>
            <w:r w:rsidRPr="00AF0232">
              <w:rPr>
                <w:rFonts w:ascii="Arial" w:eastAsia="Times New Roman" w:hAnsi="Arial" w:cs="Arial"/>
                <w:color w:val="C00000"/>
                <w:sz w:val="17"/>
                <w:szCs w:val="17"/>
                <w:lang w:val="es-ES" w:eastAsia="es-CO"/>
              </w:rPr>
              <w:t>41.251</w:t>
            </w:r>
          </w:p>
        </w:tc>
      </w:tr>
      <w:tr w:rsidR="00E34EAF" w:rsidRPr="00AF0232" w14:paraId="6AE9B27E" w14:textId="77777777" w:rsidTr="008E7823">
        <w:trPr>
          <w:trHeight w:val="480"/>
        </w:trPr>
        <w:tc>
          <w:tcPr>
            <w:tcW w:w="1555" w:type="dxa"/>
            <w:tcBorders>
              <w:top w:val="nil"/>
              <w:left w:val="single" w:sz="4" w:space="0" w:color="FFFFFF"/>
              <w:bottom w:val="single" w:sz="4" w:space="0" w:color="FFFFFF"/>
              <w:right w:val="single" w:sz="4" w:space="0" w:color="FFFFFF"/>
            </w:tcBorders>
            <w:shd w:val="clear" w:color="000000" w:fill="DDEBF7"/>
            <w:vAlign w:val="center"/>
            <w:hideMark/>
          </w:tcPr>
          <w:p w14:paraId="6E57F5C0" w14:textId="77777777" w:rsidR="00E34EAF" w:rsidRPr="00AF0232" w:rsidRDefault="00E34EAF" w:rsidP="008E7823">
            <w:pPr>
              <w:spacing w:after="0" w:line="240" w:lineRule="auto"/>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Índice de hacinamiento</w:t>
            </w:r>
          </w:p>
        </w:tc>
        <w:tc>
          <w:tcPr>
            <w:tcW w:w="1134" w:type="dxa"/>
            <w:tcBorders>
              <w:top w:val="nil"/>
              <w:left w:val="nil"/>
              <w:bottom w:val="single" w:sz="4" w:space="0" w:color="FFFFFF"/>
              <w:right w:val="single" w:sz="4" w:space="0" w:color="FFFFFF"/>
            </w:tcBorders>
            <w:shd w:val="clear" w:color="000000" w:fill="DDEBF7"/>
            <w:vAlign w:val="center"/>
            <w:hideMark/>
          </w:tcPr>
          <w:p w14:paraId="3F7BB3B2" w14:textId="77777777" w:rsidR="00E34EAF" w:rsidRPr="00AF0232" w:rsidRDefault="00E34EAF" w:rsidP="008E7823">
            <w:pPr>
              <w:spacing w:after="0" w:line="240" w:lineRule="auto"/>
              <w:jc w:val="center"/>
              <w:rPr>
                <w:rFonts w:ascii="Arial" w:eastAsia="Times New Roman" w:hAnsi="Arial" w:cs="Arial"/>
                <w:b/>
                <w:bCs/>
                <w:color w:val="C00000"/>
                <w:sz w:val="17"/>
                <w:szCs w:val="17"/>
                <w:lang w:eastAsia="es-CO"/>
              </w:rPr>
            </w:pPr>
            <w:r w:rsidRPr="00AF0232">
              <w:rPr>
                <w:rFonts w:ascii="Arial" w:eastAsia="Times New Roman" w:hAnsi="Arial" w:cs="Arial"/>
                <w:b/>
                <w:bCs/>
                <w:color w:val="C00000"/>
                <w:sz w:val="17"/>
                <w:szCs w:val="17"/>
                <w:lang w:val="es-ES" w:eastAsia="es-CO"/>
              </w:rPr>
              <w:t>45,8%</w:t>
            </w:r>
          </w:p>
        </w:tc>
        <w:tc>
          <w:tcPr>
            <w:tcW w:w="1134" w:type="dxa"/>
            <w:tcBorders>
              <w:top w:val="nil"/>
              <w:left w:val="nil"/>
              <w:bottom w:val="single" w:sz="4" w:space="0" w:color="FFFFFF"/>
              <w:right w:val="single" w:sz="4" w:space="0" w:color="FFFFFF"/>
            </w:tcBorders>
            <w:shd w:val="clear" w:color="000000" w:fill="DDEBF7"/>
            <w:vAlign w:val="center"/>
            <w:hideMark/>
          </w:tcPr>
          <w:p w14:paraId="07A991B4" w14:textId="77777777" w:rsidR="00E34EAF" w:rsidRPr="00AF0232" w:rsidRDefault="00E34EAF" w:rsidP="008E7823">
            <w:pPr>
              <w:spacing w:after="0" w:line="240" w:lineRule="auto"/>
              <w:jc w:val="center"/>
              <w:rPr>
                <w:rFonts w:ascii="Arial" w:eastAsia="Times New Roman" w:hAnsi="Arial" w:cs="Arial"/>
                <w:b/>
                <w:bCs/>
                <w:color w:val="C00000"/>
                <w:sz w:val="17"/>
                <w:szCs w:val="17"/>
                <w:lang w:eastAsia="es-CO"/>
              </w:rPr>
            </w:pPr>
            <w:r w:rsidRPr="00AF0232">
              <w:rPr>
                <w:rFonts w:ascii="Arial" w:eastAsia="Times New Roman" w:hAnsi="Arial" w:cs="Arial"/>
                <w:b/>
                <w:bCs/>
                <w:color w:val="C00000"/>
                <w:sz w:val="17"/>
                <w:szCs w:val="17"/>
                <w:lang w:val="es-ES" w:eastAsia="es-CO"/>
              </w:rPr>
              <w:t>54,2%</w:t>
            </w:r>
          </w:p>
        </w:tc>
        <w:tc>
          <w:tcPr>
            <w:tcW w:w="992" w:type="dxa"/>
            <w:tcBorders>
              <w:top w:val="nil"/>
              <w:left w:val="nil"/>
              <w:bottom w:val="single" w:sz="4" w:space="0" w:color="FFFFFF"/>
              <w:right w:val="single" w:sz="4" w:space="0" w:color="FFFFFF"/>
            </w:tcBorders>
            <w:shd w:val="clear" w:color="000000" w:fill="DDEBF7"/>
            <w:vAlign w:val="center"/>
            <w:hideMark/>
          </w:tcPr>
          <w:p w14:paraId="0F47584C" w14:textId="77777777" w:rsidR="00E34EAF" w:rsidRPr="00AF0232" w:rsidRDefault="00E34EAF" w:rsidP="008E7823">
            <w:pPr>
              <w:spacing w:after="0" w:line="240" w:lineRule="auto"/>
              <w:jc w:val="center"/>
              <w:rPr>
                <w:rFonts w:ascii="Arial" w:eastAsia="Times New Roman" w:hAnsi="Arial" w:cs="Arial"/>
                <w:b/>
                <w:bCs/>
                <w:color w:val="C00000"/>
                <w:sz w:val="17"/>
                <w:szCs w:val="17"/>
                <w:lang w:eastAsia="es-CO"/>
              </w:rPr>
            </w:pPr>
            <w:r w:rsidRPr="00AF0232">
              <w:rPr>
                <w:rFonts w:ascii="Arial" w:eastAsia="Times New Roman" w:hAnsi="Arial" w:cs="Arial"/>
                <w:b/>
                <w:bCs/>
                <w:color w:val="C00000"/>
                <w:sz w:val="17"/>
                <w:szCs w:val="17"/>
                <w:lang w:val="es-ES" w:eastAsia="es-CO"/>
              </w:rPr>
              <w:t>77,8%</w:t>
            </w:r>
          </w:p>
        </w:tc>
        <w:tc>
          <w:tcPr>
            <w:tcW w:w="1134" w:type="dxa"/>
            <w:tcBorders>
              <w:top w:val="nil"/>
              <w:left w:val="nil"/>
              <w:bottom w:val="single" w:sz="4" w:space="0" w:color="FFFFFF"/>
              <w:right w:val="single" w:sz="4" w:space="0" w:color="FFFFFF"/>
            </w:tcBorders>
            <w:shd w:val="clear" w:color="000000" w:fill="DDEBF7"/>
            <w:vAlign w:val="center"/>
            <w:hideMark/>
          </w:tcPr>
          <w:p w14:paraId="3F130E09" w14:textId="77777777" w:rsidR="00E34EAF" w:rsidRPr="00AF0232" w:rsidRDefault="00E34EAF" w:rsidP="008E7823">
            <w:pPr>
              <w:spacing w:after="0" w:line="240" w:lineRule="auto"/>
              <w:jc w:val="center"/>
              <w:rPr>
                <w:rFonts w:ascii="Arial" w:eastAsia="Times New Roman" w:hAnsi="Arial" w:cs="Arial"/>
                <w:b/>
                <w:bCs/>
                <w:color w:val="C00000"/>
                <w:sz w:val="17"/>
                <w:szCs w:val="17"/>
                <w:lang w:eastAsia="es-CO"/>
              </w:rPr>
            </w:pPr>
            <w:r w:rsidRPr="00AF0232">
              <w:rPr>
                <w:rFonts w:ascii="Arial" w:eastAsia="Times New Roman" w:hAnsi="Arial" w:cs="Arial"/>
                <w:b/>
                <w:bCs/>
                <w:color w:val="C00000"/>
                <w:sz w:val="17"/>
                <w:szCs w:val="17"/>
                <w:lang w:val="es-ES" w:eastAsia="es-CO"/>
              </w:rPr>
              <w:t>55,1%</w:t>
            </w:r>
          </w:p>
        </w:tc>
        <w:tc>
          <w:tcPr>
            <w:tcW w:w="992" w:type="dxa"/>
            <w:tcBorders>
              <w:top w:val="nil"/>
              <w:left w:val="nil"/>
              <w:bottom w:val="single" w:sz="4" w:space="0" w:color="FFFFFF"/>
              <w:right w:val="single" w:sz="4" w:space="0" w:color="FFFFFF"/>
            </w:tcBorders>
            <w:shd w:val="clear" w:color="000000" w:fill="DDEBF7"/>
            <w:vAlign w:val="center"/>
            <w:hideMark/>
          </w:tcPr>
          <w:p w14:paraId="590E5279" w14:textId="77777777" w:rsidR="00E34EAF" w:rsidRPr="00AF0232" w:rsidRDefault="00E34EAF" w:rsidP="008E7823">
            <w:pPr>
              <w:spacing w:after="0" w:line="240" w:lineRule="auto"/>
              <w:jc w:val="center"/>
              <w:rPr>
                <w:rFonts w:ascii="Arial" w:eastAsia="Times New Roman" w:hAnsi="Arial" w:cs="Arial"/>
                <w:b/>
                <w:bCs/>
                <w:color w:val="C00000"/>
                <w:sz w:val="17"/>
                <w:szCs w:val="17"/>
                <w:lang w:eastAsia="es-CO"/>
              </w:rPr>
            </w:pPr>
            <w:r w:rsidRPr="00AF0232">
              <w:rPr>
                <w:rFonts w:ascii="Arial" w:eastAsia="Times New Roman" w:hAnsi="Arial" w:cs="Arial"/>
                <w:b/>
                <w:bCs/>
                <w:color w:val="C00000"/>
                <w:sz w:val="17"/>
                <w:szCs w:val="17"/>
                <w:lang w:val="es-ES" w:eastAsia="es-CO"/>
              </w:rPr>
              <w:t>80,8%</w:t>
            </w:r>
          </w:p>
        </w:tc>
        <w:tc>
          <w:tcPr>
            <w:tcW w:w="1276" w:type="dxa"/>
            <w:tcBorders>
              <w:top w:val="nil"/>
              <w:left w:val="nil"/>
              <w:bottom w:val="single" w:sz="4" w:space="0" w:color="FFFFFF"/>
              <w:right w:val="single" w:sz="4" w:space="0" w:color="FFFFFF"/>
            </w:tcBorders>
            <w:shd w:val="clear" w:color="000000" w:fill="DDEBF7"/>
            <w:vAlign w:val="center"/>
            <w:hideMark/>
          </w:tcPr>
          <w:p w14:paraId="157ED8AE" w14:textId="77777777" w:rsidR="00E34EAF" w:rsidRPr="00AF0232" w:rsidRDefault="00E34EAF" w:rsidP="008E7823">
            <w:pPr>
              <w:spacing w:after="0" w:line="240" w:lineRule="auto"/>
              <w:jc w:val="center"/>
              <w:rPr>
                <w:rFonts w:ascii="Arial" w:eastAsia="Times New Roman" w:hAnsi="Arial" w:cs="Arial"/>
                <w:b/>
                <w:bCs/>
                <w:color w:val="C00000"/>
                <w:sz w:val="17"/>
                <w:szCs w:val="17"/>
                <w:lang w:eastAsia="es-CO"/>
              </w:rPr>
            </w:pPr>
            <w:r w:rsidRPr="00AF0232">
              <w:rPr>
                <w:rFonts w:ascii="Arial" w:eastAsia="Times New Roman" w:hAnsi="Arial" w:cs="Arial"/>
                <w:b/>
                <w:bCs/>
                <w:color w:val="C00000"/>
                <w:sz w:val="17"/>
                <w:szCs w:val="17"/>
                <w:lang w:val="es-ES" w:eastAsia="es-CO"/>
              </w:rPr>
              <w:t>21,1%</w:t>
            </w:r>
          </w:p>
        </w:tc>
        <w:tc>
          <w:tcPr>
            <w:tcW w:w="1134" w:type="dxa"/>
            <w:tcBorders>
              <w:top w:val="nil"/>
              <w:left w:val="nil"/>
              <w:bottom w:val="single" w:sz="4" w:space="0" w:color="FFFFFF"/>
              <w:right w:val="single" w:sz="4" w:space="0" w:color="FFFFFF"/>
            </w:tcBorders>
            <w:shd w:val="clear" w:color="000000" w:fill="DDEBF7"/>
            <w:vAlign w:val="center"/>
            <w:hideMark/>
          </w:tcPr>
          <w:p w14:paraId="3E4B5431" w14:textId="77777777" w:rsidR="00E34EAF" w:rsidRPr="00AF0232" w:rsidRDefault="00E34EAF" w:rsidP="008E7823">
            <w:pPr>
              <w:spacing w:after="0" w:line="240" w:lineRule="auto"/>
              <w:jc w:val="center"/>
              <w:rPr>
                <w:rFonts w:ascii="Arial" w:eastAsia="Times New Roman" w:hAnsi="Arial" w:cs="Arial"/>
                <w:b/>
                <w:bCs/>
                <w:color w:val="C00000"/>
                <w:sz w:val="17"/>
                <w:szCs w:val="17"/>
                <w:lang w:eastAsia="es-CO"/>
              </w:rPr>
            </w:pPr>
            <w:r w:rsidRPr="00AF0232">
              <w:rPr>
                <w:rFonts w:ascii="Arial" w:eastAsia="Times New Roman" w:hAnsi="Arial" w:cs="Arial"/>
                <w:b/>
                <w:bCs/>
                <w:color w:val="C00000"/>
                <w:sz w:val="17"/>
                <w:szCs w:val="17"/>
                <w:lang w:val="es-ES" w:eastAsia="es-CO"/>
              </w:rPr>
              <w:t>51,4%</w:t>
            </w:r>
          </w:p>
        </w:tc>
      </w:tr>
    </w:tbl>
    <w:p w14:paraId="22716BAF" w14:textId="77777777" w:rsidR="00E34EAF" w:rsidRPr="005A1DA2" w:rsidRDefault="00E34EAF" w:rsidP="00E34EAF">
      <w:pPr>
        <w:spacing w:before="4"/>
        <w:jc w:val="both"/>
      </w:pPr>
      <w:r>
        <w:rPr>
          <w:rFonts w:ascii="Arial" w:hAnsi="Arial" w:cs="Arial"/>
          <w:sz w:val="24"/>
          <w:szCs w:val="24"/>
        </w:rPr>
        <w:fldChar w:fldCharType="end"/>
      </w:r>
      <w:r w:rsidRPr="00A77453">
        <w:rPr>
          <w:b/>
          <w:sz w:val="14"/>
        </w:rPr>
        <w:t xml:space="preserve"> </w:t>
      </w:r>
      <w:r w:rsidRPr="00A77453">
        <w:rPr>
          <w:b/>
        </w:rPr>
        <w:t>Fuente:</w:t>
      </w:r>
      <w:r w:rsidRPr="00A77453">
        <w:t xml:space="preserve"> GEDIP – Mayo 2019.</w:t>
      </w:r>
      <w:r>
        <w:rPr>
          <w:rStyle w:val="Refdenotaalpie"/>
        </w:rPr>
        <w:footnoteReference w:id="7"/>
      </w:r>
    </w:p>
    <w:p w14:paraId="743CDF3B" w14:textId="77777777" w:rsidR="00E34EAF" w:rsidRDefault="00E34EAF" w:rsidP="00E34EAF">
      <w:pPr>
        <w:tabs>
          <w:tab w:val="left" w:pos="2127"/>
        </w:tabs>
        <w:spacing w:after="0" w:line="240" w:lineRule="auto"/>
        <w:jc w:val="both"/>
        <w:rPr>
          <w:rFonts w:ascii="Arial" w:hAnsi="Arial" w:cs="Arial"/>
          <w:sz w:val="24"/>
          <w:szCs w:val="24"/>
        </w:rPr>
      </w:pPr>
      <w:r>
        <w:rPr>
          <w:rFonts w:ascii="Arial" w:hAnsi="Arial" w:cs="Arial"/>
          <w:sz w:val="24"/>
          <w:szCs w:val="24"/>
        </w:rPr>
        <w:t xml:space="preserve">Tomando como referencia con un artículo de la revista Isocuanta de la Universidad Santo Tomás, se establece que: </w:t>
      </w:r>
    </w:p>
    <w:p w14:paraId="5E4CBF49" w14:textId="77777777" w:rsidR="00E34EAF" w:rsidRDefault="00E34EAF" w:rsidP="00E34EAF">
      <w:pPr>
        <w:tabs>
          <w:tab w:val="left" w:pos="2127"/>
        </w:tabs>
        <w:spacing w:after="0" w:line="240" w:lineRule="auto"/>
        <w:jc w:val="both"/>
        <w:rPr>
          <w:rFonts w:ascii="Arial" w:hAnsi="Arial" w:cs="Arial"/>
          <w:sz w:val="24"/>
          <w:szCs w:val="24"/>
        </w:rPr>
      </w:pPr>
    </w:p>
    <w:p w14:paraId="4153403E" w14:textId="77777777" w:rsidR="00E34EAF" w:rsidRPr="000E2F09" w:rsidRDefault="00E34EAF" w:rsidP="00E34EAF">
      <w:pPr>
        <w:autoSpaceDE w:val="0"/>
        <w:autoSpaceDN w:val="0"/>
        <w:adjustRightInd w:val="0"/>
        <w:spacing w:after="0" w:line="240" w:lineRule="auto"/>
        <w:ind w:left="360"/>
        <w:jc w:val="both"/>
        <w:rPr>
          <w:rFonts w:ascii="Arial" w:hAnsi="Arial" w:cs="Arial"/>
          <w:i/>
          <w:color w:val="000000"/>
          <w:szCs w:val="24"/>
        </w:rPr>
      </w:pPr>
      <w:r w:rsidRPr="000E2F09">
        <w:rPr>
          <w:rFonts w:ascii="Arial" w:hAnsi="Arial" w:cs="Arial"/>
          <w:i/>
          <w:color w:val="000000"/>
          <w:szCs w:val="24"/>
        </w:rPr>
        <w:t>“Las causas del hacinamiento del sistema carcelario en Colombia son varias, entre estas se encuentran principalmente: el establecimiento de penas a delitos menores, contenidas en el código penal; la deficiente infraestructura carcelaria; la reincidencia criminal; la necesidad de algunos beneficios, por ejemplo, aunque precaria, la atención médica; una nueva causa de la que por lo menos hasta ahora tenemos información: las ordenes de libertad de los presos no le son comunicadas al INPEC.</w:t>
      </w:r>
    </w:p>
    <w:p w14:paraId="31D45381" w14:textId="77777777" w:rsidR="00E34EAF" w:rsidRPr="000E2F09" w:rsidRDefault="00E34EAF" w:rsidP="00E34EAF">
      <w:pPr>
        <w:autoSpaceDE w:val="0"/>
        <w:autoSpaceDN w:val="0"/>
        <w:adjustRightInd w:val="0"/>
        <w:spacing w:after="0" w:line="240" w:lineRule="auto"/>
        <w:ind w:left="360"/>
        <w:jc w:val="both"/>
        <w:rPr>
          <w:rFonts w:ascii="Arial" w:hAnsi="Arial" w:cs="Arial"/>
          <w:i/>
          <w:color w:val="000000"/>
          <w:szCs w:val="24"/>
        </w:rPr>
      </w:pPr>
    </w:p>
    <w:p w14:paraId="3994528E" w14:textId="77777777" w:rsidR="00E34EAF" w:rsidRPr="0049614B" w:rsidRDefault="00E34EAF" w:rsidP="00E34EAF">
      <w:pPr>
        <w:autoSpaceDE w:val="0"/>
        <w:autoSpaceDN w:val="0"/>
        <w:adjustRightInd w:val="0"/>
        <w:spacing w:after="0" w:line="240" w:lineRule="auto"/>
        <w:ind w:left="360"/>
        <w:jc w:val="both"/>
        <w:rPr>
          <w:rFonts w:ascii="Arial" w:hAnsi="Arial" w:cs="Arial"/>
          <w:i/>
          <w:color w:val="000000"/>
          <w:szCs w:val="24"/>
        </w:rPr>
      </w:pPr>
      <w:r w:rsidRPr="000E2F09">
        <w:rPr>
          <w:rFonts w:ascii="Arial" w:hAnsi="Arial" w:cs="Arial"/>
          <w:i/>
          <w:color w:val="000000"/>
          <w:szCs w:val="24"/>
        </w:rPr>
        <w:t>El establecimiento de penas de privación de la libertad a delitos menores, es una de las principales razones del hacinamiento. Castigar todos los delitos con la prisión, en teoría era la solución para prevenirlo, sin embargo se ha convertido en el cuello de botella del sistema, cada día se cometen más delitos y estos son castigados con la privación de la libertad.</w:t>
      </w:r>
      <w:r>
        <w:rPr>
          <w:rStyle w:val="Refdenotaalpie"/>
          <w:rFonts w:ascii="Arial" w:hAnsi="Arial" w:cs="Arial"/>
          <w:i/>
          <w:color w:val="000000"/>
          <w:szCs w:val="24"/>
        </w:rPr>
        <w:footnoteReference w:id="8"/>
      </w:r>
      <w:r>
        <w:rPr>
          <w:rFonts w:ascii="Arial" w:hAnsi="Arial" w:cs="Arial"/>
          <w:i/>
          <w:color w:val="000000"/>
          <w:szCs w:val="24"/>
        </w:rPr>
        <w:t>”</w:t>
      </w:r>
    </w:p>
    <w:p w14:paraId="0A2FF17F" w14:textId="77777777" w:rsidR="00E34EAF" w:rsidRDefault="00E34EAF" w:rsidP="00E34EAF">
      <w:pPr>
        <w:tabs>
          <w:tab w:val="left" w:pos="2127"/>
        </w:tabs>
        <w:spacing w:after="0" w:line="240" w:lineRule="auto"/>
        <w:jc w:val="both"/>
        <w:rPr>
          <w:rFonts w:ascii="Arial" w:hAnsi="Arial" w:cs="Arial"/>
          <w:sz w:val="24"/>
          <w:szCs w:val="24"/>
        </w:rPr>
      </w:pPr>
    </w:p>
    <w:p w14:paraId="6C505BCB" w14:textId="77777777" w:rsidR="00E34EAF" w:rsidRDefault="00E34EAF" w:rsidP="00E34EAF">
      <w:pPr>
        <w:tabs>
          <w:tab w:val="left" w:pos="2127"/>
        </w:tabs>
        <w:spacing w:after="0" w:line="240" w:lineRule="auto"/>
        <w:jc w:val="both"/>
        <w:rPr>
          <w:rFonts w:ascii="Arial" w:hAnsi="Arial" w:cs="Arial"/>
          <w:sz w:val="24"/>
          <w:szCs w:val="24"/>
        </w:rPr>
      </w:pPr>
      <w:r w:rsidRPr="00CC5F24">
        <w:rPr>
          <w:rFonts w:ascii="Arial" w:hAnsi="Arial" w:cs="Arial"/>
          <w:sz w:val="24"/>
          <w:szCs w:val="24"/>
        </w:rPr>
        <w:t>A grandes rasgos el hacinamiento carcelario se presenta por dos causas: en primer lugar,  los 132 establecimientos carcelarios a nivel nacional no son suficientes para cerca del 51% por ciento de los reclusos</w:t>
      </w:r>
      <w:r>
        <w:rPr>
          <w:rFonts w:ascii="Arial" w:hAnsi="Arial" w:cs="Arial"/>
          <w:sz w:val="24"/>
          <w:szCs w:val="24"/>
        </w:rPr>
        <w:t xml:space="preserve">. En segundo lugar, con el estatuto anticorrupción y las nuevas normas de seguridad ciudadana se puede </w:t>
      </w:r>
      <w:r>
        <w:rPr>
          <w:rFonts w:ascii="Arial" w:hAnsi="Arial" w:cs="Arial"/>
          <w:sz w:val="24"/>
          <w:szCs w:val="24"/>
        </w:rPr>
        <w:lastRenderedPageBreak/>
        <w:t>generar un posible aumento del número de reclusos, lo cual trae consigo el aumento de costos por parte del Gobierno Nacional.</w:t>
      </w:r>
    </w:p>
    <w:p w14:paraId="2E364251" w14:textId="77777777" w:rsidR="00E34EAF" w:rsidRDefault="00E34EAF" w:rsidP="00E34EAF">
      <w:pPr>
        <w:tabs>
          <w:tab w:val="left" w:pos="2127"/>
        </w:tabs>
        <w:spacing w:after="0" w:line="240" w:lineRule="auto"/>
        <w:jc w:val="both"/>
        <w:rPr>
          <w:rFonts w:ascii="Arial" w:hAnsi="Arial" w:cs="Arial"/>
          <w:sz w:val="24"/>
          <w:szCs w:val="24"/>
        </w:rPr>
      </w:pPr>
    </w:p>
    <w:p w14:paraId="729AF41D" w14:textId="6F01E086" w:rsidR="00E34EAF" w:rsidRDefault="00E34EAF" w:rsidP="00E34EAF">
      <w:pPr>
        <w:tabs>
          <w:tab w:val="left" w:pos="2127"/>
        </w:tabs>
        <w:spacing w:after="0" w:line="240" w:lineRule="auto"/>
        <w:jc w:val="both"/>
        <w:rPr>
          <w:rFonts w:ascii="Arial" w:hAnsi="Arial" w:cs="Arial"/>
          <w:sz w:val="24"/>
          <w:szCs w:val="24"/>
        </w:rPr>
      </w:pPr>
      <w:r w:rsidRPr="00CC5F24">
        <w:rPr>
          <w:rFonts w:ascii="Arial" w:hAnsi="Arial" w:cs="Arial"/>
          <w:sz w:val="24"/>
          <w:szCs w:val="24"/>
        </w:rPr>
        <w:t>Con respecto la dirección de infraestructura de la Unidad de Servicios Penitenciarios y Carcelarios – USPEC</w:t>
      </w:r>
      <w:r w:rsidR="00557039">
        <w:rPr>
          <w:rFonts w:ascii="Arial" w:hAnsi="Arial" w:cs="Arial"/>
          <w:sz w:val="24"/>
          <w:szCs w:val="24"/>
        </w:rPr>
        <w:t>-</w:t>
      </w:r>
      <w:r w:rsidRPr="00CC5F24">
        <w:rPr>
          <w:rFonts w:ascii="Arial" w:hAnsi="Arial" w:cs="Arial"/>
          <w:sz w:val="24"/>
          <w:szCs w:val="24"/>
        </w:rPr>
        <w:t>, toma como referente el valor promedio de construcción de</w:t>
      </w:r>
      <w:r>
        <w:rPr>
          <w:rFonts w:ascii="Arial" w:hAnsi="Arial" w:cs="Arial"/>
          <w:sz w:val="24"/>
          <w:szCs w:val="24"/>
        </w:rPr>
        <w:t xml:space="preserve"> cada cupo carcelario por </w:t>
      </w:r>
      <w:r>
        <w:rPr>
          <w:rFonts w:ascii="Arial" w:hAnsi="Arial" w:cs="Arial"/>
          <w:b/>
          <w:sz w:val="24"/>
          <w:szCs w:val="24"/>
        </w:rPr>
        <w:t>120 millones de pesos,</w:t>
      </w:r>
      <w:r>
        <w:rPr>
          <w:rFonts w:ascii="Arial" w:hAnsi="Arial" w:cs="Arial"/>
          <w:sz w:val="24"/>
          <w:szCs w:val="24"/>
        </w:rPr>
        <w:t xml:space="preserve"> resultado del análisis de los costos de las obras ejecutadas la USPEC en los últimos 5 años. </w:t>
      </w:r>
    </w:p>
    <w:p w14:paraId="3D9402CF" w14:textId="77777777" w:rsidR="00E34EAF" w:rsidRDefault="00E34EAF" w:rsidP="00E34EAF">
      <w:pPr>
        <w:tabs>
          <w:tab w:val="left" w:pos="2127"/>
        </w:tabs>
        <w:spacing w:after="0" w:line="240" w:lineRule="auto"/>
        <w:jc w:val="both"/>
        <w:rPr>
          <w:rFonts w:ascii="Arial" w:hAnsi="Arial" w:cs="Arial"/>
          <w:sz w:val="24"/>
          <w:szCs w:val="24"/>
        </w:rPr>
      </w:pPr>
    </w:p>
    <w:p w14:paraId="723C85DB" w14:textId="77777777" w:rsidR="00E34EAF" w:rsidRPr="00312D29" w:rsidRDefault="00E34EAF" w:rsidP="00E34EAF">
      <w:pPr>
        <w:tabs>
          <w:tab w:val="left" w:pos="2127"/>
        </w:tabs>
        <w:spacing w:after="0" w:line="240" w:lineRule="auto"/>
        <w:jc w:val="center"/>
        <w:rPr>
          <w:rFonts w:ascii="Arial" w:hAnsi="Arial" w:cs="Arial"/>
          <w:b/>
          <w:szCs w:val="24"/>
        </w:rPr>
      </w:pPr>
      <w:r>
        <w:rPr>
          <w:rFonts w:ascii="Arial" w:hAnsi="Arial" w:cs="Arial"/>
          <w:b/>
          <w:szCs w:val="24"/>
        </w:rPr>
        <w:t xml:space="preserve">Tabla 3. </w:t>
      </w:r>
      <w:r w:rsidRPr="00312D29">
        <w:rPr>
          <w:rFonts w:ascii="Arial" w:hAnsi="Arial" w:cs="Arial"/>
          <w:b/>
          <w:szCs w:val="24"/>
        </w:rPr>
        <w:t>Costo promedio construcción cupo carcelario</w:t>
      </w:r>
    </w:p>
    <w:p w14:paraId="16E8076A" w14:textId="77777777" w:rsidR="00E34EAF" w:rsidRDefault="00E34EAF" w:rsidP="00E34EAF">
      <w:pPr>
        <w:tabs>
          <w:tab w:val="left" w:pos="2127"/>
        </w:tabs>
        <w:spacing w:after="0" w:line="240" w:lineRule="auto"/>
        <w:jc w:val="both"/>
      </w:pPr>
      <w:r>
        <w:fldChar w:fldCharType="begin"/>
      </w:r>
      <w:r>
        <w:instrText xml:space="preserve"> LINK Excel.Sheet.12 "C:\\Users\\jesus.lorduy\\Desktop\\JENN\\cifras inpec.xlsx" "Hoja1!F30C2:F36C5" \a \f 4 \h </w:instrText>
      </w:r>
      <w:r>
        <w:fldChar w:fldCharType="separate"/>
      </w:r>
    </w:p>
    <w:tbl>
      <w:tblPr>
        <w:tblW w:w="5760" w:type="dxa"/>
        <w:jc w:val="center"/>
        <w:tblCellMar>
          <w:left w:w="70" w:type="dxa"/>
          <w:right w:w="70" w:type="dxa"/>
        </w:tblCellMar>
        <w:tblLook w:val="04A0" w:firstRow="1" w:lastRow="0" w:firstColumn="1" w:lastColumn="0" w:noHBand="0" w:noVBand="1"/>
      </w:tblPr>
      <w:tblGrid>
        <w:gridCol w:w="1200"/>
        <w:gridCol w:w="1780"/>
        <w:gridCol w:w="1360"/>
        <w:gridCol w:w="1420"/>
      </w:tblGrid>
      <w:tr w:rsidR="00E34EAF" w:rsidRPr="00312D29" w14:paraId="02C9A16C" w14:textId="77777777" w:rsidTr="008E7823">
        <w:trPr>
          <w:trHeight w:val="375"/>
          <w:jc w:val="center"/>
        </w:trPr>
        <w:tc>
          <w:tcPr>
            <w:tcW w:w="1200" w:type="dxa"/>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5E7133DD" w14:textId="77777777" w:rsidR="00E34EAF" w:rsidRPr="00312D29" w:rsidRDefault="00E34EAF" w:rsidP="008E7823">
            <w:pPr>
              <w:spacing w:after="0" w:line="240" w:lineRule="auto"/>
              <w:jc w:val="center"/>
              <w:rPr>
                <w:rFonts w:ascii="Arial" w:eastAsia="Times New Roman" w:hAnsi="Arial" w:cs="Arial"/>
                <w:b/>
                <w:bCs/>
                <w:color w:val="FFFFFF"/>
                <w:sz w:val="16"/>
                <w:szCs w:val="16"/>
                <w:lang w:eastAsia="es-CO"/>
              </w:rPr>
            </w:pPr>
            <w:r w:rsidRPr="00312D29">
              <w:rPr>
                <w:rFonts w:ascii="Arial" w:eastAsia="Times New Roman" w:hAnsi="Arial" w:cs="Arial"/>
                <w:b/>
                <w:bCs/>
                <w:color w:val="FFFFFF"/>
                <w:sz w:val="16"/>
                <w:szCs w:val="16"/>
                <w:lang w:eastAsia="es-CO"/>
              </w:rPr>
              <w:t xml:space="preserve">Proyecto </w:t>
            </w:r>
          </w:p>
        </w:tc>
        <w:tc>
          <w:tcPr>
            <w:tcW w:w="1780" w:type="dxa"/>
            <w:tcBorders>
              <w:top w:val="single" w:sz="4" w:space="0" w:color="FFFFFF"/>
              <w:left w:val="nil"/>
              <w:bottom w:val="single" w:sz="4" w:space="0" w:color="FFFFFF"/>
              <w:right w:val="single" w:sz="4" w:space="0" w:color="FFFFFF"/>
            </w:tcBorders>
            <w:shd w:val="clear" w:color="000000" w:fill="00486C"/>
            <w:vAlign w:val="center"/>
            <w:hideMark/>
          </w:tcPr>
          <w:p w14:paraId="37DF94A1" w14:textId="77777777" w:rsidR="00E34EAF" w:rsidRPr="00312D29" w:rsidRDefault="00E34EAF" w:rsidP="008E7823">
            <w:pPr>
              <w:spacing w:after="0" w:line="240" w:lineRule="auto"/>
              <w:jc w:val="center"/>
              <w:rPr>
                <w:rFonts w:ascii="Arial" w:eastAsia="Times New Roman" w:hAnsi="Arial" w:cs="Arial"/>
                <w:b/>
                <w:bCs/>
                <w:color w:val="FFFFFF"/>
                <w:sz w:val="16"/>
                <w:szCs w:val="16"/>
                <w:lang w:eastAsia="es-CO"/>
              </w:rPr>
            </w:pPr>
            <w:r w:rsidRPr="00312D29">
              <w:rPr>
                <w:rFonts w:ascii="Arial" w:eastAsia="Times New Roman" w:hAnsi="Arial" w:cs="Arial"/>
                <w:b/>
                <w:bCs/>
                <w:color w:val="FFFFFF"/>
                <w:sz w:val="16"/>
                <w:szCs w:val="16"/>
                <w:lang w:eastAsia="es-CO"/>
              </w:rPr>
              <w:t xml:space="preserve">Valor </w:t>
            </w:r>
          </w:p>
        </w:tc>
        <w:tc>
          <w:tcPr>
            <w:tcW w:w="1360" w:type="dxa"/>
            <w:tcBorders>
              <w:top w:val="single" w:sz="4" w:space="0" w:color="FFFFFF"/>
              <w:left w:val="nil"/>
              <w:bottom w:val="single" w:sz="4" w:space="0" w:color="FFFFFF"/>
              <w:right w:val="single" w:sz="4" w:space="0" w:color="FFFFFF"/>
            </w:tcBorders>
            <w:shd w:val="clear" w:color="000000" w:fill="00486C"/>
            <w:vAlign w:val="center"/>
            <w:hideMark/>
          </w:tcPr>
          <w:p w14:paraId="1755BB2F" w14:textId="77777777" w:rsidR="00E34EAF" w:rsidRPr="00312D29" w:rsidRDefault="00E34EAF" w:rsidP="008E7823">
            <w:pPr>
              <w:spacing w:after="0" w:line="240" w:lineRule="auto"/>
              <w:jc w:val="center"/>
              <w:rPr>
                <w:rFonts w:ascii="Arial" w:eastAsia="Times New Roman" w:hAnsi="Arial" w:cs="Arial"/>
                <w:b/>
                <w:bCs/>
                <w:color w:val="FFFFFF"/>
                <w:sz w:val="16"/>
                <w:szCs w:val="16"/>
                <w:lang w:eastAsia="es-CO"/>
              </w:rPr>
            </w:pPr>
            <w:r w:rsidRPr="00312D29">
              <w:rPr>
                <w:rFonts w:ascii="Arial" w:eastAsia="Times New Roman" w:hAnsi="Arial" w:cs="Arial"/>
                <w:b/>
                <w:bCs/>
                <w:color w:val="FFFFFF"/>
                <w:sz w:val="16"/>
                <w:szCs w:val="16"/>
                <w:lang w:eastAsia="es-CO"/>
              </w:rPr>
              <w:t xml:space="preserve">Cupos </w:t>
            </w:r>
          </w:p>
        </w:tc>
        <w:tc>
          <w:tcPr>
            <w:tcW w:w="1420" w:type="dxa"/>
            <w:tcBorders>
              <w:top w:val="single" w:sz="4" w:space="0" w:color="FFFFFF"/>
              <w:left w:val="nil"/>
              <w:bottom w:val="single" w:sz="4" w:space="0" w:color="FFFFFF"/>
              <w:right w:val="single" w:sz="4" w:space="0" w:color="FFFFFF"/>
            </w:tcBorders>
            <w:shd w:val="clear" w:color="000000" w:fill="00486C"/>
            <w:vAlign w:val="center"/>
            <w:hideMark/>
          </w:tcPr>
          <w:p w14:paraId="4EFAB39E" w14:textId="77777777" w:rsidR="00E34EAF" w:rsidRPr="00312D29" w:rsidRDefault="00E34EAF" w:rsidP="008E7823">
            <w:pPr>
              <w:spacing w:after="0" w:line="240" w:lineRule="auto"/>
              <w:jc w:val="center"/>
              <w:rPr>
                <w:rFonts w:ascii="Arial" w:eastAsia="Times New Roman" w:hAnsi="Arial" w:cs="Arial"/>
                <w:b/>
                <w:bCs/>
                <w:color w:val="FFFFFF"/>
                <w:sz w:val="16"/>
                <w:szCs w:val="16"/>
                <w:lang w:eastAsia="es-CO"/>
              </w:rPr>
            </w:pPr>
            <w:r w:rsidRPr="00312D29">
              <w:rPr>
                <w:rFonts w:ascii="Arial" w:eastAsia="Times New Roman" w:hAnsi="Arial" w:cs="Arial"/>
                <w:b/>
                <w:bCs/>
                <w:color w:val="FFFFFF"/>
                <w:sz w:val="16"/>
                <w:szCs w:val="16"/>
                <w:lang w:eastAsia="es-CO"/>
              </w:rPr>
              <w:t>Costo/Cupo</w:t>
            </w:r>
          </w:p>
        </w:tc>
      </w:tr>
      <w:tr w:rsidR="00E34EAF" w:rsidRPr="00312D29" w14:paraId="37CC52A5" w14:textId="77777777" w:rsidTr="008E7823">
        <w:trPr>
          <w:trHeight w:val="300"/>
          <w:jc w:val="center"/>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0C426ABA"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Tuluá</w:t>
            </w:r>
          </w:p>
        </w:tc>
        <w:tc>
          <w:tcPr>
            <w:tcW w:w="1780" w:type="dxa"/>
            <w:tcBorders>
              <w:top w:val="nil"/>
              <w:left w:val="nil"/>
              <w:bottom w:val="single" w:sz="4" w:space="0" w:color="FFFFFF"/>
              <w:right w:val="single" w:sz="4" w:space="0" w:color="FFFFFF"/>
            </w:tcBorders>
            <w:shd w:val="clear" w:color="000000" w:fill="DDEBF7"/>
            <w:vAlign w:val="center"/>
            <w:hideMark/>
          </w:tcPr>
          <w:p w14:paraId="6B0527C7"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$78.254.030.724</w:t>
            </w:r>
          </w:p>
        </w:tc>
        <w:tc>
          <w:tcPr>
            <w:tcW w:w="1360" w:type="dxa"/>
            <w:tcBorders>
              <w:top w:val="nil"/>
              <w:left w:val="nil"/>
              <w:bottom w:val="single" w:sz="4" w:space="0" w:color="FFFFFF"/>
              <w:right w:val="single" w:sz="4" w:space="0" w:color="FFFFFF"/>
            </w:tcBorders>
            <w:shd w:val="clear" w:color="000000" w:fill="DDEBF7"/>
            <w:vAlign w:val="center"/>
            <w:hideMark/>
          </w:tcPr>
          <w:p w14:paraId="3FD3F5B2"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656</w:t>
            </w:r>
          </w:p>
        </w:tc>
        <w:tc>
          <w:tcPr>
            <w:tcW w:w="1420" w:type="dxa"/>
            <w:tcBorders>
              <w:top w:val="nil"/>
              <w:left w:val="nil"/>
              <w:bottom w:val="single" w:sz="4" w:space="0" w:color="FFFFFF"/>
              <w:right w:val="single" w:sz="4" w:space="0" w:color="FFFFFF"/>
            </w:tcBorders>
            <w:shd w:val="clear" w:color="000000" w:fill="DDEBF7"/>
            <w:vAlign w:val="center"/>
            <w:hideMark/>
          </w:tcPr>
          <w:p w14:paraId="41857452"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119.289.681</w:t>
            </w:r>
          </w:p>
        </w:tc>
      </w:tr>
      <w:tr w:rsidR="00E34EAF" w:rsidRPr="00312D29" w14:paraId="2D3AEC74" w14:textId="77777777" w:rsidTr="008E7823">
        <w:trPr>
          <w:trHeight w:val="300"/>
          <w:jc w:val="center"/>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348B4A26"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Espinal</w:t>
            </w:r>
          </w:p>
        </w:tc>
        <w:tc>
          <w:tcPr>
            <w:tcW w:w="1780" w:type="dxa"/>
            <w:tcBorders>
              <w:top w:val="nil"/>
              <w:left w:val="nil"/>
              <w:bottom w:val="single" w:sz="4" w:space="0" w:color="FFFFFF"/>
              <w:right w:val="single" w:sz="4" w:space="0" w:color="FFFFFF"/>
            </w:tcBorders>
            <w:shd w:val="clear" w:color="000000" w:fill="DDEBF7"/>
            <w:vAlign w:val="center"/>
            <w:hideMark/>
          </w:tcPr>
          <w:p w14:paraId="5EA87536"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$87.563.511.251</w:t>
            </w:r>
          </w:p>
        </w:tc>
        <w:tc>
          <w:tcPr>
            <w:tcW w:w="1360" w:type="dxa"/>
            <w:tcBorders>
              <w:top w:val="nil"/>
              <w:left w:val="nil"/>
              <w:bottom w:val="single" w:sz="4" w:space="0" w:color="FFFFFF"/>
              <w:right w:val="single" w:sz="4" w:space="0" w:color="FFFFFF"/>
            </w:tcBorders>
            <w:shd w:val="clear" w:color="000000" w:fill="DDEBF7"/>
            <w:vAlign w:val="center"/>
            <w:hideMark/>
          </w:tcPr>
          <w:p w14:paraId="7FA5778C"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768</w:t>
            </w:r>
          </w:p>
        </w:tc>
        <w:tc>
          <w:tcPr>
            <w:tcW w:w="1420" w:type="dxa"/>
            <w:tcBorders>
              <w:top w:val="nil"/>
              <w:left w:val="nil"/>
              <w:bottom w:val="single" w:sz="4" w:space="0" w:color="FFFFFF"/>
              <w:right w:val="single" w:sz="4" w:space="0" w:color="FFFFFF"/>
            </w:tcBorders>
            <w:shd w:val="clear" w:color="000000" w:fill="DDEBF7"/>
            <w:vAlign w:val="center"/>
            <w:hideMark/>
          </w:tcPr>
          <w:p w14:paraId="09E83B63"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114.014.989</w:t>
            </w:r>
          </w:p>
        </w:tc>
      </w:tr>
      <w:tr w:rsidR="00E34EAF" w:rsidRPr="00312D29" w14:paraId="594B2096" w14:textId="77777777" w:rsidTr="008E7823">
        <w:trPr>
          <w:trHeight w:val="300"/>
          <w:jc w:val="center"/>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488DED6A"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Buga</w:t>
            </w:r>
          </w:p>
        </w:tc>
        <w:tc>
          <w:tcPr>
            <w:tcW w:w="1780" w:type="dxa"/>
            <w:tcBorders>
              <w:top w:val="nil"/>
              <w:left w:val="nil"/>
              <w:bottom w:val="single" w:sz="4" w:space="0" w:color="FFFFFF"/>
              <w:right w:val="single" w:sz="4" w:space="0" w:color="FFFFFF"/>
            </w:tcBorders>
            <w:shd w:val="clear" w:color="000000" w:fill="DDEBF7"/>
            <w:vAlign w:val="center"/>
            <w:hideMark/>
          </w:tcPr>
          <w:p w14:paraId="07D9DC18"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$98.893.514.184</w:t>
            </w:r>
          </w:p>
        </w:tc>
        <w:tc>
          <w:tcPr>
            <w:tcW w:w="1360" w:type="dxa"/>
            <w:tcBorders>
              <w:top w:val="nil"/>
              <w:left w:val="nil"/>
              <w:bottom w:val="single" w:sz="4" w:space="0" w:color="FFFFFF"/>
              <w:right w:val="single" w:sz="4" w:space="0" w:color="FFFFFF"/>
            </w:tcBorders>
            <w:shd w:val="clear" w:color="000000" w:fill="DDEBF7"/>
            <w:vAlign w:val="center"/>
            <w:hideMark/>
          </w:tcPr>
          <w:p w14:paraId="4BDD3D5D"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720</w:t>
            </w:r>
          </w:p>
        </w:tc>
        <w:tc>
          <w:tcPr>
            <w:tcW w:w="1420" w:type="dxa"/>
            <w:tcBorders>
              <w:top w:val="nil"/>
              <w:left w:val="nil"/>
              <w:bottom w:val="single" w:sz="4" w:space="0" w:color="FFFFFF"/>
              <w:right w:val="single" w:sz="4" w:space="0" w:color="FFFFFF"/>
            </w:tcBorders>
            <w:shd w:val="clear" w:color="000000" w:fill="DDEBF7"/>
            <w:vAlign w:val="center"/>
            <w:hideMark/>
          </w:tcPr>
          <w:p w14:paraId="0187FEEB"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137.352.103</w:t>
            </w:r>
          </w:p>
        </w:tc>
      </w:tr>
      <w:tr w:rsidR="00E34EAF" w:rsidRPr="00312D29" w14:paraId="2642C24D" w14:textId="77777777" w:rsidTr="008E7823">
        <w:trPr>
          <w:trHeight w:val="300"/>
          <w:jc w:val="center"/>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322E0292"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Girón</w:t>
            </w:r>
          </w:p>
        </w:tc>
        <w:tc>
          <w:tcPr>
            <w:tcW w:w="1780" w:type="dxa"/>
            <w:tcBorders>
              <w:top w:val="nil"/>
              <w:left w:val="nil"/>
              <w:bottom w:val="single" w:sz="4" w:space="0" w:color="FFFFFF"/>
              <w:right w:val="single" w:sz="4" w:space="0" w:color="FFFFFF"/>
            </w:tcBorders>
            <w:shd w:val="clear" w:color="000000" w:fill="DDEBF7"/>
            <w:vAlign w:val="center"/>
            <w:hideMark/>
          </w:tcPr>
          <w:p w14:paraId="2A256572"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w:t>
            </w:r>
            <w:r w:rsidRPr="00312D29">
              <w:rPr>
                <w:rFonts w:ascii="Arial" w:eastAsia="Times New Roman" w:hAnsi="Arial" w:cs="Arial"/>
                <w:color w:val="000000"/>
                <w:sz w:val="18"/>
                <w:szCs w:val="18"/>
                <w:lang w:eastAsia="es-CO"/>
              </w:rPr>
              <w:t>83.000.0000.000</w:t>
            </w:r>
          </w:p>
        </w:tc>
        <w:tc>
          <w:tcPr>
            <w:tcW w:w="1360" w:type="dxa"/>
            <w:tcBorders>
              <w:top w:val="nil"/>
              <w:left w:val="nil"/>
              <w:bottom w:val="single" w:sz="4" w:space="0" w:color="FFFFFF"/>
              <w:right w:val="single" w:sz="4" w:space="0" w:color="FFFFFF"/>
            </w:tcBorders>
            <w:shd w:val="clear" w:color="000000" w:fill="DDEBF7"/>
            <w:vAlign w:val="center"/>
            <w:hideMark/>
          </w:tcPr>
          <w:p w14:paraId="77B1880C"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752</w:t>
            </w:r>
          </w:p>
        </w:tc>
        <w:tc>
          <w:tcPr>
            <w:tcW w:w="1420" w:type="dxa"/>
            <w:tcBorders>
              <w:top w:val="nil"/>
              <w:left w:val="nil"/>
              <w:bottom w:val="single" w:sz="4" w:space="0" w:color="FFFFFF"/>
              <w:right w:val="single" w:sz="4" w:space="0" w:color="FFFFFF"/>
            </w:tcBorders>
            <w:shd w:val="clear" w:color="000000" w:fill="DDEBF7"/>
            <w:vAlign w:val="center"/>
            <w:hideMark/>
          </w:tcPr>
          <w:p w14:paraId="70BD390E"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110.372.340</w:t>
            </w:r>
          </w:p>
        </w:tc>
      </w:tr>
      <w:tr w:rsidR="00E34EAF" w:rsidRPr="00312D29" w14:paraId="1FB64DDA" w14:textId="77777777" w:rsidTr="008E7823">
        <w:trPr>
          <w:trHeight w:val="300"/>
          <w:jc w:val="center"/>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6A24D352"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Ipiales</w:t>
            </w:r>
          </w:p>
        </w:tc>
        <w:tc>
          <w:tcPr>
            <w:tcW w:w="1780" w:type="dxa"/>
            <w:tcBorders>
              <w:top w:val="nil"/>
              <w:left w:val="nil"/>
              <w:bottom w:val="single" w:sz="4" w:space="0" w:color="FFFFFF"/>
              <w:right w:val="single" w:sz="4" w:space="0" w:color="FFFFFF"/>
            </w:tcBorders>
            <w:shd w:val="clear" w:color="000000" w:fill="DDEBF7"/>
            <w:vAlign w:val="center"/>
            <w:hideMark/>
          </w:tcPr>
          <w:p w14:paraId="21CBD858"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w:t>
            </w:r>
            <w:r w:rsidRPr="00312D29">
              <w:rPr>
                <w:rFonts w:ascii="Arial" w:eastAsia="Times New Roman" w:hAnsi="Arial" w:cs="Arial"/>
                <w:color w:val="000000"/>
                <w:sz w:val="18"/>
                <w:szCs w:val="18"/>
                <w:lang w:eastAsia="es-CO"/>
              </w:rPr>
              <w:t>73.000.000.000</w:t>
            </w:r>
          </w:p>
        </w:tc>
        <w:tc>
          <w:tcPr>
            <w:tcW w:w="1360" w:type="dxa"/>
            <w:tcBorders>
              <w:top w:val="nil"/>
              <w:left w:val="nil"/>
              <w:bottom w:val="single" w:sz="4" w:space="0" w:color="FFFFFF"/>
              <w:right w:val="single" w:sz="4" w:space="0" w:color="FFFFFF"/>
            </w:tcBorders>
            <w:shd w:val="clear" w:color="000000" w:fill="DDEBF7"/>
            <w:vAlign w:val="center"/>
            <w:hideMark/>
          </w:tcPr>
          <w:p w14:paraId="24375C7F"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608</w:t>
            </w:r>
          </w:p>
        </w:tc>
        <w:tc>
          <w:tcPr>
            <w:tcW w:w="1420" w:type="dxa"/>
            <w:tcBorders>
              <w:top w:val="nil"/>
              <w:left w:val="nil"/>
              <w:bottom w:val="single" w:sz="4" w:space="0" w:color="FFFFFF"/>
              <w:right w:val="single" w:sz="4" w:space="0" w:color="FFFFFF"/>
            </w:tcBorders>
            <w:shd w:val="clear" w:color="000000" w:fill="DDEBF7"/>
            <w:vAlign w:val="center"/>
            <w:hideMark/>
          </w:tcPr>
          <w:p w14:paraId="7AE43446"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120.065.789</w:t>
            </w:r>
          </w:p>
        </w:tc>
      </w:tr>
      <w:tr w:rsidR="00E34EAF" w:rsidRPr="00312D29" w14:paraId="091D6821" w14:textId="77777777" w:rsidTr="008E7823">
        <w:trPr>
          <w:trHeight w:val="375"/>
          <w:jc w:val="center"/>
        </w:trPr>
        <w:tc>
          <w:tcPr>
            <w:tcW w:w="4340" w:type="dxa"/>
            <w:gridSpan w:val="3"/>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2FD577BE" w14:textId="77777777" w:rsidR="00E34EAF" w:rsidRPr="00312D29" w:rsidRDefault="00E34EAF" w:rsidP="008E7823">
            <w:pPr>
              <w:spacing w:after="0" w:line="240" w:lineRule="auto"/>
              <w:jc w:val="center"/>
              <w:rPr>
                <w:rFonts w:ascii="Arial" w:eastAsia="Times New Roman" w:hAnsi="Arial" w:cs="Arial"/>
                <w:b/>
                <w:bCs/>
                <w:color w:val="FFFFFF"/>
                <w:sz w:val="16"/>
                <w:szCs w:val="16"/>
                <w:lang w:eastAsia="es-CO"/>
              </w:rPr>
            </w:pPr>
            <w:r w:rsidRPr="00312D29">
              <w:rPr>
                <w:rFonts w:ascii="Arial" w:eastAsia="Times New Roman" w:hAnsi="Arial" w:cs="Arial"/>
                <w:b/>
                <w:bCs/>
                <w:color w:val="FFFFFF"/>
                <w:sz w:val="16"/>
                <w:szCs w:val="16"/>
                <w:lang w:eastAsia="es-CO"/>
              </w:rPr>
              <w:t>Costo promedio construcción cupo carcelario</w:t>
            </w:r>
          </w:p>
        </w:tc>
        <w:tc>
          <w:tcPr>
            <w:tcW w:w="1420" w:type="dxa"/>
            <w:tcBorders>
              <w:top w:val="nil"/>
              <w:left w:val="nil"/>
              <w:bottom w:val="single" w:sz="4" w:space="0" w:color="FFFFFF"/>
              <w:right w:val="single" w:sz="4" w:space="0" w:color="FFFFFF"/>
            </w:tcBorders>
            <w:shd w:val="clear" w:color="000000" w:fill="00486C"/>
            <w:vAlign w:val="center"/>
            <w:hideMark/>
          </w:tcPr>
          <w:p w14:paraId="2B5F7BCE" w14:textId="77777777" w:rsidR="00E34EAF" w:rsidRPr="00312D29" w:rsidRDefault="00E34EAF" w:rsidP="008E7823">
            <w:pPr>
              <w:spacing w:after="0" w:line="240" w:lineRule="auto"/>
              <w:jc w:val="center"/>
              <w:rPr>
                <w:rFonts w:ascii="Arial" w:eastAsia="Times New Roman" w:hAnsi="Arial" w:cs="Arial"/>
                <w:b/>
                <w:bCs/>
                <w:color w:val="FFFFFF"/>
                <w:sz w:val="16"/>
                <w:szCs w:val="16"/>
                <w:lang w:eastAsia="es-CO"/>
              </w:rPr>
            </w:pPr>
            <w:r w:rsidRPr="00312D29">
              <w:rPr>
                <w:rFonts w:ascii="Arial" w:eastAsia="Times New Roman" w:hAnsi="Arial" w:cs="Arial"/>
                <w:b/>
                <w:bCs/>
                <w:color w:val="FFFFFF"/>
                <w:sz w:val="16"/>
                <w:szCs w:val="16"/>
                <w:lang w:eastAsia="es-CO"/>
              </w:rPr>
              <w:t>$120.218.981</w:t>
            </w:r>
          </w:p>
        </w:tc>
      </w:tr>
    </w:tbl>
    <w:p w14:paraId="483068BE" w14:textId="77777777" w:rsidR="00E34EAF" w:rsidRPr="00E34EAF" w:rsidRDefault="00E34EAF" w:rsidP="00E34EAF">
      <w:pPr>
        <w:tabs>
          <w:tab w:val="left" w:pos="2127"/>
        </w:tabs>
        <w:spacing w:after="0" w:line="240" w:lineRule="auto"/>
        <w:jc w:val="center"/>
        <w:rPr>
          <w:b/>
        </w:rPr>
      </w:pPr>
      <w:r>
        <w:rPr>
          <w:rFonts w:ascii="Arial" w:hAnsi="Arial" w:cs="Arial"/>
          <w:sz w:val="24"/>
          <w:szCs w:val="24"/>
        </w:rPr>
        <w:fldChar w:fldCharType="end"/>
      </w:r>
      <w:r w:rsidRPr="00E34EAF">
        <w:rPr>
          <w:b/>
        </w:rPr>
        <w:t xml:space="preserve">Fuente: </w:t>
      </w:r>
      <w:r w:rsidRPr="00E34EAF">
        <w:t>USPEC</w:t>
      </w:r>
      <w:r>
        <w:t xml:space="preserve"> – Octubre de 2019</w:t>
      </w:r>
    </w:p>
    <w:p w14:paraId="042F280E" w14:textId="77777777" w:rsidR="00E34EAF" w:rsidRDefault="00E34EAF" w:rsidP="00E34EAF">
      <w:pPr>
        <w:tabs>
          <w:tab w:val="left" w:pos="2127"/>
        </w:tabs>
        <w:spacing w:after="0" w:line="240" w:lineRule="auto"/>
        <w:jc w:val="both"/>
        <w:rPr>
          <w:rFonts w:ascii="Arial" w:hAnsi="Arial" w:cs="Arial"/>
          <w:sz w:val="24"/>
          <w:szCs w:val="24"/>
        </w:rPr>
      </w:pPr>
    </w:p>
    <w:p w14:paraId="20204B33" w14:textId="77777777" w:rsidR="00E34EAF" w:rsidRDefault="00E34EAF" w:rsidP="00E34EAF">
      <w:pPr>
        <w:tabs>
          <w:tab w:val="left" w:pos="2127"/>
        </w:tabs>
        <w:spacing w:after="0" w:line="240" w:lineRule="auto"/>
        <w:jc w:val="both"/>
        <w:rPr>
          <w:rFonts w:ascii="Arial" w:hAnsi="Arial" w:cs="Arial"/>
          <w:sz w:val="24"/>
          <w:szCs w:val="24"/>
        </w:rPr>
      </w:pPr>
      <w:r>
        <w:rPr>
          <w:rFonts w:ascii="Arial" w:hAnsi="Arial" w:cs="Arial"/>
          <w:sz w:val="24"/>
          <w:szCs w:val="24"/>
        </w:rPr>
        <w:t>Es importante aclarar que la selección de los proyectos que se tomaron como referente, responden a los estándares de diseño solicitados por la sentencia T-762 de 2015 que determina las áreas mínimas vitales de permanencia de vida en reclusión.</w:t>
      </w:r>
    </w:p>
    <w:p w14:paraId="11F19A27" w14:textId="77777777" w:rsidR="0044694F" w:rsidRDefault="0044694F" w:rsidP="008139E6">
      <w:pPr>
        <w:tabs>
          <w:tab w:val="left" w:pos="2127"/>
        </w:tabs>
        <w:spacing w:after="0" w:line="240" w:lineRule="auto"/>
        <w:jc w:val="both"/>
        <w:rPr>
          <w:rFonts w:ascii="Arial" w:hAnsi="Arial" w:cs="Arial"/>
          <w:sz w:val="24"/>
          <w:szCs w:val="24"/>
        </w:rPr>
      </w:pPr>
    </w:p>
    <w:p w14:paraId="0F4C3912" w14:textId="77777777" w:rsidR="00266DD1" w:rsidRPr="009756A0" w:rsidRDefault="00266DD1" w:rsidP="00266DD1">
      <w:pPr>
        <w:pStyle w:val="Prrafodelista"/>
        <w:numPr>
          <w:ilvl w:val="0"/>
          <w:numId w:val="12"/>
        </w:numPr>
        <w:spacing w:after="0" w:line="240" w:lineRule="auto"/>
        <w:jc w:val="both"/>
        <w:rPr>
          <w:rFonts w:ascii="Arial" w:hAnsi="Arial" w:cs="Arial"/>
          <w:b/>
          <w:sz w:val="24"/>
          <w:u w:val="thick"/>
        </w:rPr>
      </w:pPr>
      <w:r w:rsidRPr="009756A0">
        <w:rPr>
          <w:rFonts w:ascii="Arial" w:hAnsi="Arial" w:cs="Arial"/>
          <w:b/>
          <w:sz w:val="24"/>
          <w:u w:val="thick"/>
        </w:rPr>
        <w:t>Consideraciones Finales:</w:t>
      </w:r>
    </w:p>
    <w:p w14:paraId="7A361F35" w14:textId="77777777" w:rsidR="00266DD1" w:rsidRPr="009756A0" w:rsidRDefault="00266DD1" w:rsidP="00266DD1">
      <w:pPr>
        <w:spacing w:after="0" w:line="240" w:lineRule="auto"/>
        <w:jc w:val="both"/>
        <w:rPr>
          <w:rFonts w:ascii="Arial" w:hAnsi="Arial" w:cs="Arial"/>
          <w:sz w:val="24"/>
        </w:rPr>
      </w:pPr>
    </w:p>
    <w:p w14:paraId="095832E3" w14:textId="77777777" w:rsidR="00A87C06" w:rsidRDefault="00266DD1" w:rsidP="00A87C06">
      <w:pPr>
        <w:spacing w:after="0" w:line="240" w:lineRule="auto"/>
        <w:jc w:val="both"/>
        <w:rPr>
          <w:rFonts w:ascii="Arial" w:hAnsi="Arial" w:cs="Arial"/>
          <w:sz w:val="24"/>
          <w:szCs w:val="24"/>
        </w:rPr>
      </w:pPr>
      <w:r w:rsidRPr="009756A0">
        <w:rPr>
          <w:rFonts w:ascii="Arial" w:hAnsi="Arial" w:cs="Arial"/>
          <w:sz w:val="24"/>
          <w:szCs w:val="24"/>
        </w:rPr>
        <w:t>Se considera oportuna la presentación del presente proyecto de ley, en tanto resulta conveniente a efectos de</w:t>
      </w:r>
      <w:r w:rsidR="00A87C06">
        <w:rPr>
          <w:rFonts w:ascii="Arial" w:hAnsi="Arial" w:cs="Arial"/>
          <w:sz w:val="24"/>
          <w:szCs w:val="24"/>
        </w:rPr>
        <w:t xml:space="preserve"> mitigar el “estado de cosas inconstitucional” calificado por la Corte Constitucional, respecto al sistema penitenciario nacional.</w:t>
      </w:r>
    </w:p>
    <w:p w14:paraId="2B5A2DC7" w14:textId="77777777" w:rsidR="00266DD1" w:rsidRPr="009756A0" w:rsidRDefault="00A87C06" w:rsidP="00A87C06">
      <w:pPr>
        <w:spacing w:after="0" w:line="240" w:lineRule="auto"/>
        <w:jc w:val="both"/>
        <w:rPr>
          <w:rFonts w:ascii="Arial" w:hAnsi="Arial" w:cs="Arial"/>
          <w:sz w:val="24"/>
        </w:rPr>
      </w:pPr>
      <w:r w:rsidRPr="009756A0">
        <w:rPr>
          <w:rFonts w:ascii="Arial" w:hAnsi="Arial" w:cs="Arial"/>
          <w:sz w:val="24"/>
        </w:rPr>
        <w:t xml:space="preserve"> </w:t>
      </w:r>
    </w:p>
    <w:p w14:paraId="3D9AE969" w14:textId="77777777" w:rsidR="00266DD1" w:rsidRPr="009756A0" w:rsidRDefault="00266DD1" w:rsidP="00266DD1">
      <w:pPr>
        <w:spacing w:line="240" w:lineRule="auto"/>
        <w:jc w:val="both"/>
        <w:rPr>
          <w:rFonts w:ascii="Arial" w:hAnsi="Arial" w:cs="Arial"/>
          <w:sz w:val="24"/>
        </w:rPr>
      </w:pPr>
      <w:r w:rsidRPr="009756A0">
        <w:rPr>
          <w:rFonts w:ascii="Arial" w:hAnsi="Arial" w:cs="Arial"/>
          <w:sz w:val="24"/>
        </w:rPr>
        <w:t>Cordialmente,</w:t>
      </w:r>
    </w:p>
    <w:p w14:paraId="7AF92ADF" w14:textId="77777777" w:rsidR="00266DD1" w:rsidRPr="009756A0" w:rsidRDefault="00266DD1" w:rsidP="00266DD1">
      <w:pPr>
        <w:spacing w:after="0" w:line="240" w:lineRule="auto"/>
        <w:jc w:val="both"/>
        <w:rPr>
          <w:rFonts w:ascii="Arial" w:hAnsi="Arial" w:cs="Arial"/>
          <w:sz w:val="24"/>
        </w:rPr>
      </w:pPr>
    </w:p>
    <w:p w14:paraId="34F0FA51" w14:textId="77777777" w:rsidR="00266DD1" w:rsidRPr="009756A0" w:rsidRDefault="00266DD1" w:rsidP="00266DD1">
      <w:pPr>
        <w:spacing w:after="0" w:line="240" w:lineRule="auto"/>
        <w:jc w:val="both"/>
        <w:rPr>
          <w:rFonts w:ascii="Arial" w:hAnsi="Arial" w:cs="Arial"/>
          <w:sz w:val="24"/>
        </w:rPr>
      </w:pPr>
    </w:p>
    <w:p w14:paraId="1BBFC6CD" w14:textId="77777777" w:rsidR="00266DD1" w:rsidRPr="009756A0" w:rsidRDefault="00266DD1" w:rsidP="007100D7">
      <w:pPr>
        <w:spacing w:after="0" w:line="240" w:lineRule="auto"/>
        <w:jc w:val="center"/>
        <w:rPr>
          <w:rFonts w:ascii="Arial" w:hAnsi="Arial" w:cs="Arial"/>
          <w:sz w:val="24"/>
        </w:rPr>
      </w:pPr>
    </w:p>
    <w:p w14:paraId="273A63FE" w14:textId="77777777" w:rsidR="00266DD1" w:rsidRPr="009756A0" w:rsidRDefault="00266DD1" w:rsidP="007100D7">
      <w:pPr>
        <w:spacing w:after="0" w:line="240" w:lineRule="auto"/>
        <w:jc w:val="center"/>
        <w:rPr>
          <w:rFonts w:ascii="Arial" w:hAnsi="Arial" w:cs="Arial"/>
          <w:sz w:val="24"/>
        </w:rPr>
      </w:pPr>
    </w:p>
    <w:p w14:paraId="061ABFA0" w14:textId="77777777" w:rsidR="00266DD1" w:rsidRPr="009756A0" w:rsidRDefault="00266DD1" w:rsidP="007100D7">
      <w:pPr>
        <w:spacing w:after="0" w:line="240" w:lineRule="auto"/>
        <w:jc w:val="center"/>
        <w:rPr>
          <w:rFonts w:ascii="Arial" w:hAnsi="Arial" w:cs="Arial"/>
          <w:b/>
          <w:sz w:val="24"/>
        </w:rPr>
      </w:pPr>
      <w:r w:rsidRPr="009756A0">
        <w:rPr>
          <w:rFonts w:ascii="Arial" w:hAnsi="Arial" w:cs="Arial"/>
          <w:b/>
          <w:sz w:val="24"/>
        </w:rPr>
        <w:t>ENRIQUE CABRALES BAQUERO</w:t>
      </w:r>
    </w:p>
    <w:p w14:paraId="4B360104" w14:textId="77777777" w:rsidR="00266DD1" w:rsidRPr="009756A0" w:rsidRDefault="00266DD1" w:rsidP="007100D7">
      <w:pPr>
        <w:spacing w:after="0" w:line="240" w:lineRule="auto"/>
        <w:jc w:val="center"/>
        <w:rPr>
          <w:rFonts w:ascii="Arial" w:hAnsi="Arial" w:cs="Arial"/>
          <w:sz w:val="24"/>
        </w:rPr>
      </w:pPr>
      <w:r w:rsidRPr="009756A0">
        <w:rPr>
          <w:rFonts w:ascii="Arial" w:hAnsi="Arial" w:cs="Arial"/>
          <w:sz w:val="24"/>
        </w:rPr>
        <w:t>Representante a la Cámara por Bogotá</w:t>
      </w:r>
    </w:p>
    <w:sectPr w:rsidR="00266DD1" w:rsidRPr="009756A0" w:rsidSect="00266DD1">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C1DEF" w14:textId="77777777" w:rsidR="003C6C69" w:rsidRDefault="003C6C69" w:rsidP="00BA65DE">
      <w:pPr>
        <w:spacing w:after="0" w:line="240" w:lineRule="auto"/>
      </w:pPr>
      <w:r>
        <w:separator/>
      </w:r>
    </w:p>
  </w:endnote>
  <w:endnote w:type="continuationSeparator" w:id="0">
    <w:p w14:paraId="1AB46BE5" w14:textId="77777777" w:rsidR="003C6C69" w:rsidRDefault="003C6C69" w:rsidP="00BA6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36290"/>
      <w:docPartObj>
        <w:docPartGallery w:val="Page Numbers (Bottom of Page)"/>
        <w:docPartUnique/>
      </w:docPartObj>
    </w:sdtPr>
    <w:sdtEndPr/>
    <w:sdtContent>
      <w:p w14:paraId="56015ED3" w14:textId="7348022A" w:rsidR="00083E05" w:rsidRPr="00266DD1" w:rsidRDefault="00083E05" w:rsidP="00266DD1">
        <w:pPr>
          <w:pStyle w:val="Piedepgina"/>
          <w:jc w:val="right"/>
        </w:pPr>
        <w:r>
          <w:fldChar w:fldCharType="begin"/>
        </w:r>
        <w:r>
          <w:instrText>PAGE   \* MERGEFORMAT</w:instrText>
        </w:r>
        <w:r>
          <w:fldChar w:fldCharType="separate"/>
        </w:r>
        <w:r w:rsidR="00885E56" w:rsidRPr="00885E56">
          <w:rPr>
            <w:noProof/>
            <w:lang w:val="es-ES"/>
          </w:rPr>
          <w:t>3</w:t>
        </w:r>
        <w:r>
          <w:fldChar w:fldCharType="end"/>
        </w:r>
      </w:p>
    </w:sdtContent>
  </w:sdt>
  <w:p w14:paraId="0D9FA610" w14:textId="77777777" w:rsidR="00083E05" w:rsidRPr="00E179F1" w:rsidRDefault="00083E05" w:rsidP="00266DD1">
    <w:pPr>
      <w:spacing w:after="0" w:line="240" w:lineRule="auto"/>
      <w:rPr>
        <w:rFonts w:ascii="Times New Roman" w:eastAsia="Times New Roman" w:hAnsi="Times New Roman" w:cs="Times New Roman"/>
        <w:sz w:val="20"/>
        <w:szCs w:val="20"/>
        <w:lang w:val="es-ES_tradnl" w:eastAsia="es-ES"/>
      </w:rPr>
    </w:pPr>
    <w:r>
      <w:rPr>
        <w:rFonts w:ascii="Times New Roman" w:eastAsia="Times New Roman" w:hAnsi="Times New Roman" w:cs="Times New Roman"/>
        <w:noProof/>
        <w:sz w:val="20"/>
        <w:szCs w:val="20"/>
        <w:lang w:eastAsia="es-CO"/>
      </w:rPr>
      <w:drawing>
        <wp:inline distT="0" distB="0" distL="0" distR="0" wp14:anchorId="6E60CE2D" wp14:editId="12D2959A">
          <wp:extent cx="5715000" cy="114300"/>
          <wp:effectExtent l="0" t="0" r="0" b="0"/>
          <wp:docPr id="1" name="Imagen 1" descr="Descripción: esultado de imagen para membrete 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ultado de imagen para membrete BANDERA DE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114300"/>
                  </a:xfrm>
                  <a:prstGeom prst="rect">
                    <a:avLst/>
                  </a:prstGeom>
                  <a:noFill/>
                  <a:ln>
                    <a:noFill/>
                  </a:ln>
                </pic:spPr>
              </pic:pic>
            </a:graphicData>
          </a:graphic>
        </wp:inline>
      </w:drawing>
    </w:r>
  </w:p>
  <w:p w14:paraId="40B26C62" w14:textId="77777777" w:rsidR="00083E05" w:rsidRPr="00E179F1" w:rsidRDefault="00083E05" w:rsidP="00266DD1">
    <w:pPr>
      <w:tabs>
        <w:tab w:val="center" w:pos="4419"/>
        <w:tab w:val="right" w:pos="8838"/>
      </w:tabs>
      <w:spacing w:after="0" w:line="240" w:lineRule="auto"/>
      <w:jc w:val="center"/>
      <w:rPr>
        <w:rFonts w:ascii="Calibri" w:eastAsia="Calibri" w:hAnsi="Calibri" w:cs="Times New Roman"/>
      </w:rPr>
    </w:pPr>
    <w:r w:rsidRPr="00E179F1">
      <w:rPr>
        <w:rFonts w:ascii="Calibri" w:eastAsia="Calibri" w:hAnsi="Calibri" w:cs="Times New Roman"/>
      </w:rPr>
      <w:t>Cámara de Representantes</w:t>
    </w:r>
  </w:p>
  <w:p w14:paraId="17F4CAC3" w14:textId="77777777" w:rsidR="00083E05" w:rsidRPr="00E179F1" w:rsidRDefault="00083E05" w:rsidP="00266DD1">
    <w:pPr>
      <w:tabs>
        <w:tab w:val="center" w:pos="4419"/>
        <w:tab w:val="right" w:pos="8838"/>
      </w:tabs>
      <w:spacing w:after="0" w:line="240" w:lineRule="auto"/>
      <w:jc w:val="center"/>
      <w:rPr>
        <w:rFonts w:ascii="Calibri" w:eastAsia="Calibri" w:hAnsi="Calibri" w:cs="Times New Roman"/>
      </w:rPr>
    </w:pPr>
    <w:r w:rsidRPr="00E179F1">
      <w:rPr>
        <w:rFonts w:ascii="Calibri" w:eastAsia="Calibri" w:hAnsi="Calibri" w:cs="Times New Roman"/>
      </w:rPr>
      <w:t xml:space="preserve">Carrera 7 No. 8-68 – Capitolio Nacional (Calle 10 No. 7-50) – Bogotá D.C. </w:t>
    </w:r>
  </w:p>
  <w:p w14:paraId="2513688B" w14:textId="77777777" w:rsidR="00083E05" w:rsidRDefault="00083E05">
    <w:pPr>
      <w:pStyle w:val="Piedepgina"/>
      <w:jc w:val="right"/>
    </w:pPr>
  </w:p>
  <w:p w14:paraId="749E5DD5" w14:textId="77777777" w:rsidR="00083E05" w:rsidRDefault="00083E0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94793" w14:textId="77777777" w:rsidR="003C6C69" w:rsidRDefault="003C6C69" w:rsidP="00BA65DE">
      <w:pPr>
        <w:spacing w:after="0" w:line="240" w:lineRule="auto"/>
      </w:pPr>
      <w:r>
        <w:separator/>
      </w:r>
    </w:p>
  </w:footnote>
  <w:footnote w:type="continuationSeparator" w:id="0">
    <w:p w14:paraId="310CB650" w14:textId="77777777" w:rsidR="003C6C69" w:rsidRDefault="003C6C69" w:rsidP="00BA65DE">
      <w:pPr>
        <w:spacing w:after="0" w:line="240" w:lineRule="auto"/>
      </w:pPr>
      <w:r>
        <w:continuationSeparator/>
      </w:r>
    </w:p>
  </w:footnote>
  <w:footnote w:id="1">
    <w:p w14:paraId="33C1F529" w14:textId="77777777" w:rsidR="00083E05" w:rsidRPr="000D56DE" w:rsidRDefault="00083E05" w:rsidP="000D56DE">
      <w:pPr>
        <w:pStyle w:val="Textonotapie"/>
        <w:jc w:val="both"/>
        <w:rPr>
          <w:rFonts w:ascii="Arial" w:hAnsi="Arial" w:cs="Arial"/>
          <w:sz w:val="16"/>
          <w:szCs w:val="16"/>
        </w:rPr>
      </w:pPr>
      <w:r w:rsidRPr="000D56DE">
        <w:rPr>
          <w:rStyle w:val="Refdenotaalpie"/>
          <w:rFonts w:ascii="Arial" w:hAnsi="Arial" w:cs="Arial"/>
          <w:sz w:val="16"/>
          <w:szCs w:val="16"/>
        </w:rPr>
        <w:footnoteRef/>
      </w:r>
      <w:r w:rsidRPr="000D56DE">
        <w:rPr>
          <w:rFonts w:ascii="Arial" w:hAnsi="Arial" w:cs="Arial"/>
          <w:sz w:val="16"/>
          <w:szCs w:val="16"/>
        </w:rPr>
        <w:t xml:space="preserve"> Recuperado el 12 de noviembre de 2019 a las 11:30 a.m. en </w:t>
      </w:r>
      <w:hyperlink r:id="rId1" w:history="1">
        <w:r w:rsidRPr="000D56DE">
          <w:rPr>
            <w:rStyle w:val="Hipervnculo"/>
            <w:rFonts w:ascii="Arial" w:hAnsi="Arial" w:cs="Arial"/>
            <w:sz w:val="16"/>
            <w:szCs w:val="16"/>
          </w:rPr>
          <w:t>https://360radio.com.co/en-colombia-hay-80-373-cupos-carcelarios-pero-hay-123-434-presos/</w:t>
        </w:r>
      </w:hyperlink>
    </w:p>
  </w:footnote>
  <w:footnote w:id="2">
    <w:p w14:paraId="38CB480C" w14:textId="77777777" w:rsidR="00083E05" w:rsidRPr="00993A1B" w:rsidRDefault="00083E05" w:rsidP="00993A1B">
      <w:pPr>
        <w:jc w:val="both"/>
        <w:rPr>
          <w:rFonts w:ascii="Arial" w:eastAsia="Times New Roman" w:hAnsi="Arial" w:cs="Times New Roman"/>
          <w:sz w:val="16"/>
          <w:szCs w:val="16"/>
        </w:rPr>
      </w:pPr>
      <w:r w:rsidRPr="00993A1B">
        <w:rPr>
          <w:rStyle w:val="Refdenotaalpie"/>
          <w:rFonts w:ascii="Arial" w:hAnsi="Arial"/>
          <w:sz w:val="16"/>
          <w:szCs w:val="16"/>
        </w:rPr>
        <w:footnoteRef/>
      </w:r>
      <w:r w:rsidRPr="00993A1B">
        <w:rPr>
          <w:rFonts w:ascii="Arial" w:hAnsi="Arial"/>
          <w:sz w:val="16"/>
          <w:szCs w:val="16"/>
        </w:rPr>
        <w:t xml:space="preserve"> </w:t>
      </w:r>
      <w:r w:rsidRPr="00993A1B">
        <w:rPr>
          <w:rFonts w:ascii="Arial" w:hAnsi="Arial"/>
          <w:sz w:val="16"/>
          <w:szCs w:val="16"/>
          <w:lang w:val="es-ES_tradnl"/>
        </w:rPr>
        <w:t xml:space="preserve">Recuperado el domingo 17 de Noviembre de 2019 a las 12:30 p.m. en:   </w:t>
      </w:r>
      <w:hyperlink r:id="rId2" w:history="1">
        <w:r w:rsidRPr="00993A1B">
          <w:rPr>
            <w:rStyle w:val="Hipervnculo"/>
            <w:rFonts w:ascii="Arial" w:eastAsia="Times New Roman" w:hAnsi="Arial" w:cs="Times New Roman"/>
            <w:sz w:val="16"/>
            <w:szCs w:val="16"/>
          </w:rPr>
          <w:t>http://www.politicacriminal.gov.co/Portals/0/autos/Respuesta_auto_21_de_febrero_2019.pdf</w:t>
        </w:r>
      </w:hyperlink>
    </w:p>
    <w:p w14:paraId="6997B984" w14:textId="4463F018" w:rsidR="00083E05" w:rsidRDefault="00083E05" w:rsidP="00993A1B">
      <w:pPr>
        <w:rPr>
          <w:rFonts w:eastAsia="Times New Roman" w:cs="Times New Roman"/>
        </w:rPr>
      </w:pPr>
    </w:p>
    <w:p w14:paraId="3CF28959" w14:textId="0175CF3B" w:rsidR="00083E05" w:rsidRPr="00993A1B" w:rsidRDefault="00083E05">
      <w:pPr>
        <w:pStyle w:val="Textonotapie"/>
        <w:rPr>
          <w:lang w:val="es-ES_tradnl"/>
        </w:rPr>
      </w:pPr>
    </w:p>
  </w:footnote>
  <w:footnote w:id="3">
    <w:p w14:paraId="32E6F2EC" w14:textId="77777777" w:rsidR="00083E05" w:rsidRPr="000D56DE" w:rsidRDefault="00083E05" w:rsidP="000D56DE">
      <w:pPr>
        <w:pStyle w:val="Textonotapie"/>
        <w:jc w:val="both"/>
        <w:rPr>
          <w:rFonts w:ascii="Arial" w:hAnsi="Arial" w:cs="Arial"/>
          <w:sz w:val="16"/>
          <w:szCs w:val="16"/>
        </w:rPr>
      </w:pPr>
      <w:r w:rsidRPr="000D56DE">
        <w:rPr>
          <w:rStyle w:val="Refdenotaalpie"/>
          <w:rFonts w:ascii="Arial" w:hAnsi="Arial" w:cs="Arial"/>
          <w:sz w:val="16"/>
          <w:szCs w:val="16"/>
        </w:rPr>
        <w:footnoteRef/>
      </w:r>
      <w:r w:rsidRPr="000D56DE">
        <w:rPr>
          <w:rFonts w:ascii="Arial" w:hAnsi="Arial" w:cs="Arial"/>
          <w:sz w:val="16"/>
          <w:szCs w:val="16"/>
        </w:rPr>
        <w:t xml:space="preserve"> Recuperado el 12 de noviembre de 2019 a las 11:45 a.m., en: </w:t>
      </w:r>
      <w:hyperlink r:id="rId3" w:history="1">
        <w:r w:rsidRPr="000D56DE">
          <w:rPr>
            <w:rStyle w:val="Hipervnculo"/>
            <w:rFonts w:ascii="Arial" w:hAnsi="Arial" w:cs="Arial"/>
            <w:sz w:val="16"/>
            <w:szCs w:val="16"/>
          </w:rPr>
          <w:t>https://www.asecam.com.mx/index.php/productos/fianzas-judiciales</w:t>
        </w:r>
      </w:hyperlink>
      <w:r>
        <w:rPr>
          <w:rFonts w:ascii="Arial" w:hAnsi="Arial" w:cs="Arial"/>
          <w:sz w:val="16"/>
          <w:szCs w:val="16"/>
        </w:rPr>
        <w:t>.</w:t>
      </w:r>
    </w:p>
  </w:footnote>
  <w:footnote w:id="4">
    <w:p w14:paraId="283C682E" w14:textId="6D6CA0DA" w:rsidR="00083E05" w:rsidRDefault="00083E05" w:rsidP="001D3570">
      <w:pPr>
        <w:pStyle w:val="Ttulo1"/>
        <w:spacing w:before="0"/>
        <w:jc w:val="both"/>
      </w:pPr>
      <w:r w:rsidRPr="000D56DE">
        <w:rPr>
          <w:rStyle w:val="Refdenotaalpie"/>
          <w:rFonts w:ascii="Arial" w:hAnsi="Arial" w:cs="Arial"/>
          <w:color w:val="auto"/>
          <w:sz w:val="16"/>
          <w:szCs w:val="16"/>
        </w:rPr>
        <w:footnoteRef/>
      </w:r>
      <w:r w:rsidRPr="000D56DE">
        <w:rPr>
          <w:rFonts w:ascii="Arial" w:hAnsi="Arial" w:cs="Arial"/>
          <w:color w:val="auto"/>
          <w:sz w:val="16"/>
          <w:szCs w:val="16"/>
        </w:rPr>
        <w:t xml:space="preserve"> </w:t>
      </w:r>
      <w:r>
        <w:rPr>
          <w:rFonts w:ascii="Arial" w:hAnsi="Arial" w:cs="Arial"/>
          <w:color w:val="auto"/>
          <w:sz w:val="16"/>
          <w:szCs w:val="16"/>
        </w:rPr>
        <w:t xml:space="preserve">UMAÑA HERNANDEZ, Camilo Eduardo. </w:t>
      </w:r>
      <w:r w:rsidRPr="00353739">
        <w:rPr>
          <w:rFonts w:ascii="Arial" w:hAnsi="Arial" w:cs="Arial"/>
          <w:i/>
          <w:color w:val="auto"/>
          <w:sz w:val="16"/>
          <w:szCs w:val="16"/>
        </w:rPr>
        <w:t>El Estado Constitucional Colombiano en la Periferia. Tomo II.</w:t>
      </w:r>
      <w:r>
        <w:rPr>
          <w:rFonts w:ascii="Arial" w:hAnsi="Arial" w:cs="Arial"/>
          <w:color w:val="auto"/>
          <w:sz w:val="16"/>
          <w:szCs w:val="16"/>
        </w:rPr>
        <w:t xml:space="preserve"> Capitulo VII: Violaciones de los DESC frente a la garantía del derecho a la vida de personas detenidas. Un problema de vida o muerte. Universidad Externado de Colombia. Bogotá. 2019. Págs. 235-276. </w:t>
      </w:r>
      <w:r w:rsidRPr="000D56DE">
        <w:rPr>
          <w:rFonts w:ascii="Arial" w:hAnsi="Arial" w:cs="Arial"/>
          <w:color w:val="auto"/>
          <w:sz w:val="16"/>
          <w:szCs w:val="16"/>
        </w:rPr>
        <w:t xml:space="preserve">Memorias de las </w:t>
      </w:r>
      <w:r w:rsidRPr="000D56DE">
        <w:rPr>
          <w:rFonts w:ascii="Arial" w:eastAsia="Times New Roman" w:hAnsi="Arial" w:cs="Arial"/>
          <w:bCs/>
          <w:color w:val="auto"/>
          <w:kern w:val="36"/>
          <w:sz w:val="16"/>
          <w:szCs w:val="16"/>
          <w:lang w:eastAsia="es-CO"/>
        </w:rPr>
        <w:t>XX Jornadas de Derecho Constitucional “</w:t>
      </w:r>
      <w:r w:rsidRPr="001D3570">
        <w:rPr>
          <w:rFonts w:ascii="Arial" w:eastAsia="Times New Roman" w:hAnsi="Arial" w:cs="Arial"/>
          <w:bCs/>
          <w:i/>
          <w:color w:val="auto"/>
          <w:kern w:val="36"/>
          <w:sz w:val="16"/>
          <w:szCs w:val="16"/>
          <w:lang w:eastAsia="es-CO"/>
        </w:rPr>
        <w:t>Colombia fragmentada. Balance de la protección de los DESC en el territorio</w:t>
      </w:r>
      <w:r w:rsidRPr="000D56DE">
        <w:rPr>
          <w:rFonts w:ascii="Arial" w:eastAsia="Times New Roman" w:hAnsi="Arial" w:cs="Arial"/>
          <w:bCs/>
          <w:color w:val="auto"/>
          <w:kern w:val="36"/>
          <w:sz w:val="16"/>
          <w:szCs w:val="16"/>
          <w:lang w:eastAsia="es-CO"/>
        </w:rPr>
        <w:t>”, llevado a cabo en la Universidad Externado de Colombia, los días 2, 3 y 4 de octubre de 2019.</w:t>
      </w:r>
    </w:p>
  </w:footnote>
  <w:footnote w:id="5">
    <w:p w14:paraId="3075879A" w14:textId="77777777" w:rsidR="00083E05" w:rsidRDefault="00083E05" w:rsidP="00E34EAF">
      <w:pPr>
        <w:pStyle w:val="Textonotapie"/>
      </w:pPr>
      <w:r>
        <w:rPr>
          <w:rStyle w:val="Refdenotaalpie"/>
        </w:rPr>
        <w:footnoteRef/>
      </w:r>
      <w:r>
        <w:t xml:space="preserve"> Tomado de: </w:t>
      </w:r>
      <w:hyperlink r:id="rId4" w:history="1">
        <w:r>
          <w:rPr>
            <w:rStyle w:val="Hipervnculo"/>
          </w:rPr>
          <w:t>http://www.inpec.gov.co/iw/estadisticas/-/document_library/TWBuJQCWH6KV/view/49294</w:t>
        </w:r>
      </w:hyperlink>
    </w:p>
  </w:footnote>
  <w:footnote w:id="6">
    <w:p w14:paraId="27DFDF16" w14:textId="77777777" w:rsidR="00083E05" w:rsidRDefault="00083E05" w:rsidP="00E34EAF">
      <w:pPr>
        <w:pStyle w:val="Textonotapie"/>
      </w:pPr>
      <w:r>
        <w:rPr>
          <w:rStyle w:val="Refdenotaalpie"/>
        </w:rPr>
        <w:footnoteRef/>
      </w:r>
      <w:r>
        <w:t xml:space="preserve"> Esta disminución se presentó producto de la aplicación de la Ley 1709 de 2014 “</w:t>
      </w:r>
      <w:r w:rsidRPr="00C65AA3">
        <w:t>Por medio de la cual se reforman algunos artículos de la Ley 65 de 1993, de la Ley 599 de 2000, de la Ley 55 de 1985 y se dictan otras disposiciones</w:t>
      </w:r>
      <w:r>
        <w:t>”</w:t>
      </w:r>
    </w:p>
  </w:footnote>
  <w:footnote w:id="7">
    <w:p w14:paraId="527E150D" w14:textId="77777777" w:rsidR="00083E05" w:rsidRDefault="00083E05" w:rsidP="00E34EAF">
      <w:pPr>
        <w:pStyle w:val="Textonotapie"/>
        <w:jc w:val="both"/>
      </w:pPr>
      <w:r>
        <w:rPr>
          <w:rStyle w:val="Refdenotaalpie"/>
        </w:rPr>
        <w:footnoteRef/>
      </w:r>
      <w:r>
        <w:t xml:space="preserve"> De acuerdo con información suministrada por el INPEC, con corte de octubre de 2019, los cupos ofrecidos por los establecimientos carcelarios ascendieron a 80.387; Asimismo,  el número de personas privadas de la libertad con ubicación intramural aumentó a 124.725, lo que representa un índice de hacinamiento de 51.3%.</w:t>
      </w:r>
    </w:p>
  </w:footnote>
  <w:footnote w:id="8">
    <w:p w14:paraId="49FA6731" w14:textId="77777777" w:rsidR="00083E05" w:rsidRDefault="00083E05" w:rsidP="00E34EAF">
      <w:pPr>
        <w:pStyle w:val="Textonotapie"/>
      </w:pPr>
      <w:r>
        <w:rPr>
          <w:rStyle w:val="Refdenotaalpie"/>
        </w:rPr>
        <w:footnoteRef/>
      </w:r>
      <w:r>
        <w:t xml:space="preserve"> Tomado de :</w:t>
      </w:r>
      <w:hyperlink r:id="rId5" w:history="1">
        <w:r>
          <w:rPr>
            <w:rStyle w:val="Hipervnculo"/>
          </w:rPr>
          <w:t>https://revistas.usantotomas.edu.co/index.php/isocuanta/article/view/1536/1707</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03FA2" w14:textId="77777777" w:rsidR="00083E05" w:rsidRPr="00BA65DE" w:rsidRDefault="00083E05" w:rsidP="00BA65DE">
    <w:pPr>
      <w:tabs>
        <w:tab w:val="center" w:pos="4419"/>
        <w:tab w:val="right" w:pos="8838"/>
      </w:tabs>
      <w:spacing w:after="0" w:line="240" w:lineRule="auto"/>
      <w:jc w:val="right"/>
      <w:rPr>
        <w:rFonts w:ascii="Calibri" w:eastAsia="Calibri" w:hAnsi="Calibri" w:cs="Times New Roman"/>
        <w:noProof/>
        <w:lang w:val="es-ES" w:eastAsia="es-ES"/>
      </w:rPr>
    </w:pPr>
    <w:r>
      <w:rPr>
        <w:rFonts w:ascii="Calibri" w:eastAsia="Calibri" w:hAnsi="Calibri" w:cs="Times New Roman"/>
        <w:noProof/>
        <w:lang w:eastAsia="es-CO"/>
      </w:rPr>
      <w:drawing>
        <wp:anchor distT="0" distB="0" distL="114300" distR="114300" simplePos="0" relativeHeight="251657216" behindDoc="0" locked="0" layoutInCell="1" allowOverlap="1" wp14:anchorId="442328EC" wp14:editId="13E5B516">
          <wp:simplePos x="0" y="0"/>
          <wp:positionH relativeFrom="column">
            <wp:posOffset>-555625</wp:posOffset>
          </wp:positionH>
          <wp:positionV relativeFrom="paragraph">
            <wp:posOffset>-289560</wp:posOffset>
          </wp:positionV>
          <wp:extent cx="6721949" cy="12192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bezote-carta.png"/>
                  <pic:cNvPicPr/>
                </pic:nvPicPr>
                <pic:blipFill>
                  <a:blip r:embed="rId1">
                    <a:extLst>
                      <a:ext uri="{28A0092B-C50C-407E-A947-70E740481C1C}">
                        <a14:useLocalDpi xmlns:a14="http://schemas.microsoft.com/office/drawing/2010/main" val="0"/>
                      </a:ext>
                    </a:extLst>
                  </a:blip>
                  <a:stretch>
                    <a:fillRect/>
                  </a:stretch>
                </pic:blipFill>
                <pic:spPr>
                  <a:xfrm>
                    <a:off x="0" y="0"/>
                    <a:ext cx="6721949" cy="1219200"/>
                  </a:xfrm>
                  <a:prstGeom prst="rect">
                    <a:avLst/>
                  </a:prstGeom>
                </pic:spPr>
              </pic:pic>
            </a:graphicData>
          </a:graphic>
          <wp14:sizeRelH relativeFrom="margin">
            <wp14:pctWidth>0</wp14:pctWidth>
          </wp14:sizeRelH>
          <wp14:sizeRelV relativeFrom="margin">
            <wp14:pctHeight>0</wp14:pctHeight>
          </wp14:sizeRelV>
        </wp:anchor>
      </w:drawing>
    </w:r>
    <w:r w:rsidRPr="00BA65DE">
      <w:rPr>
        <w:rFonts w:ascii="Calibri" w:eastAsia="Calibri" w:hAnsi="Calibri" w:cs="Times New Roman"/>
        <w:noProof/>
        <w:lang w:val="es-ES" w:eastAsia="es-ES"/>
      </w:rPr>
      <w:t xml:space="preserve">                                       </w:t>
    </w:r>
  </w:p>
  <w:p w14:paraId="0725FE86" w14:textId="77777777" w:rsidR="00083E05" w:rsidRDefault="00083E05">
    <w:pPr>
      <w:pStyle w:val="Encabezado"/>
    </w:pPr>
  </w:p>
  <w:p w14:paraId="57A217E5" w14:textId="77777777" w:rsidR="00083E05" w:rsidRDefault="00083E05">
    <w:pPr>
      <w:pStyle w:val="Encabezado"/>
    </w:pPr>
  </w:p>
  <w:p w14:paraId="007B9565" w14:textId="77777777" w:rsidR="00083E05" w:rsidRDefault="00083E05">
    <w:pPr>
      <w:pStyle w:val="Encabezado"/>
    </w:pPr>
  </w:p>
  <w:p w14:paraId="201EF812" w14:textId="77777777" w:rsidR="00083E05" w:rsidRDefault="00083E0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43C"/>
    <w:multiLevelType w:val="hybridMultilevel"/>
    <w:tmpl w:val="81285B4C"/>
    <w:lvl w:ilvl="0" w:tplc="0C0A000F">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 w15:restartNumberingAfterBreak="0">
    <w:nsid w:val="0449082C"/>
    <w:multiLevelType w:val="hybridMultilevel"/>
    <w:tmpl w:val="E12E57C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C77887"/>
    <w:multiLevelType w:val="hybridMultilevel"/>
    <w:tmpl w:val="47CA774E"/>
    <w:numStyleLink w:val="Nmero"/>
  </w:abstractNum>
  <w:abstractNum w:abstractNumId="3" w15:restartNumberingAfterBreak="0">
    <w:nsid w:val="04CD4EA2"/>
    <w:multiLevelType w:val="multilevel"/>
    <w:tmpl w:val="70C259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A5332FE"/>
    <w:multiLevelType w:val="hybridMultilevel"/>
    <w:tmpl w:val="CA1AC8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921A78"/>
    <w:multiLevelType w:val="hybridMultilevel"/>
    <w:tmpl w:val="47CA774E"/>
    <w:styleLink w:val="Nmero"/>
    <w:lvl w:ilvl="0" w:tplc="4A620B8E">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263ADC">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D26722">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E2FA16">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462D52">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DA5B42">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184E28">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4EB566">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B2D7E2">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DB46202"/>
    <w:multiLevelType w:val="hybridMultilevel"/>
    <w:tmpl w:val="47CA774E"/>
    <w:numStyleLink w:val="Nmero"/>
  </w:abstractNum>
  <w:abstractNum w:abstractNumId="7" w15:restartNumberingAfterBreak="0">
    <w:nsid w:val="0DF053ED"/>
    <w:multiLevelType w:val="hybridMultilevel"/>
    <w:tmpl w:val="FD78B1D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4C29D6"/>
    <w:multiLevelType w:val="hybridMultilevel"/>
    <w:tmpl w:val="3454C3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1756B9"/>
    <w:multiLevelType w:val="multilevel"/>
    <w:tmpl w:val="8C52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991276"/>
    <w:multiLevelType w:val="hybridMultilevel"/>
    <w:tmpl w:val="0358AE78"/>
    <w:lvl w:ilvl="0" w:tplc="1C589E8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026515"/>
    <w:multiLevelType w:val="hybridMultilevel"/>
    <w:tmpl w:val="188CF7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3F6AA7"/>
    <w:multiLevelType w:val="hybridMultilevel"/>
    <w:tmpl w:val="01E88BFC"/>
    <w:lvl w:ilvl="0" w:tplc="921E1F96">
      <w:start w:val="2"/>
      <w:numFmt w:val="bullet"/>
      <w:lvlText w:val="-"/>
      <w:lvlJc w:val="left"/>
      <w:pPr>
        <w:ind w:left="1636" w:hanging="360"/>
      </w:pPr>
      <w:rPr>
        <w:rFonts w:ascii="Arial" w:eastAsiaTheme="minorHAnsi" w:hAnsi="Arial" w:cs="Arial" w:hint="default"/>
      </w:rPr>
    </w:lvl>
    <w:lvl w:ilvl="1" w:tplc="240A0003" w:tentative="1">
      <w:start w:val="1"/>
      <w:numFmt w:val="bullet"/>
      <w:lvlText w:val="o"/>
      <w:lvlJc w:val="left"/>
      <w:pPr>
        <w:ind w:left="2356" w:hanging="360"/>
      </w:pPr>
      <w:rPr>
        <w:rFonts w:ascii="Courier New" w:hAnsi="Courier New" w:cs="Courier New" w:hint="default"/>
      </w:rPr>
    </w:lvl>
    <w:lvl w:ilvl="2" w:tplc="240A0005" w:tentative="1">
      <w:start w:val="1"/>
      <w:numFmt w:val="bullet"/>
      <w:lvlText w:val=""/>
      <w:lvlJc w:val="left"/>
      <w:pPr>
        <w:ind w:left="3076" w:hanging="360"/>
      </w:pPr>
      <w:rPr>
        <w:rFonts w:ascii="Wingdings" w:hAnsi="Wingdings" w:hint="default"/>
      </w:rPr>
    </w:lvl>
    <w:lvl w:ilvl="3" w:tplc="240A0001" w:tentative="1">
      <w:start w:val="1"/>
      <w:numFmt w:val="bullet"/>
      <w:lvlText w:val=""/>
      <w:lvlJc w:val="left"/>
      <w:pPr>
        <w:ind w:left="3796" w:hanging="360"/>
      </w:pPr>
      <w:rPr>
        <w:rFonts w:ascii="Symbol" w:hAnsi="Symbol" w:hint="default"/>
      </w:rPr>
    </w:lvl>
    <w:lvl w:ilvl="4" w:tplc="240A0003" w:tentative="1">
      <w:start w:val="1"/>
      <w:numFmt w:val="bullet"/>
      <w:lvlText w:val="o"/>
      <w:lvlJc w:val="left"/>
      <w:pPr>
        <w:ind w:left="4516" w:hanging="360"/>
      </w:pPr>
      <w:rPr>
        <w:rFonts w:ascii="Courier New" w:hAnsi="Courier New" w:cs="Courier New" w:hint="default"/>
      </w:rPr>
    </w:lvl>
    <w:lvl w:ilvl="5" w:tplc="240A0005" w:tentative="1">
      <w:start w:val="1"/>
      <w:numFmt w:val="bullet"/>
      <w:lvlText w:val=""/>
      <w:lvlJc w:val="left"/>
      <w:pPr>
        <w:ind w:left="5236" w:hanging="360"/>
      </w:pPr>
      <w:rPr>
        <w:rFonts w:ascii="Wingdings" w:hAnsi="Wingdings" w:hint="default"/>
      </w:rPr>
    </w:lvl>
    <w:lvl w:ilvl="6" w:tplc="240A0001" w:tentative="1">
      <w:start w:val="1"/>
      <w:numFmt w:val="bullet"/>
      <w:lvlText w:val=""/>
      <w:lvlJc w:val="left"/>
      <w:pPr>
        <w:ind w:left="5956" w:hanging="360"/>
      </w:pPr>
      <w:rPr>
        <w:rFonts w:ascii="Symbol" w:hAnsi="Symbol" w:hint="default"/>
      </w:rPr>
    </w:lvl>
    <w:lvl w:ilvl="7" w:tplc="240A0003" w:tentative="1">
      <w:start w:val="1"/>
      <w:numFmt w:val="bullet"/>
      <w:lvlText w:val="o"/>
      <w:lvlJc w:val="left"/>
      <w:pPr>
        <w:ind w:left="6676" w:hanging="360"/>
      </w:pPr>
      <w:rPr>
        <w:rFonts w:ascii="Courier New" w:hAnsi="Courier New" w:cs="Courier New" w:hint="default"/>
      </w:rPr>
    </w:lvl>
    <w:lvl w:ilvl="8" w:tplc="240A0005" w:tentative="1">
      <w:start w:val="1"/>
      <w:numFmt w:val="bullet"/>
      <w:lvlText w:val=""/>
      <w:lvlJc w:val="left"/>
      <w:pPr>
        <w:ind w:left="7396" w:hanging="360"/>
      </w:pPr>
      <w:rPr>
        <w:rFonts w:ascii="Wingdings" w:hAnsi="Wingdings" w:hint="default"/>
      </w:rPr>
    </w:lvl>
  </w:abstractNum>
  <w:abstractNum w:abstractNumId="13" w15:restartNumberingAfterBreak="0">
    <w:nsid w:val="2BF7653F"/>
    <w:multiLevelType w:val="hybridMultilevel"/>
    <w:tmpl w:val="E6AE1F0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2E3D0DA1"/>
    <w:multiLevelType w:val="hybridMultilevel"/>
    <w:tmpl w:val="D9505E70"/>
    <w:lvl w:ilvl="0" w:tplc="60C4CF3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4456C56"/>
    <w:multiLevelType w:val="multilevel"/>
    <w:tmpl w:val="DB10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84FBA"/>
    <w:multiLevelType w:val="hybridMultilevel"/>
    <w:tmpl w:val="9CE81B94"/>
    <w:lvl w:ilvl="0" w:tplc="F6108F3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3E1B4249"/>
    <w:multiLevelType w:val="hybridMultilevel"/>
    <w:tmpl w:val="FA0AE36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7717347"/>
    <w:multiLevelType w:val="hybridMultilevel"/>
    <w:tmpl w:val="894EEF44"/>
    <w:lvl w:ilvl="0" w:tplc="48F41AFC">
      <w:start w:val="1"/>
      <w:numFmt w:val="upperLetter"/>
      <w:lvlText w:val="%1."/>
      <w:lvlJc w:val="left"/>
      <w:pPr>
        <w:ind w:left="1180" w:hanging="4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4EB23989"/>
    <w:multiLevelType w:val="hybridMultilevel"/>
    <w:tmpl w:val="4BC08BBC"/>
    <w:lvl w:ilvl="0" w:tplc="2F8C90B2">
      <w:start w:val="1"/>
      <w:numFmt w:val="upperLetter"/>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F827EE1"/>
    <w:multiLevelType w:val="hybridMultilevel"/>
    <w:tmpl w:val="62DE37D0"/>
    <w:lvl w:ilvl="0" w:tplc="F1001928">
      <w:start w:val="1"/>
      <w:numFmt w:val="upperLetter"/>
      <w:lvlText w:val="%1."/>
      <w:lvlJc w:val="left"/>
      <w:pPr>
        <w:ind w:left="1540" w:hanging="360"/>
      </w:pPr>
      <w:rPr>
        <w:rFonts w:hint="default"/>
      </w:rPr>
    </w:lvl>
    <w:lvl w:ilvl="1" w:tplc="0C0A0019" w:tentative="1">
      <w:start w:val="1"/>
      <w:numFmt w:val="lowerLetter"/>
      <w:lvlText w:val="%2."/>
      <w:lvlJc w:val="left"/>
      <w:pPr>
        <w:ind w:left="2260" w:hanging="360"/>
      </w:pPr>
    </w:lvl>
    <w:lvl w:ilvl="2" w:tplc="0C0A001B" w:tentative="1">
      <w:start w:val="1"/>
      <w:numFmt w:val="lowerRoman"/>
      <w:lvlText w:val="%3."/>
      <w:lvlJc w:val="right"/>
      <w:pPr>
        <w:ind w:left="2980" w:hanging="180"/>
      </w:pPr>
    </w:lvl>
    <w:lvl w:ilvl="3" w:tplc="0C0A000F" w:tentative="1">
      <w:start w:val="1"/>
      <w:numFmt w:val="decimal"/>
      <w:lvlText w:val="%4."/>
      <w:lvlJc w:val="left"/>
      <w:pPr>
        <w:ind w:left="3700" w:hanging="360"/>
      </w:pPr>
    </w:lvl>
    <w:lvl w:ilvl="4" w:tplc="0C0A0019" w:tentative="1">
      <w:start w:val="1"/>
      <w:numFmt w:val="lowerLetter"/>
      <w:lvlText w:val="%5."/>
      <w:lvlJc w:val="left"/>
      <w:pPr>
        <w:ind w:left="4420" w:hanging="360"/>
      </w:pPr>
    </w:lvl>
    <w:lvl w:ilvl="5" w:tplc="0C0A001B" w:tentative="1">
      <w:start w:val="1"/>
      <w:numFmt w:val="lowerRoman"/>
      <w:lvlText w:val="%6."/>
      <w:lvlJc w:val="right"/>
      <w:pPr>
        <w:ind w:left="5140" w:hanging="180"/>
      </w:pPr>
    </w:lvl>
    <w:lvl w:ilvl="6" w:tplc="0C0A000F" w:tentative="1">
      <w:start w:val="1"/>
      <w:numFmt w:val="decimal"/>
      <w:lvlText w:val="%7."/>
      <w:lvlJc w:val="left"/>
      <w:pPr>
        <w:ind w:left="5860" w:hanging="360"/>
      </w:pPr>
    </w:lvl>
    <w:lvl w:ilvl="7" w:tplc="0C0A0019" w:tentative="1">
      <w:start w:val="1"/>
      <w:numFmt w:val="lowerLetter"/>
      <w:lvlText w:val="%8."/>
      <w:lvlJc w:val="left"/>
      <w:pPr>
        <w:ind w:left="6580" w:hanging="360"/>
      </w:pPr>
    </w:lvl>
    <w:lvl w:ilvl="8" w:tplc="0C0A001B" w:tentative="1">
      <w:start w:val="1"/>
      <w:numFmt w:val="lowerRoman"/>
      <w:lvlText w:val="%9."/>
      <w:lvlJc w:val="right"/>
      <w:pPr>
        <w:ind w:left="7300" w:hanging="180"/>
      </w:pPr>
    </w:lvl>
  </w:abstractNum>
  <w:abstractNum w:abstractNumId="21" w15:restartNumberingAfterBreak="0">
    <w:nsid w:val="4FC625CD"/>
    <w:multiLevelType w:val="hybridMultilevel"/>
    <w:tmpl w:val="A0044BF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3425528"/>
    <w:multiLevelType w:val="hybridMultilevel"/>
    <w:tmpl w:val="FF448A6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411CA4"/>
    <w:multiLevelType w:val="hybridMultilevel"/>
    <w:tmpl w:val="81285B4C"/>
    <w:lvl w:ilvl="0" w:tplc="0C0A000F">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4" w15:restartNumberingAfterBreak="0">
    <w:nsid w:val="5B1570F6"/>
    <w:multiLevelType w:val="hybridMultilevel"/>
    <w:tmpl w:val="CCC2D558"/>
    <w:lvl w:ilvl="0" w:tplc="40F2E86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9C4CFE">
      <w:start w:val="1"/>
      <w:numFmt w:val="decimal"/>
      <w:lvlText w:val="%2."/>
      <w:lvlJc w:val="left"/>
      <w:pPr>
        <w:ind w:left="11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F6A730">
      <w:start w:val="1"/>
      <w:numFmt w:val="decimal"/>
      <w:lvlText w:val="%3."/>
      <w:lvlJc w:val="left"/>
      <w:pPr>
        <w:ind w:left="19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B24136">
      <w:start w:val="1"/>
      <w:numFmt w:val="decimal"/>
      <w:lvlText w:val="%4."/>
      <w:lvlJc w:val="left"/>
      <w:pPr>
        <w:ind w:left="271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7269CE">
      <w:start w:val="1"/>
      <w:numFmt w:val="decimal"/>
      <w:lvlText w:val="%5."/>
      <w:lvlJc w:val="left"/>
      <w:pPr>
        <w:ind w:left="350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CCA9F0">
      <w:start w:val="1"/>
      <w:numFmt w:val="decimal"/>
      <w:lvlText w:val="%6."/>
      <w:lvlJc w:val="left"/>
      <w:pPr>
        <w:ind w:left="42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7678C8">
      <w:start w:val="1"/>
      <w:numFmt w:val="decimal"/>
      <w:lvlText w:val="%7."/>
      <w:lvlJc w:val="left"/>
      <w:pPr>
        <w:ind w:left="507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B641BA">
      <w:start w:val="1"/>
      <w:numFmt w:val="decimal"/>
      <w:lvlText w:val="%8."/>
      <w:lvlJc w:val="left"/>
      <w:pPr>
        <w:ind w:left="585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7E6596">
      <w:start w:val="1"/>
      <w:numFmt w:val="decimal"/>
      <w:lvlText w:val="%9."/>
      <w:lvlJc w:val="left"/>
      <w:pPr>
        <w:ind w:left="66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C41641E"/>
    <w:multiLevelType w:val="hybridMultilevel"/>
    <w:tmpl w:val="38441606"/>
    <w:lvl w:ilvl="0" w:tplc="1240809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5D4E3826"/>
    <w:multiLevelType w:val="hybridMultilevel"/>
    <w:tmpl w:val="91AABD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F767149"/>
    <w:multiLevelType w:val="hybridMultilevel"/>
    <w:tmpl w:val="45C27262"/>
    <w:lvl w:ilvl="0" w:tplc="F30CC984">
      <w:start w:val="2"/>
      <w:numFmt w:val="bullet"/>
      <w:lvlText w:val="-"/>
      <w:lvlJc w:val="left"/>
      <w:pPr>
        <w:ind w:left="1800" w:hanging="360"/>
      </w:pPr>
      <w:rPr>
        <w:rFonts w:ascii="Arial" w:eastAsiaTheme="minorHAnsi"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8" w15:restartNumberingAfterBreak="0">
    <w:nsid w:val="5F8007BC"/>
    <w:multiLevelType w:val="hybridMultilevel"/>
    <w:tmpl w:val="BDA849D8"/>
    <w:lvl w:ilvl="0" w:tplc="823CA8A2">
      <w:numFmt w:val="bullet"/>
      <w:lvlText w:val="-"/>
      <w:lvlJc w:val="left"/>
      <w:pPr>
        <w:ind w:left="720" w:hanging="360"/>
      </w:pPr>
      <w:rPr>
        <w:rFonts w:ascii="Arial" w:eastAsia="Helvetic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45F5D9E"/>
    <w:multiLevelType w:val="hybridMultilevel"/>
    <w:tmpl w:val="B0D8BE70"/>
    <w:lvl w:ilvl="0" w:tplc="8A08FA4A">
      <w:start w:val="1"/>
      <w:numFmt w:val="upperLetter"/>
      <w:lvlText w:val="%1."/>
      <w:lvlJc w:val="left"/>
      <w:pPr>
        <w:ind w:left="1180" w:hanging="4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669A7D1E"/>
    <w:multiLevelType w:val="hybridMultilevel"/>
    <w:tmpl w:val="606A4472"/>
    <w:lvl w:ilvl="0" w:tplc="0C0A0001">
      <w:start w:val="1"/>
      <w:numFmt w:val="bullet"/>
      <w:lvlText w:val=""/>
      <w:lvlJc w:val="left"/>
      <w:pPr>
        <w:ind w:left="2356" w:hanging="360"/>
      </w:pPr>
      <w:rPr>
        <w:rFonts w:ascii="Symbol" w:hAnsi="Symbol" w:hint="default"/>
      </w:rPr>
    </w:lvl>
    <w:lvl w:ilvl="1" w:tplc="0C0A0003" w:tentative="1">
      <w:start w:val="1"/>
      <w:numFmt w:val="bullet"/>
      <w:lvlText w:val="o"/>
      <w:lvlJc w:val="left"/>
      <w:pPr>
        <w:ind w:left="3076" w:hanging="360"/>
      </w:pPr>
      <w:rPr>
        <w:rFonts w:ascii="Courier New" w:hAnsi="Courier New" w:hint="default"/>
      </w:rPr>
    </w:lvl>
    <w:lvl w:ilvl="2" w:tplc="0C0A0005" w:tentative="1">
      <w:start w:val="1"/>
      <w:numFmt w:val="bullet"/>
      <w:lvlText w:val=""/>
      <w:lvlJc w:val="left"/>
      <w:pPr>
        <w:ind w:left="3796" w:hanging="360"/>
      </w:pPr>
      <w:rPr>
        <w:rFonts w:ascii="Wingdings" w:hAnsi="Wingdings" w:hint="default"/>
      </w:rPr>
    </w:lvl>
    <w:lvl w:ilvl="3" w:tplc="0C0A0001" w:tentative="1">
      <w:start w:val="1"/>
      <w:numFmt w:val="bullet"/>
      <w:lvlText w:val=""/>
      <w:lvlJc w:val="left"/>
      <w:pPr>
        <w:ind w:left="4516" w:hanging="360"/>
      </w:pPr>
      <w:rPr>
        <w:rFonts w:ascii="Symbol" w:hAnsi="Symbol" w:hint="default"/>
      </w:rPr>
    </w:lvl>
    <w:lvl w:ilvl="4" w:tplc="0C0A0003" w:tentative="1">
      <w:start w:val="1"/>
      <w:numFmt w:val="bullet"/>
      <w:lvlText w:val="o"/>
      <w:lvlJc w:val="left"/>
      <w:pPr>
        <w:ind w:left="5236" w:hanging="360"/>
      </w:pPr>
      <w:rPr>
        <w:rFonts w:ascii="Courier New" w:hAnsi="Courier New" w:hint="default"/>
      </w:rPr>
    </w:lvl>
    <w:lvl w:ilvl="5" w:tplc="0C0A0005" w:tentative="1">
      <w:start w:val="1"/>
      <w:numFmt w:val="bullet"/>
      <w:lvlText w:val=""/>
      <w:lvlJc w:val="left"/>
      <w:pPr>
        <w:ind w:left="5956" w:hanging="360"/>
      </w:pPr>
      <w:rPr>
        <w:rFonts w:ascii="Wingdings" w:hAnsi="Wingdings" w:hint="default"/>
      </w:rPr>
    </w:lvl>
    <w:lvl w:ilvl="6" w:tplc="0C0A0001" w:tentative="1">
      <w:start w:val="1"/>
      <w:numFmt w:val="bullet"/>
      <w:lvlText w:val=""/>
      <w:lvlJc w:val="left"/>
      <w:pPr>
        <w:ind w:left="6676" w:hanging="360"/>
      </w:pPr>
      <w:rPr>
        <w:rFonts w:ascii="Symbol" w:hAnsi="Symbol" w:hint="default"/>
      </w:rPr>
    </w:lvl>
    <w:lvl w:ilvl="7" w:tplc="0C0A0003" w:tentative="1">
      <w:start w:val="1"/>
      <w:numFmt w:val="bullet"/>
      <w:lvlText w:val="o"/>
      <w:lvlJc w:val="left"/>
      <w:pPr>
        <w:ind w:left="7396" w:hanging="360"/>
      </w:pPr>
      <w:rPr>
        <w:rFonts w:ascii="Courier New" w:hAnsi="Courier New" w:hint="default"/>
      </w:rPr>
    </w:lvl>
    <w:lvl w:ilvl="8" w:tplc="0C0A0005" w:tentative="1">
      <w:start w:val="1"/>
      <w:numFmt w:val="bullet"/>
      <w:lvlText w:val=""/>
      <w:lvlJc w:val="left"/>
      <w:pPr>
        <w:ind w:left="8116" w:hanging="360"/>
      </w:pPr>
      <w:rPr>
        <w:rFonts w:ascii="Wingdings" w:hAnsi="Wingdings" w:hint="default"/>
      </w:rPr>
    </w:lvl>
  </w:abstractNum>
  <w:abstractNum w:abstractNumId="31" w15:restartNumberingAfterBreak="0">
    <w:nsid w:val="6C7F0787"/>
    <w:multiLevelType w:val="hybridMultilevel"/>
    <w:tmpl w:val="E7A2ED6E"/>
    <w:lvl w:ilvl="0" w:tplc="186A0B10">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3920028"/>
    <w:multiLevelType w:val="hybridMultilevel"/>
    <w:tmpl w:val="C4822574"/>
    <w:lvl w:ilvl="0" w:tplc="3594CF28">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3ED1912"/>
    <w:multiLevelType w:val="hybridMultilevel"/>
    <w:tmpl w:val="9078BD40"/>
    <w:lvl w:ilvl="0" w:tplc="6F8842BC">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4B04E20"/>
    <w:multiLevelType w:val="hybridMultilevel"/>
    <w:tmpl w:val="85AE0DE0"/>
    <w:lvl w:ilvl="0" w:tplc="3EA6D62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56166B4"/>
    <w:multiLevelType w:val="hybridMultilevel"/>
    <w:tmpl w:val="4DF63E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FE69EE"/>
    <w:multiLevelType w:val="multilevel"/>
    <w:tmpl w:val="F2ECD35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F123B60"/>
    <w:multiLevelType w:val="hybridMultilevel"/>
    <w:tmpl w:val="06AE84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7"/>
  </w:num>
  <w:num w:numId="3">
    <w:abstractNumId w:val="13"/>
  </w:num>
  <w:num w:numId="4">
    <w:abstractNumId w:val="26"/>
  </w:num>
  <w:num w:numId="5">
    <w:abstractNumId w:val="4"/>
  </w:num>
  <w:num w:numId="6">
    <w:abstractNumId w:val="34"/>
  </w:num>
  <w:num w:numId="7">
    <w:abstractNumId w:val="23"/>
  </w:num>
  <w:num w:numId="8">
    <w:abstractNumId w:val="12"/>
  </w:num>
  <w:num w:numId="9">
    <w:abstractNumId w:val="0"/>
  </w:num>
  <w:num w:numId="10">
    <w:abstractNumId w:val="5"/>
  </w:num>
  <w:num w:numId="11">
    <w:abstractNumId w:val="2"/>
  </w:num>
  <w:num w:numId="12">
    <w:abstractNumId w:val="36"/>
  </w:num>
  <w:num w:numId="13">
    <w:abstractNumId w:val="30"/>
  </w:num>
  <w:num w:numId="14">
    <w:abstractNumId w:val="17"/>
  </w:num>
  <w:num w:numId="15">
    <w:abstractNumId w:val="8"/>
  </w:num>
  <w:num w:numId="16">
    <w:abstractNumId w:val="21"/>
  </w:num>
  <w:num w:numId="17">
    <w:abstractNumId w:val="6"/>
  </w:num>
  <w:num w:numId="18">
    <w:abstractNumId w:val="28"/>
  </w:num>
  <w:num w:numId="19">
    <w:abstractNumId w:val="32"/>
  </w:num>
  <w:num w:numId="20">
    <w:abstractNumId w:val="31"/>
  </w:num>
  <w:num w:numId="21">
    <w:abstractNumId w:val="24"/>
  </w:num>
  <w:num w:numId="22">
    <w:abstractNumId w:val="24"/>
    <w:lvlOverride w:ilvl="1">
      <w:startOverride w:val="1"/>
    </w:lvlOverride>
  </w:num>
  <w:num w:numId="23">
    <w:abstractNumId w:val="24"/>
    <w:lvlOverride w:ilvl="1">
      <w:startOverride w:val="1"/>
    </w:lvlOverride>
  </w:num>
  <w:num w:numId="24">
    <w:abstractNumId w:val="35"/>
  </w:num>
  <w:num w:numId="25">
    <w:abstractNumId w:val="25"/>
  </w:num>
  <w:num w:numId="26">
    <w:abstractNumId w:val="16"/>
  </w:num>
  <w:num w:numId="27">
    <w:abstractNumId w:val="11"/>
  </w:num>
  <w:num w:numId="28">
    <w:abstractNumId w:val="18"/>
  </w:num>
  <w:num w:numId="29">
    <w:abstractNumId w:val="29"/>
  </w:num>
  <w:num w:numId="30">
    <w:abstractNumId w:val="37"/>
  </w:num>
  <w:num w:numId="31">
    <w:abstractNumId w:val="14"/>
  </w:num>
  <w:num w:numId="32">
    <w:abstractNumId w:val="20"/>
  </w:num>
  <w:num w:numId="33">
    <w:abstractNumId w:val="7"/>
  </w:num>
  <w:num w:numId="34">
    <w:abstractNumId w:val="22"/>
  </w:num>
  <w:num w:numId="35">
    <w:abstractNumId w:val="10"/>
  </w:num>
  <w:num w:numId="36">
    <w:abstractNumId w:val="1"/>
  </w:num>
  <w:num w:numId="37">
    <w:abstractNumId w:val="33"/>
  </w:num>
  <w:num w:numId="38">
    <w:abstractNumId w:val="9"/>
  </w:num>
  <w:num w:numId="39">
    <w:abstractNumId w:val="1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5DE"/>
    <w:rsid w:val="00001705"/>
    <w:rsid w:val="000108B0"/>
    <w:rsid w:val="00012D46"/>
    <w:rsid w:val="00014489"/>
    <w:rsid w:val="000258FC"/>
    <w:rsid w:val="0004556F"/>
    <w:rsid w:val="000468ED"/>
    <w:rsid w:val="00054841"/>
    <w:rsid w:val="0005750E"/>
    <w:rsid w:val="0006562C"/>
    <w:rsid w:val="0006602A"/>
    <w:rsid w:val="000667B5"/>
    <w:rsid w:val="00077CAF"/>
    <w:rsid w:val="0008015C"/>
    <w:rsid w:val="00083545"/>
    <w:rsid w:val="00083E05"/>
    <w:rsid w:val="000A6DCD"/>
    <w:rsid w:val="000B39CC"/>
    <w:rsid w:val="000B4016"/>
    <w:rsid w:val="000B7D32"/>
    <w:rsid w:val="000C0E79"/>
    <w:rsid w:val="000C2D80"/>
    <w:rsid w:val="000D481F"/>
    <w:rsid w:val="000D56DE"/>
    <w:rsid w:val="000E2F09"/>
    <w:rsid w:val="000E4410"/>
    <w:rsid w:val="00110A01"/>
    <w:rsid w:val="001113FB"/>
    <w:rsid w:val="00117BF0"/>
    <w:rsid w:val="00124D75"/>
    <w:rsid w:val="00125025"/>
    <w:rsid w:val="00131137"/>
    <w:rsid w:val="001513BB"/>
    <w:rsid w:val="00153508"/>
    <w:rsid w:val="00161DEC"/>
    <w:rsid w:val="00165585"/>
    <w:rsid w:val="00190C2A"/>
    <w:rsid w:val="0019472E"/>
    <w:rsid w:val="001A5403"/>
    <w:rsid w:val="001B553D"/>
    <w:rsid w:val="001D3570"/>
    <w:rsid w:val="001E0870"/>
    <w:rsid w:val="002010AD"/>
    <w:rsid w:val="00206EB7"/>
    <w:rsid w:val="00212225"/>
    <w:rsid w:val="00226FCE"/>
    <w:rsid w:val="0023532D"/>
    <w:rsid w:val="00242BED"/>
    <w:rsid w:val="0025709D"/>
    <w:rsid w:val="00264BE6"/>
    <w:rsid w:val="00266DD1"/>
    <w:rsid w:val="00275420"/>
    <w:rsid w:val="002820AC"/>
    <w:rsid w:val="002834A5"/>
    <w:rsid w:val="00286DA3"/>
    <w:rsid w:val="002912B7"/>
    <w:rsid w:val="002A0A71"/>
    <w:rsid w:val="002E2AA8"/>
    <w:rsid w:val="002E4149"/>
    <w:rsid w:val="002F2589"/>
    <w:rsid w:val="002F3163"/>
    <w:rsid w:val="0030299B"/>
    <w:rsid w:val="00312638"/>
    <w:rsid w:val="00316C0A"/>
    <w:rsid w:val="0031739A"/>
    <w:rsid w:val="00326C7D"/>
    <w:rsid w:val="003344EB"/>
    <w:rsid w:val="00342699"/>
    <w:rsid w:val="00345A34"/>
    <w:rsid w:val="00350748"/>
    <w:rsid w:val="00353739"/>
    <w:rsid w:val="00354D8F"/>
    <w:rsid w:val="00364C58"/>
    <w:rsid w:val="00370510"/>
    <w:rsid w:val="00373C58"/>
    <w:rsid w:val="00376064"/>
    <w:rsid w:val="00381F15"/>
    <w:rsid w:val="00391E1C"/>
    <w:rsid w:val="003B7AA4"/>
    <w:rsid w:val="003C6C69"/>
    <w:rsid w:val="003D6036"/>
    <w:rsid w:val="0040054B"/>
    <w:rsid w:val="00401177"/>
    <w:rsid w:val="0040249F"/>
    <w:rsid w:val="004060B3"/>
    <w:rsid w:val="004405ED"/>
    <w:rsid w:val="0044694F"/>
    <w:rsid w:val="00450E11"/>
    <w:rsid w:val="00457E84"/>
    <w:rsid w:val="00474653"/>
    <w:rsid w:val="00480322"/>
    <w:rsid w:val="004C15A8"/>
    <w:rsid w:val="004D4511"/>
    <w:rsid w:val="004D5F22"/>
    <w:rsid w:val="004E6F64"/>
    <w:rsid w:val="004F2F90"/>
    <w:rsid w:val="005016EE"/>
    <w:rsid w:val="00510EE4"/>
    <w:rsid w:val="005118CE"/>
    <w:rsid w:val="0055576F"/>
    <w:rsid w:val="00557039"/>
    <w:rsid w:val="00561A27"/>
    <w:rsid w:val="00567A07"/>
    <w:rsid w:val="00572C5F"/>
    <w:rsid w:val="005A1DA2"/>
    <w:rsid w:val="005D49A7"/>
    <w:rsid w:val="005F0DCC"/>
    <w:rsid w:val="005F3690"/>
    <w:rsid w:val="005F700E"/>
    <w:rsid w:val="006030FE"/>
    <w:rsid w:val="00612A60"/>
    <w:rsid w:val="00625FBC"/>
    <w:rsid w:val="00637738"/>
    <w:rsid w:val="0064794D"/>
    <w:rsid w:val="00651D40"/>
    <w:rsid w:val="00666279"/>
    <w:rsid w:val="00673402"/>
    <w:rsid w:val="0068748E"/>
    <w:rsid w:val="006A6E81"/>
    <w:rsid w:val="006D5725"/>
    <w:rsid w:val="006D6AC1"/>
    <w:rsid w:val="006D6B78"/>
    <w:rsid w:val="006E6CE5"/>
    <w:rsid w:val="006F251E"/>
    <w:rsid w:val="00700FEA"/>
    <w:rsid w:val="007100D7"/>
    <w:rsid w:val="0071022E"/>
    <w:rsid w:val="007165A5"/>
    <w:rsid w:val="00723E89"/>
    <w:rsid w:val="00732F24"/>
    <w:rsid w:val="00751859"/>
    <w:rsid w:val="0075189D"/>
    <w:rsid w:val="00757F4F"/>
    <w:rsid w:val="007A539A"/>
    <w:rsid w:val="007A5BC6"/>
    <w:rsid w:val="007B1D32"/>
    <w:rsid w:val="007B3B9B"/>
    <w:rsid w:val="007D1FE6"/>
    <w:rsid w:val="007F278B"/>
    <w:rsid w:val="007F720C"/>
    <w:rsid w:val="0081386F"/>
    <w:rsid w:val="008139E6"/>
    <w:rsid w:val="00815932"/>
    <w:rsid w:val="0084653E"/>
    <w:rsid w:val="008550BE"/>
    <w:rsid w:val="008667D7"/>
    <w:rsid w:val="00867FD6"/>
    <w:rsid w:val="00872370"/>
    <w:rsid w:val="00882661"/>
    <w:rsid w:val="00885E56"/>
    <w:rsid w:val="00892380"/>
    <w:rsid w:val="008A1954"/>
    <w:rsid w:val="008B7591"/>
    <w:rsid w:val="008C1868"/>
    <w:rsid w:val="008C2624"/>
    <w:rsid w:val="008C7A6F"/>
    <w:rsid w:val="008D0966"/>
    <w:rsid w:val="008D0D16"/>
    <w:rsid w:val="008E76AB"/>
    <w:rsid w:val="008E7823"/>
    <w:rsid w:val="008E79FD"/>
    <w:rsid w:val="008F1D5B"/>
    <w:rsid w:val="008F2050"/>
    <w:rsid w:val="008F3B43"/>
    <w:rsid w:val="008F7B41"/>
    <w:rsid w:val="00912AC0"/>
    <w:rsid w:val="0091421A"/>
    <w:rsid w:val="00931038"/>
    <w:rsid w:val="00940AFE"/>
    <w:rsid w:val="00943F06"/>
    <w:rsid w:val="00944834"/>
    <w:rsid w:val="00960DDA"/>
    <w:rsid w:val="009667C9"/>
    <w:rsid w:val="00966DBA"/>
    <w:rsid w:val="009756A0"/>
    <w:rsid w:val="00980286"/>
    <w:rsid w:val="00993A1B"/>
    <w:rsid w:val="009A1913"/>
    <w:rsid w:val="009F1E4D"/>
    <w:rsid w:val="009F3D18"/>
    <w:rsid w:val="00A00832"/>
    <w:rsid w:val="00A501DC"/>
    <w:rsid w:val="00A52953"/>
    <w:rsid w:val="00A53B37"/>
    <w:rsid w:val="00A6561A"/>
    <w:rsid w:val="00A756DE"/>
    <w:rsid w:val="00A77453"/>
    <w:rsid w:val="00A80D18"/>
    <w:rsid w:val="00A843ED"/>
    <w:rsid w:val="00A87C06"/>
    <w:rsid w:val="00A95AEB"/>
    <w:rsid w:val="00A966DF"/>
    <w:rsid w:val="00AB47DE"/>
    <w:rsid w:val="00AC06B1"/>
    <w:rsid w:val="00AF0232"/>
    <w:rsid w:val="00AF35F5"/>
    <w:rsid w:val="00AF7DDD"/>
    <w:rsid w:val="00B10D20"/>
    <w:rsid w:val="00B129EE"/>
    <w:rsid w:val="00B15615"/>
    <w:rsid w:val="00B23B7C"/>
    <w:rsid w:val="00B31445"/>
    <w:rsid w:val="00B34E71"/>
    <w:rsid w:val="00B666E0"/>
    <w:rsid w:val="00B66971"/>
    <w:rsid w:val="00B70AEA"/>
    <w:rsid w:val="00B7489A"/>
    <w:rsid w:val="00B9118A"/>
    <w:rsid w:val="00BA1BD6"/>
    <w:rsid w:val="00BA65DE"/>
    <w:rsid w:val="00BB2CDC"/>
    <w:rsid w:val="00BC66EB"/>
    <w:rsid w:val="00BD24A5"/>
    <w:rsid w:val="00BE2930"/>
    <w:rsid w:val="00BF5F66"/>
    <w:rsid w:val="00BF7375"/>
    <w:rsid w:val="00C01E11"/>
    <w:rsid w:val="00C0595B"/>
    <w:rsid w:val="00C20D49"/>
    <w:rsid w:val="00C37C3D"/>
    <w:rsid w:val="00C37D2A"/>
    <w:rsid w:val="00C45572"/>
    <w:rsid w:val="00C47DC0"/>
    <w:rsid w:val="00C52298"/>
    <w:rsid w:val="00C567B7"/>
    <w:rsid w:val="00C64B82"/>
    <w:rsid w:val="00C66BF9"/>
    <w:rsid w:val="00C71E92"/>
    <w:rsid w:val="00C90D77"/>
    <w:rsid w:val="00CA0ABF"/>
    <w:rsid w:val="00CB3D42"/>
    <w:rsid w:val="00CC63C9"/>
    <w:rsid w:val="00CD31A9"/>
    <w:rsid w:val="00CF361D"/>
    <w:rsid w:val="00CF7B4B"/>
    <w:rsid w:val="00D031AD"/>
    <w:rsid w:val="00D074E7"/>
    <w:rsid w:val="00D138B2"/>
    <w:rsid w:val="00D30F54"/>
    <w:rsid w:val="00D33ADA"/>
    <w:rsid w:val="00D355BD"/>
    <w:rsid w:val="00D50DA7"/>
    <w:rsid w:val="00D77B35"/>
    <w:rsid w:val="00D83C41"/>
    <w:rsid w:val="00D876D2"/>
    <w:rsid w:val="00D90473"/>
    <w:rsid w:val="00D95740"/>
    <w:rsid w:val="00D97988"/>
    <w:rsid w:val="00DA152D"/>
    <w:rsid w:val="00DB0C89"/>
    <w:rsid w:val="00DB38B7"/>
    <w:rsid w:val="00DD0B4A"/>
    <w:rsid w:val="00DD7D67"/>
    <w:rsid w:val="00DF6672"/>
    <w:rsid w:val="00E05FF8"/>
    <w:rsid w:val="00E110D7"/>
    <w:rsid w:val="00E15D31"/>
    <w:rsid w:val="00E1710D"/>
    <w:rsid w:val="00E179F1"/>
    <w:rsid w:val="00E34EAF"/>
    <w:rsid w:val="00E46C2A"/>
    <w:rsid w:val="00E577DC"/>
    <w:rsid w:val="00E64924"/>
    <w:rsid w:val="00E72085"/>
    <w:rsid w:val="00E92A41"/>
    <w:rsid w:val="00E937F8"/>
    <w:rsid w:val="00EA2DE0"/>
    <w:rsid w:val="00EB0F46"/>
    <w:rsid w:val="00EC0935"/>
    <w:rsid w:val="00EC2D2F"/>
    <w:rsid w:val="00EC72CB"/>
    <w:rsid w:val="00F22D0B"/>
    <w:rsid w:val="00F40025"/>
    <w:rsid w:val="00F43183"/>
    <w:rsid w:val="00F45C9F"/>
    <w:rsid w:val="00F5602E"/>
    <w:rsid w:val="00F70E7D"/>
    <w:rsid w:val="00F866B9"/>
    <w:rsid w:val="00FB7ED7"/>
    <w:rsid w:val="00FE3C96"/>
    <w:rsid w:val="00FE44E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033E2D"/>
  <w15:docId w15:val="{D2E7263B-9F2B-44C9-8544-93AC032C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D56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65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65DE"/>
  </w:style>
  <w:style w:type="paragraph" w:styleId="Piedepgina">
    <w:name w:val="footer"/>
    <w:basedOn w:val="Normal"/>
    <w:link w:val="PiedepginaCar"/>
    <w:uiPriority w:val="99"/>
    <w:unhideWhenUsed/>
    <w:rsid w:val="00BA65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65DE"/>
  </w:style>
  <w:style w:type="paragraph" w:styleId="Textodeglobo">
    <w:name w:val="Balloon Text"/>
    <w:basedOn w:val="Normal"/>
    <w:link w:val="TextodegloboCar"/>
    <w:uiPriority w:val="99"/>
    <w:semiHidden/>
    <w:unhideWhenUsed/>
    <w:rsid w:val="00BA65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5DE"/>
    <w:rPr>
      <w:rFonts w:ascii="Tahoma" w:hAnsi="Tahoma" w:cs="Tahoma"/>
      <w:sz w:val="16"/>
      <w:szCs w:val="16"/>
    </w:rPr>
  </w:style>
  <w:style w:type="paragraph" w:customStyle="1" w:styleId="Default">
    <w:name w:val="Default"/>
    <w:rsid w:val="00F45C9F"/>
    <w:pPr>
      <w:autoSpaceDE w:val="0"/>
      <w:autoSpaceDN w:val="0"/>
      <w:adjustRightInd w:val="0"/>
      <w:spacing w:after="0" w:line="240" w:lineRule="auto"/>
    </w:pPr>
    <w:rPr>
      <w:rFonts w:ascii="Arial" w:eastAsia="Calibri" w:hAnsi="Arial" w:cs="Arial"/>
      <w:color w:val="000000"/>
      <w:sz w:val="24"/>
      <w:szCs w:val="24"/>
    </w:rPr>
  </w:style>
  <w:style w:type="paragraph" w:styleId="Textonotapie">
    <w:name w:val="footnote text"/>
    <w:basedOn w:val="Normal"/>
    <w:link w:val="TextonotapieCar"/>
    <w:uiPriority w:val="99"/>
    <w:unhideWhenUsed/>
    <w:rsid w:val="00C45572"/>
    <w:pPr>
      <w:spacing w:after="0" w:line="240" w:lineRule="auto"/>
    </w:pPr>
    <w:rPr>
      <w:sz w:val="20"/>
      <w:szCs w:val="20"/>
    </w:rPr>
  </w:style>
  <w:style w:type="character" w:customStyle="1" w:styleId="TextonotapieCar">
    <w:name w:val="Texto nota pie Car"/>
    <w:basedOn w:val="Fuentedeprrafopredeter"/>
    <w:link w:val="Textonotapie"/>
    <w:uiPriority w:val="99"/>
    <w:rsid w:val="00C45572"/>
    <w:rPr>
      <w:sz w:val="20"/>
      <w:szCs w:val="20"/>
    </w:rPr>
  </w:style>
  <w:style w:type="character" w:styleId="Refdenotaalpie">
    <w:name w:val="footnote reference"/>
    <w:basedOn w:val="Fuentedeprrafopredeter"/>
    <w:uiPriority w:val="99"/>
    <w:unhideWhenUsed/>
    <w:rsid w:val="00C45572"/>
    <w:rPr>
      <w:vertAlign w:val="superscript"/>
    </w:rPr>
  </w:style>
  <w:style w:type="paragraph" w:styleId="NormalWeb">
    <w:name w:val="Normal (Web)"/>
    <w:basedOn w:val="Normal"/>
    <w:uiPriority w:val="99"/>
    <w:unhideWhenUsed/>
    <w:rsid w:val="008C7A6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normal">
    <w:name w:val="x_msonormal"/>
    <w:basedOn w:val="Normal"/>
    <w:rsid w:val="008C7A6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gmail-msofootnotereference">
    <w:name w:val="x_gmail-msofootnotereference"/>
    <w:basedOn w:val="Fuentedeprrafopredeter"/>
    <w:rsid w:val="008C7A6F"/>
  </w:style>
  <w:style w:type="character" w:styleId="Hipervnculo">
    <w:name w:val="Hyperlink"/>
    <w:uiPriority w:val="99"/>
    <w:rsid w:val="00266DD1"/>
    <w:rPr>
      <w:u w:val="single"/>
    </w:rPr>
  </w:style>
  <w:style w:type="paragraph" w:customStyle="1" w:styleId="Cuerpo">
    <w:name w:val="Cuerpo"/>
    <w:rsid w:val="00266DD1"/>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s-ES_tradnl" w:eastAsia="es-ES_tradnl"/>
    </w:rPr>
  </w:style>
  <w:style w:type="table" w:styleId="Tablaconcuadrcula">
    <w:name w:val="Table Grid"/>
    <w:basedOn w:val="Tablanormal"/>
    <w:uiPriority w:val="39"/>
    <w:rsid w:val="0026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266DD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TableStyle1">
    <w:name w:val="Table Style 1"/>
    <w:rsid w:val="00266DD1"/>
    <w:pPr>
      <w:pBdr>
        <w:top w:val="nil"/>
        <w:left w:val="nil"/>
        <w:bottom w:val="nil"/>
        <w:right w:val="nil"/>
        <w:between w:val="nil"/>
        <w:bar w:val="nil"/>
      </w:pBdr>
      <w:spacing w:after="0" w:line="240" w:lineRule="auto"/>
    </w:pPr>
    <w:rPr>
      <w:rFonts w:ascii="Helvetica" w:eastAsia="Arial Unicode MS" w:hAnsi="Helvetica" w:cs="Arial Unicode MS"/>
      <w:b/>
      <w:bCs/>
      <w:color w:val="000000"/>
      <w:sz w:val="20"/>
      <w:szCs w:val="20"/>
      <w:u w:color="000000"/>
      <w:bdr w:val="nil"/>
      <w:lang w:eastAsia="es-CO"/>
    </w:rPr>
  </w:style>
  <w:style w:type="character" w:customStyle="1" w:styleId="Ninguno">
    <w:name w:val="Ninguno"/>
    <w:rsid w:val="00266DD1"/>
  </w:style>
  <w:style w:type="paragraph" w:customStyle="1" w:styleId="TableStyle2">
    <w:name w:val="Table Style 2"/>
    <w:rsid w:val="00266DD1"/>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lang w:val="de-DE" w:eastAsia="es-CO"/>
    </w:rPr>
  </w:style>
  <w:style w:type="paragraph" w:customStyle="1" w:styleId="Body">
    <w:name w:val="Body"/>
    <w:rsid w:val="00266DD1"/>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es-CO"/>
    </w:rPr>
  </w:style>
  <w:style w:type="paragraph" w:customStyle="1" w:styleId="Poromisin">
    <w:name w:val="Por omisión"/>
    <w:rsid w:val="00266DD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CO"/>
    </w:rPr>
  </w:style>
  <w:style w:type="numbering" w:customStyle="1" w:styleId="Nmero">
    <w:name w:val="Número"/>
    <w:rsid w:val="00266DD1"/>
    <w:pPr>
      <w:numPr>
        <w:numId w:val="10"/>
      </w:numPr>
    </w:pPr>
  </w:style>
  <w:style w:type="paragraph" w:styleId="Prrafodelista">
    <w:name w:val="List Paragraph"/>
    <w:basedOn w:val="Normal"/>
    <w:uiPriority w:val="34"/>
    <w:qFormat/>
    <w:rsid w:val="00266DD1"/>
    <w:pPr>
      <w:spacing w:after="160" w:line="259" w:lineRule="auto"/>
      <w:ind w:left="720"/>
      <w:contextualSpacing/>
    </w:pPr>
  </w:style>
  <w:style w:type="paragraph" w:styleId="Revisin">
    <w:name w:val="Revision"/>
    <w:hidden/>
    <w:uiPriority w:val="99"/>
    <w:semiHidden/>
    <w:rsid w:val="00266DD1"/>
    <w:pPr>
      <w:spacing w:after="0" w:line="240" w:lineRule="auto"/>
    </w:pPr>
  </w:style>
  <w:style w:type="character" w:styleId="Refdecomentario">
    <w:name w:val="annotation reference"/>
    <w:basedOn w:val="Fuentedeprrafopredeter"/>
    <w:uiPriority w:val="99"/>
    <w:semiHidden/>
    <w:unhideWhenUsed/>
    <w:rsid w:val="00266DD1"/>
    <w:rPr>
      <w:sz w:val="16"/>
      <w:szCs w:val="16"/>
    </w:rPr>
  </w:style>
  <w:style w:type="paragraph" w:styleId="Textocomentario">
    <w:name w:val="annotation text"/>
    <w:basedOn w:val="Normal"/>
    <w:link w:val="TextocomentarioCar"/>
    <w:uiPriority w:val="99"/>
    <w:semiHidden/>
    <w:unhideWhenUsed/>
    <w:rsid w:val="00266DD1"/>
    <w:pPr>
      <w:spacing w:after="160" w:line="240" w:lineRule="auto"/>
    </w:pPr>
    <w:rPr>
      <w:sz w:val="20"/>
      <w:szCs w:val="20"/>
    </w:rPr>
  </w:style>
  <w:style w:type="character" w:customStyle="1" w:styleId="TextocomentarioCar">
    <w:name w:val="Texto comentario Car"/>
    <w:basedOn w:val="Fuentedeprrafopredeter"/>
    <w:link w:val="Textocomentario"/>
    <w:uiPriority w:val="99"/>
    <w:semiHidden/>
    <w:rsid w:val="00266DD1"/>
    <w:rPr>
      <w:sz w:val="20"/>
      <w:szCs w:val="20"/>
    </w:rPr>
  </w:style>
  <w:style w:type="paragraph" w:styleId="Asuntodelcomentario">
    <w:name w:val="annotation subject"/>
    <w:basedOn w:val="Textocomentario"/>
    <w:next w:val="Textocomentario"/>
    <w:link w:val="AsuntodelcomentarioCar"/>
    <w:uiPriority w:val="99"/>
    <w:semiHidden/>
    <w:unhideWhenUsed/>
    <w:rsid w:val="00266DD1"/>
    <w:rPr>
      <w:b/>
      <w:bCs/>
    </w:rPr>
  </w:style>
  <w:style w:type="character" w:customStyle="1" w:styleId="AsuntodelcomentarioCar">
    <w:name w:val="Asunto del comentario Car"/>
    <w:basedOn w:val="TextocomentarioCar"/>
    <w:link w:val="Asuntodelcomentario"/>
    <w:uiPriority w:val="99"/>
    <w:semiHidden/>
    <w:rsid w:val="00266DD1"/>
    <w:rPr>
      <w:b/>
      <w:bCs/>
      <w:sz w:val="20"/>
      <w:szCs w:val="20"/>
    </w:rPr>
  </w:style>
  <w:style w:type="character" w:styleId="Textoennegrita">
    <w:name w:val="Strong"/>
    <w:basedOn w:val="Fuentedeprrafopredeter"/>
    <w:uiPriority w:val="22"/>
    <w:qFormat/>
    <w:rsid w:val="00266DD1"/>
    <w:rPr>
      <w:b/>
      <w:bCs/>
    </w:rPr>
  </w:style>
  <w:style w:type="character" w:styleId="Hipervnculovisitado">
    <w:name w:val="FollowedHyperlink"/>
    <w:basedOn w:val="Fuentedeprrafopredeter"/>
    <w:uiPriority w:val="99"/>
    <w:semiHidden/>
    <w:unhideWhenUsed/>
    <w:rsid w:val="00266DD1"/>
    <w:rPr>
      <w:color w:val="800080" w:themeColor="followedHyperlink"/>
      <w:u w:val="single"/>
    </w:rPr>
  </w:style>
  <w:style w:type="character" w:customStyle="1" w:styleId="baj">
    <w:name w:val="b_aj"/>
    <w:basedOn w:val="Fuentedeprrafopredeter"/>
    <w:rsid w:val="00266DD1"/>
  </w:style>
  <w:style w:type="paragraph" w:customStyle="1" w:styleId="bordeespecial">
    <w:name w:val="borde_especial"/>
    <w:basedOn w:val="Normal"/>
    <w:rsid w:val="00266DD1"/>
    <w:pPr>
      <w:spacing w:before="100" w:beforeAutospacing="1" w:after="100" w:afterAutospacing="1" w:line="240" w:lineRule="auto"/>
    </w:pPr>
    <w:rPr>
      <w:rFonts w:ascii="Times New Roman" w:hAnsi="Times New Roman" w:cs="Times New Roman"/>
      <w:sz w:val="20"/>
      <w:szCs w:val="20"/>
      <w:lang w:val="es-ES_tradnl" w:eastAsia="es-ES"/>
    </w:rPr>
  </w:style>
  <w:style w:type="character" w:customStyle="1" w:styleId="Ttulo1Car">
    <w:name w:val="Título 1 Car"/>
    <w:basedOn w:val="Fuentedeprrafopredeter"/>
    <w:link w:val="Ttulo1"/>
    <w:uiPriority w:val="9"/>
    <w:rsid w:val="000D56D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384">
      <w:bodyDiv w:val="1"/>
      <w:marLeft w:val="0"/>
      <w:marRight w:val="0"/>
      <w:marTop w:val="0"/>
      <w:marBottom w:val="0"/>
      <w:divBdr>
        <w:top w:val="none" w:sz="0" w:space="0" w:color="auto"/>
        <w:left w:val="none" w:sz="0" w:space="0" w:color="auto"/>
        <w:bottom w:val="none" w:sz="0" w:space="0" w:color="auto"/>
        <w:right w:val="none" w:sz="0" w:space="0" w:color="auto"/>
      </w:divBdr>
      <w:divsChild>
        <w:div w:id="273438998">
          <w:marLeft w:val="0"/>
          <w:marRight w:val="0"/>
          <w:marTop w:val="0"/>
          <w:marBottom w:val="0"/>
          <w:divBdr>
            <w:top w:val="none" w:sz="0" w:space="0" w:color="auto"/>
            <w:left w:val="none" w:sz="0" w:space="0" w:color="auto"/>
            <w:bottom w:val="none" w:sz="0" w:space="0" w:color="auto"/>
            <w:right w:val="none" w:sz="0" w:space="0" w:color="auto"/>
          </w:divBdr>
        </w:div>
        <w:div w:id="211236266">
          <w:marLeft w:val="0"/>
          <w:marRight w:val="0"/>
          <w:marTop w:val="0"/>
          <w:marBottom w:val="0"/>
          <w:divBdr>
            <w:top w:val="none" w:sz="0" w:space="0" w:color="auto"/>
            <w:left w:val="none" w:sz="0" w:space="0" w:color="auto"/>
            <w:bottom w:val="none" w:sz="0" w:space="0" w:color="auto"/>
            <w:right w:val="none" w:sz="0" w:space="0" w:color="auto"/>
          </w:divBdr>
        </w:div>
        <w:div w:id="1053582512">
          <w:marLeft w:val="0"/>
          <w:marRight w:val="0"/>
          <w:marTop w:val="0"/>
          <w:marBottom w:val="0"/>
          <w:divBdr>
            <w:top w:val="none" w:sz="0" w:space="0" w:color="auto"/>
            <w:left w:val="none" w:sz="0" w:space="0" w:color="auto"/>
            <w:bottom w:val="none" w:sz="0" w:space="0" w:color="auto"/>
            <w:right w:val="none" w:sz="0" w:space="0" w:color="auto"/>
          </w:divBdr>
        </w:div>
      </w:divsChild>
    </w:div>
    <w:div w:id="75128942">
      <w:bodyDiv w:val="1"/>
      <w:marLeft w:val="0"/>
      <w:marRight w:val="0"/>
      <w:marTop w:val="0"/>
      <w:marBottom w:val="0"/>
      <w:divBdr>
        <w:top w:val="none" w:sz="0" w:space="0" w:color="auto"/>
        <w:left w:val="none" w:sz="0" w:space="0" w:color="auto"/>
        <w:bottom w:val="none" w:sz="0" w:space="0" w:color="auto"/>
        <w:right w:val="none" w:sz="0" w:space="0" w:color="auto"/>
      </w:divBdr>
    </w:div>
    <w:div w:id="83764900">
      <w:bodyDiv w:val="1"/>
      <w:marLeft w:val="0"/>
      <w:marRight w:val="0"/>
      <w:marTop w:val="0"/>
      <w:marBottom w:val="0"/>
      <w:divBdr>
        <w:top w:val="none" w:sz="0" w:space="0" w:color="auto"/>
        <w:left w:val="none" w:sz="0" w:space="0" w:color="auto"/>
        <w:bottom w:val="none" w:sz="0" w:space="0" w:color="auto"/>
        <w:right w:val="none" w:sz="0" w:space="0" w:color="auto"/>
      </w:divBdr>
    </w:div>
    <w:div w:id="185751062">
      <w:bodyDiv w:val="1"/>
      <w:marLeft w:val="0"/>
      <w:marRight w:val="0"/>
      <w:marTop w:val="0"/>
      <w:marBottom w:val="0"/>
      <w:divBdr>
        <w:top w:val="none" w:sz="0" w:space="0" w:color="auto"/>
        <w:left w:val="none" w:sz="0" w:space="0" w:color="auto"/>
        <w:bottom w:val="none" w:sz="0" w:space="0" w:color="auto"/>
        <w:right w:val="none" w:sz="0" w:space="0" w:color="auto"/>
      </w:divBdr>
    </w:div>
    <w:div w:id="309138223">
      <w:bodyDiv w:val="1"/>
      <w:marLeft w:val="0"/>
      <w:marRight w:val="0"/>
      <w:marTop w:val="0"/>
      <w:marBottom w:val="0"/>
      <w:divBdr>
        <w:top w:val="none" w:sz="0" w:space="0" w:color="auto"/>
        <w:left w:val="none" w:sz="0" w:space="0" w:color="auto"/>
        <w:bottom w:val="none" w:sz="0" w:space="0" w:color="auto"/>
        <w:right w:val="none" w:sz="0" w:space="0" w:color="auto"/>
      </w:divBdr>
    </w:div>
    <w:div w:id="507717863">
      <w:bodyDiv w:val="1"/>
      <w:marLeft w:val="0"/>
      <w:marRight w:val="0"/>
      <w:marTop w:val="0"/>
      <w:marBottom w:val="0"/>
      <w:divBdr>
        <w:top w:val="none" w:sz="0" w:space="0" w:color="auto"/>
        <w:left w:val="none" w:sz="0" w:space="0" w:color="auto"/>
        <w:bottom w:val="none" w:sz="0" w:space="0" w:color="auto"/>
        <w:right w:val="none" w:sz="0" w:space="0" w:color="auto"/>
      </w:divBdr>
    </w:div>
    <w:div w:id="563610446">
      <w:bodyDiv w:val="1"/>
      <w:marLeft w:val="0"/>
      <w:marRight w:val="0"/>
      <w:marTop w:val="0"/>
      <w:marBottom w:val="0"/>
      <w:divBdr>
        <w:top w:val="none" w:sz="0" w:space="0" w:color="auto"/>
        <w:left w:val="none" w:sz="0" w:space="0" w:color="auto"/>
        <w:bottom w:val="none" w:sz="0" w:space="0" w:color="auto"/>
        <w:right w:val="none" w:sz="0" w:space="0" w:color="auto"/>
      </w:divBdr>
    </w:div>
    <w:div w:id="629894498">
      <w:bodyDiv w:val="1"/>
      <w:marLeft w:val="0"/>
      <w:marRight w:val="0"/>
      <w:marTop w:val="0"/>
      <w:marBottom w:val="0"/>
      <w:divBdr>
        <w:top w:val="none" w:sz="0" w:space="0" w:color="auto"/>
        <w:left w:val="none" w:sz="0" w:space="0" w:color="auto"/>
        <w:bottom w:val="none" w:sz="0" w:space="0" w:color="auto"/>
        <w:right w:val="none" w:sz="0" w:space="0" w:color="auto"/>
      </w:divBdr>
    </w:div>
    <w:div w:id="896277646">
      <w:bodyDiv w:val="1"/>
      <w:marLeft w:val="0"/>
      <w:marRight w:val="0"/>
      <w:marTop w:val="0"/>
      <w:marBottom w:val="0"/>
      <w:divBdr>
        <w:top w:val="none" w:sz="0" w:space="0" w:color="auto"/>
        <w:left w:val="none" w:sz="0" w:space="0" w:color="auto"/>
        <w:bottom w:val="none" w:sz="0" w:space="0" w:color="auto"/>
        <w:right w:val="none" w:sz="0" w:space="0" w:color="auto"/>
      </w:divBdr>
    </w:div>
    <w:div w:id="954411594">
      <w:bodyDiv w:val="1"/>
      <w:marLeft w:val="0"/>
      <w:marRight w:val="0"/>
      <w:marTop w:val="0"/>
      <w:marBottom w:val="0"/>
      <w:divBdr>
        <w:top w:val="none" w:sz="0" w:space="0" w:color="auto"/>
        <w:left w:val="none" w:sz="0" w:space="0" w:color="auto"/>
        <w:bottom w:val="none" w:sz="0" w:space="0" w:color="auto"/>
        <w:right w:val="none" w:sz="0" w:space="0" w:color="auto"/>
      </w:divBdr>
    </w:div>
    <w:div w:id="1167787950">
      <w:bodyDiv w:val="1"/>
      <w:marLeft w:val="0"/>
      <w:marRight w:val="0"/>
      <w:marTop w:val="0"/>
      <w:marBottom w:val="0"/>
      <w:divBdr>
        <w:top w:val="none" w:sz="0" w:space="0" w:color="auto"/>
        <w:left w:val="none" w:sz="0" w:space="0" w:color="auto"/>
        <w:bottom w:val="none" w:sz="0" w:space="0" w:color="auto"/>
        <w:right w:val="none" w:sz="0" w:space="0" w:color="auto"/>
      </w:divBdr>
    </w:div>
    <w:div w:id="1250043781">
      <w:bodyDiv w:val="1"/>
      <w:marLeft w:val="0"/>
      <w:marRight w:val="0"/>
      <w:marTop w:val="0"/>
      <w:marBottom w:val="0"/>
      <w:divBdr>
        <w:top w:val="none" w:sz="0" w:space="0" w:color="auto"/>
        <w:left w:val="none" w:sz="0" w:space="0" w:color="auto"/>
        <w:bottom w:val="none" w:sz="0" w:space="0" w:color="auto"/>
        <w:right w:val="none" w:sz="0" w:space="0" w:color="auto"/>
      </w:divBdr>
      <w:divsChild>
        <w:div w:id="544408635">
          <w:marLeft w:val="0"/>
          <w:marRight w:val="0"/>
          <w:marTop w:val="0"/>
          <w:marBottom w:val="0"/>
          <w:divBdr>
            <w:top w:val="none" w:sz="0" w:space="0" w:color="auto"/>
            <w:left w:val="none" w:sz="0" w:space="0" w:color="auto"/>
            <w:bottom w:val="none" w:sz="0" w:space="0" w:color="auto"/>
            <w:right w:val="none" w:sz="0" w:space="0" w:color="auto"/>
          </w:divBdr>
          <w:divsChild>
            <w:div w:id="3990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7409">
      <w:bodyDiv w:val="1"/>
      <w:marLeft w:val="0"/>
      <w:marRight w:val="0"/>
      <w:marTop w:val="0"/>
      <w:marBottom w:val="0"/>
      <w:divBdr>
        <w:top w:val="none" w:sz="0" w:space="0" w:color="auto"/>
        <w:left w:val="none" w:sz="0" w:space="0" w:color="auto"/>
        <w:bottom w:val="none" w:sz="0" w:space="0" w:color="auto"/>
        <w:right w:val="none" w:sz="0" w:space="0" w:color="auto"/>
      </w:divBdr>
    </w:div>
    <w:div w:id="1361930901">
      <w:bodyDiv w:val="1"/>
      <w:marLeft w:val="0"/>
      <w:marRight w:val="0"/>
      <w:marTop w:val="0"/>
      <w:marBottom w:val="0"/>
      <w:divBdr>
        <w:top w:val="none" w:sz="0" w:space="0" w:color="auto"/>
        <w:left w:val="none" w:sz="0" w:space="0" w:color="auto"/>
        <w:bottom w:val="none" w:sz="0" w:space="0" w:color="auto"/>
        <w:right w:val="none" w:sz="0" w:space="0" w:color="auto"/>
      </w:divBdr>
    </w:div>
    <w:div w:id="1638950284">
      <w:bodyDiv w:val="1"/>
      <w:marLeft w:val="0"/>
      <w:marRight w:val="0"/>
      <w:marTop w:val="0"/>
      <w:marBottom w:val="0"/>
      <w:divBdr>
        <w:top w:val="none" w:sz="0" w:space="0" w:color="auto"/>
        <w:left w:val="none" w:sz="0" w:space="0" w:color="auto"/>
        <w:bottom w:val="none" w:sz="0" w:space="0" w:color="auto"/>
        <w:right w:val="none" w:sz="0" w:space="0" w:color="auto"/>
      </w:divBdr>
    </w:div>
    <w:div w:id="1696467574">
      <w:bodyDiv w:val="1"/>
      <w:marLeft w:val="0"/>
      <w:marRight w:val="0"/>
      <w:marTop w:val="0"/>
      <w:marBottom w:val="0"/>
      <w:divBdr>
        <w:top w:val="none" w:sz="0" w:space="0" w:color="auto"/>
        <w:left w:val="none" w:sz="0" w:space="0" w:color="auto"/>
        <w:bottom w:val="none" w:sz="0" w:space="0" w:color="auto"/>
        <w:right w:val="none" w:sz="0" w:space="0" w:color="auto"/>
      </w:divBdr>
    </w:div>
    <w:div w:id="208564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asecam.com.mx/index.php/productos/fianzas-judiciales" TargetMode="External"/><Relationship Id="rId2" Type="http://schemas.openxmlformats.org/officeDocument/2006/relationships/hyperlink" Target="http://www.politicacriminal.gov.co/Portals/0/autos/Respuesta_auto_21_de_febrero_2019.pdf" TargetMode="External"/><Relationship Id="rId1" Type="http://schemas.openxmlformats.org/officeDocument/2006/relationships/hyperlink" Target="https://360radio.com.co/en-colombia-hay-80-373-cupos-carcelarios-pero-hay-123-434-presos/" TargetMode="External"/><Relationship Id="rId5" Type="http://schemas.openxmlformats.org/officeDocument/2006/relationships/hyperlink" Target="https://revistas.usantotomas.edu.co/index.php/isocuanta/article/view/1536/1707" TargetMode="External"/><Relationship Id="rId4" Type="http://schemas.openxmlformats.org/officeDocument/2006/relationships/hyperlink" Target="http://www.inpec.gov.co/iw/estadisticas/-/document_library/TWBuJQCWH6KV/view/492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E86AA-217A-441E-9660-8E9FAF4D6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20</Pages>
  <Words>6705</Words>
  <Characters>36880</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Caballero</dc:creator>
  <cp:lastModifiedBy>viviana moreno orduña utl.HR enrique cabrales</cp:lastModifiedBy>
  <cp:revision>30</cp:revision>
  <cp:lastPrinted>2019-11-18T15:47:00Z</cp:lastPrinted>
  <dcterms:created xsi:type="dcterms:W3CDTF">2019-11-05T22:03:00Z</dcterms:created>
  <dcterms:modified xsi:type="dcterms:W3CDTF">2019-11-18T15:54:00Z</dcterms:modified>
</cp:coreProperties>
</file>