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BB6EC" w14:textId="058B3ADE" w:rsidR="00030617" w:rsidRDefault="001E4729" w:rsidP="00030617">
      <w:pPr>
        <w:spacing w:after="160"/>
        <w:jc w:val="right"/>
        <w:rPr>
          <w:rFonts w:ascii="Trebuchet MS" w:eastAsia="Trebuchet MS" w:hAnsi="Trebuchet MS" w:cs="Trebuchet MS"/>
          <w:sz w:val="24"/>
          <w:szCs w:val="24"/>
        </w:rPr>
      </w:pPr>
      <w:r>
        <w:rPr>
          <w:rFonts w:ascii="Trebuchet MS" w:eastAsia="Trebuchet MS" w:hAnsi="Trebuchet MS" w:cs="Trebuchet MS"/>
          <w:sz w:val="24"/>
          <w:szCs w:val="24"/>
        </w:rPr>
        <w:t>Bogotá, 9</w:t>
      </w:r>
      <w:r w:rsidR="00030617">
        <w:rPr>
          <w:rFonts w:ascii="Trebuchet MS" w:eastAsia="Trebuchet MS" w:hAnsi="Trebuchet MS" w:cs="Trebuchet MS"/>
          <w:sz w:val="24"/>
          <w:szCs w:val="24"/>
        </w:rPr>
        <w:t xml:space="preserve"> de agosto de 2021</w:t>
      </w:r>
    </w:p>
    <w:p w14:paraId="7FC5501A" w14:textId="77777777"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4F9EE384" w14:textId="77777777" w:rsidR="00030617" w:rsidRDefault="00030617" w:rsidP="00030617">
      <w:pPr>
        <w:jc w:val="both"/>
        <w:rPr>
          <w:rFonts w:ascii="Trebuchet MS" w:eastAsia="Trebuchet MS" w:hAnsi="Trebuchet MS" w:cs="Trebuchet MS"/>
          <w:sz w:val="24"/>
          <w:szCs w:val="24"/>
        </w:rPr>
      </w:pPr>
      <w:r>
        <w:rPr>
          <w:rFonts w:ascii="Trebuchet MS" w:eastAsia="Trebuchet MS" w:hAnsi="Trebuchet MS" w:cs="Trebuchet MS"/>
          <w:sz w:val="24"/>
          <w:szCs w:val="24"/>
        </w:rPr>
        <w:t>Señor</w:t>
      </w:r>
    </w:p>
    <w:p w14:paraId="1D8B125A" w14:textId="77777777" w:rsidR="00030617" w:rsidRDefault="00030617" w:rsidP="00030617">
      <w:pPr>
        <w:jc w:val="both"/>
        <w:rPr>
          <w:rFonts w:ascii="Trebuchet MS" w:eastAsia="Trebuchet MS" w:hAnsi="Trebuchet MS" w:cs="Trebuchet MS"/>
          <w:b/>
          <w:sz w:val="24"/>
          <w:szCs w:val="24"/>
        </w:rPr>
      </w:pPr>
      <w:r>
        <w:rPr>
          <w:rFonts w:ascii="Trebuchet MS" w:eastAsia="Trebuchet MS" w:hAnsi="Trebuchet MS" w:cs="Trebuchet MS"/>
          <w:b/>
          <w:sz w:val="24"/>
          <w:szCs w:val="24"/>
        </w:rPr>
        <w:t>JORGE HUMBERTO MANTILLA</w:t>
      </w:r>
    </w:p>
    <w:p w14:paraId="7B4BC089" w14:textId="77777777" w:rsidR="00030617" w:rsidRDefault="00030617" w:rsidP="00030617">
      <w:pPr>
        <w:jc w:val="both"/>
        <w:rPr>
          <w:rFonts w:ascii="Trebuchet MS" w:eastAsia="Trebuchet MS" w:hAnsi="Trebuchet MS" w:cs="Trebuchet MS"/>
          <w:sz w:val="24"/>
          <w:szCs w:val="24"/>
        </w:rPr>
      </w:pPr>
      <w:r>
        <w:rPr>
          <w:rFonts w:ascii="Trebuchet MS" w:eastAsia="Trebuchet MS" w:hAnsi="Trebuchet MS" w:cs="Trebuchet MS"/>
          <w:sz w:val="24"/>
          <w:szCs w:val="24"/>
        </w:rPr>
        <w:t>Secretario General</w:t>
      </w:r>
    </w:p>
    <w:p w14:paraId="242650AA" w14:textId="77777777" w:rsidR="00030617" w:rsidRDefault="00030617" w:rsidP="00030617">
      <w:pPr>
        <w:jc w:val="both"/>
        <w:rPr>
          <w:rFonts w:ascii="Trebuchet MS" w:eastAsia="Trebuchet MS" w:hAnsi="Trebuchet MS" w:cs="Trebuchet MS"/>
          <w:sz w:val="24"/>
          <w:szCs w:val="24"/>
        </w:rPr>
      </w:pPr>
      <w:r>
        <w:rPr>
          <w:rFonts w:ascii="Trebuchet MS" w:eastAsia="Trebuchet MS" w:hAnsi="Trebuchet MS" w:cs="Trebuchet MS"/>
          <w:sz w:val="24"/>
          <w:szCs w:val="24"/>
        </w:rPr>
        <w:t>Cámara De Representantes</w:t>
      </w:r>
    </w:p>
    <w:p w14:paraId="6CF15E33" w14:textId="77777777" w:rsidR="00030617" w:rsidRDefault="00030617" w:rsidP="00030617">
      <w:pPr>
        <w:jc w:val="both"/>
        <w:rPr>
          <w:rFonts w:ascii="Trebuchet MS" w:eastAsia="Trebuchet MS" w:hAnsi="Trebuchet MS" w:cs="Trebuchet MS"/>
          <w:sz w:val="24"/>
          <w:szCs w:val="24"/>
        </w:rPr>
      </w:pPr>
      <w:r>
        <w:rPr>
          <w:rFonts w:ascii="Trebuchet MS" w:eastAsia="Trebuchet MS" w:hAnsi="Trebuchet MS" w:cs="Trebuchet MS"/>
          <w:sz w:val="24"/>
          <w:szCs w:val="24"/>
        </w:rPr>
        <w:t>Ciudad</w:t>
      </w:r>
    </w:p>
    <w:p w14:paraId="02B7BF92" w14:textId="77777777"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625DE6BB" w14:textId="78BFEF36" w:rsidR="00030617" w:rsidRPr="00030617" w:rsidRDefault="00030617" w:rsidP="00030617">
      <w:pPr>
        <w:spacing w:after="160"/>
        <w:jc w:val="right"/>
        <w:rPr>
          <w:rFonts w:ascii="Trebuchet MS" w:eastAsia="Trebuchet MS" w:hAnsi="Trebuchet MS" w:cs="Trebuchet MS"/>
          <w:sz w:val="24"/>
          <w:szCs w:val="24"/>
        </w:rPr>
      </w:pPr>
      <w:r>
        <w:rPr>
          <w:rFonts w:ascii="Trebuchet MS" w:eastAsia="Trebuchet MS" w:hAnsi="Trebuchet MS" w:cs="Trebuchet MS"/>
          <w:b/>
          <w:sz w:val="24"/>
          <w:szCs w:val="24"/>
        </w:rPr>
        <w:t>Asunto:</w:t>
      </w:r>
      <w:r>
        <w:rPr>
          <w:rFonts w:ascii="Trebuchet MS" w:eastAsia="Trebuchet MS" w:hAnsi="Trebuchet MS" w:cs="Trebuchet MS"/>
          <w:sz w:val="24"/>
          <w:szCs w:val="24"/>
        </w:rPr>
        <w:t xml:space="preserve"> Radicación de Proyecto Acto Legislativo </w:t>
      </w:r>
      <w:r>
        <w:rPr>
          <w:rFonts w:ascii="Trebuchet MS" w:eastAsia="Trebuchet MS" w:hAnsi="Trebuchet MS" w:cs="Trebuchet MS"/>
          <w:b/>
          <w:sz w:val="24"/>
          <w:szCs w:val="24"/>
        </w:rPr>
        <w:t>“</w:t>
      </w:r>
      <w:r>
        <w:rPr>
          <w:rFonts w:ascii="Trebuchet MS" w:eastAsia="Trebuchet MS" w:hAnsi="Trebuchet MS" w:cs="Trebuchet MS"/>
          <w:sz w:val="24"/>
          <w:szCs w:val="24"/>
        </w:rPr>
        <w:t xml:space="preserve">Por medio del cual se regula </w:t>
      </w:r>
      <w:r w:rsidR="001E4729">
        <w:rPr>
          <w:rFonts w:ascii="Trebuchet MS" w:eastAsia="Trebuchet MS" w:hAnsi="Trebuchet MS" w:cs="Trebuchet MS"/>
          <w:sz w:val="24"/>
          <w:szCs w:val="24"/>
        </w:rPr>
        <w:t xml:space="preserve">el </w:t>
      </w:r>
      <w:r>
        <w:rPr>
          <w:rFonts w:ascii="Trebuchet MS" w:eastAsia="Trebuchet MS" w:hAnsi="Trebuchet MS" w:cs="Trebuchet MS"/>
          <w:sz w:val="24"/>
          <w:szCs w:val="24"/>
        </w:rPr>
        <w:t>fuero de congresistas”</w:t>
      </w:r>
      <w:r>
        <w:rPr>
          <w:rFonts w:ascii="Trebuchet MS" w:eastAsia="Trebuchet MS" w:hAnsi="Trebuchet MS" w:cs="Trebuchet MS"/>
          <w:b/>
          <w:sz w:val="24"/>
          <w:szCs w:val="24"/>
        </w:rPr>
        <w:t xml:space="preserve"> </w:t>
      </w:r>
    </w:p>
    <w:p w14:paraId="476985D3" w14:textId="77777777"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Señor secretario,</w:t>
      </w:r>
    </w:p>
    <w:p w14:paraId="363FCD17" w14:textId="77777777"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p w14:paraId="53FFA4CB" w14:textId="274CE00B"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 xml:space="preserve">De conformidad con el artículo 139 de la Ley 5 de 1992, presento ante su despacho Proyecto de Acto Legislativo </w:t>
      </w:r>
      <w:r>
        <w:rPr>
          <w:rFonts w:ascii="Trebuchet MS" w:eastAsia="Trebuchet MS" w:hAnsi="Trebuchet MS" w:cs="Trebuchet MS"/>
          <w:b/>
          <w:sz w:val="24"/>
          <w:szCs w:val="24"/>
        </w:rPr>
        <w:t>“</w:t>
      </w:r>
      <w:r>
        <w:rPr>
          <w:rFonts w:ascii="Trebuchet MS" w:eastAsia="Trebuchet MS" w:hAnsi="Trebuchet MS" w:cs="Trebuchet MS"/>
          <w:sz w:val="24"/>
          <w:szCs w:val="24"/>
        </w:rPr>
        <w:t>Por medio del cual se regula el fuero de congresistas”, para el trámite establecido en la Ley 5 de 1992.</w:t>
      </w:r>
    </w:p>
    <w:p w14:paraId="1161E248" w14:textId="77777777"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Cordialmente,</w:t>
      </w:r>
    </w:p>
    <w:p w14:paraId="73329229" w14:textId="77777777" w:rsidR="00030617" w:rsidRDefault="00030617" w:rsidP="00030617">
      <w:pPr>
        <w:spacing w:after="160"/>
        <w:jc w:val="both"/>
        <w:rPr>
          <w:rFonts w:ascii="Trebuchet MS" w:eastAsia="Trebuchet MS" w:hAnsi="Trebuchet MS" w:cs="Trebuchet MS"/>
          <w:sz w:val="24"/>
          <w:szCs w:val="24"/>
        </w:rPr>
      </w:pPr>
      <w:r>
        <w:rPr>
          <w:rFonts w:ascii="Trebuchet MS" w:eastAsia="Trebuchet MS" w:hAnsi="Trebuchet MS" w:cs="Trebuchet MS"/>
          <w:sz w:val="24"/>
          <w:szCs w:val="24"/>
        </w:rPr>
        <w:t xml:space="preserve"> </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030617" w14:paraId="444F92CD" w14:textId="77777777" w:rsidTr="00F71CCB">
        <w:tc>
          <w:tcPr>
            <w:tcW w:w="4514" w:type="dxa"/>
            <w:shd w:val="clear" w:color="auto" w:fill="auto"/>
            <w:tcMar>
              <w:top w:w="100" w:type="dxa"/>
              <w:left w:w="100" w:type="dxa"/>
              <w:bottom w:w="100" w:type="dxa"/>
              <w:right w:w="100" w:type="dxa"/>
            </w:tcMar>
          </w:tcPr>
          <w:p w14:paraId="761E1CF6" w14:textId="77777777" w:rsidR="00030617" w:rsidRDefault="00030617"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C4A031F" w14:textId="0DF106C3" w:rsidR="00030617" w:rsidRDefault="00030617"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E66C2E9" w14:textId="77777777" w:rsidR="00030617" w:rsidRDefault="00030617"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75027DC" w14:textId="77777777" w:rsidR="00030617" w:rsidRDefault="00030617" w:rsidP="00F71CCB">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Pr>
                <w:rFonts w:ascii="Trebuchet MS" w:eastAsia="Trebuchet MS" w:hAnsi="Trebuchet MS" w:cs="Trebuchet MS"/>
                <w:sz w:val="24"/>
                <w:szCs w:val="24"/>
              </w:rPr>
              <w:t xml:space="preserve">David Racero </w:t>
            </w:r>
            <w:proofErr w:type="spellStart"/>
            <w:r>
              <w:rPr>
                <w:rFonts w:ascii="Trebuchet MS" w:eastAsia="Trebuchet MS" w:hAnsi="Trebuchet MS" w:cs="Trebuchet MS"/>
                <w:sz w:val="24"/>
                <w:szCs w:val="24"/>
              </w:rPr>
              <w:t>Mayorca</w:t>
            </w:r>
            <w:proofErr w:type="spellEnd"/>
          </w:p>
          <w:p w14:paraId="1B571484" w14:textId="77777777" w:rsidR="00030617" w:rsidRDefault="00030617" w:rsidP="00F71CCB">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Pr>
                <w:rFonts w:ascii="Trebuchet MS" w:eastAsia="Trebuchet MS" w:hAnsi="Trebuchet MS" w:cs="Trebuchet MS"/>
                <w:sz w:val="24"/>
                <w:szCs w:val="24"/>
              </w:rPr>
              <w:t>Representante a la Cámara por Bogotá</w:t>
            </w:r>
          </w:p>
          <w:p w14:paraId="2915D3C7" w14:textId="4F982883" w:rsidR="001E4729" w:rsidRDefault="001E4729" w:rsidP="00F71CCB">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56A3D41" w14:textId="77777777" w:rsidR="00030617" w:rsidRDefault="00030617"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7BCB6CA" w14:textId="77777777" w:rsidR="00030617" w:rsidRDefault="00030617"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DBD247F" w14:textId="77777777" w:rsidR="00030617" w:rsidRDefault="00030617" w:rsidP="00F71CCB">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p w14:paraId="1C2DF00F" w14:textId="77777777" w:rsidR="00030617" w:rsidRDefault="00030617"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95F33B6" w14:textId="77777777" w:rsidR="00030617" w:rsidRDefault="00030617" w:rsidP="00F71CCB">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tc>
      </w:tr>
      <w:tr w:rsidR="001E4729" w14:paraId="71B83ACD" w14:textId="77777777" w:rsidTr="00F71CCB">
        <w:tc>
          <w:tcPr>
            <w:tcW w:w="4514" w:type="dxa"/>
            <w:shd w:val="clear" w:color="auto" w:fill="auto"/>
            <w:tcMar>
              <w:top w:w="100" w:type="dxa"/>
              <w:left w:w="100" w:type="dxa"/>
              <w:bottom w:w="100" w:type="dxa"/>
              <w:right w:w="100" w:type="dxa"/>
            </w:tcMar>
          </w:tcPr>
          <w:p w14:paraId="7DDA17CD" w14:textId="13A7AA7D"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1BB1E09"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D99FBD2"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C70647B"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887C114"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5755778"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2D00763" w14:textId="1B06F86E"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4E4B5958" w14:textId="77777777" w:rsidTr="00F71CCB">
        <w:tc>
          <w:tcPr>
            <w:tcW w:w="4514" w:type="dxa"/>
            <w:shd w:val="clear" w:color="auto" w:fill="auto"/>
            <w:tcMar>
              <w:top w:w="100" w:type="dxa"/>
              <w:left w:w="100" w:type="dxa"/>
              <w:bottom w:w="100" w:type="dxa"/>
              <w:right w:w="100" w:type="dxa"/>
            </w:tcMar>
          </w:tcPr>
          <w:p w14:paraId="30A65D03" w14:textId="794B0F55"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545BA19"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EDAA33D"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99BF226" w14:textId="3F0145AC"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1EA580CF"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13D2063C" w14:textId="77777777" w:rsidTr="00F71CCB">
        <w:tc>
          <w:tcPr>
            <w:tcW w:w="4514" w:type="dxa"/>
            <w:shd w:val="clear" w:color="auto" w:fill="auto"/>
            <w:tcMar>
              <w:top w:w="100" w:type="dxa"/>
              <w:left w:w="100" w:type="dxa"/>
              <w:bottom w:w="100" w:type="dxa"/>
              <w:right w:w="100" w:type="dxa"/>
            </w:tcMar>
          </w:tcPr>
          <w:p w14:paraId="4370A825"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4AB4A9A"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BF94F17"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324732A" w14:textId="3A59A41A"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862DD56"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533C66C5" w14:textId="77777777" w:rsidTr="00F71CCB">
        <w:tc>
          <w:tcPr>
            <w:tcW w:w="4514" w:type="dxa"/>
            <w:shd w:val="clear" w:color="auto" w:fill="auto"/>
            <w:tcMar>
              <w:top w:w="100" w:type="dxa"/>
              <w:left w:w="100" w:type="dxa"/>
              <w:bottom w:w="100" w:type="dxa"/>
              <w:right w:w="100" w:type="dxa"/>
            </w:tcMar>
          </w:tcPr>
          <w:p w14:paraId="4F749F08"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0E310DD"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023AC50"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7C4D3E7" w14:textId="465BF06F"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7A07F883"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50245CB" w14:textId="0301E056"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5A61418E" w14:textId="77777777" w:rsidTr="00F71CCB">
        <w:tc>
          <w:tcPr>
            <w:tcW w:w="4514" w:type="dxa"/>
            <w:shd w:val="clear" w:color="auto" w:fill="auto"/>
            <w:tcMar>
              <w:top w:w="100" w:type="dxa"/>
              <w:left w:w="100" w:type="dxa"/>
              <w:bottom w:w="100" w:type="dxa"/>
              <w:right w:w="100" w:type="dxa"/>
            </w:tcMar>
          </w:tcPr>
          <w:p w14:paraId="4A3AE7D6"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5DE443F"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FAD45FC"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D59AA3A" w14:textId="7AECF62E"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33E45A19"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7E9FC700" w14:textId="77777777" w:rsidTr="00F71CCB">
        <w:tc>
          <w:tcPr>
            <w:tcW w:w="4514" w:type="dxa"/>
            <w:shd w:val="clear" w:color="auto" w:fill="auto"/>
            <w:tcMar>
              <w:top w:w="100" w:type="dxa"/>
              <w:left w:w="100" w:type="dxa"/>
              <w:bottom w:w="100" w:type="dxa"/>
              <w:right w:w="100" w:type="dxa"/>
            </w:tcMar>
          </w:tcPr>
          <w:p w14:paraId="37B5D56E"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68AC73D"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F3A71B9" w14:textId="5B2C78A8"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6F0125C" w14:textId="050A5212"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2FCFDC2"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23D27CFD" w14:textId="77777777" w:rsidTr="00F71CCB">
        <w:tc>
          <w:tcPr>
            <w:tcW w:w="4514" w:type="dxa"/>
            <w:shd w:val="clear" w:color="auto" w:fill="auto"/>
            <w:tcMar>
              <w:top w:w="100" w:type="dxa"/>
              <w:left w:w="100" w:type="dxa"/>
              <w:bottom w:w="100" w:type="dxa"/>
              <w:right w:w="100" w:type="dxa"/>
            </w:tcMar>
          </w:tcPr>
          <w:p w14:paraId="0D002595"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87A7FC6"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C076767"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6EFD54E" w14:textId="2E847EF6"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9D6E315"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6305BD4C" w14:textId="77777777" w:rsidTr="00F71CCB">
        <w:tc>
          <w:tcPr>
            <w:tcW w:w="4514" w:type="dxa"/>
            <w:shd w:val="clear" w:color="auto" w:fill="auto"/>
            <w:tcMar>
              <w:top w:w="100" w:type="dxa"/>
              <w:left w:w="100" w:type="dxa"/>
              <w:bottom w:w="100" w:type="dxa"/>
              <w:right w:w="100" w:type="dxa"/>
            </w:tcMar>
          </w:tcPr>
          <w:p w14:paraId="0ADF3D22"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34E6114"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351ABF7"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B13EAA1" w14:textId="20EF31AE"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61D0997"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5B639CA1" w14:textId="77777777" w:rsidTr="00F71CCB">
        <w:tc>
          <w:tcPr>
            <w:tcW w:w="4514" w:type="dxa"/>
            <w:shd w:val="clear" w:color="auto" w:fill="auto"/>
            <w:tcMar>
              <w:top w:w="100" w:type="dxa"/>
              <w:left w:w="100" w:type="dxa"/>
              <w:bottom w:w="100" w:type="dxa"/>
              <w:right w:w="100" w:type="dxa"/>
            </w:tcMar>
          </w:tcPr>
          <w:p w14:paraId="240B75EE"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B62BBA6"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7CC2696"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8CC1FBD" w14:textId="55C59403"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69EA44F0" w14:textId="77777777" w:rsidR="001E4729" w:rsidRDefault="001E4729" w:rsidP="00F71CCB">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bl>
    <w:p w14:paraId="3BBF9977" w14:textId="77777777" w:rsidR="00030617" w:rsidRDefault="00030617" w:rsidP="00030617">
      <w:pPr>
        <w:spacing w:after="160"/>
        <w:jc w:val="both"/>
        <w:rPr>
          <w:rFonts w:ascii="Trebuchet MS" w:eastAsia="Trebuchet MS" w:hAnsi="Trebuchet MS" w:cs="Trebuchet MS"/>
          <w:sz w:val="24"/>
          <w:szCs w:val="24"/>
        </w:rPr>
      </w:pPr>
    </w:p>
    <w:p w14:paraId="33BC7CA0" w14:textId="77777777" w:rsidR="00030617" w:rsidRDefault="00030617" w:rsidP="00030617">
      <w:pPr>
        <w:spacing w:line="360" w:lineRule="auto"/>
        <w:rPr>
          <w:rFonts w:ascii="Trebuchet MS" w:eastAsia="Trebuchet MS" w:hAnsi="Trebuchet MS" w:cs="Trebuchet MS"/>
          <w:b/>
        </w:rPr>
      </w:pPr>
    </w:p>
    <w:p w14:paraId="6105C630" w14:textId="77777777" w:rsidR="00030617" w:rsidRDefault="00030617" w:rsidP="00030617">
      <w:pPr>
        <w:spacing w:line="360" w:lineRule="auto"/>
        <w:jc w:val="center"/>
        <w:rPr>
          <w:rFonts w:ascii="Trebuchet MS" w:eastAsia="Trebuchet MS" w:hAnsi="Trebuchet MS" w:cs="Trebuchet MS"/>
          <w:b/>
        </w:rPr>
      </w:pPr>
      <w:r>
        <w:rPr>
          <w:rFonts w:ascii="Trebuchet MS" w:eastAsia="Trebuchet MS" w:hAnsi="Trebuchet MS" w:cs="Trebuchet MS"/>
          <w:b/>
        </w:rPr>
        <w:t>PROYECTO DE ACTO LEGISLATIVO</w:t>
      </w:r>
    </w:p>
    <w:p w14:paraId="359104E4" w14:textId="77777777" w:rsidR="00030617" w:rsidRDefault="00030617" w:rsidP="00030617">
      <w:pPr>
        <w:spacing w:line="360" w:lineRule="auto"/>
        <w:jc w:val="center"/>
        <w:rPr>
          <w:rFonts w:ascii="Trebuchet MS" w:eastAsia="Trebuchet MS" w:hAnsi="Trebuchet MS" w:cs="Trebuchet MS"/>
          <w:b/>
        </w:rPr>
      </w:pPr>
      <w:r>
        <w:rPr>
          <w:rFonts w:ascii="Trebuchet MS" w:eastAsia="Trebuchet MS" w:hAnsi="Trebuchet MS" w:cs="Trebuchet MS"/>
          <w:b/>
        </w:rPr>
        <w:t xml:space="preserve"> </w:t>
      </w:r>
    </w:p>
    <w:p w14:paraId="1775766C" w14:textId="132ED0BB" w:rsidR="00030617" w:rsidRDefault="00030617" w:rsidP="00030617">
      <w:pPr>
        <w:spacing w:line="360" w:lineRule="auto"/>
        <w:jc w:val="center"/>
        <w:rPr>
          <w:rFonts w:ascii="Trebuchet MS" w:eastAsia="Trebuchet MS" w:hAnsi="Trebuchet MS" w:cs="Trebuchet MS"/>
          <w:b/>
        </w:rPr>
      </w:pPr>
      <w:r>
        <w:rPr>
          <w:rFonts w:ascii="Trebuchet MS" w:eastAsia="Trebuchet MS" w:hAnsi="Trebuchet MS" w:cs="Trebuchet MS"/>
          <w:b/>
        </w:rPr>
        <w:t xml:space="preserve">POR MEDIO DEL CUAL SE </w:t>
      </w:r>
      <w:r w:rsidR="00773ACD">
        <w:rPr>
          <w:rFonts w:ascii="Trebuchet MS" w:eastAsia="Trebuchet MS" w:hAnsi="Trebuchet MS" w:cs="Trebuchet MS"/>
          <w:b/>
        </w:rPr>
        <w:t>MODIFICA EL FUERO DE CONGRESISTAS</w:t>
      </w:r>
    </w:p>
    <w:p w14:paraId="104CCDAD" w14:textId="77777777" w:rsidR="00030617" w:rsidRDefault="00030617" w:rsidP="00030617">
      <w:pPr>
        <w:spacing w:line="360" w:lineRule="auto"/>
        <w:jc w:val="center"/>
        <w:rPr>
          <w:rFonts w:ascii="Trebuchet MS" w:eastAsia="Trebuchet MS" w:hAnsi="Trebuchet MS" w:cs="Trebuchet MS"/>
          <w:b/>
        </w:rPr>
      </w:pPr>
      <w:r>
        <w:rPr>
          <w:rFonts w:ascii="Trebuchet MS" w:eastAsia="Trebuchet MS" w:hAnsi="Trebuchet MS" w:cs="Trebuchet MS"/>
          <w:b/>
        </w:rPr>
        <w:t xml:space="preserve"> </w:t>
      </w:r>
    </w:p>
    <w:p w14:paraId="6D7B216A"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b/>
        </w:rPr>
        <w:t xml:space="preserve">Artículo 1. </w:t>
      </w:r>
      <w:r w:rsidRPr="004A64A6">
        <w:rPr>
          <w:rFonts w:ascii="Trebuchet MS" w:eastAsia="Trebuchet MS" w:hAnsi="Trebuchet MS" w:cs="Trebuchet MS"/>
        </w:rPr>
        <w:t>Agréguese un</w:t>
      </w:r>
      <w:r>
        <w:rPr>
          <w:rFonts w:ascii="Trebuchet MS" w:eastAsia="Trebuchet MS" w:hAnsi="Trebuchet MS" w:cs="Trebuchet MS"/>
          <w:b/>
        </w:rPr>
        <w:t xml:space="preserve"> </w:t>
      </w:r>
      <w:r>
        <w:rPr>
          <w:rFonts w:ascii="Trebuchet MS" w:eastAsia="Trebuchet MS" w:hAnsi="Trebuchet MS" w:cs="Trebuchet MS"/>
        </w:rPr>
        <w:t>parágrafo 2 al artículo 235 de la Constitución Política, el cual quedará así:</w:t>
      </w:r>
    </w:p>
    <w:p w14:paraId="27BDC8DC"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 </w:t>
      </w:r>
    </w:p>
    <w:p w14:paraId="36CF6262" w14:textId="77777777" w:rsidR="00030617" w:rsidRDefault="00030617" w:rsidP="00030617">
      <w:pPr>
        <w:spacing w:line="360" w:lineRule="auto"/>
        <w:jc w:val="both"/>
        <w:rPr>
          <w:rFonts w:ascii="Trebuchet MS" w:eastAsia="Trebuchet MS" w:hAnsi="Trebuchet MS" w:cs="Trebuchet MS"/>
        </w:rPr>
      </w:pPr>
      <w:r w:rsidRPr="00251536">
        <w:rPr>
          <w:rFonts w:ascii="Trebuchet MS" w:eastAsia="Trebuchet MS" w:hAnsi="Trebuchet MS" w:cs="Trebuchet MS"/>
          <w:b/>
          <w:bCs/>
        </w:rPr>
        <w:t>ARTÍCULO</w:t>
      </w:r>
      <w:bookmarkStart w:id="0" w:name="235"/>
      <w:r w:rsidRPr="00251536">
        <w:rPr>
          <w:rFonts w:ascii="Trebuchet MS" w:eastAsia="Trebuchet MS" w:hAnsi="Trebuchet MS" w:cs="Trebuchet MS"/>
          <w:b/>
          <w:bCs/>
        </w:rPr>
        <w:t> </w:t>
      </w:r>
      <w:bookmarkEnd w:id="0"/>
      <w:r w:rsidRPr="00251536">
        <w:rPr>
          <w:rFonts w:ascii="Trebuchet MS" w:eastAsia="Trebuchet MS" w:hAnsi="Trebuchet MS" w:cs="Trebuchet MS"/>
          <w:b/>
          <w:bCs/>
        </w:rPr>
        <w:t> 235.</w:t>
      </w:r>
      <w:r w:rsidRPr="00251536">
        <w:rPr>
          <w:rFonts w:ascii="Trebuchet MS" w:eastAsia="Trebuchet MS" w:hAnsi="Trebuchet MS" w:cs="Trebuchet MS"/>
        </w:rPr>
        <w:t> Son atribuciones de la Corte Suprema de Justicia:</w:t>
      </w:r>
    </w:p>
    <w:p w14:paraId="4CFE27DC" w14:textId="77777777" w:rsidR="00030617" w:rsidRDefault="00030617" w:rsidP="00030617">
      <w:pPr>
        <w:spacing w:line="360" w:lineRule="auto"/>
        <w:jc w:val="both"/>
        <w:rPr>
          <w:rFonts w:ascii="Trebuchet MS" w:eastAsia="Trebuchet MS" w:hAnsi="Trebuchet MS" w:cs="Trebuchet MS"/>
        </w:rPr>
      </w:pPr>
    </w:p>
    <w:p w14:paraId="4D4C1018" w14:textId="2BADA094" w:rsidR="00030617" w:rsidRDefault="00030617" w:rsidP="00030617">
      <w:pPr>
        <w:spacing w:line="360" w:lineRule="auto"/>
        <w:jc w:val="both"/>
        <w:rPr>
          <w:rFonts w:ascii="Trebuchet MS" w:eastAsia="Trebuchet MS" w:hAnsi="Trebuchet MS" w:cs="Trebuchet MS"/>
        </w:rPr>
      </w:pPr>
      <w:r w:rsidRPr="004A64A6">
        <w:rPr>
          <w:rFonts w:ascii="Trebuchet MS" w:eastAsia="Trebuchet MS" w:hAnsi="Trebuchet MS" w:cs="Trebuchet MS"/>
          <w:b/>
          <w:bCs/>
        </w:rPr>
        <w:t>PARÁGRAFO</w:t>
      </w:r>
      <w:r>
        <w:rPr>
          <w:rFonts w:ascii="Trebuchet MS" w:eastAsia="Trebuchet MS" w:hAnsi="Trebuchet MS" w:cs="Trebuchet MS"/>
          <w:b/>
          <w:bCs/>
        </w:rPr>
        <w:t xml:space="preserve"> 2</w:t>
      </w:r>
      <w:r w:rsidRPr="004A64A6">
        <w:rPr>
          <w:rFonts w:ascii="Trebuchet MS" w:eastAsia="Trebuchet MS" w:hAnsi="Trebuchet MS" w:cs="Trebuchet MS"/>
          <w:b/>
          <w:bCs/>
        </w:rPr>
        <w:t>.</w:t>
      </w:r>
      <w:r w:rsidRPr="004A64A6">
        <w:rPr>
          <w:rFonts w:ascii="Trebuchet MS" w:eastAsia="Trebuchet MS" w:hAnsi="Trebuchet MS" w:cs="Trebuchet MS"/>
        </w:rPr>
        <w:t> </w:t>
      </w:r>
      <w:r>
        <w:rPr>
          <w:rFonts w:ascii="Trebuchet MS" w:eastAsia="Trebuchet MS" w:hAnsi="Trebuchet MS" w:cs="Trebuchet MS"/>
        </w:rPr>
        <w:t>En relación con los congresistas</w:t>
      </w:r>
      <w:r w:rsidRPr="00251536">
        <w:rPr>
          <w:rFonts w:ascii="Trebuchet MS" w:eastAsia="Trebuchet MS" w:hAnsi="Trebuchet MS" w:cs="Trebuchet MS"/>
        </w:rPr>
        <w:t xml:space="preserve">, </w:t>
      </w:r>
      <w:r>
        <w:rPr>
          <w:rFonts w:ascii="Trebuchet MS" w:eastAsia="Trebuchet MS" w:hAnsi="Trebuchet MS" w:cs="Trebuchet MS"/>
        </w:rPr>
        <w:t>la Corte Suprema mantendrá su competencia para investigarles y juzgarles</w:t>
      </w:r>
      <w:r w:rsidRPr="00E578B9">
        <w:rPr>
          <w:rFonts w:ascii="Trebuchet MS" w:eastAsia="Trebuchet MS" w:hAnsi="Trebuchet MS" w:cs="Trebuchet MS"/>
        </w:rPr>
        <w:t xml:space="preserve"> </w:t>
      </w:r>
      <w:r>
        <w:rPr>
          <w:rFonts w:ascii="Trebuchet MS" w:eastAsia="Trebuchet MS" w:hAnsi="Trebuchet MS" w:cs="Trebuchet MS"/>
        </w:rPr>
        <w:t>aun cuando</w:t>
      </w:r>
      <w:r w:rsidRPr="00E578B9">
        <w:rPr>
          <w:rFonts w:ascii="Trebuchet MS" w:eastAsia="Trebuchet MS" w:hAnsi="Trebuchet MS" w:cs="Trebuchet MS"/>
        </w:rPr>
        <w:t xml:space="preserve"> se trate de hecho ocurridos con</w:t>
      </w:r>
      <w:r>
        <w:rPr>
          <w:rFonts w:ascii="Trebuchet MS" w:eastAsia="Trebuchet MS" w:hAnsi="Trebuchet MS" w:cs="Trebuchet MS"/>
        </w:rPr>
        <w:t xml:space="preserve"> anterioridad a su investidura</w:t>
      </w:r>
      <w:r w:rsidR="000C2492">
        <w:rPr>
          <w:rFonts w:ascii="Trebuchet MS" w:eastAsia="Trebuchet MS" w:hAnsi="Trebuchet MS" w:cs="Trebuchet MS"/>
        </w:rPr>
        <w:t>,</w:t>
      </w:r>
      <w:r w:rsidR="001E4729">
        <w:rPr>
          <w:rFonts w:ascii="Trebuchet MS" w:eastAsia="Trebuchet MS" w:hAnsi="Trebuchet MS" w:cs="Trebuchet MS"/>
        </w:rPr>
        <w:t xml:space="preserve"> </w:t>
      </w:r>
      <w:r w:rsidR="00742350">
        <w:rPr>
          <w:rFonts w:ascii="Trebuchet MS" w:eastAsia="Trebuchet MS" w:hAnsi="Trebuchet MS" w:cs="Trebuchet MS"/>
        </w:rPr>
        <w:t xml:space="preserve">que no tengan relación con sus funciones </w:t>
      </w:r>
      <w:proofErr w:type="spellStart"/>
      <w:r w:rsidR="00742350">
        <w:rPr>
          <w:rFonts w:ascii="Trebuchet MS" w:eastAsia="Trebuchet MS" w:hAnsi="Trebuchet MS" w:cs="Trebuchet MS"/>
        </w:rPr>
        <w:t>congresionales</w:t>
      </w:r>
      <w:proofErr w:type="spellEnd"/>
      <w:r w:rsidR="001E4729">
        <w:rPr>
          <w:rFonts w:ascii="Trebuchet MS" w:eastAsia="Trebuchet MS" w:hAnsi="Trebuchet MS" w:cs="Trebuchet MS"/>
        </w:rPr>
        <w:t>,</w:t>
      </w:r>
      <w:r>
        <w:rPr>
          <w:rFonts w:ascii="Trebuchet MS" w:eastAsia="Trebuchet MS" w:hAnsi="Trebuchet MS" w:cs="Trebuchet MS"/>
        </w:rPr>
        <w:t xml:space="preserve"> aunque </w:t>
      </w:r>
      <w:r w:rsidRPr="00251536">
        <w:rPr>
          <w:rFonts w:ascii="Trebuchet MS" w:eastAsia="Trebuchet MS" w:hAnsi="Trebuchet MS" w:cs="Trebuchet MS"/>
        </w:rPr>
        <w:t>estos renuncien a su curul</w:t>
      </w:r>
      <w:r>
        <w:rPr>
          <w:rFonts w:ascii="Trebuchet MS" w:eastAsia="Trebuchet MS" w:hAnsi="Trebuchet MS" w:cs="Trebuchet MS"/>
        </w:rPr>
        <w:t xml:space="preserve"> de manera anticipada. </w:t>
      </w:r>
    </w:p>
    <w:p w14:paraId="7A123524" w14:textId="77777777" w:rsidR="00030617" w:rsidRDefault="00030617" w:rsidP="00030617">
      <w:pPr>
        <w:spacing w:line="360" w:lineRule="auto"/>
        <w:jc w:val="both"/>
        <w:rPr>
          <w:rFonts w:ascii="Trebuchet MS" w:eastAsia="Trebuchet MS" w:hAnsi="Trebuchet MS" w:cs="Trebuchet MS"/>
        </w:rPr>
      </w:pPr>
    </w:p>
    <w:p w14:paraId="56D29F12" w14:textId="175514B4" w:rsidR="001E4729" w:rsidRPr="00742350" w:rsidRDefault="00030617" w:rsidP="00742350">
      <w:pPr>
        <w:spacing w:after="160" w:line="360" w:lineRule="auto"/>
        <w:jc w:val="both"/>
        <w:rPr>
          <w:rFonts w:ascii="Trebuchet MS" w:eastAsia="Trebuchet MS" w:hAnsi="Trebuchet MS" w:cs="Trebuchet MS"/>
        </w:rPr>
      </w:pPr>
      <w:r>
        <w:rPr>
          <w:b/>
        </w:rPr>
        <w:t>ARTÍCULO 2.</w:t>
      </w:r>
      <w:r>
        <w:rPr>
          <w:rFonts w:ascii="Trebuchet MS" w:eastAsia="Trebuchet MS" w:hAnsi="Trebuchet MS" w:cs="Trebuchet MS"/>
        </w:rPr>
        <w:t xml:space="preserve"> Vigencia y derogatorias. El presente Acto Legislativo rige a partir de su promulgación y deroga todas las disposiciones contrarias.</w:t>
      </w:r>
    </w:p>
    <w:p w14:paraId="52872E93" w14:textId="77777777" w:rsidR="001E4729" w:rsidRDefault="001E4729" w:rsidP="001E4729">
      <w:pPr>
        <w:spacing w:after="160"/>
        <w:jc w:val="both"/>
        <w:rPr>
          <w:rFonts w:ascii="Trebuchet MS" w:eastAsia="Trebuchet MS" w:hAnsi="Trebuchet MS" w:cs="Trebuchet MS"/>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E4729" w14:paraId="274C7887" w14:textId="77777777" w:rsidTr="00B97675">
        <w:tc>
          <w:tcPr>
            <w:tcW w:w="4514" w:type="dxa"/>
            <w:shd w:val="clear" w:color="auto" w:fill="auto"/>
            <w:tcMar>
              <w:top w:w="100" w:type="dxa"/>
              <w:left w:w="100" w:type="dxa"/>
              <w:bottom w:w="100" w:type="dxa"/>
              <w:right w:w="100" w:type="dxa"/>
            </w:tcMar>
          </w:tcPr>
          <w:p w14:paraId="2712B211"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34608E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0D0276A"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C84C867"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Pr>
                <w:rFonts w:ascii="Trebuchet MS" w:eastAsia="Trebuchet MS" w:hAnsi="Trebuchet MS" w:cs="Trebuchet MS"/>
                <w:sz w:val="24"/>
                <w:szCs w:val="24"/>
              </w:rPr>
              <w:t xml:space="preserve">David Racero </w:t>
            </w:r>
            <w:proofErr w:type="spellStart"/>
            <w:r>
              <w:rPr>
                <w:rFonts w:ascii="Trebuchet MS" w:eastAsia="Trebuchet MS" w:hAnsi="Trebuchet MS" w:cs="Trebuchet MS"/>
                <w:sz w:val="24"/>
                <w:szCs w:val="24"/>
              </w:rPr>
              <w:t>Mayorca</w:t>
            </w:r>
            <w:proofErr w:type="spellEnd"/>
          </w:p>
          <w:p w14:paraId="1D08E86B"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Pr>
                <w:rFonts w:ascii="Trebuchet MS" w:eastAsia="Trebuchet MS" w:hAnsi="Trebuchet MS" w:cs="Trebuchet MS"/>
                <w:sz w:val="24"/>
                <w:szCs w:val="24"/>
              </w:rPr>
              <w:t>Representante a la Cámara por Bogotá</w:t>
            </w:r>
          </w:p>
          <w:p w14:paraId="79C91D5F"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3378B0C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823D33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16B7D10"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p w14:paraId="23A9A79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E8FA227"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tc>
      </w:tr>
      <w:tr w:rsidR="001E4729" w14:paraId="4435F207" w14:textId="77777777" w:rsidTr="00B97675">
        <w:tc>
          <w:tcPr>
            <w:tcW w:w="4514" w:type="dxa"/>
            <w:shd w:val="clear" w:color="auto" w:fill="auto"/>
            <w:tcMar>
              <w:top w:w="100" w:type="dxa"/>
              <w:left w:w="100" w:type="dxa"/>
              <w:bottom w:w="100" w:type="dxa"/>
              <w:right w:w="100" w:type="dxa"/>
            </w:tcMar>
          </w:tcPr>
          <w:p w14:paraId="3BB89C0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344668D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C3212E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80CAE63"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98B172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8052C7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986674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13D5B6CF" w14:textId="77777777" w:rsidTr="00B97675">
        <w:tc>
          <w:tcPr>
            <w:tcW w:w="4514" w:type="dxa"/>
            <w:shd w:val="clear" w:color="auto" w:fill="auto"/>
            <w:tcMar>
              <w:top w:w="100" w:type="dxa"/>
              <w:left w:w="100" w:type="dxa"/>
              <w:bottom w:w="100" w:type="dxa"/>
              <w:right w:w="100" w:type="dxa"/>
            </w:tcMar>
          </w:tcPr>
          <w:p w14:paraId="6492D673"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039E6C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85804F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3C33E1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431C16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0F2C8ABC" w14:textId="77777777" w:rsidTr="00B97675">
        <w:tc>
          <w:tcPr>
            <w:tcW w:w="4514" w:type="dxa"/>
            <w:shd w:val="clear" w:color="auto" w:fill="auto"/>
            <w:tcMar>
              <w:top w:w="100" w:type="dxa"/>
              <w:left w:w="100" w:type="dxa"/>
              <w:bottom w:w="100" w:type="dxa"/>
              <w:right w:w="100" w:type="dxa"/>
            </w:tcMar>
          </w:tcPr>
          <w:p w14:paraId="08D2D8A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BCD392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B1694DD"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C59BA41"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394B0C88"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1A8B386B" w14:textId="77777777" w:rsidTr="00B97675">
        <w:tc>
          <w:tcPr>
            <w:tcW w:w="4514" w:type="dxa"/>
            <w:shd w:val="clear" w:color="auto" w:fill="auto"/>
            <w:tcMar>
              <w:top w:w="100" w:type="dxa"/>
              <w:left w:w="100" w:type="dxa"/>
              <w:bottom w:w="100" w:type="dxa"/>
              <w:right w:w="100" w:type="dxa"/>
            </w:tcMar>
          </w:tcPr>
          <w:p w14:paraId="3AD31328"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E92BC9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E5A15F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109A383"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39D298F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F42A39A"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10F69858" w14:textId="77777777" w:rsidTr="00B97675">
        <w:tc>
          <w:tcPr>
            <w:tcW w:w="4514" w:type="dxa"/>
            <w:shd w:val="clear" w:color="auto" w:fill="auto"/>
            <w:tcMar>
              <w:top w:w="100" w:type="dxa"/>
              <w:left w:w="100" w:type="dxa"/>
              <w:bottom w:w="100" w:type="dxa"/>
              <w:right w:w="100" w:type="dxa"/>
            </w:tcMar>
          </w:tcPr>
          <w:p w14:paraId="6A0022C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244330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D6710A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5F6A078"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1771893"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70A75D98" w14:textId="77777777" w:rsidTr="00B97675">
        <w:tc>
          <w:tcPr>
            <w:tcW w:w="4514" w:type="dxa"/>
            <w:shd w:val="clear" w:color="auto" w:fill="auto"/>
            <w:tcMar>
              <w:top w:w="100" w:type="dxa"/>
              <w:left w:w="100" w:type="dxa"/>
              <w:bottom w:w="100" w:type="dxa"/>
              <w:right w:w="100" w:type="dxa"/>
            </w:tcMar>
          </w:tcPr>
          <w:p w14:paraId="5F3F32B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68AADD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13CE76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88543E2"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2B8A388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56C6D98B" w14:textId="77777777" w:rsidTr="00B97675">
        <w:tc>
          <w:tcPr>
            <w:tcW w:w="4514" w:type="dxa"/>
            <w:shd w:val="clear" w:color="auto" w:fill="auto"/>
            <w:tcMar>
              <w:top w:w="100" w:type="dxa"/>
              <w:left w:w="100" w:type="dxa"/>
              <w:bottom w:w="100" w:type="dxa"/>
              <w:right w:w="100" w:type="dxa"/>
            </w:tcMar>
          </w:tcPr>
          <w:p w14:paraId="5FBE862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B2D82C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BFEC265"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77455B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50909B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20A2E482" w14:textId="77777777" w:rsidTr="00B97675">
        <w:tc>
          <w:tcPr>
            <w:tcW w:w="4514" w:type="dxa"/>
            <w:shd w:val="clear" w:color="auto" w:fill="auto"/>
            <w:tcMar>
              <w:top w:w="100" w:type="dxa"/>
              <w:left w:w="100" w:type="dxa"/>
              <w:bottom w:w="100" w:type="dxa"/>
              <w:right w:w="100" w:type="dxa"/>
            </w:tcMar>
          </w:tcPr>
          <w:p w14:paraId="25949372"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FE9501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4B317E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5A857E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640023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3F5CDBFE" w14:textId="77777777" w:rsidTr="00B97675">
        <w:tc>
          <w:tcPr>
            <w:tcW w:w="4514" w:type="dxa"/>
            <w:shd w:val="clear" w:color="auto" w:fill="auto"/>
            <w:tcMar>
              <w:top w:w="100" w:type="dxa"/>
              <w:left w:w="100" w:type="dxa"/>
              <w:bottom w:w="100" w:type="dxa"/>
              <w:right w:w="100" w:type="dxa"/>
            </w:tcMar>
          </w:tcPr>
          <w:p w14:paraId="24251CD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ED0B7E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82CEC0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E683FE2"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20678B6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bl>
    <w:p w14:paraId="518EC96B" w14:textId="1C4D9658" w:rsidR="00030617" w:rsidRDefault="00030617" w:rsidP="00030617">
      <w:pPr>
        <w:spacing w:after="160"/>
        <w:jc w:val="both"/>
        <w:rPr>
          <w:rFonts w:ascii="Trebuchet MS" w:eastAsia="Trebuchet MS" w:hAnsi="Trebuchet MS" w:cs="Trebuchet MS"/>
          <w:b/>
        </w:rPr>
      </w:pPr>
    </w:p>
    <w:p w14:paraId="6DD1E097" w14:textId="77777777" w:rsidR="00030617" w:rsidRDefault="00030617" w:rsidP="00030617">
      <w:pPr>
        <w:spacing w:line="360" w:lineRule="auto"/>
        <w:jc w:val="center"/>
        <w:rPr>
          <w:rFonts w:ascii="Trebuchet MS" w:eastAsia="Trebuchet MS" w:hAnsi="Trebuchet MS" w:cs="Trebuchet MS"/>
          <w:b/>
        </w:rPr>
      </w:pPr>
      <w:r>
        <w:rPr>
          <w:rFonts w:ascii="Trebuchet MS" w:eastAsia="Trebuchet MS" w:hAnsi="Trebuchet MS" w:cs="Trebuchet MS"/>
          <w:b/>
        </w:rPr>
        <w:lastRenderedPageBreak/>
        <w:t>EXPOSICIÓN DE MOTIVOS</w:t>
      </w:r>
    </w:p>
    <w:p w14:paraId="27A1EF14" w14:textId="77777777" w:rsidR="00030617" w:rsidRDefault="00030617" w:rsidP="00030617">
      <w:pPr>
        <w:spacing w:line="360" w:lineRule="auto"/>
        <w:jc w:val="center"/>
        <w:rPr>
          <w:rFonts w:ascii="Trebuchet MS" w:eastAsia="Trebuchet MS" w:hAnsi="Trebuchet MS" w:cs="Trebuchet MS"/>
          <w:b/>
        </w:rPr>
      </w:pPr>
      <w:r>
        <w:rPr>
          <w:rFonts w:ascii="Trebuchet MS" w:eastAsia="Trebuchet MS" w:hAnsi="Trebuchet MS" w:cs="Trebuchet MS"/>
          <w:b/>
        </w:rPr>
        <w:t xml:space="preserve"> </w:t>
      </w:r>
    </w:p>
    <w:p w14:paraId="0A5D8D3D" w14:textId="77777777" w:rsidR="00030617" w:rsidRDefault="00030617" w:rsidP="00030617">
      <w:pPr>
        <w:spacing w:line="360" w:lineRule="auto"/>
        <w:jc w:val="both"/>
        <w:rPr>
          <w:rFonts w:ascii="Trebuchet MS" w:eastAsia="Trebuchet MS" w:hAnsi="Trebuchet MS" w:cs="Trebuchet MS"/>
          <w:b/>
          <w:i/>
        </w:rPr>
      </w:pPr>
      <w:r>
        <w:rPr>
          <w:rFonts w:ascii="Trebuchet MS" w:eastAsia="Trebuchet MS" w:hAnsi="Trebuchet MS" w:cs="Trebuchet MS"/>
          <w:b/>
          <w:i/>
        </w:rPr>
        <w:t>Objetivo</w:t>
      </w:r>
    </w:p>
    <w:p w14:paraId="42000EC3" w14:textId="77777777" w:rsidR="00030617" w:rsidRDefault="00030617" w:rsidP="00030617">
      <w:pPr>
        <w:spacing w:line="360" w:lineRule="auto"/>
        <w:jc w:val="both"/>
        <w:rPr>
          <w:rFonts w:ascii="Trebuchet MS" w:eastAsia="Trebuchet MS" w:hAnsi="Trebuchet MS" w:cs="Trebuchet MS"/>
          <w:b/>
          <w:i/>
        </w:rPr>
      </w:pPr>
      <w:r>
        <w:rPr>
          <w:rFonts w:ascii="Trebuchet MS" w:eastAsia="Trebuchet MS" w:hAnsi="Trebuchet MS" w:cs="Trebuchet MS"/>
          <w:b/>
          <w:i/>
        </w:rPr>
        <w:t xml:space="preserve"> </w:t>
      </w:r>
    </w:p>
    <w:p w14:paraId="1743321F"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El presente proyecto de Acto Legislativo tiene como propósito evitar que los congresistas dispongan de su fuero de manera arbitraria para evitar ser investigados por la Corte Suprema, y consecuentemente, escoger el ente investigador y acusador de su preferencia. </w:t>
      </w:r>
    </w:p>
    <w:p w14:paraId="07E69C97" w14:textId="77777777" w:rsidR="00030617" w:rsidRDefault="00030617" w:rsidP="00030617">
      <w:pPr>
        <w:spacing w:line="360" w:lineRule="auto"/>
        <w:jc w:val="both"/>
        <w:rPr>
          <w:rFonts w:ascii="Trebuchet MS" w:eastAsia="Trebuchet MS" w:hAnsi="Trebuchet MS" w:cs="Trebuchet MS"/>
        </w:rPr>
      </w:pPr>
    </w:p>
    <w:p w14:paraId="351211B7" w14:textId="5349A3BE" w:rsidR="00030617" w:rsidRDefault="00030617" w:rsidP="00030617">
      <w:pPr>
        <w:spacing w:line="360" w:lineRule="auto"/>
        <w:jc w:val="both"/>
        <w:rPr>
          <w:rFonts w:ascii="Trebuchet MS" w:eastAsia="Trebuchet MS" w:hAnsi="Trebuchet MS" w:cs="Trebuchet MS"/>
        </w:rPr>
      </w:pPr>
      <w:bookmarkStart w:id="1" w:name="_Hlk79144400"/>
      <w:r>
        <w:rPr>
          <w:rFonts w:ascii="Trebuchet MS" w:eastAsia="Trebuchet MS" w:hAnsi="Trebuchet MS" w:cs="Trebuchet MS"/>
        </w:rPr>
        <w:t xml:space="preserve">De este modo, se impone un límite a la práctica reiterada de </w:t>
      </w:r>
      <w:r w:rsidR="000C2492">
        <w:rPr>
          <w:rFonts w:ascii="Trebuchet MS" w:eastAsia="Trebuchet MS" w:hAnsi="Trebuchet MS" w:cs="Trebuchet MS"/>
        </w:rPr>
        <w:t xml:space="preserve">congresistas, de </w:t>
      </w:r>
      <w:r>
        <w:rPr>
          <w:rFonts w:ascii="Trebuchet MS" w:eastAsia="Trebuchet MS" w:hAnsi="Trebuchet MS" w:cs="Trebuchet MS"/>
        </w:rPr>
        <w:t xml:space="preserve">renunciar a </w:t>
      </w:r>
      <w:r w:rsidR="00604CCE">
        <w:rPr>
          <w:rFonts w:ascii="Trebuchet MS" w:eastAsia="Trebuchet MS" w:hAnsi="Trebuchet MS" w:cs="Trebuchet MS"/>
        </w:rPr>
        <w:t>su curul</w:t>
      </w:r>
      <w:r>
        <w:rPr>
          <w:rFonts w:ascii="Trebuchet MS" w:eastAsia="Trebuchet MS" w:hAnsi="Trebuchet MS" w:cs="Trebuchet MS"/>
        </w:rPr>
        <w:t>, con el</w:t>
      </w:r>
      <w:r w:rsidR="00604CCE">
        <w:rPr>
          <w:rFonts w:ascii="Trebuchet MS" w:eastAsia="Trebuchet MS" w:hAnsi="Trebuchet MS" w:cs="Trebuchet MS"/>
        </w:rPr>
        <w:t xml:space="preserve"> único</w:t>
      </w:r>
      <w:r>
        <w:rPr>
          <w:rFonts w:ascii="Trebuchet MS" w:eastAsia="Trebuchet MS" w:hAnsi="Trebuchet MS" w:cs="Trebuchet MS"/>
        </w:rPr>
        <w:t xml:space="preserve"> fin de encontrar condiciones de investigación y juzgamiento más favorables en la justicia ordinaria.  La iniciativa establece que la Corte Suprema de Justicia, mantendrá la competencia para investigar y juzgar a los congresistas por cualquier tipo de conducta, sin que haya alteración de esta competencia por su renuncia. </w:t>
      </w:r>
    </w:p>
    <w:bookmarkEnd w:id="1"/>
    <w:p w14:paraId="113E708D"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 </w:t>
      </w:r>
    </w:p>
    <w:p w14:paraId="2370873F" w14:textId="1613A261" w:rsidR="00030617" w:rsidRDefault="00030617" w:rsidP="00030617">
      <w:pPr>
        <w:spacing w:line="360" w:lineRule="auto"/>
        <w:jc w:val="both"/>
        <w:rPr>
          <w:rFonts w:ascii="Trebuchet MS" w:eastAsia="Trebuchet MS" w:hAnsi="Trebuchet MS" w:cs="Trebuchet MS"/>
          <w:b/>
          <w:i/>
        </w:rPr>
      </w:pPr>
      <w:r>
        <w:rPr>
          <w:rFonts w:ascii="Trebuchet MS" w:eastAsia="Trebuchet MS" w:hAnsi="Trebuchet MS" w:cs="Trebuchet MS"/>
          <w:b/>
          <w:i/>
        </w:rPr>
        <w:t xml:space="preserve">Marco normativo actual y justificación </w:t>
      </w:r>
    </w:p>
    <w:p w14:paraId="0A492EB2" w14:textId="77777777" w:rsidR="001E4729" w:rsidRDefault="001E4729" w:rsidP="00030617">
      <w:pPr>
        <w:spacing w:line="360" w:lineRule="auto"/>
        <w:jc w:val="both"/>
        <w:rPr>
          <w:rFonts w:ascii="Trebuchet MS" w:eastAsia="Trebuchet MS" w:hAnsi="Trebuchet MS" w:cs="Trebuchet MS"/>
          <w:b/>
          <w:i/>
        </w:rPr>
      </w:pPr>
    </w:p>
    <w:p w14:paraId="610BF4B3" w14:textId="6AFA0EB8" w:rsidR="00030617" w:rsidRPr="001E4729" w:rsidRDefault="00030617" w:rsidP="00030617">
      <w:pPr>
        <w:spacing w:line="360" w:lineRule="auto"/>
        <w:jc w:val="both"/>
        <w:rPr>
          <w:rFonts w:ascii="Trebuchet MS" w:eastAsia="Trebuchet MS" w:hAnsi="Trebuchet MS" w:cs="Trebuchet MS"/>
          <w:b/>
        </w:rPr>
      </w:pPr>
      <w:r>
        <w:rPr>
          <w:rFonts w:ascii="Trebuchet MS" w:eastAsia="Trebuchet MS" w:hAnsi="Trebuchet MS" w:cs="Trebuchet MS"/>
          <w:b/>
        </w:rPr>
        <w:t xml:space="preserve"> </w:t>
      </w:r>
      <w:r>
        <w:rPr>
          <w:rFonts w:ascii="Trebuchet MS" w:eastAsia="Trebuchet MS" w:hAnsi="Trebuchet MS" w:cs="Trebuchet MS"/>
        </w:rPr>
        <w:t xml:space="preserve">Los artículos 186 y el numeral 4, del artículo 235 de la Constitución Política, otorgan la competencia para investigar y juzgar a los congresistas a la Corte Suprema de Justicia, y prevén que esta se mantiene en esta Corte, aunque los congresistas ya no estén en ejercicio de su cargo, cuando haya una relación directa entre el delito y las funciones desempeñadas en virtud del fuero. </w:t>
      </w:r>
    </w:p>
    <w:p w14:paraId="22B751FE" w14:textId="77777777" w:rsidR="00030617" w:rsidRDefault="00030617" w:rsidP="00030617">
      <w:pPr>
        <w:spacing w:line="360" w:lineRule="auto"/>
        <w:jc w:val="both"/>
        <w:rPr>
          <w:rFonts w:ascii="Trebuchet MS" w:eastAsia="Trebuchet MS" w:hAnsi="Trebuchet MS" w:cs="Trebuchet MS"/>
        </w:rPr>
      </w:pPr>
    </w:p>
    <w:p w14:paraId="6DD14461" w14:textId="31A0965A"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Bajo esta regulación, los congresistas pueden escapar la competencia de la Corte Suprema de Justicia, al renunciar a su curul y perder su fuero, cuando se trate de conductas no relacionadas con sus funciones </w:t>
      </w:r>
      <w:proofErr w:type="spellStart"/>
      <w:r>
        <w:rPr>
          <w:rFonts w:ascii="Trebuchet MS" w:eastAsia="Trebuchet MS" w:hAnsi="Trebuchet MS" w:cs="Trebuchet MS"/>
        </w:rPr>
        <w:t>congresionales</w:t>
      </w:r>
      <w:proofErr w:type="spellEnd"/>
      <w:r>
        <w:rPr>
          <w:rFonts w:ascii="Trebuchet MS" w:eastAsia="Trebuchet MS" w:hAnsi="Trebuchet MS" w:cs="Trebuchet MS"/>
        </w:rPr>
        <w:t xml:space="preserve">, puesto que automáticamente la competencia de investigación pasa a la Fiscalía general de la Nación. </w:t>
      </w:r>
    </w:p>
    <w:p w14:paraId="1039258B" w14:textId="77777777" w:rsidR="00030617" w:rsidRDefault="00030617" w:rsidP="00030617">
      <w:pPr>
        <w:spacing w:line="360" w:lineRule="auto"/>
        <w:jc w:val="both"/>
        <w:rPr>
          <w:rFonts w:ascii="Trebuchet MS" w:eastAsia="Trebuchet MS" w:hAnsi="Trebuchet MS" w:cs="Trebuchet MS"/>
        </w:rPr>
      </w:pPr>
    </w:p>
    <w:p w14:paraId="7B61F2F9" w14:textId="361C815F"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Según la jurisprudencia, el propósito del fuero a altos</w:t>
      </w:r>
      <w:r w:rsidR="001E4729">
        <w:rPr>
          <w:rFonts w:ascii="Trebuchet MS" w:eastAsia="Trebuchet MS" w:hAnsi="Trebuchet MS" w:cs="Trebuchet MS"/>
        </w:rPr>
        <w:t xml:space="preserve"> funcionarios del estado</w:t>
      </w:r>
      <w:r>
        <w:rPr>
          <w:rFonts w:ascii="Trebuchet MS" w:eastAsia="Trebuchet MS" w:hAnsi="Trebuchet MS" w:cs="Trebuchet MS"/>
        </w:rPr>
        <w:t xml:space="preserve"> es el de otorgar garantías a modo de precaución, para que sean investigados y juzgados por un </w:t>
      </w:r>
      <w:r>
        <w:rPr>
          <w:rFonts w:ascii="Trebuchet MS" w:eastAsia="Trebuchet MS" w:hAnsi="Trebuchet MS" w:cs="Trebuchet MS"/>
        </w:rPr>
        <w:lastRenderedPageBreak/>
        <w:t>tribunal especial, y que con ello tengan garantías de independencia y autonomía</w:t>
      </w:r>
      <w:r>
        <w:rPr>
          <w:rStyle w:val="Refdenotaalpie"/>
          <w:rFonts w:ascii="Trebuchet MS" w:eastAsia="Trebuchet MS" w:hAnsi="Trebuchet MS" w:cs="Trebuchet MS"/>
        </w:rPr>
        <w:footnoteReference w:id="1"/>
      </w:r>
      <w:r>
        <w:rPr>
          <w:rFonts w:ascii="Trebuchet MS" w:eastAsia="Trebuchet MS" w:hAnsi="Trebuchet MS" w:cs="Trebuchet MS"/>
        </w:rPr>
        <w:t xml:space="preserve">. Este fuero, altera la competencia de los jueces y tribunales ordinarios, </w:t>
      </w:r>
      <w:r w:rsidRPr="00910D44">
        <w:rPr>
          <w:rFonts w:ascii="Trebuchet MS" w:eastAsia="Trebuchet MS" w:hAnsi="Trebuchet MS" w:cs="Trebuchet MS"/>
        </w:rPr>
        <w:t xml:space="preserve">teniendo en cuenta como factor </w:t>
      </w:r>
      <w:r>
        <w:rPr>
          <w:rFonts w:ascii="Trebuchet MS" w:eastAsia="Trebuchet MS" w:hAnsi="Trebuchet MS" w:cs="Trebuchet MS"/>
        </w:rPr>
        <w:t xml:space="preserve">principal, el cargo y la </w:t>
      </w:r>
      <w:r w:rsidRPr="00910D44">
        <w:rPr>
          <w:rFonts w:ascii="Trebuchet MS" w:eastAsia="Trebuchet MS" w:hAnsi="Trebuchet MS" w:cs="Trebuchet MS"/>
        </w:rPr>
        <w:t>función que desempeña el procesado</w:t>
      </w:r>
      <w:r>
        <w:rPr>
          <w:rFonts w:ascii="Trebuchet MS" w:eastAsia="Trebuchet MS" w:hAnsi="Trebuchet MS" w:cs="Trebuchet MS"/>
        </w:rPr>
        <w:t>. Para la Corte Constitucional:</w:t>
      </w:r>
    </w:p>
    <w:p w14:paraId="77B34479" w14:textId="77777777" w:rsidR="00030617" w:rsidRDefault="00030617" w:rsidP="00030617">
      <w:pPr>
        <w:spacing w:line="360" w:lineRule="auto"/>
        <w:jc w:val="both"/>
        <w:rPr>
          <w:rFonts w:ascii="Trebuchet MS" w:eastAsia="Trebuchet MS" w:hAnsi="Trebuchet MS" w:cs="Trebuchet MS"/>
        </w:rPr>
      </w:pPr>
    </w:p>
    <w:p w14:paraId="3356C647"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w:t>
      </w:r>
      <w:r w:rsidRPr="005E4B2B">
        <w:rPr>
          <w:rFonts w:ascii="Trebuchet MS" w:eastAsia="Trebuchet MS" w:hAnsi="Trebuchet MS" w:cs="Trebuchet MS"/>
          <w:i/>
          <w:iCs/>
        </w:rPr>
        <w:t>La razón de ser del fuero especial es la de servir de garantía de la independencia, autonomía y funcionamiento ordenado de los órganos del Estado a los que sirven los funcionarios vinculados por el fuero. Ante todo se busca evitar que mediante el abuso del derecho de acceso a la justicia se pretenda paralizar ilegítimamente el discurrir normal de las funciones estatales y el ejercicio del poder por parte de quienes han sido elegidos democráticamente para regir los destinos de la nación</w:t>
      </w:r>
      <w:r w:rsidRPr="00515CFE">
        <w:rPr>
          <w:rFonts w:ascii="Trebuchet MS" w:eastAsia="Trebuchet MS" w:hAnsi="Trebuchet MS" w:cs="Trebuchet MS"/>
        </w:rPr>
        <w:t>”</w:t>
      </w:r>
      <w:r>
        <w:rPr>
          <w:rStyle w:val="Refdenotaalpie"/>
          <w:rFonts w:ascii="Trebuchet MS" w:eastAsia="Trebuchet MS" w:hAnsi="Trebuchet MS" w:cs="Trebuchet MS"/>
        </w:rPr>
        <w:footnoteReference w:id="2"/>
      </w:r>
      <w:r>
        <w:rPr>
          <w:rFonts w:ascii="Trebuchet MS" w:eastAsia="Trebuchet MS" w:hAnsi="Trebuchet MS" w:cs="Trebuchet MS"/>
        </w:rPr>
        <w:t xml:space="preserve">. </w:t>
      </w:r>
    </w:p>
    <w:p w14:paraId="2301500F" w14:textId="77777777" w:rsidR="00030617" w:rsidRDefault="00030617" w:rsidP="00030617">
      <w:pPr>
        <w:spacing w:line="360" w:lineRule="auto"/>
        <w:jc w:val="both"/>
        <w:rPr>
          <w:rFonts w:ascii="Trebuchet MS" w:eastAsia="Trebuchet MS" w:hAnsi="Trebuchet MS" w:cs="Trebuchet MS"/>
        </w:rPr>
      </w:pPr>
    </w:p>
    <w:p w14:paraId="0469271F"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Igualmente, para la Corte Constitucional, el hecho de que quien juzgue sea un órgano de cierre, permite evitar injerencias en las decisiones sobre responsabilidad penal de funcionarios que tienen un interés público especial</w:t>
      </w:r>
      <w:r>
        <w:rPr>
          <w:rStyle w:val="Refdenotaalpie"/>
          <w:rFonts w:ascii="Trebuchet MS" w:eastAsia="Trebuchet MS" w:hAnsi="Trebuchet MS" w:cs="Trebuchet MS"/>
        </w:rPr>
        <w:footnoteReference w:id="3"/>
      </w:r>
      <w:r>
        <w:rPr>
          <w:rFonts w:ascii="Trebuchet MS" w:eastAsia="Trebuchet MS" w:hAnsi="Trebuchet MS" w:cs="Trebuchet MS"/>
        </w:rPr>
        <w:t xml:space="preserve">. </w:t>
      </w:r>
    </w:p>
    <w:p w14:paraId="510E714E" w14:textId="77777777" w:rsidR="00030617" w:rsidRDefault="00030617" w:rsidP="00030617">
      <w:pPr>
        <w:spacing w:line="360" w:lineRule="auto"/>
        <w:jc w:val="both"/>
        <w:rPr>
          <w:rFonts w:ascii="Trebuchet MS" w:eastAsia="Trebuchet MS" w:hAnsi="Trebuchet MS" w:cs="Trebuchet MS"/>
        </w:rPr>
      </w:pPr>
    </w:p>
    <w:p w14:paraId="321D9B26" w14:textId="77777777" w:rsidR="00030617" w:rsidRDefault="00030617" w:rsidP="00030617">
      <w:pPr>
        <w:spacing w:line="360" w:lineRule="auto"/>
        <w:jc w:val="both"/>
        <w:rPr>
          <w:rFonts w:ascii="Trebuchet MS" w:eastAsia="Trebuchet MS" w:hAnsi="Trebuchet MS" w:cs="Trebuchet MS"/>
          <w:i/>
        </w:rPr>
      </w:pPr>
      <w:r>
        <w:rPr>
          <w:rFonts w:ascii="Trebuchet MS" w:eastAsia="Trebuchet MS" w:hAnsi="Trebuchet MS" w:cs="Trebuchet MS"/>
        </w:rPr>
        <w:t xml:space="preserve">Al respecto, el ex magistrado de la Corte Constitucional, José Gregorio </w:t>
      </w:r>
      <w:proofErr w:type="spellStart"/>
      <w:r>
        <w:rPr>
          <w:rFonts w:ascii="Trebuchet MS" w:eastAsia="Trebuchet MS" w:hAnsi="Trebuchet MS" w:cs="Trebuchet MS"/>
        </w:rPr>
        <w:t>Galindez</w:t>
      </w:r>
      <w:proofErr w:type="spellEnd"/>
      <w:r>
        <w:rPr>
          <w:rFonts w:ascii="Trebuchet MS" w:eastAsia="Trebuchet MS" w:hAnsi="Trebuchet MS" w:cs="Trebuchet MS"/>
        </w:rPr>
        <w:t>, indica que el fuero “</w:t>
      </w:r>
      <w:r w:rsidRPr="00ED2DAA">
        <w:rPr>
          <w:rFonts w:ascii="Trebuchet MS" w:eastAsia="Trebuchet MS" w:hAnsi="Trebuchet MS" w:cs="Trebuchet MS"/>
          <w:i/>
        </w:rPr>
        <w:t>no puede tomarse como un privilegio personal ni tampoco como una forma de discriminación negativa”</w:t>
      </w:r>
      <w:r>
        <w:rPr>
          <w:rFonts w:ascii="Trebuchet MS" w:eastAsia="Trebuchet MS" w:hAnsi="Trebuchet MS" w:cs="Trebuchet MS"/>
        </w:rPr>
        <w:t>, sino que su objetivo es el de “</w:t>
      </w:r>
      <w:r w:rsidRPr="00ED2DAA">
        <w:rPr>
          <w:rFonts w:ascii="Trebuchet MS" w:eastAsia="Trebuchet MS" w:hAnsi="Trebuchet MS" w:cs="Trebuchet MS"/>
          <w:i/>
        </w:rPr>
        <w:t>garantizar la independencia de los congresistas, confiando su juzgamiento al máximo organismo de la justicia ordinaria, y asegurar que figuras tan controvertidas como la antigua inmunidad parlamentaria lleven en la práctica a dejar impunes las faltas cometidas</w:t>
      </w:r>
      <w:r>
        <w:rPr>
          <w:rFonts w:ascii="Trebuchet MS" w:eastAsia="Trebuchet MS" w:hAnsi="Trebuchet MS" w:cs="Trebuchet MS"/>
          <w:i/>
        </w:rPr>
        <w:t>”</w:t>
      </w:r>
      <w:r>
        <w:rPr>
          <w:rStyle w:val="Refdenotaalpie"/>
          <w:rFonts w:ascii="Trebuchet MS" w:eastAsia="Trebuchet MS" w:hAnsi="Trebuchet MS" w:cs="Trebuchet MS"/>
          <w:i/>
        </w:rPr>
        <w:footnoteReference w:id="4"/>
      </w:r>
      <w:r w:rsidRPr="00ED2DAA">
        <w:rPr>
          <w:rFonts w:ascii="Trebuchet MS" w:eastAsia="Trebuchet MS" w:hAnsi="Trebuchet MS" w:cs="Trebuchet MS"/>
          <w:i/>
        </w:rPr>
        <w:t>.</w:t>
      </w:r>
    </w:p>
    <w:p w14:paraId="34D5C42B" w14:textId="77777777" w:rsidR="00030617" w:rsidRDefault="00030617" w:rsidP="00030617">
      <w:pPr>
        <w:spacing w:line="360" w:lineRule="auto"/>
        <w:jc w:val="both"/>
        <w:rPr>
          <w:rFonts w:ascii="Trebuchet MS" w:eastAsia="Trebuchet MS" w:hAnsi="Trebuchet MS" w:cs="Trebuchet MS"/>
          <w:i/>
        </w:rPr>
      </w:pPr>
    </w:p>
    <w:p w14:paraId="07D3646A" w14:textId="3AE93103" w:rsidR="00030617" w:rsidRDefault="00030617" w:rsidP="00030617">
      <w:pPr>
        <w:spacing w:line="360" w:lineRule="auto"/>
        <w:jc w:val="both"/>
        <w:rPr>
          <w:rFonts w:ascii="Trebuchet MS" w:eastAsia="Trebuchet MS" w:hAnsi="Trebuchet MS" w:cs="Trebuchet MS"/>
          <w:i/>
        </w:rPr>
      </w:pPr>
      <w:r>
        <w:rPr>
          <w:rFonts w:ascii="Trebuchet MS" w:eastAsia="Trebuchet MS" w:hAnsi="Trebuchet MS" w:cs="Trebuchet MS"/>
        </w:rPr>
        <w:t xml:space="preserve">El doctor José Gregorio resalta que esta competencia de la Corte Suprema, no puede tomar por sorpresa a los congresistas, toda vez que desde que deciden postularse a las </w:t>
      </w:r>
      <w:r>
        <w:rPr>
          <w:rFonts w:ascii="Trebuchet MS" w:eastAsia="Trebuchet MS" w:hAnsi="Trebuchet MS" w:cs="Trebuchet MS"/>
        </w:rPr>
        <w:lastRenderedPageBreak/>
        <w:t>elecciones para este cargo, conocen quien es “</w:t>
      </w:r>
      <w:r w:rsidRPr="00ED2DAA">
        <w:rPr>
          <w:rFonts w:ascii="Trebuchet MS" w:eastAsia="Trebuchet MS" w:hAnsi="Trebuchet MS" w:cs="Trebuchet MS"/>
          <w:i/>
        </w:rPr>
        <w:t>su juez natural</w:t>
      </w:r>
      <w:r>
        <w:rPr>
          <w:rFonts w:ascii="Trebuchet MS" w:eastAsia="Trebuchet MS" w:hAnsi="Trebuchet MS" w:cs="Trebuchet MS"/>
        </w:rPr>
        <w:t>” y el “</w:t>
      </w:r>
      <w:r w:rsidRPr="00ED2DAA">
        <w:rPr>
          <w:rFonts w:ascii="Trebuchet MS" w:eastAsia="Trebuchet MS" w:hAnsi="Trebuchet MS" w:cs="Trebuchet MS"/>
          <w:i/>
        </w:rPr>
        <w:t>procedimiento al que serán sometidos si se los incrimina</w:t>
      </w:r>
      <w:r>
        <w:rPr>
          <w:rFonts w:ascii="Trebuchet MS" w:eastAsia="Trebuchet MS" w:hAnsi="Trebuchet MS" w:cs="Trebuchet MS"/>
        </w:rPr>
        <w:t>”</w:t>
      </w:r>
      <w:r>
        <w:rPr>
          <w:rStyle w:val="Refdenotaalpie"/>
          <w:rFonts w:ascii="Trebuchet MS" w:eastAsia="Trebuchet MS" w:hAnsi="Trebuchet MS" w:cs="Trebuchet MS"/>
        </w:rPr>
        <w:footnoteReference w:id="5"/>
      </w:r>
      <w:r>
        <w:rPr>
          <w:rFonts w:ascii="Trebuchet MS" w:eastAsia="Trebuchet MS" w:hAnsi="Trebuchet MS" w:cs="Trebuchet MS"/>
        </w:rPr>
        <w:t>. Teniendo en cuenta estos aspectos, justifica que se debe mantener el fuero de los congresistas, cuando se haya iniciado el proceso judicial, aunque estos renuncien bajo el argumento de que “</w:t>
      </w:r>
      <w:r w:rsidRPr="00DB777E">
        <w:rPr>
          <w:rFonts w:ascii="Trebuchet MS" w:eastAsia="Trebuchet MS" w:hAnsi="Trebuchet MS" w:cs="Trebuchet MS"/>
          <w:i/>
        </w:rPr>
        <w:t>nadie debe hallarse en posibilidad de escoger su propio juez, o de cambiar a conveniencia el que le ha sido señalado, aparte del postulado según el cual, iniciado el proceso se perpetúa la jurisdicción”</w:t>
      </w:r>
      <w:r>
        <w:rPr>
          <w:rStyle w:val="Refdenotaalpie"/>
          <w:rFonts w:ascii="Trebuchet MS" w:eastAsia="Trebuchet MS" w:hAnsi="Trebuchet MS" w:cs="Trebuchet MS"/>
          <w:i/>
        </w:rPr>
        <w:footnoteReference w:id="6"/>
      </w:r>
      <w:r w:rsidRPr="00DB777E">
        <w:rPr>
          <w:rFonts w:ascii="Trebuchet MS" w:eastAsia="Trebuchet MS" w:hAnsi="Trebuchet MS" w:cs="Trebuchet MS"/>
          <w:i/>
        </w:rPr>
        <w:t>.</w:t>
      </w:r>
    </w:p>
    <w:p w14:paraId="53BFF23A" w14:textId="77777777" w:rsidR="00030617" w:rsidRDefault="00030617" w:rsidP="00030617">
      <w:pPr>
        <w:spacing w:line="360" w:lineRule="auto"/>
        <w:jc w:val="both"/>
        <w:rPr>
          <w:rFonts w:ascii="Trebuchet MS" w:eastAsia="Trebuchet MS" w:hAnsi="Trebuchet MS" w:cs="Trebuchet MS"/>
          <w:i/>
        </w:rPr>
      </w:pPr>
    </w:p>
    <w:p w14:paraId="2887CFB5" w14:textId="349112C5" w:rsidR="00030617" w:rsidRDefault="00030617" w:rsidP="00030617">
      <w:pPr>
        <w:spacing w:line="360" w:lineRule="auto"/>
        <w:jc w:val="both"/>
        <w:rPr>
          <w:rFonts w:ascii="Trebuchet MS" w:eastAsia="Trebuchet MS" w:hAnsi="Trebuchet MS" w:cs="Trebuchet MS"/>
          <w:b/>
          <w:i/>
        </w:rPr>
      </w:pPr>
      <w:r>
        <w:rPr>
          <w:rFonts w:ascii="Trebuchet MS" w:eastAsia="Trebuchet MS" w:hAnsi="Trebuchet MS" w:cs="Trebuchet MS"/>
          <w:b/>
          <w:i/>
        </w:rPr>
        <w:t xml:space="preserve">Antecedentes legislativos </w:t>
      </w:r>
    </w:p>
    <w:p w14:paraId="3C89DA92" w14:textId="77777777" w:rsidR="001E4729" w:rsidRDefault="001E4729" w:rsidP="00030617">
      <w:pPr>
        <w:spacing w:line="360" w:lineRule="auto"/>
        <w:jc w:val="both"/>
        <w:rPr>
          <w:rFonts w:ascii="Trebuchet MS" w:eastAsia="Trebuchet MS" w:hAnsi="Trebuchet MS" w:cs="Trebuchet MS"/>
          <w:b/>
          <w:i/>
        </w:rPr>
      </w:pPr>
    </w:p>
    <w:p w14:paraId="7D3823D3" w14:textId="15E715AF"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En 2009, el senador Manuel Enríquez Rosero, presentó el proyecto de Acto Legislativo 09 de 2009, “</w:t>
      </w:r>
      <w:r w:rsidRPr="007B375D">
        <w:rPr>
          <w:rFonts w:ascii="Trebuchet MS" w:eastAsia="Trebuchet MS" w:hAnsi="Trebuchet MS" w:cs="Trebuchet MS"/>
          <w:i/>
        </w:rPr>
        <w:t>por el cual se crea un Tribunal Nacional Especial para investigar y juzgar penal y disciplinariamente a algunos altos funcionarios del Estado”</w:t>
      </w:r>
      <w:r>
        <w:rPr>
          <w:rFonts w:ascii="Trebuchet MS" w:eastAsia="Trebuchet MS" w:hAnsi="Trebuchet MS" w:cs="Trebuchet MS"/>
          <w:i/>
        </w:rPr>
        <w:t xml:space="preserve"> </w:t>
      </w:r>
      <w:r>
        <w:rPr>
          <w:rFonts w:ascii="Trebuchet MS" w:eastAsia="Trebuchet MS" w:hAnsi="Trebuchet MS" w:cs="Trebuchet MS"/>
        </w:rPr>
        <w:t>en el cual propuso derogar el fuero para investigar y juzgar a los congresistas argumentando que “</w:t>
      </w:r>
      <w:r w:rsidRPr="007B375D">
        <w:rPr>
          <w:rFonts w:ascii="Trebuchet MS" w:eastAsia="Trebuchet MS" w:hAnsi="Trebuchet MS" w:cs="Trebuchet MS"/>
          <w:i/>
        </w:rPr>
        <w:t>este fuero también se convirtió en una burla, al depender su existencia jurídica de la voluntad del congresista. El fuero desaparece cuando se renuncia a la investidura de congresista. Constituye una vergüenza el hecho de que el sistema acusatorio no opere para la investigación y juzgamiento de los congresistas y que aún esté vigente el principio inquisitivo puro</w:t>
      </w:r>
      <w:r>
        <w:rPr>
          <w:rFonts w:ascii="Trebuchet MS" w:eastAsia="Trebuchet MS" w:hAnsi="Trebuchet MS" w:cs="Trebuchet MS"/>
        </w:rPr>
        <w:t xml:space="preserve">”. </w:t>
      </w:r>
    </w:p>
    <w:p w14:paraId="6DC34405" w14:textId="77777777" w:rsidR="00030617" w:rsidRDefault="00030617" w:rsidP="00030617">
      <w:pPr>
        <w:spacing w:line="360" w:lineRule="auto"/>
        <w:jc w:val="both"/>
        <w:rPr>
          <w:rFonts w:ascii="Trebuchet MS" w:eastAsia="Trebuchet MS" w:hAnsi="Trebuchet MS" w:cs="Trebuchet MS"/>
        </w:rPr>
      </w:pPr>
    </w:p>
    <w:p w14:paraId="77156315"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Este proyecto recibió ponencia negativa bajo el argumento de que las decisiones de la Corte Suprema </w:t>
      </w:r>
      <w:r w:rsidRPr="007B375D">
        <w:rPr>
          <w:rFonts w:ascii="Trebuchet MS" w:eastAsia="Trebuchet MS" w:hAnsi="Trebuchet MS" w:cs="Trebuchet MS"/>
        </w:rPr>
        <w:t xml:space="preserve">de Justicia </w:t>
      </w:r>
      <w:r>
        <w:rPr>
          <w:rFonts w:ascii="Trebuchet MS" w:eastAsia="Trebuchet MS" w:hAnsi="Trebuchet MS" w:cs="Trebuchet MS"/>
        </w:rPr>
        <w:t>de los últimos años habían limitado</w:t>
      </w:r>
      <w:r w:rsidRPr="007B375D">
        <w:rPr>
          <w:rFonts w:ascii="Trebuchet MS" w:eastAsia="Trebuchet MS" w:hAnsi="Trebuchet MS" w:cs="Trebuchet MS"/>
        </w:rPr>
        <w:t xml:space="preserve"> </w:t>
      </w:r>
      <w:r>
        <w:rPr>
          <w:rFonts w:ascii="Trebuchet MS" w:eastAsia="Trebuchet MS" w:hAnsi="Trebuchet MS" w:cs="Trebuchet MS"/>
        </w:rPr>
        <w:t xml:space="preserve">los abusos en el uso del fuero, y que, por tanto, el fuero no </w:t>
      </w:r>
      <w:r w:rsidRPr="007B375D">
        <w:rPr>
          <w:rFonts w:ascii="Trebuchet MS" w:eastAsia="Trebuchet MS" w:hAnsi="Trebuchet MS" w:cs="Trebuchet MS"/>
        </w:rPr>
        <w:t>de</w:t>
      </w:r>
      <w:r>
        <w:rPr>
          <w:rFonts w:ascii="Trebuchet MS" w:eastAsia="Trebuchet MS" w:hAnsi="Trebuchet MS" w:cs="Trebuchet MS"/>
        </w:rPr>
        <w:t xml:space="preserve">pendía de </w:t>
      </w:r>
      <w:r w:rsidRPr="007B375D">
        <w:rPr>
          <w:rFonts w:ascii="Trebuchet MS" w:eastAsia="Trebuchet MS" w:hAnsi="Trebuchet MS" w:cs="Trebuchet MS"/>
        </w:rPr>
        <w:t>la volu</w:t>
      </w:r>
      <w:r>
        <w:rPr>
          <w:rFonts w:ascii="Trebuchet MS" w:eastAsia="Trebuchet MS" w:hAnsi="Trebuchet MS" w:cs="Trebuchet MS"/>
        </w:rPr>
        <w:t xml:space="preserve">ntad de los congresistas, sino que se mantenía para las </w:t>
      </w:r>
      <w:r w:rsidRPr="007B375D">
        <w:rPr>
          <w:rFonts w:ascii="Trebuchet MS" w:eastAsia="Trebuchet MS" w:hAnsi="Trebuchet MS" w:cs="Trebuchet MS"/>
        </w:rPr>
        <w:t xml:space="preserve">conductas punibles que </w:t>
      </w:r>
      <w:r>
        <w:rPr>
          <w:rFonts w:ascii="Trebuchet MS" w:eastAsia="Trebuchet MS" w:hAnsi="Trebuchet MS" w:cs="Trebuchet MS"/>
        </w:rPr>
        <w:t>tuviesen</w:t>
      </w:r>
      <w:r w:rsidRPr="007B375D">
        <w:rPr>
          <w:rFonts w:ascii="Trebuchet MS" w:eastAsia="Trebuchet MS" w:hAnsi="Trebuchet MS" w:cs="Trebuchet MS"/>
        </w:rPr>
        <w:t xml:space="preserve"> relación con las funciones desempeñada</w:t>
      </w:r>
      <w:r>
        <w:rPr>
          <w:rFonts w:ascii="Trebuchet MS" w:eastAsia="Trebuchet MS" w:hAnsi="Trebuchet MS" w:cs="Trebuchet MS"/>
        </w:rPr>
        <w:t xml:space="preserve">s. En consecuencia, que la renuncia del congresista no tenía efecto alguno en cuanto al </w:t>
      </w:r>
      <w:r w:rsidRPr="007B375D">
        <w:rPr>
          <w:rFonts w:ascii="Trebuchet MS" w:eastAsia="Trebuchet MS" w:hAnsi="Trebuchet MS" w:cs="Trebuchet MS"/>
        </w:rPr>
        <w:t>fuero, si el hecho que</w:t>
      </w:r>
      <w:r>
        <w:rPr>
          <w:rFonts w:ascii="Trebuchet MS" w:eastAsia="Trebuchet MS" w:hAnsi="Trebuchet MS" w:cs="Trebuchet MS"/>
        </w:rPr>
        <w:t xml:space="preserve"> se le endilgaba fue realizado en </w:t>
      </w:r>
      <w:r w:rsidRPr="007B375D">
        <w:rPr>
          <w:rFonts w:ascii="Trebuchet MS" w:eastAsia="Trebuchet MS" w:hAnsi="Trebuchet MS" w:cs="Trebuchet MS"/>
        </w:rPr>
        <w:t>desarrollo de la relación funcional.</w:t>
      </w:r>
      <w:r>
        <w:rPr>
          <w:rFonts w:ascii="Trebuchet MS" w:eastAsia="Trebuchet MS" w:hAnsi="Trebuchet MS" w:cs="Trebuchet MS"/>
        </w:rPr>
        <w:t xml:space="preserve"> Además, en la ponencia se indicó que el Congreso no podía despojarse </w:t>
      </w:r>
      <w:r>
        <w:rPr>
          <w:rFonts w:ascii="Trebuchet MS" w:eastAsia="Trebuchet MS" w:hAnsi="Trebuchet MS" w:cs="Trebuchet MS"/>
        </w:rPr>
        <w:lastRenderedPageBreak/>
        <w:t>de competencias –fuero- que recibió del poder original, porque atentaría contra su propia existencia y contra los principios fundamentales de la democracia.</w:t>
      </w:r>
    </w:p>
    <w:p w14:paraId="0A8712CB" w14:textId="77777777" w:rsidR="00030617" w:rsidRDefault="00030617" w:rsidP="00030617">
      <w:pPr>
        <w:spacing w:line="360" w:lineRule="auto"/>
        <w:jc w:val="both"/>
        <w:rPr>
          <w:rFonts w:ascii="Trebuchet MS" w:eastAsia="Trebuchet MS" w:hAnsi="Trebuchet MS" w:cs="Trebuchet MS"/>
        </w:rPr>
      </w:pPr>
    </w:p>
    <w:p w14:paraId="7AE8BA74" w14:textId="77777777"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En 2015, el Ministro de Justicia, Yesid Reyes Álvarez,  a través del Proyecto de Acto Legislativo No. 111 de 2015 “por el cual se modifican las normas relativas a la investigación y juzgamiento de los congresistas y altos servidores que gozan de fuero constitucional y se dictan otras disposiciones”  propuso modificar el artículo 186 de la Constitución Política, especificando que “</w:t>
      </w:r>
      <w:r w:rsidRPr="00D1304E">
        <w:rPr>
          <w:rFonts w:ascii="Trebuchet MS" w:eastAsia="Trebuchet MS" w:hAnsi="Trebuchet MS" w:cs="Trebuchet MS"/>
          <w:i/>
        </w:rPr>
        <w:t>El fuero de los congresistas también cobijará las investigaciones que se adelanten por los hechos ocurridos con anterioridad a su investidura y se extenderá a las conductas punibles que tengan relación con las funciones desempeñadas cuando hayan cesado en el ejercicio del cargo</w:t>
      </w:r>
      <w:r>
        <w:rPr>
          <w:rFonts w:ascii="Trebuchet MS" w:eastAsia="Trebuchet MS" w:hAnsi="Trebuchet MS" w:cs="Trebuchet MS"/>
        </w:rPr>
        <w:t>”.</w:t>
      </w:r>
    </w:p>
    <w:p w14:paraId="4D45E3A2" w14:textId="77777777" w:rsidR="00030617" w:rsidRDefault="00030617" w:rsidP="00030617">
      <w:pPr>
        <w:spacing w:line="360" w:lineRule="auto"/>
        <w:jc w:val="both"/>
        <w:rPr>
          <w:rFonts w:ascii="Trebuchet MS" w:eastAsia="Trebuchet MS" w:hAnsi="Trebuchet MS" w:cs="Trebuchet MS"/>
        </w:rPr>
      </w:pPr>
    </w:p>
    <w:p w14:paraId="0D3AA27C" w14:textId="77777777" w:rsidR="00030617" w:rsidRPr="001E4729" w:rsidRDefault="00030617" w:rsidP="00030617">
      <w:pPr>
        <w:spacing w:line="360" w:lineRule="auto"/>
        <w:jc w:val="both"/>
        <w:rPr>
          <w:rFonts w:ascii="Trebuchet MS" w:eastAsia="Trebuchet MS" w:hAnsi="Trebuchet MS" w:cs="Trebuchet MS"/>
          <w:b/>
          <w:i/>
        </w:rPr>
      </w:pPr>
      <w:r w:rsidRPr="001E4729">
        <w:rPr>
          <w:rFonts w:ascii="Trebuchet MS" w:eastAsia="Trebuchet MS" w:hAnsi="Trebuchet MS" w:cs="Trebuchet MS"/>
          <w:b/>
          <w:i/>
        </w:rPr>
        <w:t>Conveniencia del Proyecto</w:t>
      </w:r>
    </w:p>
    <w:p w14:paraId="1D78205A" w14:textId="77777777" w:rsidR="00030617" w:rsidRDefault="00030617" w:rsidP="00030617">
      <w:pPr>
        <w:spacing w:line="360" w:lineRule="auto"/>
        <w:jc w:val="both"/>
        <w:rPr>
          <w:rFonts w:ascii="Trebuchet MS" w:eastAsia="Trebuchet MS" w:hAnsi="Trebuchet MS" w:cs="Trebuchet MS"/>
          <w:b/>
        </w:rPr>
      </w:pPr>
    </w:p>
    <w:p w14:paraId="247DE41B" w14:textId="77777777" w:rsidR="00030617" w:rsidRPr="005A0069" w:rsidRDefault="00030617" w:rsidP="00030617">
      <w:pPr>
        <w:spacing w:line="360" w:lineRule="auto"/>
        <w:jc w:val="both"/>
        <w:rPr>
          <w:rFonts w:ascii="Trebuchet MS" w:eastAsia="Trebuchet MS" w:hAnsi="Trebuchet MS" w:cs="Trebuchet MS"/>
        </w:rPr>
      </w:pPr>
      <w:r w:rsidRPr="005A0069">
        <w:rPr>
          <w:rFonts w:ascii="Trebuchet MS" w:eastAsia="Trebuchet MS" w:hAnsi="Trebuchet MS" w:cs="Trebuchet MS"/>
        </w:rPr>
        <w:t xml:space="preserve">Bajo nuestra regulación actual, cuando los </w:t>
      </w:r>
      <w:r>
        <w:rPr>
          <w:rFonts w:ascii="Trebuchet MS" w:eastAsia="Trebuchet MS" w:hAnsi="Trebuchet MS" w:cs="Trebuchet MS"/>
        </w:rPr>
        <w:t xml:space="preserve">congresistas </w:t>
      </w:r>
      <w:r w:rsidRPr="005A0069">
        <w:rPr>
          <w:rFonts w:ascii="Trebuchet MS" w:eastAsia="Trebuchet MS" w:hAnsi="Trebuchet MS" w:cs="Trebuchet MS"/>
        </w:rPr>
        <w:t xml:space="preserve">cesan en el ejercicio de su cargo, la prerrogativa de </w:t>
      </w:r>
      <w:r w:rsidRPr="001E4729">
        <w:rPr>
          <w:rFonts w:ascii="Trebuchet MS" w:eastAsia="Trebuchet MS" w:hAnsi="Trebuchet MS" w:cs="Trebuchet MS"/>
          <w:color w:val="000000" w:themeColor="text1"/>
        </w:rPr>
        <w:t xml:space="preserve">juzgamiento de la Corte Suprema de Justicia, solo se mantiene frente a las conductas punibles que guarden relación con las funciones desempeñadas como congresista. Al respecto, la Corte Constitucional ha indicado que </w:t>
      </w:r>
      <w:r w:rsidRPr="001E4729">
        <w:rPr>
          <w:rFonts w:ascii="Trebuchet MS" w:hAnsi="Trebuchet MS"/>
          <w:color w:val="000000" w:themeColor="text1"/>
        </w:rPr>
        <w:t>“</w:t>
      </w:r>
      <w:r w:rsidRPr="001E4729">
        <w:rPr>
          <w:rFonts w:ascii="Trebuchet MS" w:hAnsi="Trebuchet MS"/>
          <w:i/>
          <w:color w:val="000000" w:themeColor="text1"/>
        </w:rPr>
        <w:t>mientras una persona sea congresista, será investigada por la Corte Suprema por cualquier delito; sin embargo, si la persona ha cesado en su cargo, entonces solo será juzgada por esa alta corporación judicial si se trata de delitos relacionados con el cargo</w:t>
      </w:r>
      <w:r w:rsidRPr="001E4729">
        <w:rPr>
          <w:rFonts w:ascii="Trebuchet MS" w:hAnsi="Trebuchet MS"/>
          <w:color w:val="000000" w:themeColor="text1"/>
        </w:rPr>
        <w:t>”</w:t>
      </w:r>
      <w:r w:rsidRPr="001E4729">
        <w:rPr>
          <w:rStyle w:val="Refdenotaalpie"/>
          <w:rFonts w:ascii="Trebuchet MS" w:hAnsi="Trebuchet MS"/>
          <w:color w:val="000000" w:themeColor="text1"/>
        </w:rPr>
        <w:footnoteReference w:id="7"/>
      </w:r>
      <w:r w:rsidRPr="001E4729">
        <w:rPr>
          <w:rFonts w:ascii="Trebuchet MS" w:hAnsi="Trebuchet MS"/>
          <w:color w:val="000000" w:themeColor="text1"/>
        </w:rPr>
        <w:t>.</w:t>
      </w:r>
      <w:bookmarkStart w:id="2" w:name="_GoBack"/>
      <w:bookmarkEnd w:id="2"/>
    </w:p>
    <w:p w14:paraId="0CA49742" w14:textId="77777777" w:rsidR="00030617" w:rsidRDefault="00030617" w:rsidP="00030617">
      <w:pPr>
        <w:spacing w:line="360" w:lineRule="auto"/>
        <w:jc w:val="both"/>
        <w:rPr>
          <w:rFonts w:ascii="Trebuchet MS" w:eastAsia="Trebuchet MS" w:hAnsi="Trebuchet MS" w:cs="Trebuchet MS"/>
        </w:rPr>
      </w:pPr>
    </w:p>
    <w:p w14:paraId="214B8257" w14:textId="4FC5A51A"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En la ponencia negativa al Proyecto de Acto Legislativo 09 de 2009,  se indicó que la Corte Suprema de Justicia puso límites al abuso del fuero por parte de los congresistas porque mantenía la competencia por las </w:t>
      </w:r>
      <w:r w:rsidRPr="007B375D">
        <w:rPr>
          <w:rFonts w:ascii="Trebuchet MS" w:eastAsia="Trebuchet MS" w:hAnsi="Trebuchet MS" w:cs="Trebuchet MS"/>
        </w:rPr>
        <w:t xml:space="preserve">conductas punibles que </w:t>
      </w:r>
      <w:r>
        <w:rPr>
          <w:rFonts w:ascii="Trebuchet MS" w:eastAsia="Trebuchet MS" w:hAnsi="Trebuchet MS" w:cs="Trebuchet MS"/>
        </w:rPr>
        <w:t>tuviesen</w:t>
      </w:r>
      <w:r w:rsidRPr="007B375D">
        <w:rPr>
          <w:rFonts w:ascii="Trebuchet MS" w:eastAsia="Trebuchet MS" w:hAnsi="Trebuchet MS" w:cs="Trebuchet MS"/>
        </w:rPr>
        <w:t xml:space="preserve"> relación con las funciones desempeñada</w:t>
      </w:r>
      <w:r>
        <w:rPr>
          <w:rFonts w:ascii="Trebuchet MS" w:eastAsia="Trebuchet MS" w:hAnsi="Trebuchet MS" w:cs="Trebuchet MS"/>
        </w:rPr>
        <w:t xml:space="preserve">s y que por ello no era necesario regular el fuero,  no obstante, este abuso sigue vigente, porque en la práctica los congresistas renuncian para evitar la </w:t>
      </w:r>
      <w:r>
        <w:rPr>
          <w:rFonts w:ascii="Trebuchet MS" w:eastAsia="Trebuchet MS" w:hAnsi="Trebuchet MS" w:cs="Trebuchet MS"/>
        </w:rPr>
        <w:lastRenderedPageBreak/>
        <w:t xml:space="preserve">investigación de esta Corte, argumentando razones personales, pero extrañamente eso sucede en el momento en que la Corte Suprema hace público algún avance en su proceso de investigación. </w:t>
      </w:r>
    </w:p>
    <w:p w14:paraId="68D40265" w14:textId="77777777" w:rsidR="00030617" w:rsidRDefault="00030617" w:rsidP="00030617">
      <w:pPr>
        <w:spacing w:line="360" w:lineRule="auto"/>
        <w:jc w:val="both"/>
        <w:rPr>
          <w:rFonts w:ascii="Trebuchet MS" w:eastAsia="Trebuchet MS" w:hAnsi="Trebuchet MS" w:cs="Trebuchet MS"/>
        </w:rPr>
      </w:pPr>
    </w:p>
    <w:p w14:paraId="286CBEC6" w14:textId="77777777" w:rsidR="00030617" w:rsidRPr="00B21C49"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Resulta muy ilustrativo el hecho de que en el periodo 2006-2010, alrededor de 40 congresistas que estaban siendo investigados por la Corte Suprema de Justicia por parapolítica, renunciaron a sus curules por la misma época. En ese caso, las investigaciones pasaron a la Fiscalía, pero a pesar de esto, la Corte Suprema reasumió posteriormente, al cambiar su jurisprudencia e indicar que los delitos cometidos en el marco de la parapolítica tenían relación con las funciones desempeñadas porque “</w:t>
      </w:r>
      <w:r w:rsidRPr="00030617">
        <w:rPr>
          <w:rFonts w:ascii="Trebuchet MS" w:eastAsia="Trebuchet MS" w:hAnsi="Trebuchet MS" w:cs="Trebuchet MS"/>
          <w:i/>
          <w:iCs/>
          <w:lang w:val="es-419"/>
        </w:rPr>
        <w:t xml:space="preserve">el parágrafo del artículo 235 constitucional no establece que las conductas a través de las cuales se dota de competencia a la Corte sean realizadas “durante” el desempeño como congresista sino simplemente que “tengan relación con las funciones desempeñadas”, de tal suerte que resulta factible que el comportamiento o </w:t>
      </w:r>
      <w:proofErr w:type="spellStart"/>
      <w:r w:rsidRPr="00030617">
        <w:rPr>
          <w:rFonts w:ascii="Trebuchet MS" w:eastAsia="Trebuchet MS" w:hAnsi="Trebuchet MS" w:cs="Trebuchet MS"/>
          <w:i/>
          <w:iCs/>
          <w:lang w:val="es-419"/>
        </w:rPr>
        <w:t>iter</w:t>
      </w:r>
      <w:proofErr w:type="spellEnd"/>
      <w:r w:rsidRPr="00030617">
        <w:rPr>
          <w:rFonts w:ascii="Trebuchet MS" w:eastAsia="Trebuchet MS" w:hAnsi="Trebuchet MS" w:cs="Trebuchet MS"/>
          <w:i/>
          <w:iCs/>
          <w:lang w:val="es-419"/>
        </w:rPr>
        <w:t xml:space="preserve"> criminal pueda iniciarse antes de acceder a la curul y consumarse o agotarse con posterioridad a la dejación del cargo, sin que por ello se pierda la condición de aforado para efectos penales”</w:t>
      </w:r>
      <w:r w:rsidRPr="00B21C49">
        <w:rPr>
          <w:rStyle w:val="Refdenotaalpie"/>
          <w:rFonts w:ascii="Trebuchet MS" w:eastAsia="Trebuchet MS" w:hAnsi="Trebuchet MS" w:cs="Trebuchet MS"/>
        </w:rPr>
        <w:footnoteReference w:id="8"/>
      </w:r>
      <w:r w:rsidRPr="00B21C49">
        <w:rPr>
          <w:rFonts w:ascii="Trebuchet MS" w:eastAsia="Trebuchet MS" w:hAnsi="Trebuchet MS" w:cs="Trebuchet MS"/>
        </w:rPr>
        <w:t xml:space="preserve">.  </w:t>
      </w:r>
    </w:p>
    <w:p w14:paraId="6EDF82DA" w14:textId="77777777" w:rsidR="00030617" w:rsidRPr="00B21C49" w:rsidRDefault="00030617" w:rsidP="00030617">
      <w:pPr>
        <w:spacing w:line="360" w:lineRule="auto"/>
        <w:jc w:val="both"/>
        <w:rPr>
          <w:rFonts w:ascii="Trebuchet MS" w:eastAsia="Trebuchet MS" w:hAnsi="Trebuchet MS" w:cs="Trebuchet MS"/>
        </w:rPr>
      </w:pPr>
    </w:p>
    <w:p w14:paraId="0FABC5A2" w14:textId="136CFEDE" w:rsidR="00030617" w:rsidRPr="00B21C49" w:rsidRDefault="00030617" w:rsidP="00030617">
      <w:pPr>
        <w:spacing w:line="360" w:lineRule="auto"/>
        <w:jc w:val="both"/>
        <w:rPr>
          <w:rFonts w:ascii="Trebuchet MS" w:eastAsia="Trebuchet MS" w:hAnsi="Trebuchet MS" w:cs="Trebuchet MS"/>
          <w:lang w:val="es-419"/>
        </w:rPr>
      </w:pPr>
      <w:r w:rsidRPr="00B21C49">
        <w:rPr>
          <w:rFonts w:ascii="Trebuchet MS" w:eastAsia="Trebuchet MS" w:hAnsi="Trebuchet MS" w:cs="Trebuchet MS"/>
        </w:rPr>
        <w:t xml:space="preserve">Solo a título de ejemplo, se relacionan unos casos que dan cuenta que cuando los congresistas renunciaron, en la Fiscalía encontraron decisiones más favorables, no obstante, en cuanto la Corte reasumió competencia, los condenó. Veamos: </w:t>
      </w:r>
    </w:p>
    <w:p w14:paraId="4BC982A3" w14:textId="77777777" w:rsidR="00030617" w:rsidRPr="00B21C49" w:rsidRDefault="00030617" w:rsidP="00030617">
      <w:pPr>
        <w:spacing w:line="360" w:lineRule="auto"/>
        <w:jc w:val="both"/>
        <w:rPr>
          <w:rFonts w:ascii="Trebuchet MS" w:eastAsia="Trebuchet MS" w:hAnsi="Trebuchet MS" w:cs="Trebuchet MS"/>
        </w:rPr>
      </w:pPr>
    </w:p>
    <w:p w14:paraId="0CA57631" w14:textId="77777777" w:rsidR="00030617" w:rsidRPr="00B21C49" w:rsidRDefault="00030617" w:rsidP="00030617">
      <w:pPr>
        <w:pStyle w:val="Prrafodelista"/>
        <w:numPr>
          <w:ilvl w:val="0"/>
          <w:numId w:val="1"/>
        </w:numPr>
        <w:spacing w:line="360" w:lineRule="auto"/>
        <w:jc w:val="both"/>
        <w:rPr>
          <w:rFonts w:ascii="Trebuchet MS" w:eastAsia="Calibri" w:hAnsi="Trebuchet MS"/>
          <w:lang w:val="es-CO"/>
        </w:rPr>
      </w:pPr>
      <w:r w:rsidRPr="00B21C49">
        <w:rPr>
          <w:rFonts w:ascii="Trebuchet MS" w:eastAsia="Trebuchet MS" w:hAnsi="Trebuchet MS" w:cs="Trebuchet MS"/>
        </w:rPr>
        <w:t xml:space="preserve">Miguel </w:t>
      </w:r>
      <w:proofErr w:type="spellStart"/>
      <w:r w:rsidRPr="00B21C49">
        <w:rPr>
          <w:rFonts w:ascii="Trebuchet MS" w:eastAsia="Trebuchet MS" w:hAnsi="Trebuchet MS" w:cs="Trebuchet MS"/>
        </w:rPr>
        <w:t>Angel</w:t>
      </w:r>
      <w:proofErr w:type="spellEnd"/>
      <w:r w:rsidRPr="00B21C49">
        <w:rPr>
          <w:rFonts w:ascii="Trebuchet MS" w:eastAsia="Trebuchet MS" w:hAnsi="Trebuchet MS" w:cs="Trebuchet MS"/>
        </w:rPr>
        <w:t xml:space="preserve"> Durán </w:t>
      </w:r>
      <w:proofErr w:type="spellStart"/>
      <w:r w:rsidRPr="00B21C49">
        <w:rPr>
          <w:rFonts w:ascii="Trebuchet MS" w:eastAsia="Trebuchet MS" w:hAnsi="Trebuchet MS" w:cs="Trebuchet MS"/>
        </w:rPr>
        <w:t>Gelvis</w:t>
      </w:r>
      <w:proofErr w:type="spellEnd"/>
      <w:r w:rsidRPr="00B21C49">
        <w:rPr>
          <w:rFonts w:ascii="Trebuchet MS" w:eastAsia="Trebuchet MS" w:hAnsi="Trebuchet MS" w:cs="Trebuchet MS"/>
        </w:rPr>
        <w:t xml:space="preserve">, investigado por presuntos nexos con grupos ilegales, renunció el 15 de abril de 2007. </w:t>
      </w:r>
      <w:r w:rsidRPr="00B21C49">
        <w:rPr>
          <w:rFonts w:ascii="Trebuchet MS" w:eastAsia="Calibri" w:hAnsi="Trebuchet MS"/>
          <w:lang w:val="es-CO"/>
        </w:rPr>
        <w:t xml:space="preserve">La fiscalía </w:t>
      </w:r>
      <w:proofErr w:type="spellStart"/>
      <w:r w:rsidRPr="00B21C49">
        <w:rPr>
          <w:rFonts w:ascii="Trebuchet MS" w:eastAsia="Calibri" w:hAnsi="Trebuchet MS"/>
          <w:lang w:val="es-CO"/>
        </w:rPr>
        <w:t>precluyó</w:t>
      </w:r>
      <w:proofErr w:type="spellEnd"/>
      <w:r w:rsidRPr="00B21C49">
        <w:rPr>
          <w:rFonts w:ascii="Trebuchet MS" w:eastAsia="Calibri" w:hAnsi="Trebuchet MS"/>
          <w:lang w:val="es-CO"/>
        </w:rPr>
        <w:t xml:space="preserve"> el proceso en 2009</w:t>
      </w:r>
      <w:r w:rsidRPr="00B21C49">
        <w:rPr>
          <w:rStyle w:val="Refdenotaalpie"/>
          <w:rFonts w:ascii="Trebuchet MS" w:eastAsia="Calibri" w:hAnsi="Trebuchet MS"/>
          <w:lang w:val="es-CO"/>
        </w:rPr>
        <w:footnoteReference w:id="9"/>
      </w:r>
      <w:r w:rsidRPr="00B21C49">
        <w:rPr>
          <w:rFonts w:ascii="Trebuchet MS" w:eastAsia="Calibri" w:hAnsi="Trebuchet MS"/>
          <w:lang w:val="es-CO"/>
        </w:rPr>
        <w:t>, sin embargo, la Corte posteriormente reasumió competencia y lo condenó a 4 años de prisión</w:t>
      </w:r>
      <w:r w:rsidRPr="00B21C49">
        <w:rPr>
          <w:rStyle w:val="Refdenotaalpie"/>
          <w:rFonts w:ascii="Trebuchet MS" w:eastAsia="Calibri" w:hAnsi="Trebuchet MS"/>
          <w:lang w:val="es-CO"/>
        </w:rPr>
        <w:footnoteReference w:id="10"/>
      </w:r>
      <w:r w:rsidRPr="00B21C49">
        <w:rPr>
          <w:rFonts w:ascii="Trebuchet MS" w:eastAsia="Calibri" w:hAnsi="Trebuchet MS"/>
          <w:lang w:val="es-CO"/>
        </w:rPr>
        <w:t>.</w:t>
      </w:r>
    </w:p>
    <w:p w14:paraId="42B3FA83" w14:textId="66DA716D" w:rsidR="00030617" w:rsidRDefault="00030617" w:rsidP="00030617">
      <w:pPr>
        <w:pStyle w:val="Prrafodelista"/>
        <w:numPr>
          <w:ilvl w:val="0"/>
          <w:numId w:val="1"/>
        </w:numPr>
        <w:spacing w:line="360" w:lineRule="auto"/>
        <w:jc w:val="both"/>
        <w:rPr>
          <w:rFonts w:ascii="Trebuchet MS" w:eastAsia="Calibri" w:hAnsi="Trebuchet MS"/>
          <w:lang w:val="es-CO"/>
        </w:rPr>
      </w:pPr>
      <w:r w:rsidRPr="00B21C49">
        <w:rPr>
          <w:rFonts w:ascii="Trebuchet MS" w:eastAsia="Calibri" w:hAnsi="Trebuchet MS"/>
          <w:lang w:val="es-CO"/>
        </w:rPr>
        <w:lastRenderedPageBreak/>
        <w:t>Mario Uribe Escobar, investigado por parapolítica, renunció en septiembre de 2007. La Fiscalía lo dejó en libertad en 2008. Después de</w:t>
      </w:r>
      <w:r w:rsidR="001E4729">
        <w:rPr>
          <w:rFonts w:ascii="Trebuchet MS" w:eastAsia="Calibri" w:hAnsi="Trebuchet MS"/>
          <w:lang w:val="es-CO"/>
        </w:rPr>
        <w:t xml:space="preserve"> reasumir competencia la Corte </w:t>
      </w:r>
      <w:r w:rsidRPr="00B21C49">
        <w:rPr>
          <w:rFonts w:ascii="Trebuchet MS" w:eastAsia="Calibri" w:hAnsi="Trebuchet MS"/>
          <w:lang w:val="es-CO"/>
        </w:rPr>
        <w:t>en 2011</w:t>
      </w:r>
      <w:r w:rsidR="001E4729">
        <w:rPr>
          <w:rFonts w:ascii="Trebuchet MS" w:eastAsia="Calibri" w:hAnsi="Trebuchet MS"/>
          <w:lang w:val="es-CO"/>
        </w:rPr>
        <w:t>,</w:t>
      </w:r>
      <w:r w:rsidRPr="00B21C49">
        <w:rPr>
          <w:rFonts w:ascii="Trebuchet MS" w:eastAsia="Calibri" w:hAnsi="Trebuchet MS"/>
          <w:lang w:val="es-CO"/>
        </w:rPr>
        <w:t xml:space="preserve"> fue condenado a 7 años de prisión</w:t>
      </w:r>
      <w:r w:rsidRPr="00B21C49">
        <w:rPr>
          <w:rStyle w:val="Refdenotaalpie"/>
          <w:rFonts w:ascii="Trebuchet MS" w:eastAsia="Calibri" w:hAnsi="Trebuchet MS"/>
          <w:lang w:val="es-CO"/>
        </w:rPr>
        <w:footnoteReference w:id="11"/>
      </w:r>
      <w:r w:rsidRPr="00B21C49">
        <w:rPr>
          <w:rFonts w:ascii="Trebuchet MS" w:eastAsia="Calibri" w:hAnsi="Trebuchet MS"/>
          <w:lang w:val="es-CO"/>
        </w:rPr>
        <w:t>.</w:t>
      </w:r>
    </w:p>
    <w:p w14:paraId="0A60D468" w14:textId="77777777" w:rsidR="001E4729" w:rsidRPr="001E4729" w:rsidRDefault="001E4729" w:rsidP="001E4729">
      <w:pPr>
        <w:spacing w:line="360" w:lineRule="auto"/>
        <w:ind w:left="360"/>
        <w:jc w:val="both"/>
        <w:rPr>
          <w:rFonts w:ascii="Trebuchet MS" w:eastAsia="Calibri" w:hAnsi="Trebuchet MS"/>
          <w:lang w:val="es-CO"/>
        </w:rPr>
      </w:pPr>
    </w:p>
    <w:p w14:paraId="0D9E3CB9" w14:textId="77777777" w:rsidR="00030617" w:rsidRPr="00166A88" w:rsidRDefault="00030617" w:rsidP="00030617">
      <w:pPr>
        <w:pStyle w:val="Prrafodelista"/>
        <w:numPr>
          <w:ilvl w:val="0"/>
          <w:numId w:val="1"/>
        </w:numPr>
        <w:spacing w:line="360" w:lineRule="auto"/>
        <w:jc w:val="both"/>
        <w:rPr>
          <w:rFonts w:eastAsia="Calibri"/>
          <w:lang w:val="es-CO"/>
        </w:rPr>
      </w:pPr>
      <w:r w:rsidRPr="00B21C49">
        <w:rPr>
          <w:rFonts w:ascii="Trebuchet MS" w:eastAsia="Calibri" w:hAnsi="Trebuchet MS"/>
          <w:lang w:val="es-CO"/>
        </w:rPr>
        <w:t>William Montes. Investigado por presuntos nexos con grupos al margen de la ley. Renunció el 2 de noviembre de 2008. Fue declarado inocente por la justicia ordinaria, pero la Corte reasumió el proceso en 2012, y lo condenó a 90 meses de prisión</w:t>
      </w:r>
      <w:r>
        <w:rPr>
          <w:rStyle w:val="Refdenotaalpie"/>
          <w:rFonts w:eastAsia="Calibri"/>
          <w:lang w:val="es-CO"/>
        </w:rPr>
        <w:footnoteReference w:id="12"/>
      </w:r>
      <w:r>
        <w:rPr>
          <w:rFonts w:eastAsia="Calibri"/>
          <w:lang w:val="es-CO"/>
        </w:rPr>
        <w:t>.</w:t>
      </w:r>
    </w:p>
    <w:p w14:paraId="0A8C437A" w14:textId="77777777" w:rsidR="00030617" w:rsidRDefault="00030617" w:rsidP="00030617">
      <w:pPr>
        <w:spacing w:line="360" w:lineRule="auto"/>
        <w:jc w:val="both"/>
        <w:rPr>
          <w:rFonts w:ascii="Trebuchet MS" w:eastAsia="Trebuchet MS" w:hAnsi="Trebuchet MS" w:cs="Trebuchet MS"/>
        </w:rPr>
      </w:pPr>
    </w:p>
    <w:p w14:paraId="420550A0" w14:textId="36080E8A"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A la fecha, esta práctica se continúa usando como estrategia jurídica de escapar la competencia de la Corte Suprema, aunque en esta los congresistas cuenten con todas las garantías de imparcialidad y posibilidades de ejercer su defensa en el marco de un debido proceso.  Es por esto, que esta práctica resulta contraria a nuestro ordenamiento jurídico, debido a que posibilita a que el investigado escoja el juez de su preferencia, cuando esta posibilidad no la tienen el resto de ciudadanos.</w:t>
      </w:r>
    </w:p>
    <w:p w14:paraId="6E22931B" w14:textId="3F725DE2" w:rsidR="00742350" w:rsidRDefault="00742350" w:rsidP="00030617">
      <w:pPr>
        <w:spacing w:line="360" w:lineRule="auto"/>
        <w:jc w:val="both"/>
        <w:rPr>
          <w:rFonts w:ascii="Trebuchet MS" w:eastAsia="Trebuchet MS" w:hAnsi="Trebuchet MS" w:cs="Trebuchet MS"/>
        </w:rPr>
      </w:pPr>
    </w:p>
    <w:p w14:paraId="2188704F" w14:textId="3B40E203" w:rsidR="00742350" w:rsidRDefault="00742350"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La Corte Constitucional, ha indicado que el concepto de </w:t>
      </w:r>
      <w:r w:rsidRPr="00742350">
        <w:rPr>
          <w:rFonts w:ascii="Trebuchet MS" w:eastAsia="Trebuchet MS" w:hAnsi="Trebuchet MS" w:cs="Trebuchet MS"/>
        </w:rPr>
        <w:t xml:space="preserve">juez natural ordinario prohíbe modificar, </w:t>
      </w:r>
      <w:r>
        <w:rPr>
          <w:rFonts w:ascii="Trebuchet MS" w:eastAsia="Trebuchet MS" w:hAnsi="Trebuchet MS" w:cs="Trebuchet MS"/>
        </w:rPr>
        <w:t>“</w:t>
      </w:r>
      <w:r w:rsidRPr="00742350">
        <w:rPr>
          <w:rFonts w:ascii="Trebuchet MS" w:eastAsia="Trebuchet MS" w:hAnsi="Trebuchet MS" w:cs="Trebuchet MS"/>
        </w:rPr>
        <w:t xml:space="preserve">aun por medio de la ley la competencia del juez competente </w:t>
      </w:r>
      <w:proofErr w:type="spellStart"/>
      <w:r w:rsidRPr="00742350">
        <w:rPr>
          <w:rFonts w:ascii="Trebuchet MS" w:eastAsia="Trebuchet MS" w:hAnsi="Trebuchet MS" w:cs="Trebuchet MS"/>
        </w:rPr>
        <w:t>preconstituido</w:t>
      </w:r>
      <w:proofErr w:type="spellEnd"/>
      <w:r w:rsidRPr="00742350">
        <w:rPr>
          <w:rFonts w:ascii="Trebuchet MS" w:eastAsia="Trebuchet MS" w:hAnsi="Trebuchet MS" w:cs="Trebuchet MS"/>
        </w:rPr>
        <w:t xml:space="preserve"> a otro juez también </w:t>
      </w:r>
      <w:proofErr w:type="spellStart"/>
      <w:r w:rsidRPr="00742350">
        <w:rPr>
          <w:rFonts w:ascii="Trebuchet MS" w:eastAsia="Trebuchet MS" w:hAnsi="Trebuchet MS" w:cs="Trebuchet MS"/>
        </w:rPr>
        <w:t>preconstituido</w:t>
      </w:r>
      <w:proofErr w:type="spellEnd"/>
      <w:r w:rsidRPr="00742350">
        <w:rPr>
          <w:rFonts w:ascii="Trebuchet MS" w:eastAsia="Trebuchet MS" w:hAnsi="Trebuchet MS" w:cs="Trebuchet MS"/>
        </w:rPr>
        <w:t xml:space="preserve"> (y aunque sea otro juez ordinario, pero incompetente al momento de la comisión del hecho que se juzga)</w:t>
      </w:r>
      <w:r>
        <w:rPr>
          <w:rFonts w:ascii="Trebuchet MS" w:eastAsia="Trebuchet MS" w:hAnsi="Trebuchet MS" w:cs="Trebuchet MS"/>
        </w:rPr>
        <w:t>”</w:t>
      </w:r>
      <w:r>
        <w:rPr>
          <w:rStyle w:val="Refdenotaalpie"/>
          <w:rFonts w:ascii="Trebuchet MS" w:eastAsia="Trebuchet MS" w:hAnsi="Trebuchet MS" w:cs="Trebuchet MS"/>
        </w:rPr>
        <w:footnoteReference w:id="13"/>
      </w:r>
      <w:r>
        <w:rPr>
          <w:rFonts w:ascii="Trebuchet MS" w:eastAsia="Trebuchet MS" w:hAnsi="Trebuchet MS" w:cs="Trebuchet MS"/>
        </w:rPr>
        <w:t>.</w:t>
      </w:r>
      <w:r w:rsidR="00FC353C">
        <w:rPr>
          <w:rFonts w:ascii="Trebuchet MS" w:eastAsia="Trebuchet MS" w:hAnsi="Trebuchet MS" w:cs="Trebuchet MS"/>
        </w:rPr>
        <w:t xml:space="preserve"> Asimismo, que:</w:t>
      </w:r>
    </w:p>
    <w:p w14:paraId="432B5CD0" w14:textId="77777777" w:rsidR="00FC353C" w:rsidRDefault="00FC353C" w:rsidP="00030617">
      <w:pPr>
        <w:spacing w:line="360" w:lineRule="auto"/>
        <w:jc w:val="both"/>
        <w:rPr>
          <w:rFonts w:ascii="Trebuchet MS" w:eastAsia="Trebuchet MS" w:hAnsi="Trebuchet MS" w:cs="Trebuchet MS"/>
        </w:rPr>
      </w:pPr>
    </w:p>
    <w:p w14:paraId="37A210AE" w14:textId="58A627AC" w:rsidR="00FC353C" w:rsidRDefault="00FC353C" w:rsidP="00030617">
      <w:pPr>
        <w:spacing w:line="360" w:lineRule="auto"/>
        <w:jc w:val="both"/>
        <w:rPr>
          <w:rFonts w:ascii="Trebuchet MS" w:eastAsia="Trebuchet MS" w:hAnsi="Trebuchet MS" w:cs="Trebuchet MS"/>
          <w:i/>
        </w:rPr>
      </w:pPr>
      <w:r w:rsidRPr="00FC353C">
        <w:rPr>
          <w:rFonts w:ascii="Trebuchet MS" w:eastAsia="Trebuchet MS" w:hAnsi="Trebuchet MS" w:cs="Trebuchet MS"/>
          <w:i/>
        </w:rPr>
        <w:t xml:space="preserve">“El concepto de juez ordinario natural busca proteger el mismo tiempo una pluralidad de valores; dentro de esos valores están: La imparcialidad del juez; la independencia del juez; el principio de legalidad; el debido proceso, y todas ellas apuntan a proteger la libertad de los ciudadanos. El concepto de juez natural ha evolucionado en el sentido de </w:t>
      </w:r>
      <w:r w:rsidRPr="00FC353C">
        <w:rPr>
          <w:rFonts w:ascii="Trebuchet MS" w:eastAsia="Trebuchet MS" w:hAnsi="Trebuchet MS" w:cs="Trebuchet MS"/>
          <w:i/>
        </w:rPr>
        <w:lastRenderedPageBreak/>
        <w:t>garantizar la determinación del juez (antes de que cometa el hecho), no sólo en abstracto, sino también en concreto, de tal manera que la garantía cobija no sólo la determinación del órgano que juzga sino que además la</w:t>
      </w:r>
      <w:r>
        <w:rPr>
          <w:rFonts w:ascii="Trebuchet MS" w:eastAsia="Trebuchet MS" w:hAnsi="Trebuchet MS" w:cs="Trebuchet MS"/>
          <w:i/>
        </w:rPr>
        <w:t xml:space="preserve"> </w:t>
      </w:r>
      <w:r w:rsidRPr="00FC353C">
        <w:rPr>
          <w:rFonts w:ascii="Trebuchet MS" w:eastAsia="Trebuchet MS" w:hAnsi="Trebuchet MS" w:cs="Trebuchet MS"/>
          <w:i/>
        </w:rPr>
        <w:t xml:space="preserve">composición del órgano que juzga; con el fin de que la determinación del juez en concreto se haga por el legislador y además </w:t>
      </w:r>
      <w:r w:rsidRPr="00FC353C">
        <w:rPr>
          <w:rFonts w:ascii="Trebuchet MS" w:eastAsia="Trebuchet MS" w:hAnsi="Trebuchet MS" w:cs="Trebuchet MS"/>
          <w:b/>
          <w:i/>
        </w:rPr>
        <w:t>con reglas objetivas que eviten que se designen jueces a dedo</w:t>
      </w:r>
      <w:r>
        <w:rPr>
          <w:rFonts w:ascii="Trebuchet MS" w:eastAsia="Trebuchet MS" w:hAnsi="Trebuchet MS" w:cs="Trebuchet MS"/>
          <w:i/>
        </w:rPr>
        <w:t>”</w:t>
      </w:r>
      <w:r>
        <w:rPr>
          <w:rStyle w:val="Refdenotaalpie"/>
          <w:rFonts w:ascii="Trebuchet MS" w:eastAsia="Trebuchet MS" w:hAnsi="Trebuchet MS" w:cs="Trebuchet MS"/>
          <w:i/>
        </w:rPr>
        <w:footnoteReference w:id="14"/>
      </w:r>
      <w:r>
        <w:rPr>
          <w:rFonts w:ascii="Trebuchet MS" w:eastAsia="Trebuchet MS" w:hAnsi="Trebuchet MS" w:cs="Trebuchet MS"/>
          <w:i/>
        </w:rPr>
        <w:t>.</w:t>
      </w:r>
    </w:p>
    <w:p w14:paraId="794CDFEE" w14:textId="15379444" w:rsidR="00FC353C" w:rsidRDefault="00FC353C" w:rsidP="00030617">
      <w:pPr>
        <w:spacing w:line="360" w:lineRule="auto"/>
        <w:jc w:val="both"/>
        <w:rPr>
          <w:rFonts w:ascii="Trebuchet MS" w:eastAsia="Trebuchet MS" w:hAnsi="Trebuchet MS" w:cs="Trebuchet MS"/>
          <w:i/>
        </w:rPr>
      </w:pPr>
    </w:p>
    <w:p w14:paraId="103FB046" w14:textId="2EB096EC" w:rsidR="00FC353C" w:rsidRPr="00FC353C" w:rsidRDefault="00FC353C" w:rsidP="00FC353C">
      <w:pPr>
        <w:spacing w:line="360" w:lineRule="auto"/>
        <w:jc w:val="both"/>
        <w:rPr>
          <w:rFonts w:ascii="Trebuchet MS" w:eastAsia="Trebuchet MS" w:hAnsi="Trebuchet MS" w:cs="Trebuchet MS"/>
        </w:rPr>
      </w:pPr>
      <w:r>
        <w:rPr>
          <w:rFonts w:ascii="Trebuchet MS" w:eastAsia="Trebuchet MS" w:hAnsi="Trebuchet MS" w:cs="Trebuchet MS"/>
        </w:rPr>
        <w:t>Varios expertos han indicado que dando aplicación al principio de juez natural, s</w:t>
      </w:r>
      <w:r w:rsidRPr="00FC353C">
        <w:rPr>
          <w:rFonts w:ascii="Trebuchet MS" w:eastAsia="Trebuchet MS" w:hAnsi="Trebuchet MS" w:cs="Trebuchet MS"/>
        </w:rPr>
        <w:t xml:space="preserve">i la Corte ya ha asumido la investigación en contra del aforado, atendida su condición </w:t>
      </w:r>
      <w:proofErr w:type="spellStart"/>
      <w:r w:rsidRPr="00FC353C">
        <w:rPr>
          <w:rFonts w:ascii="Trebuchet MS" w:eastAsia="Trebuchet MS" w:hAnsi="Trebuchet MS" w:cs="Trebuchet MS"/>
        </w:rPr>
        <w:t>congresional</w:t>
      </w:r>
      <w:proofErr w:type="spellEnd"/>
      <w:r w:rsidRPr="00FC353C">
        <w:rPr>
          <w:rFonts w:ascii="Trebuchet MS" w:eastAsia="Trebuchet MS" w:hAnsi="Trebuchet MS" w:cs="Trebuchet MS"/>
        </w:rPr>
        <w:t xml:space="preserve">, </w:t>
      </w:r>
      <w:r>
        <w:rPr>
          <w:rFonts w:ascii="Trebuchet MS" w:eastAsia="Trebuchet MS" w:hAnsi="Trebuchet MS" w:cs="Trebuchet MS"/>
        </w:rPr>
        <w:t>“</w:t>
      </w:r>
      <w:r w:rsidRPr="00FC353C">
        <w:rPr>
          <w:rFonts w:ascii="Trebuchet MS" w:eastAsia="Trebuchet MS" w:hAnsi="Trebuchet MS" w:cs="Trebuchet MS"/>
          <w:i/>
        </w:rPr>
        <w:t>y éste posteriormente, antes de que culmine el proceso, renuncia a su investidura con el único fin de evadir la intervención de su juez natural, ello no afecta la competencia de la Sala para llevar hasta su culminación el asunto, independientemente de si el delito guarda o no relación con esa función oficial que se pierde”</w:t>
      </w:r>
      <w:r>
        <w:rPr>
          <w:rStyle w:val="Refdenotaalpie"/>
          <w:rFonts w:ascii="Trebuchet MS" w:eastAsia="Trebuchet MS" w:hAnsi="Trebuchet MS" w:cs="Trebuchet MS"/>
          <w:i/>
        </w:rPr>
        <w:footnoteReference w:id="15"/>
      </w:r>
      <w:r w:rsidRPr="00FC353C">
        <w:rPr>
          <w:rFonts w:ascii="Trebuchet MS" w:eastAsia="Trebuchet MS" w:hAnsi="Trebuchet MS" w:cs="Trebuchet MS"/>
          <w:i/>
        </w:rPr>
        <w:t>.</w:t>
      </w:r>
    </w:p>
    <w:p w14:paraId="60F2D188" w14:textId="77777777" w:rsidR="00030617" w:rsidRPr="00FC353C" w:rsidRDefault="00030617" w:rsidP="00030617">
      <w:pPr>
        <w:spacing w:line="360" w:lineRule="auto"/>
        <w:jc w:val="both"/>
        <w:rPr>
          <w:rFonts w:ascii="Trebuchet MS" w:eastAsia="Trebuchet MS" w:hAnsi="Trebuchet MS" w:cs="Trebuchet MS"/>
          <w:i/>
        </w:rPr>
      </w:pPr>
    </w:p>
    <w:p w14:paraId="4429D794" w14:textId="0962E340" w:rsidR="00030617" w:rsidRDefault="00030617" w:rsidP="00030617">
      <w:pPr>
        <w:spacing w:line="360" w:lineRule="auto"/>
        <w:jc w:val="both"/>
        <w:rPr>
          <w:rFonts w:ascii="Trebuchet MS" w:eastAsia="Trebuchet MS" w:hAnsi="Trebuchet MS" w:cs="Trebuchet MS"/>
        </w:rPr>
      </w:pPr>
      <w:r>
        <w:rPr>
          <w:rFonts w:ascii="Trebuchet MS" w:eastAsia="Trebuchet MS" w:hAnsi="Trebuchet MS" w:cs="Trebuchet MS"/>
        </w:rPr>
        <w:t xml:space="preserve">En consecuencia, el presente Proyecto de Acto Legislativo, pretende hacer un cambio normativo que </w:t>
      </w:r>
      <w:r w:rsidR="00FC353C">
        <w:rPr>
          <w:rFonts w:ascii="Trebuchet MS" w:eastAsia="Trebuchet MS" w:hAnsi="Trebuchet MS" w:cs="Trebuchet MS"/>
        </w:rPr>
        <w:t>de aplicación al principio de juez natural</w:t>
      </w:r>
      <w:r>
        <w:rPr>
          <w:rFonts w:ascii="Trebuchet MS" w:eastAsia="Trebuchet MS" w:hAnsi="Trebuchet MS" w:cs="Trebuchet MS"/>
        </w:rPr>
        <w:t xml:space="preserve">. De este modo, se impone un límite a la posibilidad reiterada de renunciar a la curul de los congresistas, con el fin de encontrar condiciones de investigación y juzgamiento más favorables en la justicia ordinaria.  La iniciativa establece que la Corte Suprema de Justicia, mantendrá la competencia para investigar y juzgar a los congresistas por cualquier tipo de conducta, sin que haya alteración de esta competencia por su renuncia. </w:t>
      </w:r>
    </w:p>
    <w:p w14:paraId="653E47E6" w14:textId="77777777" w:rsidR="001E4729" w:rsidRDefault="001E4729" w:rsidP="001E4729">
      <w:pPr>
        <w:spacing w:after="160"/>
        <w:jc w:val="both"/>
        <w:rPr>
          <w:rFonts w:ascii="Trebuchet MS" w:eastAsia="Trebuchet MS" w:hAnsi="Trebuchet MS" w:cs="Trebuchet MS"/>
          <w:sz w:val="24"/>
          <w:szCs w:val="24"/>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1E4729" w14:paraId="1C87B595" w14:textId="77777777" w:rsidTr="00B97675">
        <w:tc>
          <w:tcPr>
            <w:tcW w:w="4514" w:type="dxa"/>
            <w:shd w:val="clear" w:color="auto" w:fill="auto"/>
            <w:tcMar>
              <w:top w:w="100" w:type="dxa"/>
              <w:left w:w="100" w:type="dxa"/>
              <w:bottom w:w="100" w:type="dxa"/>
              <w:right w:w="100" w:type="dxa"/>
            </w:tcMar>
          </w:tcPr>
          <w:p w14:paraId="21593293"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5F5FA1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887D8C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E956DAC"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Pr>
                <w:rFonts w:ascii="Trebuchet MS" w:eastAsia="Trebuchet MS" w:hAnsi="Trebuchet MS" w:cs="Trebuchet MS"/>
                <w:sz w:val="24"/>
                <w:szCs w:val="24"/>
              </w:rPr>
              <w:t xml:space="preserve">David Racero </w:t>
            </w:r>
            <w:proofErr w:type="spellStart"/>
            <w:r>
              <w:rPr>
                <w:rFonts w:ascii="Trebuchet MS" w:eastAsia="Trebuchet MS" w:hAnsi="Trebuchet MS" w:cs="Trebuchet MS"/>
                <w:sz w:val="24"/>
                <w:szCs w:val="24"/>
              </w:rPr>
              <w:t>Mayorca</w:t>
            </w:r>
            <w:proofErr w:type="spellEnd"/>
          </w:p>
          <w:p w14:paraId="159D0553"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r>
              <w:rPr>
                <w:rFonts w:ascii="Trebuchet MS" w:eastAsia="Trebuchet MS" w:hAnsi="Trebuchet MS" w:cs="Trebuchet MS"/>
                <w:sz w:val="24"/>
                <w:szCs w:val="24"/>
              </w:rPr>
              <w:t>Representante a la Cámara por Bogotá</w:t>
            </w:r>
          </w:p>
          <w:p w14:paraId="43E21094"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2A2C5E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98FC58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B98A661"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p w14:paraId="1A3399C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89F2628" w14:textId="77777777" w:rsidR="001E4729" w:rsidRDefault="001E4729" w:rsidP="00B97675">
            <w:pPr>
              <w:widowControl w:val="0"/>
              <w:pBdr>
                <w:top w:val="nil"/>
                <w:left w:val="nil"/>
                <w:bottom w:val="nil"/>
                <w:right w:val="nil"/>
                <w:between w:val="nil"/>
              </w:pBdr>
              <w:spacing w:line="240" w:lineRule="auto"/>
              <w:jc w:val="center"/>
              <w:rPr>
                <w:rFonts w:ascii="Trebuchet MS" w:eastAsia="Trebuchet MS" w:hAnsi="Trebuchet MS" w:cs="Trebuchet MS"/>
                <w:sz w:val="24"/>
                <w:szCs w:val="24"/>
              </w:rPr>
            </w:pPr>
          </w:p>
        </w:tc>
      </w:tr>
      <w:tr w:rsidR="001E4729" w14:paraId="7D6BDE21" w14:textId="77777777" w:rsidTr="001E4729">
        <w:trPr>
          <w:trHeight w:val="1261"/>
        </w:trPr>
        <w:tc>
          <w:tcPr>
            <w:tcW w:w="4514" w:type="dxa"/>
            <w:shd w:val="clear" w:color="auto" w:fill="auto"/>
            <w:tcMar>
              <w:top w:w="100" w:type="dxa"/>
              <w:left w:w="100" w:type="dxa"/>
              <w:bottom w:w="100" w:type="dxa"/>
              <w:right w:w="100" w:type="dxa"/>
            </w:tcMar>
          </w:tcPr>
          <w:p w14:paraId="1D4DE1E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FE14845"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09E4C9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3EE232A"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1C7CCF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90ED6E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956439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6DB0D68B" w14:textId="77777777" w:rsidTr="00B97675">
        <w:tc>
          <w:tcPr>
            <w:tcW w:w="4514" w:type="dxa"/>
            <w:shd w:val="clear" w:color="auto" w:fill="auto"/>
            <w:tcMar>
              <w:top w:w="100" w:type="dxa"/>
              <w:left w:w="100" w:type="dxa"/>
              <w:bottom w:w="100" w:type="dxa"/>
              <w:right w:w="100" w:type="dxa"/>
            </w:tcMar>
          </w:tcPr>
          <w:p w14:paraId="2E3595F2"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8C6256D"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496AF7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3D7805D"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D6458D5"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6B5396CA" w14:textId="77777777" w:rsidTr="00B97675">
        <w:tc>
          <w:tcPr>
            <w:tcW w:w="4514" w:type="dxa"/>
            <w:shd w:val="clear" w:color="auto" w:fill="auto"/>
            <w:tcMar>
              <w:top w:w="100" w:type="dxa"/>
              <w:left w:w="100" w:type="dxa"/>
              <w:bottom w:w="100" w:type="dxa"/>
              <w:right w:w="100" w:type="dxa"/>
            </w:tcMar>
          </w:tcPr>
          <w:p w14:paraId="3423734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F0B44E3"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E5E923A"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D1CAC2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2004984D"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48CBF56C" w14:textId="77777777" w:rsidTr="00B97675">
        <w:tc>
          <w:tcPr>
            <w:tcW w:w="4514" w:type="dxa"/>
            <w:shd w:val="clear" w:color="auto" w:fill="auto"/>
            <w:tcMar>
              <w:top w:w="100" w:type="dxa"/>
              <w:left w:w="100" w:type="dxa"/>
              <w:bottom w:w="100" w:type="dxa"/>
              <w:right w:w="100" w:type="dxa"/>
            </w:tcMar>
          </w:tcPr>
          <w:p w14:paraId="00CCB4E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844BC9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003A8F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7754B2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69D08E4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0EE15EE"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20675187" w14:textId="77777777" w:rsidTr="00B97675">
        <w:tc>
          <w:tcPr>
            <w:tcW w:w="4514" w:type="dxa"/>
            <w:shd w:val="clear" w:color="auto" w:fill="auto"/>
            <w:tcMar>
              <w:top w:w="100" w:type="dxa"/>
              <w:left w:w="100" w:type="dxa"/>
              <w:bottom w:w="100" w:type="dxa"/>
              <w:right w:w="100" w:type="dxa"/>
            </w:tcMar>
          </w:tcPr>
          <w:p w14:paraId="5392FF4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9586AA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000B8B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16BC720C"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66FF719"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13455294" w14:textId="77777777" w:rsidTr="00B97675">
        <w:tc>
          <w:tcPr>
            <w:tcW w:w="4514" w:type="dxa"/>
            <w:shd w:val="clear" w:color="auto" w:fill="auto"/>
            <w:tcMar>
              <w:top w:w="100" w:type="dxa"/>
              <w:left w:w="100" w:type="dxa"/>
              <w:bottom w:w="100" w:type="dxa"/>
              <w:right w:w="100" w:type="dxa"/>
            </w:tcMar>
          </w:tcPr>
          <w:p w14:paraId="66D8DA90" w14:textId="71EB687C"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2738811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39E701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46C0C08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A422AE8"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686826B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5BC9B78"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845A7DB" w14:textId="7EA1F18D"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09A71068" w14:textId="77777777" w:rsidTr="00B97675">
        <w:tc>
          <w:tcPr>
            <w:tcW w:w="4514" w:type="dxa"/>
            <w:shd w:val="clear" w:color="auto" w:fill="auto"/>
            <w:tcMar>
              <w:top w:w="100" w:type="dxa"/>
              <w:left w:w="100" w:type="dxa"/>
              <w:bottom w:w="100" w:type="dxa"/>
              <w:right w:w="100" w:type="dxa"/>
            </w:tcMar>
          </w:tcPr>
          <w:p w14:paraId="657DBF52"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421988A"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37E5A141"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7F67FA26"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52F48534"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1BCB2E80" w14:textId="77777777" w:rsidTr="00B97675">
        <w:tc>
          <w:tcPr>
            <w:tcW w:w="4514" w:type="dxa"/>
            <w:shd w:val="clear" w:color="auto" w:fill="auto"/>
            <w:tcMar>
              <w:top w:w="100" w:type="dxa"/>
              <w:left w:w="100" w:type="dxa"/>
              <w:bottom w:w="100" w:type="dxa"/>
              <w:right w:w="100" w:type="dxa"/>
            </w:tcMar>
          </w:tcPr>
          <w:p w14:paraId="692D2A9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4C6CCC7"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9AAA870"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030CA8B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17B1D1D2"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r w:rsidR="001E4729" w14:paraId="34BF9C75" w14:textId="77777777" w:rsidTr="00B97675">
        <w:tc>
          <w:tcPr>
            <w:tcW w:w="4514" w:type="dxa"/>
            <w:shd w:val="clear" w:color="auto" w:fill="auto"/>
            <w:tcMar>
              <w:top w:w="100" w:type="dxa"/>
              <w:left w:w="100" w:type="dxa"/>
              <w:bottom w:w="100" w:type="dxa"/>
              <w:right w:w="100" w:type="dxa"/>
            </w:tcMar>
          </w:tcPr>
          <w:p w14:paraId="5CC39A5F"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7061F5A"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20EDAEA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p w14:paraId="595289F8"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c>
          <w:tcPr>
            <w:tcW w:w="4515" w:type="dxa"/>
            <w:shd w:val="clear" w:color="auto" w:fill="auto"/>
            <w:tcMar>
              <w:top w:w="100" w:type="dxa"/>
              <w:left w:w="100" w:type="dxa"/>
              <w:bottom w:w="100" w:type="dxa"/>
              <w:right w:w="100" w:type="dxa"/>
            </w:tcMar>
          </w:tcPr>
          <w:p w14:paraId="4E83E39B" w14:textId="77777777" w:rsidR="001E4729" w:rsidRDefault="001E4729" w:rsidP="00B97675">
            <w:pPr>
              <w:widowControl w:val="0"/>
              <w:pBdr>
                <w:top w:val="nil"/>
                <w:left w:val="nil"/>
                <w:bottom w:val="nil"/>
                <w:right w:val="nil"/>
                <w:between w:val="nil"/>
              </w:pBdr>
              <w:spacing w:line="240" w:lineRule="auto"/>
              <w:rPr>
                <w:rFonts w:ascii="Trebuchet MS" w:eastAsia="Trebuchet MS" w:hAnsi="Trebuchet MS" w:cs="Trebuchet MS"/>
                <w:sz w:val="24"/>
                <w:szCs w:val="24"/>
              </w:rPr>
            </w:pPr>
          </w:p>
        </w:tc>
      </w:tr>
    </w:tbl>
    <w:p w14:paraId="35E2049A" w14:textId="77777777" w:rsidR="001E4729" w:rsidRDefault="001E4729" w:rsidP="001E4729">
      <w:pPr>
        <w:spacing w:after="160"/>
        <w:jc w:val="both"/>
        <w:rPr>
          <w:rFonts w:ascii="Trebuchet MS" w:eastAsia="Trebuchet MS" w:hAnsi="Trebuchet MS" w:cs="Trebuchet MS"/>
          <w:sz w:val="24"/>
          <w:szCs w:val="24"/>
        </w:rPr>
      </w:pPr>
    </w:p>
    <w:p w14:paraId="42139787" w14:textId="77777777" w:rsidR="00030617" w:rsidRDefault="00030617" w:rsidP="00030617">
      <w:pPr>
        <w:spacing w:line="360" w:lineRule="auto"/>
        <w:jc w:val="both"/>
        <w:rPr>
          <w:rFonts w:ascii="Calibri" w:eastAsia="Calibri" w:hAnsi="Calibri" w:cs="Calibri"/>
          <w:sz w:val="20"/>
          <w:szCs w:val="20"/>
        </w:rPr>
      </w:pPr>
    </w:p>
    <w:p w14:paraId="04A8E399" w14:textId="77777777" w:rsidR="00030617" w:rsidRDefault="00030617" w:rsidP="00030617"/>
    <w:p w14:paraId="1C1E6FE0" w14:textId="77777777" w:rsidR="00030617" w:rsidRDefault="00030617"/>
    <w:sectPr w:rsidR="00030617">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82EA6" w14:textId="77777777" w:rsidR="00563673" w:rsidRDefault="00563673" w:rsidP="00030617">
      <w:pPr>
        <w:spacing w:line="240" w:lineRule="auto"/>
      </w:pPr>
      <w:r>
        <w:separator/>
      </w:r>
    </w:p>
  </w:endnote>
  <w:endnote w:type="continuationSeparator" w:id="0">
    <w:p w14:paraId="6746527D" w14:textId="77777777" w:rsidR="00563673" w:rsidRDefault="00563673" w:rsidP="00030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03DAF" w14:textId="77777777" w:rsidR="008567A7" w:rsidRDefault="00563673">
    <w:pPr>
      <w:pBdr>
        <w:top w:val="nil"/>
        <w:left w:val="nil"/>
        <w:bottom w:val="nil"/>
        <w:right w:val="nil"/>
        <w:between w:val="nil"/>
      </w:pBdr>
      <w:tabs>
        <w:tab w:val="center" w:pos="4419"/>
        <w:tab w:val="right" w:pos="8838"/>
      </w:tabs>
      <w:spacing w:line="240" w:lineRule="auto"/>
      <w:rPr>
        <w:color w:val="000000"/>
      </w:rPr>
    </w:pPr>
  </w:p>
  <w:p w14:paraId="699B4AA6" w14:textId="77777777" w:rsidR="008567A7" w:rsidRDefault="00A1005C">
    <w:pPr>
      <w:pBdr>
        <w:top w:val="nil"/>
        <w:left w:val="nil"/>
        <w:bottom w:val="nil"/>
        <w:right w:val="nil"/>
        <w:between w:val="nil"/>
      </w:pBdr>
      <w:tabs>
        <w:tab w:val="center" w:pos="4419"/>
        <w:tab w:val="right" w:pos="8838"/>
      </w:tabs>
      <w:spacing w:line="240" w:lineRule="auto"/>
      <w:rPr>
        <w:color w:val="000000"/>
      </w:rPr>
    </w:pPr>
    <w:r>
      <w:rPr>
        <w:noProof/>
        <w:color w:val="000000"/>
        <w:lang w:val="es-CO" w:eastAsia="es-CO"/>
      </w:rPr>
      <w:drawing>
        <wp:inline distT="0" distB="0" distL="0" distR="0" wp14:anchorId="3EC5A6F4" wp14:editId="3FA2AD3E">
          <wp:extent cx="6482220" cy="237293"/>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t="30190" b="30116"/>
                  <a:stretch>
                    <a:fillRect/>
                  </a:stretch>
                </pic:blipFill>
                <pic:spPr>
                  <a:xfrm>
                    <a:off x="0" y="0"/>
                    <a:ext cx="6482220" cy="237293"/>
                  </a:xfrm>
                  <a:prstGeom prst="rect">
                    <a:avLst/>
                  </a:prstGeom>
                  <a:ln/>
                </pic:spPr>
              </pic:pic>
            </a:graphicData>
          </a:graphic>
        </wp:inline>
      </w:drawing>
    </w:r>
  </w:p>
  <w:p w14:paraId="058BA79D" w14:textId="77777777" w:rsidR="008567A7" w:rsidRDefault="00A1005C">
    <w:pPr>
      <w:pBdr>
        <w:top w:val="nil"/>
        <w:left w:val="nil"/>
        <w:bottom w:val="nil"/>
        <w:right w:val="nil"/>
        <w:between w:val="nil"/>
      </w:pBdr>
      <w:tabs>
        <w:tab w:val="center" w:pos="4419"/>
        <w:tab w:val="right" w:pos="8838"/>
      </w:tabs>
      <w:spacing w:line="240" w:lineRule="auto"/>
      <w:rPr>
        <w:color w:val="000000"/>
      </w:rPr>
    </w:pPr>
    <w:r>
      <w:rPr>
        <w:noProof/>
        <w:color w:val="000000"/>
        <w:lang w:val="es-CO" w:eastAsia="es-CO"/>
      </w:rPr>
      <w:drawing>
        <wp:inline distT="0" distB="0" distL="0" distR="0" wp14:anchorId="5EDCEBC1" wp14:editId="5C4D28D9">
          <wp:extent cx="5707862" cy="634684"/>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t="27473"/>
                  <a:stretch>
                    <a:fillRect/>
                  </a:stretch>
                </pic:blipFill>
                <pic:spPr>
                  <a:xfrm>
                    <a:off x="0" y="0"/>
                    <a:ext cx="5707862" cy="634684"/>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C65AD" w14:textId="77777777" w:rsidR="00563673" w:rsidRDefault="00563673" w:rsidP="00030617">
      <w:pPr>
        <w:spacing w:line="240" w:lineRule="auto"/>
      </w:pPr>
      <w:r>
        <w:separator/>
      </w:r>
    </w:p>
  </w:footnote>
  <w:footnote w:type="continuationSeparator" w:id="0">
    <w:p w14:paraId="772001C2" w14:textId="77777777" w:rsidR="00563673" w:rsidRDefault="00563673" w:rsidP="00030617">
      <w:pPr>
        <w:spacing w:line="240" w:lineRule="auto"/>
      </w:pPr>
      <w:r>
        <w:continuationSeparator/>
      </w:r>
    </w:p>
  </w:footnote>
  <w:footnote w:id="1">
    <w:p w14:paraId="6AC7D18E" w14:textId="77777777" w:rsidR="00030617" w:rsidRPr="00331026" w:rsidRDefault="00030617" w:rsidP="00030617">
      <w:pPr>
        <w:pStyle w:val="Textonotapie"/>
      </w:pPr>
      <w:r>
        <w:rPr>
          <w:rStyle w:val="Refdenotaalpie"/>
        </w:rPr>
        <w:footnoteRef/>
      </w:r>
      <w:r>
        <w:t xml:space="preserve"> Corte Constitucional: Sentencias C-222 de 1996, C-545 de 2008, SU-712 de 2013.</w:t>
      </w:r>
    </w:p>
  </w:footnote>
  <w:footnote w:id="2">
    <w:p w14:paraId="0EBF1AB7" w14:textId="77777777" w:rsidR="00030617" w:rsidRPr="00515CFE" w:rsidRDefault="00030617" w:rsidP="00030617">
      <w:pPr>
        <w:pStyle w:val="Textonotapie"/>
      </w:pPr>
      <w:r>
        <w:rPr>
          <w:rStyle w:val="Refdenotaalpie"/>
        </w:rPr>
        <w:footnoteRef/>
      </w:r>
      <w:r>
        <w:t xml:space="preserve">  Corte Constitucional, Sentencia C-22 de 1996. M. P.: Fabio Morón Díaz</w:t>
      </w:r>
    </w:p>
  </w:footnote>
  <w:footnote w:id="3">
    <w:p w14:paraId="5470A822" w14:textId="77777777" w:rsidR="00030617" w:rsidRPr="00515CFE" w:rsidRDefault="00030617" w:rsidP="00030617">
      <w:pPr>
        <w:pStyle w:val="Textonotapie"/>
      </w:pPr>
      <w:r>
        <w:rPr>
          <w:rStyle w:val="Refdenotaalpie"/>
        </w:rPr>
        <w:footnoteRef/>
      </w:r>
      <w:r>
        <w:t xml:space="preserve"> </w:t>
      </w:r>
      <w:r w:rsidRPr="00515CFE">
        <w:t>Corte Constitucional, Sentencia C-545 de 2008</w:t>
      </w:r>
    </w:p>
  </w:footnote>
  <w:footnote w:id="4">
    <w:p w14:paraId="00EF0F66" w14:textId="151CED53" w:rsidR="00030617" w:rsidRPr="00ED2DAA" w:rsidRDefault="00030617" w:rsidP="00030617">
      <w:pPr>
        <w:pStyle w:val="Textonotapie"/>
        <w:rPr>
          <w:lang w:val="es-CO"/>
        </w:rPr>
      </w:pPr>
      <w:r>
        <w:rPr>
          <w:rStyle w:val="Refdenotaalpie"/>
        </w:rPr>
        <w:footnoteRef/>
      </w:r>
      <w:r>
        <w:t xml:space="preserve"> </w:t>
      </w:r>
      <w:r w:rsidRPr="00DB777E">
        <w:t>José Gregorio Hernández Galindo</w:t>
      </w:r>
      <w:r w:rsidR="00604CCE">
        <w:t xml:space="preserve">. Fuero y Renuncia. Disponible en: </w:t>
      </w:r>
      <w:hyperlink r:id="rId1" w:history="1">
        <w:r w:rsidRPr="00861ADF">
          <w:rPr>
            <w:rStyle w:val="Hipervnculo"/>
          </w:rPr>
          <w:t>https://encolombia.com/derecho/revistajurisdiction/revista33/fueroyrenuncia/</w:t>
        </w:r>
      </w:hyperlink>
      <w:r>
        <w:t xml:space="preserve"> </w:t>
      </w:r>
    </w:p>
  </w:footnote>
  <w:footnote w:id="5">
    <w:p w14:paraId="6E2E76DF" w14:textId="77777777" w:rsidR="00030617" w:rsidRPr="00ED2DAA" w:rsidRDefault="00030617" w:rsidP="00030617">
      <w:pPr>
        <w:pStyle w:val="Textonotapie"/>
        <w:rPr>
          <w:lang w:val="es-CO"/>
        </w:rPr>
      </w:pPr>
      <w:r>
        <w:rPr>
          <w:rStyle w:val="Refdenotaalpie"/>
        </w:rPr>
        <w:footnoteRef/>
      </w:r>
      <w:r>
        <w:t xml:space="preserve"> </w:t>
      </w:r>
      <w:r>
        <w:rPr>
          <w:lang w:val="es-CO"/>
        </w:rPr>
        <w:t xml:space="preserve">Ibídem. </w:t>
      </w:r>
    </w:p>
  </w:footnote>
  <w:footnote w:id="6">
    <w:p w14:paraId="07933969" w14:textId="77777777" w:rsidR="00030617" w:rsidRPr="00DB777E" w:rsidRDefault="00030617" w:rsidP="00030617">
      <w:pPr>
        <w:pStyle w:val="Textonotapie"/>
        <w:rPr>
          <w:lang w:val="es-CO"/>
        </w:rPr>
      </w:pPr>
      <w:r>
        <w:rPr>
          <w:rStyle w:val="Refdenotaalpie"/>
        </w:rPr>
        <w:footnoteRef/>
      </w:r>
      <w:r>
        <w:t xml:space="preserve"> </w:t>
      </w:r>
      <w:r>
        <w:rPr>
          <w:lang w:val="es-CO"/>
        </w:rPr>
        <w:t>Ibídem.</w:t>
      </w:r>
    </w:p>
  </w:footnote>
  <w:footnote w:id="7">
    <w:p w14:paraId="360E1B7B" w14:textId="77777777" w:rsidR="00030617" w:rsidRPr="00331026" w:rsidRDefault="00030617" w:rsidP="00030617">
      <w:pPr>
        <w:pStyle w:val="Textonotapie"/>
      </w:pPr>
      <w:r>
        <w:rPr>
          <w:rStyle w:val="Refdenotaalpie"/>
        </w:rPr>
        <w:footnoteRef/>
      </w:r>
      <w:r>
        <w:t xml:space="preserve"> Corte Constitucional. Sentencia SU-047 de 1999. MM. PP.: Carlos Gaviria Díaz, Alejandro Martínez Caballero.</w:t>
      </w:r>
    </w:p>
  </w:footnote>
  <w:footnote w:id="8">
    <w:p w14:paraId="56410936" w14:textId="77777777" w:rsidR="00030617" w:rsidRPr="00166A88" w:rsidRDefault="00030617" w:rsidP="00030617">
      <w:pPr>
        <w:pStyle w:val="Textonotapie"/>
        <w:rPr>
          <w:lang w:val="es"/>
        </w:rPr>
      </w:pPr>
      <w:r>
        <w:rPr>
          <w:rStyle w:val="Refdenotaalpie"/>
        </w:rPr>
        <w:footnoteRef/>
      </w:r>
      <w:r>
        <w:t xml:space="preserve"> Corte Suprema de Justicia. Proceso No 31653</w:t>
      </w:r>
    </w:p>
  </w:footnote>
  <w:footnote w:id="9">
    <w:p w14:paraId="180B3A0E" w14:textId="77777777" w:rsidR="00030617" w:rsidRPr="00815BC6" w:rsidRDefault="00030617" w:rsidP="00030617">
      <w:pPr>
        <w:pStyle w:val="Textonotapie"/>
        <w:rPr>
          <w:lang w:val="es"/>
        </w:rPr>
      </w:pPr>
      <w:r>
        <w:rPr>
          <w:rStyle w:val="Refdenotaalpie"/>
        </w:rPr>
        <w:footnoteRef/>
      </w:r>
      <w:r>
        <w:t xml:space="preserve"> </w:t>
      </w:r>
      <w:hyperlink r:id="rId2" w:history="1">
        <w:r w:rsidRPr="00F43E8E">
          <w:rPr>
            <w:rStyle w:val="Hipervnculo"/>
          </w:rPr>
          <w:t>http://www.caracol.com.co/nota.aspx?id=741949</w:t>
        </w:r>
      </w:hyperlink>
      <w:r>
        <w:t xml:space="preserve"> </w:t>
      </w:r>
    </w:p>
  </w:footnote>
  <w:footnote w:id="10">
    <w:p w14:paraId="01BEF1F9" w14:textId="77777777" w:rsidR="00030617" w:rsidRPr="00815BC6" w:rsidRDefault="00030617" w:rsidP="00030617">
      <w:pPr>
        <w:pStyle w:val="Textonotapie"/>
        <w:rPr>
          <w:lang w:val="es-CO"/>
        </w:rPr>
      </w:pPr>
      <w:r>
        <w:rPr>
          <w:rStyle w:val="Refdenotaalpie"/>
        </w:rPr>
        <w:footnoteRef/>
      </w:r>
      <w:r>
        <w:t xml:space="preserve"> </w:t>
      </w:r>
      <w:r w:rsidRPr="00815BC6">
        <w:t xml:space="preserve">http://www.elpilon.com.co/inicio/por-falsedad-ideologica-condenan-al-ex-congresista-miguel-duran-gelvis/ </w:t>
      </w:r>
      <w:r>
        <w:t xml:space="preserve"> </w:t>
      </w:r>
    </w:p>
  </w:footnote>
  <w:footnote w:id="11">
    <w:p w14:paraId="15558A7E" w14:textId="77777777" w:rsidR="00030617" w:rsidRPr="005934CA" w:rsidRDefault="00030617" w:rsidP="00030617">
      <w:pPr>
        <w:pStyle w:val="Textonotapie"/>
        <w:rPr>
          <w:lang w:val="es-CO"/>
        </w:rPr>
      </w:pPr>
      <w:r>
        <w:rPr>
          <w:rStyle w:val="Refdenotaalpie"/>
        </w:rPr>
        <w:footnoteRef/>
      </w:r>
      <w:r>
        <w:t xml:space="preserve"> </w:t>
      </w:r>
      <w:hyperlink r:id="rId3" w:history="1">
        <w:r w:rsidRPr="00F43E8E">
          <w:rPr>
            <w:rStyle w:val="Hipervnculo"/>
          </w:rPr>
          <w:t>https://www.elespectador.com/judicial/caso-uribe-corte-suprema-pide-a-fiscalia-que-investigue-a-mario-uribe-article/</w:t>
        </w:r>
      </w:hyperlink>
      <w:r>
        <w:t xml:space="preserve"> </w:t>
      </w:r>
    </w:p>
  </w:footnote>
  <w:footnote w:id="12">
    <w:p w14:paraId="0DAEBDA0" w14:textId="77777777" w:rsidR="00030617" w:rsidRPr="00C44865" w:rsidRDefault="00030617" w:rsidP="00030617">
      <w:pPr>
        <w:pStyle w:val="Textonotapie"/>
        <w:rPr>
          <w:lang w:val="es-CO"/>
        </w:rPr>
      </w:pPr>
      <w:r>
        <w:rPr>
          <w:rStyle w:val="Refdenotaalpie"/>
        </w:rPr>
        <w:footnoteRef/>
      </w:r>
      <w:r>
        <w:t xml:space="preserve"> </w:t>
      </w:r>
      <w:hyperlink r:id="rId4" w:anchor="tab=4" w:history="1">
        <w:r w:rsidRPr="00F43E8E">
          <w:rPr>
            <w:rStyle w:val="Hipervnculo"/>
          </w:rPr>
          <w:t>https://congresovisible.uniandes.edu.co/congresistas/perfil/william-alfonso-montes-medina/725/#tab=4</w:t>
        </w:r>
      </w:hyperlink>
      <w:r>
        <w:t xml:space="preserve"> </w:t>
      </w:r>
    </w:p>
  </w:footnote>
  <w:footnote w:id="13">
    <w:p w14:paraId="59DED842" w14:textId="59AC35A9" w:rsidR="00742350" w:rsidRPr="00742350" w:rsidRDefault="00742350">
      <w:pPr>
        <w:pStyle w:val="Textonotapie"/>
        <w:rPr>
          <w:lang w:val="es-CO"/>
        </w:rPr>
      </w:pPr>
      <w:r>
        <w:rPr>
          <w:rStyle w:val="Refdenotaalpie"/>
        </w:rPr>
        <w:footnoteRef/>
      </w:r>
      <w:r>
        <w:t xml:space="preserve"> </w:t>
      </w:r>
      <w:r w:rsidR="00FC353C">
        <w:t xml:space="preserve">Corte Constitucional. Sentencia </w:t>
      </w:r>
      <w:r w:rsidR="00FC353C">
        <w:t>C-1064 de 2002</w:t>
      </w:r>
      <w:r w:rsidR="00FC353C">
        <w:t xml:space="preserve">. </w:t>
      </w:r>
    </w:p>
  </w:footnote>
  <w:footnote w:id="14">
    <w:p w14:paraId="2D3F6D77" w14:textId="0206C452" w:rsidR="00FC353C" w:rsidRPr="00FC353C" w:rsidRDefault="00FC353C">
      <w:pPr>
        <w:pStyle w:val="Textonotapie"/>
        <w:rPr>
          <w:lang w:val="es-CO"/>
        </w:rPr>
      </w:pPr>
      <w:r>
        <w:rPr>
          <w:rStyle w:val="Refdenotaalpie"/>
        </w:rPr>
        <w:footnoteRef/>
      </w:r>
      <w:r>
        <w:t xml:space="preserve"> </w:t>
      </w:r>
      <w:r>
        <w:rPr>
          <w:lang w:val="es-CO"/>
        </w:rPr>
        <w:t xml:space="preserve">Ibídem. </w:t>
      </w:r>
    </w:p>
  </w:footnote>
  <w:footnote w:id="15">
    <w:p w14:paraId="479AB772" w14:textId="41A6EFCB" w:rsidR="00FC353C" w:rsidRPr="00FC353C" w:rsidRDefault="00FC353C">
      <w:pPr>
        <w:pStyle w:val="Textonotapie"/>
        <w:rPr>
          <w:lang w:val="es-CO"/>
        </w:rPr>
      </w:pPr>
      <w:r>
        <w:rPr>
          <w:rStyle w:val="Refdenotaalpie"/>
        </w:rPr>
        <w:footnoteRef/>
      </w:r>
      <w:r>
        <w:t xml:space="preserve"> </w:t>
      </w:r>
      <w:r>
        <w:rPr>
          <w:lang w:val="es-CO"/>
        </w:rPr>
        <w:t>Corte Suprema de Justicia. Sala de Casación Penal. Procesos contra aforados constitucionales –</w:t>
      </w:r>
      <w:proofErr w:type="spellStart"/>
      <w:r>
        <w:rPr>
          <w:lang w:val="es-CO"/>
        </w:rPr>
        <w:t>Parapólitica</w:t>
      </w:r>
      <w:proofErr w:type="spellEnd"/>
      <w:r>
        <w:rPr>
          <w:lang w:val="es-CO"/>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9C5A9" w14:textId="77777777" w:rsidR="008567A7" w:rsidRDefault="00A1005C">
    <w:pPr>
      <w:pBdr>
        <w:top w:val="nil"/>
        <w:left w:val="nil"/>
        <w:bottom w:val="nil"/>
        <w:right w:val="nil"/>
        <w:between w:val="nil"/>
      </w:pBdr>
      <w:tabs>
        <w:tab w:val="center" w:pos="4419"/>
        <w:tab w:val="right" w:pos="8838"/>
      </w:tabs>
      <w:spacing w:line="240" w:lineRule="auto"/>
      <w:jc w:val="right"/>
      <w:rPr>
        <w:color w:val="000000"/>
      </w:rPr>
    </w:pPr>
    <w:r>
      <w:rPr>
        <w:color w:val="000000"/>
      </w:rPr>
      <w:t xml:space="preserve">                                                          </w:t>
    </w:r>
    <w:r>
      <w:rPr>
        <w:noProof/>
        <w:color w:val="000000"/>
        <w:lang w:val="es-CO" w:eastAsia="es-CO"/>
      </w:rPr>
      <w:drawing>
        <wp:inline distT="0" distB="0" distL="0" distR="0" wp14:anchorId="6369C032" wp14:editId="6AFF1F58">
          <wp:extent cx="1797093" cy="586881"/>
          <wp:effectExtent l="0" t="0" r="0" b="0"/>
          <wp:docPr id="5" name="image5.png" descr="Resultado de imagen de CAMARA DE REPRESENTANTES"/>
          <wp:cNvGraphicFramePr/>
          <a:graphic xmlns:a="http://schemas.openxmlformats.org/drawingml/2006/main">
            <a:graphicData uri="http://schemas.openxmlformats.org/drawingml/2006/picture">
              <pic:pic xmlns:pic="http://schemas.openxmlformats.org/drawingml/2006/picture">
                <pic:nvPicPr>
                  <pic:cNvPr id="0" name="image5.png" descr="Resultado de imagen de CAMARA DE REPRESENTANTES"/>
                  <pic:cNvPicPr preferRelativeResize="0"/>
                </pic:nvPicPr>
                <pic:blipFill>
                  <a:blip r:embed="rId1"/>
                  <a:srcRect l="6789" t="15912" r="9518" b="16664"/>
                  <a:stretch>
                    <a:fillRect/>
                  </a:stretch>
                </pic:blipFill>
                <pic:spPr>
                  <a:xfrm>
                    <a:off x="0" y="0"/>
                    <a:ext cx="1797093" cy="586881"/>
                  </a:xfrm>
                  <a:prstGeom prst="rect">
                    <a:avLst/>
                  </a:prstGeom>
                  <a:ln/>
                </pic:spPr>
              </pic:pic>
            </a:graphicData>
          </a:graphic>
        </wp:inline>
      </w:drawing>
    </w:r>
    <w:r>
      <w:rPr>
        <w:color w:val="000000"/>
      </w:rPr>
      <w:t xml:space="preserve">                                     </w:t>
    </w:r>
    <w:r>
      <w:rPr>
        <w:noProof/>
        <w:lang w:val="es-CO" w:eastAsia="es-CO"/>
      </w:rPr>
      <w:drawing>
        <wp:anchor distT="0" distB="0" distL="114300" distR="114300" simplePos="0" relativeHeight="251659264" behindDoc="0" locked="0" layoutInCell="1" hidden="0" allowOverlap="1" wp14:anchorId="5862635C" wp14:editId="518AABF1">
          <wp:simplePos x="0" y="0"/>
          <wp:positionH relativeFrom="column">
            <wp:posOffset>1</wp:posOffset>
          </wp:positionH>
          <wp:positionV relativeFrom="paragraph">
            <wp:posOffset>140970</wp:posOffset>
          </wp:positionV>
          <wp:extent cx="438150" cy="438150"/>
          <wp:effectExtent l="0" t="0" r="0" b="0"/>
          <wp:wrapSquare wrapText="bothSides" distT="0" distB="0" distL="114300" distR="11430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438150" cy="438150"/>
                  </a:xfrm>
                  <a:prstGeom prst="rect">
                    <a:avLst/>
                  </a:prstGeom>
                  <a:ln/>
                </pic:spPr>
              </pic:pic>
            </a:graphicData>
          </a:graphic>
        </wp:anchor>
      </w:drawing>
    </w:r>
    <w:r>
      <w:rPr>
        <w:noProof/>
        <w:lang w:val="es-CO" w:eastAsia="es-CO"/>
      </w:rPr>
      <w:drawing>
        <wp:anchor distT="0" distB="0" distL="114300" distR="114300" simplePos="0" relativeHeight="251660288" behindDoc="0" locked="0" layoutInCell="1" hidden="0" allowOverlap="1" wp14:anchorId="4FF32F7D" wp14:editId="3F71C0AD">
          <wp:simplePos x="0" y="0"/>
          <wp:positionH relativeFrom="column">
            <wp:posOffset>558165</wp:posOffset>
          </wp:positionH>
          <wp:positionV relativeFrom="paragraph">
            <wp:posOffset>207645</wp:posOffset>
          </wp:positionV>
          <wp:extent cx="1628775" cy="434008"/>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628775" cy="434008"/>
                  </a:xfrm>
                  <a:prstGeom prst="rect">
                    <a:avLst/>
                  </a:prstGeom>
                  <a:ln/>
                </pic:spPr>
              </pic:pic>
            </a:graphicData>
          </a:graphic>
        </wp:anchor>
      </w:drawing>
    </w:r>
    <w:r>
      <w:rPr>
        <w:noProof/>
        <w:lang w:val="es-CO" w:eastAsia="es-CO"/>
      </w:rPr>
      <w:drawing>
        <wp:anchor distT="0" distB="0" distL="114300" distR="114300" simplePos="0" relativeHeight="251661312" behindDoc="0" locked="0" layoutInCell="1" hidden="0" allowOverlap="1" wp14:anchorId="09F986C4" wp14:editId="44B3BF7B">
          <wp:simplePos x="0" y="0"/>
          <wp:positionH relativeFrom="column">
            <wp:posOffset>2310765</wp:posOffset>
          </wp:positionH>
          <wp:positionV relativeFrom="paragraph">
            <wp:posOffset>226695</wp:posOffset>
          </wp:positionV>
          <wp:extent cx="762000" cy="389363"/>
          <wp:effectExtent l="0" t="0" r="0" b="0"/>
          <wp:wrapSquare wrapText="bothSides" distT="0" distB="0" distL="114300" distR="11430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
                  <a:srcRect/>
                  <a:stretch>
                    <a:fillRect/>
                  </a:stretch>
                </pic:blipFill>
                <pic:spPr>
                  <a:xfrm>
                    <a:off x="0" y="0"/>
                    <a:ext cx="762000" cy="389363"/>
                  </a:xfrm>
                  <a:prstGeom prst="rect">
                    <a:avLst/>
                  </a:prstGeom>
                  <a:ln/>
                </pic:spPr>
              </pic:pic>
            </a:graphicData>
          </a:graphic>
        </wp:anchor>
      </w:drawing>
    </w:r>
  </w:p>
  <w:p w14:paraId="0E809EC4" w14:textId="77777777" w:rsidR="008567A7" w:rsidRDefault="00563673">
    <w:pPr>
      <w:pBdr>
        <w:top w:val="nil"/>
        <w:left w:val="nil"/>
        <w:bottom w:val="nil"/>
        <w:right w:val="nil"/>
        <w:between w:val="nil"/>
      </w:pBdr>
      <w:tabs>
        <w:tab w:val="center" w:pos="4419"/>
        <w:tab w:val="right" w:pos="8838"/>
      </w:tabs>
      <w:spacing w:line="240" w:lineRule="auto"/>
      <w:jc w:val="center"/>
      <w:rPr>
        <w:color w:val="000000"/>
        <w:u w:val="single"/>
      </w:rPr>
    </w:pPr>
  </w:p>
  <w:p w14:paraId="77578BC8" w14:textId="77777777" w:rsidR="008567A7" w:rsidRDefault="00563673">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3E2668"/>
    <w:multiLevelType w:val="hybridMultilevel"/>
    <w:tmpl w:val="1EAC1A54"/>
    <w:lvl w:ilvl="0" w:tplc="038C5F6C">
      <w:numFmt w:val="bullet"/>
      <w:lvlText w:val="-"/>
      <w:lvlJc w:val="left"/>
      <w:pPr>
        <w:ind w:left="720" w:hanging="360"/>
      </w:pPr>
      <w:rPr>
        <w:rFonts w:ascii="Trebuchet MS" w:eastAsia="Trebuchet MS" w:hAnsi="Trebuchet MS" w:cs="Trebuchet M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617"/>
    <w:rsid w:val="00030617"/>
    <w:rsid w:val="000C2492"/>
    <w:rsid w:val="001E4729"/>
    <w:rsid w:val="00563673"/>
    <w:rsid w:val="00604CCE"/>
    <w:rsid w:val="00742350"/>
    <w:rsid w:val="00773ACD"/>
    <w:rsid w:val="00A1005C"/>
    <w:rsid w:val="00FC3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0B747"/>
  <w15:chartTrackingRefBased/>
  <w15:docId w15:val="{AF5198DA-17A2-4257-B2DA-14296F726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17"/>
    <w:pPr>
      <w:spacing w:after="0" w:line="276" w:lineRule="auto"/>
    </w:pPr>
    <w:rPr>
      <w:rFonts w:ascii="Arial" w:eastAsia="Arial" w:hAnsi="Arial" w:cs="Arial"/>
      <w:lang w:val="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30617"/>
    <w:pPr>
      <w:spacing w:line="240" w:lineRule="auto"/>
    </w:pPr>
    <w:rPr>
      <w:rFonts w:eastAsiaTheme="minorEastAsia"/>
      <w:sz w:val="20"/>
      <w:szCs w:val="20"/>
      <w:lang w:val="es-ES_tradnl" w:eastAsia="es-ES"/>
    </w:rPr>
  </w:style>
  <w:style w:type="character" w:customStyle="1" w:styleId="TextonotapieCar">
    <w:name w:val="Texto nota pie Car"/>
    <w:basedOn w:val="Fuentedeprrafopredeter"/>
    <w:link w:val="Textonotapie"/>
    <w:uiPriority w:val="99"/>
    <w:semiHidden/>
    <w:rsid w:val="00030617"/>
    <w:rPr>
      <w:rFonts w:eastAsiaTheme="minorEastAsia"/>
      <w:sz w:val="20"/>
      <w:szCs w:val="20"/>
      <w:lang w:val="es-ES_tradnl" w:eastAsia="es-ES"/>
    </w:rPr>
  </w:style>
  <w:style w:type="character" w:styleId="Refdenotaalpie">
    <w:name w:val="footnote reference"/>
    <w:basedOn w:val="Fuentedeprrafopredeter"/>
    <w:uiPriority w:val="99"/>
    <w:semiHidden/>
    <w:unhideWhenUsed/>
    <w:rsid w:val="00030617"/>
    <w:rPr>
      <w:vertAlign w:val="superscript"/>
    </w:rPr>
  </w:style>
  <w:style w:type="character" w:styleId="Hipervnculo">
    <w:name w:val="Hyperlink"/>
    <w:basedOn w:val="Fuentedeprrafopredeter"/>
    <w:uiPriority w:val="99"/>
    <w:unhideWhenUsed/>
    <w:rsid w:val="00030617"/>
    <w:rPr>
      <w:color w:val="0563C1" w:themeColor="hyperlink"/>
      <w:u w:val="single"/>
    </w:rPr>
  </w:style>
  <w:style w:type="paragraph" w:styleId="Prrafodelista">
    <w:name w:val="List Paragraph"/>
    <w:basedOn w:val="Normal"/>
    <w:uiPriority w:val="34"/>
    <w:qFormat/>
    <w:rsid w:val="00030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www.elespectador.com/judicial/caso-uribe-corte-suprema-pide-a-fiscalia-que-investigue-a-mario-uribe-article/" TargetMode="External"/><Relationship Id="rId2" Type="http://schemas.openxmlformats.org/officeDocument/2006/relationships/hyperlink" Target="http://www.caracol.com.co/nota.aspx?id=741949" TargetMode="External"/><Relationship Id="rId1" Type="http://schemas.openxmlformats.org/officeDocument/2006/relationships/hyperlink" Target="https://encolombia.com/derecho/revistajurisdiction/revista33/fueroyrenuncia/" TargetMode="External"/><Relationship Id="rId4" Type="http://schemas.openxmlformats.org/officeDocument/2006/relationships/hyperlink" Target="https://congresovisible.uniandes.edu.co/congresistas/perfil/william-alfonso-montes-medina/725/"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A134-6111-4F23-BD24-CC459D69E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2074</Words>
  <Characters>11407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apraez</dc:creator>
  <cp:keywords/>
  <dc:description/>
  <cp:lastModifiedBy>Nancy.Apraez</cp:lastModifiedBy>
  <cp:revision>2</cp:revision>
  <dcterms:created xsi:type="dcterms:W3CDTF">2021-08-09T17:10:00Z</dcterms:created>
  <dcterms:modified xsi:type="dcterms:W3CDTF">2021-08-09T17:10:00Z</dcterms:modified>
</cp:coreProperties>
</file>