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AD" w:rsidRPr="00F96078" w:rsidRDefault="00674B03" w:rsidP="00C052AD">
      <w:pPr>
        <w:pStyle w:val="CM6"/>
        <w:jc w:val="center"/>
        <w:rPr>
          <w:rFonts w:ascii="Arial Narrow" w:hAnsi="Arial Narrow" w:cs="Arial"/>
          <w:b/>
          <w:bCs/>
          <w:color w:val="000000"/>
          <w:sz w:val="28"/>
          <w:szCs w:val="28"/>
          <w:shd w:val="clear" w:color="auto" w:fill="FFFFFF"/>
          <w:lang w:val="es-ES_tradnl"/>
        </w:rPr>
      </w:pPr>
      <w:r w:rsidRPr="00F96078">
        <w:rPr>
          <w:rFonts w:ascii="Arial Narrow" w:hAnsi="Arial Narrow" w:cs="Arial"/>
          <w:b/>
          <w:bCs/>
          <w:color w:val="000000"/>
          <w:sz w:val="28"/>
          <w:szCs w:val="28"/>
          <w:shd w:val="clear" w:color="auto" w:fill="FFFFFF"/>
          <w:lang w:val="es-ES_tradnl"/>
        </w:rPr>
        <w:t>PROYECTO DE ACTO LEGISLATIVO</w:t>
      </w:r>
      <w:r w:rsidR="00C052AD" w:rsidRPr="00F96078">
        <w:rPr>
          <w:rFonts w:ascii="Arial Narrow" w:hAnsi="Arial Narrow" w:cs="Arial"/>
          <w:b/>
          <w:bCs/>
          <w:color w:val="000000"/>
          <w:sz w:val="28"/>
          <w:szCs w:val="28"/>
          <w:shd w:val="clear" w:color="auto" w:fill="FFFFFF"/>
          <w:lang w:val="es-ES_tradnl"/>
        </w:rPr>
        <w:t xml:space="preserve"> NO.________ DE 2018</w:t>
      </w:r>
    </w:p>
    <w:p w:rsidR="00383D00" w:rsidRPr="00F96078" w:rsidRDefault="00383D00"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Narrow" w:hAnsi="Arial Narrow" w:cs="Arial"/>
          <w:i/>
          <w:iCs/>
          <w:sz w:val="28"/>
          <w:szCs w:val="28"/>
          <w:lang w:val="es-ES_tradnl"/>
        </w:rPr>
      </w:pPr>
    </w:p>
    <w:p w:rsidR="00373488" w:rsidRPr="00F96078" w:rsidRDefault="00C052AD"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Narrow" w:hAnsi="Arial Narrow" w:cs="Arial"/>
          <w:b/>
          <w:i/>
          <w:iCs/>
          <w:sz w:val="28"/>
          <w:szCs w:val="28"/>
          <w:lang w:val="es-ES_tradnl"/>
        </w:rPr>
      </w:pPr>
      <w:r w:rsidRPr="00F96078">
        <w:rPr>
          <w:rFonts w:ascii="Arial Narrow" w:hAnsi="Arial Narrow" w:cs="Arial"/>
          <w:b/>
          <w:i/>
          <w:iCs/>
          <w:sz w:val="28"/>
          <w:szCs w:val="28"/>
          <w:lang w:val="es-ES_tradnl"/>
        </w:rPr>
        <w:t>“POR EL CUAL SE MODIFICA EL ARTÍCULO 361 DE LA CONSTITUCIÓN POLÍTICA Y SE DICTAN OTRAS DISPOSICIONES SOBRE EL RÉGIMEN DE REGALÍAS Y COMPENSACIONES”.</w:t>
      </w:r>
    </w:p>
    <w:p w:rsidR="00C052AD" w:rsidRPr="00F96078" w:rsidRDefault="00C052AD"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Narrow" w:hAnsi="Arial Narrow" w:cs="Arial"/>
          <w:i/>
          <w:iCs/>
          <w:sz w:val="28"/>
          <w:szCs w:val="28"/>
          <w:lang w:val="es-ES_tradnl"/>
        </w:rPr>
      </w:pPr>
    </w:p>
    <w:p w:rsidR="00373488" w:rsidRPr="00F96078" w:rsidRDefault="00C052AD"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Narrow" w:hAnsi="Arial Narrow" w:cs="Arial"/>
          <w:b/>
          <w:sz w:val="28"/>
          <w:szCs w:val="28"/>
          <w:lang w:val="es-ES_tradnl"/>
        </w:rPr>
      </w:pPr>
      <w:r w:rsidRPr="00F96078">
        <w:rPr>
          <w:rFonts w:ascii="Arial Narrow" w:hAnsi="Arial Narrow" w:cs="Arial"/>
          <w:sz w:val="28"/>
          <w:szCs w:val="28"/>
          <w:lang w:val="es-ES_tradnl"/>
        </w:rPr>
        <w:t>EL CONGRESO DE COLOMBIA</w:t>
      </w:r>
      <w:r w:rsidRPr="00F96078">
        <w:rPr>
          <w:rFonts w:ascii="Arial Narrow" w:hAnsi="Arial Narrow" w:cs="Arial"/>
          <w:b/>
          <w:sz w:val="28"/>
          <w:szCs w:val="28"/>
          <w:lang w:val="es-ES_tradnl"/>
        </w:rPr>
        <w:t xml:space="preserve"> </w:t>
      </w:r>
    </w:p>
    <w:p w:rsidR="007A5D90" w:rsidRPr="00F96078" w:rsidRDefault="007A5D90"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Narrow" w:hAnsi="Arial Narrow" w:cs="Arial"/>
          <w:sz w:val="28"/>
          <w:szCs w:val="28"/>
          <w:lang w:val="es-ES_tradnl"/>
        </w:rPr>
      </w:pPr>
    </w:p>
    <w:p w:rsidR="00373488" w:rsidRPr="00F96078" w:rsidRDefault="00373488"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Narrow" w:hAnsi="Arial Narrow" w:cs="Arial"/>
          <w:sz w:val="28"/>
          <w:szCs w:val="28"/>
          <w:lang w:val="es-ES_tradnl"/>
        </w:rPr>
      </w:pPr>
      <w:r w:rsidRPr="00F96078">
        <w:rPr>
          <w:rFonts w:ascii="Arial Narrow" w:hAnsi="Arial Narrow" w:cs="Arial"/>
          <w:sz w:val="28"/>
          <w:szCs w:val="28"/>
          <w:lang w:val="es-ES_tradnl"/>
        </w:rPr>
        <w:t>DECRETA:</w:t>
      </w:r>
    </w:p>
    <w:p w:rsidR="00373488" w:rsidRPr="00F96078" w:rsidRDefault="00373488"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Narrow" w:hAnsi="Arial Narrow" w:cs="Arial"/>
          <w:sz w:val="28"/>
          <w:szCs w:val="28"/>
          <w:lang w:val="es-ES_tradnl"/>
        </w:rPr>
      </w:pPr>
    </w:p>
    <w:p w:rsidR="006A1747" w:rsidRPr="00F96078" w:rsidRDefault="006A1747" w:rsidP="006A1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Arial Narrow" w:hAnsi="Arial Narrow" w:cs="Arial"/>
          <w:sz w:val="28"/>
          <w:szCs w:val="28"/>
          <w:lang w:val="es-ES_tradnl"/>
        </w:rPr>
      </w:pPr>
      <w:r w:rsidRPr="00F96078">
        <w:rPr>
          <w:rFonts w:ascii="Arial Narrow" w:hAnsi="Arial Narrow" w:cs="Arial"/>
          <w:b/>
          <w:sz w:val="28"/>
          <w:szCs w:val="28"/>
          <w:lang w:val="es-ES_tradnl"/>
        </w:rPr>
        <w:t>Artículo 1°.</w:t>
      </w:r>
      <w:r w:rsidRPr="00F96078">
        <w:rPr>
          <w:rFonts w:ascii="Arial Narrow" w:hAnsi="Arial Narrow" w:cs="Arial"/>
          <w:sz w:val="28"/>
          <w:szCs w:val="28"/>
          <w:lang w:val="es-ES_tradnl"/>
        </w:rPr>
        <w:t xml:space="preserve"> Modifíquese el</w:t>
      </w:r>
      <w:r w:rsidR="00BC074C" w:rsidRPr="00F96078">
        <w:rPr>
          <w:rFonts w:ascii="Arial Narrow" w:hAnsi="Arial Narrow" w:cs="Arial"/>
          <w:sz w:val="28"/>
          <w:szCs w:val="28"/>
          <w:lang w:val="es-ES_tradnl"/>
        </w:rPr>
        <w:t xml:space="preserve"> </w:t>
      </w:r>
      <w:r w:rsidR="004E040C" w:rsidRPr="00F96078">
        <w:rPr>
          <w:rFonts w:ascii="Arial Narrow" w:hAnsi="Arial Narrow" w:cs="Arial"/>
          <w:sz w:val="28"/>
          <w:szCs w:val="28"/>
          <w:lang w:val="es-ES_tradnl"/>
        </w:rPr>
        <w:t xml:space="preserve">artículo 361 </w:t>
      </w:r>
      <w:r w:rsidRPr="00F96078">
        <w:rPr>
          <w:rFonts w:ascii="Arial Narrow" w:hAnsi="Arial Narrow" w:cs="Arial"/>
          <w:sz w:val="28"/>
          <w:szCs w:val="28"/>
          <w:lang w:val="es-ES_tradnl"/>
        </w:rPr>
        <w:t xml:space="preserve">de la Constitución Política </w:t>
      </w:r>
      <w:r w:rsidR="00BC074C" w:rsidRPr="00F96078">
        <w:rPr>
          <w:rFonts w:ascii="Arial Narrow" w:hAnsi="Arial Narrow" w:cs="Arial"/>
          <w:sz w:val="28"/>
          <w:szCs w:val="28"/>
          <w:lang w:val="es-ES_tradnl"/>
        </w:rPr>
        <w:t xml:space="preserve">que </w:t>
      </w:r>
      <w:r w:rsidRPr="00F96078">
        <w:rPr>
          <w:rFonts w:ascii="Arial Narrow" w:hAnsi="Arial Narrow" w:cs="Arial"/>
          <w:sz w:val="28"/>
          <w:szCs w:val="28"/>
          <w:lang w:val="es-ES_tradnl"/>
        </w:rPr>
        <w:t>quedará así:</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bookmarkStart w:id="0" w:name="361"/>
      <w:r w:rsidRPr="00F96078">
        <w:rPr>
          <w:rFonts w:ascii="Arial Narrow" w:hAnsi="Arial Narrow" w:cs="Arial"/>
          <w:bCs/>
          <w:sz w:val="28"/>
          <w:szCs w:val="28"/>
        </w:rPr>
        <w:t>ARTICULO 361. </w:t>
      </w:r>
      <w:bookmarkEnd w:id="0"/>
      <w:r w:rsidRPr="00F96078">
        <w:rPr>
          <w:rFonts w:ascii="Arial Narrow" w:hAnsi="Arial Narrow" w:cs="Arial"/>
          <w:sz w:val="28"/>
          <w:szCs w:val="28"/>
        </w:rPr>
        <w:t xml:space="preserve"> Los ingresos del Sistema General de Regalías se destinarán al financiamiento de proyectos para el desarrollo social, económico y ambiental de las entidades territoriales;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a ejecutar directamente estos recursos.</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Para efectos de cumplir con los objetivos y fines del Sistema General de Regalías, créanse los Fondos de Ciencia, Tecnología e Innovación; de Desarrollo Regional; de Compensación Regional; y de Ahorro y Estabilización.</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Los ingresos del Sistema General de Regalías se distribuirán así: un porcentaje equivalente al 10% para el Fondo de Ciencia, Tecnología e Innovación; un 10% para ahorro pensional territorial, y hasta un 30% para el Fondo de Ahorro y Estabilización. Los recursos restantes se distribuirán en un porcentaje equivalente al</w:t>
      </w:r>
      <w:r w:rsidR="00DC7213" w:rsidRPr="00F96078">
        <w:rPr>
          <w:rFonts w:ascii="Arial Narrow" w:hAnsi="Arial Narrow" w:cs="Arial"/>
          <w:sz w:val="28"/>
          <w:szCs w:val="28"/>
        </w:rPr>
        <w:t xml:space="preserve"> </w:t>
      </w:r>
      <w:r w:rsidR="00DC7213" w:rsidRPr="00F96078">
        <w:rPr>
          <w:rFonts w:ascii="Arial Narrow" w:hAnsi="Arial Narrow" w:cs="Arial"/>
          <w:strike/>
          <w:sz w:val="28"/>
          <w:szCs w:val="28"/>
        </w:rPr>
        <w:t>20%</w:t>
      </w:r>
      <w:r w:rsidRPr="00F96078">
        <w:rPr>
          <w:rFonts w:ascii="Arial Narrow" w:hAnsi="Arial Narrow" w:cs="Arial"/>
          <w:sz w:val="28"/>
          <w:szCs w:val="28"/>
        </w:rPr>
        <w:t xml:space="preserve"> </w:t>
      </w:r>
      <w:r w:rsidRPr="00F96078">
        <w:rPr>
          <w:rFonts w:ascii="Arial Narrow" w:hAnsi="Arial Narrow" w:cs="Arial"/>
          <w:b/>
          <w:sz w:val="28"/>
          <w:szCs w:val="28"/>
          <w:u w:val="single"/>
        </w:rPr>
        <w:t>30%</w:t>
      </w:r>
      <w:r w:rsidRPr="00F96078">
        <w:rPr>
          <w:rFonts w:ascii="Arial Narrow" w:hAnsi="Arial Narrow" w:cs="Arial"/>
          <w:sz w:val="28"/>
          <w:szCs w:val="28"/>
        </w:rPr>
        <w:t xml:space="preserve"> para las asignaciones directas de que trata el inciso 2o del presente artículo, y un</w:t>
      </w:r>
      <w:r w:rsidR="00DC7213" w:rsidRPr="00F96078">
        <w:rPr>
          <w:rFonts w:ascii="Arial Narrow" w:hAnsi="Arial Narrow" w:cs="Arial"/>
          <w:sz w:val="28"/>
          <w:szCs w:val="28"/>
        </w:rPr>
        <w:t xml:space="preserve"> </w:t>
      </w:r>
      <w:r w:rsidR="00DC7213" w:rsidRPr="00F96078">
        <w:rPr>
          <w:rFonts w:ascii="Arial Narrow" w:hAnsi="Arial Narrow" w:cs="Arial"/>
          <w:strike/>
          <w:sz w:val="28"/>
          <w:szCs w:val="28"/>
        </w:rPr>
        <w:t>80%</w:t>
      </w:r>
      <w:r w:rsidRPr="00F96078">
        <w:rPr>
          <w:rFonts w:ascii="Arial Narrow" w:hAnsi="Arial Narrow" w:cs="Arial"/>
          <w:sz w:val="28"/>
          <w:szCs w:val="28"/>
        </w:rPr>
        <w:t xml:space="preserve"> </w:t>
      </w:r>
      <w:r w:rsidRPr="00F96078">
        <w:rPr>
          <w:rFonts w:ascii="Arial Narrow" w:hAnsi="Arial Narrow" w:cs="Arial"/>
          <w:b/>
          <w:sz w:val="28"/>
          <w:szCs w:val="28"/>
          <w:u w:val="single"/>
        </w:rPr>
        <w:t>70%</w:t>
      </w:r>
      <w:r w:rsidRPr="00F96078">
        <w:rPr>
          <w:rFonts w:ascii="Arial Narrow" w:hAnsi="Arial Narrow" w:cs="Arial"/>
          <w:sz w:val="28"/>
          <w:szCs w:val="28"/>
        </w:rPr>
        <w:t xml:space="preserve"> para los Fondos de Compensación Regional, y de Desarrollo Regional. Del total de los recursos destinados a estos dos últimos Fondos, se destinará un porcentaje equivalente </w:t>
      </w:r>
      <w:r w:rsidRPr="00F96078">
        <w:rPr>
          <w:rFonts w:ascii="Arial Narrow" w:hAnsi="Arial Narrow" w:cs="Arial"/>
          <w:sz w:val="28"/>
          <w:szCs w:val="28"/>
        </w:rPr>
        <w:lastRenderedPageBreak/>
        <w:t>al 60% para el Fondo de Compensación Regional y un 40% para el Fondo de Desarrollo Regional.</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De los ingresos del Sistema General de Regalías, se destinará un porcentaje del 2% para fiscalización de la exploración y explotación de los yacimientos, y el conocimiento y cartografía geológica del subsuelo. Este porcentaje se descontará en forma proporcional del total de los ingresos del Sistema General de Regalías distribuidos en el inciso anterior. Las funciones aquí establecidas serán realizadas por el Ministerio de Minas y Energía o por la entidad a quien este delegue.</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La suma de los recursos correspondientes a las asignaciones directas de que trata el inciso 2o del presente artículo, y de los recursos del Fondo de Desarrollo Regional y del Fondo de Compensación Regional, crecerán anualmente a una tasa equivalente a la mitad de la tasa de crecimiento total de los ingresos del Sistema General de Regalías. La ley que regulará el sistema definirá un mecanismo para mitigar la disminución de los mencionados recursos, que se presente como consecuencia de una reducción drástica en los ingresos del Sistema General de Regalías.</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La diferencia entre el total de los ingresos del Sistema General de Regalías y los recursos destinados al ahorro pensional territorial, al Fondo de Ciencia, Tecnología e Innovación, al Fondo de Desarrollo Regional, al Fondo de Compensación Regional, así como a los que se refiere el inciso 2o del presente artículo se destinará al Fondo de Ahorro y Estabilización.</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Los Fondos de Ciencia, Tecnología e Innovación y de Desarrollo Regional tendrán como finalidad la financiación de proyectos regionales acordados entre las entidades territoriales y el Gobierno Nacional.</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Los recursos del Fondo de Compensación Regional se destinarán a la financiación de proyectos de impacto regional o local de desarrollo en las entidades territoriales más pobres del país, de acuerdo con criterios de Necesidades Básicas Insatisfechas (NBI), población y desempleo, y con prioridad en las zonas costeras, fronterizas y de periferia. La duración del Fondo de Compensación Regional será de treinta (30) años, contados a partir de la entrada en vigencia de la ley a la que se refiere el inciso 2o del artículo anterior. Transcurrido este período, estos recursos se destinarán al Fondo de Desarrollo Regional.</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lastRenderedPageBreak/>
        <w:t>Los recursos del Fondo de Ahorro y Estabilización, así como sus rendimientos, serán administrados por el Banco de la República en los términos que establezca el Gobierno Nacional. En los períodos de desahorro, la distribución de estos recursos entre los demás componentes del Sistema se regirá por los criterios que defina la ley a la que se refiere el inciso 2o del artículo anterior.</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En caso de que los recursos destinados anualmente al Fondo de Ahorro y Estabilización excedan del treinta por ciento (30%) de los ingresos anuales del Sistema General de Regalías, tal excedente se distribuirá entre los demás componentes del Sistema, conforme a los términos y condiciones que defina la ley a la que se refiere el inciso 2o del artículo anterior.</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bCs/>
          <w:sz w:val="28"/>
          <w:szCs w:val="28"/>
        </w:rPr>
        <w:t>PARÁGRAFO 1o.</w:t>
      </w:r>
      <w:r w:rsidRPr="00F96078">
        <w:rPr>
          <w:rFonts w:ascii="Arial Narrow" w:hAnsi="Arial Narrow" w:cs="Arial"/>
          <w:sz w:val="28"/>
          <w:szCs w:val="28"/>
        </w:rPr>
        <w:t> Los recursos del Sistema General de Regalías no harán parte del Presupuesto General de la Nación, ni del Sistema General de Participaciones. El Sistema General de Regalías tendrá su propio sistema presupuestal que se regirá por las normas contenidas en la ley a que se refiere el inciso 2o del artículo anterior. En todo caso, el Congreso de la República expedirá bianualmente el presupuesto del Sistema General de Regalías.</w:t>
      </w:r>
    </w:p>
    <w:p w:rsidR="00181CF1" w:rsidRPr="00F96078" w:rsidRDefault="00181CF1" w:rsidP="009308F3">
      <w:pPr>
        <w:spacing w:before="100" w:beforeAutospacing="1" w:after="100" w:afterAutospacing="1" w:line="270" w:lineRule="atLeast"/>
        <w:jc w:val="both"/>
        <w:rPr>
          <w:rFonts w:ascii="Arial Narrow" w:hAnsi="Arial Narrow" w:cs="Arial"/>
          <w:sz w:val="28"/>
          <w:szCs w:val="28"/>
          <w:u w:val="single"/>
        </w:rPr>
      </w:pPr>
      <w:r w:rsidRPr="00F96078">
        <w:rPr>
          <w:rFonts w:ascii="Arial Narrow" w:hAnsi="Arial Narrow" w:cs="Arial"/>
          <w:sz w:val="28"/>
          <w:szCs w:val="28"/>
          <w:u w:val="single"/>
        </w:rPr>
        <w:t>El Sistema General de R</w:t>
      </w:r>
      <w:r w:rsidR="00153164" w:rsidRPr="00F96078">
        <w:rPr>
          <w:rFonts w:ascii="Arial Narrow" w:hAnsi="Arial Narrow" w:cs="Arial"/>
          <w:sz w:val="28"/>
          <w:szCs w:val="28"/>
          <w:u w:val="single"/>
        </w:rPr>
        <w:t xml:space="preserve">egalías, </w:t>
      </w:r>
      <w:r w:rsidRPr="00F96078">
        <w:rPr>
          <w:rFonts w:ascii="Arial Narrow" w:hAnsi="Arial Narrow" w:cs="Arial"/>
          <w:sz w:val="28"/>
          <w:szCs w:val="28"/>
          <w:u w:val="single"/>
        </w:rPr>
        <w:t xml:space="preserve">los presupuestos del Sistema General de Participación, el Presupuesto General de la Nación </w:t>
      </w:r>
      <w:r w:rsidR="00153164" w:rsidRPr="00F96078">
        <w:rPr>
          <w:rFonts w:ascii="Arial Narrow" w:hAnsi="Arial Narrow" w:cs="Arial"/>
          <w:sz w:val="28"/>
          <w:szCs w:val="28"/>
          <w:u w:val="single"/>
        </w:rPr>
        <w:t>y los recursos propios de los entes territoriales se podrán complementar entre sí, para la financiación de proyectos de alto impacto regional que contribuyan a la formación bruta de capital en los territorios.</w:t>
      </w:r>
    </w:p>
    <w:p w:rsidR="00181CF1"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bCs/>
          <w:sz w:val="28"/>
          <w:szCs w:val="28"/>
        </w:rPr>
        <w:t>PARÁGRAFO 2o.</w:t>
      </w:r>
      <w:r w:rsidRPr="00F96078">
        <w:rPr>
          <w:rFonts w:ascii="Arial Narrow" w:hAnsi="Arial Narrow" w:cs="Arial"/>
          <w:sz w:val="28"/>
          <w:szCs w:val="28"/>
        </w:rPr>
        <w:t> La ejecución de los recursos correspondientes a las asignaciones directas de que trata el inciso 2o del presente artículo, así como de los recursos de los Fondos de Ciencia, Tecnología e Innovación; de Desarrollo Regional, y de Compensación Regional, se hará en concordancia con el Plan Nacional de Desarrollo y los planes de desarrollo de las entidades territoriales.</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Los proyectos prio</w:t>
      </w:r>
      <w:r w:rsidR="0093698D" w:rsidRPr="00F96078">
        <w:rPr>
          <w:rFonts w:ascii="Arial Narrow" w:hAnsi="Arial Narrow" w:cs="Arial"/>
          <w:sz w:val="28"/>
          <w:szCs w:val="28"/>
        </w:rPr>
        <w:t xml:space="preserve">ritarios que se financiarán </w:t>
      </w:r>
      <w:r w:rsidR="0093698D" w:rsidRPr="00F96078">
        <w:rPr>
          <w:rFonts w:ascii="Arial Narrow" w:hAnsi="Arial Narrow" w:cs="Arial"/>
          <w:sz w:val="28"/>
          <w:szCs w:val="28"/>
          <w:u w:val="single"/>
        </w:rPr>
        <w:t xml:space="preserve">con los recursos de los Fondos de Ciencia, Tecnología e Innovación; de Desarrollo Regional, y de Compensación Regional </w:t>
      </w:r>
      <w:r w:rsidRPr="00F96078">
        <w:rPr>
          <w:rFonts w:ascii="Arial Narrow" w:hAnsi="Arial Narrow" w:cs="Arial"/>
          <w:sz w:val="28"/>
          <w:szCs w:val="28"/>
          <w:u w:val="single"/>
        </w:rPr>
        <w:t>serán definidos por órganos colegiados de administración y decisión</w:t>
      </w:r>
      <w:r w:rsidRPr="00F96078">
        <w:rPr>
          <w:rFonts w:ascii="Arial Narrow" w:hAnsi="Arial Narrow" w:cs="Arial"/>
          <w:sz w:val="28"/>
          <w:szCs w:val="28"/>
        </w:rPr>
        <w:t xml:space="preserve">. </w:t>
      </w:r>
      <w:r w:rsidR="00F82FB6" w:rsidRPr="00F96078">
        <w:rPr>
          <w:rFonts w:ascii="Arial Narrow" w:hAnsi="Arial Narrow" w:cs="Arial"/>
          <w:sz w:val="28"/>
          <w:szCs w:val="28"/>
          <w:u w:val="single"/>
        </w:rPr>
        <w:t xml:space="preserve">Frente a </w:t>
      </w:r>
      <w:r w:rsidR="00346573" w:rsidRPr="00F96078">
        <w:rPr>
          <w:rFonts w:ascii="Arial Narrow" w:hAnsi="Arial Narrow" w:cs="Arial"/>
          <w:sz w:val="28"/>
          <w:szCs w:val="28"/>
          <w:u w:val="single"/>
        </w:rPr>
        <w:t>los recursos de las regalías directas</w:t>
      </w:r>
      <w:r w:rsidR="00F82FB6" w:rsidRPr="00F96078">
        <w:rPr>
          <w:rFonts w:ascii="Arial Narrow" w:hAnsi="Arial Narrow" w:cs="Arial"/>
          <w:sz w:val="28"/>
          <w:szCs w:val="28"/>
        </w:rPr>
        <w:t xml:space="preserve"> </w:t>
      </w:r>
      <w:r w:rsidR="00F82FB6" w:rsidRPr="00F96078">
        <w:rPr>
          <w:rFonts w:ascii="Arial Narrow" w:hAnsi="Arial Narrow" w:cs="Arial"/>
          <w:sz w:val="28"/>
          <w:szCs w:val="28"/>
          <w:u w:val="single"/>
        </w:rPr>
        <w:t>a los que se refiere el inciso 2o del presente artículo</w:t>
      </w:r>
      <w:r w:rsidR="00346573" w:rsidRPr="00F96078">
        <w:rPr>
          <w:rFonts w:ascii="Arial Narrow" w:hAnsi="Arial Narrow" w:cs="Arial"/>
          <w:sz w:val="28"/>
          <w:szCs w:val="28"/>
          <w:u w:val="single"/>
        </w:rPr>
        <w:t xml:space="preserve">, </w:t>
      </w:r>
      <w:r w:rsidRPr="00F96078">
        <w:rPr>
          <w:rFonts w:ascii="Arial Narrow" w:hAnsi="Arial Narrow" w:cs="Arial"/>
          <w:sz w:val="28"/>
          <w:szCs w:val="28"/>
          <w:u w:val="single"/>
        </w:rPr>
        <w:t>los</w:t>
      </w:r>
      <w:r w:rsidR="00346573" w:rsidRPr="00F96078">
        <w:rPr>
          <w:rFonts w:ascii="Arial Narrow" w:hAnsi="Arial Narrow" w:cs="Arial"/>
          <w:sz w:val="28"/>
          <w:szCs w:val="28"/>
          <w:u w:val="single"/>
        </w:rPr>
        <w:t xml:space="preserve"> entes territoriales departamentales, municipales y distritales no tendrán que recurrir a instancias del orden nacional para aprobar los proyectos en los cuales decidan invertir los recursos del Sistema General de Regalías a que tengan derecho, solamente </w:t>
      </w:r>
      <w:r w:rsidR="00346573" w:rsidRPr="00F96078">
        <w:rPr>
          <w:rFonts w:ascii="Arial Narrow" w:hAnsi="Arial Narrow" w:cs="Arial"/>
          <w:sz w:val="28"/>
          <w:szCs w:val="28"/>
          <w:u w:val="single"/>
        </w:rPr>
        <w:lastRenderedPageBreak/>
        <w:t>deberán observar estrictamente lo dispuesto en la ley y la constitución y no tendrán que ir a ningún órgano</w:t>
      </w:r>
      <w:r w:rsidR="00346573" w:rsidRPr="00F96078">
        <w:rPr>
          <w:rFonts w:ascii="Arial Narrow" w:hAnsi="Arial Narrow" w:cs="Arial"/>
          <w:b/>
          <w:sz w:val="28"/>
          <w:szCs w:val="28"/>
        </w:rPr>
        <w:t xml:space="preserve"> </w:t>
      </w:r>
      <w:r w:rsidR="00346573" w:rsidRPr="00F96078">
        <w:rPr>
          <w:rFonts w:ascii="Arial Narrow" w:hAnsi="Arial Narrow" w:cs="Arial"/>
          <w:sz w:val="28"/>
          <w:szCs w:val="28"/>
          <w:u w:val="single"/>
        </w:rPr>
        <w:t>colegiado de administración y decisión</w:t>
      </w:r>
      <w:r w:rsidR="00346573" w:rsidRPr="00F96078">
        <w:rPr>
          <w:rFonts w:ascii="Arial Narrow" w:hAnsi="Arial Narrow" w:cs="Arial"/>
          <w:b/>
          <w:sz w:val="28"/>
          <w:szCs w:val="28"/>
        </w:rPr>
        <w:t>.</w:t>
      </w:r>
      <w:r w:rsidR="00346573" w:rsidRPr="00F96078">
        <w:rPr>
          <w:rFonts w:ascii="Arial Narrow" w:hAnsi="Arial Narrow" w:cs="Arial"/>
          <w:sz w:val="28"/>
          <w:szCs w:val="28"/>
          <w:u w:val="single"/>
        </w:rPr>
        <w:t xml:space="preserve"> </w:t>
      </w:r>
      <w:r w:rsidRPr="00F96078">
        <w:rPr>
          <w:rFonts w:ascii="Arial Narrow" w:hAnsi="Arial Narrow" w:cs="Arial"/>
          <w:sz w:val="28"/>
          <w:szCs w:val="28"/>
        </w:rPr>
        <w:t xml:space="preserve"> </w:t>
      </w:r>
    </w:p>
    <w:p w:rsidR="00F96078" w:rsidRPr="00F96078" w:rsidRDefault="00F82FB6" w:rsidP="00F96078">
      <w:pPr>
        <w:adjustRightInd w:val="0"/>
        <w:spacing w:before="28" w:after="28"/>
        <w:jc w:val="both"/>
        <w:textAlignment w:val="center"/>
        <w:rPr>
          <w:rFonts w:ascii="Arial Narrow" w:hAnsi="Arial Narrow" w:cs="Arial"/>
          <w:bCs/>
          <w:sz w:val="28"/>
          <w:szCs w:val="28"/>
          <w:u w:val="single"/>
          <w:lang w:val="es-ES_tradnl"/>
        </w:rPr>
      </w:pPr>
      <w:r w:rsidRPr="00F96078">
        <w:rPr>
          <w:rFonts w:ascii="Arial Narrow" w:hAnsi="Arial Narrow" w:cs="Arial"/>
          <w:sz w:val="28"/>
          <w:szCs w:val="28"/>
          <w:u w:val="single"/>
        </w:rPr>
        <w:t>El Departamento Nacional de Planeación deberá</w:t>
      </w:r>
      <w:r w:rsidRPr="00F96078">
        <w:rPr>
          <w:rFonts w:ascii="Arial Narrow" w:hAnsi="Arial Narrow" w:cs="Arial"/>
          <w:bCs/>
          <w:sz w:val="28"/>
          <w:szCs w:val="28"/>
          <w:u w:val="single"/>
          <w:lang w:val="es-ES_tradnl"/>
        </w:rPr>
        <w:t>, dentro de los seis (6) meses siguientes a la entrada en vigencia del presente Acto Legislativo, diseñar y establecer un sistema de puntajes que incluya criterios de ruralidad y cierre de brechas en la distribución de los recursos del Sistema General de Regalías</w:t>
      </w:r>
      <w:r w:rsidR="004E14B3" w:rsidRPr="00F96078">
        <w:rPr>
          <w:rFonts w:ascii="Arial Narrow" w:hAnsi="Arial Narrow" w:cs="Arial"/>
          <w:bCs/>
          <w:sz w:val="28"/>
          <w:szCs w:val="28"/>
          <w:u w:val="single"/>
          <w:lang w:val="es-ES_tradnl"/>
        </w:rPr>
        <w:t>. Focalizando los recursos en los cinco (5) sectores de mayor impacto en la productividad regi</w:t>
      </w:r>
      <w:r w:rsidR="00181CF1" w:rsidRPr="00F96078">
        <w:rPr>
          <w:rFonts w:ascii="Arial Narrow" w:hAnsi="Arial Narrow" w:cs="Arial"/>
          <w:bCs/>
          <w:sz w:val="28"/>
          <w:szCs w:val="28"/>
          <w:u w:val="single"/>
          <w:lang w:val="es-ES_tradnl"/>
        </w:rPr>
        <w:t>onal: transporte y logística, educación, agua potable, energía y salud.</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Los programas y/o proyectos en ciencia tecnología e innovación de los departamentos, municipios y distritos que se financiarán con los recursos del Fondo de Ciencia, Tecnología e Innovación, se definirán por un</w:t>
      </w:r>
      <w:r w:rsidRPr="00E851E7">
        <w:rPr>
          <w:rFonts w:ascii="Arial Narrow" w:hAnsi="Arial Narrow" w:cs="Arial"/>
          <w:sz w:val="28"/>
          <w:szCs w:val="28"/>
        </w:rPr>
        <w:t xml:space="preserve"> órgano colegiado de administración y decisión, </w:t>
      </w:r>
      <w:r w:rsidRPr="00F96078">
        <w:rPr>
          <w:rFonts w:ascii="Arial Narrow" w:hAnsi="Arial Narrow" w:cs="Arial"/>
          <w:sz w:val="28"/>
          <w:szCs w:val="28"/>
        </w:rPr>
        <w:t>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 xml:space="preserve">Los proyectos de impacto regional de los departamentos, municipios y distritos que se financiarán con los recursos de los Fondos de Desarrollo y Compensación Regional se definirán a través de ejercicios de planeación regional por </w:t>
      </w:r>
      <w:r w:rsidRPr="00E851E7">
        <w:rPr>
          <w:rFonts w:ascii="Arial Narrow" w:hAnsi="Arial Narrow" w:cs="Arial"/>
          <w:sz w:val="28"/>
          <w:szCs w:val="28"/>
        </w:rPr>
        <w:t xml:space="preserve">órganos colegiados de administración y decisión </w:t>
      </w:r>
      <w:r w:rsidRPr="00F96078">
        <w:rPr>
          <w:rFonts w:ascii="Arial Narrow" w:hAnsi="Arial Narrow" w:cs="Arial"/>
          <w:sz w:val="28"/>
          <w:szCs w:val="28"/>
        </w:rPr>
        <w:t>donde tengan asiento cuatro (4) Ministros o sus delegados y un (1) representante del Organismo Nacional de Planeación, los gobernadores respectivos o sus delegados y un número representativo de alcaldes.</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 xml:space="preserve">La ley que regule el Sistema General de Regalías, podrá crear comités de carácter consultivo para los </w:t>
      </w:r>
      <w:r w:rsidRPr="00E851E7">
        <w:rPr>
          <w:rFonts w:ascii="Arial Narrow" w:hAnsi="Arial Narrow" w:cs="Arial"/>
          <w:sz w:val="28"/>
          <w:szCs w:val="28"/>
        </w:rPr>
        <w:t>órganos colegiados de administración y decisión</w:t>
      </w:r>
      <w:r w:rsidRPr="00F96078">
        <w:rPr>
          <w:rFonts w:ascii="Arial Narrow" w:hAnsi="Arial Narrow" w:cs="Arial"/>
          <w:sz w:val="28"/>
          <w:szCs w:val="28"/>
        </w:rPr>
        <w:t xml:space="preserve"> con participación de la sociedad civil.</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lastRenderedPageBreak/>
        <w:t>En todo caso, la representación de las entidades territoriales en los órganos colegiados será mayoritaria, en relación con la del Gobierno Nacional.</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bCs/>
          <w:sz w:val="28"/>
          <w:szCs w:val="28"/>
        </w:rPr>
        <w:t>PARÁGRAFO 3o.</w:t>
      </w:r>
      <w:r w:rsidRPr="00F96078">
        <w:rPr>
          <w:rFonts w:ascii="Arial Narrow" w:hAnsi="Arial Narrow" w:cs="Arial"/>
          <w:sz w:val="28"/>
          <w:szCs w:val="28"/>
        </w:rPr>
        <w:t> Créase el Sistema de Monitoreo, Seguimiento, Control y Evaluación de las Regalías, cuyo objeto será velar por el uso eficiente y eficaz de los recursos del Sistema General de Regalías, fortaleciendo la transparencia, la participación ciudadana y el Buen Gobierno.</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La ley a la que se refiere el inciso 2o del artículo anterior, definirá su funcionamiento y el procedimiento para la imposición de medidas preventivas, correctivas y sancionatorias por el inadecuado uso de los recursos del Sistema General de Regalías. Dentro de estas medidas podrán aplicarse a los Departamentos, Municipios y/o Distritos y demás ejecutores la suspensión de giros, cancelación de proyectos y/o el reintegro de recursos.</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La ley a la que se refiere el inciso 2o del artículo anterior definirá, igualmente, el porcentaje anual de los recursos de Sistema General de Regalías destinado a su funcionamiento y al del Sistema de Monitoreo, Seguimiento, Control y Evaluación de las Regalías. Este porcentaje se descontará en forma proporcional del total de los ingresos del Sistema General de Regalías distribuidos en el inciso cuarto del presente artículo.</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bCs/>
          <w:sz w:val="28"/>
          <w:szCs w:val="28"/>
        </w:rPr>
        <w:t>PARÁGRAFO 4o.</w:t>
      </w:r>
      <w:r w:rsidRPr="00F96078">
        <w:rPr>
          <w:rFonts w:ascii="Arial Narrow" w:hAnsi="Arial Narrow" w:cs="Arial"/>
          <w:sz w:val="28"/>
          <w:szCs w:val="28"/>
        </w:rPr>
        <w:t xml:space="preserve">  Cuando una 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y la Construcción de una Paz Estable y Duradera, incluyendo la financiación de proyectos destinados a la reparación integral de víctimas. Estos proyectos deberán ser definidos, por el </w:t>
      </w:r>
      <w:r w:rsidRPr="00E851E7">
        <w:rPr>
          <w:rFonts w:ascii="Arial Narrow" w:hAnsi="Arial Narrow" w:cs="Arial"/>
          <w:sz w:val="28"/>
          <w:szCs w:val="28"/>
        </w:rPr>
        <w:t xml:space="preserve">Órgano Colegiado de Administración y Decisión </w:t>
      </w:r>
      <w:r w:rsidRPr="00F96078">
        <w:rPr>
          <w:rFonts w:ascii="Arial Narrow" w:hAnsi="Arial Narrow" w:cs="Arial"/>
          <w:sz w:val="28"/>
          <w:szCs w:val="28"/>
        </w:rPr>
        <w:t>de que trata el parágrafo 7 transitorio del artículo </w:t>
      </w:r>
      <w:hyperlink r:id="rId8" w:anchor="2" w:history="1">
        <w:r w:rsidRPr="00F96078">
          <w:rPr>
            <w:rFonts w:ascii="Arial Narrow" w:hAnsi="Arial Narrow" w:cs="Arial"/>
            <w:sz w:val="28"/>
            <w:szCs w:val="28"/>
            <w:u w:val="single"/>
          </w:rPr>
          <w:t>2o</w:t>
        </w:r>
      </w:hyperlink>
      <w:r w:rsidRPr="00F96078">
        <w:rPr>
          <w:rFonts w:ascii="Arial Narrow" w:hAnsi="Arial Narrow" w:cs="Arial"/>
          <w:sz w:val="28"/>
          <w:szCs w:val="28"/>
        </w:rPr>
        <w:t xml:space="preserve"> del presente acto legislativo; con posterioridad a los veinte (20) años, </w:t>
      </w:r>
      <w:r w:rsidRPr="00F96078">
        <w:rPr>
          <w:rFonts w:ascii="Arial Narrow" w:hAnsi="Arial Narrow" w:cs="Arial"/>
          <w:sz w:val="28"/>
          <w:szCs w:val="28"/>
          <w:u w:val="single"/>
        </w:rPr>
        <w:t>dichos proyecto</w:t>
      </w:r>
      <w:r w:rsidR="00F96078" w:rsidRPr="00F96078">
        <w:rPr>
          <w:rFonts w:ascii="Arial Narrow" w:hAnsi="Arial Narrow" w:cs="Arial"/>
          <w:sz w:val="28"/>
          <w:szCs w:val="28"/>
          <w:u w:val="single"/>
        </w:rPr>
        <w:t xml:space="preserve">s deberán ser definidos por los entes territoriales Departamentales, </w:t>
      </w:r>
      <w:r w:rsidRPr="00F96078">
        <w:rPr>
          <w:rFonts w:ascii="Arial Narrow" w:hAnsi="Arial Narrow" w:cs="Arial"/>
          <w:sz w:val="28"/>
          <w:szCs w:val="28"/>
          <w:u w:val="single"/>
        </w:rPr>
        <w:t>Muni</w:t>
      </w:r>
      <w:r w:rsidR="00F96078" w:rsidRPr="00F96078">
        <w:rPr>
          <w:rFonts w:ascii="Arial Narrow" w:hAnsi="Arial Narrow" w:cs="Arial"/>
          <w:sz w:val="28"/>
          <w:szCs w:val="28"/>
          <w:u w:val="single"/>
        </w:rPr>
        <w:t>cipales y Distritales</w:t>
      </w:r>
      <w:r w:rsidRPr="00F96078">
        <w:rPr>
          <w:rFonts w:ascii="Arial Narrow" w:hAnsi="Arial Narrow" w:cs="Arial"/>
          <w:sz w:val="28"/>
          <w:szCs w:val="28"/>
          <w:u w:val="single"/>
        </w:rPr>
        <w:t xml:space="preserve"> que trata el parágrafo 2 del presente artículo.</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 xml:space="preserve">Las entidades territoriales que a la fecha de entrada en vigencia del presente Acto Legislativo cuenten con recursos de ahorro pensional provenientes del Sistema General de Regalías, que sobrepasen el cubrimiento requerido de sus pasivos pensionales, los </w:t>
      </w:r>
      <w:r w:rsidRPr="00F96078">
        <w:rPr>
          <w:rFonts w:ascii="Arial Narrow" w:hAnsi="Arial Narrow" w:cs="Arial"/>
          <w:sz w:val="28"/>
          <w:szCs w:val="28"/>
        </w:rPr>
        <w:lastRenderedPageBreak/>
        <w:t>destinarán igualmente a la financiación de proyectos de inversión en los términos señalados en el inciso anterior.</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El Gobierno nacional, mediante decreto con fuerza de ley, que expedirá dentro de los seis (6) meses siguientes a la entrada en vigencia del presente acto legislativo, reglamentará la materia.</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bCs/>
          <w:sz w:val="28"/>
          <w:szCs w:val="28"/>
        </w:rPr>
        <w:t>PARÁGRAFO 5o.</w:t>
      </w:r>
      <w:r w:rsidRPr="00F96078">
        <w:rPr>
          <w:rFonts w:ascii="Arial Narrow" w:hAnsi="Arial Narrow" w:cs="Arial"/>
          <w:sz w:val="28"/>
          <w:szCs w:val="28"/>
        </w:rPr>
        <w:t xml:space="preserve">  Los programas o proyectos de inversión que se financiarán con los recursos del Fondo de Ciencia, Tecnología e Innovación, serán definidos por el respectivo </w:t>
      </w:r>
      <w:r w:rsidRPr="00E851E7">
        <w:rPr>
          <w:rFonts w:ascii="Arial Narrow" w:hAnsi="Arial Narrow" w:cs="Arial"/>
          <w:sz w:val="28"/>
          <w:szCs w:val="28"/>
        </w:rPr>
        <w:t>Órgano Colegiado de Administración y Decisión, a</w:t>
      </w:r>
      <w:r w:rsidRPr="00F96078">
        <w:rPr>
          <w:rFonts w:ascii="Arial Narrow" w:hAnsi="Arial Narrow" w:cs="Arial"/>
          <w:sz w:val="28"/>
          <w:szCs w:val="28"/>
        </w:rPr>
        <w:t xml:space="preserve"> través de convocatorias públicas abiertas y competitivas, articuladas con los correspondientes planes de desarrollo. Para la presentación y ejecución de los proyectos la entidad deberá ser parte del Sistema Nacional de Ciencia, Tecnología e Innovación. Los programas o proyectos aprobados serán ejecutados por las entidades que los presentaron en la convocatoria.</w:t>
      </w:r>
    </w:p>
    <w:p w:rsidR="009308F3" w:rsidRPr="00F96078" w:rsidRDefault="009308F3" w:rsidP="009308F3">
      <w:pPr>
        <w:spacing w:before="100" w:beforeAutospacing="1" w:after="100" w:afterAutospacing="1" w:line="270" w:lineRule="atLeast"/>
        <w:jc w:val="both"/>
        <w:rPr>
          <w:rFonts w:ascii="Arial Narrow" w:hAnsi="Arial Narrow" w:cs="Arial"/>
          <w:sz w:val="28"/>
          <w:szCs w:val="28"/>
        </w:rPr>
      </w:pPr>
      <w:r w:rsidRPr="00F96078">
        <w:rPr>
          <w:rFonts w:ascii="Arial Narrow" w:hAnsi="Arial Narrow" w:cs="Arial"/>
          <w:sz w:val="28"/>
          <w:szCs w:val="28"/>
        </w:rPr>
        <w:t>Lo establecido en el presente parágrafo regirá desde la entrada en vigencia de la ley que lo reglamente.</w:t>
      </w:r>
    </w:p>
    <w:p w:rsidR="006A1747" w:rsidRPr="00F96078" w:rsidRDefault="006A1747" w:rsidP="00F226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jc w:val="both"/>
        <w:textAlignment w:val="center"/>
        <w:rPr>
          <w:rFonts w:ascii="Arial Narrow" w:hAnsi="Arial Narrow" w:cs="Arial"/>
          <w:sz w:val="28"/>
          <w:szCs w:val="28"/>
        </w:rPr>
      </w:pPr>
      <w:r w:rsidRPr="00F96078">
        <w:rPr>
          <w:rFonts w:ascii="Arial Narrow" w:hAnsi="Arial Narrow" w:cs="Arial"/>
          <w:b/>
          <w:sz w:val="28"/>
          <w:szCs w:val="28"/>
        </w:rPr>
        <w:t>Artículo 2°.</w:t>
      </w:r>
      <w:r w:rsidRPr="00F96078">
        <w:rPr>
          <w:rFonts w:ascii="Arial Narrow" w:hAnsi="Arial Narrow" w:cs="Arial"/>
          <w:sz w:val="28"/>
          <w:szCs w:val="28"/>
        </w:rPr>
        <w:t xml:space="preserve"> Vigencia y derogatorias. El presente acto legislativo rige a partir de la fecha de su promulgación.</w:t>
      </w:r>
    </w:p>
    <w:p w:rsidR="007A5D90" w:rsidRPr="00F96078" w:rsidRDefault="007A5D90" w:rsidP="00693E48">
      <w:pPr>
        <w:keepNext/>
        <w:keepLines/>
        <w:suppressAutoHyphens/>
        <w:adjustRightInd w:val="0"/>
        <w:jc w:val="both"/>
        <w:textAlignment w:val="center"/>
        <w:rPr>
          <w:rFonts w:ascii="Arial Narrow" w:hAnsi="Arial Narrow" w:cs="Arial"/>
          <w:sz w:val="28"/>
          <w:szCs w:val="28"/>
        </w:rPr>
      </w:pPr>
    </w:p>
    <w:p w:rsidR="007A5D90" w:rsidRPr="00F96078" w:rsidRDefault="007A5D90" w:rsidP="00DA4FCB">
      <w:pPr>
        <w:keepNext/>
        <w:keepLines/>
        <w:suppressAutoHyphens/>
        <w:adjustRightInd w:val="0"/>
        <w:jc w:val="center"/>
        <w:textAlignment w:val="center"/>
        <w:rPr>
          <w:rFonts w:ascii="Arial Narrow" w:hAnsi="Arial Narrow" w:cs="Arial"/>
          <w:sz w:val="28"/>
          <w:szCs w:val="28"/>
        </w:rPr>
      </w:pPr>
    </w:p>
    <w:p w:rsidR="005C19FC" w:rsidRDefault="005C19FC" w:rsidP="009C593E">
      <w:pPr>
        <w:keepNext/>
        <w:keepLines/>
        <w:suppressAutoHyphens/>
        <w:adjustRightInd w:val="0"/>
        <w:textAlignment w:val="center"/>
        <w:rPr>
          <w:rFonts w:ascii="Arial Narrow" w:hAnsi="Arial Narrow" w:cs="Arial"/>
          <w:sz w:val="28"/>
          <w:szCs w:val="28"/>
        </w:rPr>
      </w:pPr>
    </w:p>
    <w:p w:rsidR="00E851E7" w:rsidRPr="00F96078" w:rsidRDefault="00E851E7" w:rsidP="009C593E">
      <w:pPr>
        <w:keepNext/>
        <w:keepLines/>
        <w:suppressAutoHyphens/>
        <w:adjustRightInd w:val="0"/>
        <w:textAlignment w:val="center"/>
        <w:rPr>
          <w:rFonts w:ascii="Arial Narrow" w:hAnsi="Arial Narrow" w:cs="Arial"/>
          <w:sz w:val="28"/>
          <w:szCs w:val="28"/>
        </w:rPr>
      </w:pPr>
    </w:p>
    <w:p w:rsidR="009308F3" w:rsidRPr="00F96078" w:rsidRDefault="009308F3" w:rsidP="00F22668">
      <w:pPr>
        <w:adjustRightInd w:val="0"/>
        <w:jc w:val="both"/>
        <w:textAlignment w:val="center"/>
        <w:rPr>
          <w:rFonts w:ascii="Arial Narrow" w:hAnsi="Arial Narrow" w:cs="Arial"/>
          <w:b/>
          <w:sz w:val="28"/>
          <w:szCs w:val="28"/>
        </w:rPr>
      </w:pPr>
      <w:r w:rsidRPr="00F96078">
        <w:rPr>
          <w:rFonts w:ascii="Arial Narrow" w:hAnsi="Arial Narrow" w:cs="Arial"/>
          <w:b/>
          <w:sz w:val="28"/>
          <w:szCs w:val="28"/>
        </w:rPr>
        <w:t>JAIME RODRIGUEZ CONTRERAS</w:t>
      </w:r>
    </w:p>
    <w:p w:rsidR="00E43CE6" w:rsidRPr="00F96078" w:rsidRDefault="00693E48" w:rsidP="00F22668">
      <w:pPr>
        <w:adjustRightInd w:val="0"/>
        <w:jc w:val="both"/>
        <w:textAlignment w:val="center"/>
        <w:rPr>
          <w:rFonts w:ascii="Arial Narrow" w:hAnsi="Arial Narrow" w:cs="Arial"/>
          <w:sz w:val="28"/>
          <w:szCs w:val="28"/>
        </w:rPr>
      </w:pPr>
      <w:r w:rsidRPr="00F96078">
        <w:rPr>
          <w:rFonts w:ascii="Arial Narrow" w:hAnsi="Arial Narrow" w:cs="Arial"/>
          <w:sz w:val="28"/>
          <w:szCs w:val="28"/>
        </w:rPr>
        <w:t xml:space="preserve">Representante </w:t>
      </w:r>
      <w:r w:rsidR="00DF0CD9" w:rsidRPr="00F96078">
        <w:rPr>
          <w:rFonts w:ascii="Arial Narrow" w:hAnsi="Arial Narrow" w:cs="Arial"/>
          <w:sz w:val="28"/>
          <w:szCs w:val="28"/>
        </w:rPr>
        <w:t>a la Cámara</w:t>
      </w:r>
    </w:p>
    <w:p w:rsidR="00C052AD" w:rsidRDefault="00AF7EF1" w:rsidP="00AF7EF1">
      <w:pPr>
        <w:adjustRightInd w:val="0"/>
        <w:jc w:val="both"/>
        <w:textAlignment w:val="center"/>
        <w:rPr>
          <w:rFonts w:ascii="Arial Narrow" w:hAnsi="Arial Narrow" w:cs="Arial"/>
          <w:sz w:val="28"/>
          <w:szCs w:val="28"/>
        </w:rPr>
      </w:pPr>
      <w:r w:rsidRPr="00F96078">
        <w:rPr>
          <w:rFonts w:ascii="Arial Narrow" w:hAnsi="Arial Narrow" w:cs="Arial"/>
          <w:sz w:val="28"/>
          <w:szCs w:val="28"/>
        </w:rPr>
        <w:t>Departamento de Meta</w:t>
      </w:r>
    </w:p>
    <w:p w:rsidR="00F96078" w:rsidRDefault="00F96078" w:rsidP="00AF7EF1">
      <w:pPr>
        <w:adjustRightInd w:val="0"/>
        <w:jc w:val="both"/>
        <w:textAlignment w:val="center"/>
        <w:rPr>
          <w:rFonts w:ascii="Arial Narrow" w:hAnsi="Arial Narrow" w:cs="Arial"/>
          <w:sz w:val="28"/>
          <w:szCs w:val="28"/>
        </w:rPr>
      </w:pPr>
    </w:p>
    <w:p w:rsidR="00E851E7" w:rsidRDefault="00E851E7" w:rsidP="00AF7EF1">
      <w:pPr>
        <w:adjustRightInd w:val="0"/>
        <w:jc w:val="both"/>
        <w:textAlignment w:val="center"/>
        <w:rPr>
          <w:rFonts w:ascii="Arial Narrow" w:hAnsi="Arial Narrow" w:cs="Arial"/>
          <w:sz w:val="28"/>
          <w:szCs w:val="28"/>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lastRenderedPageBreak/>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F96078" w:rsidRDefault="00F96078" w:rsidP="00E851E7">
      <w:pPr>
        <w:pStyle w:val="CM6"/>
        <w:rPr>
          <w:rFonts w:ascii="Arial Narrow" w:hAnsi="Arial Narrow" w:cs="Arial"/>
          <w:b/>
          <w:bCs/>
          <w:color w:val="000000"/>
          <w:sz w:val="26"/>
          <w:szCs w:val="26"/>
          <w:shd w:val="clear" w:color="auto" w:fill="FFFFFF"/>
          <w:lang w:val="es-ES_tradnl"/>
        </w:rPr>
      </w:pPr>
    </w:p>
    <w:p w:rsidR="00E851E7" w:rsidRPr="00E851E7" w:rsidRDefault="00E851E7" w:rsidP="00E851E7">
      <w:pPr>
        <w:rPr>
          <w:lang w:val="es-ES_tradnl" w:eastAsia="en-US"/>
        </w:rPr>
      </w:pPr>
    </w:p>
    <w:p w:rsidR="00C052AD" w:rsidRPr="00605C1E" w:rsidRDefault="00C052AD" w:rsidP="00C052AD">
      <w:pPr>
        <w:pStyle w:val="CM6"/>
        <w:jc w:val="center"/>
        <w:rPr>
          <w:rFonts w:ascii="Arial Narrow" w:hAnsi="Arial Narrow" w:cs="Arial"/>
          <w:b/>
          <w:bCs/>
          <w:color w:val="000000"/>
          <w:sz w:val="28"/>
          <w:szCs w:val="28"/>
          <w:shd w:val="clear" w:color="auto" w:fill="FFFFFF"/>
          <w:lang w:val="es-ES_tradnl"/>
        </w:rPr>
      </w:pPr>
      <w:r w:rsidRPr="00605C1E">
        <w:rPr>
          <w:rFonts w:ascii="Arial Narrow" w:hAnsi="Arial Narrow" w:cs="Arial"/>
          <w:b/>
          <w:bCs/>
          <w:color w:val="000000"/>
          <w:sz w:val="28"/>
          <w:szCs w:val="28"/>
          <w:shd w:val="clear" w:color="auto" w:fill="FFFFFF"/>
          <w:lang w:val="es-ES_tradnl"/>
        </w:rPr>
        <w:t>EXPOSICI</w:t>
      </w:r>
      <w:r w:rsidR="00674B03" w:rsidRPr="00605C1E">
        <w:rPr>
          <w:rFonts w:ascii="Arial Narrow" w:hAnsi="Arial Narrow" w:cs="Arial"/>
          <w:b/>
          <w:bCs/>
          <w:color w:val="000000"/>
          <w:sz w:val="28"/>
          <w:szCs w:val="28"/>
          <w:shd w:val="clear" w:color="auto" w:fill="FFFFFF"/>
          <w:lang w:val="es-ES_tradnl"/>
        </w:rPr>
        <w:t>ÓN DE MOTIVOS AL PROYECTO DE ACTO LEGISLATIVO</w:t>
      </w:r>
      <w:r w:rsidRPr="00605C1E">
        <w:rPr>
          <w:rFonts w:ascii="Arial Narrow" w:hAnsi="Arial Narrow" w:cs="Arial"/>
          <w:b/>
          <w:bCs/>
          <w:color w:val="000000"/>
          <w:sz w:val="28"/>
          <w:szCs w:val="28"/>
          <w:shd w:val="clear" w:color="auto" w:fill="FFFFFF"/>
          <w:lang w:val="es-ES_tradnl"/>
        </w:rPr>
        <w:t xml:space="preserve"> NO.________ DE 2018</w:t>
      </w:r>
    </w:p>
    <w:p w:rsidR="00C052AD" w:rsidRPr="00605C1E" w:rsidRDefault="00C052AD" w:rsidP="00C05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Narrow" w:hAnsi="Arial Narrow" w:cs="Arial"/>
          <w:b/>
          <w:i/>
          <w:iCs/>
          <w:sz w:val="28"/>
          <w:szCs w:val="28"/>
          <w:lang w:val="es-ES_tradnl"/>
        </w:rPr>
      </w:pPr>
    </w:p>
    <w:p w:rsidR="00C052AD" w:rsidRPr="00605C1E" w:rsidRDefault="00C052AD" w:rsidP="00C052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jc w:val="center"/>
        <w:textAlignment w:val="center"/>
        <w:rPr>
          <w:rFonts w:ascii="Arial Narrow" w:hAnsi="Arial Narrow" w:cs="Arial"/>
          <w:b/>
          <w:i/>
          <w:iCs/>
          <w:sz w:val="28"/>
          <w:szCs w:val="28"/>
          <w:lang w:val="es-ES_tradnl"/>
        </w:rPr>
      </w:pPr>
      <w:r w:rsidRPr="00605C1E">
        <w:rPr>
          <w:rFonts w:ascii="Arial Narrow" w:hAnsi="Arial Narrow" w:cs="Arial"/>
          <w:b/>
          <w:i/>
          <w:iCs/>
          <w:sz w:val="28"/>
          <w:szCs w:val="28"/>
          <w:lang w:val="es-ES_tradnl"/>
        </w:rPr>
        <w:t>“POR EL CUAL SE MODIFICA EL ARTÍCULO 361 DE LA CONSTITUCIÓN POLÍTICA Y SE DICTAN OTRAS DISPOSICIONES SOBRE EL RÉGIMEN DE REGALÍAS Y COMPENSACIONES”.</w:t>
      </w:r>
    </w:p>
    <w:p w:rsidR="00C052AD" w:rsidRPr="00605C1E" w:rsidRDefault="00C052AD" w:rsidP="00C052AD">
      <w:pPr>
        <w:rPr>
          <w:rFonts w:ascii="Arial Narrow" w:hAnsi="Arial Narrow" w:cs="Arial"/>
          <w:b/>
          <w:bCs/>
          <w:color w:val="000000"/>
          <w:sz w:val="28"/>
          <w:szCs w:val="28"/>
          <w:lang w:val="es-ES"/>
        </w:rPr>
      </w:pPr>
    </w:p>
    <w:p w:rsidR="00C052AD" w:rsidRPr="00605C1E" w:rsidRDefault="00C052AD" w:rsidP="00C052AD">
      <w:pPr>
        <w:rPr>
          <w:rFonts w:ascii="Arial Narrow" w:hAnsi="Arial Narrow" w:cs="Arial"/>
          <w:b/>
          <w:bCs/>
          <w:color w:val="000000"/>
          <w:sz w:val="28"/>
          <w:szCs w:val="28"/>
          <w:shd w:val="clear" w:color="auto" w:fill="FFFFFF"/>
          <w:lang w:val="es-ES_tradnl"/>
        </w:rPr>
      </w:pPr>
      <w:r w:rsidRPr="00605C1E">
        <w:rPr>
          <w:rFonts w:ascii="Arial Narrow" w:hAnsi="Arial Narrow" w:cs="Arial"/>
          <w:b/>
          <w:bCs/>
          <w:color w:val="000000"/>
          <w:sz w:val="28"/>
          <w:szCs w:val="28"/>
          <w:shd w:val="clear" w:color="auto" w:fill="FFFFFF"/>
          <w:lang w:val="es-ES_tradnl"/>
        </w:rPr>
        <w:t>I. FACULTAD DEL CONGRESO</w:t>
      </w:r>
    </w:p>
    <w:p w:rsidR="00C052AD" w:rsidRPr="00605C1E" w:rsidRDefault="00C052AD" w:rsidP="00C052AD">
      <w:pPr>
        <w:jc w:val="both"/>
        <w:rPr>
          <w:rFonts w:ascii="Arial Narrow" w:hAnsi="Arial Narrow" w:cs="Arial"/>
          <w:color w:val="000000"/>
          <w:sz w:val="28"/>
          <w:szCs w:val="28"/>
          <w:shd w:val="clear" w:color="auto" w:fill="FFFFFF"/>
          <w:lang w:val="es-ES_tradnl"/>
        </w:rPr>
      </w:pPr>
      <w:r w:rsidRPr="00605C1E">
        <w:rPr>
          <w:rFonts w:ascii="Arial Narrow" w:hAnsi="Arial Narrow" w:cs="Arial"/>
          <w:bCs/>
          <w:color w:val="000000"/>
          <w:sz w:val="28"/>
          <w:szCs w:val="28"/>
          <w:shd w:val="clear" w:color="auto" w:fill="FFFFFF"/>
          <w:lang w:val="es-ES_tradnl"/>
        </w:rPr>
        <w:t xml:space="preserve">El artículo 114 de la Constitución Política de 1991, determinó claramente que </w:t>
      </w:r>
      <w:r w:rsidRPr="00605C1E">
        <w:rPr>
          <w:rFonts w:ascii="Arial Narrow" w:hAnsi="Arial Narrow" w:cs="Arial"/>
          <w:i/>
          <w:color w:val="000000"/>
          <w:sz w:val="28"/>
          <w:szCs w:val="28"/>
          <w:shd w:val="clear" w:color="auto" w:fill="FFFFFF"/>
          <w:lang w:val="es-ES_tradnl"/>
        </w:rPr>
        <w:t xml:space="preserve">Corresponde al Congreso de la República reformar la Constitución, hacer las leyes y ejercer control político sobre el gobierno y la administración. </w:t>
      </w:r>
      <w:r w:rsidRPr="00605C1E">
        <w:rPr>
          <w:rFonts w:ascii="Arial Narrow" w:hAnsi="Arial Narrow" w:cs="Arial"/>
          <w:color w:val="000000"/>
          <w:sz w:val="28"/>
          <w:szCs w:val="28"/>
          <w:shd w:val="clear" w:color="auto" w:fill="FFFFFF"/>
          <w:lang w:val="es-ES_tradnl"/>
        </w:rPr>
        <w:t xml:space="preserve">Ahora, el artículo 150 determina que: </w:t>
      </w:r>
    </w:p>
    <w:p w:rsidR="00C052AD" w:rsidRPr="00605C1E" w:rsidRDefault="00C052AD" w:rsidP="00C052AD">
      <w:pPr>
        <w:jc w:val="both"/>
        <w:rPr>
          <w:rFonts w:ascii="Arial Narrow" w:hAnsi="Arial Narrow" w:cs="Arial"/>
          <w:color w:val="000000"/>
          <w:sz w:val="28"/>
          <w:szCs w:val="28"/>
          <w:shd w:val="clear" w:color="auto" w:fill="FFFFFF"/>
          <w:lang w:val="es-ES_tradnl"/>
        </w:rPr>
      </w:pPr>
    </w:p>
    <w:p w:rsidR="00C052AD" w:rsidRPr="00605C1E" w:rsidRDefault="00C052AD" w:rsidP="00C052AD">
      <w:pPr>
        <w:ind w:left="708"/>
        <w:jc w:val="both"/>
        <w:rPr>
          <w:rFonts w:ascii="Arial Narrow" w:hAnsi="Arial Narrow" w:cs="Arial"/>
          <w:i/>
          <w:color w:val="000000"/>
          <w:sz w:val="28"/>
          <w:szCs w:val="28"/>
          <w:lang w:val="es-ES_tradnl"/>
        </w:rPr>
      </w:pPr>
      <w:r w:rsidRPr="00605C1E">
        <w:rPr>
          <w:rFonts w:ascii="Arial Narrow" w:hAnsi="Arial Narrow" w:cs="Arial"/>
          <w:color w:val="000000"/>
          <w:sz w:val="28"/>
          <w:szCs w:val="28"/>
          <w:shd w:val="clear" w:color="auto" w:fill="FFFFFF"/>
          <w:lang w:val="es-ES_tradnl"/>
        </w:rPr>
        <w:t>“</w:t>
      </w:r>
      <w:r w:rsidRPr="00605C1E">
        <w:rPr>
          <w:rFonts w:ascii="Arial Narrow" w:hAnsi="Arial Narrow" w:cs="Arial"/>
          <w:i/>
          <w:color w:val="000000"/>
          <w:sz w:val="28"/>
          <w:szCs w:val="28"/>
          <w:lang w:val="es-ES_tradnl"/>
        </w:rPr>
        <w:t>Corresponde al Congreso hacer las leyes. Por medio de ellas ejerce las siguientes funciones:</w:t>
      </w:r>
    </w:p>
    <w:p w:rsidR="00C052AD" w:rsidRPr="00605C1E" w:rsidRDefault="00C052AD" w:rsidP="00C052AD">
      <w:pPr>
        <w:pStyle w:val="NormalWeb"/>
        <w:numPr>
          <w:ilvl w:val="0"/>
          <w:numId w:val="36"/>
        </w:numPr>
        <w:shd w:val="clear" w:color="auto" w:fill="FFFFFF"/>
        <w:spacing w:line="276" w:lineRule="auto"/>
        <w:rPr>
          <w:rFonts w:ascii="Arial Narrow" w:hAnsi="Arial Narrow" w:cs="Arial"/>
          <w:color w:val="000000"/>
          <w:sz w:val="28"/>
          <w:szCs w:val="28"/>
          <w:lang w:val="es-ES_tradnl"/>
        </w:rPr>
      </w:pPr>
      <w:r w:rsidRPr="00605C1E">
        <w:rPr>
          <w:rFonts w:ascii="Arial Narrow" w:hAnsi="Arial Narrow" w:cs="Arial"/>
          <w:i/>
          <w:color w:val="000000"/>
          <w:sz w:val="28"/>
          <w:szCs w:val="28"/>
          <w:u w:val="single"/>
          <w:lang w:val="es-ES_tradnl"/>
        </w:rPr>
        <w:t>Interpretar, reformar y derogar las leyes. (</w:t>
      </w:r>
      <w:r w:rsidRPr="00605C1E">
        <w:rPr>
          <w:rFonts w:ascii="Arial Narrow" w:hAnsi="Arial Narrow" w:cs="Arial"/>
          <w:color w:val="000000"/>
          <w:sz w:val="28"/>
          <w:szCs w:val="28"/>
          <w:lang w:val="es-ES_tradnl"/>
        </w:rPr>
        <w:t>Subrayado por fuera del texto)</w:t>
      </w:r>
    </w:p>
    <w:p w:rsidR="00C052AD" w:rsidRPr="00605C1E" w:rsidRDefault="00C052AD" w:rsidP="00C052AD">
      <w:pPr>
        <w:pStyle w:val="NormalWeb"/>
        <w:shd w:val="clear" w:color="auto" w:fill="FFFFFF"/>
        <w:spacing w:line="276" w:lineRule="auto"/>
        <w:rPr>
          <w:rFonts w:ascii="Arial Narrow" w:hAnsi="Arial Narrow" w:cs="Arial"/>
          <w:i/>
          <w:sz w:val="28"/>
          <w:szCs w:val="28"/>
        </w:rPr>
      </w:pPr>
      <w:r w:rsidRPr="00605C1E">
        <w:rPr>
          <w:rFonts w:ascii="Arial Narrow" w:hAnsi="Arial Narrow" w:cs="Arial"/>
          <w:b/>
          <w:color w:val="000000"/>
          <w:sz w:val="28"/>
          <w:szCs w:val="28"/>
          <w:lang w:val="es-ES_tradnl"/>
        </w:rPr>
        <w:t xml:space="preserve">II. </w:t>
      </w:r>
      <w:r w:rsidRPr="00605C1E">
        <w:rPr>
          <w:rFonts w:ascii="Arial Narrow" w:hAnsi="Arial Narrow" w:cs="Arial"/>
          <w:b/>
          <w:bCs/>
          <w:color w:val="000000"/>
          <w:sz w:val="28"/>
          <w:szCs w:val="28"/>
          <w:lang w:val="es-ES_tradnl"/>
        </w:rPr>
        <w:t>MOTIVACIÓN Y OBJETO DEL PROYECTO:</w:t>
      </w:r>
    </w:p>
    <w:p w:rsidR="00613150" w:rsidRPr="00605C1E" w:rsidRDefault="00613150" w:rsidP="00C052AD">
      <w:pPr>
        <w:spacing w:before="100" w:beforeAutospacing="1" w:after="100" w:afterAutospacing="1" w:line="270" w:lineRule="atLeast"/>
        <w:jc w:val="both"/>
        <w:rPr>
          <w:rFonts w:ascii="Arial Narrow" w:hAnsi="Arial Narrow" w:cs="Arial"/>
          <w:sz w:val="28"/>
          <w:szCs w:val="28"/>
          <w:lang w:val="es-ES"/>
        </w:rPr>
      </w:pPr>
      <w:r w:rsidRPr="00605C1E">
        <w:rPr>
          <w:rFonts w:ascii="Arial Narrow" w:hAnsi="Arial Narrow" w:cs="Arial"/>
          <w:bCs/>
          <w:sz w:val="28"/>
          <w:szCs w:val="28"/>
          <w:lang w:val="es-ES"/>
        </w:rPr>
        <w:t xml:space="preserve">Según el artículo 360 de la Constitución Política, </w:t>
      </w:r>
      <w:r w:rsidRPr="00605C1E">
        <w:rPr>
          <w:rFonts w:ascii="Arial Narrow" w:hAnsi="Arial Narrow" w:cs="Arial"/>
          <w:sz w:val="28"/>
          <w:szCs w:val="28"/>
          <w:lang w:val="es-ES"/>
        </w:rPr>
        <w:t>l</w:t>
      </w:r>
      <w:r w:rsidR="00C052AD" w:rsidRPr="00605C1E">
        <w:rPr>
          <w:rFonts w:ascii="Arial Narrow" w:hAnsi="Arial Narrow" w:cs="Arial"/>
          <w:sz w:val="28"/>
          <w:szCs w:val="28"/>
          <w:lang w:val="es-ES"/>
        </w:rPr>
        <w:t>a explotación de un recurso natural no renovable causará, a favor del Estado, una contraprestación económica a título de regalía, sin perjuicio de cualquier otro dere</w:t>
      </w:r>
      <w:r w:rsidRPr="00605C1E">
        <w:rPr>
          <w:rFonts w:ascii="Arial Narrow" w:hAnsi="Arial Narrow" w:cs="Arial"/>
          <w:sz w:val="28"/>
          <w:szCs w:val="28"/>
          <w:lang w:val="es-ES"/>
        </w:rPr>
        <w:t xml:space="preserve">cho o compensación que se pacte, así </w:t>
      </w:r>
      <w:r w:rsidR="00732DE3" w:rsidRPr="00605C1E">
        <w:rPr>
          <w:rFonts w:ascii="Arial Narrow" w:hAnsi="Arial Narrow" w:cs="Arial"/>
          <w:sz w:val="28"/>
          <w:szCs w:val="28"/>
          <w:lang w:val="es-ES"/>
        </w:rPr>
        <w:t>pues,</w:t>
      </w:r>
      <w:r w:rsidRPr="00605C1E">
        <w:rPr>
          <w:rFonts w:ascii="Arial Narrow" w:hAnsi="Arial Narrow" w:cs="Arial"/>
          <w:sz w:val="28"/>
          <w:szCs w:val="28"/>
          <w:lang w:val="es-ES"/>
        </w:rPr>
        <w:t xml:space="preserve"> son las leyes expedidas por el Congreso de la República las que determinarán </w:t>
      </w:r>
      <w:r w:rsidR="00C052AD" w:rsidRPr="00605C1E">
        <w:rPr>
          <w:rFonts w:ascii="Arial Narrow" w:hAnsi="Arial Narrow" w:cs="Arial"/>
          <w:sz w:val="28"/>
          <w:szCs w:val="28"/>
          <w:lang w:val="es-ES"/>
        </w:rPr>
        <w:t>las condiciones para la explotación de los recursos naturales no renovables.</w:t>
      </w:r>
    </w:p>
    <w:p w:rsidR="00BC1B8A" w:rsidRPr="00605C1E" w:rsidRDefault="00FB195C" w:rsidP="00C052AD">
      <w:pPr>
        <w:spacing w:before="100" w:beforeAutospacing="1" w:after="100" w:afterAutospacing="1" w:line="270" w:lineRule="atLeast"/>
        <w:jc w:val="both"/>
        <w:rPr>
          <w:rFonts w:ascii="Arial Narrow" w:hAnsi="Arial Narrow" w:cs="Arial"/>
          <w:sz w:val="28"/>
          <w:szCs w:val="28"/>
          <w:lang w:val="es-ES"/>
        </w:rPr>
      </w:pPr>
      <w:r w:rsidRPr="00605C1E">
        <w:rPr>
          <w:rFonts w:ascii="Arial Narrow" w:hAnsi="Arial Narrow"/>
          <w:sz w:val="28"/>
          <w:szCs w:val="28"/>
        </w:rPr>
        <w:t>Debe resaltarse</w:t>
      </w:r>
      <w:r w:rsidR="00BC1B8A" w:rsidRPr="00605C1E">
        <w:rPr>
          <w:rFonts w:ascii="Arial Narrow" w:hAnsi="Arial Narrow"/>
          <w:sz w:val="28"/>
          <w:szCs w:val="28"/>
        </w:rPr>
        <w:t xml:space="preserve"> que, en numerosas sentencias, la Corte Constitucional ha indicado que el legislador goza de una amplia libertad para fijar el monto de las regalías y determinar los derechos de participación de las entidades territoriales en esas regalías. Así, la sentencia C-567 de 1995, MP Fabio Morón Díaz, recordó que el artículo 360 de la Carta otorga competencia al legislador para establecer las formas de contratación para la explotación de los recursos naturales no renovables, por lo cual "es claro que la ley puede determinar el monto y la cuantías de los derechos de las entidades territoriales a participar en las regalías y compensaciones sobre la explotación de los recursos naturales no renovables o, lo que es lo mismo, los porcentajes de aquella participación". </w:t>
      </w:r>
    </w:p>
    <w:p w:rsidR="007E1EF4" w:rsidRPr="00605C1E" w:rsidRDefault="00613150" w:rsidP="00732DE3">
      <w:pPr>
        <w:spacing w:before="100" w:beforeAutospacing="1" w:after="100" w:afterAutospacing="1" w:line="270" w:lineRule="atLeast"/>
        <w:jc w:val="both"/>
        <w:rPr>
          <w:rFonts w:ascii="Arial Narrow" w:hAnsi="Arial Narrow" w:cs="Arial"/>
          <w:sz w:val="28"/>
          <w:szCs w:val="28"/>
          <w:lang w:val="es-ES"/>
        </w:rPr>
      </w:pPr>
      <w:r w:rsidRPr="00605C1E">
        <w:rPr>
          <w:rFonts w:ascii="Arial Narrow" w:hAnsi="Arial Narrow" w:cs="Arial"/>
          <w:sz w:val="28"/>
          <w:szCs w:val="28"/>
          <w:lang w:val="es-ES"/>
        </w:rPr>
        <w:lastRenderedPageBreak/>
        <w:t xml:space="preserve">En esos términos, el Decreto 4923 de 2011 garantizó la operación del Sistema General de Regalías, ya que su objetivo radica en </w:t>
      </w:r>
      <w:r w:rsidRPr="00605C1E">
        <w:rPr>
          <w:rFonts w:ascii="Arial Narrow" w:hAnsi="Arial Narrow" w:cs="Arial"/>
          <w:sz w:val="28"/>
          <w:szCs w:val="28"/>
        </w:rPr>
        <w:t>determinar la distribución, objetivos, fines, administración, ejecución, control, el uso eficiente y la destinación de los ingresos provenientes de la explotación de los recursos naturales no renovables precisando las condiciones de participación de sus beneficiarios. Este conjunto de ingresos, asignaciones, órganos, procedimientos y regulaciones constituye el Sistema General de Regalías.</w:t>
      </w:r>
      <w:r w:rsidR="00C052AD" w:rsidRPr="00605C1E">
        <w:rPr>
          <w:rFonts w:ascii="Arial Narrow" w:hAnsi="Arial Narrow" w:cs="Arial"/>
          <w:sz w:val="28"/>
          <w:szCs w:val="28"/>
          <w:lang w:val="es-ES"/>
        </w:rPr>
        <w:t xml:space="preserve"> </w:t>
      </w:r>
    </w:p>
    <w:p w:rsidR="007E1EF4" w:rsidRPr="00605C1E" w:rsidRDefault="007E1EF4" w:rsidP="00732DE3">
      <w:pPr>
        <w:adjustRightInd w:val="0"/>
        <w:jc w:val="both"/>
        <w:textAlignment w:val="center"/>
        <w:rPr>
          <w:rFonts w:ascii="Arial Narrow" w:hAnsi="Arial Narrow" w:cs="Arial"/>
          <w:sz w:val="28"/>
          <w:szCs w:val="28"/>
        </w:rPr>
      </w:pPr>
      <w:r w:rsidRPr="00605C1E">
        <w:rPr>
          <w:rFonts w:ascii="Arial Narrow" w:hAnsi="Arial Narrow" w:cs="Arial"/>
          <w:sz w:val="28"/>
          <w:szCs w:val="28"/>
        </w:rPr>
        <w:t xml:space="preserve">La Ley 141 de 1994 que regulaba el anterior sistema de regalías, distribuía las mismas entre las entidades productoras y municipios portuarios denominándolas regalías directas y otra parte para el Fondo Nacional de Regalías las cuales se denominaban indirectas.  </w:t>
      </w:r>
    </w:p>
    <w:p w:rsidR="00FB195C" w:rsidRPr="00605C1E" w:rsidRDefault="00FB195C" w:rsidP="00732DE3">
      <w:pPr>
        <w:adjustRightInd w:val="0"/>
        <w:jc w:val="both"/>
        <w:textAlignment w:val="center"/>
        <w:rPr>
          <w:rFonts w:ascii="Arial Narrow" w:hAnsi="Arial Narrow" w:cs="Arial"/>
          <w:sz w:val="28"/>
          <w:szCs w:val="28"/>
        </w:rPr>
      </w:pPr>
    </w:p>
    <w:p w:rsidR="00FB195C" w:rsidRPr="00605C1E" w:rsidRDefault="00FB195C" w:rsidP="00732DE3">
      <w:pPr>
        <w:adjustRightInd w:val="0"/>
        <w:jc w:val="both"/>
        <w:textAlignment w:val="center"/>
        <w:rPr>
          <w:rFonts w:ascii="Arial Narrow" w:eastAsia="Calibri" w:hAnsi="Arial Narrow" w:cs="Arial"/>
          <w:spacing w:val="-7"/>
          <w:sz w:val="28"/>
          <w:szCs w:val="28"/>
          <w:lang w:val="es-ES_tradnl"/>
        </w:rPr>
      </w:pPr>
      <w:r w:rsidRPr="00605C1E">
        <w:rPr>
          <w:rFonts w:ascii="Arial Narrow" w:hAnsi="Arial Narrow"/>
          <w:spacing w:val="-3"/>
          <w:sz w:val="28"/>
          <w:szCs w:val="28"/>
        </w:rPr>
        <w:t xml:space="preserve">En otras palabras, las regalías provienen de una participación directa para aquellos entes territoriales en cuyo territorio se adelanten explotaciones de recursos naturales no renovables y puertos marítimos y fluviales por donde se transporten dichos recursos o productos derivados de los mismos; e indirecta, para los departamentos o municipios que careciendo de estas condiciones acceden a los recursos </w:t>
      </w:r>
      <w:r w:rsidR="00687BEC" w:rsidRPr="00605C1E">
        <w:rPr>
          <w:rFonts w:ascii="Arial Narrow" w:hAnsi="Arial Narrow"/>
          <w:sz w:val="28"/>
          <w:szCs w:val="28"/>
        </w:rPr>
        <w:t>distribuidos entre los fondos, creados y relativos a Ciencia, Tecnología e Innovación</w:t>
      </w:r>
      <w:r w:rsidRPr="00605C1E">
        <w:rPr>
          <w:rFonts w:ascii="Arial Narrow" w:hAnsi="Arial Narrow"/>
          <w:spacing w:val="-3"/>
          <w:sz w:val="28"/>
          <w:szCs w:val="28"/>
        </w:rPr>
        <w:t>, previo el cumplimiento de los requisitos establecidos en la ley.</w:t>
      </w:r>
    </w:p>
    <w:p w:rsidR="007E1EF4" w:rsidRPr="00605C1E" w:rsidRDefault="007E1EF4" w:rsidP="007E1EF4">
      <w:pPr>
        <w:pStyle w:val="NormalWeb"/>
        <w:spacing w:before="0" w:beforeAutospacing="0" w:after="0" w:afterAutospacing="0"/>
        <w:jc w:val="both"/>
        <w:rPr>
          <w:rFonts w:ascii="Arial Narrow" w:hAnsi="Arial Narrow" w:cs="Arial"/>
          <w:sz w:val="28"/>
          <w:szCs w:val="28"/>
        </w:rPr>
      </w:pPr>
    </w:p>
    <w:p w:rsidR="007E1EF4" w:rsidRPr="00605C1E" w:rsidRDefault="007E1EF4" w:rsidP="00655DCF">
      <w:pPr>
        <w:pStyle w:val="NormalWeb"/>
        <w:spacing w:before="0" w:beforeAutospacing="0" w:after="0" w:afterAutospacing="0"/>
        <w:jc w:val="both"/>
        <w:rPr>
          <w:rFonts w:ascii="Arial Narrow" w:hAnsi="Arial Narrow" w:cs="Arial"/>
          <w:sz w:val="28"/>
          <w:szCs w:val="28"/>
        </w:rPr>
      </w:pPr>
      <w:r w:rsidRPr="00605C1E">
        <w:rPr>
          <w:rFonts w:ascii="Arial Narrow" w:hAnsi="Arial Narrow" w:cs="Arial"/>
          <w:sz w:val="28"/>
          <w:szCs w:val="28"/>
        </w:rPr>
        <w:t xml:space="preserve">En el año 2010 el Gobierno Nacional radicó un proyecto de acto legislativo con el cual propuso modificar la distribución de las regalías fundamentado especialmente en que las regalías se distribuían sin tener en cuenta criterios como el número de habitantes a beneficiar, el número de personas o familias pobres, los índices de necesidades básicas insatisfechas de dichos habitantes, la capacidad administrativa y financiera de las entidades territoriales y los impactos ambientales. </w:t>
      </w:r>
    </w:p>
    <w:p w:rsidR="007E1EF4" w:rsidRPr="00605C1E" w:rsidRDefault="007E1EF4" w:rsidP="007E1EF4">
      <w:pPr>
        <w:pStyle w:val="NormalWeb"/>
        <w:spacing w:before="0" w:beforeAutospacing="0" w:after="0" w:afterAutospacing="0"/>
        <w:jc w:val="both"/>
        <w:rPr>
          <w:rFonts w:ascii="Arial Narrow" w:hAnsi="Arial Narrow" w:cs="Arial"/>
          <w:sz w:val="28"/>
          <w:szCs w:val="28"/>
        </w:rPr>
      </w:pPr>
    </w:p>
    <w:p w:rsidR="007E1EF4" w:rsidRPr="00605C1E" w:rsidRDefault="00655DCF" w:rsidP="007E1EF4">
      <w:pPr>
        <w:pStyle w:val="NormalWeb"/>
        <w:spacing w:before="0" w:beforeAutospacing="0" w:after="0" w:afterAutospacing="0"/>
        <w:jc w:val="both"/>
        <w:rPr>
          <w:rFonts w:ascii="Arial Narrow" w:hAnsi="Arial Narrow" w:cs="Arial"/>
          <w:sz w:val="28"/>
          <w:szCs w:val="28"/>
        </w:rPr>
      </w:pPr>
      <w:r w:rsidRPr="00605C1E">
        <w:rPr>
          <w:rFonts w:ascii="Arial Narrow" w:hAnsi="Arial Narrow" w:cs="Arial"/>
          <w:sz w:val="28"/>
          <w:szCs w:val="28"/>
        </w:rPr>
        <w:t>Por otro lado, el Acto L</w:t>
      </w:r>
      <w:r w:rsidR="007E1EF4" w:rsidRPr="00605C1E">
        <w:rPr>
          <w:rFonts w:ascii="Arial Narrow" w:hAnsi="Arial Narrow" w:cs="Arial"/>
          <w:sz w:val="28"/>
          <w:szCs w:val="28"/>
        </w:rPr>
        <w:t xml:space="preserve">egislativo 05 de </w:t>
      </w:r>
      <w:r w:rsidR="006E510E" w:rsidRPr="00605C1E">
        <w:rPr>
          <w:rFonts w:ascii="Arial Narrow" w:hAnsi="Arial Narrow" w:cs="Arial"/>
          <w:sz w:val="28"/>
          <w:szCs w:val="28"/>
        </w:rPr>
        <w:t>2011, tuvo como motivación para su expedición, el hecho que ninguno</w:t>
      </w:r>
      <w:r w:rsidR="007E1EF4" w:rsidRPr="00605C1E">
        <w:rPr>
          <w:rFonts w:ascii="Arial Narrow" w:hAnsi="Arial Narrow" w:cs="Arial"/>
          <w:sz w:val="28"/>
          <w:szCs w:val="28"/>
        </w:rPr>
        <w:t xml:space="preserve"> de los departamentos beneficiarios de regalías directas cumplió con las coberturas mínimas a pesar de participar con un alto porcentaje de las mismas. Con base en lo anterior se creó el Sistema General de Regalías SGR a través del Acto Legislativo 05 de 2011 que fue desarrollado por la Ley 1530 de 2012, los cuales modificaron la forma de distribución de las regalías entre to</w:t>
      </w:r>
      <w:r w:rsidR="006E510E" w:rsidRPr="00605C1E">
        <w:rPr>
          <w:rFonts w:ascii="Arial Narrow" w:hAnsi="Arial Narrow" w:cs="Arial"/>
          <w:sz w:val="28"/>
          <w:szCs w:val="28"/>
        </w:rPr>
        <w:t xml:space="preserve">das las entidades territoriales. </w:t>
      </w:r>
    </w:p>
    <w:p w:rsidR="007E1EF4" w:rsidRPr="00605C1E" w:rsidRDefault="007E1EF4" w:rsidP="007E1EF4">
      <w:pPr>
        <w:pStyle w:val="NormalWeb"/>
        <w:spacing w:before="0" w:beforeAutospacing="0" w:after="0" w:afterAutospacing="0"/>
        <w:jc w:val="both"/>
        <w:rPr>
          <w:rFonts w:ascii="Arial Narrow" w:hAnsi="Arial Narrow" w:cs="Arial"/>
          <w:sz w:val="28"/>
          <w:szCs w:val="28"/>
        </w:rPr>
      </w:pPr>
    </w:p>
    <w:p w:rsidR="007E1EF4" w:rsidRPr="00605C1E" w:rsidRDefault="006F0842" w:rsidP="007E1EF4">
      <w:pPr>
        <w:autoSpaceDE w:val="0"/>
        <w:autoSpaceDN w:val="0"/>
        <w:adjustRightInd w:val="0"/>
        <w:jc w:val="both"/>
        <w:rPr>
          <w:rFonts w:ascii="Arial Narrow" w:hAnsi="Arial Narrow" w:cs="Arial"/>
          <w:sz w:val="28"/>
          <w:szCs w:val="28"/>
        </w:rPr>
      </w:pPr>
      <w:r w:rsidRPr="00605C1E">
        <w:rPr>
          <w:rFonts w:ascii="Arial Narrow" w:hAnsi="Arial Narrow" w:cs="Arial"/>
          <w:sz w:val="28"/>
          <w:szCs w:val="28"/>
        </w:rPr>
        <w:lastRenderedPageBreak/>
        <w:t>El Acto Legislativo</w:t>
      </w:r>
      <w:r w:rsidR="007E1EF4" w:rsidRPr="00605C1E">
        <w:rPr>
          <w:rFonts w:ascii="Arial Narrow" w:hAnsi="Arial Narrow" w:cs="Arial"/>
          <w:sz w:val="28"/>
          <w:szCs w:val="28"/>
        </w:rPr>
        <w:t xml:space="preserve"> no contempló la inequidad hacia las regiones productoras toda vez que son éstas las que tienen que lidiar con los problemas medioambientales, protestas sociales por falta de empleo, falta de adquisición de bienes y servicios a los empresarios de la región, desplazamiento exagerado de personas a partir</w:t>
      </w:r>
      <w:r w:rsidRPr="00605C1E">
        <w:rPr>
          <w:rFonts w:ascii="Arial Narrow" w:hAnsi="Arial Narrow" w:cs="Arial"/>
          <w:sz w:val="28"/>
          <w:szCs w:val="28"/>
        </w:rPr>
        <w:t xml:space="preserve"> de la bonanza petrolera, entre otras.</w:t>
      </w:r>
    </w:p>
    <w:p w:rsidR="007E1EF4" w:rsidRPr="00605C1E" w:rsidRDefault="007E1EF4" w:rsidP="007E1EF4">
      <w:pPr>
        <w:autoSpaceDE w:val="0"/>
        <w:autoSpaceDN w:val="0"/>
        <w:adjustRightInd w:val="0"/>
        <w:jc w:val="both"/>
        <w:rPr>
          <w:rFonts w:ascii="Arial Narrow" w:hAnsi="Arial Narrow" w:cs="Arial"/>
          <w:sz w:val="28"/>
          <w:szCs w:val="28"/>
        </w:rPr>
      </w:pPr>
    </w:p>
    <w:p w:rsidR="007E1EF4" w:rsidRPr="00605C1E" w:rsidRDefault="006F0842" w:rsidP="00E02978">
      <w:pPr>
        <w:autoSpaceDE w:val="0"/>
        <w:autoSpaceDN w:val="0"/>
        <w:adjustRightInd w:val="0"/>
        <w:jc w:val="both"/>
        <w:rPr>
          <w:rFonts w:ascii="Arial Narrow" w:hAnsi="Arial Narrow" w:cs="Arial"/>
          <w:sz w:val="28"/>
          <w:szCs w:val="28"/>
        </w:rPr>
      </w:pPr>
      <w:r w:rsidRPr="00605C1E">
        <w:rPr>
          <w:rFonts w:ascii="Arial Narrow" w:hAnsi="Arial Narrow" w:cs="Arial"/>
          <w:sz w:val="28"/>
          <w:szCs w:val="28"/>
        </w:rPr>
        <w:t>E</w:t>
      </w:r>
      <w:r w:rsidR="007E1EF4" w:rsidRPr="00605C1E">
        <w:rPr>
          <w:rFonts w:ascii="Arial Narrow" w:hAnsi="Arial Narrow" w:cs="Arial"/>
          <w:sz w:val="28"/>
          <w:szCs w:val="28"/>
        </w:rPr>
        <w:t>l parágrafo 2 transitorio de</w:t>
      </w:r>
      <w:r w:rsidRPr="00605C1E">
        <w:rPr>
          <w:rFonts w:ascii="Arial Narrow" w:hAnsi="Arial Narrow" w:cs="Arial"/>
          <w:sz w:val="28"/>
          <w:szCs w:val="28"/>
        </w:rPr>
        <w:t>l</w:t>
      </w:r>
      <w:r w:rsidR="007E1EF4" w:rsidRPr="00605C1E">
        <w:rPr>
          <w:rFonts w:ascii="Arial Narrow" w:hAnsi="Arial Narrow" w:cs="Arial"/>
          <w:sz w:val="28"/>
          <w:szCs w:val="28"/>
        </w:rPr>
        <w:t xml:space="preserve"> mencionado acto legislativo contempló una reducción gradual de la participación de las regalías directas</w:t>
      </w:r>
      <w:r w:rsidR="00243E6E" w:rsidRPr="00605C1E">
        <w:rPr>
          <w:rFonts w:ascii="Arial Narrow" w:hAnsi="Arial Narrow" w:cs="Arial"/>
          <w:sz w:val="28"/>
          <w:szCs w:val="28"/>
        </w:rPr>
        <w:t>,</w:t>
      </w:r>
      <w:r w:rsidR="007E1EF4" w:rsidRPr="00605C1E">
        <w:rPr>
          <w:rFonts w:ascii="Arial Narrow" w:hAnsi="Arial Narrow" w:cs="Arial"/>
          <w:sz w:val="28"/>
          <w:szCs w:val="28"/>
        </w:rPr>
        <w:t xml:space="preserve"> la reducción de los ingresos de los departamentos </w:t>
      </w:r>
      <w:r w:rsidRPr="00605C1E">
        <w:rPr>
          <w:rFonts w:ascii="Arial Narrow" w:hAnsi="Arial Narrow" w:cs="Arial"/>
          <w:sz w:val="28"/>
          <w:szCs w:val="28"/>
        </w:rPr>
        <w:t>menoscabó</w:t>
      </w:r>
      <w:r w:rsidR="007E1EF4" w:rsidRPr="00605C1E">
        <w:rPr>
          <w:rFonts w:ascii="Arial Narrow" w:hAnsi="Arial Narrow" w:cs="Arial"/>
          <w:sz w:val="28"/>
          <w:szCs w:val="28"/>
        </w:rPr>
        <w:t xml:space="preserve"> la economía </w:t>
      </w:r>
      <w:r w:rsidRPr="00605C1E">
        <w:rPr>
          <w:rFonts w:ascii="Arial Narrow" w:hAnsi="Arial Narrow" w:cs="Arial"/>
          <w:sz w:val="28"/>
          <w:szCs w:val="28"/>
        </w:rPr>
        <w:t xml:space="preserve">de los mismos, </w:t>
      </w:r>
      <w:r w:rsidR="00243E6E" w:rsidRPr="00605C1E">
        <w:rPr>
          <w:rFonts w:ascii="Arial Narrow" w:hAnsi="Arial Narrow" w:cs="Arial"/>
          <w:sz w:val="28"/>
          <w:szCs w:val="28"/>
        </w:rPr>
        <w:t>e incrementó</w:t>
      </w:r>
      <w:r w:rsidR="007E1EF4" w:rsidRPr="00605C1E">
        <w:rPr>
          <w:rFonts w:ascii="Arial Narrow" w:hAnsi="Arial Narrow" w:cs="Arial"/>
          <w:sz w:val="28"/>
          <w:szCs w:val="28"/>
        </w:rPr>
        <w:t xml:space="preserve"> la inequidad </w:t>
      </w:r>
      <w:r w:rsidR="00E02978" w:rsidRPr="00605C1E">
        <w:rPr>
          <w:rFonts w:ascii="Arial Narrow" w:hAnsi="Arial Narrow" w:cs="Arial"/>
          <w:sz w:val="28"/>
          <w:szCs w:val="28"/>
        </w:rPr>
        <w:t>en éstas regiones</w:t>
      </w:r>
      <w:r w:rsidR="007E1EF4" w:rsidRPr="00605C1E">
        <w:rPr>
          <w:rFonts w:ascii="Arial Narrow" w:hAnsi="Arial Narrow" w:cs="Arial"/>
          <w:sz w:val="28"/>
          <w:szCs w:val="28"/>
        </w:rPr>
        <w:t>; ahora que se redujeron los ingresos, las necesidades siguen siendo las mismas y los departamentos y municipios ya no cuentan con los recursos suficientes para sobrellevar la demanda de bienes y servicios.</w:t>
      </w:r>
    </w:p>
    <w:p w:rsidR="007E1EF4" w:rsidRPr="00605C1E" w:rsidRDefault="007E1EF4" w:rsidP="007E1EF4">
      <w:pPr>
        <w:pStyle w:val="NormalWeb"/>
        <w:spacing w:before="0" w:beforeAutospacing="0" w:after="0" w:afterAutospacing="0"/>
        <w:jc w:val="both"/>
        <w:rPr>
          <w:rFonts w:ascii="Arial Narrow" w:hAnsi="Arial Narrow"/>
          <w:b/>
          <w:sz w:val="28"/>
          <w:szCs w:val="28"/>
        </w:rPr>
      </w:pPr>
    </w:p>
    <w:p w:rsidR="007E1EF4" w:rsidRPr="00605C1E" w:rsidRDefault="007E1EF4" w:rsidP="007E1EF4">
      <w:pPr>
        <w:pStyle w:val="NormalWeb"/>
        <w:spacing w:before="0" w:beforeAutospacing="0" w:after="0" w:afterAutospacing="0"/>
        <w:jc w:val="both"/>
        <w:rPr>
          <w:rFonts w:ascii="Arial Narrow" w:hAnsi="Arial Narrow" w:cs="Arial"/>
          <w:sz w:val="28"/>
          <w:szCs w:val="28"/>
        </w:rPr>
      </w:pPr>
      <w:r w:rsidRPr="00605C1E">
        <w:rPr>
          <w:rFonts w:ascii="Arial Narrow" w:hAnsi="Arial Narrow" w:cs="Arial"/>
          <w:sz w:val="28"/>
          <w:szCs w:val="28"/>
        </w:rPr>
        <w:t>Ahora bien, la proporción de habitantes por kilómetro cuadrado de las zonas produc</w:t>
      </w:r>
      <w:r w:rsidR="00E02978" w:rsidRPr="00605C1E">
        <w:rPr>
          <w:rFonts w:ascii="Arial Narrow" w:hAnsi="Arial Narrow" w:cs="Arial"/>
          <w:sz w:val="28"/>
          <w:szCs w:val="28"/>
        </w:rPr>
        <w:t xml:space="preserve">toras frente el resto del país </w:t>
      </w:r>
      <w:r w:rsidRPr="00605C1E">
        <w:rPr>
          <w:rFonts w:ascii="Arial Narrow" w:hAnsi="Arial Narrow" w:cs="Arial"/>
          <w:sz w:val="28"/>
          <w:szCs w:val="28"/>
        </w:rPr>
        <w:t xml:space="preserve">están en desventaja versus </w:t>
      </w:r>
      <w:r w:rsidR="00E02978" w:rsidRPr="00605C1E">
        <w:rPr>
          <w:rFonts w:ascii="Arial Narrow" w:hAnsi="Arial Narrow" w:cs="Arial"/>
          <w:sz w:val="28"/>
          <w:szCs w:val="28"/>
        </w:rPr>
        <w:t xml:space="preserve">el resto de entes territoriales. </w:t>
      </w:r>
      <w:r w:rsidRPr="00605C1E">
        <w:rPr>
          <w:rFonts w:ascii="Arial Narrow" w:hAnsi="Arial Narrow" w:cs="Arial"/>
          <w:sz w:val="28"/>
          <w:szCs w:val="28"/>
        </w:rPr>
        <w:t>Lo anterior supone una mayor dificultad de llegar a cubrir las necesidades básicas de éstas comunidades teniendo en cuenta que algunas se encuentran a más de 200 kilómetros de los centros urbanos como en el caso de los llanos. De ésta manera, es más costoso en éstas zonas la construcción de infraestructura, la prestación de servicios etc.</w:t>
      </w:r>
    </w:p>
    <w:p w:rsidR="007E1EF4" w:rsidRPr="00605C1E" w:rsidRDefault="007E1EF4" w:rsidP="007E1EF4">
      <w:pPr>
        <w:pStyle w:val="NormalWeb"/>
        <w:spacing w:before="0" w:beforeAutospacing="0" w:after="0" w:afterAutospacing="0"/>
        <w:jc w:val="both"/>
        <w:rPr>
          <w:rFonts w:ascii="Arial Narrow" w:hAnsi="Arial Narrow" w:cs="Arial"/>
          <w:b/>
          <w:sz w:val="28"/>
          <w:szCs w:val="28"/>
        </w:rPr>
      </w:pPr>
    </w:p>
    <w:p w:rsidR="007E1EF4" w:rsidRPr="00605C1E" w:rsidRDefault="00E02978" w:rsidP="007E1EF4">
      <w:pPr>
        <w:pStyle w:val="NormalWeb"/>
        <w:spacing w:before="0" w:beforeAutospacing="0" w:after="0" w:afterAutospacing="0"/>
        <w:jc w:val="both"/>
        <w:rPr>
          <w:rFonts w:ascii="Arial Narrow" w:hAnsi="Arial Narrow" w:cs="Arial"/>
          <w:b/>
          <w:sz w:val="28"/>
          <w:szCs w:val="28"/>
        </w:rPr>
      </w:pPr>
      <w:r w:rsidRPr="00605C1E">
        <w:rPr>
          <w:rFonts w:ascii="Arial Narrow" w:hAnsi="Arial Narrow" w:cs="Arial"/>
          <w:b/>
          <w:sz w:val="28"/>
          <w:szCs w:val="28"/>
        </w:rPr>
        <w:t>Tabla No 1</w:t>
      </w:r>
      <w:r w:rsidR="007E1EF4" w:rsidRPr="00605C1E">
        <w:rPr>
          <w:rFonts w:ascii="Arial Narrow" w:hAnsi="Arial Narrow" w:cs="Arial"/>
          <w:b/>
          <w:sz w:val="28"/>
          <w:szCs w:val="28"/>
        </w:rPr>
        <w:t>. Nivel de Dispersión</w:t>
      </w:r>
    </w:p>
    <w:tbl>
      <w:tblPr>
        <w:tblW w:w="2432" w:type="pct"/>
        <w:tblCellMar>
          <w:left w:w="70" w:type="dxa"/>
          <w:right w:w="70" w:type="dxa"/>
        </w:tblCellMar>
        <w:tblLook w:val="04A0" w:firstRow="1" w:lastRow="0" w:firstColumn="1" w:lastColumn="0" w:noHBand="0" w:noVBand="1"/>
      </w:tblPr>
      <w:tblGrid>
        <w:gridCol w:w="2987"/>
        <w:gridCol w:w="1302"/>
      </w:tblGrid>
      <w:tr w:rsidR="007E1EF4" w:rsidRPr="00605C1E" w:rsidTr="00D3542C">
        <w:trPr>
          <w:trHeight w:val="303"/>
        </w:trPr>
        <w:tc>
          <w:tcPr>
            <w:tcW w:w="33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b/>
                <w:bCs/>
                <w:sz w:val="28"/>
                <w:szCs w:val="28"/>
              </w:rPr>
            </w:pPr>
            <w:r w:rsidRPr="00605C1E">
              <w:rPr>
                <w:rFonts w:ascii="Arial Narrow" w:hAnsi="Arial Narrow" w:cs="Arial"/>
                <w:b/>
                <w:bCs/>
                <w:sz w:val="28"/>
                <w:szCs w:val="28"/>
              </w:rPr>
              <w:t>Departamento</w:t>
            </w:r>
          </w:p>
        </w:tc>
        <w:tc>
          <w:tcPr>
            <w:tcW w:w="1657" w:type="pct"/>
            <w:tcBorders>
              <w:top w:val="single" w:sz="8" w:space="0" w:color="auto"/>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b/>
                <w:bCs/>
                <w:sz w:val="28"/>
                <w:szCs w:val="28"/>
              </w:rPr>
            </w:pPr>
            <w:r w:rsidRPr="00605C1E">
              <w:rPr>
                <w:rFonts w:ascii="Arial Narrow" w:hAnsi="Arial Narrow" w:cs="Arial"/>
                <w:b/>
                <w:bCs/>
                <w:sz w:val="28"/>
                <w:szCs w:val="28"/>
              </w:rPr>
              <w:t>2017</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000000" w:fill="D9D9D9"/>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Casanare</w:t>
            </w:r>
          </w:p>
        </w:tc>
        <w:tc>
          <w:tcPr>
            <w:tcW w:w="1657" w:type="pct"/>
            <w:tcBorders>
              <w:top w:val="nil"/>
              <w:left w:val="nil"/>
              <w:bottom w:val="single" w:sz="8" w:space="0" w:color="auto"/>
              <w:right w:val="single" w:sz="8" w:space="0" w:color="auto"/>
            </w:tcBorders>
            <w:shd w:val="clear" w:color="000000" w:fill="D9D9D9"/>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2,1</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Caquetá</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2,17</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000000" w:fill="D9D9D9"/>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Meta</w:t>
            </w:r>
          </w:p>
        </w:tc>
        <w:tc>
          <w:tcPr>
            <w:tcW w:w="1657" w:type="pct"/>
            <w:tcBorders>
              <w:top w:val="nil"/>
              <w:left w:val="nil"/>
              <w:bottom w:val="single" w:sz="8" w:space="0" w:color="auto"/>
              <w:right w:val="single" w:sz="8" w:space="0" w:color="auto"/>
            </w:tcBorders>
            <w:shd w:val="clear" w:color="000000" w:fill="D9D9D9"/>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2,79</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000000" w:fill="D9D9D9"/>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Arauca</w:t>
            </w:r>
          </w:p>
        </w:tc>
        <w:tc>
          <w:tcPr>
            <w:tcW w:w="1657" w:type="pct"/>
            <w:tcBorders>
              <w:top w:val="nil"/>
              <w:left w:val="nil"/>
              <w:bottom w:val="single" w:sz="8" w:space="0" w:color="auto"/>
              <w:right w:val="single" w:sz="8" w:space="0" w:color="auto"/>
            </w:tcBorders>
            <w:shd w:val="clear" w:color="000000" w:fill="D9D9D9"/>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4,11</w:t>
            </w:r>
          </w:p>
        </w:tc>
      </w:tr>
      <w:tr w:rsidR="007E1EF4" w:rsidRPr="00605C1E" w:rsidTr="00D3542C">
        <w:trPr>
          <w:trHeight w:val="303"/>
        </w:trPr>
        <w:tc>
          <w:tcPr>
            <w:tcW w:w="3343" w:type="pct"/>
            <w:tcBorders>
              <w:top w:val="nil"/>
              <w:left w:val="single" w:sz="8" w:space="0" w:color="auto"/>
              <w:bottom w:val="single" w:sz="4"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Chocó</w:t>
            </w:r>
          </w:p>
        </w:tc>
        <w:tc>
          <w:tcPr>
            <w:tcW w:w="1657" w:type="pct"/>
            <w:tcBorders>
              <w:top w:val="nil"/>
              <w:left w:val="nil"/>
              <w:bottom w:val="single" w:sz="4"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5,45</w:t>
            </w:r>
          </w:p>
        </w:tc>
      </w:tr>
      <w:tr w:rsidR="007E1EF4" w:rsidRPr="00605C1E" w:rsidTr="00D3542C">
        <w:trPr>
          <w:trHeight w:val="303"/>
        </w:trPr>
        <w:tc>
          <w:tcPr>
            <w:tcW w:w="3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Putumayo</w:t>
            </w:r>
          </w:p>
        </w:tc>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6,9</w:t>
            </w:r>
          </w:p>
        </w:tc>
      </w:tr>
      <w:tr w:rsidR="007E1EF4" w:rsidRPr="00605C1E" w:rsidTr="00D3542C">
        <w:trPr>
          <w:trHeight w:val="303"/>
        </w:trPr>
        <w:tc>
          <w:tcPr>
            <w:tcW w:w="3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Cesar</w:t>
            </w:r>
          </w:p>
        </w:tc>
        <w:tc>
          <w:tcPr>
            <w:tcW w:w="1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11,75</w:t>
            </w:r>
          </w:p>
        </w:tc>
      </w:tr>
      <w:tr w:rsidR="007E1EF4" w:rsidRPr="00605C1E" w:rsidTr="00D3542C">
        <w:trPr>
          <w:trHeight w:val="303"/>
        </w:trPr>
        <w:tc>
          <w:tcPr>
            <w:tcW w:w="3343"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Norte de Santander</w:t>
            </w:r>
          </w:p>
        </w:tc>
        <w:tc>
          <w:tcPr>
            <w:tcW w:w="1657" w:type="pct"/>
            <w:tcBorders>
              <w:top w:val="single" w:sz="4" w:space="0" w:color="auto"/>
              <w:left w:val="nil"/>
              <w:bottom w:val="single" w:sz="4"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13,36</w:t>
            </w:r>
          </w:p>
        </w:tc>
      </w:tr>
      <w:tr w:rsidR="007E1EF4" w:rsidRPr="00605C1E" w:rsidTr="00D3542C">
        <w:trPr>
          <w:trHeight w:val="303"/>
        </w:trPr>
        <w:tc>
          <w:tcPr>
            <w:tcW w:w="334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Magdalena</w:t>
            </w:r>
          </w:p>
        </w:tc>
        <w:tc>
          <w:tcPr>
            <w:tcW w:w="1657" w:type="pct"/>
            <w:tcBorders>
              <w:top w:val="single" w:sz="4" w:space="0" w:color="auto"/>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14,36</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Santander</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16,54</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Bolívar</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17,92</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Tolima</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18,51</w:t>
            </w:r>
          </w:p>
        </w:tc>
      </w:tr>
      <w:tr w:rsidR="007E1EF4" w:rsidRPr="00605C1E" w:rsidTr="00D3542C">
        <w:trPr>
          <w:trHeight w:val="303"/>
        </w:trPr>
        <w:tc>
          <w:tcPr>
            <w:tcW w:w="3343" w:type="pct"/>
            <w:tcBorders>
              <w:top w:val="nil"/>
              <w:left w:val="single" w:sz="8" w:space="0" w:color="auto"/>
              <w:bottom w:val="single" w:sz="4"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La Guajira</w:t>
            </w:r>
          </w:p>
        </w:tc>
        <w:tc>
          <w:tcPr>
            <w:tcW w:w="1657" w:type="pct"/>
            <w:tcBorders>
              <w:top w:val="nil"/>
              <w:left w:val="nil"/>
              <w:bottom w:val="single" w:sz="4"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22,21</w:t>
            </w:r>
          </w:p>
        </w:tc>
      </w:tr>
      <w:tr w:rsidR="007E1EF4" w:rsidRPr="00605C1E" w:rsidTr="00D3542C">
        <w:trPr>
          <w:trHeight w:val="303"/>
        </w:trPr>
        <w:tc>
          <w:tcPr>
            <w:tcW w:w="3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lastRenderedPageBreak/>
              <w:t>Antioquia</w:t>
            </w:r>
          </w:p>
        </w:tc>
        <w:tc>
          <w:tcPr>
            <w:tcW w:w="1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22,71</w:t>
            </w:r>
          </w:p>
        </w:tc>
      </w:tr>
      <w:tr w:rsidR="007E1EF4" w:rsidRPr="00605C1E" w:rsidTr="00D3542C">
        <w:trPr>
          <w:trHeight w:val="303"/>
        </w:trPr>
        <w:tc>
          <w:tcPr>
            <w:tcW w:w="334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Boyacá</w:t>
            </w:r>
          </w:p>
        </w:tc>
        <w:tc>
          <w:tcPr>
            <w:tcW w:w="1657" w:type="pct"/>
            <w:tcBorders>
              <w:top w:val="single" w:sz="4" w:space="0" w:color="auto"/>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23,55</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Huila</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25,56</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Sucre</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26,38</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Cauca</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27,58</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Valle del Cauca</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28,19</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Nariño</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28,37</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Córdoba</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33,2</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Atlántico</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34,4</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proofErr w:type="spellStart"/>
            <w:r w:rsidRPr="00605C1E">
              <w:rPr>
                <w:rFonts w:ascii="Arial Narrow" w:hAnsi="Arial Narrow" w:cs="Arial"/>
                <w:sz w:val="28"/>
                <w:szCs w:val="28"/>
              </w:rPr>
              <w:t>Quindio</w:t>
            </w:r>
            <w:proofErr w:type="spellEnd"/>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36,6</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Caldas</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37,58</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Cundinamarca</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40,24</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Risaralda</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52,7</w:t>
            </w:r>
          </w:p>
        </w:tc>
      </w:tr>
      <w:tr w:rsidR="007E1EF4" w:rsidRPr="00605C1E" w:rsidTr="00D3542C">
        <w:trPr>
          <w:trHeight w:val="303"/>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sz w:val="28"/>
                <w:szCs w:val="28"/>
              </w:rPr>
            </w:pPr>
            <w:r w:rsidRPr="00605C1E">
              <w:rPr>
                <w:rFonts w:ascii="Arial Narrow" w:hAnsi="Arial Narrow" w:cs="Arial"/>
                <w:sz w:val="28"/>
                <w:szCs w:val="28"/>
              </w:rPr>
              <w:t>Archipiélago de San Andrés</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sz w:val="28"/>
                <w:szCs w:val="28"/>
              </w:rPr>
            </w:pPr>
            <w:r w:rsidRPr="00605C1E">
              <w:rPr>
                <w:rFonts w:ascii="Arial Narrow" w:hAnsi="Arial Narrow" w:cs="Arial"/>
                <w:sz w:val="28"/>
                <w:szCs w:val="28"/>
              </w:rPr>
              <w:t>538,32</w:t>
            </w:r>
          </w:p>
        </w:tc>
      </w:tr>
      <w:tr w:rsidR="007E1EF4" w:rsidRPr="00605C1E" w:rsidTr="00D3542C">
        <w:trPr>
          <w:trHeight w:val="60"/>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E1EF4" w:rsidRPr="00605C1E" w:rsidRDefault="007E1EF4" w:rsidP="007E1EF4">
            <w:pPr>
              <w:rPr>
                <w:rFonts w:ascii="Arial Narrow" w:hAnsi="Arial Narrow" w:cs="Arial"/>
                <w:b/>
                <w:bCs/>
                <w:sz w:val="28"/>
                <w:szCs w:val="28"/>
              </w:rPr>
            </w:pPr>
            <w:r w:rsidRPr="00605C1E">
              <w:rPr>
                <w:rFonts w:ascii="Arial Narrow" w:hAnsi="Arial Narrow" w:cs="Arial"/>
                <w:b/>
                <w:bCs/>
                <w:sz w:val="28"/>
                <w:szCs w:val="28"/>
              </w:rPr>
              <w:t>Total Nacional</w:t>
            </w:r>
          </w:p>
        </w:tc>
        <w:tc>
          <w:tcPr>
            <w:tcW w:w="1657" w:type="pct"/>
            <w:tcBorders>
              <w:top w:val="nil"/>
              <w:left w:val="nil"/>
              <w:bottom w:val="single" w:sz="8" w:space="0" w:color="auto"/>
              <w:right w:val="single" w:sz="8" w:space="0" w:color="auto"/>
            </w:tcBorders>
            <w:shd w:val="clear" w:color="auto" w:fill="auto"/>
            <w:noWrap/>
            <w:vAlign w:val="center"/>
            <w:hideMark/>
          </w:tcPr>
          <w:p w:rsidR="007E1EF4" w:rsidRPr="00605C1E" w:rsidRDefault="007E1EF4" w:rsidP="007E1EF4">
            <w:pPr>
              <w:jc w:val="center"/>
              <w:rPr>
                <w:rFonts w:ascii="Arial Narrow" w:hAnsi="Arial Narrow" w:cs="Arial"/>
                <w:b/>
                <w:bCs/>
                <w:sz w:val="28"/>
                <w:szCs w:val="28"/>
              </w:rPr>
            </w:pPr>
            <w:r w:rsidRPr="00605C1E">
              <w:rPr>
                <w:rFonts w:ascii="Arial Narrow" w:hAnsi="Arial Narrow" w:cs="Arial"/>
                <w:b/>
                <w:bCs/>
                <w:sz w:val="28"/>
                <w:szCs w:val="28"/>
              </w:rPr>
              <w:t>10,08</w:t>
            </w:r>
          </w:p>
        </w:tc>
      </w:tr>
    </w:tbl>
    <w:p w:rsidR="007E1EF4" w:rsidRPr="00605C1E" w:rsidRDefault="007E1EF4" w:rsidP="007E1EF4">
      <w:pPr>
        <w:pStyle w:val="NormalWeb"/>
        <w:spacing w:before="0" w:beforeAutospacing="0" w:after="0" w:afterAutospacing="0"/>
        <w:jc w:val="both"/>
        <w:rPr>
          <w:rFonts w:ascii="Arial Narrow" w:hAnsi="Arial Narrow" w:cs="Arial"/>
          <w:sz w:val="28"/>
          <w:szCs w:val="28"/>
        </w:rPr>
      </w:pPr>
      <w:r w:rsidRPr="00605C1E">
        <w:rPr>
          <w:rFonts w:ascii="Arial Narrow" w:hAnsi="Arial Narrow" w:cs="Arial"/>
          <w:sz w:val="28"/>
          <w:szCs w:val="28"/>
        </w:rPr>
        <w:t>Fuente: Departamento Nacional de Estadística</w:t>
      </w:r>
    </w:p>
    <w:p w:rsidR="007E1EF4" w:rsidRPr="00605C1E" w:rsidRDefault="007E1EF4" w:rsidP="007E1EF4">
      <w:pPr>
        <w:pStyle w:val="NormalWeb"/>
        <w:spacing w:before="0" w:beforeAutospacing="0" w:after="0" w:afterAutospacing="0"/>
        <w:jc w:val="both"/>
        <w:rPr>
          <w:rFonts w:ascii="Arial Narrow" w:hAnsi="Arial Narrow"/>
          <w:sz w:val="28"/>
          <w:szCs w:val="28"/>
        </w:rPr>
      </w:pPr>
    </w:p>
    <w:p w:rsidR="007E1EF4" w:rsidRPr="00605C1E" w:rsidRDefault="007E1EF4" w:rsidP="007E1EF4">
      <w:pPr>
        <w:pStyle w:val="NormalWeb"/>
        <w:spacing w:before="0" w:beforeAutospacing="0" w:after="0" w:afterAutospacing="0"/>
        <w:jc w:val="both"/>
        <w:rPr>
          <w:rFonts w:ascii="Arial Narrow" w:hAnsi="Arial Narrow" w:cs="Arial"/>
          <w:sz w:val="28"/>
          <w:szCs w:val="28"/>
        </w:rPr>
      </w:pPr>
      <w:r w:rsidRPr="00605C1E">
        <w:rPr>
          <w:rFonts w:ascii="Arial Narrow" w:hAnsi="Arial Narrow" w:cs="Arial"/>
          <w:sz w:val="28"/>
          <w:szCs w:val="28"/>
        </w:rPr>
        <w:t xml:space="preserve">Como se describió anteriormente, el alto nivel de dispersión de las zonas productoras contribuyó a que a éstas le fuera imposible cumplir con los porcentajes mínimos de coberturas teniendo en cuenta la distancia y la dificultad para acceder a las comunidades </w:t>
      </w:r>
      <w:r w:rsidR="007C1127" w:rsidRPr="00605C1E">
        <w:rPr>
          <w:rFonts w:ascii="Arial Narrow" w:hAnsi="Arial Narrow" w:cs="Arial"/>
          <w:sz w:val="28"/>
          <w:szCs w:val="28"/>
        </w:rPr>
        <w:t>con los servicios pertinentes. Por poner un ejemplo, e</w:t>
      </w:r>
      <w:r w:rsidRPr="00605C1E">
        <w:rPr>
          <w:rFonts w:ascii="Arial Narrow" w:hAnsi="Arial Narrow" w:cs="Arial"/>
          <w:sz w:val="28"/>
          <w:szCs w:val="28"/>
        </w:rPr>
        <w:t>n el caso de la cobertura de educación, colegios muy bien construidos</w:t>
      </w:r>
      <w:r w:rsidR="007C1127" w:rsidRPr="00605C1E">
        <w:rPr>
          <w:rFonts w:ascii="Arial Narrow" w:hAnsi="Arial Narrow" w:cs="Arial"/>
          <w:sz w:val="28"/>
          <w:szCs w:val="28"/>
        </w:rPr>
        <w:t xml:space="preserve"> no podrían ser disfrutados</w:t>
      </w:r>
      <w:r w:rsidRPr="00605C1E">
        <w:rPr>
          <w:rFonts w:ascii="Arial Narrow" w:hAnsi="Arial Narrow" w:cs="Arial"/>
          <w:sz w:val="28"/>
          <w:szCs w:val="28"/>
        </w:rPr>
        <w:t xml:space="preserve"> debido a las altas distancias,</w:t>
      </w:r>
      <w:r w:rsidR="007C1127" w:rsidRPr="00605C1E">
        <w:rPr>
          <w:rFonts w:ascii="Arial Narrow" w:hAnsi="Arial Narrow" w:cs="Arial"/>
          <w:sz w:val="28"/>
          <w:szCs w:val="28"/>
        </w:rPr>
        <w:t xml:space="preserve"> ya que</w:t>
      </w:r>
      <w:r w:rsidRPr="00605C1E">
        <w:rPr>
          <w:rFonts w:ascii="Arial Narrow" w:hAnsi="Arial Narrow" w:cs="Arial"/>
          <w:sz w:val="28"/>
          <w:szCs w:val="28"/>
        </w:rPr>
        <w:t xml:space="preserve"> los niños no</w:t>
      </w:r>
      <w:r w:rsidR="007C1127" w:rsidRPr="00605C1E">
        <w:rPr>
          <w:rFonts w:ascii="Arial Narrow" w:hAnsi="Arial Narrow" w:cs="Arial"/>
          <w:sz w:val="28"/>
          <w:szCs w:val="28"/>
        </w:rPr>
        <w:t xml:space="preserve"> pueden acceder a los colegios. </w:t>
      </w:r>
      <w:r w:rsidRPr="00605C1E">
        <w:rPr>
          <w:rFonts w:ascii="Arial Narrow" w:hAnsi="Arial Narrow" w:cs="Arial"/>
          <w:sz w:val="28"/>
          <w:szCs w:val="28"/>
        </w:rPr>
        <w:t xml:space="preserve">Así las cosas, antes del acto legislativo 05 de 2011 se tenían limitaciones en los sectores de inversión, después de 2012 se puede invertir en todo tipo </w:t>
      </w:r>
      <w:r w:rsidR="003E118E" w:rsidRPr="00605C1E">
        <w:rPr>
          <w:rFonts w:ascii="Arial Narrow" w:hAnsi="Arial Narrow" w:cs="Arial"/>
          <w:sz w:val="28"/>
          <w:szCs w:val="28"/>
        </w:rPr>
        <w:t>d</w:t>
      </w:r>
      <w:r w:rsidRPr="00605C1E">
        <w:rPr>
          <w:rFonts w:ascii="Arial Narrow" w:hAnsi="Arial Narrow" w:cs="Arial"/>
          <w:sz w:val="28"/>
          <w:szCs w:val="28"/>
        </w:rPr>
        <w:t>e sectores, pero las entidades productoras ya no cuentas con los recursos.</w:t>
      </w:r>
    </w:p>
    <w:p w:rsidR="007E1EF4" w:rsidRPr="00605C1E" w:rsidRDefault="007E1EF4" w:rsidP="007E1EF4">
      <w:pPr>
        <w:pStyle w:val="NormalWeb"/>
        <w:spacing w:before="0" w:beforeAutospacing="0" w:after="0" w:afterAutospacing="0"/>
        <w:jc w:val="both"/>
        <w:rPr>
          <w:rFonts w:ascii="Arial Narrow" w:hAnsi="Arial Narrow"/>
          <w:sz w:val="28"/>
          <w:szCs w:val="28"/>
        </w:rPr>
      </w:pPr>
    </w:p>
    <w:p w:rsidR="007E1EF4" w:rsidRPr="00605C1E" w:rsidRDefault="00D92078" w:rsidP="007E1EF4">
      <w:pPr>
        <w:pStyle w:val="NormalWeb"/>
        <w:spacing w:before="0" w:beforeAutospacing="0" w:after="0" w:afterAutospacing="0"/>
        <w:jc w:val="both"/>
        <w:rPr>
          <w:rFonts w:ascii="Arial Narrow" w:hAnsi="Arial Narrow"/>
          <w:sz w:val="28"/>
          <w:szCs w:val="28"/>
        </w:rPr>
      </w:pPr>
      <w:r w:rsidRPr="00605C1E">
        <w:rPr>
          <w:rFonts w:ascii="Arial Narrow" w:hAnsi="Arial Narrow"/>
          <w:sz w:val="28"/>
          <w:szCs w:val="28"/>
        </w:rPr>
        <w:t xml:space="preserve">Luego de todo lo anterior, se aprobó el </w:t>
      </w:r>
      <w:r w:rsidR="007E1EF4" w:rsidRPr="00605C1E">
        <w:rPr>
          <w:rFonts w:ascii="Arial Narrow" w:hAnsi="Arial Narrow"/>
          <w:sz w:val="28"/>
          <w:szCs w:val="28"/>
        </w:rPr>
        <w:t>acto legislativo 04 de 2017</w:t>
      </w:r>
      <w:r w:rsidRPr="00605C1E">
        <w:rPr>
          <w:rFonts w:ascii="Arial Narrow" w:hAnsi="Arial Narrow"/>
          <w:sz w:val="28"/>
          <w:szCs w:val="28"/>
        </w:rPr>
        <w:t>, que provenía de iniciativa gubernamental</w:t>
      </w:r>
      <w:r w:rsidR="00243E6E" w:rsidRPr="00605C1E">
        <w:rPr>
          <w:rFonts w:ascii="Arial Narrow" w:hAnsi="Arial Narrow"/>
          <w:sz w:val="28"/>
          <w:szCs w:val="28"/>
        </w:rPr>
        <w:t>, mediante la misma</w:t>
      </w:r>
      <w:r w:rsidR="007E1EF4" w:rsidRPr="00605C1E">
        <w:rPr>
          <w:rFonts w:ascii="Arial Narrow" w:hAnsi="Arial Narrow"/>
          <w:sz w:val="28"/>
          <w:szCs w:val="28"/>
        </w:rPr>
        <w:t xml:space="preserve"> se introdujeron medidas transitorias para los próximos 20 años, se crea una asignación para la implementación del proceso de paz </w:t>
      </w:r>
      <w:r w:rsidR="00243E6E" w:rsidRPr="00605C1E">
        <w:rPr>
          <w:rFonts w:ascii="Arial Narrow" w:hAnsi="Arial Narrow"/>
          <w:sz w:val="28"/>
          <w:szCs w:val="28"/>
        </w:rPr>
        <w:t xml:space="preserve"> y </w:t>
      </w:r>
      <w:r w:rsidR="007E1EF4" w:rsidRPr="00605C1E">
        <w:rPr>
          <w:rFonts w:ascii="Arial Narrow" w:hAnsi="Arial Narrow"/>
          <w:sz w:val="28"/>
          <w:szCs w:val="28"/>
        </w:rPr>
        <w:t>para financiar la infraestructura de transporte requerida  para la implementación del acuerdo de paz y se autoriza la apropiación directa a las entidades cuya apropiación bienal sea menor a 4000 salarios mínimos mensuales legales vigentes entre otras medidas.</w:t>
      </w:r>
    </w:p>
    <w:p w:rsidR="007E1EF4" w:rsidRPr="00605C1E" w:rsidRDefault="007E1EF4" w:rsidP="007E1EF4">
      <w:pPr>
        <w:pStyle w:val="NormalWeb"/>
        <w:spacing w:before="0" w:beforeAutospacing="0" w:after="0" w:afterAutospacing="0"/>
        <w:jc w:val="both"/>
        <w:rPr>
          <w:rFonts w:ascii="Arial Narrow" w:hAnsi="Arial Narrow"/>
          <w:sz w:val="28"/>
          <w:szCs w:val="28"/>
        </w:rPr>
      </w:pPr>
    </w:p>
    <w:p w:rsidR="007E1EF4" w:rsidRPr="00605C1E" w:rsidRDefault="00D92078" w:rsidP="00D92078">
      <w:pPr>
        <w:pStyle w:val="NormalWeb"/>
        <w:spacing w:before="0" w:beforeAutospacing="0" w:after="0" w:afterAutospacing="0"/>
        <w:jc w:val="both"/>
        <w:rPr>
          <w:rFonts w:ascii="Arial Narrow" w:hAnsi="Arial Narrow" w:cs="Arial"/>
          <w:bCs/>
          <w:sz w:val="28"/>
          <w:szCs w:val="28"/>
          <w:lang w:val="es-ES_tradnl"/>
        </w:rPr>
      </w:pPr>
      <w:r w:rsidRPr="00605C1E">
        <w:rPr>
          <w:rFonts w:ascii="Arial Narrow" w:hAnsi="Arial Narrow"/>
          <w:sz w:val="28"/>
          <w:szCs w:val="28"/>
        </w:rPr>
        <w:lastRenderedPageBreak/>
        <w:t xml:space="preserve">Dado todo lo anterior, </w:t>
      </w:r>
      <w:r w:rsidR="00687BEC" w:rsidRPr="00605C1E">
        <w:rPr>
          <w:rFonts w:ascii="Arial Narrow" w:hAnsi="Arial Narrow" w:cs="Arial"/>
          <w:sz w:val="28"/>
          <w:szCs w:val="28"/>
        </w:rPr>
        <w:t xml:space="preserve">ya que la transferencia actual de parte de los excedentes generados por la actividad extractiva, bajo la forma de regalías, no compensa en muchos casos los efectos ambientales y sociales negativos que causa, </w:t>
      </w:r>
      <w:r w:rsidRPr="00605C1E">
        <w:rPr>
          <w:rFonts w:ascii="Arial Narrow" w:hAnsi="Arial Narrow"/>
          <w:sz w:val="28"/>
          <w:szCs w:val="28"/>
        </w:rPr>
        <w:t>el presente proyecto plantea</w:t>
      </w:r>
      <w:r w:rsidRPr="00605C1E">
        <w:rPr>
          <w:rFonts w:ascii="Arial Narrow" w:hAnsi="Arial Narrow"/>
          <w:b/>
          <w:sz w:val="28"/>
          <w:szCs w:val="28"/>
        </w:rPr>
        <w:t xml:space="preserve"> </w:t>
      </w:r>
      <w:r w:rsidR="007E1EF4" w:rsidRPr="00605C1E">
        <w:rPr>
          <w:rFonts w:ascii="Arial Narrow" w:hAnsi="Arial Narrow" w:cs="Arial"/>
          <w:sz w:val="28"/>
          <w:szCs w:val="28"/>
          <w:lang w:val="es-ES_tradnl"/>
        </w:rPr>
        <w:t>una verdadera propuesta de equidad tanto para las regiones como para el país,</w:t>
      </w:r>
      <w:r w:rsidR="00687BEC" w:rsidRPr="00605C1E">
        <w:rPr>
          <w:rFonts w:ascii="Arial Narrow" w:hAnsi="Arial Narrow" w:cs="Arial"/>
          <w:color w:val="333333"/>
          <w:sz w:val="28"/>
          <w:szCs w:val="28"/>
        </w:rPr>
        <w:t xml:space="preserve"> </w:t>
      </w:r>
      <w:r w:rsidR="007E1EF4" w:rsidRPr="00605C1E">
        <w:rPr>
          <w:rFonts w:ascii="Arial Narrow" w:hAnsi="Arial Narrow" w:cs="Arial"/>
          <w:sz w:val="28"/>
          <w:szCs w:val="28"/>
          <w:lang w:val="es-ES_tradnl"/>
        </w:rPr>
        <w:t xml:space="preserve"> que haga viable a las regiones</w:t>
      </w:r>
      <w:r w:rsidR="00243E6E" w:rsidRPr="00605C1E">
        <w:rPr>
          <w:rFonts w:ascii="Arial Narrow" w:hAnsi="Arial Narrow" w:cs="Arial"/>
          <w:sz w:val="28"/>
          <w:szCs w:val="28"/>
          <w:lang w:val="es-ES_tradnl"/>
        </w:rPr>
        <w:t xml:space="preserve"> su crecimiento y</w:t>
      </w:r>
      <w:r w:rsidR="007E1EF4" w:rsidRPr="00605C1E">
        <w:rPr>
          <w:rFonts w:ascii="Arial Narrow" w:hAnsi="Arial Narrow" w:cs="Arial"/>
          <w:sz w:val="28"/>
          <w:szCs w:val="28"/>
          <w:lang w:val="es-ES_tradnl"/>
        </w:rPr>
        <w:t xml:space="preserve"> con</w:t>
      </w:r>
      <w:r w:rsidRPr="00605C1E">
        <w:rPr>
          <w:rFonts w:ascii="Arial Narrow" w:hAnsi="Arial Narrow" w:cs="Arial"/>
          <w:sz w:val="28"/>
          <w:szCs w:val="28"/>
          <w:lang w:val="es-ES_tradnl"/>
        </w:rPr>
        <w:t>tribuya al país</w:t>
      </w:r>
      <w:r w:rsidR="00243E6E" w:rsidRPr="00605C1E">
        <w:rPr>
          <w:rFonts w:ascii="Arial Narrow" w:hAnsi="Arial Narrow" w:cs="Arial"/>
          <w:sz w:val="28"/>
          <w:szCs w:val="28"/>
          <w:lang w:val="es-ES_tradnl"/>
        </w:rPr>
        <w:t>, lo cual</w:t>
      </w:r>
      <w:r w:rsidRPr="00605C1E">
        <w:rPr>
          <w:rFonts w:ascii="Arial Narrow" w:hAnsi="Arial Narrow" w:cs="Arial"/>
          <w:sz w:val="28"/>
          <w:szCs w:val="28"/>
          <w:lang w:val="es-ES_tradnl"/>
        </w:rPr>
        <w:t xml:space="preserve"> se logra mejorando las participaciones al pasar del 20% al 30% </w:t>
      </w:r>
      <w:r w:rsidR="007E1EF4" w:rsidRPr="00605C1E">
        <w:rPr>
          <w:rFonts w:ascii="Arial Narrow" w:hAnsi="Arial Narrow" w:cs="Arial"/>
          <w:sz w:val="28"/>
          <w:szCs w:val="28"/>
          <w:lang w:val="es-ES_tradnl"/>
        </w:rPr>
        <w:t>de las asignaciones directas, disminuyendo la participación de los Fondos de Desarrollo y Compensación Regional</w:t>
      </w:r>
      <w:r w:rsidRPr="00605C1E">
        <w:rPr>
          <w:rFonts w:ascii="Arial Narrow" w:hAnsi="Arial Narrow" w:cs="Arial"/>
          <w:sz w:val="28"/>
          <w:szCs w:val="28"/>
          <w:lang w:val="es-ES_tradnl"/>
        </w:rPr>
        <w:t xml:space="preserve"> del 80% al 70%, siendo esta la única herramienta viable para </w:t>
      </w:r>
      <w:r w:rsidR="007E1EF4" w:rsidRPr="00605C1E">
        <w:rPr>
          <w:rFonts w:ascii="Arial Narrow" w:hAnsi="Arial Narrow" w:cs="Arial"/>
          <w:sz w:val="28"/>
          <w:szCs w:val="28"/>
          <w:lang w:val="es-ES_tradnl"/>
        </w:rPr>
        <w:t xml:space="preserve">devolver las regalías </w:t>
      </w:r>
      <w:r w:rsidRPr="00605C1E">
        <w:rPr>
          <w:rFonts w:ascii="Arial Narrow" w:hAnsi="Arial Narrow" w:cs="Arial"/>
          <w:sz w:val="28"/>
          <w:szCs w:val="28"/>
          <w:lang w:val="es-ES_tradnl"/>
        </w:rPr>
        <w:t xml:space="preserve">a las regiones productoras, fortaleciendo </w:t>
      </w:r>
      <w:r w:rsidR="007E1EF4" w:rsidRPr="00605C1E">
        <w:rPr>
          <w:rFonts w:ascii="Arial Narrow" w:hAnsi="Arial Narrow" w:cs="Arial"/>
          <w:bCs/>
          <w:sz w:val="28"/>
          <w:szCs w:val="28"/>
          <w:lang w:val="es-ES_tradnl"/>
        </w:rPr>
        <w:t xml:space="preserve">la economía de estas regiones y </w:t>
      </w:r>
      <w:r w:rsidRPr="00605C1E">
        <w:rPr>
          <w:rFonts w:ascii="Arial Narrow" w:hAnsi="Arial Narrow" w:cs="Arial"/>
          <w:bCs/>
          <w:sz w:val="28"/>
          <w:szCs w:val="28"/>
          <w:lang w:val="es-ES_tradnl"/>
        </w:rPr>
        <w:t>la inversión social.</w:t>
      </w:r>
    </w:p>
    <w:p w:rsidR="00BC1B8A" w:rsidRPr="00605C1E" w:rsidRDefault="00BC1B8A" w:rsidP="00D92078">
      <w:pPr>
        <w:pStyle w:val="NormalWeb"/>
        <w:spacing w:before="0" w:beforeAutospacing="0" w:after="0" w:afterAutospacing="0"/>
        <w:jc w:val="both"/>
        <w:rPr>
          <w:rFonts w:ascii="Arial Narrow" w:hAnsi="Arial Narrow" w:cs="Arial"/>
          <w:bCs/>
          <w:sz w:val="28"/>
          <w:szCs w:val="28"/>
          <w:lang w:val="es-ES_tradnl"/>
        </w:rPr>
      </w:pPr>
    </w:p>
    <w:p w:rsidR="00BC1B8A" w:rsidRPr="00605C1E" w:rsidRDefault="00BC1B8A" w:rsidP="00BC1B8A">
      <w:pPr>
        <w:jc w:val="both"/>
        <w:rPr>
          <w:rFonts w:ascii="Arial Narrow" w:hAnsi="Arial Narrow" w:cs="Arial"/>
          <w:sz w:val="28"/>
          <w:szCs w:val="28"/>
        </w:rPr>
      </w:pPr>
      <w:r w:rsidRPr="00605C1E">
        <w:rPr>
          <w:rFonts w:ascii="Arial Narrow" w:hAnsi="Arial Narrow" w:cs="Arial"/>
          <w:bCs/>
          <w:sz w:val="28"/>
          <w:szCs w:val="28"/>
          <w:lang w:val="es-ES_tradnl"/>
        </w:rPr>
        <w:t xml:space="preserve">En ese sentido, </w:t>
      </w:r>
      <w:r w:rsidRPr="00605C1E">
        <w:rPr>
          <w:rFonts w:ascii="Arial Narrow" w:hAnsi="Arial Narrow" w:cs="Arial"/>
          <w:sz w:val="28"/>
          <w:szCs w:val="28"/>
        </w:rPr>
        <w:t>es pertinente  aumentar el porcentaje de los recursos gi</w:t>
      </w:r>
      <w:r w:rsidR="003E118E" w:rsidRPr="00605C1E">
        <w:rPr>
          <w:rFonts w:ascii="Arial Narrow" w:hAnsi="Arial Narrow" w:cs="Arial"/>
          <w:sz w:val="28"/>
          <w:szCs w:val="28"/>
        </w:rPr>
        <w:t xml:space="preserve">rados por concepto de regalías </w:t>
      </w:r>
      <w:r w:rsidRPr="00605C1E">
        <w:rPr>
          <w:rFonts w:ascii="Arial Narrow" w:hAnsi="Arial Narrow" w:cs="Arial"/>
          <w:sz w:val="28"/>
          <w:szCs w:val="28"/>
        </w:rPr>
        <w:t>a los departamentos, municipios y distritos en cuyo territorio se adelanten explotaciones de recursos naturales no renovables, así como los municipios y distritos con puertos marítimos y fluviales por donde se transporten dichos recursos o productos derivados de los mismos, toda vez que son los que están entregando sus recursos naturales y los que están asumiendo el impacto de la explotación y distribución de los materiales objeto de explotación.</w:t>
      </w:r>
    </w:p>
    <w:p w:rsidR="00BC1B8A" w:rsidRPr="00605C1E" w:rsidRDefault="00BC1B8A" w:rsidP="00BC1B8A">
      <w:pPr>
        <w:jc w:val="both"/>
        <w:rPr>
          <w:rFonts w:ascii="Arial Narrow" w:hAnsi="Arial Narrow" w:cs="Arial"/>
          <w:sz w:val="28"/>
          <w:szCs w:val="28"/>
        </w:rPr>
      </w:pPr>
      <w:r w:rsidRPr="00605C1E">
        <w:rPr>
          <w:rFonts w:ascii="Arial Narrow" w:hAnsi="Arial Narrow" w:cs="Arial"/>
          <w:sz w:val="28"/>
          <w:szCs w:val="28"/>
        </w:rPr>
        <w:t xml:space="preserve"> </w:t>
      </w:r>
    </w:p>
    <w:p w:rsidR="00D3542C" w:rsidRPr="00605C1E" w:rsidRDefault="00D3542C" w:rsidP="00D3542C">
      <w:pPr>
        <w:jc w:val="both"/>
        <w:rPr>
          <w:rFonts w:ascii="Arial Narrow" w:hAnsi="Arial Narrow" w:cs="Arial"/>
          <w:sz w:val="28"/>
          <w:szCs w:val="28"/>
        </w:rPr>
      </w:pPr>
      <w:r w:rsidRPr="00605C1E">
        <w:rPr>
          <w:rFonts w:ascii="Arial Narrow" w:hAnsi="Arial Narrow" w:cs="Arial"/>
          <w:sz w:val="28"/>
          <w:szCs w:val="28"/>
        </w:rPr>
        <w:t>La afectación ambiental, estructural y social de estas comunidades debe ser compensada con una mayor inversión social, que posibilite a los habitantes de estos departamentos y municipios un mejor desarrollo y crecimiento estructural y social, tal como lo estable uno de los objetivos del Sistema General de Regalías consistente en propiciar la inversión en la restauración social y económica de los territorios donde se desarrollen actividades de exploración y explotación.</w:t>
      </w:r>
    </w:p>
    <w:p w:rsidR="007E1EF4" w:rsidRPr="00605C1E" w:rsidRDefault="007E1EF4" w:rsidP="007E1EF4">
      <w:pPr>
        <w:tabs>
          <w:tab w:val="left" w:pos="598"/>
        </w:tabs>
        <w:adjustRightInd w:val="0"/>
        <w:jc w:val="both"/>
        <w:textAlignment w:val="center"/>
        <w:rPr>
          <w:rFonts w:ascii="Arial Narrow" w:hAnsi="Arial Narrow" w:cs="Arial"/>
          <w:bCs/>
          <w:sz w:val="28"/>
          <w:szCs w:val="28"/>
          <w:lang w:val="es-ES_tradnl"/>
        </w:rPr>
      </w:pPr>
    </w:p>
    <w:p w:rsidR="00C052AD" w:rsidRPr="00605C1E" w:rsidRDefault="00D92078" w:rsidP="00956591">
      <w:pPr>
        <w:tabs>
          <w:tab w:val="left" w:pos="598"/>
        </w:tabs>
        <w:adjustRightInd w:val="0"/>
        <w:jc w:val="both"/>
        <w:textAlignment w:val="center"/>
        <w:rPr>
          <w:rFonts w:ascii="Arial Narrow" w:eastAsia="Calibri" w:hAnsi="Arial Narrow"/>
          <w:color w:val="000000"/>
          <w:sz w:val="28"/>
          <w:szCs w:val="28"/>
          <w:lang w:val="es-ES_tradnl" w:eastAsia="en-US"/>
        </w:rPr>
      </w:pPr>
      <w:r w:rsidRPr="00605C1E">
        <w:rPr>
          <w:rFonts w:ascii="Arial Narrow" w:hAnsi="Arial Narrow" w:cs="Arial"/>
          <w:bCs/>
          <w:sz w:val="28"/>
          <w:szCs w:val="28"/>
          <w:lang w:val="es-ES_tradnl"/>
        </w:rPr>
        <w:t>Como conclusión de todo lo anterior</w:t>
      </w:r>
      <w:r w:rsidR="00243E6E" w:rsidRPr="00605C1E">
        <w:rPr>
          <w:rFonts w:ascii="Arial Narrow" w:hAnsi="Arial Narrow" w:cs="Arial"/>
          <w:bCs/>
          <w:sz w:val="28"/>
          <w:szCs w:val="28"/>
          <w:lang w:val="es-ES_tradnl"/>
        </w:rPr>
        <w:t>,</w:t>
      </w:r>
      <w:r w:rsidRPr="00605C1E">
        <w:rPr>
          <w:rFonts w:ascii="Arial Narrow" w:hAnsi="Arial Narrow" w:cs="Arial"/>
          <w:bCs/>
          <w:sz w:val="28"/>
          <w:szCs w:val="28"/>
          <w:lang w:val="es-ES_tradnl"/>
        </w:rPr>
        <w:t xml:space="preserve"> </w:t>
      </w:r>
      <w:r w:rsidR="007E1EF4" w:rsidRPr="00605C1E">
        <w:rPr>
          <w:rFonts w:ascii="Arial Narrow" w:hAnsi="Arial Narrow" w:cs="Arial"/>
          <w:bCs/>
          <w:sz w:val="28"/>
          <w:szCs w:val="28"/>
          <w:lang w:val="es-ES_tradnl"/>
        </w:rPr>
        <w:t>la nueva distr</w:t>
      </w:r>
      <w:r w:rsidRPr="00605C1E">
        <w:rPr>
          <w:rFonts w:ascii="Arial Narrow" w:hAnsi="Arial Narrow" w:cs="Arial"/>
          <w:bCs/>
          <w:sz w:val="28"/>
          <w:szCs w:val="28"/>
          <w:lang w:val="es-ES_tradnl"/>
        </w:rPr>
        <w:t>ibución</w:t>
      </w:r>
      <w:r w:rsidR="007E1EF4" w:rsidRPr="00605C1E">
        <w:rPr>
          <w:rFonts w:ascii="Arial Narrow" w:hAnsi="Arial Narrow" w:cs="Arial"/>
          <w:bCs/>
          <w:sz w:val="28"/>
          <w:szCs w:val="28"/>
          <w:lang w:val="es-ES_tradnl"/>
        </w:rPr>
        <w:t xml:space="preserve"> le estaría garantizando equidad a las regiones productoras</w:t>
      </w:r>
      <w:r w:rsidR="00243E6E" w:rsidRPr="00605C1E">
        <w:rPr>
          <w:rFonts w:ascii="Arial Narrow" w:hAnsi="Arial Narrow" w:cs="Arial"/>
          <w:bCs/>
          <w:sz w:val="28"/>
          <w:szCs w:val="28"/>
          <w:lang w:val="es-ES_tradnl"/>
        </w:rPr>
        <w:t>,</w:t>
      </w:r>
      <w:r w:rsidR="007E1EF4" w:rsidRPr="00605C1E">
        <w:rPr>
          <w:rFonts w:ascii="Arial Narrow" w:hAnsi="Arial Narrow" w:cs="Arial"/>
          <w:bCs/>
          <w:sz w:val="28"/>
          <w:szCs w:val="28"/>
          <w:lang w:val="es-ES_tradnl"/>
        </w:rPr>
        <w:t xml:space="preserve"> </w:t>
      </w:r>
      <w:r w:rsidRPr="00605C1E">
        <w:rPr>
          <w:rFonts w:ascii="Arial Narrow" w:hAnsi="Arial Narrow" w:cs="Arial"/>
          <w:sz w:val="28"/>
          <w:szCs w:val="28"/>
          <w:lang w:val="es-ES_tradnl"/>
        </w:rPr>
        <w:t xml:space="preserve">fortaleciendo </w:t>
      </w:r>
      <w:r w:rsidRPr="00605C1E">
        <w:rPr>
          <w:rFonts w:ascii="Arial Narrow" w:hAnsi="Arial Narrow" w:cs="Arial"/>
          <w:bCs/>
          <w:sz w:val="28"/>
          <w:szCs w:val="28"/>
          <w:lang w:val="es-ES_tradnl"/>
        </w:rPr>
        <w:t>la economía de estas regiones y la inversión social</w:t>
      </w:r>
      <w:r w:rsidR="00243E6E" w:rsidRPr="00605C1E">
        <w:rPr>
          <w:rFonts w:ascii="Arial Narrow" w:hAnsi="Arial Narrow" w:cs="Arial"/>
          <w:bCs/>
          <w:sz w:val="28"/>
          <w:szCs w:val="28"/>
          <w:lang w:val="es-ES_tradnl"/>
        </w:rPr>
        <w:t xml:space="preserve">. Recuérdese que las regalías </w:t>
      </w:r>
      <w:r w:rsidR="00243E6E" w:rsidRPr="00605C1E">
        <w:rPr>
          <w:rFonts w:ascii="Arial Narrow" w:eastAsia="Calibri" w:hAnsi="Arial Narrow"/>
          <w:color w:val="000000"/>
          <w:sz w:val="28"/>
          <w:szCs w:val="28"/>
          <w:lang w:val="es-ES_tradnl" w:eastAsia="en-US"/>
        </w:rPr>
        <w:t xml:space="preserve">bien empleadas son una herramienta eficaz en términos de inclusión social, por lo que tienen un papel fundamental que jugar en el desarrollo del país. </w:t>
      </w:r>
    </w:p>
    <w:p w:rsidR="003E118E" w:rsidRPr="00605C1E" w:rsidRDefault="003E118E" w:rsidP="00956591">
      <w:pPr>
        <w:tabs>
          <w:tab w:val="left" w:pos="598"/>
        </w:tabs>
        <w:adjustRightInd w:val="0"/>
        <w:jc w:val="both"/>
        <w:textAlignment w:val="center"/>
        <w:rPr>
          <w:rFonts w:ascii="Arial Narrow" w:eastAsia="Calibri" w:hAnsi="Arial Narrow"/>
          <w:color w:val="000000"/>
          <w:sz w:val="28"/>
          <w:szCs w:val="28"/>
          <w:lang w:val="es-ES_tradnl" w:eastAsia="en-US"/>
        </w:rPr>
      </w:pPr>
    </w:p>
    <w:p w:rsidR="003E118E" w:rsidRPr="00605C1E" w:rsidRDefault="003E118E" w:rsidP="003E118E">
      <w:pPr>
        <w:pStyle w:val="TableText"/>
        <w:spacing w:before="0" w:after="0" w:line="240" w:lineRule="auto"/>
        <w:jc w:val="both"/>
        <w:rPr>
          <w:rFonts w:ascii="Arial Narrow" w:hAnsi="Arial Narrow" w:cs="Arial"/>
          <w:sz w:val="28"/>
          <w:szCs w:val="28"/>
        </w:rPr>
      </w:pPr>
      <w:r w:rsidRPr="00605C1E">
        <w:rPr>
          <w:rFonts w:ascii="Arial Narrow" w:eastAsia="Calibri" w:hAnsi="Arial Narrow"/>
          <w:color w:val="000000"/>
          <w:sz w:val="28"/>
          <w:szCs w:val="28"/>
          <w:lang w:val="es-ES_tradnl"/>
        </w:rPr>
        <w:t xml:space="preserve">Por otro lado, </w:t>
      </w:r>
      <w:r w:rsidRPr="00605C1E">
        <w:rPr>
          <w:rFonts w:ascii="Arial Narrow" w:hAnsi="Arial Narrow" w:cs="Arial"/>
          <w:sz w:val="28"/>
          <w:szCs w:val="28"/>
        </w:rPr>
        <w:t>a pesar de algunas mejoras frente a los esquemas anteriores, el Sistema actual de regalías es complejo y se soporta en una pesada estructura administrativa que dificulta su operación y limita la eficiencia e impacto de estos recursos en el desarrollo territorial.  En particular el Sistema presenta los siguientes problemas:</w:t>
      </w:r>
    </w:p>
    <w:p w:rsidR="003E118E" w:rsidRPr="00605C1E" w:rsidRDefault="003E118E" w:rsidP="003E118E">
      <w:pPr>
        <w:pStyle w:val="TableText"/>
        <w:spacing w:before="0" w:after="0" w:line="240" w:lineRule="auto"/>
        <w:jc w:val="both"/>
        <w:rPr>
          <w:rFonts w:ascii="Arial Narrow" w:hAnsi="Arial Narrow" w:cs="Arial"/>
          <w:sz w:val="28"/>
          <w:szCs w:val="28"/>
        </w:rPr>
      </w:pPr>
    </w:p>
    <w:p w:rsidR="003E118E" w:rsidRPr="00605C1E" w:rsidRDefault="003E118E" w:rsidP="003E118E">
      <w:pPr>
        <w:pStyle w:val="TableText"/>
        <w:spacing w:before="0" w:after="0" w:line="240" w:lineRule="auto"/>
        <w:jc w:val="both"/>
        <w:rPr>
          <w:rFonts w:ascii="Arial Narrow" w:hAnsi="Arial Narrow" w:cs="Arial"/>
          <w:b/>
          <w:sz w:val="28"/>
          <w:szCs w:val="28"/>
        </w:rPr>
      </w:pPr>
      <w:r w:rsidRPr="00605C1E">
        <w:rPr>
          <w:rFonts w:ascii="Arial Narrow" w:hAnsi="Arial Narrow" w:cs="Arial"/>
          <w:sz w:val="28"/>
          <w:szCs w:val="28"/>
        </w:rPr>
        <w:t>Estructura operativa pesada y costosa.</w:t>
      </w:r>
      <w:r w:rsidRPr="00605C1E">
        <w:rPr>
          <w:rFonts w:ascii="Arial Narrow" w:hAnsi="Arial Narrow" w:cs="Arial"/>
          <w:b/>
          <w:sz w:val="28"/>
          <w:szCs w:val="28"/>
        </w:rPr>
        <w:t xml:space="preserve">  </w:t>
      </w:r>
    </w:p>
    <w:p w:rsidR="003E118E" w:rsidRPr="00605C1E" w:rsidRDefault="003E118E" w:rsidP="003E118E">
      <w:pPr>
        <w:pStyle w:val="TableText"/>
        <w:spacing w:before="0" w:after="0" w:line="240" w:lineRule="auto"/>
        <w:jc w:val="both"/>
        <w:rPr>
          <w:rFonts w:ascii="Arial Narrow" w:hAnsi="Arial Narrow" w:cs="Arial"/>
          <w:sz w:val="28"/>
          <w:szCs w:val="28"/>
        </w:rPr>
      </w:pPr>
    </w:p>
    <w:p w:rsidR="003E118E" w:rsidRPr="00605C1E" w:rsidRDefault="003E118E" w:rsidP="003E118E">
      <w:pPr>
        <w:pStyle w:val="TableText"/>
        <w:spacing w:before="0" w:after="0" w:line="240" w:lineRule="auto"/>
        <w:jc w:val="both"/>
        <w:rPr>
          <w:rFonts w:ascii="Arial Narrow" w:hAnsi="Arial Narrow" w:cs="Arial"/>
          <w:b/>
          <w:sz w:val="28"/>
          <w:szCs w:val="28"/>
        </w:rPr>
      </w:pPr>
      <w:r w:rsidRPr="00605C1E">
        <w:rPr>
          <w:rFonts w:ascii="Arial Narrow" w:hAnsi="Arial Narrow" w:cs="Arial"/>
          <w:sz w:val="28"/>
          <w:szCs w:val="28"/>
        </w:rPr>
        <w:t xml:space="preserve">En la actualidad el SGR administra y asigna los recursos a través de más de 1090 OCAD municipales, 6 OCAD regionales y 32 OCAD departamentales a los cuales deben trasladarse permanentemente funcionarios del orden nacional y departamental.  Esto representa altos costos administrativos para la nación ya que, en promedio, se realizan 3 sesiones de OCAD al día durante el año y los costos de operación de esta estructura, incluyendo las instancias de control nacionales, son superiores a los $350 mil millones al año.  </w:t>
      </w:r>
    </w:p>
    <w:p w:rsidR="003E118E" w:rsidRPr="00605C1E" w:rsidRDefault="003E118E" w:rsidP="003E118E">
      <w:pPr>
        <w:pStyle w:val="TableText"/>
        <w:spacing w:before="0" w:after="0" w:line="240" w:lineRule="auto"/>
        <w:jc w:val="both"/>
        <w:rPr>
          <w:rFonts w:ascii="Arial Narrow" w:hAnsi="Arial Narrow" w:cs="Arial"/>
          <w:b/>
          <w:sz w:val="28"/>
          <w:szCs w:val="28"/>
        </w:rPr>
      </w:pPr>
    </w:p>
    <w:p w:rsidR="003E118E" w:rsidRPr="00605C1E" w:rsidRDefault="003E118E" w:rsidP="003E118E">
      <w:pPr>
        <w:pStyle w:val="TableText"/>
        <w:spacing w:before="0" w:after="0" w:line="240" w:lineRule="auto"/>
        <w:jc w:val="both"/>
        <w:rPr>
          <w:rFonts w:ascii="Arial Narrow" w:hAnsi="Arial Narrow" w:cs="Arial"/>
          <w:sz w:val="28"/>
          <w:szCs w:val="28"/>
        </w:rPr>
      </w:pPr>
      <w:r w:rsidRPr="00605C1E">
        <w:rPr>
          <w:rFonts w:ascii="Arial Narrow" w:hAnsi="Arial Narrow" w:cs="Arial"/>
          <w:sz w:val="28"/>
          <w:szCs w:val="28"/>
        </w:rPr>
        <w:t xml:space="preserve">Dispersión de los recursos en proyectos de bajo impacto: </w:t>
      </w:r>
    </w:p>
    <w:p w:rsidR="003E118E" w:rsidRPr="00605C1E" w:rsidRDefault="003E118E" w:rsidP="003E118E">
      <w:pPr>
        <w:pStyle w:val="TableText"/>
        <w:spacing w:before="0" w:after="0" w:line="240" w:lineRule="auto"/>
        <w:jc w:val="both"/>
        <w:rPr>
          <w:rFonts w:ascii="Arial Narrow" w:hAnsi="Arial Narrow" w:cs="Arial"/>
          <w:sz w:val="28"/>
          <w:szCs w:val="28"/>
        </w:rPr>
      </w:pPr>
    </w:p>
    <w:p w:rsidR="003E118E" w:rsidRPr="00605C1E" w:rsidRDefault="003E118E" w:rsidP="003E118E">
      <w:pPr>
        <w:pStyle w:val="TableText"/>
        <w:spacing w:before="0" w:after="0" w:line="240" w:lineRule="auto"/>
        <w:jc w:val="both"/>
        <w:rPr>
          <w:rFonts w:ascii="Arial Narrow" w:hAnsi="Arial Narrow" w:cs="Arial"/>
          <w:sz w:val="28"/>
          <w:szCs w:val="28"/>
        </w:rPr>
      </w:pPr>
      <w:r w:rsidRPr="00605C1E">
        <w:rPr>
          <w:rFonts w:ascii="Arial Narrow" w:hAnsi="Arial Narrow" w:cs="Arial"/>
          <w:sz w:val="28"/>
          <w:szCs w:val="28"/>
        </w:rPr>
        <w:t>En promedio, los municipios no productores reciben cerca de 4000 millones al año por concepto de regalías, lo que hace que las inversiones se dispersen en pequeños proyectos de bajo impacto, contrariando la filosofía del sistema que se planteó grandes proyectos de impacto regional.  A lo anterior se suma la multiplicidad de usos a los que se aplican los recursos, más de 42 en todos los sectores, lo que impide la focalización en función de prioridades y su mayor impacto para el desarrollo regional y del país.  Además, se presenta una muy baja capacidad de ejecución, que se relaciona igualmente con la complejidad administrativa del sistema y la debilidad institucional de los municipios. Desde su inicio en 2012, el SGR acumula 5.5 billones al año, en promedio, en saldos no ejecutados (DNP, 2016). Adicionalmente, 148 municipios tienen asignaciones inferiores a los $500 millones anualmente, lo que incrementa el costo relativo de los procesos de gestión, favorece la atomización y el bajo impacto.</w:t>
      </w:r>
    </w:p>
    <w:p w:rsidR="003E118E" w:rsidRPr="00605C1E" w:rsidRDefault="003E118E" w:rsidP="003E118E">
      <w:pPr>
        <w:pStyle w:val="TableText"/>
        <w:spacing w:before="0" w:after="0" w:line="240" w:lineRule="auto"/>
        <w:jc w:val="both"/>
        <w:rPr>
          <w:rFonts w:ascii="Arial Narrow" w:hAnsi="Arial Narrow" w:cs="Arial"/>
          <w:sz w:val="28"/>
          <w:szCs w:val="28"/>
        </w:rPr>
      </w:pPr>
    </w:p>
    <w:p w:rsidR="003E118E" w:rsidRPr="00605C1E" w:rsidRDefault="003E118E" w:rsidP="003E118E">
      <w:pPr>
        <w:pStyle w:val="TableText"/>
        <w:spacing w:before="0" w:after="0" w:line="240" w:lineRule="auto"/>
        <w:jc w:val="both"/>
        <w:rPr>
          <w:rFonts w:ascii="Arial Narrow" w:hAnsi="Arial Narrow" w:cs="Arial"/>
          <w:sz w:val="28"/>
          <w:szCs w:val="28"/>
        </w:rPr>
      </w:pPr>
      <w:r w:rsidRPr="00605C1E">
        <w:rPr>
          <w:rFonts w:ascii="Arial Narrow" w:hAnsi="Arial Narrow" w:cs="Arial"/>
          <w:sz w:val="28"/>
          <w:szCs w:val="28"/>
        </w:rPr>
        <w:t>Baja complementariedad con otras fuentes (SGP, PGN, y RP de las ET):</w:t>
      </w:r>
      <w:r w:rsidRPr="00605C1E">
        <w:rPr>
          <w:rFonts w:ascii="Arial Narrow" w:hAnsi="Arial Narrow" w:cs="Arial"/>
          <w:b/>
          <w:sz w:val="28"/>
          <w:szCs w:val="28"/>
        </w:rPr>
        <w:t xml:space="preserve"> </w:t>
      </w:r>
      <w:r w:rsidRPr="00605C1E">
        <w:rPr>
          <w:rFonts w:ascii="Arial Narrow" w:hAnsi="Arial Narrow" w:cs="Arial"/>
          <w:sz w:val="28"/>
          <w:szCs w:val="28"/>
        </w:rPr>
        <w:t xml:space="preserve"> </w:t>
      </w:r>
    </w:p>
    <w:p w:rsidR="003E118E" w:rsidRPr="00605C1E" w:rsidRDefault="003E118E" w:rsidP="003E118E">
      <w:pPr>
        <w:pStyle w:val="TableText"/>
        <w:spacing w:before="0" w:after="0" w:line="240" w:lineRule="auto"/>
        <w:jc w:val="both"/>
        <w:rPr>
          <w:rFonts w:ascii="Arial Narrow" w:hAnsi="Arial Narrow" w:cs="Arial"/>
          <w:sz w:val="28"/>
          <w:szCs w:val="28"/>
        </w:rPr>
      </w:pPr>
    </w:p>
    <w:p w:rsidR="003E118E" w:rsidRPr="00605C1E" w:rsidRDefault="003E118E" w:rsidP="00BB63BE">
      <w:pPr>
        <w:pStyle w:val="TableText"/>
        <w:spacing w:before="0" w:after="0" w:line="240" w:lineRule="auto"/>
        <w:jc w:val="both"/>
        <w:rPr>
          <w:rFonts w:ascii="Arial Narrow" w:hAnsi="Arial Narrow" w:cs="Arial"/>
          <w:sz w:val="28"/>
          <w:szCs w:val="28"/>
        </w:rPr>
      </w:pPr>
      <w:r w:rsidRPr="00605C1E">
        <w:rPr>
          <w:rFonts w:ascii="Arial Narrow" w:hAnsi="Arial Narrow" w:cs="Arial"/>
          <w:sz w:val="28"/>
          <w:szCs w:val="28"/>
        </w:rPr>
        <w:t xml:space="preserve">En la actualidad, aunque el SGR constituye un presupuesto independiente y de inversión, sus usos no se focalizan en función de criterios de prioridad e impacto en la competitividad y productividad de los territorios (ej. infraestructura). Existe una alta duplicidad entre las fuentes existentes ya que todos los presupuestos financian los mismos usos, no hay complementariedad y no se garantiza adecuadamente la sostenibilidad de las inversiones ya que no se presupuestan sus costos de sostenimiento en las otras fuentes.  Adicionalmente, ya que los recursos naturales del subsuelo son finitos, el SGR es un presupuesto transitorio y, como tal, debiera </w:t>
      </w:r>
      <w:r w:rsidRPr="00605C1E">
        <w:rPr>
          <w:rFonts w:ascii="Arial Narrow" w:hAnsi="Arial Narrow" w:cs="Arial"/>
          <w:sz w:val="28"/>
          <w:szCs w:val="28"/>
        </w:rPr>
        <w:lastRenderedPageBreak/>
        <w:t>focalizarse en las actividades que mayor impacto tienen en el crecimiento, la competitividad y el cierre de brechas regionales.  Esto, infortunadamente no solo no sucede, sino que se ha consolidado una tendencia a financiar con regalías costos recurrentes de funcionamiento (ej. transporte escolar) lo cual somete estas actividades a las fluctuaciones asociadas al sistema, y reduce la oportunidad de incrementar, de una vez por todas</w:t>
      </w:r>
      <w:bookmarkStart w:id="1" w:name="_Hlk524086910"/>
      <w:r w:rsidRPr="00605C1E">
        <w:rPr>
          <w:rFonts w:ascii="Arial Narrow" w:hAnsi="Arial Narrow" w:cs="Arial"/>
          <w:sz w:val="28"/>
          <w:szCs w:val="28"/>
        </w:rPr>
        <w:t xml:space="preserve">, la formación bruta de capital en los territorios.   </w:t>
      </w:r>
      <w:bookmarkEnd w:id="1"/>
    </w:p>
    <w:p w:rsidR="003E118E" w:rsidRPr="00605C1E" w:rsidRDefault="003E118E" w:rsidP="003E118E">
      <w:pPr>
        <w:pStyle w:val="TableText"/>
        <w:spacing w:before="0" w:after="0" w:line="240" w:lineRule="auto"/>
        <w:jc w:val="both"/>
        <w:rPr>
          <w:rFonts w:ascii="Arial Narrow" w:hAnsi="Arial Narrow" w:cs="Arial"/>
          <w:sz w:val="28"/>
          <w:szCs w:val="28"/>
        </w:rPr>
      </w:pPr>
    </w:p>
    <w:p w:rsidR="003E118E" w:rsidRPr="00605C1E" w:rsidRDefault="003E118E" w:rsidP="003E118E">
      <w:pPr>
        <w:tabs>
          <w:tab w:val="left" w:pos="598"/>
        </w:tabs>
        <w:adjustRightInd w:val="0"/>
        <w:jc w:val="both"/>
        <w:textAlignment w:val="center"/>
        <w:rPr>
          <w:rFonts w:ascii="Arial Narrow" w:hAnsi="Arial Narrow" w:cs="Arial"/>
          <w:sz w:val="28"/>
          <w:szCs w:val="28"/>
        </w:rPr>
      </w:pPr>
      <w:r w:rsidRPr="00605C1E">
        <w:rPr>
          <w:rFonts w:ascii="Arial Narrow" w:hAnsi="Arial Narrow" w:cs="Arial"/>
          <w:sz w:val="28"/>
          <w:szCs w:val="28"/>
        </w:rPr>
        <w:t>Por todo lo anterior, es que se requiere un Sistema General de Regalías, más liviano, menos complejo y costoso operativamente, y más eficiente que permita incrementar la formación bruta de capital de los territorios y, por esa vía, impactar positivamente la productividad de las regiones y el país, el crecimiento económico y el bienestar.  Se requiere, igualmente, un SGR más equilibrado en sus reglas de distribución, que estimule las actividades extractivas en las regiones, según su potencial, minimizando el daño ambiental de las intervenciones; y focalice los recursos en proyectos de alto impacto que mejoren tangiblemente las condiciones de vida en las regiones. Se requiere un sistema que promueva la autonomía territorial para tomar decisiones de inversión en el marco de reglas claras de formulación y aprobación de proyectos, sin la intromisión constante de los demás niveles de gobierno.</w:t>
      </w:r>
    </w:p>
    <w:p w:rsidR="00BB63BE" w:rsidRPr="00605C1E" w:rsidRDefault="00BB63BE" w:rsidP="003E118E">
      <w:pPr>
        <w:tabs>
          <w:tab w:val="left" w:pos="598"/>
        </w:tabs>
        <w:adjustRightInd w:val="0"/>
        <w:jc w:val="both"/>
        <w:textAlignment w:val="center"/>
        <w:rPr>
          <w:rFonts w:ascii="Arial Narrow" w:hAnsi="Arial Narrow" w:cs="Arial"/>
          <w:sz w:val="28"/>
          <w:szCs w:val="28"/>
        </w:rPr>
      </w:pPr>
    </w:p>
    <w:p w:rsidR="00BB63BE" w:rsidRPr="00605C1E" w:rsidRDefault="00BB63BE" w:rsidP="003E118E">
      <w:pPr>
        <w:tabs>
          <w:tab w:val="left" w:pos="598"/>
        </w:tabs>
        <w:adjustRightInd w:val="0"/>
        <w:jc w:val="both"/>
        <w:textAlignment w:val="center"/>
        <w:rPr>
          <w:rFonts w:ascii="Arial Narrow" w:hAnsi="Arial Narrow" w:cs="Arial"/>
          <w:sz w:val="28"/>
          <w:szCs w:val="28"/>
        </w:rPr>
      </w:pPr>
      <w:r w:rsidRPr="00605C1E">
        <w:rPr>
          <w:rFonts w:ascii="Arial Narrow" w:hAnsi="Arial Narrow" w:cs="Arial"/>
          <w:sz w:val="28"/>
          <w:szCs w:val="28"/>
        </w:rPr>
        <w:t>Finalmente, menciónese que las modificaciones propuestas al artículo 361 de la Constitución Política se pueden resumir en 5 puntos:</w:t>
      </w:r>
    </w:p>
    <w:p w:rsidR="00BB63BE" w:rsidRPr="00605C1E" w:rsidRDefault="00BB63BE" w:rsidP="00BB63BE">
      <w:pPr>
        <w:pStyle w:val="TableText"/>
        <w:spacing w:before="0" w:after="0" w:line="240" w:lineRule="auto"/>
        <w:jc w:val="both"/>
        <w:rPr>
          <w:rFonts w:ascii="Arial Narrow" w:hAnsi="Arial Narrow" w:cs="Arial"/>
          <w:sz w:val="28"/>
          <w:szCs w:val="28"/>
        </w:rPr>
      </w:pPr>
    </w:p>
    <w:p w:rsidR="00BB63BE" w:rsidRPr="00605C1E" w:rsidRDefault="00605C1E" w:rsidP="00BB63BE">
      <w:pPr>
        <w:pStyle w:val="NormalWeb"/>
        <w:numPr>
          <w:ilvl w:val="0"/>
          <w:numId w:val="37"/>
        </w:numPr>
        <w:spacing w:before="0" w:beforeAutospacing="0" w:after="0" w:afterAutospacing="0"/>
        <w:jc w:val="both"/>
        <w:rPr>
          <w:rFonts w:ascii="Arial Narrow" w:hAnsi="Arial Narrow" w:cs="Arial"/>
          <w:bCs/>
          <w:sz w:val="28"/>
          <w:szCs w:val="28"/>
          <w:lang w:val="es-ES_tradnl"/>
        </w:rPr>
      </w:pPr>
      <w:r w:rsidRPr="00605C1E">
        <w:rPr>
          <w:rFonts w:ascii="Arial Narrow" w:hAnsi="Arial Narrow" w:cs="Arial"/>
          <w:sz w:val="28"/>
          <w:szCs w:val="28"/>
          <w:lang w:val="es-ES_tradnl"/>
        </w:rPr>
        <w:t>Mejora</w:t>
      </w:r>
      <w:r w:rsidR="00BB63BE" w:rsidRPr="00605C1E">
        <w:rPr>
          <w:rFonts w:ascii="Arial Narrow" w:hAnsi="Arial Narrow" w:cs="Arial"/>
          <w:sz w:val="28"/>
          <w:szCs w:val="28"/>
          <w:lang w:val="es-ES_tradnl"/>
        </w:rPr>
        <w:t xml:space="preserve"> las participaciones al pasar del 20% al 30% las asignaciones directas, disminuyendo la participación de los Fondos de Desarrollo y Compensación Regional del 80% al 70%, siendo esta la única herramienta viable para devolver las regalías a las regiones productoras, fortaleciendo </w:t>
      </w:r>
      <w:r w:rsidR="00BB63BE" w:rsidRPr="00605C1E">
        <w:rPr>
          <w:rFonts w:ascii="Arial Narrow" w:hAnsi="Arial Narrow" w:cs="Arial"/>
          <w:bCs/>
          <w:sz w:val="28"/>
          <w:szCs w:val="28"/>
          <w:lang w:val="es-ES_tradnl"/>
        </w:rPr>
        <w:t>la economía de estas regiones y la inversión social.</w:t>
      </w:r>
    </w:p>
    <w:p w:rsidR="00BB63BE" w:rsidRPr="00605C1E" w:rsidRDefault="00BB63BE" w:rsidP="00BB63BE">
      <w:pPr>
        <w:pStyle w:val="TableText"/>
        <w:spacing w:before="0" w:after="0" w:line="240" w:lineRule="auto"/>
        <w:ind w:left="1068"/>
        <w:jc w:val="both"/>
        <w:rPr>
          <w:rFonts w:ascii="Arial Narrow" w:hAnsi="Arial Narrow" w:cs="Arial"/>
          <w:sz w:val="28"/>
          <w:szCs w:val="28"/>
        </w:rPr>
      </w:pPr>
    </w:p>
    <w:p w:rsidR="00605C1E" w:rsidRPr="00605C1E" w:rsidRDefault="00605C1E" w:rsidP="00605C1E">
      <w:pPr>
        <w:pStyle w:val="TableText"/>
        <w:numPr>
          <w:ilvl w:val="0"/>
          <w:numId w:val="37"/>
        </w:numPr>
        <w:spacing w:before="0" w:after="0" w:line="240" w:lineRule="auto"/>
        <w:jc w:val="both"/>
        <w:rPr>
          <w:rFonts w:ascii="Arial Narrow" w:hAnsi="Arial Narrow" w:cs="Arial"/>
          <w:sz w:val="28"/>
          <w:szCs w:val="28"/>
        </w:rPr>
      </w:pPr>
      <w:r w:rsidRPr="00605C1E">
        <w:rPr>
          <w:rFonts w:ascii="Arial Narrow" w:hAnsi="Arial Narrow" w:cs="Arial"/>
          <w:sz w:val="28"/>
          <w:szCs w:val="28"/>
        </w:rPr>
        <w:t xml:space="preserve">Hace complementario el Sistema General de Regalías, los presupuestos del Sistema General de Participación, el Presupuesto General de la Nación y los Recursos propios de los entes territoriales, para la financiación de proyectos de alto impacto regional que contribuyan a la formación bruta de capital en los territorios.   </w:t>
      </w:r>
    </w:p>
    <w:p w:rsidR="00605C1E" w:rsidRPr="00605C1E" w:rsidRDefault="00605C1E" w:rsidP="00605C1E">
      <w:pPr>
        <w:pStyle w:val="TableText"/>
        <w:spacing w:before="0" w:after="0" w:line="240" w:lineRule="auto"/>
        <w:jc w:val="both"/>
        <w:rPr>
          <w:rFonts w:ascii="Arial Narrow" w:hAnsi="Arial Narrow" w:cs="Arial"/>
          <w:sz w:val="28"/>
          <w:szCs w:val="28"/>
        </w:rPr>
      </w:pPr>
    </w:p>
    <w:p w:rsidR="00BB63BE" w:rsidRPr="00605C1E" w:rsidRDefault="00605C1E" w:rsidP="00BB63BE">
      <w:pPr>
        <w:pStyle w:val="TableText"/>
        <w:numPr>
          <w:ilvl w:val="0"/>
          <w:numId w:val="37"/>
        </w:numPr>
        <w:spacing w:before="0" w:after="0" w:line="240" w:lineRule="auto"/>
        <w:jc w:val="both"/>
        <w:rPr>
          <w:rFonts w:ascii="Arial Narrow" w:hAnsi="Arial Narrow" w:cs="Arial"/>
          <w:sz w:val="28"/>
          <w:szCs w:val="28"/>
        </w:rPr>
      </w:pPr>
      <w:r w:rsidRPr="00605C1E">
        <w:rPr>
          <w:rFonts w:ascii="Arial Narrow" w:hAnsi="Arial Narrow" w:cs="Arial"/>
          <w:sz w:val="28"/>
          <w:szCs w:val="28"/>
        </w:rPr>
        <w:t>Elimina</w:t>
      </w:r>
      <w:r w:rsidR="00BB63BE" w:rsidRPr="00605C1E">
        <w:rPr>
          <w:rFonts w:ascii="Arial Narrow" w:hAnsi="Arial Narrow" w:cs="Arial"/>
          <w:sz w:val="28"/>
          <w:szCs w:val="28"/>
        </w:rPr>
        <w:t xml:space="preserve"> los OCADS municipales y departamentales</w:t>
      </w:r>
      <w:r w:rsidRPr="00605C1E">
        <w:rPr>
          <w:rFonts w:ascii="Arial Narrow" w:hAnsi="Arial Narrow" w:cs="Arial"/>
          <w:sz w:val="28"/>
          <w:szCs w:val="28"/>
        </w:rPr>
        <w:t xml:space="preserve">. </w:t>
      </w:r>
      <w:r w:rsidR="00BB63BE" w:rsidRPr="00605C1E">
        <w:rPr>
          <w:rFonts w:ascii="Arial Narrow" w:hAnsi="Arial Narrow" w:cs="Arial"/>
          <w:sz w:val="28"/>
          <w:szCs w:val="28"/>
        </w:rPr>
        <w:t xml:space="preserve"> Los entes territoriales no tendrán que recurrir a instancias del orden nacional para aprobar los </w:t>
      </w:r>
      <w:r w:rsidR="00BB63BE" w:rsidRPr="00605C1E">
        <w:rPr>
          <w:rFonts w:ascii="Arial Narrow" w:hAnsi="Arial Narrow" w:cs="Arial"/>
          <w:sz w:val="28"/>
          <w:szCs w:val="28"/>
        </w:rPr>
        <w:lastRenderedPageBreak/>
        <w:t xml:space="preserve">proyectos en los cuales decidan invertir los recursos del Sistema General de Regalías a que tengan derecho, solamente deberán observar estrictamente lo dispuesto en la ley y la constitución.  </w:t>
      </w:r>
    </w:p>
    <w:p w:rsidR="00BB63BE" w:rsidRPr="00605C1E" w:rsidRDefault="00BB63BE" w:rsidP="00BB63BE">
      <w:pPr>
        <w:pStyle w:val="TableText"/>
        <w:spacing w:before="0" w:after="0" w:line="240" w:lineRule="auto"/>
        <w:ind w:left="181"/>
        <w:jc w:val="both"/>
        <w:rPr>
          <w:rFonts w:ascii="Arial Narrow" w:hAnsi="Arial Narrow" w:cs="Arial"/>
          <w:sz w:val="28"/>
          <w:szCs w:val="28"/>
        </w:rPr>
      </w:pPr>
      <w:r w:rsidRPr="00605C1E">
        <w:rPr>
          <w:rFonts w:ascii="Arial Narrow" w:hAnsi="Arial Narrow" w:cs="Arial"/>
          <w:sz w:val="28"/>
          <w:szCs w:val="28"/>
        </w:rPr>
        <w:t xml:space="preserve"> </w:t>
      </w:r>
    </w:p>
    <w:p w:rsidR="00605C1E" w:rsidRPr="00605C1E" w:rsidRDefault="00605C1E" w:rsidP="00605C1E">
      <w:pPr>
        <w:pStyle w:val="TableText"/>
        <w:numPr>
          <w:ilvl w:val="0"/>
          <w:numId w:val="37"/>
        </w:numPr>
        <w:spacing w:before="0" w:after="0" w:line="240" w:lineRule="auto"/>
        <w:jc w:val="both"/>
        <w:rPr>
          <w:rFonts w:ascii="Arial Narrow" w:hAnsi="Arial Narrow" w:cs="Arial"/>
          <w:sz w:val="28"/>
          <w:szCs w:val="28"/>
        </w:rPr>
      </w:pPr>
      <w:r w:rsidRPr="00605C1E">
        <w:rPr>
          <w:rFonts w:ascii="Arial Narrow" w:hAnsi="Arial Narrow" w:cs="Arial"/>
          <w:sz w:val="28"/>
          <w:szCs w:val="28"/>
        </w:rPr>
        <w:t>El Departamento de Planeación Nacional deberá, en plazo no mayor a seis meses, diseñar y establecer un sistema de puntajes que incluya criterios de ruralidad y cierre de brechas en la distribución de los recursos del Sistema General de Regalías.</w:t>
      </w:r>
    </w:p>
    <w:p w:rsidR="00605C1E" w:rsidRPr="00605C1E" w:rsidRDefault="00605C1E" w:rsidP="00605C1E">
      <w:pPr>
        <w:pStyle w:val="TableText"/>
        <w:spacing w:before="0" w:after="0" w:line="240" w:lineRule="auto"/>
        <w:ind w:left="1068"/>
        <w:jc w:val="both"/>
        <w:rPr>
          <w:rFonts w:ascii="Arial Narrow" w:hAnsi="Arial Narrow" w:cs="Arial"/>
          <w:sz w:val="28"/>
          <w:szCs w:val="28"/>
        </w:rPr>
      </w:pPr>
    </w:p>
    <w:p w:rsidR="00BB63BE" w:rsidRPr="00605C1E" w:rsidRDefault="00605C1E" w:rsidP="00605C1E">
      <w:pPr>
        <w:pStyle w:val="TableText"/>
        <w:numPr>
          <w:ilvl w:val="0"/>
          <w:numId w:val="37"/>
        </w:numPr>
        <w:spacing w:before="0" w:after="0" w:line="240" w:lineRule="auto"/>
        <w:jc w:val="both"/>
        <w:rPr>
          <w:rFonts w:ascii="Arial Narrow" w:hAnsi="Arial Narrow" w:cs="Arial"/>
          <w:sz w:val="28"/>
          <w:szCs w:val="28"/>
          <w:lang w:val="es-ES"/>
        </w:rPr>
      </w:pPr>
      <w:r w:rsidRPr="00605C1E">
        <w:rPr>
          <w:rFonts w:ascii="Arial Narrow" w:hAnsi="Arial Narrow" w:cs="Arial"/>
          <w:sz w:val="28"/>
          <w:szCs w:val="28"/>
          <w:lang w:val="es-ES"/>
        </w:rPr>
        <w:t>F</w:t>
      </w:r>
      <w:r w:rsidR="00BB63BE" w:rsidRPr="00605C1E">
        <w:rPr>
          <w:rFonts w:ascii="Arial Narrow" w:hAnsi="Arial Narrow" w:cs="Arial"/>
          <w:sz w:val="28"/>
          <w:szCs w:val="28"/>
          <w:lang w:val="es-ES"/>
        </w:rPr>
        <w:t>ocalizar los recursos de regalías en los 5 sectores de mayor impacto en la productividad regional: transporte y logística, educación, agua potable, energía, y salud)</w:t>
      </w:r>
      <w:r w:rsidRPr="00605C1E">
        <w:rPr>
          <w:rFonts w:ascii="Arial Narrow" w:hAnsi="Arial Narrow" w:cs="Arial"/>
          <w:sz w:val="28"/>
          <w:szCs w:val="28"/>
          <w:lang w:val="es-ES"/>
        </w:rPr>
        <w:t>.</w:t>
      </w:r>
    </w:p>
    <w:p w:rsidR="00BB63BE" w:rsidRPr="00605C1E" w:rsidRDefault="00BB63BE" w:rsidP="00BB63BE">
      <w:pPr>
        <w:pStyle w:val="TableText"/>
        <w:spacing w:before="0" w:after="0" w:line="240" w:lineRule="auto"/>
        <w:jc w:val="both"/>
        <w:rPr>
          <w:rFonts w:ascii="Arial Narrow" w:hAnsi="Arial Narrow" w:cs="Arial"/>
          <w:sz w:val="28"/>
          <w:szCs w:val="28"/>
        </w:rPr>
      </w:pPr>
    </w:p>
    <w:p w:rsidR="00956591" w:rsidRPr="00605C1E" w:rsidRDefault="00956591" w:rsidP="00956591">
      <w:pPr>
        <w:jc w:val="both"/>
        <w:rPr>
          <w:rFonts w:ascii="Arial Narrow" w:hAnsi="Arial Narrow" w:cs="Arial"/>
          <w:sz w:val="28"/>
          <w:szCs w:val="28"/>
        </w:rPr>
      </w:pPr>
    </w:p>
    <w:p w:rsidR="00AF7EF1" w:rsidRPr="00605C1E" w:rsidRDefault="00AF7EF1" w:rsidP="00956591">
      <w:pPr>
        <w:jc w:val="both"/>
        <w:rPr>
          <w:rFonts w:ascii="Arial Narrow" w:hAnsi="Arial Narrow" w:cs="Arial"/>
          <w:sz w:val="28"/>
          <w:szCs w:val="28"/>
        </w:rPr>
      </w:pPr>
    </w:p>
    <w:p w:rsidR="00C052AD" w:rsidRPr="00605C1E" w:rsidRDefault="00C052AD" w:rsidP="00956591">
      <w:pPr>
        <w:jc w:val="both"/>
        <w:rPr>
          <w:rFonts w:ascii="Arial Narrow" w:hAnsi="Arial Narrow" w:cs="Arial"/>
          <w:sz w:val="28"/>
          <w:szCs w:val="28"/>
        </w:rPr>
      </w:pPr>
      <w:r w:rsidRPr="00605C1E">
        <w:rPr>
          <w:rFonts w:ascii="Arial Narrow" w:hAnsi="Arial Narrow" w:cs="Arial"/>
          <w:sz w:val="28"/>
          <w:szCs w:val="28"/>
        </w:rPr>
        <w:t>Cordialmente,</w:t>
      </w:r>
    </w:p>
    <w:p w:rsidR="00AF7EF1" w:rsidRPr="00605C1E" w:rsidRDefault="00AF7EF1" w:rsidP="00956591">
      <w:pPr>
        <w:jc w:val="both"/>
        <w:rPr>
          <w:rFonts w:ascii="Arial Narrow" w:hAnsi="Arial Narrow" w:cs="Arial"/>
          <w:sz w:val="28"/>
          <w:szCs w:val="28"/>
        </w:rPr>
      </w:pPr>
    </w:p>
    <w:p w:rsidR="00AF7EF1" w:rsidRPr="00605C1E" w:rsidRDefault="00AF7EF1" w:rsidP="00956591">
      <w:pPr>
        <w:jc w:val="both"/>
        <w:rPr>
          <w:rFonts w:ascii="Arial Narrow" w:hAnsi="Arial Narrow" w:cs="Arial"/>
          <w:sz w:val="28"/>
          <w:szCs w:val="28"/>
        </w:rPr>
      </w:pPr>
    </w:p>
    <w:p w:rsidR="00AF7EF1" w:rsidRPr="00605C1E" w:rsidRDefault="00AF7EF1" w:rsidP="00956591">
      <w:pPr>
        <w:jc w:val="both"/>
        <w:rPr>
          <w:rFonts w:ascii="Arial Narrow" w:hAnsi="Arial Narrow" w:cs="Arial"/>
          <w:sz w:val="28"/>
          <w:szCs w:val="28"/>
        </w:rPr>
      </w:pPr>
    </w:p>
    <w:p w:rsidR="00AF7EF1" w:rsidRPr="00605C1E" w:rsidRDefault="00AF7EF1" w:rsidP="00956591">
      <w:pPr>
        <w:jc w:val="both"/>
        <w:rPr>
          <w:rFonts w:ascii="Arial Narrow" w:hAnsi="Arial Narrow" w:cs="Arial"/>
          <w:sz w:val="28"/>
          <w:szCs w:val="28"/>
        </w:rPr>
      </w:pPr>
      <w:bookmarkStart w:id="2" w:name="_GoBack"/>
      <w:bookmarkEnd w:id="2"/>
    </w:p>
    <w:p w:rsidR="00C052AD" w:rsidRPr="00605C1E" w:rsidRDefault="00C052AD" w:rsidP="00C052AD">
      <w:pPr>
        <w:rPr>
          <w:rFonts w:ascii="Arial Narrow" w:hAnsi="Arial Narrow" w:cs="Arial"/>
          <w:sz w:val="28"/>
          <w:szCs w:val="28"/>
        </w:rPr>
      </w:pPr>
    </w:p>
    <w:p w:rsidR="00C052AD" w:rsidRPr="00605C1E" w:rsidRDefault="00C052AD" w:rsidP="00C052AD">
      <w:pPr>
        <w:rPr>
          <w:rFonts w:ascii="Arial Narrow" w:hAnsi="Arial Narrow" w:cs="Arial"/>
          <w:b/>
          <w:sz w:val="28"/>
          <w:szCs w:val="28"/>
        </w:rPr>
      </w:pPr>
      <w:r w:rsidRPr="00605C1E">
        <w:rPr>
          <w:rFonts w:ascii="Arial Narrow" w:hAnsi="Arial Narrow" w:cs="Arial"/>
          <w:b/>
          <w:sz w:val="28"/>
          <w:szCs w:val="28"/>
        </w:rPr>
        <w:t>JAIME RODRÍGUEZ CONTRERAS</w:t>
      </w:r>
    </w:p>
    <w:p w:rsidR="00786770" w:rsidRDefault="00956591" w:rsidP="00956591">
      <w:pPr>
        <w:rPr>
          <w:rFonts w:ascii="Arial Narrow" w:hAnsi="Arial Narrow" w:cs="Arial"/>
          <w:sz w:val="28"/>
          <w:szCs w:val="28"/>
        </w:rPr>
      </w:pPr>
      <w:r w:rsidRPr="00605C1E">
        <w:rPr>
          <w:rFonts w:ascii="Arial Narrow" w:hAnsi="Arial Narrow" w:cs="Arial"/>
          <w:sz w:val="28"/>
          <w:szCs w:val="28"/>
        </w:rPr>
        <w:t>Representante a la Cámara</w:t>
      </w:r>
    </w:p>
    <w:p w:rsidR="00E851E7" w:rsidRDefault="00E851E7" w:rsidP="00956591">
      <w:pPr>
        <w:rPr>
          <w:rFonts w:ascii="Arial Narrow" w:hAnsi="Arial Narrow" w:cs="Arial"/>
          <w:sz w:val="28"/>
          <w:szCs w:val="28"/>
        </w:rPr>
      </w:pPr>
    </w:p>
    <w:p w:rsidR="00E851E7" w:rsidRDefault="00E851E7" w:rsidP="00956591">
      <w:pPr>
        <w:rPr>
          <w:rFonts w:ascii="Arial Narrow" w:hAnsi="Arial Narrow" w:cs="Arial"/>
          <w:sz w:val="28"/>
          <w:szCs w:val="28"/>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r>
        <w:rPr>
          <w:rFonts w:ascii="Arial" w:hAnsi="Arial" w:cs="Arial"/>
          <w:color w:val="000000" w:themeColor="text1"/>
        </w:rPr>
        <w:t>___________________________                      _________________________</w:t>
      </w:r>
      <w:r w:rsidRPr="00920EB6">
        <w:rPr>
          <w:rFonts w:ascii="Arial" w:hAnsi="Arial" w:cs="Arial"/>
          <w:color w:val="000000" w:themeColor="text1"/>
        </w:rPr>
        <w:tab/>
      </w: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Default="00E851E7" w:rsidP="00E851E7">
      <w:pPr>
        <w:shd w:val="clear" w:color="auto" w:fill="FFFFFF"/>
        <w:spacing w:line="276" w:lineRule="auto"/>
        <w:jc w:val="both"/>
        <w:rPr>
          <w:rFonts w:ascii="Arial" w:hAnsi="Arial" w:cs="Arial"/>
          <w:color w:val="000000" w:themeColor="text1"/>
        </w:rPr>
      </w:pPr>
    </w:p>
    <w:p w:rsidR="00E851E7" w:rsidRPr="00920EB6" w:rsidRDefault="00E851E7" w:rsidP="00E851E7">
      <w:pPr>
        <w:shd w:val="clear" w:color="auto" w:fill="FFFFFF"/>
        <w:spacing w:line="276" w:lineRule="auto"/>
        <w:jc w:val="both"/>
        <w:rPr>
          <w:rFonts w:ascii="Arial" w:hAnsi="Arial" w:cs="Arial"/>
          <w:color w:val="000000" w:themeColor="text1"/>
        </w:rPr>
      </w:pPr>
    </w:p>
    <w:p w:rsidR="00E851E7" w:rsidRPr="00605C1E" w:rsidRDefault="00E851E7" w:rsidP="00956591">
      <w:pPr>
        <w:rPr>
          <w:rFonts w:ascii="Arial Narrow" w:hAnsi="Arial Narrow" w:cs="Arial"/>
          <w:sz w:val="28"/>
          <w:szCs w:val="28"/>
        </w:rPr>
      </w:pPr>
      <w:r>
        <w:rPr>
          <w:rFonts w:ascii="Arial" w:hAnsi="Arial" w:cs="Arial"/>
          <w:color w:val="000000" w:themeColor="text1"/>
        </w:rPr>
        <w:t>___________________________                      _________________________</w:t>
      </w:r>
    </w:p>
    <w:sectPr w:rsidR="00E851E7" w:rsidRPr="00605C1E" w:rsidSect="00C81409">
      <w:headerReference w:type="default" r:id="rId9"/>
      <w:foot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1B0" w:rsidRDefault="00BB71B0" w:rsidP="00DC5F47">
      <w:r>
        <w:separator/>
      </w:r>
    </w:p>
  </w:endnote>
  <w:endnote w:type="continuationSeparator" w:id="0">
    <w:p w:rsidR="00BB71B0" w:rsidRDefault="00BB71B0" w:rsidP="00DC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EF4" w:rsidRPr="00DC5F47" w:rsidRDefault="00E851E7">
    <w:pPr>
      <w:pStyle w:val="Piedepgina"/>
      <w:rPr>
        <w:lang w:val="en-US"/>
      </w:rPr>
    </w:pPr>
    <w:r>
      <w:rPr>
        <w:noProof/>
        <w:lang w:eastAsia="es-CO"/>
      </w:rPr>
      <mc:AlternateContent>
        <mc:Choice Requires="wps">
          <w:drawing>
            <wp:anchor distT="0" distB="0" distL="114300" distR="114300" simplePos="0" relativeHeight="251659264" behindDoc="0" locked="0" layoutInCell="1" allowOverlap="1" wp14:anchorId="5ED775E5" wp14:editId="0AD2ACEF">
              <wp:simplePos x="0" y="0"/>
              <wp:positionH relativeFrom="margin">
                <wp:align>right</wp:align>
              </wp:positionH>
              <wp:positionV relativeFrom="paragraph">
                <wp:posOffset>-121920</wp:posOffset>
              </wp:positionV>
              <wp:extent cx="5610225" cy="678180"/>
              <wp:effectExtent l="0" t="0" r="0" b="7620"/>
              <wp:wrapNone/>
              <wp:docPr id="29" name="29 Cuadro de texto"/>
              <wp:cNvGraphicFramePr/>
              <a:graphic xmlns:a="http://schemas.openxmlformats.org/drawingml/2006/main">
                <a:graphicData uri="http://schemas.microsoft.com/office/word/2010/wordprocessingShape">
                  <wps:wsp>
                    <wps:cNvSpPr txBox="1"/>
                    <wps:spPr>
                      <a:xfrm>
                        <a:off x="0" y="0"/>
                        <a:ext cx="5610225" cy="678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851E7" w:rsidRPr="00E851E7" w:rsidRDefault="00E851E7" w:rsidP="00E851E7">
                          <w:pPr>
                            <w:pStyle w:val="NormalWeb"/>
                            <w:spacing w:before="0" w:beforeAutospacing="0" w:after="0" w:afterAutospacing="0"/>
                            <w:jc w:val="center"/>
                            <w:rPr>
                              <w:rFonts w:ascii="Arial Narrow" w:hAnsi="Arial Narrow"/>
                            </w:rPr>
                          </w:pPr>
                          <w:r w:rsidRPr="00E851E7">
                            <w:rPr>
                              <w:rFonts w:ascii="Arial Narrow" w:hAnsi="Arial Narrow"/>
                            </w:rPr>
                            <w:t>Carrera 7 No. 8 - 68 Edificio Nuevo del Congreso Oficina 615</w:t>
                          </w:r>
                        </w:p>
                        <w:p w:rsidR="007E1EF4" w:rsidRPr="005C19FC" w:rsidRDefault="007E1EF4" w:rsidP="00B910AC">
                          <w:pPr>
                            <w:pStyle w:val="Piedepgina"/>
                            <w:jc w:val="center"/>
                            <w:rPr>
                              <w:rFonts w:ascii="Agency FB" w:hAnsi="Agency FB"/>
                              <w:color w:val="FF0000"/>
                              <w:sz w:val="18"/>
                              <w:szCs w:val="18"/>
                              <w:lang w:val="en-US" w:eastAsia="es-CO"/>
                            </w:rPr>
                          </w:pPr>
                        </w:p>
                        <w:p w:rsidR="007E1EF4" w:rsidRPr="00D424B3" w:rsidRDefault="007E1EF4" w:rsidP="00DC5F4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775E5" id="_x0000_t202" coordsize="21600,21600" o:spt="202" path="m,l,21600r21600,l21600,xe">
              <v:stroke joinstyle="miter"/>
              <v:path gradientshapeok="t" o:connecttype="rect"/>
            </v:shapetype>
            <v:shape id="29 Cuadro de texto" o:spid="_x0000_s1026" type="#_x0000_t202" style="position:absolute;margin-left:390.55pt;margin-top:-9.6pt;width:441.75pt;height:5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" filled="f" stroked="f" strokeweight=".5pt">
              <v:textbox>
                <w:txbxContent>
                  <w:p w:rsidR="00E851E7" w:rsidRPr="00E851E7" w:rsidRDefault="00E851E7" w:rsidP="00E851E7">
                    <w:pPr>
                      <w:pStyle w:val="NormalWeb"/>
                      <w:spacing w:before="0" w:beforeAutospacing="0" w:after="0" w:afterAutospacing="0"/>
                      <w:jc w:val="center"/>
                      <w:rPr>
                        <w:rFonts w:ascii="Arial Narrow" w:hAnsi="Arial Narrow"/>
                      </w:rPr>
                    </w:pPr>
                    <w:r w:rsidRPr="00E851E7">
                      <w:rPr>
                        <w:rFonts w:ascii="Arial Narrow" w:hAnsi="Arial Narrow"/>
                      </w:rPr>
                      <w:t>Carrera 7 No. 8 - 68 Edificio Nuevo del Congreso Oficina 615</w:t>
                    </w:r>
                  </w:p>
                  <w:p w:rsidR="007E1EF4" w:rsidRPr="005C19FC" w:rsidRDefault="007E1EF4" w:rsidP="00B910AC">
                    <w:pPr>
                      <w:pStyle w:val="Piedepgina"/>
                      <w:jc w:val="center"/>
                      <w:rPr>
                        <w:rFonts w:ascii="Agency FB" w:hAnsi="Agency FB"/>
                        <w:color w:val="FF0000"/>
                        <w:sz w:val="18"/>
                        <w:szCs w:val="18"/>
                        <w:lang w:val="en-US" w:eastAsia="es-CO"/>
                      </w:rPr>
                    </w:pPr>
                  </w:p>
                  <w:p w:rsidR="007E1EF4" w:rsidRPr="00D424B3" w:rsidRDefault="007E1EF4" w:rsidP="00DC5F47">
                    <w:pPr>
                      <w:rPr>
                        <w:lang w:val="en-US"/>
                      </w:rPr>
                    </w:pPr>
                  </w:p>
                </w:txbxContent>
              </v:textbox>
              <w10:wrap anchorx="margin"/>
            </v:shape>
          </w:pict>
        </mc:Fallback>
      </mc:AlternateContent>
    </w:r>
    <w:r w:rsidR="007E1EF4">
      <w:rPr>
        <w:noProof/>
        <w:lang w:eastAsia="es-CO"/>
      </w:rPr>
      <mc:AlternateContent>
        <mc:Choice Requires="wps">
          <w:drawing>
            <wp:anchor distT="0" distB="0" distL="114300" distR="114300" simplePos="0" relativeHeight="251660288" behindDoc="0" locked="0" layoutInCell="1" allowOverlap="1" wp14:anchorId="72CA6D7F" wp14:editId="5AD7A83B">
              <wp:simplePos x="0" y="0"/>
              <wp:positionH relativeFrom="column">
                <wp:posOffset>-89535</wp:posOffset>
              </wp:positionH>
              <wp:positionV relativeFrom="paragraph">
                <wp:posOffset>-141605</wp:posOffset>
              </wp:positionV>
              <wp:extent cx="5876925" cy="0"/>
              <wp:effectExtent l="0" t="0" r="9525" b="19050"/>
              <wp:wrapNone/>
              <wp:docPr id="8" name="8 Conector recto"/>
              <wp:cNvGraphicFramePr/>
              <a:graphic xmlns:a="http://schemas.openxmlformats.org/drawingml/2006/main">
                <a:graphicData uri="http://schemas.microsoft.com/office/word/2010/wordprocessingShape">
                  <wps:wsp>
                    <wps:cNvCnPr/>
                    <wps:spPr>
                      <a:xfrm>
                        <a:off x="0" y="0"/>
                        <a:ext cx="587692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EDB3BD" id="8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5pt,-11.15pt" to="455.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" strokecolor="#a5a5a5 [2092]"/>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1B0" w:rsidRDefault="00BB71B0" w:rsidP="00DC5F47">
      <w:r>
        <w:separator/>
      </w:r>
    </w:p>
  </w:footnote>
  <w:footnote w:type="continuationSeparator" w:id="0">
    <w:p w:rsidR="00BB71B0" w:rsidRDefault="00BB71B0" w:rsidP="00DC5F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EF4" w:rsidRDefault="007E1EF4">
    <w:pPr>
      <w:pStyle w:val="Encabezado"/>
    </w:pPr>
    <w:r>
      <w:rPr>
        <w:rFonts w:ascii="Arial Narrow" w:hAnsi="Arial Narrow" w:cs="Arial"/>
        <w:noProof/>
        <w:sz w:val="24"/>
        <w:szCs w:val="24"/>
        <w:lang w:eastAsia="es-CO"/>
      </w:rPr>
      <w:drawing>
        <wp:anchor distT="0" distB="0" distL="114300" distR="114300" simplePos="0" relativeHeight="251662336" behindDoc="0" locked="0" layoutInCell="1" allowOverlap="1" wp14:anchorId="26C07F05" wp14:editId="41D599E4">
          <wp:simplePos x="0" y="0"/>
          <wp:positionH relativeFrom="column">
            <wp:posOffset>1939290</wp:posOffset>
          </wp:positionH>
          <wp:positionV relativeFrom="paragraph">
            <wp:posOffset>-41910</wp:posOffset>
          </wp:positionV>
          <wp:extent cx="2324100" cy="932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4100"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EF4" w:rsidRDefault="007E1EF4">
    <w:pPr>
      <w:pStyle w:val="Encabezado"/>
    </w:pPr>
  </w:p>
  <w:p w:rsidR="007E1EF4" w:rsidRDefault="007E1EF4">
    <w:pPr>
      <w:pStyle w:val="Encabezado"/>
    </w:pPr>
  </w:p>
  <w:p w:rsidR="007E1EF4" w:rsidRDefault="007E1EF4">
    <w:pPr>
      <w:pStyle w:val="Encabezado"/>
    </w:pPr>
  </w:p>
  <w:p w:rsidR="007E1EF4" w:rsidRDefault="007E1EF4">
    <w:pPr>
      <w:pStyle w:val="Encabezado"/>
    </w:pPr>
  </w:p>
  <w:p w:rsidR="007E1EF4" w:rsidRDefault="007E1EF4">
    <w:pPr>
      <w:pStyle w:val="Encabezado"/>
    </w:pPr>
  </w:p>
  <w:p w:rsidR="007E1EF4" w:rsidRDefault="007E1EF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307"/>
    <w:multiLevelType w:val="hybridMultilevel"/>
    <w:tmpl w:val="84DA42D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5A25A22"/>
    <w:multiLevelType w:val="hybridMultilevel"/>
    <w:tmpl w:val="05CE01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572C79"/>
    <w:multiLevelType w:val="hybridMultilevel"/>
    <w:tmpl w:val="C2D886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D27736"/>
    <w:multiLevelType w:val="hybridMultilevel"/>
    <w:tmpl w:val="56A43E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143D16"/>
    <w:multiLevelType w:val="multilevel"/>
    <w:tmpl w:val="799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05848"/>
    <w:multiLevelType w:val="hybridMultilevel"/>
    <w:tmpl w:val="04FA2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1C0343A"/>
    <w:multiLevelType w:val="hybridMultilevel"/>
    <w:tmpl w:val="AD8EA3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2CB3036"/>
    <w:multiLevelType w:val="hybridMultilevel"/>
    <w:tmpl w:val="635E98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6D52306"/>
    <w:multiLevelType w:val="hybridMultilevel"/>
    <w:tmpl w:val="C2F25A78"/>
    <w:lvl w:ilvl="0" w:tplc="E7982E84">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C53583E"/>
    <w:multiLevelType w:val="hybridMultilevel"/>
    <w:tmpl w:val="191486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9C945FE"/>
    <w:multiLevelType w:val="hybridMultilevel"/>
    <w:tmpl w:val="D944A50E"/>
    <w:lvl w:ilvl="0" w:tplc="9F02AF04">
      <w:start w:val="1"/>
      <w:numFmt w:val="bullet"/>
      <w:lvlText w:val="•"/>
      <w:lvlJc w:val="left"/>
      <w:pPr>
        <w:tabs>
          <w:tab w:val="num" w:pos="720"/>
        </w:tabs>
        <w:ind w:left="720" w:hanging="360"/>
      </w:pPr>
      <w:rPr>
        <w:rFonts w:ascii="Arial" w:hAnsi="Arial" w:hint="default"/>
      </w:rPr>
    </w:lvl>
    <w:lvl w:ilvl="1" w:tplc="A31A9E18" w:tentative="1">
      <w:start w:val="1"/>
      <w:numFmt w:val="bullet"/>
      <w:lvlText w:val="•"/>
      <w:lvlJc w:val="left"/>
      <w:pPr>
        <w:tabs>
          <w:tab w:val="num" w:pos="1440"/>
        </w:tabs>
        <w:ind w:left="1440" w:hanging="360"/>
      </w:pPr>
      <w:rPr>
        <w:rFonts w:ascii="Arial" w:hAnsi="Arial" w:hint="default"/>
      </w:rPr>
    </w:lvl>
    <w:lvl w:ilvl="2" w:tplc="A720FCA4" w:tentative="1">
      <w:start w:val="1"/>
      <w:numFmt w:val="bullet"/>
      <w:lvlText w:val="•"/>
      <w:lvlJc w:val="left"/>
      <w:pPr>
        <w:tabs>
          <w:tab w:val="num" w:pos="2160"/>
        </w:tabs>
        <w:ind w:left="2160" w:hanging="360"/>
      </w:pPr>
      <w:rPr>
        <w:rFonts w:ascii="Arial" w:hAnsi="Arial" w:hint="default"/>
      </w:rPr>
    </w:lvl>
    <w:lvl w:ilvl="3" w:tplc="B7B076D6" w:tentative="1">
      <w:start w:val="1"/>
      <w:numFmt w:val="bullet"/>
      <w:lvlText w:val="•"/>
      <w:lvlJc w:val="left"/>
      <w:pPr>
        <w:tabs>
          <w:tab w:val="num" w:pos="2880"/>
        </w:tabs>
        <w:ind w:left="2880" w:hanging="360"/>
      </w:pPr>
      <w:rPr>
        <w:rFonts w:ascii="Arial" w:hAnsi="Arial" w:hint="default"/>
      </w:rPr>
    </w:lvl>
    <w:lvl w:ilvl="4" w:tplc="6FA21B70" w:tentative="1">
      <w:start w:val="1"/>
      <w:numFmt w:val="bullet"/>
      <w:lvlText w:val="•"/>
      <w:lvlJc w:val="left"/>
      <w:pPr>
        <w:tabs>
          <w:tab w:val="num" w:pos="3600"/>
        </w:tabs>
        <w:ind w:left="3600" w:hanging="360"/>
      </w:pPr>
      <w:rPr>
        <w:rFonts w:ascii="Arial" w:hAnsi="Arial" w:hint="default"/>
      </w:rPr>
    </w:lvl>
    <w:lvl w:ilvl="5" w:tplc="E20A2364" w:tentative="1">
      <w:start w:val="1"/>
      <w:numFmt w:val="bullet"/>
      <w:lvlText w:val="•"/>
      <w:lvlJc w:val="left"/>
      <w:pPr>
        <w:tabs>
          <w:tab w:val="num" w:pos="4320"/>
        </w:tabs>
        <w:ind w:left="4320" w:hanging="360"/>
      </w:pPr>
      <w:rPr>
        <w:rFonts w:ascii="Arial" w:hAnsi="Arial" w:hint="default"/>
      </w:rPr>
    </w:lvl>
    <w:lvl w:ilvl="6" w:tplc="3BFA6C58" w:tentative="1">
      <w:start w:val="1"/>
      <w:numFmt w:val="bullet"/>
      <w:lvlText w:val="•"/>
      <w:lvlJc w:val="left"/>
      <w:pPr>
        <w:tabs>
          <w:tab w:val="num" w:pos="5040"/>
        </w:tabs>
        <w:ind w:left="5040" w:hanging="360"/>
      </w:pPr>
      <w:rPr>
        <w:rFonts w:ascii="Arial" w:hAnsi="Arial" w:hint="default"/>
      </w:rPr>
    </w:lvl>
    <w:lvl w:ilvl="7" w:tplc="D6C858A4" w:tentative="1">
      <w:start w:val="1"/>
      <w:numFmt w:val="bullet"/>
      <w:lvlText w:val="•"/>
      <w:lvlJc w:val="left"/>
      <w:pPr>
        <w:tabs>
          <w:tab w:val="num" w:pos="5760"/>
        </w:tabs>
        <w:ind w:left="5760" w:hanging="360"/>
      </w:pPr>
      <w:rPr>
        <w:rFonts w:ascii="Arial" w:hAnsi="Arial" w:hint="default"/>
      </w:rPr>
    </w:lvl>
    <w:lvl w:ilvl="8" w:tplc="E004B8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2D35B8"/>
    <w:multiLevelType w:val="hybridMultilevel"/>
    <w:tmpl w:val="1CA89D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A506CCF"/>
    <w:multiLevelType w:val="hybridMultilevel"/>
    <w:tmpl w:val="254ACB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A565DA6"/>
    <w:multiLevelType w:val="hybridMultilevel"/>
    <w:tmpl w:val="721632A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AE5685"/>
    <w:multiLevelType w:val="multilevel"/>
    <w:tmpl w:val="F52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4046A"/>
    <w:multiLevelType w:val="hybridMultilevel"/>
    <w:tmpl w:val="BEF2F668"/>
    <w:lvl w:ilvl="0" w:tplc="1D965F5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15:restartNumberingAfterBreak="0">
    <w:nsid w:val="2F5E769A"/>
    <w:multiLevelType w:val="hybridMultilevel"/>
    <w:tmpl w:val="A600DB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4FC57BF"/>
    <w:multiLevelType w:val="hybridMultilevel"/>
    <w:tmpl w:val="D80E1F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972078B"/>
    <w:multiLevelType w:val="hybridMultilevel"/>
    <w:tmpl w:val="4AFC0F3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D425602"/>
    <w:multiLevelType w:val="hybridMultilevel"/>
    <w:tmpl w:val="DDB29B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F973403"/>
    <w:multiLevelType w:val="hybridMultilevel"/>
    <w:tmpl w:val="164A6F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FDD39EC"/>
    <w:multiLevelType w:val="hybridMultilevel"/>
    <w:tmpl w:val="B94AD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2A15FFB"/>
    <w:multiLevelType w:val="hybridMultilevel"/>
    <w:tmpl w:val="0FCAFFA2"/>
    <w:lvl w:ilvl="0" w:tplc="1D965F5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454E0669"/>
    <w:multiLevelType w:val="hybridMultilevel"/>
    <w:tmpl w:val="440E5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4341FEF"/>
    <w:multiLevelType w:val="hybridMultilevel"/>
    <w:tmpl w:val="8086FA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95D096C"/>
    <w:multiLevelType w:val="hybridMultilevel"/>
    <w:tmpl w:val="4C801E06"/>
    <w:lvl w:ilvl="0" w:tplc="11961102">
      <w:start w:val="1"/>
      <w:numFmt w:val="bullet"/>
      <w:lvlText w:val="•"/>
      <w:lvlJc w:val="left"/>
      <w:pPr>
        <w:tabs>
          <w:tab w:val="num" w:pos="720"/>
        </w:tabs>
        <w:ind w:left="720" w:hanging="360"/>
      </w:pPr>
      <w:rPr>
        <w:rFonts w:ascii="Arial" w:hAnsi="Arial" w:hint="default"/>
      </w:rPr>
    </w:lvl>
    <w:lvl w:ilvl="1" w:tplc="CB2AB154" w:tentative="1">
      <w:start w:val="1"/>
      <w:numFmt w:val="bullet"/>
      <w:lvlText w:val="•"/>
      <w:lvlJc w:val="left"/>
      <w:pPr>
        <w:tabs>
          <w:tab w:val="num" w:pos="1440"/>
        </w:tabs>
        <w:ind w:left="1440" w:hanging="360"/>
      </w:pPr>
      <w:rPr>
        <w:rFonts w:ascii="Arial" w:hAnsi="Arial" w:hint="default"/>
      </w:rPr>
    </w:lvl>
    <w:lvl w:ilvl="2" w:tplc="9B2EA7A4" w:tentative="1">
      <w:start w:val="1"/>
      <w:numFmt w:val="bullet"/>
      <w:lvlText w:val="•"/>
      <w:lvlJc w:val="left"/>
      <w:pPr>
        <w:tabs>
          <w:tab w:val="num" w:pos="2160"/>
        </w:tabs>
        <w:ind w:left="2160" w:hanging="360"/>
      </w:pPr>
      <w:rPr>
        <w:rFonts w:ascii="Arial" w:hAnsi="Arial" w:hint="default"/>
      </w:rPr>
    </w:lvl>
    <w:lvl w:ilvl="3" w:tplc="BCD6F0DE" w:tentative="1">
      <w:start w:val="1"/>
      <w:numFmt w:val="bullet"/>
      <w:lvlText w:val="•"/>
      <w:lvlJc w:val="left"/>
      <w:pPr>
        <w:tabs>
          <w:tab w:val="num" w:pos="2880"/>
        </w:tabs>
        <w:ind w:left="2880" w:hanging="360"/>
      </w:pPr>
      <w:rPr>
        <w:rFonts w:ascii="Arial" w:hAnsi="Arial" w:hint="default"/>
      </w:rPr>
    </w:lvl>
    <w:lvl w:ilvl="4" w:tplc="25AE00FC" w:tentative="1">
      <w:start w:val="1"/>
      <w:numFmt w:val="bullet"/>
      <w:lvlText w:val="•"/>
      <w:lvlJc w:val="left"/>
      <w:pPr>
        <w:tabs>
          <w:tab w:val="num" w:pos="3600"/>
        </w:tabs>
        <w:ind w:left="3600" w:hanging="360"/>
      </w:pPr>
      <w:rPr>
        <w:rFonts w:ascii="Arial" w:hAnsi="Arial" w:hint="default"/>
      </w:rPr>
    </w:lvl>
    <w:lvl w:ilvl="5" w:tplc="28940EA8" w:tentative="1">
      <w:start w:val="1"/>
      <w:numFmt w:val="bullet"/>
      <w:lvlText w:val="•"/>
      <w:lvlJc w:val="left"/>
      <w:pPr>
        <w:tabs>
          <w:tab w:val="num" w:pos="4320"/>
        </w:tabs>
        <w:ind w:left="4320" w:hanging="360"/>
      </w:pPr>
      <w:rPr>
        <w:rFonts w:ascii="Arial" w:hAnsi="Arial" w:hint="default"/>
      </w:rPr>
    </w:lvl>
    <w:lvl w:ilvl="6" w:tplc="AB1A6E72" w:tentative="1">
      <w:start w:val="1"/>
      <w:numFmt w:val="bullet"/>
      <w:lvlText w:val="•"/>
      <w:lvlJc w:val="left"/>
      <w:pPr>
        <w:tabs>
          <w:tab w:val="num" w:pos="5040"/>
        </w:tabs>
        <w:ind w:left="5040" w:hanging="360"/>
      </w:pPr>
      <w:rPr>
        <w:rFonts w:ascii="Arial" w:hAnsi="Arial" w:hint="default"/>
      </w:rPr>
    </w:lvl>
    <w:lvl w:ilvl="7" w:tplc="87D8F09E" w:tentative="1">
      <w:start w:val="1"/>
      <w:numFmt w:val="bullet"/>
      <w:lvlText w:val="•"/>
      <w:lvlJc w:val="left"/>
      <w:pPr>
        <w:tabs>
          <w:tab w:val="num" w:pos="5760"/>
        </w:tabs>
        <w:ind w:left="5760" w:hanging="360"/>
      </w:pPr>
      <w:rPr>
        <w:rFonts w:ascii="Arial" w:hAnsi="Arial" w:hint="default"/>
      </w:rPr>
    </w:lvl>
    <w:lvl w:ilvl="8" w:tplc="60949C5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C148E2"/>
    <w:multiLevelType w:val="hybridMultilevel"/>
    <w:tmpl w:val="AED6E7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3E75621"/>
    <w:multiLevelType w:val="hybridMultilevel"/>
    <w:tmpl w:val="FC422A3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6976F4F"/>
    <w:multiLevelType w:val="hybridMultilevel"/>
    <w:tmpl w:val="D3448E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77F471E"/>
    <w:multiLevelType w:val="hybridMultilevel"/>
    <w:tmpl w:val="12A2591A"/>
    <w:lvl w:ilvl="0" w:tplc="C6BA69F6">
      <w:start w:val="1"/>
      <w:numFmt w:val="bullet"/>
      <w:lvlText w:val="•"/>
      <w:lvlJc w:val="left"/>
      <w:pPr>
        <w:tabs>
          <w:tab w:val="num" w:pos="360"/>
        </w:tabs>
        <w:ind w:left="360" w:hanging="360"/>
      </w:pPr>
      <w:rPr>
        <w:rFonts w:ascii="Arial" w:hAnsi="Arial" w:hint="default"/>
      </w:rPr>
    </w:lvl>
    <w:lvl w:ilvl="1" w:tplc="83D6155E" w:tentative="1">
      <w:start w:val="1"/>
      <w:numFmt w:val="bullet"/>
      <w:lvlText w:val="•"/>
      <w:lvlJc w:val="left"/>
      <w:pPr>
        <w:tabs>
          <w:tab w:val="num" w:pos="1080"/>
        </w:tabs>
        <w:ind w:left="1080" w:hanging="360"/>
      </w:pPr>
      <w:rPr>
        <w:rFonts w:ascii="Arial" w:hAnsi="Arial" w:hint="default"/>
      </w:rPr>
    </w:lvl>
    <w:lvl w:ilvl="2" w:tplc="1A1637D4" w:tentative="1">
      <w:start w:val="1"/>
      <w:numFmt w:val="bullet"/>
      <w:lvlText w:val="•"/>
      <w:lvlJc w:val="left"/>
      <w:pPr>
        <w:tabs>
          <w:tab w:val="num" w:pos="1800"/>
        </w:tabs>
        <w:ind w:left="1800" w:hanging="360"/>
      </w:pPr>
      <w:rPr>
        <w:rFonts w:ascii="Arial" w:hAnsi="Arial" w:hint="default"/>
      </w:rPr>
    </w:lvl>
    <w:lvl w:ilvl="3" w:tplc="07884FE6" w:tentative="1">
      <w:start w:val="1"/>
      <w:numFmt w:val="bullet"/>
      <w:lvlText w:val="•"/>
      <w:lvlJc w:val="left"/>
      <w:pPr>
        <w:tabs>
          <w:tab w:val="num" w:pos="2520"/>
        </w:tabs>
        <w:ind w:left="2520" w:hanging="360"/>
      </w:pPr>
      <w:rPr>
        <w:rFonts w:ascii="Arial" w:hAnsi="Arial" w:hint="default"/>
      </w:rPr>
    </w:lvl>
    <w:lvl w:ilvl="4" w:tplc="9822C648" w:tentative="1">
      <w:start w:val="1"/>
      <w:numFmt w:val="bullet"/>
      <w:lvlText w:val="•"/>
      <w:lvlJc w:val="left"/>
      <w:pPr>
        <w:tabs>
          <w:tab w:val="num" w:pos="3240"/>
        </w:tabs>
        <w:ind w:left="3240" w:hanging="360"/>
      </w:pPr>
      <w:rPr>
        <w:rFonts w:ascii="Arial" w:hAnsi="Arial" w:hint="default"/>
      </w:rPr>
    </w:lvl>
    <w:lvl w:ilvl="5" w:tplc="3BAEF108" w:tentative="1">
      <w:start w:val="1"/>
      <w:numFmt w:val="bullet"/>
      <w:lvlText w:val="•"/>
      <w:lvlJc w:val="left"/>
      <w:pPr>
        <w:tabs>
          <w:tab w:val="num" w:pos="3960"/>
        </w:tabs>
        <w:ind w:left="3960" w:hanging="360"/>
      </w:pPr>
      <w:rPr>
        <w:rFonts w:ascii="Arial" w:hAnsi="Arial" w:hint="default"/>
      </w:rPr>
    </w:lvl>
    <w:lvl w:ilvl="6" w:tplc="709EEA14" w:tentative="1">
      <w:start w:val="1"/>
      <w:numFmt w:val="bullet"/>
      <w:lvlText w:val="•"/>
      <w:lvlJc w:val="left"/>
      <w:pPr>
        <w:tabs>
          <w:tab w:val="num" w:pos="4680"/>
        </w:tabs>
        <w:ind w:left="4680" w:hanging="360"/>
      </w:pPr>
      <w:rPr>
        <w:rFonts w:ascii="Arial" w:hAnsi="Arial" w:hint="default"/>
      </w:rPr>
    </w:lvl>
    <w:lvl w:ilvl="7" w:tplc="ABF2F9B0" w:tentative="1">
      <w:start w:val="1"/>
      <w:numFmt w:val="bullet"/>
      <w:lvlText w:val="•"/>
      <w:lvlJc w:val="left"/>
      <w:pPr>
        <w:tabs>
          <w:tab w:val="num" w:pos="5400"/>
        </w:tabs>
        <w:ind w:left="5400" w:hanging="360"/>
      </w:pPr>
      <w:rPr>
        <w:rFonts w:ascii="Arial" w:hAnsi="Arial" w:hint="default"/>
      </w:rPr>
    </w:lvl>
    <w:lvl w:ilvl="8" w:tplc="7EF4DC7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69175C76"/>
    <w:multiLevelType w:val="hybridMultilevel"/>
    <w:tmpl w:val="C3AAD9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1976EA6"/>
    <w:multiLevelType w:val="hybridMultilevel"/>
    <w:tmpl w:val="27400BE2"/>
    <w:lvl w:ilvl="0" w:tplc="240A000F">
      <w:start w:val="1"/>
      <w:numFmt w:val="decimal"/>
      <w:lvlText w:val="%1."/>
      <w:lvlJc w:val="left"/>
      <w:pPr>
        <w:ind w:left="880" w:hanging="360"/>
      </w:pPr>
    </w:lvl>
    <w:lvl w:ilvl="1" w:tplc="240A0019">
      <w:start w:val="1"/>
      <w:numFmt w:val="lowerLetter"/>
      <w:lvlText w:val="%2."/>
      <w:lvlJc w:val="left"/>
      <w:pPr>
        <w:ind w:left="1600" w:hanging="360"/>
      </w:pPr>
    </w:lvl>
    <w:lvl w:ilvl="2" w:tplc="240A001B" w:tentative="1">
      <w:start w:val="1"/>
      <w:numFmt w:val="lowerRoman"/>
      <w:lvlText w:val="%3."/>
      <w:lvlJc w:val="right"/>
      <w:pPr>
        <w:ind w:left="2320" w:hanging="180"/>
      </w:pPr>
    </w:lvl>
    <w:lvl w:ilvl="3" w:tplc="240A000F" w:tentative="1">
      <w:start w:val="1"/>
      <w:numFmt w:val="decimal"/>
      <w:lvlText w:val="%4."/>
      <w:lvlJc w:val="left"/>
      <w:pPr>
        <w:ind w:left="3040" w:hanging="360"/>
      </w:pPr>
    </w:lvl>
    <w:lvl w:ilvl="4" w:tplc="240A0019" w:tentative="1">
      <w:start w:val="1"/>
      <w:numFmt w:val="lowerLetter"/>
      <w:lvlText w:val="%5."/>
      <w:lvlJc w:val="left"/>
      <w:pPr>
        <w:ind w:left="3760" w:hanging="360"/>
      </w:pPr>
    </w:lvl>
    <w:lvl w:ilvl="5" w:tplc="240A001B" w:tentative="1">
      <w:start w:val="1"/>
      <w:numFmt w:val="lowerRoman"/>
      <w:lvlText w:val="%6."/>
      <w:lvlJc w:val="right"/>
      <w:pPr>
        <w:ind w:left="4480" w:hanging="180"/>
      </w:pPr>
    </w:lvl>
    <w:lvl w:ilvl="6" w:tplc="240A000F" w:tentative="1">
      <w:start w:val="1"/>
      <w:numFmt w:val="decimal"/>
      <w:lvlText w:val="%7."/>
      <w:lvlJc w:val="left"/>
      <w:pPr>
        <w:ind w:left="5200" w:hanging="360"/>
      </w:pPr>
    </w:lvl>
    <w:lvl w:ilvl="7" w:tplc="240A0019" w:tentative="1">
      <w:start w:val="1"/>
      <w:numFmt w:val="lowerLetter"/>
      <w:lvlText w:val="%8."/>
      <w:lvlJc w:val="left"/>
      <w:pPr>
        <w:ind w:left="5920" w:hanging="360"/>
      </w:pPr>
    </w:lvl>
    <w:lvl w:ilvl="8" w:tplc="240A001B" w:tentative="1">
      <w:start w:val="1"/>
      <w:numFmt w:val="lowerRoman"/>
      <w:lvlText w:val="%9."/>
      <w:lvlJc w:val="right"/>
      <w:pPr>
        <w:ind w:left="6640" w:hanging="180"/>
      </w:pPr>
    </w:lvl>
  </w:abstractNum>
  <w:abstractNum w:abstractNumId="32" w15:restartNumberingAfterBreak="0">
    <w:nsid w:val="72AC0373"/>
    <w:multiLevelType w:val="hybridMultilevel"/>
    <w:tmpl w:val="D488DED2"/>
    <w:lvl w:ilvl="0" w:tplc="8D1C057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3606792"/>
    <w:multiLevelType w:val="hybridMultilevel"/>
    <w:tmpl w:val="1AEAEBAC"/>
    <w:lvl w:ilvl="0" w:tplc="CE9AA6F8">
      <w:start w:val="1"/>
      <w:numFmt w:val="bullet"/>
      <w:lvlText w:val="•"/>
      <w:lvlJc w:val="left"/>
      <w:pPr>
        <w:tabs>
          <w:tab w:val="num" w:pos="720"/>
        </w:tabs>
        <w:ind w:left="720" w:hanging="360"/>
      </w:pPr>
      <w:rPr>
        <w:rFonts w:ascii="Arial" w:hAnsi="Arial" w:hint="default"/>
      </w:rPr>
    </w:lvl>
    <w:lvl w:ilvl="1" w:tplc="F8FC5DB2" w:tentative="1">
      <w:start w:val="1"/>
      <w:numFmt w:val="bullet"/>
      <w:lvlText w:val="•"/>
      <w:lvlJc w:val="left"/>
      <w:pPr>
        <w:tabs>
          <w:tab w:val="num" w:pos="1440"/>
        </w:tabs>
        <w:ind w:left="1440" w:hanging="360"/>
      </w:pPr>
      <w:rPr>
        <w:rFonts w:ascii="Arial" w:hAnsi="Arial" w:hint="default"/>
      </w:rPr>
    </w:lvl>
    <w:lvl w:ilvl="2" w:tplc="D7CA0C32" w:tentative="1">
      <w:start w:val="1"/>
      <w:numFmt w:val="bullet"/>
      <w:lvlText w:val="•"/>
      <w:lvlJc w:val="left"/>
      <w:pPr>
        <w:tabs>
          <w:tab w:val="num" w:pos="2160"/>
        </w:tabs>
        <w:ind w:left="2160" w:hanging="360"/>
      </w:pPr>
      <w:rPr>
        <w:rFonts w:ascii="Arial" w:hAnsi="Arial" w:hint="default"/>
      </w:rPr>
    </w:lvl>
    <w:lvl w:ilvl="3" w:tplc="22020482" w:tentative="1">
      <w:start w:val="1"/>
      <w:numFmt w:val="bullet"/>
      <w:lvlText w:val="•"/>
      <w:lvlJc w:val="left"/>
      <w:pPr>
        <w:tabs>
          <w:tab w:val="num" w:pos="2880"/>
        </w:tabs>
        <w:ind w:left="2880" w:hanging="360"/>
      </w:pPr>
      <w:rPr>
        <w:rFonts w:ascii="Arial" w:hAnsi="Arial" w:hint="default"/>
      </w:rPr>
    </w:lvl>
    <w:lvl w:ilvl="4" w:tplc="70E0D428" w:tentative="1">
      <w:start w:val="1"/>
      <w:numFmt w:val="bullet"/>
      <w:lvlText w:val="•"/>
      <w:lvlJc w:val="left"/>
      <w:pPr>
        <w:tabs>
          <w:tab w:val="num" w:pos="3600"/>
        </w:tabs>
        <w:ind w:left="3600" w:hanging="360"/>
      </w:pPr>
      <w:rPr>
        <w:rFonts w:ascii="Arial" w:hAnsi="Arial" w:hint="default"/>
      </w:rPr>
    </w:lvl>
    <w:lvl w:ilvl="5" w:tplc="7DEC4C5A" w:tentative="1">
      <w:start w:val="1"/>
      <w:numFmt w:val="bullet"/>
      <w:lvlText w:val="•"/>
      <w:lvlJc w:val="left"/>
      <w:pPr>
        <w:tabs>
          <w:tab w:val="num" w:pos="4320"/>
        </w:tabs>
        <w:ind w:left="4320" w:hanging="360"/>
      </w:pPr>
      <w:rPr>
        <w:rFonts w:ascii="Arial" w:hAnsi="Arial" w:hint="default"/>
      </w:rPr>
    </w:lvl>
    <w:lvl w:ilvl="6" w:tplc="A2ECAA70" w:tentative="1">
      <w:start w:val="1"/>
      <w:numFmt w:val="bullet"/>
      <w:lvlText w:val="•"/>
      <w:lvlJc w:val="left"/>
      <w:pPr>
        <w:tabs>
          <w:tab w:val="num" w:pos="5040"/>
        </w:tabs>
        <w:ind w:left="5040" w:hanging="360"/>
      </w:pPr>
      <w:rPr>
        <w:rFonts w:ascii="Arial" w:hAnsi="Arial" w:hint="default"/>
      </w:rPr>
    </w:lvl>
    <w:lvl w:ilvl="7" w:tplc="3C12CB2E" w:tentative="1">
      <w:start w:val="1"/>
      <w:numFmt w:val="bullet"/>
      <w:lvlText w:val="•"/>
      <w:lvlJc w:val="left"/>
      <w:pPr>
        <w:tabs>
          <w:tab w:val="num" w:pos="5760"/>
        </w:tabs>
        <w:ind w:left="5760" w:hanging="360"/>
      </w:pPr>
      <w:rPr>
        <w:rFonts w:ascii="Arial" w:hAnsi="Arial" w:hint="default"/>
      </w:rPr>
    </w:lvl>
    <w:lvl w:ilvl="8" w:tplc="4EC696C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C62F2D"/>
    <w:multiLevelType w:val="hybridMultilevel"/>
    <w:tmpl w:val="B3BE2B80"/>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5" w15:restartNumberingAfterBreak="0">
    <w:nsid w:val="754C290B"/>
    <w:multiLevelType w:val="hybridMultilevel"/>
    <w:tmpl w:val="ABFE9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7" w15:restartNumberingAfterBreak="0">
    <w:nsid w:val="78385503"/>
    <w:multiLevelType w:val="hybridMultilevel"/>
    <w:tmpl w:val="434E763C"/>
    <w:lvl w:ilvl="0" w:tplc="71008544">
      <w:start w:val="1"/>
      <w:numFmt w:val="bullet"/>
      <w:lvlText w:val="•"/>
      <w:lvlJc w:val="left"/>
      <w:pPr>
        <w:tabs>
          <w:tab w:val="num" w:pos="720"/>
        </w:tabs>
        <w:ind w:left="720" w:hanging="360"/>
      </w:pPr>
      <w:rPr>
        <w:rFonts w:ascii="Arial" w:hAnsi="Arial" w:hint="default"/>
      </w:rPr>
    </w:lvl>
    <w:lvl w:ilvl="1" w:tplc="0AEC5592" w:tentative="1">
      <w:start w:val="1"/>
      <w:numFmt w:val="bullet"/>
      <w:lvlText w:val="•"/>
      <w:lvlJc w:val="left"/>
      <w:pPr>
        <w:tabs>
          <w:tab w:val="num" w:pos="1440"/>
        </w:tabs>
        <w:ind w:left="1440" w:hanging="360"/>
      </w:pPr>
      <w:rPr>
        <w:rFonts w:ascii="Arial" w:hAnsi="Arial" w:hint="default"/>
      </w:rPr>
    </w:lvl>
    <w:lvl w:ilvl="2" w:tplc="5AB2F6CA" w:tentative="1">
      <w:start w:val="1"/>
      <w:numFmt w:val="bullet"/>
      <w:lvlText w:val="•"/>
      <w:lvlJc w:val="left"/>
      <w:pPr>
        <w:tabs>
          <w:tab w:val="num" w:pos="2160"/>
        </w:tabs>
        <w:ind w:left="2160" w:hanging="360"/>
      </w:pPr>
      <w:rPr>
        <w:rFonts w:ascii="Arial" w:hAnsi="Arial" w:hint="default"/>
      </w:rPr>
    </w:lvl>
    <w:lvl w:ilvl="3" w:tplc="246C9ED6" w:tentative="1">
      <w:start w:val="1"/>
      <w:numFmt w:val="bullet"/>
      <w:lvlText w:val="•"/>
      <w:lvlJc w:val="left"/>
      <w:pPr>
        <w:tabs>
          <w:tab w:val="num" w:pos="2880"/>
        </w:tabs>
        <w:ind w:left="2880" w:hanging="360"/>
      </w:pPr>
      <w:rPr>
        <w:rFonts w:ascii="Arial" w:hAnsi="Arial" w:hint="default"/>
      </w:rPr>
    </w:lvl>
    <w:lvl w:ilvl="4" w:tplc="E918FA40" w:tentative="1">
      <w:start w:val="1"/>
      <w:numFmt w:val="bullet"/>
      <w:lvlText w:val="•"/>
      <w:lvlJc w:val="left"/>
      <w:pPr>
        <w:tabs>
          <w:tab w:val="num" w:pos="3600"/>
        </w:tabs>
        <w:ind w:left="3600" w:hanging="360"/>
      </w:pPr>
      <w:rPr>
        <w:rFonts w:ascii="Arial" w:hAnsi="Arial" w:hint="default"/>
      </w:rPr>
    </w:lvl>
    <w:lvl w:ilvl="5" w:tplc="13982172" w:tentative="1">
      <w:start w:val="1"/>
      <w:numFmt w:val="bullet"/>
      <w:lvlText w:val="•"/>
      <w:lvlJc w:val="left"/>
      <w:pPr>
        <w:tabs>
          <w:tab w:val="num" w:pos="4320"/>
        </w:tabs>
        <w:ind w:left="4320" w:hanging="360"/>
      </w:pPr>
      <w:rPr>
        <w:rFonts w:ascii="Arial" w:hAnsi="Arial" w:hint="default"/>
      </w:rPr>
    </w:lvl>
    <w:lvl w:ilvl="6" w:tplc="7AAA6562" w:tentative="1">
      <w:start w:val="1"/>
      <w:numFmt w:val="bullet"/>
      <w:lvlText w:val="•"/>
      <w:lvlJc w:val="left"/>
      <w:pPr>
        <w:tabs>
          <w:tab w:val="num" w:pos="5040"/>
        </w:tabs>
        <w:ind w:left="5040" w:hanging="360"/>
      </w:pPr>
      <w:rPr>
        <w:rFonts w:ascii="Arial" w:hAnsi="Arial" w:hint="default"/>
      </w:rPr>
    </w:lvl>
    <w:lvl w:ilvl="7" w:tplc="D6C27728" w:tentative="1">
      <w:start w:val="1"/>
      <w:numFmt w:val="bullet"/>
      <w:lvlText w:val="•"/>
      <w:lvlJc w:val="left"/>
      <w:pPr>
        <w:tabs>
          <w:tab w:val="num" w:pos="5760"/>
        </w:tabs>
        <w:ind w:left="5760" w:hanging="360"/>
      </w:pPr>
      <w:rPr>
        <w:rFonts w:ascii="Arial" w:hAnsi="Arial" w:hint="default"/>
      </w:rPr>
    </w:lvl>
    <w:lvl w:ilvl="8" w:tplc="BDDC1164"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18"/>
  </w:num>
  <w:num w:numId="3">
    <w:abstractNumId w:val="0"/>
  </w:num>
  <w:num w:numId="4">
    <w:abstractNumId w:val="30"/>
  </w:num>
  <w:num w:numId="5">
    <w:abstractNumId w:val="23"/>
  </w:num>
  <w:num w:numId="6">
    <w:abstractNumId w:val="3"/>
  </w:num>
  <w:num w:numId="7">
    <w:abstractNumId w:val="9"/>
  </w:num>
  <w:num w:numId="8">
    <w:abstractNumId w:val="11"/>
  </w:num>
  <w:num w:numId="9">
    <w:abstractNumId w:val="24"/>
  </w:num>
  <w:num w:numId="10">
    <w:abstractNumId w:val="20"/>
  </w:num>
  <w:num w:numId="11">
    <w:abstractNumId w:val="1"/>
  </w:num>
  <w:num w:numId="12">
    <w:abstractNumId w:val="4"/>
  </w:num>
  <w:num w:numId="13">
    <w:abstractNumId w:val="17"/>
  </w:num>
  <w:num w:numId="14">
    <w:abstractNumId w:val="7"/>
  </w:num>
  <w:num w:numId="15">
    <w:abstractNumId w:val="28"/>
  </w:num>
  <w:num w:numId="16">
    <w:abstractNumId w:val="16"/>
  </w:num>
  <w:num w:numId="17">
    <w:abstractNumId w:val="14"/>
  </w:num>
  <w:num w:numId="18">
    <w:abstractNumId w:val="6"/>
  </w:num>
  <w:num w:numId="19">
    <w:abstractNumId w:val="12"/>
  </w:num>
  <w:num w:numId="20">
    <w:abstractNumId w:val="31"/>
  </w:num>
  <w:num w:numId="21">
    <w:abstractNumId w:val="26"/>
  </w:num>
  <w:num w:numId="22">
    <w:abstractNumId w:val="5"/>
  </w:num>
  <w:num w:numId="23">
    <w:abstractNumId w:val="2"/>
  </w:num>
  <w:num w:numId="24">
    <w:abstractNumId w:val="35"/>
  </w:num>
  <w:num w:numId="25">
    <w:abstractNumId w:val="21"/>
  </w:num>
  <w:num w:numId="26">
    <w:abstractNumId w:val="13"/>
  </w:num>
  <w:num w:numId="27">
    <w:abstractNumId w:val="37"/>
  </w:num>
  <w:num w:numId="28">
    <w:abstractNumId w:val="33"/>
  </w:num>
  <w:num w:numId="29">
    <w:abstractNumId w:val="34"/>
  </w:num>
  <w:num w:numId="30">
    <w:abstractNumId w:val="32"/>
  </w:num>
  <w:num w:numId="31">
    <w:abstractNumId w:val="8"/>
  </w:num>
  <w:num w:numId="32">
    <w:abstractNumId w:val="19"/>
  </w:num>
  <w:num w:numId="33">
    <w:abstractNumId w:val="29"/>
  </w:num>
  <w:num w:numId="34">
    <w:abstractNumId w:val="25"/>
  </w:num>
  <w:num w:numId="35">
    <w:abstractNumId w:val="10"/>
  </w:num>
  <w:num w:numId="36">
    <w:abstractNumId w:val="36"/>
  </w:num>
  <w:num w:numId="37">
    <w:abstractNumId w:val="1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E4"/>
    <w:rsid w:val="00001D32"/>
    <w:rsid w:val="00002CF5"/>
    <w:rsid w:val="00007F99"/>
    <w:rsid w:val="000143D0"/>
    <w:rsid w:val="0002147E"/>
    <w:rsid w:val="00023D34"/>
    <w:rsid w:val="00024660"/>
    <w:rsid w:val="00030239"/>
    <w:rsid w:val="0004447E"/>
    <w:rsid w:val="00044730"/>
    <w:rsid w:val="0004498C"/>
    <w:rsid w:val="00046948"/>
    <w:rsid w:val="000524F0"/>
    <w:rsid w:val="00052EBB"/>
    <w:rsid w:val="00053AD8"/>
    <w:rsid w:val="0005644A"/>
    <w:rsid w:val="00057344"/>
    <w:rsid w:val="00063A84"/>
    <w:rsid w:val="000708A9"/>
    <w:rsid w:val="000721B2"/>
    <w:rsid w:val="000772B2"/>
    <w:rsid w:val="00080391"/>
    <w:rsid w:val="00082367"/>
    <w:rsid w:val="00083DBA"/>
    <w:rsid w:val="00086B63"/>
    <w:rsid w:val="000901F8"/>
    <w:rsid w:val="000912E2"/>
    <w:rsid w:val="00091364"/>
    <w:rsid w:val="00091606"/>
    <w:rsid w:val="00094914"/>
    <w:rsid w:val="000965B3"/>
    <w:rsid w:val="00097940"/>
    <w:rsid w:val="000A65BB"/>
    <w:rsid w:val="000B6718"/>
    <w:rsid w:val="000C0532"/>
    <w:rsid w:val="000C0680"/>
    <w:rsid w:val="000C0E5B"/>
    <w:rsid w:val="000C0F28"/>
    <w:rsid w:val="000C1B80"/>
    <w:rsid w:val="000C1F9F"/>
    <w:rsid w:val="000C2745"/>
    <w:rsid w:val="000C5CD2"/>
    <w:rsid w:val="000C6241"/>
    <w:rsid w:val="000C72D0"/>
    <w:rsid w:val="000D0990"/>
    <w:rsid w:val="000D6D0B"/>
    <w:rsid w:val="000E399E"/>
    <w:rsid w:val="000E4151"/>
    <w:rsid w:val="000E63CF"/>
    <w:rsid w:val="000F11F6"/>
    <w:rsid w:val="000F1C07"/>
    <w:rsid w:val="000F35DE"/>
    <w:rsid w:val="000F4D10"/>
    <w:rsid w:val="000F6B09"/>
    <w:rsid w:val="00106D9E"/>
    <w:rsid w:val="00112D03"/>
    <w:rsid w:val="001259BB"/>
    <w:rsid w:val="0012600A"/>
    <w:rsid w:val="0013015B"/>
    <w:rsid w:val="00131768"/>
    <w:rsid w:val="00135B26"/>
    <w:rsid w:val="00144A0B"/>
    <w:rsid w:val="00151326"/>
    <w:rsid w:val="00152DA9"/>
    <w:rsid w:val="00153164"/>
    <w:rsid w:val="00154780"/>
    <w:rsid w:val="001638D4"/>
    <w:rsid w:val="001652CA"/>
    <w:rsid w:val="001657D8"/>
    <w:rsid w:val="001675D5"/>
    <w:rsid w:val="00170AEF"/>
    <w:rsid w:val="001712A8"/>
    <w:rsid w:val="00174098"/>
    <w:rsid w:val="0018195B"/>
    <w:rsid w:val="00181CF1"/>
    <w:rsid w:val="00186309"/>
    <w:rsid w:val="0018632B"/>
    <w:rsid w:val="001A2650"/>
    <w:rsid w:val="001A31D7"/>
    <w:rsid w:val="001A4169"/>
    <w:rsid w:val="001B0CA6"/>
    <w:rsid w:val="001C0E3F"/>
    <w:rsid w:val="001C70C0"/>
    <w:rsid w:val="001D095A"/>
    <w:rsid w:val="001D09B2"/>
    <w:rsid w:val="001D0A8D"/>
    <w:rsid w:val="001E0AED"/>
    <w:rsid w:val="001E4E88"/>
    <w:rsid w:val="001F214C"/>
    <w:rsid w:val="001F6496"/>
    <w:rsid w:val="001F70D1"/>
    <w:rsid w:val="00200E89"/>
    <w:rsid w:val="00201D26"/>
    <w:rsid w:val="00203939"/>
    <w:rsid w:val="002054F9"/>
    <w:rsid w:val="00206361"/>
    <w:rsid w:val="00211295"/>
    <w:rsid w:val="00215BE2"/>
    <w:rsid w:val="0021666A"/>
    <w:rsid w:val="002214DD"/>
    <w:rsid w:val="002218E0"/>
    <w:rsid w:val="002227DB"/>
    <w:rsid w:val="00225772"/>
    <w:rsid w:val="00227BE9"/>
    <w:rsid w:val="00231E02"/>
    <w:rsid w:val="00231E2C"/>
    <w:rsid w:val="00235C0A"/>
    <w:rsid w:val="002379D4"/>
    <w:rsid w:val="00240EAE"/>
    <w:rsid w:val="00243E6E"/>
    <w:rsid w:val="00244712"/>
    <w:rsid w:val="002450F5"/>
    <w:rsid w:val="002469C9"/>
    <w:rsid w:val="00251A4B"/>
    <w:rsid w:val="00256959"/>
    <w:rsid w:val="00265A1A"/>
    <w:rsid w:val="0026726A"/>
    <w:rsid w:val="0027138B"/>
    <w:rsid w:val="00273B8B"/>
    <w:rsid w:val="00274535"/>
    <w:rsid w:val="002754A8"/>
    <w:rsid w:val="00275D48"/>
    <w:rsid w:val="00277D86"/>
    <w:rsid w:val="00281FAC"/>
    <w:rsid w:val="00286F7F"/>
    <w:rsid w:val="00287972"/>
    <w:rsid w:val="002916A7"/>
    <w:rsid w:val="002A0AF4"/>
    <w:rsid w:val="002B476C"/>
    <w:rsid w:val="002B4F4A"/>
    <w:rsid w:val="002B7E39"/>
    <w:rsid w:val="002C0C5E"/>
    <w:rsid w:val="002C5005"/>
    <w:rsid w:val="002D0340"/>
    <w:rsid w:val="002D7B74"/>
    <w:rsid w:val="002E686E"/>
    <w:rsid w:val="002E6F95"/>
    <w:rsid w:val="002F0D0B"/>
    <w:rsid w:val="002F360A"/>
    <w:rsid w:val="002F3D99"/>
    <w:rsid w:val="002F44BA"/>
    <w:rsid w:val="00303B61"/>
    <w:rsid w:val="00312F21"/>
    <w:rsid w:val="0031515C"/>
    <w:rsid w:val="003162F1"/>
    <w:rsid w:val="003177A8"/>
    <w:rsid w:val="003178D8"/>
    <w:rsid w:val="00320A89"/>
    <w:rsid w:val="003232DC"/>
    <w:rsid w:val="00325A1A"/>
    <w:rsid w:val="003377E9"/>
    <w:rsid w:val="00343658"/>
    <w:rsid w:val="00343E0F"/>
    <w:rsid w:val="00344B69"/>
    <w:rsid w:val="00346573"/>
    <w:rsid w:val="003528D5"/>
    <w:rsid w:val="00352E72"/>
    <w:rsid w:val="00354212"/>
    <w:rsid w:val="0035661E"/>
    <w:rsid w:val="00372345"/>
    <w:rsid w:val="00373488"/>
    <w:rsid w:val="003745DD"/>
    <w:rsid w:val="0037654F"/>
    <w:rsid w:val="00376B89"/>
    <w:rsid w:val="0037765C"/>
    <w:rsid w:val="003806BC"/>
    <w:rsid w:val="003833C0"/>
    <w:rsid w:val="00383D00"/>
    <w:rsid w:val="00387B33"/>
    <w:rsid w:val="0039162B"/>
    <w:rsid w:val="00392685"/>
    <w:rsid w:val="00393242"/>
    <w:rsid w:val="003A0F20"/>
    <w:rsid w:val="003A2C62"/>
    <w:rsid w:val="003A6CB3"/>
    <w:rsid w:val="003B0037"/>
    <w:rsid w:val="003B552C"/>
    <w:rsid w:val="003B6A1F"/>
    <w:rsid w:val="003B6B00"/>
    <w:rsid w:val="003C1064"/>
    <w:rsid w:val="003C1E00"/>
    <w:rsid w:val="003D3D9F"/>
    <w:rsid w:val="003D4153"/>
    <w:rsid w:val="003D6C65"/>
    <w:rsid w:val="003E118E"/>
    <w:rsid w:val="003E2C14"/>
    <w:rsid w:val="003E695A"/>
    <w:rsid w:val="003F2C5A"/>
    <w:rsid w:val="003F33B2"/>
    <w:rsid w:val="003F3E79"/>
    <w:rsid w:val="003F4DB1"/>
    <w:rsid w:val="003F5E7D"/>
    <w:rsid w:val="00403D40"/>
    <w:rsid w:val="0040606B"/>
    <w:rsid w:val="004100A9"/>
    <w:rsid w:val="00411939"/>
    <w:rsid w:val="00413CAF"/>
    <w:rsid w:val="00417EE2"/>
    <w:rsid w:val="004256C9"/>
    <w:rsid w:val="00426FE8"/>
    <w:rsid w:val="00431CAE"/>
    <w:rsid w:val="0044792C"/>
    <w:rsid w:val="004502B5"/>
    <w:rsid w:val="00453906"/>
    <w:rsid w:val="004569E1"/>
    <w:rsid w:val="00457025"/>
    <w:rsid w:val="0046052E"/>
    <w:rsid w:val="00460876"/>
    <w:rsid w:val="00461F55"/>
    <w:rsid w:val="004625EE"/>
    <w:rsid w:val="00463598"/>
    <w:rsid w:val="00466D46"/>
    <w:rsid w:val="00467FEB"/>
    <w:rsid w:val="0047086E"/>
    <w:rsid w:val="00474D24"/>
    <w:rsid w:val="004758CD"/>
    <w:rsid w:val="004765F0"/>
    <w:rsid w:val="00477095"/>
    <w:rsid w:val="00480D73"/>
    <w:rsid w:val="004855F9"/>
    <w:rsid w:val="00486183"/>
    <w:rsid w:val="00492227"/>
    <w:rsid w:val="00495B40"/>
    <w:rsid w:val="00495CB6"/>
    <w:rsid w:val="004A1922"/>
    <w:rsid w:val="004A37BD"/>
    <w:rsid w:val="004A3B46"/>
    <w:rsid w:val="004A4CB2"/>
    <w:rsid w:val="004B65ED"/>
    <w:rsid w:val="004C78DC"/>
    <w:rsid w:val="004D4619"/>
    <w:rsid w:val="004D4626"/>
    <w:rsid w:val="004D4656"/>
    <w:rsid w:val="004D64B0"/>
    <w:rsid w:val="004D6A6A"/>
    <w:rsid w:val="004E040C"/>
    <w:rsid w:val="004E14B3"/>
    <w:rsid w:val="004E1B6E"/>
    <w:rsid w:val="004E2B3A"/>
    <w:rsid w:val="004F20B6"/>
    <w:rsid w:val="004F3DA5"/>
    <w:rsid w:val="004F490B"/>
    <w:rsid w:val="00503645"/>
    <w:rsid w:val="005037B7"/>
    <w:rsid w:val="005041E6"/>
    <w:rsid w:val="00507BD2"/>
    <w:rsid w:val="0051069C"/>
    <w:rsid w:val="005107F4"/>
    <w:rsid w:val="00516080"/>
    <w:rsid w:val="00516D27"/>
    <w:rsid w:val="005204C9"/>
    <w:rsid w:val="0052545B"/>
    <w:rsid w:val="00526F73"/>
    <w:rsid w:val="00530BC2"/>
    <w:rsid w:val="00535EB7"/>
    <w:rsid w:val="005365F7"/>
    <w:rsid w:val="00543D22"/>
    <w:rsid w:val="00555112"/>
    <w:rsid w:val="00556286"/>
    <w:rsid w:val="00557383"/>
    <w:rsid w:val="00557D64"/>
    <w:rsid w:val="00561983"/>
    <w:rsid w:val="00561D17"/>
    <w:rsid w:val="00561E47"/>
    <w:rsid w:val="00564905"/>
    <w:rsid w:val="00565E95"/>
    <w:rsid w:val="00571085"/>
    <w:rsid w:val="00577136"/>
    <w:rsid w:val="00583297"/>
    <w:rsid w:val="005839AF"/>
    <w:rsid w:val="00585736"/>
    <w:rsid w:val="00586C62"/>
    <w:rsid w:val="0058734F"/>
    <w:rsid w:val="00587A77"/>
    <w:rsid w:val="00590B1B"/>
    <w:rsid w:val="00594015"/>
    <w:rsid w:val="00596F6E"/>
    <w:rsid w:val="005A0894"/>
    <w:rsid w:val="005A0C3F"/>
    <w:rsid w:val="005A12D3"/>
    <w:rsid w:val="005B1774"/>
    <w:rsid w:val="005B4A5E"/>
    <w:rsid w:val="005C19FC"/>
    <w:rsid w:val="005C2311"/>
    <w:rsid w:val="005C5D40"/>
    <w:rsid w:val="005C783C"/>
    <w:rsid w:val="005D1B24"/>
    <w:rsid w:val="005D25C6"/>
    <w:rsid w:val="005D3213"/>
    <w:rsid w:val="005D562B"/>
    <w:rsid w:val="005E174C"/>
    <w:rsid w:val="005E2C31"/>
    <w:rsid w:val="005E3A52"/>
    <w:rsid w:val="005F1B83"/>
    <w:rsid w:val="005F2510"/>
    <w:rsid w:val="00605C1E"/>
    <w:rsid w:val="00605E06"/>
    <w:rsid w:val="00611603"/>
    <w:rsid w:val="00611DEA"/>
    <w:rsid w:val="00613150"/>
    <w:rsid w:val="006142D5"/>
    <w:rsid w:val="00621134"/>
    <w:rsid w:val="006238D1"/>
    <w:rsid w:val="00624378"/>
    <w:rsid w:val="0062599D"/>
    <w:rsid w:val="00630F6A"/>
    <w:rsid w:val="006316E0"/>
    <w:rsid w:val="00640F9F"/>
    <w:rsid w:val="00652B16"/>
    <w:rsid w:val="00653ECB"/>
    <w:rsid w:val="00655128"/>
    <w:rsid w:val="00655DCF"/>
    <w:rsid w:val="00655DD9"/>
    <w:rsid w:val="00655F25"/>
    <w:rsid w:val="00656F5F"/>
    <w:rsid w:val="00672221"/>
    <w:rsid w:val="006733E1"/>
    <w:rsid w:val="006743B8"/>
    <w:rsid w:val="00674B03"/>
    <w:rsid w:val="00677840"/>
    <w:rsid w:val="00680892"/>
    <w:rsid w:val="006816CE"/>
    <w:rsid w:val="00683FD7"/>
    <w:rsid w:val="00687BEC"/>
    <w:rsid w:val="00687F46"/>
    <w:rsid w:val="00693E48"/>
    <w:rsid w:val="00693F3B"/>
    <w:rsid w:val="00694EF8"/>
    <w:rsid w:val="0069674A"/>
    <w:rsid w:val="006A1747"/>
    <w:rsid w:val="006A5465"/>
    <w:rsid w:val="006B31EE"/>
    <w:rsid w:val="006C39C5"/>
    <w:rsid w:val="006C71BD"/>
    <w:rsid w:val="006C7C1D"/>
    <w:rsid w:val="006D2AC5"/>
    <w:rsid w:val="006D7F85"/>
    <w:rsid w:val="006E156D"/>
    <w:rsid w:val="006E28EC"/>
    <w:rsid w:val="006E4A63"/>
    <w:rsid w:val="006E510E"/>
    <w:rsid w:val="006F06AC"/>
    <w:rsid w:val="006F0735"/>
    <w:rsid w:val="006F0842"/>
    <w:rsid w:val="006F16A8"/>
    <w:rsid w:val="006F1B80"/>
    <w:rsid w:val="006F23E5"/>
    <w:rsid w:val="006F30D1"/>
    <w:rsid w:val="007002E6"/>
    <w:rsid w:val="0070149A"/>
    <w:rsid w:val="00705F49"/>
    <w:rsid w:val="00707395"/>
    <w:rsid w:val="0071042F"/>
    <w:rsid w:val="00715957"/>
    <w:rsid w:val="00715E02"/>
    <w:rsid w:val="007173A2"/>
    <w:rsid w:val="007206DF"/>
    <w:rsid w:val="0072560F"/>
    <w:rsid w:val="007258D6"/>
    <w:rsid w:val="00732DE3"/>
    <w:rsid w:val="00733071"/>
    <w:rsid w:val="00733584"/>
    <w:rsid w:val="00740991"/>
    <w:rsid w:val="00747331"/>
    <w:rsid w:val="00756C99"/>
    <w:rsid w:val="0076073B"/>
    <w:rsid w:val="00760793"/>
    <w:rsid w:val="00763F1C"/>
    <w:rsid w:val="00764D7E"/>
    <w:rsid w:val="00767C5A"/>
    <w:rsid w:val="007864FF"/>
    <w:rsid w:val="00786770"/>
    <w:rsid w:val="00791702"/>
    <w:rsid w:val="00795403"/>
    <w:rsid w:val="0079749A"/>
    <w:rsid w:val="007A5D90"/>
    <w:rsid w:val="007B0CEE"/>
    <w:rsid w:val="007B3D35"/>
    <w:rsid w:val="007B5D68"/>
    <w:rsid w:val="007B6176"/>
    <w:rsid w:val="007C10B7"/>
    <w:rsid w:val="007C1127"/>
    <w:rsid w:val="007C2A35"/>
    <w:rsid w:val="007C4F34"/>
    <w:rsid w:val="007C5BA8"/>
    <w:rsid w:val="007D1F6D"/>
    <w:rsid w:val="007D5AC8"/>
    <w:rsid w:val="007E1EF4"/>
    <w:rsid w:val="007E3C6D"/>
    <w:rsid w:val="007E703C"/>
    <w:rsid w:val="007F4230"/>
    <w:rsid w:val="00805118"/>
    <w:rsid w:val="00807C7D"/>
    <w:rsid w:val="0081001C"/>
    <w:rsid w:val="0081178E"/>
    <w:rsid w:val="00812771"/>
    <w:rsid w:val="0082395F"/>
    <w:rsid w:val="00827A8A"/>
    <w:rsid w:val="00834E76"/>
    <w:rsid w:val="00835D0E"/>
    <w:rsid w:val="00845057"/>
    <w:rsid w:val="0084688F"/>
    <w:rsid w:val="00850CE4"/>
    <w:rsid w:val="008515A3"/>
    <w:rsid w:val="00855988"/>
    <w:rsid w:val="0085611B"/>
    <w:rsid w:val="00856716"/>
    <w:rsid w:val="00856FB7"/>
    <w:rsid w:val="00862E63"/>
    <w:rsid w:val="0086495E"/>
    <w:rsid w:val="00864C06"/>
    <w:rsid w:val="00867179"/>
    <w:rsid w:val="00870C59"/>
    <w:rsid w:val="00876529"/>
    <w:rsid w:val="0087734C"/>
    <w:rsid w:val="00877EC1"/>
    <w:rsid w:val="00883F0B"/>
    <w:rsid w:val="00884CEF"/>
    <w:rsid w:val="00886A9E"/>
    <w:rsid w:val="0089280D"/>
    <w:rsid w:val="00896004"/>
    <w:rsid w:val="008A0475"/>
    <w:rsid w:val="008A5F19"/>
    <w:rsid w:val="008B2F97"/>
    <w:rsid w:val="008B42F2"/>
    <w:rsid w:val="008B51C7"/>
    <w:rsid w:val="008B683F"/>
    <w:rsid w:val="008C0072"/>
    <w:rsid w:val="008C1D4D"/>
    <w:rsid w:val="008C359A"/>
    <w:rsid w:val="008C3F04"/>
    <w:rsid w:val="008C425A"/>
    <w:rsid w:val="008D2627"/>
    <w:rsid w:val="008D7084"/>
    <w:rsid w:val="008D7688"/>
    <w:rsid w:val="008E4320"/>
    <w:rsid w:val="008F261C"/>
    <w:rsid w:val="008F3FA2"/>
    <w:rsid w:val="008F7E7C"/>
    <w:rsid w:val="009013E7"/>
    <w:rsid w:val="00901512"/>
    <w:rsid w:val="00903B2D"/>
    <w:rsid w:val="00903D3E"/>
    <w:rsid w:val="00905D58"/>
    <w:rsid w:val="0091169B"/>
    <w:rsid w:val="009163C6"/>
    <w:rsid w:val="00922F0A"/>
    <w:rsid w:val="00924C65"/>
    <w:rsid w:val="00925C14"/>
    <w:rsid w:val="009308F3"/>
    <w:rsid w:val="00931787"/>
    <w:rsid w:val="0093698D"/>
    <w:rsid w:val="00941899"/>
    <w:rsid w:val="00943DE2"/>
    <w:rsid w:val="00944006"/>
    <w:rsid w:val="009440A7"/>
    <w:rsid w:val="0094521A"/>
    <w:rsid w:val="009452E9"/>
    <w:rsid w:val="00956591"/>
    <w:rsid w:val="00962115"/>
    <w:rsid w:val="009622B7"/>
    <w:rsid w:val="009646ED"/>
    <w:rsid w:val="00972135"/>
    <w:rsid w:val="00972FC9"/>
    <w:rsid w:val="009766C5"/>
    <w:rsid w:val="009770A7"/>
    <w:rsid w:val="009824B1"/>
    <w:rsid w:val="00990315"/>
    <w:rsid w:val="00991833"/>
    <w:rsid w:val="009958D4"/>
    <w:rsid w:val="00995D58"/>
    <w:rsid w:val="009A1EFC"/>
    <w:rsid w:val="009B46B8"/>
    <w:rsid w:val="009C25AB"/>
    <w:rsid w:val="009C4198"/>
    <w:rsid w:val="009C593E"/>
    <w:rsid w:val="009D464B"/>
    <w:rsid w:val="009D4D2F"/>
    <w:rsid w:val="009E5AA1"/>
    <w:rsid w:val="009E716A"/>
    <w:rsid w:val="009F1EFC"/>
    <w:rsid w:val="009F2007"/>
    <w:rsid w:val="009F21A8"/>
    <w:rsid w:val="009F7211"/>
    <w:rsid w:val="00A01525"/>
    <w:rsid w:val="00A01867"/>
    <w:rsid w:val="00A01D29"/>
    <w:rsid w:val="00A03E5E"/>
    <w:rsid w:val="00A10D7A"/>
    <w:rsid w:val="00A11892"/>
    <w:rsid w:val="00A142B0"/>
    <w:rsid w:val="00A145B9"/>
    <w:rsid w:val="00A14DB1"/>
    <w:rsid w:val="00A17B3E"/>
    <w:rsid w:val="00A227DF"/>
    <w:rsid w:val="00A25C54"/>
    <w:rsid w:val="00A26647"/>
    <w:rsid w:val="00A3117A"/>
    <w:rsid w:val="00A31B3F"/>
    <w:rsid w:val="00A32E90"/>
    <w:rsid w:val="00A42BD2"/>
    <w:rsid w:val="00A52D7F"/>
    <w:rsid w:val="00A611D0"/>
    <w:rsid w:val="00A75303"/>
    <w:rsid w:val="00A77AF5"/>
    <w:rsid w:val="00A8038F"/>
    <w:rsid w:val="00A827EE"/>
    <w:rsid w:val="00A933B0"/>
    <w:rsid w:val="00A971A7"/>
    <w:rsid w:val="00AB018D"/>
    <w:rsid w:val="00AB2813"/>
    <w:rsid w:val="00AC02B1"/>
    <w:rsid w:val="00AC2609"/>
    <w:rsid w:val="00AC3BED"/>
    <w:rsid w:val="00AC73D8"/>
    <w:rsid w:val="00AC7963"/>
    <w:rsid w:val="00AC7E09"/>
    <w:rsid w:val="00AD3228"/>
    <w:rsid w:val="00AD38F7"/>
    <w:rsid w:val="00AD59E4"/>
    <w:rsid w:val="00AD6605"/>
    <w:rsid w:val="00AE0BA1"/>
    <w:rsid w:val="00AE1E77"/>
    <w:rsid w:val="00AE6419"/>
    <w:rsid w:val="00AF0D8E"/>
    <w:rsid w:val="00AF4644"/>
    <w:rsid w:val="00AF7EF1"/>
    <w:rsid w:val="00B007BA"/>
    <w:rsid w:val="00B013F2"/>
    <w:rsid w:val="00B01663"/>
    <w:rsid w:val="00B02C0D"/>
    <w:rsid w:val="00B040ED"/>
    <w:rsid w:val="00B05336"/>
    <w:rsid w:val="00B107D4"/>
    <w:rsid w:val="00B1128B"/>
    <w:rsid w:val="00B12156"/>
    <w:rsid w:val="00B20EC3"/>
    <w:rsid w:val="00B24C88"/>
    <w:rsid w:val="00B25CC5"/>
    <w:rsid w:val="00B301D1"/>
    <w:rsid w:val="00B308AF"/>
    <w:rsid w:val="00B325DE"/>
    <w:rsid w:val="00B33173"/>
    <w:rsid w:val="00B4175A"/>
    <w:rsid w:val="00B420F6"/>
    <w:rsid w:val="00B457CB"/>
    <w:rsid w:val="00B47A75"/>
    <w:rsid w:val="00B512C4"/>
    <w:rsid w:val="00B54AC6"/>
    <w:rsid w:val="00B55700"/>
    <w:rsid w:val="00B64106"/>
    <w:rsid w:val="00B70BF6"/>
    <w:rsid w:val="00B763E6"/>
    <w:rsid w:val="00B90DCD"/>
    <w:rsid w:val="00B910AC"/>
    <w:rsid w:val="00B9393E"/>
    <w:rsid w:val="00B95879"/>
    <w:rsid w:val="00BA0AE4"/>
    <w:rsid w:val="00BA4C4F"/>
    <w:rsid w:val="00BA5D5B"/>
    <w:rsid w:val="00BB63BE"/>
    <w:rsid w:val="00BB71B0"/>
    <w:rsid w:val="00BB766D"/>
    <w:rsid w:val="00BC074C"/>
    <w:rsid w:val="00BC1B8A"/>
    <w:rsid w:val="00BC23A8"/>
    <w:rsid w:val="00BD2342"/>
    <w:rsid w:val="00BD3AC3"/>
    <w:rsid w:val="00BD3C50"/>
    <w:rsid w:val="00BD5E27"/>
    <w:rsid w:val="00BE30F0"/>
    <w:rsid w:val="00BE56BA"/>
    <w:rsid w:val="00BE6698"/>
    <w:rsid w:val="00BF1909"/>
    <w:rsid w:val="00BF61D4"/>
    <w:rsid w:val="00C0032A"/>
    <w:rsid w:val="00C02CC7"/>
    <w:rsid w:val="00C052AD"/>
    <w:rsid w:val="00C11222"/>
    <w:rsid w:val="00C13F2B"/>
    <w:rsid w:val="00C1618C"/>
    <w:rsid w:val="00C21279"/>
    <w:rsid w:val="00C2438F"/>
    <w:rsid w:val="00C24E3F"/>
    <w:rsid w:val="00C26883"/>
    <w:rsid w:val="00C3317F"/>
    <w:rsid w:val="00C3405A"/>
    <w:rsid w:val="00C36657"/>
    <w:rsid w:val="00C41570"/>
    <w:rsid w:val="00C43279"/>
    <w:rsid w:val="00C45765"/>
    <w:rsid w:val="00C46927"/>
    <w:rsid w:val="00C51479"/>
    <w:rsid w:val="00C533C2"/>
    <w:rsid w:val="00C539C8"/>
    <w:rsid w:val="00C554DC"/>
    <w:rsid w:val="00C643AB"/>
    <w:rsid w:val="00C662BE"/>
    <w:rsid w:val="00C67A74"/>
    <w:rsid w:val="00C700FB"/>
    <w:rsid w:val="00C7063C"/>
    <w:rsid w:val="00C70B61"/>
    <w:rsid w:val="00C7160A"/>
    <w:rsid w:val="00C81409"/>
    <w:rsid w:val="00C82E79"/>
    <w:rsid w:val="00C833C8"/>
    <w:rsid w:val="00C873B0"/>
    <w:rsid w:val="00C94BE4"/>
    <w:rsid w:val="00C95E04"/>
    <w:rsid w:val="00C96980"/>
    <w:rsid w:val="00CA06FE"/>
    <w:rsid w:val="00CA197E"/>
    <w:rsid w:val="00CA7333"/>
    <w:rsid w:val="00CB119A"/>
    <w:rsid w:val="00CB311F"/>
    <w:rsid w:val="00CB373C"/>
    <w:rsid w:val="00CB4BC2"/>
    <w:rsid w:val="00CB7FE9"/>
    <w:rsid w:val="00CC4847"/>
    <w:rsid w:val="00CC73E0"/>
    <w:rsid w:val="00CE3BD2"/>
    <w:rsid w:val="00CE5A24"/>
    <w:rsid w:val="00CE601B"/>
    <w:rsid w:val="00CE7BD6"/>
    <w:rsid w:val="00CF26EF"/>
    <w:rsid w:val="00CF5D24"/>
    <w:rsid w:val="00CF799F"/>
    <w:rsid w:val="00D0236A"/>
    <w:rsid w:val="00D02892"/>
    <w:rsid w:val="00D06A55"/>
    <w:rsid w:val="00D10FDB"/>
    <w:rsid w:val="00D16475"/>
    <w:rsid w:val="00D17ADC"/>
    <w:rsid w:val="00D25D46"/>
    <w:rsid w:val="00D26577"/>
    <w:rsid w:val="00D2718A"/>
    <w:rsid w:val="00D31AA7"/>
    <w:rsid w:val="00D33945"/>
    <w:rsid w:val="00D3542C"/>
    <w:rsid w:val="00D356F0"/>
    <w:rsid w:val="00D36E60"/>
    <w:rsid w:val="00D4095B"/>
    <w:rsid w:val="00D421CE"/>
    <w:rsid w:val="00D4392A"/>
    <w:rsid w:val="00D45DC3"/>
    <w:rsid w:val="00D55AE7"/>
    <w:rsid w:val="00D57374"/>
    <w:rsid w:val="00D623A1"/>
    <w:rsid w:val="00D63A17"/>
    <w:rsid w:val="00D64F36"/>
    <w:rsid w:val="00D74B12"/>
    <w:rsid w:val="00D83AF9"/>
    <w:rsid w:val="00D86A14"/>
    <w:rsid w:val="00D91D51"/>
    <w:rsid w:val="00D92078"/>
    <w:rsid w:val="00D92EC8"/>
    <w:rsid w:val="00DA1374"/>
    <w:rsid w:val="00DA4FCB"/>
    <w:rsid w:val="00DA5D57"/>
    <w:rsid w:val="00DB1F4A"/>
    <w:rsid w:val="00DB26AF"/>
    <w:rsid w:val="00DB2B45"/>
    <w:rsid w:val="00DC00EB"/>
    <w:rsid w:val="00DC042F"/>
    <w:rsid w:val="00DC4D48"/>
    <w:rsid w:val="00DC5F47"/>
    <w:rsid w:val="00DC7213"/>
    <w:rsid w:val="00DC78AD"/>
    <w:rsid w:val="00DD3E53"/>
    <w:rsid w:val="00DD4DD8"/>
    <w:rsid w:val="00DD5C21"/>
    <w:rsid w:val="00DD62BF"/>
    <w:rsid w:val="00DE0371"/>
    <w:rsid w:val="00DE576E"/>
    <w:rsid w:val="00DE6199"/>
    <w:rsid w:val="00DF0CD9"/>
    <w:rsid w:val="00DF249F"/>
    <w:rsid w:val="00E00E6F"/>
    <w:rsid w:val="00E02978"/>
    <w:rsid w:val="00E06203"/>
    <w:rsid w:val="00E12D9E"/>
    <w:rsid w:val="00E14C17"/>
    <w:rsid w:val="00E15D11"/>
    <w:rsid w:val="00E1661B"/>
    <w:rsid w:val="00E32522"/>
    <w:rsid w:val="00E36DB3"/>
    <w:rsid w:val="00E43CE6"/>
    <w:rsid w:val="00E57E65"/>
    <w:rsid w:val="00E61B2C"/>
    <w:rsid w:val="00E63684"/>
    <w:rsid w:val="00E63E50"/>
    <w:rsid w:val="00E717D2"/>
    <w:rsid w:val="00E73539"/>
    <w:rsid w:val="00E737B9"/>
    <w:rsid w:val="00E820F8"/>
    <w:rsid w:val="00E8406B"/>
    <w:rsid w:val="00E8511A"/>
    <w:rsid w:val="00E851E7"/>
    <w:rsid w:val="00E91DD3"/>
    <w:rsid w:val="00E92174"/>
    <w:rsid w:val="00E9297F"/>
    <w:rsid w:val="00E9315D"/>
    <w:rsid w:val="00E93D01"/>
    <w:rsid w:val="00EA0825"/>
    <w:rsid w:val="00EA1A8D"/>
    <w:rsid w:val="00EA378F"/>
    <w:rsid w:val="00EA608C"/>
    <w:rsid w:val="00EA6B07"/>
    <w:rsid w:val="00EB49BC"/>
    <w:rsid w:val="00EB52E3"/>
    <w:rsid w:val="00EC007B"/>
    <w:rsid w:val="00EC0AEB"/>
    <w:rsid w:val="00EC0E14"/>
    <w:rsid w:val="00EC43E1"/>
    <w:rsid w:val="00EC5667"/>
    <w:rsid w:val="00EC5683"/>
    <w:rsid w:val="00ED4F4E"/>
    <w:rsid w:val="00EE0F3C"/>
    <w:rsid w:val="00EF368F"/>
    <w:rsid w:val="00EF4534"/>
    <w:rsid w:val="00EF4592"/>
    <w:rsid w:val="00EF76C1"/>
    <w:rsid w:val="00F02531"/>
    <w:rsid w:val="00F037B0"/>
    <w:rsid w:val="00F06604"/>
    <w:rsid w:val="00F11946"/>
    <w:rsid w:val="00F12517"/>
    <w:rsid w:val="00F14A90"/>
    <w:rsid w:val="00F14E76"/>
    <w:rsid w:val="00F21989"/>
    <w:rsid w:val="00F22632"/>
    <w:rsid w:val="00F22668"/>
    <w:rsid w:val="00F260D0"/>
    <w:rsid w:val="00F3493B"/>
    <w:rsid w:val="00F36A83"/>
    <w:rsid w:val="00F4309D"/>
    <w:rsid w:val="00F44120"/>
    <w:rsid w:val="00F44647"/>
    <w:rsid w:val="00F44C7F"/>
    <w:rsid w:val="00F45F95"/>
    <w:rsid w:val="00F5517B"/>
    <w:rsid w:val="00F57D04"/>
    <w:rsid w:val="00F63167"/>
    <w:rsid w:val="00F63A27"/>
    <w:rsid w:val="00F72DA9"/>
    <w:rsid w:val="00F74A7A"/>
    <w:rsid w:val="00F75A73"/>
    <w:rsid w:val="00F82FB6"/>
    <w:rsid w:val="00F84C9C"/>
    <w:rsid w:val="00F92FDB"/>
    <w:rsid w:val="00F9432A"/>
    <w:rsid w:val="00F947F9"/>
    <w:rsid w:val="00F96078"/>
    <w:rsid w:val="00FA08FB"/>
    <w:rsid w:val="00FA21A0"/>
    <w:rsid w:val="00FA4907"/>
    <w:rsid w:val="00FA58B5"/>
    <w:rsid w:val="00FA6346"/>
    <w:rsid w:val="00FA7F32"/>
    <w:rsid w:val="00FB0F60"/>
    <w:rsid w:val="00FB195C"/>
    <w:rsid w:val="00FB1B1C"/>
    <w:rsid w:val="00FB328C"/>
    <w:rsid w:val="00FB3B1A"/>
    <w:rsid w:val="00FB6E56"/>
    <w:rsid w:val="00FC346F"/>
    <w:rsid w:val="00FC595B"/>
    <w:rsid w:val="00FC6454"/>
    <w:rsid w:val="00FC656A"/>
    <w:rsid w:val="00FD46FF"/>
    <w:rsid w:val="00FE4295"/>
    <w:rsid w:val="00FE5B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D1D27"/>
  <w15:docId w15:val="{81CB2B96-63B5-4C55-ACF8-8129F8A9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150"/>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561D1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rsid w:val="00C4327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C4327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link w:val="Ttulo4Car"/>
    <w:uiPriority w:val="9"/>
    <w:qFormat/>
    <w:rsid w:val="00561D17"/>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D1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4327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4327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561D17"/>
    <w:rPr>
      <w:rFonts w:ascii="Times New Roman" w:eastAsia="Times New Roman" w:hAnsi="Times New Roman" w:cs="Times New Roman"/>
      <w:b/>
      <w:bCs/>
      <w:sz w:val="24"/>
      <w:szCs w:val="24"/>
      <w:lang w:eastAsia="es-CO"/>
    </w:rPr>
  </w:style>
  <w:style w:type="character" w:customStyle="1" w:styleId="apple-converted-space">
    <w:name w:val="apple-converted-space"/>
    <w:basedOn w:val="Fuentedeprrafopredeter"/>
    <w:rsid w:val="006E28EC"/>
  </w:style>
  <w:style w:type="paragraph" w:styleId="Textodeglobo">
    <w:name w:val="Balloon Text"/>
    <w:basedOn w:val="Normal"/>
    <w:link w:val="TextodegloboCar"/>
    <w:uiPriority w:val="99"/>
    <w:semiHidden/>
    <w:unhideWhenUsed/>
    <w:rsid w:val="00235C0A"/>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235C0A"/>
    <w:rPr>
      <w:rFonts w:ascii="Segoe UI" w:hAnsi="Segoe UI" w:cs="Segoe UI"/>
      <w:sz w:val="18"/>
      <w:szCs w:val="18"/>
    </w:rPr>
  </w:style>
  <w:style w:type="table" w:styleId="Tablaconcuadrcula">
    <w:name w:val="Table Grid"/>
    <w:basedOn w:val="Tablanormal"/>
    <w:uiPriority w:val="39"/>
    <w:rsid w:val="001D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5765"/>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6816CE"/>
    <w:rPr>
      <w:color w:val="0000FF"/>
      <w:u w:val="single"/>
    </w:rPr>
  </w:style>
  <w:style w:type="character" w:styleId="Textoennegrita">
    <w:name w:val="Strong"/>
    <w:basedOn w:val="Fuentedeprrafopredeter"/>
    <w:uiPriority w:val="22"/>
    <w:qFormat/>
    <w:rsid w:val="001A31D7"/>
    <w:rPr>
      <w:b/>
      <w:bCs/>
    </w:rPr>
  </w:style>
  <w:style w:type="character" w:styleId="nfasis">
    <w:name w:val="Emphasis"/>
    <w:basedOn w:val="Fuentedeprrafopredeter"/>
    <w:uiPriority w:val="20"/>
    <w:qFormat/>
    <w:rsid w:val="000B6718"/>
    <w:rPr>
      <w:i/>
      <w:iCs/>
    </w:rPr>
  </w:style>
  <w:style w:type="paragraph" w:styleId="Sinespaciado">
    <w:name w:val="No Spacing"/>
    <w:uiPriority w:val="1"/>
    <w:qFormat/>
    <w:rsid w:val="005D25C6"/>
    <w:pPr>
      <w:spacing w:after="0" w:line="240" w:lineRule="auto"/>
    </w:pPr>
  </w:style>
  <w:style w:type="paragraph" w:styleId="Lista">
    <w:name w:val="List"/>
    <w:basedOn w:val="Normal"/>
    <w:uiPriority w:val="99"/>
    <w:unhideWhenUsed/>
    <w:rsid w:val="00C43279"/>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Encabezadodemensaje">
    <w:name w:val="Message Header"/>
    <w:basedOn w:val="Normal"/>
    <w:link w:val="EncabezadodemensajeCar"/>
    <w:uiPriority w:val="99"/>
    <w:unhideWhenUsed/>
    <w:rsid w:val="00C4327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n-US"/>
    </w:rPr>
  </w:style>
  <w:style w:type="character" w:customStyle="1" w:styleId="EncabezadodemensajeCar">
    <w:name w:val="Encabezado de mensaje Car"/>
    <w:basedOn w:val="Fuentedeprrafopredeter"/>
    <w:link w:val="Encabezadodemensaje"/>
    <w:uiPriority w:val="99"/>
    <w:rsid w:val="00C43279"/>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C43279"/>
    <w:pPr>
      <w:ind w:left="4252"/>
    </w:pPr>
    <w:rPr>
      <w:rFonts w:asciiTheme="minorHAnsi" w:eastAsiaTheme="minorHAnsi" w:hAnsiTheme="minorHAnsi" w:cstheme="minorBidi"/>
      <w:sz w:val="22"/>
      <w:szCs w:val="22"/>
      <w:lang w:eastAsia="en-US"/>
    </w:rPr>
  </w:style>
  <w:style w:type="character" w:customStyle="1" w:styleId="CierreCar">
    <w:name w:val="Cierre Car"/>
    <w:basedOn w:val="Fuentedeprrafopredeter"/>
    <w:link w:val="Cierre"/>
    <w:uiPriority w:val="99"/>
    <w:rsid w:val="00C43279"/>
  </w:style>
  <w:style w:type="paragraph" w:styleId="Firma">
    <w:name w:val="Signature"/>
    <w:basedOn w:val="Normal"/>
    <w:link w:val="FirmaCar"/>
    <w:uiPriority w:val="99"/>
    <w:unhideWhenUsed/>
    <w:rsid w:val="00C43279"/>
    <w:pPr>
      <w:ind w:left="4252"/>
    </w:pPr>
    <w:rPr>
      <w:rFonts w:asciiTheme="minorHAnsi" w:eastAsiaTheme="minorHAnsi" w:hAnsiTheme="minorHAnsi" w:cstheme="minorBidi"/>
      <w:sz w:val="22"/>
      <w:szCs w:val="22"/>
      <w:lang w:eastAsia="en-US"/>
    </w:rPr>
  </w:style>
  <w:style w:type="character" w:customStyle="1" w:styleId="FirmaCar">
    <w:name w:val="Firma Car"/>
    <w:basedOn w:val="Fuentedeprrafopredeter"/>
    <w:link w:val="Firma"/>
    <w:uiPriority w:val="99"/>
    <w:rsid w:val="00C43279"/>
  </w:style>
  <w:style w:type="paragraph" w:styleId="Textoindependiente">
    <w:name w:val="Body Text"/>
    <w:basedOn w:val="Normal"/>
    <w:link w:val="TextoindependienteCar"/>
    <w:uiPriority w:val="99"/>
    <w:unhideWhenUsed/>
    <w:rsid w:val="00C43279"/>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C43279"/>
  </w:style>
  <w:style w:type="paragraph" w:customStyle="1" w:styleId="Firmapuesto">
    <w:name w:val="Firma puesto"/>
    <w:basedOn w:val="Firma"/>
    <w:rsid w:val="00C43279"/>
  </w:style>
  <w:style w:type="paragraph" w:customStyle="1" w:styleId="Firmaorganizacin">
    <w:name w:val="Firma organización"/>
    <w:basedOn w:val="Firma"/>
    <w:rsid w:val="00C43279"/>
  </w:style>
  <w:style w:type="paragraph" w:styleId="Encabezado">
    <w:name w:val="header"/>
    <w:basedOn w:val="Normal"/>
    <w:link w:val="EncabezadoCar"/>
    <w:uiPriority w:val="99"/>
    <w:unhideWhenUsed/>
    <w:rsid w:val="00DC5F4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DC5F47"/>
  </w:style>
  <w:style w:type="paragraph" w:styleId="Piedepgina">
    <w:name w:val="footer"/>
    <w:basedOn w:val="Normal"/>
    <w:link w:val="PiedepginaCar"/>
    <w:uiPriority w:val="99"/>
    <w:unhideWhenUsed/>
    <w:rsid w:val="00DC5F4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DC5F47"/>
  </w:style>
  <w:style w:type="paragraph" w:customStyle="1" w:styleId="Default">
    <w:name w:val="Default"/>
    <w:rsid w:val="009013E7"/>
    <w:pPr>
      <w:autoSpaceDE w:val="0"/>
      <w:autoSpaceDN w:val="0"/>
      <w:adjustRightInd w:val="0"/>
      <w:spacing w:after="0" w:line="240" w:lineRule="auto"/>
    </w:pPr>
    <w:rPr>
      <w:rFonts w:ascii="Arial" w:hAnsi="Arial" w:cs="Arial"/>
      <w:color w:val="000000"/>
      <w:sz w:val="24"/>
      <w:szCs w:val="24"/>
    </w:rPr>
  </w:style>
  <w:style w:type="paragraph" w:customStyle="1" w:styleId="textopie">
    <w:name w:val="texto_pie"/>
    <w:basedOn w:val="Normal"/>
    <w:rsid w:val="00733071"/>
    <w:pPr>
      <w:spacing w:before="100" w:beforeAutospacing="1" w:after="100" w:afterAutospacing="1"/>
    </w:pPr>
  </w:style>
  <w:style w:type="paragraph" w:styleId="NormalWeb">
    <w:name w:val="Normal (Web)"/>
    <w:basedOn w:val="Normal"/>
    <w:uiPriority w:val="99"/>
    <w:unhideWhenUsed/>
    <w:rsid w:val="00733071"/>
    <w:pPr>
      <w:spacing w:before="100" w:beforeAutospacing="1" w:after="100" w:afterAutospacing="1"/>
    </w:pPr>
  </w:style>
  <w:style w:type="paragraph" w:customStyle="1" w:styleId="CM9">
    <w:name w:val="CM9"/>
    <w:basedOn w:val="Default"/>
    <w:next w:val="Default"/>
    <w:uiPriority w:val="99"/>
    <w:rsid w:val="00F947F9"/>
    <w:rPr>
      <w:color w:val="auto"/>
    </w:rPr>
  </w:style>
  <w:style w:type="paragraph" w:customStyle="1" w:styleId="CM105">
    <w:name w:val="CM105"/>
    <w:basedOn w:val="Default"/>
    <w:next w:val="Default"/>
    <w:uiPriority w:val="99"/>
    <w:rsid w:val="00F947F9"/>
    <w:rPr>
      <w:color w:val="auto"/>
    </w:rPr>
  </w:style>
  <w:style w:type="character" w:customStyle="1" w:styleId="skypepnhtextspan">
    <w:name w:val="skype_pnh_text_span"/>
    <w:basedOn w:val="Fuentedeprrafopredeter"/>
    <w:rsid w:val="0069674A"/>
  </w:style>
  <w:style w:type="character" w:customStyle="1" w:styleId="grame">
    <w:name w:val="grame"/>
    <w:basedOn w:val="Fuentedeprrafopredeter"/>
    <w:rsid w:val="00373488"/>
  </w:style>
  <w:style w:type="character" w:customStyle="1" w:styleId="spelle">
    <w:name w:val="spelle"/>
    <w:basedOn w:val="Fuentedeprrafopredeter"/>
    <w:rsid w:val="00373488"/>
  </w:style>
  <w:style w:type="paragraph" w:styleId="Textosinformato">
    <w:name w:val="Plain Text"/>
    <w:basedOn w:val="Normal"/>
    <w:link w:val="TextosinformatoCar"/>
    <w:uiPriority w:val="99"/>
    <w:semiHidden/>
    <w:unhideWhenUsed/>
    <w:rsid w:val="00373488"/>
    <w:pPr>
      <w:spacing w:before="100" w:beforeAutospacing="1" w:after="100" w:afterAutospacing="1"/>
    </w:pPr>
  </w:style>
  <w:style w:type="character" w:customStyle="1" w:styleId="TextosinformatoCar">
    <w:name w:val="Texto sin formato Car"/>
    <w:basedOn w:val="Fuentedeprrafopredeter"/>
    <w:link w:val="Textosinformato"/>
    <w:uiPriority w:val="99"/>
    <w:semiHidden/>
    <w:rsid w:val="00373488"/>
    <w:rPr>
      <w:rFonts w:ascii="Times New Roman" w:eastAsia="Times New Roman" w:hAnsi="Times New Roman" w:cs="Times New Roman"/>
      <w:sz w:val="24"/>
      <w:szCs w:val="24"/>
      <w:lang w:eastAsia="es-CO"/>
    </w:rPr>
  </w:style>
  <w:style w:type="paragraph" w:customStyle="1" w:styleId="tag-publicidad">
    <w:name w:val="tag-publicidad"/>
    <w:basedOn w:val="Normal"/>
    <w:rsid w:val="00D4095B"/>
    <w:pPr>
      <w:spacing w:before="100" w:beforeAutospacing="1" w:after="100" w:afterAutospacing="1"/>
    </w:pPr>
  </w:style>
  <w:style w:type="paragraph" w:customStyle="1" w:styleId="intertitulo">
    <w:name w:val="intertitulo"/>
    <w:basedOn w:val="Normal"/>
    <w:rsid w:val="00D4095B"/>
    <w:pPr>
      <w:spacing w:before="100" w:beforeAutospacing="1" w:after="100" w:afterAutospacing="1"/>
    </w:pPr>
  </w:style>
  <w:style w:type="paragraph" w:styleId="Textonotaalfinal">
    <w:name w:val="endnote text"/>
    <w:basedOn w:val="Normal"/>
    <w:link w:val="TextonotaalfinalCar"/>
    <w:uiPriority w:val="99"/>
    <w:semiHidden/>
    <w:unhideWhenUsed/>
    <w:rsid w:val="00B33173"/>
    <w:rPr>
      <w:sz w:val="20"/>
      <w:szCs w:val="20"/>
    </w:rPr>
  </w:style>
  <w:style w:type="character" w:customStyle="1" w:styleId="TextonotaalfinalCar">
    <w:name w:val="Texto nota al final Car"/>
    <w:basedOn w:val="Fuentedeprrafopredeter"/>
    <w:link w:val="Textonotaalfinal"/>
    <w:uiPriority w:val="99"/>
    <w:semiHidden/>
    <w:rsid w:val="00B33173"/>
    <w:rPr>
      <w:sz w:val="20"/>
      <w:szCs w:val="20"/>
    </w:rPr>
  </w:style>
  <w:style w:type="character" w:styleId="Refdenotaalfinal">
    <w:name w:val="endnote reference"/>
    <w:basedOn w:val="Fuentedeprrafopredeter"/>
    <w:uiPriority w:val="99"/>
    <w:semiHidden/>
    <w:unhideWhenUsed/>
    <w:rsid w:val="00B33173"/>
    <w:rPr>
      <w:vertAlign w:val="superscript"/>
    </w:rPr>
  </w:style>
  <w:style w:type="paragraph" w:styleId="Textonotapie">
    <w:name w:val="footnote text"/>
    <w:basedOn w:val="Normal"/>
    <w:link w:val="TextonotapieCar"/>
    <w:uiPriority w:val="99"/>
    <w:semiHidden/>
    <w:unhideWhenUsed/>
    <w:rsid w:val="00B33173"/>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B33173"/>
    <w:rPr>
      <w:sz w:val="20"/>
      <w:szCs w:val="20"/>
    </w:rPr>
  </w:style>
  <w:style w:type="character" w:styleId="Refdenotaalpie">
    <w:name w:val="footnote reference"/>
    <w:basedOn w:val="Fuentedeprrafopredeter"/>
    <w:uiPriority w:val="99"/>
    <w:semiHidden/>
    <w:unhideWhenUsed/>
    <w:rsid w:val="00B33173"/>
    <w:rPr>
      <w:vertAlign w:val="superscript"/>
    </w:rPr>
  </w:style>
  <w:style w:type="paragraph" w:customStyle="1" w:styleId="CM6">
    <w:name w:val="CM6"/>
    <w:basedOn w:val="Normal"/>
    <w:next w:val="Normal"/>
    <w:uiPriority w:val="99"/>
    <w:rsid w:val="00C052AD"/>
    <w:pPr>
      <w:autoSpaceDE w:val="0"/>
      <w:autoSpaceDN w:val="0"/>
      <w:adjustRightInd w:val="0"/>
    </w:pPr>
    <w:rPr>
      <w:rFonts w:ascii="Georgia" w:eastAsiaTheme="minorHAnsi" w:hAnsi="Georgia" w:cstheme="minorBidi"/>
      <w:lang w:eastAsia="en-US"/>
    </w:rPr>
  </w:style>
  <w:style w:type="paragraph" w:customStyle="1" w:styleId="TableText">
    <w:name w:val="Table Text"/>
    <w:basedOn w:val="Normal"/>
    <w:link w:val="TableTextChar"/>
    <w:uiPriority w:val="6"/>
    <w:qFormat/>
    <w:rsid w:val="003E118E"/>
    <w:pPr>
      <w:spacing w:before="80" w:after="120" w:line="240" w:lineRule="atLeast"/>
    </w:pPr>
    <w:rPr>
      <w:rFonts w:ascii="Arial" w:hAnsi="Arial"/>
      <w:sz w:val="17"/>
      <w:szCs w:val="16"/>
      <w:lang w:eastAsia="en-US"/>
    </w:rPr>
  </w:style>
  <w:style w:type="character" w:customStyle="1" w:styleId="TableTextChar">
    <w:name w:val="Table Text Char"/>
    <w:basedOn w:val="Fuentedeprrafopredeter"/>
    <w:link w:val="TableText"/>
    <w:uiPriority w:val="6"/>
    <w:rsid w:val="003E118E"/>
    <w:rPr>
      <w:rFonts w:ascii="Arial" w:eastAsia="Times New Roman" w:hAnsi="Arial" w:cs="Times New Roman"/>
      <w:sz w:val="17"/>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091">
      <w:bodyDiv w:val="1"/>
      <w:marLeft w:val="0"/>
      <w:marRight w:val="0"/>
      <w:marTop w:val="0"/>
      <w:marBottom w:val="0"/>
      <w:divBdr>
        <w:top w:val="none" w:sz="0" w:space="0" w:color="auto"/>
        <w:left w:val="none" w:sz="0" w:space="0" w:color="auto"/>
        <w:bottom w:val="none" w:sz="0" w:space="0" w:color="auto"/>
        <w:right w:val="none" w:sz="0" w:space="0" w:color="auto"/>
      </w:divBdr>
    </w:div>
    <w:div w:id="37094073">
      <w:bodyDiv w:val="1"/>
      <w:marLeft w:val="0"/>
      <w:marRight w:val="0"/>
      <w:marTop w:val="0"/>
      <w:marBottom w:val="0"/>
      <w:divBdr>
        <w:top w:val="none" w:sz="0" w:space="0" w:color="auto"/>
        <w:left w:val="none" w:sz="0" w:space="0" w:color="auto"/>
        <w:bottom w:val="none" w:sz="0" w:space="0" w:color="auto"/>
        <w:right w:val="none" w:sz="0" w:space="0" w:color="auto"/>
      </w:divBdr>
      <w:divsChild>
        <w:div w:id="104010636">
          <w:marLeft w:val="0"/>
          <w:marRight w:val="0"/>
          <w:marTop w:val="0"/>
          <w:marBottom w:val="0"/>
          <w:divBdr>
            <w:top w:val="none" w:sz="0" w:space="0" w:color="auto"/>
            <w:left w:val="none" w:sz="0" w:space="0" w:color="auto"/>
            <w:bottom w:val="none" w:sz="0" w:space="0" w:color="auto"/>
            <w:right w:val="none" w:sz="0" w:space="0" w:color="auto"/>
          </w:divBdr>
        </w:div>
      </w:divsChild>
    </w:div>
    <w:div w:id="57285221">
      <w:bodyDiv w:val="1"/>
      <w:marLeft w:val="0"/>
      <w:marRight w:val="0"/>
      <w:marTop w:val="0"/>
      <w:marBottom w:val="0"/>
      <w:divBdr>
        <w:top w:val="none" w:sz="0" w:space="0" w:color="auto"/>
        <w:left w:val="none" w:sz="0" w:space="0" w:color="auto"/>
        <w:bottom w:val="none" w:sz="0" w:space="0" w:color="auto"/>
        <w:right w:val="none" w:sz="0" w:space="0" w:color="auto"/>
      </w:divBdr>
    </w:div>
    <w:div w:id="85538351">
      <w:bodyDiv w:val="1"/>
      <w:marLeft w:val="0"/>
      <w:marRight w:val="0"/>
      <w:marTop w:val="0"/>
      <w:marBottom w:val="0"/>
      <w:divBdr>
        <w:top w:val="none" w:sz="0" w:space="0" w:color="auto"/>
        <w:left w:val="none" w:sz="0" w:space="0" w:color="auto"/>
        <w:bottom w:val="none" w:sz="0" w:space="0" w:color="auto"/>
        <w:right w:val="none" w:sz="0" w:space="0" w:color="auto"/>
      </w:divBdr>
    </w:div>
    <w:div w:id="88085460">
      <w:bodyDiv w:val="1"/>
      <w:marLeft w:val="0"/>
      <w:marRight w:val="0"/>
      <w:marTop w:val="0"/>
      <w:marBottom w:val="0"/>
      <w:divBdr>
        <w:top w:val="none" w:sz="0" w:space="0" w:color="auto"/>
        <w:left w:val="none" w:sz="0" w:space="0" w:color="auto"/>
        <w:bottom w:val="none" w:sz="0" w:space="0" w:color="auto"/>
        <w:right w:val="none" w:sz="0" w:space="0" w:color="auto"/>
      </w:divBdr>
    </w:div>
    <w:div w:id="122314670">
      <w:bodyDiv w:val="1"/>
      <w:marLeft w:val="0"/>
      <w:marRight w:val="0"/>
      <w:marTop w:val="0"/>
      <w:marBottom w:val="0"/>
      <w:divBdr>
        <w:top w:val="none" w:sz="0" w:space="0" w:color="auto"/>
        <w:left w:val="none" w:sz="0" w:space="0" w:color="auto"/>
        <w:bottom w:val="none" w:sz="0" w:space="0" w:color="auto"/>
        <w:right w:val="none" w:sz="0" w:space="0" w:color="auto"/>
      </w:divBdr>
    </w:div>
    <w:div w:id="134954357">
      <w:bodyDiv w:val="1"/>
      <w:marLeft w:val="0"/>
      <w:marRight w:val="0"/>
      <w:marTop w:val="0"/>
      <w:marBottom w:val="0"/>
      <w:divBdr>
        <w:top w:val="none" w:sz="0" w:space="0" w:color="auto"/>
        <w:left w:val="none" w:sz="0" w:space="0" w:color="auto"/>
        <w:bottom w:val="none" w:sz="0" w:space="0" w:color="auto"/>
        <w:right w:val="none" w:sz="0" w:space="0" w:color="auto"/>
      </w:divBdr>
    </w:div>
    <w:div w:id="235210432">
      <w:bodyDiv w:val="1"/>
      <w:marLeft w:val="0"/>
      <w:marRight w:val="0"/>
      <w:marTop w:val="0"/>
      <w:marBottom w:val="0"/>
      <w:divBdr>
        <w:top w:val="none" w:sz="0" w:space="0" w:color="auto"/>
        <w:left w:val="none" w:sz="0" w:space="0" w:color="auto"/>
        <w:bottom w:val="none" w:sz="0" w:space="0" w:color="auto"/>
        <w:right w:val="none" w:sz="0" w:space="0" w:color="auto"/>
      </w:divBdr>
    </w:div>
    <w:div w:id="299304345">
      <w:bodyDiv w:val="1"/>
      <w:marLeft w:val="0"/>
      <w:marRight w:val="0"/>
      <w:marTop w:val="0"/>
      <w:marBottom w:val="0"/>
      <w:divBdr>
        <w:top w:val="none" w:sz="0" w:space="0" w:color="auto"/>
        <w:left w:val="none" w:sz="0" w:space="0" w:color="auto"/>
        <w:bottom w:val="none" w:sz="0" w:space="0" w:color="auto"/>
        <w:right w:val="none" w:sz="0" w:space="0" w:color="auto"/>
      </w:divBdr>
      <w:divsChild>
        <w:div w:id="539635662">
          <w:marLeft w:val="0"/>
          <w:marRight w:val="0"/>
          <w:marTop w:val="0"/>
          <w:marBottom w:val="0"/>
          <w:divBdr>
            <w:top w:val="none" w:sz="0" w:space="0" w:color="auto"/>
            <w:left w:val="none" w:sz="0" w:space="0" w:color="auto"/>
            <w:bottom w:val="none" w:sz="0" w:space="0" w:color="auto"/>
            <w:right w:val="none" w:sz="0" w:space="0" w:color="auto"/>
          </w:divBdr>
          <w:divsChild>
            <w:div w:id="1007437399">
              <w:marLeft w:val="-150"/>
              <w:marRight w:val="-150"/>
              <w:marTop w:val="0"/>
              <w:marBottom w:val="0"/>
              <w:divBdr>
                <w:top w:val="none" w:sz="0" w:space="0" w:color="auto"/>
                <w:left w:val="none" w:sz="0" w:space="0" w:color="auto"/>
                <w:bottom w:val="none" w:sz="0" w:space="0" w:color="auto"/>
                <w:right w:val="none" w:sz="0" w:space="0" w:color="auto"/>
              </w:divBdr>
              <w:divsChild>
                <w:div w:id="1660452784">
                  <w:marLeft w:val="0"/>
                  <w:marRight w:val="0"/>
                  <w:marTop w:val="0"/>
                  <w:marBottom w:val="0"/>
                  <w:divBdr>
                    <w:top w:val="none" w:sz="0" w:space="0" w:color="auto"/>
                    <w:left w:val="none" w:sz="0" w:space="0" w:color="auto"/>
                    <w:bottom w:val="none" w:sz="0" w:space="0" w:color="auto"/>
                    <w:right w:val="none" w:sz="0" w:space="0" w:color="auto"/>
                  </w:divBdr>
                  <w:divsChild>
                    <w:div w:id="1174759834">
                      <w:marLeft w:val="0"/>
                      <w:marRight w:val="0"/>
                      <w:marTop w:val="0"/>
                      <w:marBottom w:val="0"/>
                      <w:divBdr>
                        <w:top w:val="none" w:sz="0" w:space="0" w:color="auto"/>
                        <w:left w:val="none" w:sz="0" w:space="0" w:color="auto"/>
                        <w:bottom w:val="none" w:sz="0" w:space="0" w:color="auto"/>
                        <w:right w:val="none" w:sz="0" w:space="0" w:color="auto"/>
                      </w:divBdr>
                      <w:divsChild>
                        <w:div w:id="1745033146">
                          <w:marLeft w:val="0"/>
                          <w:marRight w:val="0"/>
                          <w:marTop w:val="0"/>
                          <w:marBottom w:val="0"/>
                          <w:divBdr>
                            <w:top w:val="none" w:sz="0" w:space="0" w:color="auto"/>
                            <w:left w:val="none" w:sz="0" w:space="0" w:color="auto"/>
                            <w:bottom w:val="none" w:sz="0" w:space="0" w:color="auto"/>
                            <w:right w:val="none" w:sz="0" w:space="0" w:color="auto"/>
                          </w:divBdr>
                          <w:divsChild>
                            <w:div w:id="1712269227">
                              <w:marLeft w:val="0"/>
                              <w:marRight w:val="0"/>
                              <w:marTop w:val="0"/>
                              <w:marBottom w:val="0"/>
                              <w:divBdr>
                                <w:top w:val="none" w:sz="0" w:space="0" w:color="auto"/>
                                <w:left w:val="none" w:sz="0" w:space="0" w:color="auto"/>
                                <w:bottom w:val="none" w:sz="0" w:space="0" w:color="auto"/>
                                <w:right w:val="none" w:sz="0" w:space="0" w:color="auto"/>
                              </w:divBdr>
                              <w:divsChild>
                                <w:div w:id="15235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50">
      <w:bodyDiv w:val="1"/>
      <w:marLeft w:val="0"/>
      <w:marRight w:val="0"/>
      <w:marTop w:val="0"/>
      <w:marBottom w:val="0"/>
      <w:divBdr>
        <w:top w:val="none" w:sz="0" w:space="0" w:color="auto"/>
        <w:left w:val="none" w:sz="0" w:space="0" w:color="auto"/>
        <w:bottom w:val="none" w:sz="0" w:space="0" w:color="auto"/>
        <w:right w:val="none" w:sz="0" w:space="0" w:color="auto"/>
      </w:divBdr>
    </w:div>
    <w:div w:id="385762884">
      <w:bodyDiv w:val="1"/>
      <w:marLeft w:val="0"/>
      <w:marRight w:val="0"/>
      <w:marTop w:val="0"/>
      <w:marBottom w:val="0"/>
      <w:divBdr>
        <w:top w:val="none" w:sz="0" w:space="0" w:color="auto"/>
        <w:left w:val="none" w:sz="0" w:space="0" w:color="auto"/>
        <w:bottom w:val="none" w:sz="0" w:space="0" w:color="auto"/>
        <w:right w:val="none" w:sz="0" w:space="0" w:color="auto"/>
      </w:divBdr>
    </w:div>
    <w:div w:id="458037017">
      <w:bodyDiv w:val="1"/>
      <w:marLeft w:val="0"/>
      <w:marRight w:val="0"/>
      <w:marTop w:val="0"/>
      <w:marBottom w:val="0"/>
      <w:divBdr>
        <w:top w:val="none" w:sz="0" w:space="0" w:color="auto"/>
        <w:left w:val="none" w:sz="0" w:space="0" w:color="auto"/>
        <w:bottom w:val="none" w:sz="0" w:space="0" w:color="auto"/>
        <w:right w:val="none" w:sz="0" w:space="0" w:color="auto"/>
      </w:divBdr>
      <w:divsChild>
        <w:div w:id="81030743">
          <w:marLeft w:val="0"/>
          <w:marRight w:val="0"/>
          <w:marTop w:val="0"/>
          <w:marBottom w:val="0"/>
          <w:divBdr>
            <w:top w:val="none" w:sz="0" w:space="0" w:color="auto"/>
            <w:left w:val="none" w:sz="0" w:space="0" w:color="auto"/>
            <w:bottom w:val="none" w:sz="0" w:space="0" w:color="auto"/>
            <w:right w:val="none" w:sz="0" w:space="0" w:color="auto"/>
          </w:divBdr>
          <w:divsChild>
            <w:div w:id="66071398">
              <w:marLeft w:val="-150"/>
              <w:marRight w:val="-150"/>
              <w:marTop w:val="0"/>
              <w:marBottom w:val="0"/>
              <w:divBdr>
                <w:top w:val="none" w:sz="0" w:space="0" w:color="auto"/>
                <w:left w:val="none" w:sz="0" w:space="0" w:color="auto"/>
                <w:bottom w:val="none" w:sz="0" w:space="0" w:color="auto"/>
                <w:right w:val="none" w:sz="0" w:space="0" w:color="auto"/>
              </w:divBdr>
              <w:divsChild>
                <w:div w:id="158083812">
                  <w:marLeft w:val="0"/>
                  <w:marRight w:val="0"/>
                  <w:marTop w:val="0"/>
                  <w:marBottom w:val="0"/>
                  <w:divBdr>
                    <w:top w:val="none" w:sz="0" w:space="0" w:color="auto"/>
                    <w:left w:val="none" w:sz="0" w:space="0" w:color="auto"/>
                    <w:bottom w:val="none" w:sz="0" w:space="0" w:color="auto"/>
                    <w:right w:val="none" w:sz="0" w:space="0" w:color="auto"/>
                  </w:divBdr>
                  <w:divsChild>
                    <w:div w:id="2001888470">
                      <w:marLeft w:val="0"/>
                      <w:marRight w:val="0"/>
                      <w:marTop w:val="0"/>
                      <w:marBottom w:val="0"/>
                      <w:divBdr>
                        <w:top w:val="none" w:sz="0" w:space="0" w:color="auto"/>
                        <w:left w:val="none" w:sz="0" w:space="0" w:color="auto"/>
                        <w:bottom w:val="none" w:sz="0" w:space="0" w:color="auto"/>
                        <w:right w:val="none" w:sz="0" w:space="0" w:color="auto"/>
                      </w:divBdr>
                      <w:divsChild>
                        <w:div w:id="1855376">
                          <w:marLeft w:val="0"/>
                          <w:marRight w:val="0"/>
                          <w:marTop w:val="0"/>
                          <w:marBottom w:val="0"/>
                          <w:divBdr>
                            <w:top w:val="none" w:sz="0" w:space="0" w:color="auto"/>
                            <w:left w:val="none" w:sz="0" w:space="0" w:color="auto"/>
                            <w:bottom w:val="none" w:sz="0" w:space="0" w:color="auto"/>
                            <w:right w:val="none" w:sz="0" w:space="0" w:color="auto"/>
                          </w:divBdr>
                          <w:divsChild>
                            <w:div w:id="1507860796">
                              <w:marLeft w:val="0"/>
                              <w:marRight w:val="0"/>
                              <w:marTop w:val="0"/>
                              <w:marBottom w:val="0"/>
                              <w:divBdr>
                                <w:top w:val="none" w:sz="0" w:space="0" w:color="auto"/>
                                <w:left w:val="none" w:sz="0" w:space="0" w:color="auto"/>
                                <w:bottom w:val="none" w:sz="0" w:space="0" w:color="auto"/>
                                <w:right w:val="none" w:sz="0" w:space="0" w:color="auto"/>
                              </w:divBdr>
                              <w:divsChild>
                                <w:div w:id="2640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822096">
      <w:bodyDiv w:val="1"/>
      <w:marLeft w:val="0"/>
      <w:marRight w:val="0"/>
      <w:marTop w:val="0"/>
      <w:marBottom w:val="0"/>
      <w:divBdr>
        <w:top w:val="none" w:sz="0" w:space="0" w:color="auto"/>
        <w:left w:val="none" w:sz="0" w:space="0" w:color="auto"/>
        <w:bottom w:val="none" w:sz="0" w:space="0" w:color="auto"/>
        <w:right w:val="none" w:sz="0" w:space="0" w:color="auto"/>
      </w:divBdr>
      <w:divsChild>
        <w:div w:id="1083255565">
          <w:marLeft w:val="0"/>
          <w:marRight w:val="0"/>
          <w:marTop w:val="0"/>
          <w:marBottom w:val="0"/>
          <w:divBdr>
            <w:top w:val="none" w:sz="0" w:space="0" w:color="auto"/>
            <w:left w:val="none" w:sz="0" w:space="0" w:color="auto"/>
            <w:bottom w:val="none" w:sz="0" w:space="0" w:color="auto"/>
            <w:right w:val="none" w:sz="0" w:space="0" w:color="auto"/>
          </w:divBdr>
          <w:divsChild>
            <w:div w:id="14156748">
              <w:marLeft w:val="0"/>
              <w:marRight w:val="0"/>
              <w:marTop w:val="0"/>
              <w:marBottom w:val="0"/>
              <w:divBdr>
                <w:top w:val="none" w:sz="0" w:space="0" w:color="auto"/>
                <w:left w:val="none" w:sz="0" w:space="0" w:color="auto"/>
                <w:bottom w:val="none" w:sz="0" w:space="0" w:color="auto"/>
                <w:right w:val="none" w:sz="0" w:space="0" w:color="auto"/>
              </w:divBdr>
              <w:divsChild>
                <w:div w:id="1981418226">
                  <w:marLeft w:val="0"/>
                  <w:marRight w:val="0"/>
                  <w:marTop w:val="0"/>
                  <w:marBottom w:val="0"/>
                  <w:divBdr>
                    <w:top w:val="none" w:sz="0" w:space="0" w:color="auto"/>
                    <w:left w:val="none" w:sz="0" w:space="0" w:color="auto"/>
                    <w:bottom w:val="none" w:sz="0" w:space="0" w:color="auto"/>
                    <w:right w:val="none" w:sz="0" w:space="0" w:color="auto"/>
                  </w:divBdr>
                  <w:divsChild>
                    <w:div w:id="1028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748700">
      <w:bodyDiv w:val="1"/>
      <w:marLeft w:val="0"/>
      <w:marRight w:val="0"/>
      <w:marTop w:val="0"/>
      <w:marBottom w:val="0"/>
      <w:divBdr>
        <w:top w:val="none" w:sz="0" w:space="0" w:color="auto"/>
        <w:left w:val="none" w:sz="0" w:space="0" w:color="auto"/>
        <w:bottom w:val="none" w:sz="0" w:space="0" w:color="auto"/>
        <w:right w:val="none" w:sz="0" w:space="0" w:color="auto"/>
      </w:divBdr>
    </w:div>
    <w:div w:id="585656308">
      <w:bodyDiv w:val="1"/>
      <w:marLeft w:val="0"/>
      <w:marRight w:val="0"/>
      <w:marTop w:val="0"/>
      <w:marBottom w:val="0"/>
      <w:divBdr>
        <w:top w:val="none" w:sz="0" w:space="0" w:color="auto"/>
        <w:left w:val="none" w:sz="0" w:space="0" w:color="auto"/>
        <w:bottom w:val="none" w:sz="0" w:space="0" w:color="auto"/>
        <w:right w:val="none" w:sz="0" w:space="0" w:color="auto"/>
      </w:divBdr>
    </w:div>
    <w:div w:id="611280131">
      <w:bodyDiv w:val="1"/>
      <w:marLeft w:val="0"/>
      <w:marRight w:val="0"/>
      <w:marTop w:val="0"/>
      <w:marBottom w:val="0"/>
      <w:divBdr>
        <w:top w:val="none" w:sz="0" w:space="0" w:color="auto"/>
        <w:left w:val="none" w:sz="0" w:space="0" w:color="auto"/>
        <w:bottom w:val="none" w:sz="0" w:space="0" w:color="auto"/>
        <w:right w:val="none" w:sz="0" w:space="0" w:color="auto"/>
      </w:divBdr>
    </w:div>
    <w:div w:id="613754535">
      <w:bodyDiv w:val="1"/>
      <w:marLeft w:val="0"/>
      <w:marRight w:val="0"/>
      <w:marTop w:val="0"/>
      <w:marBottom w:val="0"/>
      <w:divBdr>
        <w:top w:val="none" w:sz="0" w:space="0" w:color="auto"/>
        <w:left w:val="none" w:sz="0" w:space="0" w:color="auto"/>
        <w:bottom w:val="none" w:sz="0" w:space="0" w:color="auto"/>
        <w:right w:val="none" w:sz="0" w:space="0" w:color="auto"/>
      </w:divBdr>
    </w:div>
    <w:div w:id="662470099">
      <w:bodyDiv w:val="1"/>
      <w:marLeft w:val="0"/>
      <w:marRight w:val="0"/>
      <w:marTop w:val="0"/>
      <w:marBottom w:val="0"/>
      <w:divBdr>
        <w:top w:val="none" w:sz="0" w:space="0" w:color="auto"/>
        <w:left w:val="none" w:sz="0" w:space="0" w:color="auto"/>
        <w:bottom w:val="none" w:sz="0" w:space="0" w:color="auto"/>
        <w:right w:val="none" w:sz="0" w:space="0" w:color="auto"/>
      </w:divBdr>
    </w:div>
    <w:div w:id="754588703">
      <w:bodyDiv w:val="1"/>
      <w:marLeft w:val="0"/>
      <w:marRight w:val="0"/>
      <w:marTop w:val="0"/>
      <w:marBottom w:val="0"/>
      <w:divBdr>
        <w:top w:val="none" w:sz="0" w:space="0" w:color="auto"/>
        <w:left w:val="none" w:sz="0" w:space="0" w:color="auto"/>
        <w:bottom w:val="none" w:sz="0" w:space="0" w:color="auto"/>
        <w:right w:val="none" w:sz="0" w:space="0" w:color="auto"/>
      </w:divBdr>
    </w:div>
    <w:div w:id="812064892">
      <w:bodyDiv w:val="1"/>
      <w:marLeft w:val="0"/>
      <w:marRight w:val="0"/>
      <w:marTop w:val="0"/>
      <w:marBottom w:val="0"/>
      <w:divBdr>
        <w:top w:val="none" w:sz="0" w:space="0" w:color="auto"/>
        <w:left w:val="none" w:sz="0" w:space="0" w:color="auto"/>
        <w:bottom w:val="none" w:sz="0" w:space="0" w:color="auto"/>
        <w:right w:val="none" w:sz="0" w:space="0" w:color="auto"/>
      </w:divBdr>
    </w:div>
    <w:div w:id="827862955">
      <w:bodyDiv w:val="1"/>
      <w:marLeft w:val="0"/>
      <w:marRight w:val="0"/>
      <w:marTop w:val="0"/>
      <w:marBottom w:val="0"/>
      <w:divBdr>
        <w:top w:val="none" w:sz="0" w:space="0" w:color="auto"/>
        <w:left w:val="none" w:sz="0" w:space="0" w:color="auto"/>
        <w:bottom w:val="none" w:sz="0" w:space="0" w:color="auto"/>
        <w:right w:val="none" w:sz="0" w:space="0" w:color="auto"/>
      </w:divBdr>
    </w:div>
    <w:div w:id="880047237">
      <w:bodyDiv w:val="1"/>
      <w:marLeft w:val="0"/>
      <w:marRight w:val="0"/>
      <w:marTop w:val="0"/>
      <w:marBottom w:val="0"/>
      <w:divBdr>
        <w:top w:val="none" w:sz="0" w:space="0" w:color="auto"/>
        <w:left w:val="none" w:sz="0" w:space="0" w:color="auto"/>
        <w:bottom w:val="none" w:sz="0" w:space="0" w:color="auto"/>
        <w:right w:val="none" w:sz="0" w:space="0" w:color="auto"/>
      </w:divBdr>
    </w:div>
    <w:div w:id="883100012">
      <w:bodyDiv w:val="1"/>
      <w:marLeft w:val="0"/>
      <w:marRight w:val="0"/>
      <w:marTop w:val="0"/>
      <w:marBottom w:val="0"/>
      <w:divBdr>
        <w:top w:val="none" w:sz="0" w:space="0" w:color="auto"/>
        <w:left w:val="none" w:sz="0" w:space="0" w:color="auto"/>
        <w:bottom w:val="none" w:sz="0" w:space="0" w:color="auto"/>
        <w:right w:val="none" w:sz="0" w:space="0" w:color="auto"/>
      </w:divBdr>
    </w:div>
    <w:div w:id="892812730">
      <w:bodyDiv w:val="1"/>
      <w:marLeft w:val="0"/>
      <w:marRight w:val="0"/>
      <w:marTop w:val="0"/>
      <w:marBottom w:val="0"/>
      <w:divBdr>
        <w:top w:val="none" w:sz="0" w:space="0" w:color="auto"/>
        <w:left w:val="none" w:sz="0" w:space="0" w:color="auto"/>
        <w:bottom w:val="none" w:sz="0" w:space="0" w:color="auto"/>
        <w:right w:val="none" w:sz="0" w:space="0" w:color="auto"/>
      </w:divBdr>
    </w:div>
    <w:div w:id="906301594">
      <w:bodyDiv w:val="1"/>
      <w:marLeft w:val="0"/>
      <w:marRight w:val="0"/>
      <w:marTop w:val="0"/>
      <w:marBottom w:val="0"/>
      <w:divBdr>
        <w:top w:val="none" w:sz="0" w:space="0" w:color="auto"/>
        <w:left w:val="none" w:sz="0" w:space="0" w:color="auto"/>
        <w:bottom w:val="none" w:sz="0" w:space="0" w:color="auto"/>
        <w:right w:val="none" w:sz="0" w:space="0" w:color="auto"/>
      </w:divBdr>
    </w:div>
    <w:div w:id="915430973">
      <w:bodyDiv w:val="1"/>
      <w:marLeft w:val="0"/>
      <w:marRight w:val="0"/>
      <w:marTop w:val="0"/>
      <w:marBottom w:val="0"/>
      <w:divBdr>
        <w:top w:val="none" w:sz="0" w:space="0" w:color="auto"/>
        <w:left w:val="none" w:sz="0" w:space="0" w:color="auto"/>
        <w:bottom w:val="none" w:sz="0" w:space="0" w:color="auto"/>
        <w:right w:val="none" w:sz="0" w:space="0" w:color="auto"/>
      </w:divBdr>
    </w:div>
    <w:div w:id="941649508">
      <w:bodyDiv w:val="1"/>
      <w:marLeft w:val="0"/>
      <w:marRight w:val="0"/>
      <w:marTop w:val="0"/>
      <w:marBottom w:val="0"/>
      <w:divBdr>
        <w:top w:val="none" w:sz="0" w:space="0" w:color="auto"/>
        <w:left w:val="none" w:sz="0" w:space="0" w:color="auto"/>
        <w:bottom w:val="none" w:sz="0" w:space="0" w:color="auto"/>
        <w:right w:val="none" w:sz="0" w:space="0" w:color="auto"/>
      </w:divBdr>
    </w:div>
    <w:div w:id="959922412">
      <w:bodyDiv w:val="1"/>
      <w:marLeft w:val="0"/>
      <w:marRight w:val="0"/>
      <w:marTop w:val="0"/>
      <w:marBottom w:val="0"/>
      <w:divBdr>
        <w:top w:val="none" w:sz="0" w:space="0" w:color="auto"/>
        <w:left w:val="none" w:sz="0" w:space="0" w:color="auto"/>
        <w:bottom w:val="none" w:sz="0" w:space="0" w:color="auto"/>
        <w:right w:val="none" w:sz="0" w:space="0" w:color="auto"/>
      </w:divBdr>
    </w:div>
    <w:div w:id="963999690">
      <w:bodyDiv w:val="1"/>
      <w:marLeft w:val="0"/>
      <w:marRight w:val="0"/>
      <w:marTop w:val="0"/>
      <w:marBottom w:val="0"/>
      <w:divBdr>
        <w:top w:val="none" w:sz="0" w:space="0" w:color="auto"/>
        <w:left w:val="none" w:sz="0" w:space="0" w:color="auto"/>
        <w:bottom w:val="none" w:sz="0" w:space="0" w:color="auto"/>
        <w:right w:val="none" w:sz="0" w:space="0" w:color="auto"/>
      </w:divBdr>
    </w:div>
    <w:div w:id="1005285481">
      <w:bodyDiv w:val="1"/>
      <w:marLeft w:val="0"/>
      <w:marRight w:val="0"/>
      <w:marTop w:val="0"/>
      <w:marBottom w:val="0"/>
      <w:divBdr>
        <w:top w:val="none" w:sz="0" w:space="0" w:color="auto"/>
        <w:left w:val="none" w:sz="0" w:space="0" w:color="auto"/>
        <w:bottom w:val="none" w:sz="0" w:space="0" w:color="auto"/>
        <w:right w:val="none" w:sz="0" w:space="0" w:color="auto"/>
      </w:divBdr>
    </w:div>
    <w:div w:id="1007173068">
      <w:bodyDiv w:val="1"/>
      <w:marLeft w:val="0"/>
      <w:marRight w:val="0"/>
      <w:marTop w:val="0"/>
      <w:marBottom w:val="0"/>
      <w:divBdr>
        <w:top w:val="none" w:sz="0" w:space="0" w:color="auto"/>
        <w:left w:val="none" w:sz="0" w:space="0" w:color="auto"/>
        <w:bottom w:val="none" w:sz="0" w:space="0" w:color="auto"/>
        <w:right w:val="none" w:sz="0" w:space="0" w:color="auto"/>
      </w:divBdr>
    </w:div>
    <w:div w:id="1035882976">
      <w:bodyDiv w:val="1"/>
      <w:marLeft w:val="0"/>
      <w:marRight w:val="0"/>
      <w:marTop w:val="0"/>
      <w:marBottom w:val="0"/>
      <w:divBdr>
        <w:top w:val="none" w:sz="0" w:space="0" w:color="auto"/>
        <w:left w:val="none" w:sz="0" w:space="0" w:color="auto"/>
        <w:bottom w:val="none" w:sz="0" w:space="0" w:color="auto"/>
        <w:right w:val="none" w:sz="0" w:space="0" w:color="auto"/>
      </w:divBdr>
    </w:div>
    <w:div w:id="1118911110">
      <w:bodyDiv w:val="1"/>
      <w:marLeft w:val="0"/>
      <w:marRight w:val="0"/>
      <w:marTop w:val="0"/>
      <w:marBottom w:val="0"/>
      <w:divBdr>
        <w:top w:val="none" w:sz="0" w:space="0" w:color="auto"/>
        <w:left w:val="none" w:sz="0" w:space="0" w:color="auto"/>
        <w:bottom w:val="none" w:sz="0" w:space="0" w:color="auto"/>
        <w:right w:val="none" w:sz="0" w:space="0" w:color="auto"/>
      </w:divBdr>
      <w:divsChild>
        <w:div w:id="797338658">
          <w:marLeft w:val="547"/>
          <w:marRight w:val="0"/>
          <w:marTop w:val="91"/>
          <w:marBottom w:val="0"/>
          <w:divBdr>
            <w:top w:val="none" w:sz="0" w:space="0" w:color="auto"/>
            <w:left w:val="none" w:sz="0" w:space="0" w:color="auto"/>
            <w:bottom w:val="none" w:sz="0" w:space="0" w:color="auto"/>
            <w:right w:val="none" w:sz="0" w:space="0" w:color="auto"/>
          </w:divBdr>
        </w:div>
        <w:div w:id="367947438">
          <w:marLeft w:val="547"/>
          <w:marRight w:val="0"/>
          <w:marTop w:val="91"/>
          <w:marBottom w:val="0"/>
          <w:divBdr>
            <w:top w:val="none" w:sz="0" w:space="0" w:color="auto"/>
            <w:left w:val="none" w:sz="0" w:space="0" w:color="auto"/>
            <w:bottom w:val="none" w:sz="0" w:space="0" w:color="auto"/>
            <w:right w:val="none" w:sz="0" w:space="0" w:color="auto"/>
          </w:divBdr>
        </w:div>
      </w:divsChild>
    </w:div>
    <w:div w:id="1220552400">
      <w:bodyDiv w:val="1"/>
      <w:marLeft w:val="0"/>
      <w:marRight w:val="0"/>
      <w:marTop w:val="0"/>
      <w:marBottom w:val="0"/>
      <w:divBdr>
        <w:top w:val="none" w:sz="0" w:space="0" w:color="auto"/>
        <w:left w:val="none" w:sz="0" w:space="0" w:color="auto"/>
        <w:bottom w:val="none" w:sz="0" w:space="0" w:color="auto"/>
        <w:right w:val="none" w:sz="0" w:space="0" w:color="auto"/>
      </w:divBdr>
    </w:div>
    <w:div w:id="1289125482">
      <w:bodyDiv w:val="1"/>
      <w:marLeft w:val="0"/>
      <w:marRight w:val="0"/>
      <w:marTop w:val="0"/>
      <w:marBottom w:val="0"/>
      <w:divBdr>
        <w:top w:val="none" w:sz="0" w:space="0" w:color="auto"/>
        <w:left w:val="none" w:sz="0" w:space="0" w:color="auto"/>
        <w:bottom w:val="none" w:sz="0" w:space="0" w:color="auto"/>
        <w:right w:val="none" w:sz="0" w:space="0" w:color="auto"/>
      </w:divBdr>
      <w:divsChild>
        <w:div w:id="2140219096">
          <w:marLeft w:val="0"/>
          <w:marRight w:val="0"/>
          <w:marTop w:val="0"/>
          <w:marBottom w:val="0"/>
          <w:divBdr>
            <w:top w:val="none" w:sz="0" w:space="0" w:color="auto"/>
            <w:left w:val="none" w:sz="0" w:space="0" w:color="auto"/>
            <w:bottom w:val="none" w:sz="0" w:space="0" w:color="auto"/>
            <w:right w:val="none" w:sz="0" w:space="0" w:color="auto"/>
          </w:divBdr>
          <w:divsChild>
            <w:div w:id="2140027434">
              <w:marLeft w:val="-150"/>
              <w:marRight w:val="-150"/>
              <w:marTop w:val="0"/>
              <w:marBottom w:val="0"/>
              <w:divBdr>
                <w:top w:val="none" w:sz="0" w:space="0" w:color="auto"/>
                <w:left w:val="none" w:sz="0" w:space="0" w:color="auto"/>
                <w:bottom w:val="none" w:sz="0" w:space="0" w:color="auto"/>
                <w:right w:val="none" w:sz="0" w:space="0" w:color="auto"/>
              </w:divBdr>
              <w:divsChild>
                <w:div w:id="21129513">
                  <w:marLeft w:val="0"/>
                  <w:marRight w:val="0"/>
                  <w:marTop w:val="0"/>
                  <w:marBottom w:val="0"/>
                  <w:divBdr>
                    <w:top w:val="none" w:sz="0" w:space="0" w:color="auto"/>
                    <w:left w:val="none" w:sz="0" w:space="0" w:color="auto"/>
                    <w:bottom w:val="none" w:sz="0" w:space="0" w:color="auto"/>
                    <w:right w:val="none" w:sz="0" w:space="0" w:color="auto"/>
                  </w:divBdr>
                  <w:divsChild>
                    <w:div w:id="336930755">
                      <w:marLeft w:val="0"/>
                      <w:marRight w:val="0"/>
                      <w:marTop w:val="0"/>
                      <w:marBottom w:val="0"/>
                      <w:divBdr>
                        <w:top w:val="none" w:sz="0" w:space="0" w:color="auto"/>
                        <w:left w:val="none" w:sz="0" w:space="0" w:color="auto"/>
                        <w:bottom w:val="none" w:sz="0" w:space="0" w:color="auto"/>
                        <w:right w:val="none" w:sz="0" w:space="0" w:color="auto"/>
                      </w:divBdr>
                      <w:divsChild>
                        <w:div w:id="1485510952">
                          <w:marLeft w:val="0"/>
                          <w:marRight w:val="0"/>
                          <w:marTop w:val="0"/>
                          <w:marBottom w:val="0"/>
                          <w:divBdr>
                            <w:top w:val="none" w:sz="0" w:space="0" w:color="auto"/>
                            <w:left w:val="none" w:sz="0" w:space="0" w:color="auto"/>
                            <w:bottom w:val="none" w:sz="0" w:space="0" w:color="auto"/>
                            <w:right w:val="none" w:sz="0" w:space="0" w:color="auto"/>
                          </w:divBdr>
                          <w:divsChild>
                            <w:div w:id="979306789">
                              <w:marLeft w:val="0"/>
                              <w:marRight w:val="0"/>
                              <w:marTop w:val="0"/>
                              <w:marBottom w:val="0"/>
                              <w:divBdr>
                                <w:top w:val="none" w:sz="0" w:space="0" w:color="auto"/>
                                <w:left w:val="none" w:sz="0" w:space="0" w:color="auto"/>
                                <w:bottom w:val="none" w:sz="0" w:space="0" w:color="auto"/>
                                <w:right w:val="none" w:sz="0" w:space="0" w:color="auto"/>
                              </w:divBdr>
                              <w:divsChild>
                                <w:div w:id="7298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292462">
      <w:bodyDiv w:val="1"/>
      <w:marLeft w:val="0"/>
      <w:marRight w:val="0"/>
      <w:marTop w:val="0"/>
      <w:marBottom w:val="0"/>
      <w:divBdr>
        <w:top w:val="none" w:sz="0" w:space="0" w:color="auto"/>
        <w:left w:val="none" w:sz="0" w:space="0" w:color="auto"/>
        <w:bottom w:val="none" w:sz="0" w:space="0" w:color="auto"/>
        <w:right w:val="none" w:sz="0" w:space="0" w:color="auto"/>
      </w:divBdr>
    </w:div>
    <w:div w:id="1368065596">
      <w:bodyDiv w:val="1"/>
      <w:marLeft w:val="0"/>
      <w:marRight w:val="0"/>
      <w:marTop w:val="0"/>
      <w:marBottom w:val="0"/>
      <w:divBdr>
        <w:top w:val="none" w:sz="0" w:space="0" w:color="auto"/>
        <w:left w:val="none" w:sz="0" w:space="0" w:color="auto"/>
        <w:bottom w:val="none" w:sz="0" w:space="0" w:color="auto"/>
        <w:right w:val="none" w:sz="0" w:space="0" w:color="auto"/>
      </w:divBdr>
    </w:div>
    <w:div w:id="1423143082">
      <w:bodyDiv w:val="1"/>
      <w:marLeft w:val="0"/>
      <w:marRight w:val="0"/>
      <w:marTop w:val="0"/>
      <w:marBottom w:val="0"/>
      <w:divBdr>
        <w:top w:val="none" w:sz="0" w:space="0" w:color="auto"/>
        <w:left w:val="none" w:sz="0" w:space="0" w:color="auto"/>
        <w:bottom w:val="none" w:sz="0" w:space="0" w:color="auto"/>
        <w:right w:val="none" w:sz="0" w:space="0" w:color="auto"/>
      </w:divBdr>
    </w:div>
    <w:div w:id="1527714654">
      <w:bodyDiv w:val="1"/>
      <w:marLeft w:val="0"/>
      <w:marRight w:val="0"/>
      <w:marTop w:val="0"/>
      <w:marBottom w:val="0"/>
      <w:divBdr>
        <w:top w:val="none" w:sz="0" w:space="0" w:color="auto"/>
        <w:left w:val="none" w:sz="0" w:space="0" w:color="auto"/>
        <w:bottom w:val="none" w:sz="0" w:space="0" w:color="auto"/>
        <w:right w:val="none" w:sz="0" w:space="0" w:color="auto"/>
      </w:divBdr>
    </w:div>
    <w:div w:id="1541429164">
      <w:bodyDiv w:val="1"/>
      <w:marLeft w:val="0"/>
      <w:marRight w:val="0"/>
      <w:marTop w:val="0"/>
      <w:marBottom w:val="0"/>
      <w:divBdr>
        <w:top w:val="none" w:sz="0" w:space="0" w:color="auto"/>
        <w:left w:val="none" w:sz="0" w:space="0" w:color="auto"/>
        <w:bottom w:val="none" w:sz="0" w:space="0" w:color="auto"/>
        <w:right w:val="none" w:sz="0" w:space="0" w:color="auto"/>
      </w:divBdr>
      <w:divsChild>
        <w:div w:id="1068267304">
          <w:marLeft w:val="0"/>
          <w:marRight w:val="0"/>
          <w:marTop w:val="0"/>
          <w:marBottom w:val="150"/>
          <w:divBdr>
            <w:top w:val="none" w:sz="0" w:space="0" w:color="auto"/>
            <w:left w:val="none" w:sz="0" w:space="0" w:color="auto"/>
            <w:bottom w:val="none" w:sz="0" w:space="0" w:color="auto"/>
            <w:right w:val="none" w:sz="0" w:space="0" w:color="auto"/>
          </w:divBdr>
          <w:divsChild>
            <w:div w:id="61428637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91232017">
      <w:bodyDiv w:val="1"/>
      <w:marLeft w:val="0"/>
      <w:marRight w:val="0"/>
      <w:marTop w:val="0"/>
      <w:marBottom w:val="0"/>
      <w:divBdr>
        <w:top w:val="none" w:sz="0" w:space="0" w:color="auto"/>
        <w:left w:val="none" w:sz="0" w:space="0" w:color="auto"/>
        <w:bottom w:val="none" w:sz="0" w:space="0" w:color="auto"/>
        <w:right w:val="none" w:sz="0" w:space="0" w:color="auto"/>
      </w:divBdr>
    </w:div>
    <w:div w:id="1689134962">
      <w:bodyDiv w:val="1"/>
      <w:marLeft w:val="0"/>
      <w:marRight w:val="0"/>
      <w:marTop w:val="0"/>
      <w:marBottom w:val="0"/>
      <w:divBdr>
        <w:top w:val="none" w:sz="0" w:space="0" w:color="auto"/>
        <w:left w:val="none" w:sz="0" w:space="0" w:color="auto"/>
        <w:bottom w:val="none" w:sz="0" w:space="0" w:color="auto"/>
        <w:right w:val="none" w:sz="0" w:space="0" w:color="auto"/>
      </w:divBdr>
    </w:div>
    <w:div w:id="1788307197">
      <w:bodyDiv w:val="1"/>
      <w:marLeft w:val="0"/>
      <w:marRight w:val="0"/>
      <w:marTop w:val="0"/>
      <w:marBottom w:val="0"/>
      <w:divBdr>
        <w:top w:val="none" w:sz="0" w:space="0" w:color="auto"/>
        <w:left w:val="none" w:sz="0" w:space="0" w:color="auto"/>
        <w:bottom w:val="none" w:sz="0" w:space="0" w:color="auto"/>
        <w:right w:val="none" w:sz="0" w:space="0" w:color="auto"/>
      </w:divBdr>
    </w:div>
    <w:div w:id="1945571473">
      <w:bodyDiv w:val="1"/>
      <w:marLeft w:val="0"/>
      <w:marRight w:val="0"/>
      <w:marTop w:val="0"/>
      <w:marBottom w:val="0"/>
      <w:divBdr>
        <w:top w:val="none" w:sz="0" w:space="0" w:color="auto"/>
        <w:left w:val="none" w:sz="0" w:space="0" w:color="auto"/>
        <w:bottom w:val="none" w:sz="0" w:space="0" w:color="auto"/>
        <w:right w:val="none" w:sz="0" w:space="0" w:color="auto"/>
      </w:divBdr>
    </w:div>
    <w:div w:id="1950116026">
      <w:bodyDiv w:val="1"/>
      <w:marLeft w:val="0"/>
      <w:marRight w:val="0"/>
      <w:marTop w:val="0"/>
      <w:marBottom w:val="0"/>
      <w:divBdr>
        <w:top w:val="none" w:sz="0" w:space="0" w:color="auto"/>
        <w:left w:val="none" w:sz="0" w:space="0" w:color="auto"/>
        <w:bottom w:val="none" w:sz="0" w:space="0" w:color="auto"/>
        <w:right w:val="none" w:sz="0" w:space="0" w:color="auto"/>
      </w:divBdr>
    </w:div>
    <w:div w:id="1992714449">
      <w:bodyDiv w:val="1"/>
      <w:marLeft w:val="0"/>
      <w:marRight w:val="0"/>
      <w:marTop w:val="0"/>
      <w:marBottom w:val="0"/>
      <w:divBdr>
        <w:top w:val="none" w:sz="0" w:space="0" w:color="auto"/>
        <w:left w:val="none" w:sz="0" w:space="0" w:color="auto"/>
        <w:bottom w:val="none" w:sz="0" w:space="0" w:color="auto"/>
        <w:right w:val="none" w:sz="0" w:space="0" w:color="auto"/>
      </w:divBdr>
    </w:div>
    <w:div w:id="2077701218">
      <w:bodyDiv w:val="1"/>
      <w:marLeft w:val="0"/>
      <w:marRight w:val="0"/>
      <w:marTop w:val="0"/>
      <w:marBottom w:val="0"/>
      <w:divBdr>
        <w:top w:val="none" w:sz="0" w:space="0" w:color="auto"/>
        <w:left w:val="none" w:sz="0" w:space="0" w:color="auto"/>
        <w:bottom w:val="none" w:sz="0" w:space="0" w:color="auto"/>
        <w:right w:val="none" w:sz="0" w:space="0" w:color="auto"/>
      </w:divBdr>
    </w:div>
    <w:div w:id="2081252202">
      <w:bodyDiv w:val="1"/>
      <w:marLeft w:val="0"/>
      <w:marRight w:val="0"/>
      <w:marTop w:val="0"/>
      <w:marBottom w:val="0"/>
      <w:divBdr>
        <w:top w:val="none" w:sz="0" w:space="0" w:color="auto"/>
        <w:left w:val="none" w:sz="0" w:space="0" w:color="auto"/>
        <w:bottom w:val="none" w:sz="0" w:space="0" w:color="auto"/>
        <w:right w:val="none" w:sz="0" w:space="0" w:color="auto"/>
      </w:divBdr>
      <w:divsChild>
        <w:div w:id="912202287">
          <w:marLeft w:val="0"/>
          <w:marRight w:val="0"/>
          <w:marTop w:val="0"/>
          <w:marBottom w:val="150"/>
          <w:divBdr>
            <w:top w:val="none" w:sz="0" w:space="0" w:color="auto"/>
            <w:left w:val="none" w:sz="0" w:space="0" w:color="auto"/>
            <w:bottom w:val="none" w:sz="0" w:space="0" w:color="auto"/>
            <w:right w:val="none" w:sz="0" w:space="0" w:color="auto"/>
          </w:divBdr>
          <w:divsChild>
            <w:div w:id="205596171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82680623">
      <w:bodyDiv w:val="1"/>
      <w:marLeft w:val="0"/>
      <w:marRight w:val="0"/>
      <w:marTop w:val="0"/>
      <w:marBottom w:val="0"/>
      <w:divBdr>
        <w:top w:val="none" w:sz="0" w:space="0" w:color="auto"/>
        <w:left w:val="none" w:sz="0" w:space="0" w:color="auto"/>
        <w:bottom w:val="none" w:sz="0" w:space="0" w:color="auto"/>
        <w:right w:val="none" w:sz="0" w:space="0" w:color="auto"/>
      </w:divBdr>
      <w:divsChild>
        <w:div w:id="520749990">
          <w:marLeft w:val="0"/>
          <w:marRight w:val="0"/>
          <w:marTop w:val="0"/>
          <w:marBottom w:val="0"/>
          <w:divBdr>
            <w:top w:val="none" w:sz="0" w:space="0" w:color="auto"/>
            <w:left w:val="none" w:sz="0" w:space="0" w:color="auto"/>
            <w:bottom w:val="none" w:sz="0" w:space="0" w:color="auto"/>
            <w:right w:val="none" w:sz="0" w:space="0" w:color="auto"/>
          </w:divBdr>
          <w:divsChild>
            <w:div w:id="371077601">
              <w:marLeft w:val="0"/>
              <w:marRight w:val="0"/>
              <w:marTop w:val="0"/>
              <w:marBottom w:val="0"/>
              <w:divBdr>
                <w:top w:val="none" w:sz="0" w:space="0" w:color="auto"/>
                <w:left w:val="none" w:sz="0" w:space="0" w:color="auto"/>
                <w:bottom w:val="none" w:sz="0" w:space="0" w:color="auto"/>
                <w:right w:val="none" w:sz="0" w:space="0" w:color="auto"/>
              </w:divBdr>
              <w:divsChild>
                <w:div w:id="17356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78096">
      <w:bodyDiv w:val="1"/>
      <w:marLeft w:val="0"/>
      <w:marRight w:val="0"/>
      <w:marTop w:val="0"/>
      <w:marBottom w:val="0"/>
      <w:divBdr>
        <w:top w:val="none" w:sz="0" w:space="0" w:color="auto"/>
        <w:left w:val="none" w:sz="0" w:space="0" w:color="auto"/>
        <w:bottom w:val="none" w:sz="0" w:space="0" w:color="auto"/>
        <w:right w:val="none" w:sz="0" w:space="0" w:color="auto"/>
      </w:divBdr>
    </w:div>
    <w:div w:id="2114863169">
      <w:bodyDiv w:val="1"/>
      <w:marLeft w:val="0"/>
      <w:marRight w:val="0"/>
      <w:marTop w:val="0"/>
      <w:marBottom w:val="0"/>
      <w:divBdr>
        <w:top w:val="none" w:sz="0" w:space="0" w:color="auto"/>
        <w:left w:val="none" w:sz="0" w:space="0" w:color="auto"/>
        <w:bottom w:val="none" w:sz="0" w:space="0" w:color="auto"/>
        <w:right w:val="none" w:sz="0" w:space="0" w:color="auto"/>
      </w:divBdr>
    </w:div>
    <w:div w:id="2127238479">
      <w:bodyDiv w:val="1"/>
      <w:marLeft w:val="0"/>
      <w:marRight w:val="0"/>
      <w:marTop w:val="0"/>
      <w:marBottom w:val="0"/>
      <w:divBdr>
        <w:top w:val="none" w:sz="0" w:space="0" w:color="auto"/>
        <w:left w:val="none" w:sz="0" w:space="0" w:color="auto"/>
        <w:bottom w:val="none" w:sz="0" w:space="0" w:color="auto"/>
        <w:right w:val="none" w:sz="0" w:space="0" w:color="auto"/>
      </w:divBdr>
      <w:divsChild>
        <w:div w:id="307976286">
          <w:marLeft w:val="547"/>
          <w:marRight w:val="0"/>
          <w:marTop w:val="86"/>
          <w:marBottom w:val="0"/>
          <w:divBdr>
            <w:top w:val="none" w:sz="0" w:space="0" w:color="auto"/>
            <w:left w:val="none" w:sz="0" w:space="0" w:color="auto"/>
            <w:bottom w:val="none" w:sz="0" w:space="0" w:color="auto"/>
            <w:right w:val="none" w:sz="0" w:space="0" w:color="auto"/>
          </w:divBdr>
        </w:div>
        <w:div w:id="457913812">
          <w:marLeft w:val="547"/>
          <w:marRight w:val="0"/>
          <w:marTop w:val="86"/>
          <w:marBottom w:val="0"/>
          <w:divBdr>
            <w:top w:val="none" w:sz="0" w:space="0" w:color="auto"/>
            <w:left w:val="none" w:sz="0" w:space="0" w:color="auto"/>
            <w:bottom w:val="none" w:sz="0" w:space="0" w:color="auto"/>
            <w:right w:val="none" w:sz="0" w:space="0" w:color="auto"/>
          </w:divBdr>
        </w:div>
        <w:div w:id="940646505">
          <w:marLeft w:val="547"/>
          <w:marRight w:val="0"/>
          <w:marTop w:val="86"/>
          <w:marBottom w:val="0"/>
          <w:divBdr>
            <w:top w:val="none" w:sz="0" w:space="0" w:color="auto"/>
            <w:left w:val="none" w:sz="0" w:space="0" w:color="auto"/>
            <w:bottom w:val="none" w:sz="0" w:space="0" w:color="auto"/>
            <w:right w:val="none" w:sz="0" w:space="0" w:color="auto"/>
          </w:divBdr>
        </w:div>
        <w:div w:id="1987733001">
          <w:marLeft w:val="547"/>
          <w:marRight w:val="0"/>
          <w:marTop w:val="86"/>
          <w:marBottom w:val="0"/>
          <w:divBdr>
            <w:top w:val="none" w:sz="0" w:space="0" w:color="auto"/>
            <w:left w:val="none" w:sz="0" w:space="0" w:color="auto"/>
            <w:bottom w:val="none" w:sz="0" w:space="0" w:color="auto"/>
            <w:right w:val="none" w:sz="0" w:space="0" w:color="auto"/>
          </w:divBdr>
        </w:div>
        <w:div w:id="2042395640">
          <w:marLeft w:val="547"/>
          <w:marRight w:val="0"/>
          <w:marTop w:val="86"/>
          <w:marBottom w:val="0"/>
          <w:divBdr>
            <w:top w:val="none" w:sz="0" w:space="0" w:color="auto"/>
            <w:left w:val="none" w:sz="0" w:space="0" w:color="auto"/>
            <w:bottom w:val="none" w:sz="0" w:space="0" w:color="auto"/>
            <w:right w:val="none" w:sz="0" w:space="0" w:color="auto"/>
          </w:divBdr>
        </w:div>
        <w:div w:id="1713842949">
          <w:marLeft w:val="547"/>
          <w:marRight w:val="0"/>
          <w:marTop w:val="86"/>
          <w:marBottom w:val="0"/>
          <w:divBdr>
            <w:top w:val="none" w:sz="0" w:space="0" w:color="auto"/>
            <w:left w:val="none" w:sz="0" w:space="0" w:color="auto"/>
            <w:bottom w:val="none" w:sz="0" w:space="0" w:color="auto"/>
            <w:right w:val="none" w:sz="0" w:space="0" w:color="auto"/>
          </w:divBdr>
        </w:div>
      </w:divsChild>
    </w:div>
    <w:div w:id="21312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acto_legislativo_04_201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AC475-0BC6-4F65-8730-9B14B56F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16</Pages>
  <Words>4572</Words>
  <Characters>25146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edgar.jara</cp:lastModifiedBy>
  <cp:revision>15</cp:revision>
  <cp:lastPrinted>2018-09-18T15:51:00Z</cp:lastPrinted>
  <dcterms:created xsi:type="dcterms:W3CDTF">2018-08-09T17:03:00Z</dcterms:created>
  <dcterms:modified xsi:type="dcterms:W3CDTF">2018-09-18T15:57:00Z</dcterms:modified>
</cp:coreProperties>
</file>