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2A62" w:rsidRDefault="00C127B7">
      <w:pPr>
        <w:jc w:val="right"/>
      </w:pPr>
      <w:r>
        <w:rPr>
          <w:rFonts w:ascii="Roboto" w:eastAsia="Roboto" w:hAnsi="Roboto" w:cs="Roboto"/>
          <w:b/>
          <w:color w:val="191610"/>
        </w:rPr>
        <w:t>Bogotá D.C. 20 de julio de 2016</w:t>
      </w:r>
    </w:p>
    <w:p w:rsidR="00812A62" w:rsidRDefault="00812A62">
      <w:pPr>
        <w:jc w:val="right"/>
      </w:pPr>
    </w:p>
    <w:p w:rsidR="00812A62" w:rsidRDefault="00C127B7">
      <w:pPr>
        <w:jc w:val="both"/>
      </w:pPr>
      <w:r>
        <w:rPr>
          <w:rFonts w:ascii="Roboto" w:eastAsia="Roboto" w:hAnsi="Roboto" w:cs="Roboto"/>
        </w:rPr>
        <w:t xml:space="preserve">Señor,  </w:t>
      </w:r>
    </w:p>
    <w:p w:rsidR="00812A62" w:rsidRDefault="00C127B7">
      <w:pPr>
        <w:jc w:val="both"/>
      </w:pPr>
      <w:r>
        <w:rPr>
          <w:rFonts w:ascii="Roboto" w:eastAsia="Roboto" w:hAnsi="Roboto" w:cs="Roboto"/>
          <w:b/>
          <w:color w:val="191610"/>
        </w:rPr>
        <w:t>Presidente</w:t>
      </w:r>
    </w:p>
    <w:p w:rsidR="00812A62" w:rsidRDefault="00812A62">
      <w:pPr>
        <w:jc w:val="both"/>
      </w:pPr>
    </w:p>
    <w:p w:rsidR="00812A62" w:rsidRDefault="00812A62">
      <w:pPr>
        <w:jc w:val="both"/>
      </w:pPr>
    </w:p>
    <w:p w:rsidR="00812A62" w:rsidRDefault="00812A62">
      <w:pPr>
        <w:jc w:val="both"/>
      </w:pPr>
    </w:p>
    <w:p w:rsidR="00812A62" w:rsidRDefault="00C127B7">
      <w:pPr>
        <w:jc w:val="right"/>
      </w:pPr>
      <w:r>
        <w:rPr>
          <w:rFonts w:ascii="Roboto" w:eastAsia="Roboto" w:hAnsi="Roboto" w:cs="Roboto"/>
          <w:b/>
          <w:color w:val="191610"/>
        </w:rPr>
        <w:t>Asunto: Radicación “</w:t>
      </w:r>
      <w:r>
        <w:rPr>
          <w:rFonts w:ascii="Roboto" w:eastAsia="Roboto" w:hAnsi="Roboto" w:cs="Roboto"/>
          <w:color w:val="191610"/>
        </w:rPr>
        <w:t xml:space="preserve">Proyecto de Ley Orgánica </w:t>
      </w:r>
      <w:r>
        <w:rPr>
          <w:rFonts w:ascii="Roboto" w:eastAsia="Roboto" w:hAnsi="Roboto" w:cs="Roboto"/>
        </w:rPr>
        <w:t>por medio de la cual se reforma la Ley 5° de 1992 para establecer mecanismos de transparencia, rendición de cuentas y asistencia en el Congreso de la República</w:t>
      </w:r>
      <w:r>
        <w:rPr>
          <w:rFonts w:ascii="Roboto" w:eastAsia="Roboto" w:hAnsi="Roboto" w:cs="Roboto"/>
          <w:color w:val="191610"/>
        </w:rPr>
        <w:t>”</w:t>
      </w:r>
    </w:p>
    <w:p w:rsidR="00812A62" w:rsidRDefault="00812A62">
      <w:pPr>
        <w:jc w:val="both"/>
      </w:pPr>
    </w:p>
    <w:p w:rsidR="00812A62" w:rsidRDefault="00812A62">
      <w:pPr>
        <w:jc w:val="both"/>
      </w:pPr>
    </w:p>
    <w:p w:rsidR="00812A62" w:rsidRDefault="00C127B7">
      <w:pPr>
        <w:jc w:val="both"/>
      </w:pPr>
      <w:r>
        <w:rPr>
          <w:rFonts w:ascii="Roboto" w:eastAsia="Roboto" w:hAnsi="Roboto" w:cs="Roboto"/>
          <w:color w:val="191610"/>
        </w:rPr>
        <w:t>Respetado Presidente:</w:t>
      </w:r>
    </w:p>
    <w:p w:rsidR="00812A62" w:rsidRDefault="00812A62">
      <w:pPr>
        <w:jc w:val="both"/>
      </w:pPr>
    </w:p>
    <w:p w:rsidR="00812A62" w:rsidRDefault="00C127B7">
      <w:pPr>
        <w:jc w:val="both"/>
      </w:pPr>
      <w:r>
        <w:rPr>
          <w:rFonts w:ascii="Roboto" w:eastAsia="Roboto" w:hAnsi="Roboto" w:cs="Roboto"/>
          <w:color w:val="191610"/>
        </w:rPr>
        <w:t xml:space="preserve">En nuestra condición de congresistas, nos disponemos a radicar el presente Proyecto de Ley Orgánica </w:t>
      </w:r>
      <w:r>
        <w:rPr>
          <w:rFonts w:ascii="Roboto" w:eastAsia="Roboto" w:hAnsi="Roboto" w:cs="Roboto"/>
        </w:rPr>
        <w:t xml:space="preserve">por medio de la cual se reforma la Ley 5° de 1992 para establecer mecanismos de rendición de cuentas, transparencia y verificación de la asistencia en el Congreso de la República. </w:t>
      </w:r>
      <w:r>
        <w:rPr>
          <w:rFonts w:ascii="Roboto" w:eastAsia="Roboto" w:hAnsi="Roboto" w:cs="Roboto"/>
          <w:color w:val="191610"/>
        </w:rPr>
        <w:t xml:space="preserve">El objetivo del proyecto de ley es </w:t>
      </w:r>
      <w:r>
        <w:rPr>
          <w:rFonts w:ascii="Roboto" w:eastAsia="Roboto" w:hAnsi="Roboto" w:cs="Roboto"/>
        </w:rPr>
        <w:t>establecer mecanismos de rendición de cuentas por parte de los Congresistas de la República, contribuir a la transparencia legislativa, garantizar el acceso de la ciudadanía a la información pública e incorporar métodos de verificación de la asistencia de los Congresistas a las sesiones.</w:t>
      </w:r>
    </w:p>
    <w:p w:rsidR="00812A62" w:rsidRDefault="00812A62">
      <w:pPr>
        <w:jc w:val="both"/>
      </w:pPr>
    </w:p>
    <w:p w:rsidR="00812A62" w:rsidRDefault="00C127B7">
      <w:pPr>
        <w:jc w:val="both"/>
      </w:pPr>
      <w:r>
        <w:rPr>
          <w:rFonts w:ascii="Roboto" w:eastAsia="Roboto" w:hAnsi="Roboto" w:cs="Roboto"/>
          <w:color w:val="191610"/>
        </w:rPr>
        <w:t xml:space="preserve">En este sentido, se presenta a consideración el presente Proyecto de Ley Orgánica, para iniciar el trámite correspondiente y cumplir con las exigencias dictadas por la Ley. Por tal motivo adjuntamos original y tres (3) copias del documento, así como una copia en medio </w:t>
      </w:r>
      <w:proofErr w:type="gramStart"/>
      <w:r>
        <w:rPr>
          <w:rFonts w:ascii="Roboto" w:eastAsia="Roboto" w:hAnsi="Roboto" w:cs="Roboto"/>
          <w:color w:val="191610"/>
        </w:rPr>
        <w:t>magnético</w:t>
      </w:r>
      <w:proofErr w:type="gramEnd"/>
      <w:r>
        <w:rPr>
          <w:rFonts w:ascii="Roboto" w:eastAsia="Roboto" w:hAnsi="Roboto" w:cs="Roboto"/>
          <w:color w:val="191610"/>
        </w:rPr>
        <w:t xml:space="preserve"> (CD).</w:t>
      </w:r>
    </w:p>
    <w:p w:rsidR="00812A62" w:rsidRDefault="00C127B7">
      <w:pPr>
        <w:jc w:val="both"/>
      </w:pPr>
      <w:r>
        <w:rPr>
          <w:rFonts w:ascii="Roboto" w:eastAsia="Roboto" w:hAnsi="Roboto" w:cs="Roboto"/>
        </w:rPr>
        <w:t>Cordialmente,</w:t>
      </w:r>
    </w:p>
    <w:p w:rsidR="00812A62" w:rsidRDefault="00812A62">
      <w:pPr>
        <w:jc w:val="both"/>
      </w:pPr>
    </w:p>
    <w:p w:rsidR="00812A62" w:rsidRDefault="00812A62">
      <w:pPr>
        <w:jc w:val="both"/>
      </w:pPr>
    </w:p>
    <w:p w:rsidR="00812A62" w:rsidRDefault="00812A62">
      <w:pPr>
        <w:jc w:val="both"/>
      </w:pPr>
    </w:p>
    <w:p w:rsidR="00812A62" w:rsidRDefault="00812A62">
      <w:pPr>
        <w:jc w:val="both"/>
      </w:pPr>
    </w:p>
    <w:p w:rsidR="00812A62" w:rsidRDefault="00812A62">
      <w:pPr>
        <w:jc w:val="both"/>
      </w:pPr>
    </w:p>
    <w:p w:rsidR="00812A62" w:rsidRDefault="00C127B7">
      <w:pPr>
        <w:jc w:val="both"/>
      </w:pPr>
      <w:r>
        <w:rPr>
          <w:rFonts w:ascii="Roboto" w:eastAsia="Roboto" w:hAnsi="Roboto" w:cs="Roboto"/>
          <w:b/>
        </w:rPr>
        <w:t>Angélica Lozano                                                                                   Claudia López</w:t>
      </w:r>
    </w:p>
    <w:p w:rsidR="00812A62" w:rsidRDefault="00C127B7">
      <w:pPr>
        <w:jc w:val="both"/>
      </w:pPr>
      <w:r>
        <w:rPr>
          <w:rFonts w:ascii="Roboto" w:eastAsia="Roboto" w:hAnsi="Roboto" w:cs="Roboto"/>
        </w:rPr>
        <w:t>Representante a la Cámara                                                                 Senadora de la República</w:t>
      </w:r>
    </w:p>
    <w:p w:rsidR="00C127B7" w:rsidRDefault="00C127B7" w:rsidP="00C127B7">
      <w:pPr>
        <w:jc w:val="both"/>
      </w:pPr>
      <w:r>
        <w:rPr>
          <w:rFonts w:ascii="Roboto" w:eastAsia="Roboto" w:hAnsi="Roboto" w:cs="Roboto"/>
        </w:rPr>
        <w:t>Alianza Verde                                                                                         Alianza Verde</w:t>
      </w:r>
    </w:p>
    <w:p w:rsidR="00812A62" w:rsidRDefault="00812A62">
      <w:pPr>
        <w:jc w:val="both"/>
      </w:pPr>
    </w:p>
    <w:p w:rsidR="00812A62" w:rsidRDefault="00812A62">
      <w:pPr>
        <w:jc w:val="both"/>
      </w:pPr>
    </w:p>
    <w:p w:rsidR="00812A62" w:rsidRDefault="00812A62">
      <w:pPr>
        <w:jc w:val="both"/>
      </w:pPr>
    </w:p>
    <w:p w:rsidR="00812A62" w:rsidRDefault="00812A62">
      <w:pPr>
        <w:jc w:val="both"/>
      </w:pPr>
    </w:p>
    <w:p w:rsidR="00812A62" w:rsidRDefault="00812A62">
      <w:pPr>
        <w:jc w:val="both"/>
      </w:pPr>
    </w:p>
    <w:p w:rsidR="00812A62" w:rsidRDefault="00812A62">
      <w:pPr>
        <w:jc w:val="both"/>
      </w:pPr>
    </w:p>
    <w:p w:rsidR="00C127B7" w:rsidRDefault="00C127B7">
      <w:pPr>
        <w:jc w:val="both"/>
      </w:pPr>
    </w:p>
    <w:p w:rsidR="00C127B7" w:rsidRDefault="00C127B7">
      <w:pPr>
        <w:jc w:val="both"/>
      </w:pPr>
    </w:p>
    <w:p w:rsidR="00C127B7" w:rsidRDefault="00C127B7">
      <w:pPr>
        <w:jc w:val="both"/>
      </w:pPr>
    </w:p>
    <w:p w:rsidR="00812A62" w:rsidRDefault="00812A62">
      <w:pPr>
        <w:jc w:val="both"/>
      </w:pPr>
    </w:p>
    <w:p w:rsidR="00812A62" w:rsidRDefault="00812A62">
      <w:pPr>
        <w:spacing w:line="240" w:lineRule="auto"/>
        <w:jc w:val="center"/>
        <w:rPr>
          <w:rFonts w:ascii="Roboto" w:eastAsia="Roboto" w:hAnsi="Roboto" w:cs="Roboto"/>
        </w:rPr>
      </w:pPr>
    </w:p>
    <w:p w:rsidR="00C127B7" w:rsidRDefault="00C127B7">
      <w:pPr>
        <w:spacing w:line="240" w:lineRule="auto"/>
        <w:jc w:val="center"/>
        <w:rPr>
          <w:rFonts w:ascii="Roboto" w:eastAsia="Roboto" w:hAnsi="Roboto" w:cs="Roboto"/>
        </w:rPr>
      </w:pPr>
    </w:p>
    <w:p w:rsidR="00C127B7" w:rsidRDefault="00C127B7">
      <w:pPr>
        <w:spacing w:line="240" w:lineRule="auto"/>
        <w:jc w:val="center"/>
      </w:pPr>
    </w:p>
    <w:p w:rsidR="00812A62" w:rsidRDefault="00812A62">
      <w:pPr>
        <w:spacing w:line="240" w:lineRule="auto"/>
        <w:jc w:val="center"/>
      </w:pPr>
    </w:p>
    <w:p w:rsidR="00C127B7" w:rsidRDefault="00C127B7" w:rsidP="00C127B7">
      <w:pPr>
        <w:jc w:val="center"/>
      </w:pPr>
      <w:r>
        <w:rPr>
          <w:rFonts w:ascii="Roboto" w:eastAsia="Roboto" w:hAnsi="Roboto" w:cs="Roboto"/>
          <w:b/>
        </w:rPr>
        <w:lastRenderedPageBreak/>
        <w:t>PROYECTO DE LEY _______________ DE 2016</w:t>
      </w:r>
    </w:p>
    <w:p w:rsidR="00C127B7" w:rsidRDefault="00C127B7" w:rsidP="00C127B7">
      <w:pPr>
        <w:jc w:val="center"/>
      </w:pPr>
      <w:r>
        <w:rPr>
          <w:rFonts w:ascii="Roboto" w:eastAsia="Roboto" w:hAnsi="Roboto" w:cs="Roboto"/>
          <w:b/>
        </w:rPr>
        <w:t>“Por medio de la cual se reforma la Ley 5° de 1992 para establecer mecanismos de rendición de cuentas, transparencia y verificación de la asistencia en el Congreso de la República.”</w:t>
      </w:r>
    </w:p>
    <w:p w:rsidR="00812A62" w:rsidRDefault="00812A62">
      <w:pPr>
        <w:spacing w:line="240" w:lineRule="auto"/>
        <w:jc w:val="center"/>
      </w:pPr>
    </w:p>
    <w:p w:rsidR="00C127B7" w:rsidRDefault="00C127B7">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jc w:val="center"/>
      </w:pPr>
    </w:p>
    <w:p w:rsidR="00812A62" w:rsidRDefault="00812A62">
      <w:pPr>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jc w:val="center"/>
      </w:pPr>
    </w:p>
    <w:p w:rsidR="00812A62" w:rsidRDefault="00812A62">
      <w:pPr>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812A62" w:rsidP="00C127B7">
      <w:pPr>
        <w:spacing w:line="240" w:lineRule="auto"/>
      </w:pPr>
    </w:p>
    <w:p w:rsidR="00812A62" w:rsidRDefault="00812A62">
      <w:pPr>
        <w:spacing w:line="240" w:lineRule="auto"/>
        <w:jc w:val="center"/>
      </w:pPr>
    </w:p>
    <w:p w:rsidR="00C127B7" w:rsidRDefault="00C127B7" w:rsidP="00C127B7">
      <w:pPr>
        <w:jc w:val="center"/>
      </w:pPr>
      <w:r>
        <w:rPr>
          <w:rFonts w:ascii="Roboto" w:eastAsia="Roboto" w:hAnsi="Roboto" w:cs="Roboto"/>
          <w:b/>
        </w:rPr>
        <w:t>PROYECTO DE LEY _______________ DE 2016</w:t>
      </w:r>
    </w:p>
    <w:p w:rsidR="00C127B7" w:rsidRDefault="00C127B7" w:rsidP="00C127B7">
      <w:pPr>
        <w:jc w:val="center"/>
      </w:pPr>
      <w:r>
        <w:rPr>
          <w:rFonts w:ascii="Roboto" w:eastAsia="Roboto" w:hAnsi="Roboto" w:cs="Roboto"/>
          <w:b/>
        </w:rPr>
        <w:lastRenderedPageBreak/>
        <w:t>“Por medio de la cual se reforma la Ley 5° de 1992 para establecer mecanismos de rendición de cuentas, transparencia y verificación de la asistencia en el Congreso de la República.”</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jc w:val="center"/>
      </w:pPr>
    </w:p>
    <w:p w:rsidR="00812A62" w:rsidRDefault="00812A62">
      <w:pPr>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jc w:val="center"/>
      </w:pPr>
    </w:p>
    <w:p w:rsidR="00812A62" w:rsidRDefault="00812A62">
      <w:pPr>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C127B7" w:rsidRDefault="00C127B7" w:rsidP="00C127B7">
      <w:pPr>
        <w:rPr>
          <w:sz w:val="40"/>
          <w:szCs w:val="40"/>
        </w:rPr>
      </w:pPr>
      <w:bookmarkStart w:id="0" w:name="h.9k4yxs5w3rrv" w:colFirst="0" w:colLast="0"/>
      <w:bookmarkStart w:id="1" w:name="h.24cr8kl4glsv" w:colFirst="0" w:colLast="0"/>
      <w:bookmarkEnd w:id="0"/>
      <w:bookmarkEnd w:id="1"/>
    </w:p>
    <w:p w:rsidR="00C127B7" w:rsidRDefault="00C127B7" w:rsidP="00C127B7">
      <w:pPr>
        <w:rPr>
          <w:sz w:val="40"/>
          <w:szCs w:val="40"/>
        </w:rPr>
      </w:pPr>
    </w:p>
    <w:p w:rsidR="00C127B7" w:rsidRPr="00C127B7" w:rsidRDefault="00C127B7" w:rsidP="00C127B7"/>
    <w:p w:rsidR="00812A62" w:rsidRDefault="00C127B7">
      <w:pPr>
        <w:pStyle w:val="Ttulo1"/>
        <w:keepNext w:val="0"/>
        <w:keepLines w:val="0"/>
        <w:spacing w:before="0" w:after="0"/>
        <w:jc w:val="center"/>
      </w:pPr>
      <w:bookmarkStart w:id="2" w:name="h.2jxsxqh" w:colFirst="0" w:colLast="0"/>
      <w:bookmarkEnd w:id="2"/>
      <w:r>
        <w:rPr>
          <w:rFonts w:ascii="Roboto" w:eastAsia="Roboto" w:hAnsi="Roboto" w:cs="Roboto"/>
          <w:b/>
          <w:sz w:val="22"/>
          <w:szCs w:val="22"/>
        </w:rPr>
        <w:t>ARTICULADO</w:t>
      </w:r>
    </w:p>
    <w:p w:rsidR="00812A62" w:rsidRDefault="00812A62"/>
    <w:p w:rsidR="00812A62" w:rsidRDefault="00C127B7">
      <w:pPr>
        <w:jc w:val="center"/>
      </w:pPr>
      <w:r>
        <w:rPr>
          <w:rFonts w:ascii="Roboto" w:eastAsia="Roboto" w:hAnsi="Roboto" w:cs="Roboto"/>
          <w:b/>
        </w:rPr>
        <w:t>PROYECTO DE LEY ___________________ DE 2016</w:t>
      </w:r>
    </w:p>
    <w:p w:rsidR="00812A62" w:rsidRDefault="00C127B7">
      <w:pPr>
        <w:jc w:val="center"/>
      </w:pPr>
      <w:r>
        <w:rPr>
          <w:rFonts w:ascii="Roboto" w:eastAsia="Roboto" w:hAnsi="Roboto" w:cs="Roboto"/>
          <w:b/>
        </w:rPr>
        <w:lastRenderedPageBreak/>
        <w:t>“Por medio de la cual se reforma la Ley 5° de 1992 para establecer mecanismos de rendición de cuentas, transparencia y verificación de la asistencia en el Congreso de la República”</w:t>
      </w:r>
    </w:p>
    <w:p w:rsidR="00812A62" w:rsidRDefault="00812A62">
      <w:pPr>
        <w:jc w:val="center"/>
      </w:pPr>
    </w:p>
    <w:p w:rsidR="00812A62" w:rsidRDefault="00C127B7">
      <w:pPr>
        <w:jc w:val="center"/>
      </w:pPr>
      <w:r>
        <w:rPr>
          <w:rFonts w:ascii="Roboto" w:eastAsia="Roboto" w:hAnsi="Roboto" w:cs="Roboto"/>
          <w:b/>
        </w:rPr>
        <w:t>El Congreso de la República de Colombia</w:t>
      </w:r>
    </w:p>
    <w:p w:rsidR="00812A62" w:rsidRDefault="00812A62">
      <w:pPr>
        <w:jc w:val="center"/>
      </w:pPr>
    </w:p>
    <w:p w:rsidR="00812A62" w:rsidRDefault="00C127B7">
      <w:pPr>
        <w:jc w:val="center"/>
      </w:pPr>
      <w:r>
        <w:rPr>
          <w:rFonts w:ascii="Roboto" w:eastAsia="Roboto" w:hAnsi="Roboto" w:cs="Roboto"/>
          <w:b/>
        </w:rPr>
        <w:t>Decreta</w:t>
      </w:r>
    </w:p>
    <w:p w:rsidR="00812A62" w:rsidRDefault="00812A62">
      <w:pPr>
        <w:jc w:val="both"/>
      </w:pPr>
    </w:p>
    <w:p w:rsidR="00812A62" w:rsidRDefault="00C127B7">
      <w:pPr>
        <w:jc w:val="both"/>
      </w:pPr>
      <w:r>
        <w:rPr>
          <w:rFonts w:ascii="Roboto" w:eastAsia="Roboto" w:hAnsi="Roboto" w:cs="Roboto"/>
          <w:b/>
        </w:rPr>
        <w:t>Artículo 1°.</w:t>
      </w:r>
      <w:r>
        <w:rPr>
          <w:rFonts w:ascii="Roboto" w:eastAsia="Roboto" w:hAnsi="Roboto" w:cs="Roboto"/>
        </w:rPr>
        <w:t xml:space="preserve"> La presente ley tiene por objeto establecer mecanismos de rendición de cuentas por parte de los Congresistas de la República, contribuir a la transparencia legislativa, garantizar el acceso de la ciudadanía a la información pública e incorporar métodos de verificación de la asistencia de los Congresistas a las sesiones.</w:t>
      </w:r>
    </w:p>
    <w:p w:rsidR="00812A62" w:rsidRDefault="00812A62">
      <w:pPr>
        <w:jc w:val="both"/>
      </w:pPr>
    </w:p>
    <w:p w:rsidR="00812A62" w:rsidRDefault="00C127B7">
      <w:pPr>
        <w:jc w:val="center"/>
      </w:pPr>
      <w:r>
        <w:rPr>
          <w:rFonts w:ascii="Roboto" w:eastAsia="Roboto" w:hAnsi="Roboto" w:cs="Roboto"/>
          <w:b/>
        </w:rPr>
        <w:t>TÍTULO I</w:t>
      </w:r>
    </w:p>
    <w:p w:rsidR="00812A62" w:rsidRDefault="00C127B7">
      <w:pPr>
        <w:jc w:val="center"/>
      </w:pPr>
      <w:r>
        <w:rPr>
          <w:rFonts w:ascii="Roboto" w:eastAsia="Roboto" w:hAnsi="Roboto" w:cs="Roboto"/>
          <w:b/>
        </w:rPr>
        <w:t>RENDICIÓN DE CUENTAS, TRANSPARENCIA Y ACCESO DE LA CIUDADANÍA</w:t>
      </w:r>
    </w:p>
    <w:p w:rsidR="00812A62" w:rsidRDefault="00812A62">
      <w:pPr>
        <w:jc w:val="both"/>
      </w:pPr>
    </w:p>
    <w:p w:rsidR="00812A62" w:rsidRDefault="00C127B7">
      <w:pPr>
        <w:jc w:val="center"/>
      </w:pPr>
      <w:r>
        <w:rPr>
          <w:rFonts w:ascii="Roboto" w:eastAsia="Roboto" w:hAnsi="Roboto" w:cs="Roboto"/>
          <w:b/>
        </w:rPr>
        <w:t>CAPÍTULO I</w:t>
      </w:r>
    </w:p>
    <w:p w:rsidR="00812A62" w:rsidRDefault="00C127B7">
      <w:pPr>
        <w:jc w:val="center"/>
      </w:pPr>
      <w:r>
        <w:rPr>
          <w:rFonts w:ascii="Roboto" w:eastAsia="Roboto" w:hAnsi="Roboto" w:cs="Roboto"/>
          <w:b/>
        </w:rPr>
        <w:t xml:space="preserve">DEBERES Y SANCIONES DE LOS SECRETARIOS GENERALES Y DE LOS CONGRESISTAS </w:t>
      </w:r>
    </w:p>
    <w:p w:rsidR="00812A62" w:rsidRDefault="00812A62">
      <w:pPr>
        <w:jc w:val="center"/>
      </w:pPr>
    </w:p>
    <w:p w:rsidR="00812A62" w:rsidRDefault="00C127B7">
      <w:pPr>
        <w:jc w:val="both"/>
      </w:pPr>
      <w:r>
        <w:rPr>
          <w:rFonts w:ascii="Roboto" w:eastAsia="Roboto" w:hAnsi="Roboto" w:cs="Roboto"/>
          <w:b/>
        </w:rPr>
        <w:t>Artículo 2º</w:t>
      </w:r>
      <w:r>
        <w:rPr>
          <w:rFonts w:ascii="Roboto" w:eastAsia="Roboto" w:hAnsi="Roboto" w:cs="Roboto"/>
        </w:rPr>
        <w:t xml:space="preserve">. Modifíquese los numerales 10, 15 y créese el numeral 16 del artículo 47 de la Ley 5ª de 1992, el cual quedará así:  </w:t>
      </w:r>
    </w:p>
    <w:p w:rsidR="00812A62" w:rsidRDefault="00812A62">
      <w:pPr>
        <w:jc w:val="both"/>
      </w:pPr>
    </w:p>
    <w:p w:rsidR="00812A62" w:rsidRDefault="00C127B7">
      <w:pPr>
        <w:jc w:val="both"/>
      </w:pPr>
      <w:r>
        <w:rPr>
          <w:rFonts w:ascii="Roboto" w:eastAsia="Roboto" w:hAnsi="Roboto" w:cs="Roboto"/>
          <w:b/>
        </w:rPr>
        <w:t>ARTÍCULO 47. DEBERES</w:t>
      </w:r>
      <w:r>
        <w:rPr>
          <w:rFonts w:ascii="Roboto" w:eastAsia="Roboto" w:hAnsi="Roboto" w:cs="Roboto"/>
        </w:rPr>
        <w:t xml:space="preserve">. Son deberes del Secretario General de cada Cámara: </w:t>
      </w:r>
    </w:p>
    <w:p w:rsidR="00812A62" w:rsidRDefault="00812A62">
      <w:pPr>
        <w:jc w:val="both"/>
      </w:pPr>
    </w:p>
    <w:p w:rsidR="00812A62" w:rsidRDefault="00C127B7">
      <w:pPr>
        <w:ind w:left="720"/>
        <w:jc w:val="both"/>
      </w:pPr>
      <w:r>
        <w:rPr>
          <w:rFonts w:ascii="Roboto" w:eastAsia="Roboto" w:hAnsi="Roboto" w:cs="Roboto"/>
        </w:rPr>
        <w:t xml:space="preserve">10. Dirigir la formación del archivo legislativo de cada legislatura y entregarlo a la oficina de archivo del Congreso, acompañado de un inventario general y un índice de las diversas materias que lo componen. </w:t>
      </w:r>
      <w:r>
        <w:rPr>
          <w:rFonts w:ascii="Roboto" w:eastAsia="Roboto" w:hAnsi="Roboto" w:cs="Roboto"/>
          <w:u w:val="single"/>
        </w:rPr>
        <w:t>El archivo legislativo se conservará en soporte digital y se publicará a través de las tecnologías de la información y las comunicaciones que ofrezcan un mejor acceso a los ciudadanos de dicha información</w:t>
      </w:r>
      <w:r>
        <w:rPr>
          <w:rFonts w:ascii="Roboto" w:eastAsia="Roboto" w:hAnsi="Roboto" w:cs="Roboto"/>
        </w:rPr>
        <w:t xml:space="preserve">.  </w:t>
      </w:r>
    </w:p>
    <w:p w:rsidR="00812A62" w:rsidRDefault="00812A62">
      <w:pPr>
        <w:jc w:val="both"/>
      </w:pPr>
    </w:p>
    <w:p w:rsidR="00812A62" w:rsidRDefault="00812A62">
      <w:pPr>
        <w:jc w:val="both"/>
      </w:pPr>
    </w:p>
    <w:p w:rsidR="00812A62" w:rsidRDefault="00C127B7">
      <w:pPr>
        <w:numPr>
          <w:ilvl w:val="0"/>
          <w:numId w:val="2"/>
        </w:numPr>
        <w:ind w:hanging="360"/>
        <w:contextualSpacing/>
        <w:jc w:val="both"/>
        <w:rPr>
          <w:rFonts w:ascii="Roboto" w:eastAsia="Roboto" w:hAnsi="Roboto" w:cs="Roboto"/>
        </w:rPr>
      </w:pPr>
      <w:r>
        <w:rPr>
          <w:rFonts w:ascii="Roboto" w:eastAsia="Roboto" w:hAnsi="Roboto" w:cs="Roboto"/>
          <w:u w:val="single"/>
        </w:rPr>
        <w:t>Elaborar y publicar un informe que contenga todas las actividades constitucionales y legales realizadas por la respectiva cámara en el periodo legislativo inmediatamente anterior, durante los veinte (20) días siguientes a la finalización del mismo o de las sesiones extraordinarias que se hayan convocado, según sea el caso. Asimismo, deberán publicar a través de las tecnologías de la información y de las comunicaciones, los “Informes de gestión del congresista” dentro de los cinco (5) días siguientes a su recepción. Esta información deberá adaptarse a mecanismos que les permitan tener acceso a las personas en condición de discapacidad.</w:t>
      </w:r>
    </w:p>
    <w:p w:rsidR="00812A62" w:rsidRDefault="00812A62">
      <w:pPr>
        <w:jc w:val="both"/>
      </w:pPr>
    </w:p>
    <w:p w:rsidR="00812A62" w:rsidRDefault="00C127B7">
      <w:pPr>
        <w:numPr>
          <w:ilvl w:val="0"/>
          <w:numId w:val="2"/>
        </w:numPr>
        <w:ind w:hanging="360"/>
        <w:contextualSpacing/>
        <w:jc w:val="both"/>
        <w:rPr>
          <w:rFonts w:ascii="Roboto" w:eastAsia="Roboto" w:hAnsi="Roboto" w:cs="Roboto"/>
        </w:rPr>
      </w:pPr>
      <w:r>
        <w:rPr>
          <w:rFonts w:ascii="Roboto" w:eastAsia="Roboto" w:hAnsi="Roboto" w:cs="Roboto"/>
          <w:u w:val="single"/>
        </w:rPr>
        <w:t>Los demás deberes que señale la corporación, la Mesa Directiva, y los inherentes a la misma naturaleza del cargo.</w:t>
      </w:r>
    </w:p>
    <w:p w:rsidR="009B3345" w:rsidRDefault="009B3345">
      <w:pPr>
        <w:jc w:val="both"/>
        <w:rPr>
          <w:rFonts w:ascii="Roboto" w:eastAsia="Roboto" w:hAnsi="Roboto" w:cs="Roboto"/>
          <w:b/>
        </w:rPr>
      </w:pPr>
    </w:p>
    <w:p w:rsidR="00812A62" w:rsidRDefault="00C127B7">
      <w:pPr>
        <w:jc w:val="both"/>
      </w:pPr>
      <w:r>
        <w:rPr>
          <w:rFonts w:ascii="Roboto" w:eastAsia="Roboto" w:hAnsi="Roboto" w:cs="Roboto"/>
          <w:b/>
        </w:rPr>
        <w:t>Artículo 3º.</w:t>
      </w:r>
      <w:r>
        <w:rPr>
          <w:rFonts w:ascii="Roboto" w:eastAsia="Roboto" w:hAnsi="Roboto" w:cs="Roboto"/>
        </w:rPr>
        <w:t xml:space="preserve"> Adiciónese un numeral 8º al artículo 268 de la Ley 5ª de 1992, el cual quedará  de la siguiente manera:</w:t>
      </w:r>
    </w:p>
    <w:p w:rsidR="00812A62" w:rsidRDefault="00812A62">
      <w:pPr>
        <w:jc w:val="both"/>
      </w:pPr>
    </w:p>
    <w:p w:rsidR="00812A62" w:rsidRDefault="00C127B7">
      <w:pPr>
        <w:jc w:val="both"/>
      </w:pPr>
      <w:r>
        <w:rPr>
          <w:rFonts w:ascii="Roboto" w:eastAsia="Roboto" w:hAnsi="Roboto" w:cs="Roboto"/>
          <w:b/>
        </w:rPr>
        <w:t xml:space="preserve">ARTÍCULO 268. DEBERES. </w:t>
      </w:r>
      <w:r>
        <w:rPr>
          <w:rFonts w:ascii="Roboto" w:eastAsia="Roboto" w:hAnsi="Roboto" w:cs="Roboto"/>
        </w:rPr>
        <w:t xml:space="preserve">Son deberes de los Congresistas: </w:t>
      </w:r>
    </w:p>
    <w:p w:rsidR="00812A62" w:rsidRDefault="00812A62">
      <w:pPr>
        <w:jc w:val="both"/>
      </w:pPr>
    </w:p>
    <w:p w:rsidR="00812A62" w:rsidRDefault="00C127B7">
      <w:pPr>
        <w:numPr>
          <w:ilvl w:val="0"/>
          <w:numId w:val="4"/>
        </w:numPr>
        <w:ind w:hanging="360"/>
        <w:contextualSpacing/>
        <w:jc w:val="both"/>
        <w:rPr>
          <w:rFonts w:ascii="Roboto" w:eastAsia="Roboto" w:hAnsi="Roboto" w:cs="Roboto"/>
        </w:rPr>
      </w:pPr>
      <w:r>
        <w:rPr>
          <w:rFonts w:ascii="Roboto" w:eastAsia="Roboto" w:hAnsi="Roboto" w:cs="Roboto"/>
          <w:u w:val="single"/>
        </w:rPr>
        <w:lastRenderedPageBreak/>
        <w:t>Cumplir las disposiciones referentes a transparencia legislativa e informes de gestión contemplados en la presente ley</w:t>
      </w:r>
      <w:r>
        <w:rPr>
          <w:rFonts w:ascii="Roboto" w:eastAsia="Roboto" w:hAnsi="Roboto" w:cs="Roboto"/>
        </w:rPr>
        <w:t>.</w:t>
      </w:r>
    </w:p>
    <w:p w:rsidR="00812A62" w:rsidRDefault="00812A62">
      <w:pPr>
        <w:jc w:val="both"/>
      </w:pPr>
    </w:p>
    <w:p w:rsidR="00812A62" w:rsidRDefault="00C127B7">
      <w:pPr>
        <w:jc w:val="both"/>
      </w:pPr>
      <w:r>
        <w:rPr>
          <w:rFonts w:ascii="Roboto" w:eastAsia="Roboto" w:hAnsi="Roboto" w:cs="Roboto"/>
          <w:b/>
        </w:rPr>
        <w:t>Artículo 4°.</w:t>
      </w:r>
      <w:r>
        <w:rPr>
          <w:rFonts w:ascii="Roboto" w:eastAsia="Roboto" w:hAnsi="Roboto" w:cs="Roboto"/>
        </w:rPr>
        <w:t xml:space="preserve"> Adiciónese un numeral 5º y modifíquese el parágrafo del artículo 270 de la Ley 5ª de 1992, el cual quedará de la siguiente manera:</w:t>
      </w:r>
    </w:p>
    <w:p w:rsidR="00812A62" w:rsidRDefault="00812A62">
      <w:pPr>
        <w:jc w:val="both"/>
      </w:pPr>
    </w:p>
    <w:p w:rsidR="00812A62" w:rsidRDefault="00C127B7">
      <w:pPr>
        <w:jc w:val="both"/>
      </w:pPr>
      <w:r>
        <w:rPr>
          <w:rFonts w:ascii="Roboto" w:eastAsia="Roboto" w:hAnsi="Roboto" w:cs="Roboto"/>
          <w:b/>
        </w:rPr>
        <w:t xml:space="preserve">ARTÍCULO 270. SANCIONES. </w:t>
      </w:r>
      <w:r>
        <w:rPr>
          <w:rFonts w:ascii="Roboto" w:eastAsia="Roboto" w:hAnsi="Roboto" w:cs="Roboto"/>
        </w:rPr>
        <w:t xml:space="preserve">Según la gravedad de la falta, se pueden imponer las siguientes sanciones: </w:t>
      </w:r>
    </w:p>
    <w:p w:rsidR="00812A62" w:rsidRDefault="00812A62">
      <w:pPr>
        <w:jc w:val="both"/>
      </w:pPr>
    </w:p>
    <w:p w:rsidR="00812A62" w:rsidRDefault="00C127B7">
      <w:pPr>
        <w:numPr>
          <w:ilvl w:val="0"/>
          <w:numId w:val="6"/>
        </w:numPr>
        <w:ind w:hanging="360"/>
        <w:contextualSpacing/>
        <w:jc w:val="both"/>
        <w:rPr>
          <w:rFonts w:ascii="Roboto" w:eastAsia="Roboto" w:hAnsi="Roboto" w:cs="Roboto"/>
        </w:rPr>
      </w:pPr>
      <w:r>
        <w:rPr>
          <w:rFonts w:ascii="Roboto" w:eastAsia="Roboto" w:hAnsi="Roboto" w:cs="Roboto"/>
          <w:u w:val="single"/>
        </w:rPr>
        <w:t>Declaración pública de incumplimiento a las disposiciones de transparencia legislativa y publicación del informe de gestión.</w:t>
      </w:r>
    </w:p>
    <w:p w:rsidR="00812A62" w:rsidRDefault="00812A62">
      <w:pPr>
        <w:jc w:val="both"/>
      </w:pPr>
    </w:p>
    <w:p w:rsidR="00812A62" w:rsidRDefault="00C127B7">
      <w:pPr>
        <w:jc w:val="both"/>
      </w:pPr>
      <w:r>
        <w:rPr>
          <w:rFonts w:ascii="Roboto" w:eastAsia="Roboto" w:hAnsi="Roboto" w:cs="Roboto"/>
          <w:b/>
        </w:rPr>
        <w:t>PARÁGRAFO.</w:t>
      </w:r>
      <w:r>
        <w:rPr>
          <w:rFonts w:ascii="Roboto" w:eastAsia="Roboto" w:hAnsi="Roboto" w:cs="Roboto"/>
        </w:rPr>
        <w:t xml:space="preserve"> Las sanciones previstas en los </w:t>
      </w:r>
      <w:r>
        <w:rPr>
          <w:rFonts w:ascii="Roboto" w:eastAsia="Roboto" w:hAnsi="Roboto" w:cs="Roboto"/>
          <w:u w:val="single"/>
        </w:rPr>
        <w:t>ordinales 1, 2 y 5</w:t>
      </w:r>
      <w:r>
        <w:rPr>
          <w:rFonts w:ascii="Roboto" w:eastAsia="Roboto" w:hAnsi="Roboto" w:cs="Roboto"/>
        </w:rPr>
        <w:t xml:space="preserve"> serán impuestas de plano por los respectivos Presidentes de las Cámaras o las Comisiones; la del numeral 3, por la Mesa Directiva, y la del numeral 4 por la misma Mesa Directiva previa evaluación de la Comisión de Acreditación Documental, en los términos del presente reglamento.</w:t>
      </w:r>
    </w:p>
    <w:p w:rsidR="00812A62" w:rsidRDefault="00812A62">
      <w:pPr>
        <w:jc w:val="both"/>
      </w:pPr>
    </w:p>
    <w:p w:rsidR="00812A62" w:rsidRDefault="00C127B7">
      <w:pPr>
        <w:jc w:val="center"/>
      </w:pPr>
      <w:r>
        <w:rPr>
          <w:rFonts w:ascii="Roboto" w:eastAsia="Roboto" w:hAnsi="Roboto" w:cs="Roboto"/>
          <w:b/>
        </w:rPr>
        <w:t>CAPÍTULO II</w:t>
      </w:r>
    </w:p>
    <w:p w:rsidR="00812A62" w:rsidRDefault="00C127B7">
      <w:pPr>
        <w:jc w:val="center"/>
      </w:pPr>
      <w:r>
        <w:rPr>
          <w:rFonts w:ascii="Roboto" w:eastAsia="Roboto" w:hAnsi="Roboto" w:cs="Roboto"/>
          <w:b/>
        </w:rPr>
        <w:t>INFORMES DE GESTIÓN DE LOS CONGRESISTAS</w:t>
      </w:r>
    </w:p>
    <w:p w:rsidR="00812A62" w:rsidRDefault="00812A62">
      <w:pPr>
        <w:jc w:val="center"/>
      </w:pPr>
    </w:p>
    <w:p w:rsidR="00812A62" w:rsidRDefault="00C127B7">
      <w:pPr>
        <w:jc w:val="both"/>
      </w:pPr>
      <w:r>
        <w:rPr>
          <w:rFonts w:ascii="Roboto" w:eastAsia="Roboto" w:hAnsi="Roboto" w:cs="Roboto"/>
          <w:b/>
        </w:rPr>
        <w:t>Artículo 5°.</w:t>
      </w:r>
      <w:r>
        <w:rPr>
          <w:rFonts w:ascii="Roboto" w:eastAsia="Roboto" w:hAnsi="Roboto" w:cs="Roboto"/>
        </w:rPr>
        <w:t xml:space="preserve"> Adiciónese una SECCIÓN 4A al Capítulo XI de la Ley 5ª de 1992 y un artículo 295A a la misma ley, el cual quedará así:</w:t>
      </w:r>
    </w:p>
    <w:p w:rsidR="00812A62" w:rsidRDefault="00812A62">
      <w:pPr>
        <w:jc w:val="both"/>
      </w:pPr>
    </w:p>
    <w:p w:rsidR="00812A62" w:rsidRDefault="00C127B7">
      <w:pPr>
        <w:ind w:left="720"/>
        <w:jc w:val="center"/>
      </w:pPr>
      <w:r>
        <w:rPr>
          <w:rFonts w:ascii="Roboto" w:eastAsia="Roboto" w:hAnsi="Roboto" w:cs="Roboto"/>
          <w:b/>
          <w:u w:val="single"/>
        </w:rPr>
        <w:t xml:space="preserve">SECCIÓN </w:t>
      </w:r>
      <w:proofErr w:type="spellStart"/>
      <w:r>
        <w:rPr>
          <w:rFonts w:ascii="Roboto" w:eastAsia="Roboto" w:hAnsi="Roboto" w:cs="Roboto"/>
          <w:b/>
          <w:u w:val="single"/>
        </w:rPr>
        <w:t>IV</w:t>
      </w:r>
      <w:r>
        <w:rPr>
          <w:rFonts w:ascii="Roboto" w:eastAsia="Roboto" w:hAnsi="Roboto" w:cs="Roboto"/>
          <w:b/>
          <w:u w:val="single"/>
          <w:vertAlign w:val="superscript"/>
        </w:rPr>
        <w:t>a</w:t>
      </w:r>
      <w:proofErr w:type="spellEnd"/>
    </w:p>
    <w:p w:rsidR="00812A62" w:rsidRDefault="00C127B7">
      <w:pPr>
        <w:ind w:left="720"/>
        <w:jc w:val="center"/>
      </w:pPr>
      <w:r>
        <w:rPr>
          <w:rFonts w:ascii="Roboto" w:eastAsia="Roboto" w:hAnsi="Roboto" w:cs="Roboto"/>
          <w:b/>
          <w:u w:val="single"/>
        </w:rPr>
        <w:t>TRANSPARENCIA LEGISLATIVA E INFORMES DE GESTIÓN DE LOS CONGRESISTAS</w:t>
      </w:r>
    </w:p>
    <w:p w:rsidR="00812A62" w:rsidRDefault="00812A62">
      <w:pPr>
        <w:jc w:val="both"/>
      </w:pPr>
    </w:p>
    <w:p w:rsidR="00812A62" w:rsidRDefault="00C127B7">
      <w:pPr>
        <w:ind w:left="720"/>
        <w:jc w:val="both"/>
      </w:pPr>
      <w:r>
        <w:rPr>
          <w:rFonts w:ascii="Roboto" w:eastAsia="Roboto" w:hAnsi="Roboto" w:cs="Roboto"/>
          <w:b/>
          <w:u w:val="single"/>
        </w:rPr>
        <w:t>Artículo 295A.</w:t>
      </w:r>
      <w:r>
        <w:rPr>
          <w:rFonts w:ascii="Roboto" w:eastAsia="Roboto" w:hAnsi="Roboto" w:cs="Roboto"/>
          <w:u w:val="single"/>
        </w:rPr>
        <w:t xml:space="preserve"> </w:t>
      </w:r>
      <w:r>
        <w:rPr>
          <w:rFonts w:ascii="Roboto" w:eastAsia="Roboto" w:hAnsi="Roboto" w:cs="Roboto"/>
          <w:b/>
          <w:u w:val="single"/>
        </w:rPr>
        <w:t>Informe de Gestión del Congresista</w:t>
      </w:r>
      <w:r>
        <w:rPr>
          <w:rFonts w:ascii="Roboto" w:eastAsia="Roboto" w:hAnsi="Roboto" w:cs="Roboto"/>
          <w:u w:val="single"/>
        </w:rPr>
        <w:t xml:space="preserve">. Cada congresista debe remitir a la Secretaría General de la Cámara a la que pertenezca un informe de gestión a la ciudadanía. Deberá presentarse un (1) informe anual que comprenda las actividades realizadas entre el 20 de julio y el 16 de diciembre, y entre el 16 de marzo y el 20 de junio de cada año, así como en las sesiones extraordinarias que se hubieren citado.  </w:t>
      </w:r>
    </w:p>
    <w:p w:rsidR="00812A62" w:rsidRDefault="00C127B7">
      <w:pPr>
        <w:ind w:left="720"/>
        <w:jc w:val="both"/>
      </w:pPr>
      <w:r>
        <w:rPr>
          <w:rFonts w:ascii="Roboto" w:eastAsia="Roboto" w:hAnsi="Roboto" w:cs="Roboto"/>
          <w:u w:val="single"/>
        </w:rPr>
        <w:t xml:space="preserve"> </w:t>
      </w:r>
    </w:p>
    <w:p w:rsidR="00812A62" w:rsidRDefault="00C127B7">
      <w:pPr>
        <w:ind w:left="720"/>
        <w:jc w:val="both"/>
      </w:pPr>
      <w:r>
        <w:rPr>
          <w:rFonts w:ascii="Roboto" w:eastAsia="Roboto" w:hAnsi="Roboto" w:cs="Roboto"/>
          <w:u w:val="single"/>
        </w:rPr>
        <w:t>Los congresistas deben presentar el Informe de Gestión dentro de los treinta (30) días siguientes a la terminación del año correspondiente,  incluyendo la última sesión extraordinaria, cuando sea el caso. En los supuestos de renuncia u otra forma de terminación del cargo el congresista deberá rendir su informe dentro de los treinta (30) días siguientes a la cesación de sus funciones.</w:t>
      </w:r>
    </w:p>
    <w:p w:rsidR="00812A62" w:rsidRDefault="00812A62">
      <w:pPr>
        <w:ind w:left="720"/>
        <w:jc w:val="both"/>
      </w:pPr>
    </w:p>
    <w:p w:rsidR="00812A62" w:rsidRDefault="00C127B7">
      <w:pPr>
        <w:ind w:left="720"/>
        <w:jc w:val="both"/>
      </w:pPr>
      <w:r>
        <w:rPr>
          <w:rFonts w:ascii="Roboto" w:eastAsia="Roboto" w:hAnsi="Roboto" w:cs="Roboto"/>
          <w:u w:val="single"/>
        </w:rPr>
        <w:t>El informe contendrá dos componentes: el primero corresponderá a la información legislativa que las secretarías de cada comisión y las secretarías generales de cada cámara certifican, y el segundo componente corresponde a la gestión adelantada por el Congresista según lo preceptuado en el artículo 6 de la presente ley.</w:t>
      </w:r>
    </w:p>
    <w:p w:rsidR="00812A62" w:rsidRDefault="00812A62">
      <w:pPr>
        <w:ind w:left="720"/>
        <w:jc w:val="both"/>
      </w:pPr>
    </w:p>
    <w:p w:rsidR="00812A62" w:rsidRDefault="00C127B7">
      <w:pPr>
        <w:ind w:left="720"/>
        <w:jc w:val="both"/>
      </w:pPr>
      <w:r>
        <w:rPr>
          <w:rFonts w:ascii="Roboto" w:eastAsia="Roboto" w:hAnsi="Roboto" w:cs="Roboto"/>
          <w:u w:val="single"/>
        </w:rPr>
        <w:t xml:space="preserve">Los respectivos secretarios de las diferentes comisiones del Congreso y los secretarios generales de cada Cámara, deberán mantener actualizados por medio de las tecnologías de la información y las comunicaciones que garanticen un acceso libre y fácil a la información de la ciudadanía, los datos que legalmente estén obligados a certificar como: pertenencia a </w:t>
      </w:r>
      <w:r>
        <w:rPr>
          <w:rFonts w:ascii="Roboto" w:eastAsia="Roboto" w:hAnsi="Roboto" w:cs="Roboto"/>
          <w:u w:val="single"/>
        </w:rPr>
        <w:lastRenderedPageBreak/>
        <w:t>comisiones constitucionales, legales, accidentales y especiales; asistencia a sus sesiones y justificaciones por su inasistencia; impedimentos y recusaciones; votaciones; proposiciones; proyectos radicados; ponencias presentadas; citaciones a debates; permisos, y similares. Así como también deberán llevar un registro de los viajes que los congresistas realizan al exterior.</w:t>
      </w:r>
    </w:p>
    <w:p w:rsidR="00812A62" w:rsidRDefault="00812A62">
      <w:pPr>
        <w:ind w:left="720"/>
        <w:jc w:val="both"/>
      </w:pPr>
    </w:p>
    <w:p w:rsidR="00812A62" w:rsidRDefault="00C127B7">
      <w:pPr>
        <w:ind w:left="720"/>
        <w:jc w:val="both"/>
      </w:pPr>
      <w:r>
        <w:rPr>
          <w:rFonts w:ascii="Roboto" w:eastAsia="Roboto" w:hAnsi="Roboto" w:cs="Roboto"/>
          <w:u w:val="single"/>
        </w:rPr>
        <w:t>Para su consulta, el Informe de Gestión será clasificado por Congresista y se publicará en la página web de cada Cámara, conforme a las nuevas tecnologías de la información y comunicación, e incluirá los dos componentes que lo integran.</w:t>
      </w:r>
    </w:p>
    <w:p w:rsidR="00812A62" w:rsidRDefault="00812A62">
      <w:pPr>
        <w:ind w:left="720"/>
        <w:jc w:val="both"/>
      </w:pPr>
    </w:p>
    <w:p w:rsidR="00812A62" w:rsidRDefault="00C127B7">
      <w:pPr>
        <w:ind w:left="720"/>
        <w:jc w:val="both"/>
      </w:pPr>
      <w:r>
        <w:rPr>
          <w:rFonts w:ascii="Roboto" w:eastAsia="Roboto" w:hAnsi="Roboto" w:cs="Roboto"/>
          <w:b/>
          <w:u w:val="single"/>
        </w:rPr>
        <w:t xml:space="preserve">Parágrafo 1°. </w:t>
      </w:r>
      <w:r>
        <w:rPr>
          <w:rFonts w:ascii="Roboto" w:eastAsia="Roboto" w:hAnsi="Roboto" w:cs="Roboto"/>
          <w:u w:val="single"/>
        </w:rPr>
        <w:t>Tratándose de asuntos que conciernen especialmente a un grupo étnico o personas en condición de discapacidad, la secretaría general de cada cámara garantizará los medios idóneos que permitan el acceso a la información de dichas poblaciones.</w:t>
      </w:r>
    </w:p>
    <w:p w:rsidR="00812A62" w:rsidRDefault="00812A62">
      <w:pPr>
        <w:ind w:left="720"/>
        <w:jc w:val="both"/>
      </w:pPr>
    </w:p>
    <w:p w:rsidR="00812A62" w:rsidRDefault="00C127B7">
      <w:pPr>
        <w:ind w:left="720"/>
        <w:jc w:val="both"/>
      </w:pPr>
      <w:r>
        <w:rPr>
          <w:rFonts w:ascii="Roboto" w:eastAsia="Roboto" w:hAnsi="Roboto" w:cs="Roboto"/>
          <w:b/>
          <w:u w:val="single"/>
        </w:rPr>
        <w:t xml:space="preserve">Parágrafo 2°. </w:t>
      </w:r>
      <w:r>
        <w:rPr>
          <w:rFonts w:ascii="Roboto" w:eastAsia="Roboto" w:hAnsi="Roboto" w:cs="Roboto"/>
          <w:u w:val="single"/>
        </w:rPr>
        <w:t>Este informe reemplazará al previsto en el parágrafo 2° del artículo 14 de la Ley 1147 de 2007.</w:t>
      </w:r>
    </w:p>
    <w:p w:rsidR="00812A62" w:rsidRDefault="00812A62">
      <w:pPr>
        <w:ind w:left="720"/>
        <w:jc w:val="both"/>
      </w:pPr>
    </w:p>
    <w:p w:rsidR="00812A62" w:rsidRDefault="00C127B7">
      <w:pPr>
        <w:ind w:left="720"/>
        <w:jc w:val="both"/>
      </w:pPr>
      <w:r>
        <w:rPr>
          <w:rFonts w:ascii="Roboto" w:eastAsia="Roboto" w:hAnsi="Roboto" w:cs="Roboto"/>
          <w:b/>
          <w:u w:val="single"/>
        </w:rPr>
        <w:t>Parágrafo transitorio.</w:t>
      </w:r>
      <w:r>
        <w:rPr>
          <w:rFonts w:ascii="Roboto" w:eastAsia="Roboto" w:hAnsi="Roboto" w:cs="Roboto"/>
          <w:u w:val="single"/>
        </w:rPr>
        <w:t xml:space="preserve"> Dentro de los dos (2) meses siguientes a la expedición de la presente ley se conformará una comisión especial integrada por un (1) miembro elegido por cada uno de los partidos políticos que tiene asiento en el Congreso de la República, y los secretarios generales de cada Cámara, con el objetivo de que dicha comisión expida un formato único que contenga los parámetros del informe de la actividad política.</w:t>
      </w:r>
    </w:p>
    <w:p w:rsidR="00812A62" w:rsidRDefault="00812A62">
      <w:pPr>
        <w:ind w:left="720"/>
        <w:jc w:val="both"/>
      </w:pPr>
    </w:p>
    <w:p w:rsidR="00812A62" w:rsidRDefault="00C127B7">
      <w:pPr>
        <w:ind w:left="720"/>
        <w:jc w:val="both"/>
      </w:pPr>
      <w:r>
        <w:rPr>
          <w:rFonts w:ascii="Roboto" w:eastAsia="Roboto" w:hAnsi="Roboto" w:cs="Roboto"/>
          <w:b/>
          <w:u w:val="single"/>
        </w:rPr>
        <w:t>Parágrafo 3°.</w:t>
      </w:r>
      <w:r>
        <w:rPr>
          <w:rFonts w:ascii="Roboto" w:eastAsia="Roboto" w:hAnsi="Roboto" w:cs="Roboto"/>
          <w:u w:val="single"/>
        </w:rPr>
        <w:t xml:space="preserve"> Quien represente la circunscripción internacional de la Cámara de Representantes no estará obligado a reportar en su informe de gestión los viajes que realice al exterior en ejercicio de su cargo. Tampoco está obligado el Secretario a llevar un registro de los mismos.  </w:t>
      </w:r>
    </w:p>
    <w:p w:rsidR="00812A62" w:rsidRDefault="00812A62">
      <w:pPr>
        <w:jc w:val="both"/>
      </w:pPr>
    </w:p>
    <w:p w:rsidR="00812A62" w:rsidRDefault="00C127B7">
      <w:pPr>
        <w:jc w:val="both"/>
      </w:pPr>
      <w:r>
        <w:rPr>
          <w:rFonts w:ascii="Roboto" w:eastAsia="Roboto" w:hAnsi="Roboto" w:cs="Roboto"/>
          <w:b/>
        </w:rPr>
        <w:t>Artículo 6°.</w:t>
      </w:r>
      <w:r>
        <w:rPr>
          <w:rFonts w:ascii="Roboto" w:eastAsia="Roboto" w:hAnsi="Roboto" w:cs="Roboto"/>
        </w:rPr>
        <w:t xml:space="preserve"> Adiciónese el artículo 295B a la Ley 5ª de 1992, el cual quedará así:</w:t>
      </w:r>
    </w:p>
    <w:p w:rsidR="00812A62" w:rsidRDefault="00812A62">
      <w:pPr>
        <w:jc w:val="both"/>
      </w:pPr>
    </w:p>
    <w:p w:rsidR="00812A62" w:rsidRDefault="00C127B7">
      <w:pPr>
        <w:ind w:left="720"/>
        <w:jc w:val="both"/>
      </w:pPr>
      <w:r>
        <w:rPr>
          <w:rFonts w:ascii="Roboto" w:eastAsia="Roboto" w:hAnsi="Roboto" w:cs="Roboto"/>
          <w:b/>
          <w:u w:val="single"/>
        </w:rPr>
        <w:t>Artículo 295B.</w:t>
      </w:r>
      <w:r>
        <w:rPr>
          <w:rFonts w:ascii="Roboto" w:eastAsia="Roboto" w:hAnsi="Roboto" w:cs="Roboto"/>
          <w:u w:val="single"/>
        </w:rPr>
        <w:t xml:space="preserve"> </w:t>
      </w:r>
      <w:r>
        <w:rPr>
          <w:rFonts w:ascii="Roboto" w:eastAsia="Roboto" w:hAnsi="Roboto" w:cs="Roboto"/>
          <w:b/>
          <w:u w:val="single"/>
        </w:rPr>
        <w:t>Contenido del Informe de Gestión del Congresista.</w:t>
      </w:r>
      <w:r>
        <w:rPr>
          <w:rFonts w:ascii="Roboto" w:eastAsia="Roboto" w:hAnsi="Roboto" w:cs="Roboto"/>
          <w:u w:val="single"/>
        </w:rPr>
        <w:t xml:space="preserve"> El Informe de Gestión que debe realizar cada congresista contendrá como mínimo un reporte de:</w:t>
      </w:r>
    </w:p>
    <w:p w:rsidR="00812A62" w:rsidRDefault="00812A62">
      <w:pPr>
        <w:jc w:val="both"/>
      </w:pPr>
    </w:p>
    <w:p w:rsidR="00812A62" w:rsidRDefault="00C127B7">
      <w:pPr>
        <w:numPr>
          <w:ilvl w:val="0"/>
          <w:numId w:val="5"/>
        </w:numPr>
        <w:ind w:left="1410" w:hanging="285"/>
        <w:contextualSpacing/>
        <w:jc w:val="both"/>
        <w:rPr>
          <w:rFonts w:ascii="Roboto" w:eastAsia="Roboto" w:hAnsi="Roboto" w:cs="Roboto"/>
        </w:rPr>
      </w:pPr>
      <w:r>
        <w:rPr>
          <w:rFonts w:ascii="Roboto" w:eastAsia="Roboto" w:hAnsi="Roboto" w:cs="Roboto"/>
          <w:u w:val="single"/>
        </w:rPr>
        <w:t>El ejercicio de funciones judiciales que no estén sometidas a reserva, en caso de ejercerlas.</w:t>
      </w:r>
    </w:p>
    <w:p w:rsidR="00812A62" w:rsidRDefault="00812A62">
      <w:pPr>
        <w:ind w:left="720"/>
        <w:jc w:val="both"/>
      </w:pPr>
    </w:p>
    <w:p w:rsidR="00812A62" w:rsidRDefault="00C127B7">
      <w:pPr>
        <w:numPr>
          <w:ilvl w:val="0"/>
          <w:numId w:val="5"/>
        </w:numPr>
        <w:ind w:left="1410" w:hanging="285"/>
        <w:contextualSpacing/>
        <w:jc w:val="both"/>
        <w:rPr>
          <w:rFonts w:ascii="Roboto" w:eastAsia="Roboto" w:hAnsi="Roboto" w:cs="Roboto"/>
        </w:rPr>
      </w:pPr>
      <w:r>
        <w:rPr>
          <w:rFonts w:ascii="Roboto" w:eastAsia="Roboto" w:hAnsi="Roboto" w:cs="Roboto"/>
          <w:u w:val="single"/>
        </w:rPr>
        <w:t>El ejercicio de las funciones administrativas y de mesa directiva, en caso de ejercerlas.</w:t>
      </w:r>
    </w:p>
    <w:p w:rsidR="00812A62" w:rsidRDefault="00812A62">
      <w:pPr>
        <w:ind w:left="720"/>
        <w:jc w:val="both"/>
      </w:pPr>
    </w:p>
    <w:p w:rsidR="00812A62" w:rsidRDefault="00C127B7">
      <w:pPr>
        <w:numPr>
          <w:ilvl w:val="0"/>
          <w:numId w:val="5"/>
        </w:numPr>
        <w:ind w:left="1410" w:hanging="285"/>
        <w:contextualSpacing/>
        <w:jc w:val="both"/>
        <w:rPr>
          <w:rFonts w:ascii="Roboto" w:eastAsia="Roboto" w:hAnsi="Roboto" w:cs="Roboto"/>
        </w:rPr>
      </w:pPr>
      <w:r>
        <w:rPr>
          <w:rFonts w:ascii="Roboto" w:eastAsia="Roboto" w:hAnsi="Roboto" w:cs="Roboto"/>
          <w:u w:val="single"/>
        </w:rPr>
        <w:t>Las convocatorias de audiencias y foros públicos, así como la participación en esta clase de eventos convocados por el Congreso o por terceros.</w:t>
      </w:r>
    </w:p>
    <w:p w:rsidR="00812A62" w:rsidRDefault="00812A62">
      <w:pPr>
        <w:ind w:left="720"/>
        <w:jc w:val="both"/>
      </w:pPr>
    </w:p>
    <w:p w:rsidR="00812A62" w:rsidRDefault="00C127B7">
      <w:pPr>
        <w:numPr>
          <w:ilvl w:val="0"/>
          <w:numId w:val="5"/>
        </w:numPr>
        <w:ind w:left="1410" w:hanging="285"/>
        <w:contextualSpacing/>
        <w:jc w:val="both"/>
        <w:rPr>
          <w:rFonts w:ascii="Roboto" w:eastAsia="Roboto" w:hAnsi="Roboto" w:cs="Roboto"/>
        </w:rPr>
      </w:pPr>
      <w:r>
        <w:rPr>
          <w:rFonts w:ascii="Roboto" w:eastAsia="Roboto" w:hAnsi="Roboto" w:cs="Roboto"/>
          <w:u w:val="single"/>
        </w:rPr>
        <w:t>La actividad política, investigaciones y documentos desarrollados por el congresista y su unidad de trabajo legislativo.</w:t>
      </w:r>
    </w:p>
    <w:p w:rsidR="00812A62" w:rsidRDefault="00812A62">
      <w:pPr>
        <w:ind w:left="720"/>
        <w:jc w:val="both"/>
      </w:pPr>
    </w:p>
    <w:p w:rsidR="00812A62" w:rsidRDefault="00C127B7">
      <w:pPr>
        <w:numPr>
          <w:ilvl w:val="0"/>
          <w:numId w:val="5"/>
        </w:numPr>
        <w:ind w:left="1410" w:hanging="285"/>
        <w:contextualSpacing/>
        <w:jc w:val="both"/>
        <w:rPr>
          <w:rFonts w:ascii="Roboto" w:eastAsia="Roboto" w:hAnsi="Roboto" w:cs="Roboto"/>
        </w:rPr>
      </w:pPr>
      <w:r>
        <w:rPr>
          <w:rFonts w:ascii="Roboto" w:eastAsia="Roboto" w:hAnsi="Roboto" w:cs="Roboto"/>
          <w:u w:val="single"/>
        </w:rPr>
        <w:t>Reconocimientos y sanciones recibidos en razón del cargo.</w:t>
      </w:r>
    </w:p>
    <w:p w:rsidR="00812A62" w:rsidRDefault="00812A62">
      <w:pPr>
        <w:ind w:left="720"/>
        <w:jc w:val="both"/>
      </w:pPr>
    </w:p>
    <w:p w:rsidR="00812A62" w:rsidRDefault="00C127B7">
      <w:pPr>
        <w:numPr>
          <w:ilvl w:val="0"/>
          <w:numId w:val="5"/>
        </w:numPr>
        <w:ind w:left="1410" w:hanging="285"/>
        <w:contextualSpacing/>
        <w:jc w:val="both"/>
        <w:rPr>
          <w:rFonts w:ascii="Roboto" w:eastAsia="Roboto" w:hAnsi="Roboto" w:cs="Roboto"/>
        </w:rPr>
      </w:pPr>
      <w:r>
        <w:rPr>
          <w:rFonts w:ascii="Roboto" w:eastAsia="Roboto" w:hAnsi="Roboto" w:cs="Roboto"/>
          <w:u w:val="single"/>
        </w:rPr>
        <w:t xml:space="preserve">Los viajes internacionales realizados en comisión oficial, sobre los cuales deberá consignarse el motivo del viaje, costo, fuente de financiación, duración del viaje, </w:t>
      </w:r>
      <w:r>
        <w:rPr>
          <w:rFonts w:ascii="Roboto" w:eastAsia="Roboto" w:hAnsi="Roboto" w:cs="Roboto"/>
          <w:u w:val="single"/>
        </w:rPr>
        <w:lastRenderedPageBreak/>
        <w:t>número y fecha de las sesiones de comisión y plenaria a las cuales no asistió el Congresista con ocasión del viaje y un informe de resultados.</w:t>
      </w:r>
    </w:p>
    <w:p w:rsidR="00812A62" w:rsidRDefault="00812A62">
      <w:pPr>
        <w:jc w:val="both"/>
      </w:pPr>
    </w:p>
    <w:p w:rsidR="00812A62" w:rsidRDefault="00C127B7">
      <w:pPr>
        <w:jc w:val="both"/>
      </w:pPr>
      <w:r>
        <w:rPr>
          <w:rFonts w:ascii="Roboto" w:eastAsia="Roboto" w:hAnsi="Roboto" w:cs="Roboto"/>
          <w:b/>
        </w:rPr>
        <w:t>Artículo 7°.</w:t>
      </w:r>
      <w:r>
        <w:rPr>
          <w:rFonts w:ascii="Roboto" w:eastAsia="Roboto" w:hAnsi="Roboto" w:cs="Roboto"/>
        </w:rPr>
        <w:t xml:space="preserve"> Adiciónese el artículo 295C a la Ley 5ª de 1992, el cual quedará así:</w:t>
      </w:r>
    </w:p>
    <w:p w:rsidR="00812A62" w:rsidRDefault="00812A62">
      <w:pPr>
        <w:jc w:val="both"/>
      </w:pPr>
    </w:p>
    <w:p w:rsidR="00812A62" w:rsidRDefault="00C127B7">
      <w:pPr>
        <w:ind w:left="720"/>
        <w:jc w:val="both"/>
      </w:pPr>
      <w:r>
        <w:rPr>
          <w:rFonts w:ascii="Roboto" w:eastAsia="Roboto" w:hAnsi="Roboto" w:cs="Roboto"/>
          <w:b/>
          <w:u w:val="single"/>
        </w:rPr>
        <w:t xml:space="preserve">Artículo 295C. Publicidad del Informe de Gestión del Congresista. </w:t>
      </w:r>
      <w:r>
        <w:rPr>
          <w:rFonts w:ascii="Roboto" w:eastAsia="Roboto" w:hAnsi="Roboto" w:cs="Roboto"/>
          <w:u w:val="single"/>
        </w:rPr>
        <w:t xml:space="preserve"> El Informe de Gestión de los congresistas deberá ser enviado al Secretario General de la Cámara correspondiente, quien lo publicará en el sitio web de la Cámara a la que pertenece, a través de las nuevas tecnologías de la información y comunicación y lo remitirá a la Unidad de Atención Ciudadana, dentro de los cinco (5) días siguientes a recibirlo, para asegurar su adecuada difusión.</w:t>
      </w:r>
    </w:p>
    <w:p w:rsidR="00812A62" w:rsidRDefault="00812A62">
      <w:pPr>
        <w:jc w:val="both"/>
      </w:pPr>
    </w:p>
    <w:p w:rsidR="00812A62" w:rsidRDefault="00C127B7">
      <w:pPr>
        <w:jc w:val="both"/>
      </w:pPr>
      <w:r>
        <w:rPr>
          <w:rFonts w:ascii="Roboto" w:eastAsia="Roboto" w:hAnsi="Roboto" w:cs="Roboto"/>
          <w:b/>
        </w:rPr>
        <w:t>Artículo 8°.</w:t>
      </w:r>
      <w:r>
        <w:rPr>
          <w:rFonts w:ascii="Roboto" w:eastAsia="Roboto" w:hAnsi="Roboto" w:cs="Roboto"/>
        </w:rPr>
        <w:t xml:space="preserve"> Adiciónese el artículo 295D a la Ley 5ª de 1992, el cual quedará así:</w:t>
      </w:r>
    </w:p>
    <w:p w:rsidR="00812A62" w:rsidRDefault="00812A62">
      <w:pPr>
        <w:jc w:val="both"/>
      </w:pPr>
    </w:p>
    <w:p w:rsidR="00812A62" w:rsidRDefault="00C127B7">
      <w:pPr>
        <w:ind w:left="720"/>
        <w:jc w:val="both"/>
      </w:pPr>
      <w:r>
        <w:rPr>
          <w:rFonts w:ascii="Roboto" w:eastAsia="Roboto" w:hAnsi="Roboto" w:cs="Roboto"/>
          <w:b/>
          <w:u w:val="single"/>
        </w:rPr>
        <w:t>Artículo 295D.</w:t>
      </w:r>
      <w:r>
        <w:rPr>
          <w:rFonts w:ascii="Roboto" w:eastAsia="Roboto" w:hAnsi="Roboto" w:cs="Roboto"/>
          <w:u w:val="single"/>
        </w:rPr>
        <w:t xml:space="preserve">  El Secretario General de cada Cámara en coordinación con la Dirección Administrativa correspondiente, deberá mantener actualizado y garantizar el acceso público de manera virtual, a  la información y documentos requeridos para el trámite de posesión como Congresista de la República, descritos en la Ley 5ª de 1992, y adicionalmente la siguiente información:</w:t>
      </w:r>
    </w:p>
    <w:p w:rsidR="00812A62" w:rsidRDefault="00812A62">
      <w:pPr>
        <w:jc w:val="both"/>
      </w:pPr>
    </w:p>
    <w:p w:rsidR="00812A62" w:rsidRDefault="00C127B7">
      <w:pPr>
        <w:numPr>
          <w:ilvl w:val="0"/>
          <w:numId w:val="3"/>
        </w:numPr>
        <w:ind w:left="1440" w:hanging="360"/>
        <w:contextualSpacing/>
        <w:jc w:val="both"/>
        <w:rPr>
          <w:rFonts w:ascii="Roboto" w:eastAsia="Roboto" w:hAnsi="Roboto" w:cs="Roboto"/>
        </w:rPr>
      </w:pPr>
      <w:r>
        <w:rPr>
          <w:rFonts w:ascii="Roboto" w:eastAsia="Roboto" w:hAnsi="Roboto" w:cs="Roboto"/>
          <w:u w:val="single"/>
        </w:rPr>
        <w:t>Gastos de campañas presentados al Consejo Nacional Electoral.</w:t>
      </w:r>
    </w:p>
    <w:p w:rsidR="00812A62" w:rsidRDefault="00812A62">
      <w:pPr>
        <w:ind w:left="720"/>
        <w:jc w:val="both"/>
      </w:pPr>
    </w:p>
    <w:p w:rsidR="00812A62" w:rsidRDefault="00C127B7">
      <w:pPr>
        <w:numPr>
          <w:ilvl w:val="0"/>
          <w:numId w:val="3"/>
        </w:numPr>
        <w:ind w:left="1440" w:hanging="360"/>
        <w:contextualSpacing/>
        <w:jc w:val="both"/>
        <w:rPr>
          <w:rFonts w:ascii="Roboto" w:eastAsia="Roboto" w:hAnsi="Roboto" w:cs="Roboto"/>
        </w:rPr>
      </w:pPr>
      <w:r>
        <w:rPr>
          <w:rFonts w:ascii="Roboto" w:eastAsia="Roboto" w:hAnsi="Roboto" w:cs="Roboto"/>
          <w:u w:val="single"/>
        </w:rPr>
        <w:t>Registro de intereses privados en formatos abiertos y estructurados en canales virtuales de fácil acceso al público.</w:t>
      </w:r>
    </w:p>
    <w:p w:rsidR="00812A62" w:rsidRDefault="00812A62">
      <w:pPr>
        <w:ind w:left="720"/>
        <w:jc w:val="both"/>
      </w:pPr>
    </w:p>
    <w:p w:rsidR="00812A62" w:rsidRDefault="00C127B7">
      <w:pPr>
        <w:numPr>
          <w:ilvl w:val="0"/>
          <w:numId w:val="3"/>
        </w:numPr>
        <w:ind w:left="1440" w:hanging="360"/>
        <w:contextualSpacing/>
        <w:jc w:val="both"/>
        <w:rPr>
          <w:rFonts w:ascii="Roboto" w:eastAsia="Roboto" w:hAnsi="Roboto" w:cs="Roboto"/>
        </w:rPr>
      </w:pPr>
      <w:r>
        <w:rPr>
          <w:rFonts w:ascii="Roboto" w:eastAsia="Roboto" w:hAnsi="Roboto" w:cs="Roboto"/>
          <w:u w:val="single"/>
        </w:rPr>
        <w:t>Hoja de vida de los integrantes de su unidad de trabajo legislativo, su cargo y asignación salarial.</w:t>
      </w:r>
    </w:p>
    <w:p w:rsidR="00812A62" w:rsidRDefault="00812A62">
      <w:pPr>
        <w:ind w:left="720"/>
        <w:jc w:val="both"/>
      </w:pPr>
    </w:p>
    <w:p w:rsidR="00812A62" w:rsidRDefault="00C127B7">
      <w:pPr>
        <w:numPr>
          <w:ilvl w:val="0"/>
          <w:numId w:val="3"/>
        </w:numPr>
        <w:ind w:left="1440" w:hanging="360"/>
        <w:contextualSpacing/>
        <w:jc w:val="both"/>
        <w:rPr>
          <w:rFonts w:ascii="Roboto" w:eastAsia="Roboto" w:hAnsi="Roboto" w:cs="Roboto"/>
        </w:rPr>
      </w:pPr>
      <w:r>
        <w:rPr>
          <w:rFonts w:ascii="Roboto" w:eastAsia="Roboto" w:hAnsi="Roboto" w:cs="Roboto"/>
          <w:u w:val="single"/>
        </w:rPr>
        <w:t>Los informes de gestión publicados durante su período.</w:t>
      </w:r>
    </w:p>
    <w:p w:rsidR="00812A62" w:rsidRDefault="00812A62">
      <w:pPr>
        <w:ind w:left="720"/>
        <w:jc w:val="both"/>
      </w:pPr>
    </w:p>
    <w:p w:rsidR="00812A62" w:rsidRDefault="00C127B7">
      <w:pPr>
        <w:numPr>
          <w:ilvl w:val="0"/>
          <w:numId w:val="3"/>
        </w:numPr>
        <w:ind w:left="1440" w:hanging="360"/>
        <w:contextualSpacing/>
        <w:jc w:val="both"/>
        <w:rPr>
          <w:rFonts w:ascii="Roboto" w:eastAsia="Roboto" w:hAnsi="Roboto" w:cs="Roboto"/>
        </w:rPr>
      </w:pPr>
      <w:r>
        <w:rPr>
          <w:rFonts w:ascii="Roboto" w:eastAsia="Roboto" w:hAnsi="Roboto" w:cs="Roboto"/>
          <w:u w:val="single"/>
        </w:rPr>
        <w:t>Licencias de comisión al extranjero solicitadas, pasajes aéreos y viáticos percibidos.</w:t>
      </w:r>
    </w:p>
    <w:p w:rsidR="00812A62" w:rsidRDefault="00812A62">
      <w:pPr>
        <w:ind w:left="720"/>
        <w:jc w:val="both"/>
      </w:pPr>
    </w:p>
    <w:p w:rsidR="00812A62" w:rsidRDefault="00C127B7">
      <w:pPr>
        <w:numPr>
          <w:ilvl w:val="0"/>
          <w:numId w:val="3"/>
        </w:numPr>
        <w:ind w:left="1440" w:hanging="360"/>
        <w:contextualSpacing/>
        <w:jc w:val="both"/>
        <w:rPr>
          <w:rFonts w:ascii="Roboto" w:eastAsia="Roboto" w:hAnsi="Roboto" w:cs="Roboto"/>
        </w:rPr>
      </w:pPr>
      <w:r>
        <w:rPr>
          <w:rFonts w:ascii="Roboto" w:eastAsia="Roboto" w:hAnsi="Roboto" w:cs="Roboto"/>
          <w:u w:val="single"/>
        </w:rPr>
        <w:t>Hoja de vida del Director General  Administrativo, de Jefe de la División Financiera y de Presupuesto, del Jefe de la División de Bienes y Servicios y del Jefe de la División Jurídica o quien haga sus veces.</w:t>
      </w:r>
    </w:p>
    <w:p w:rsidR="00812A62" w:rsidRDefault="00812A62">
      <w:pPr>
        <w:ind w:left="1440"/>
      </w:pPr>
    </w:p>
    <w:p w:rsidR="00812A62" w:rsidRDefault="00C127B7">
      <w:pPr>
        <w:numPr>
          <w:ilvl w:val="0"/>
          <w:numId w:val="3"/>
        </w:numPr>
        <w:ind w:left="1440" w:hanging="360"/>
        <w:contextualSpacing/>
        <w:jc w:val="both"/>
        <w:rPr>
          <w:rFonts w:ascii="Roboto" w:eastAsia="Roboto" w:hAnsi="Roboto" w:cs="Roboto"/>
        </w:rPr>
      </w:pPr>
      <w:r>
        <w:rPr>
          <w:rFonts w:ascii="Roboto" w:eastAsia="Roboto" w:hAnsi="Roboto" w:cs="Roboto"/>
          <w:u w:val="single"/>
        </w:rPr>
        <w:t>Declaración juramentada de bienes y rentas y actividad económica privada de persona natural, el registro  de intereses y la declaración de inhabilidades e incompatibilidades, así como la declaración de renta y complementarios de personas naturales y asimiladas no obligadas a llevar contabilidad.</w:t>
      </w:r>
    </w:p>
    <w:p w:rsidR="00812A62" w:rsidRDefault="00812A62">
      <w:pPr>
        <w:ind w:left="720"/>
        <w:jc w:val="both"/>
      </w:pPr>
    </w:p>
    <w:p w:rsidR="00812A62" w:rsidRDefault="00C127B7">
      <w:pPr>
        <w:ind w:left="720"/>
        <w:jc w:val="both"/>
      </w:pPr>
      <w:r>
        <w:rPr>
          <w:rFonts w:ascii="Roboto" w:eastAsia="Roboto" w:hAnsi="Roboto" w:cs="Roboto"/>
          <w:b/>
          <w:u w:val="single"/>
        </w:rPr>
        <w:t>Parágrafo 1º.</w:t>
      </w:r>
      <w:r>
        <w:rPr>
          <w:rFonts w:ascii="Roboto" w:eastAsia="Roboto" w:hAnsi="Roboto" w:cs="Roboto"/>
          <w:u w:val="single"/>
        </w:rPr>
        <w:t xml:space="preserve"> En un solo archivo en formatos abiertos se ordenará la información sobre cada congresista e igualmente deberán unificarse y consultarse los relacionados con un mismo partido o movimiento político, o circunscripción. Las novedades deberán ser actualizadas por el Secretario General en un plazo máximo de cinco (5) días después de reportarse la información.</w:t>
      </w:r>
    </w:p>
    <w:p w:rsidR="00812A62" w:rsidRDefault="00812A62">
      <w:pPr>
        <w:ind w:left="720"/>
        <w:jc w:val="both"/>
      </w:pPr>
    </w:p>
    <w:p w:rsidR="00812A62" w:rsidRDefault="00C127B7">
      <w:pPr>
        <w:ind w:left="720"/>
        <w:jc w:val="both"/>
      </w:pPr>
      <w:r>
        <w:rPr>
          <w:rFonts w:ascii="Roboto" w:eastAsia="Roboto" w:hAnsi="Roboto" w:cs="Roboto"/>
          <w:u w:val="single"/>
        </w:rPr>
        <w:lastRenderedPageBreak/>
        <w:t>Deberá generarse un archivo histórico digital que permita revisar los informes de gestión hacia el pasado.</w:t>
      </w:r>
    </w:p>
    <w:p w:rsidR="00812A62" w:rsidRDefault="00812A62">
      <w:pPr>
        <w:ind w:left="720"/>
        <w:jc w:val="both"/>
      </w:pPr>
    </w:p>
    <w:p w:rsidR="00812A62" w:rsidRDefault="00C127B7">
      <w:pPr>
        <w:ind w:left="720"/>
        <w:jc w:val="both"/>
      </w:pPr>
      <w:r>
        <w:rPr>
          <w:rFonts w:ascii="Roboto" w:eastAsia="Roboto" w:hAnsi="Roboto" w:cs="Roboto"/>
          <w:u w:val="single"/>
        </w:rPr>
        <w:t>En caso de informes de gestión no entregados en el plazo correspondiente, el Secretario General reemplazará su publicación por la frase “El congresista actualmente incumple las disposiciones de transparencia legislativa”, hasta que este sea entregado.</w:t>
      </w:r>
    </w:p>
    <w:p w:rsidR="00812A62" w:rsidRDefault="00812A62">
      <w:pPr>
        <w:ind w:left="720"/>
        <w:jc w:val="both"/>
      </w:pPr>
    </w:p>
    <w:p w:rsidR="00812A62" w:rsidRDefault="00C127B7">
      <w:pPr>
        <w:ind w:left="720"/>
        <w:jc w:val="both"/>
      </w:pPr>
      <w:r>
        <w:rPr>
          <w:rFonts w:ascii="Roboto" w:eastAsia="Roboto" w:hAnsi="Roboto" w:cs="Roboto"/>
          <w:b/>
          <w:u w:val="single"/>
        </w:rPr>
        <w:t>Parágrafo 2°.</w:t>
      </w:r>
      <w:r>
        <w:rPr>
          <w:rFonts w:ascii="Roboto" w:eastAsia="Roboto" w:hAnsi="Roboto" w:cs="Roboto"/>
          <w:u w:val="single"/>
        </w:rPr>
        <w:t xml:space="preserve"> La Secretaria General de cada cámara no publicará la información personal de los servidores públicos mencionados en este artículo que no tengan relevancia pública, tales como: la dirección de su domicilio, su número telefónico, número de las cuentas bancarias, número de cédula de identificación de los familiares tanto del Congresista como de sus familiares.  </w:t>
      </w:r>
    </w:p>
    <w:p w:rsidR="00812A62" w:rsidRDefault="00812A62">
      <w:pPr>
        <w:ind w:left="720"/>
        <w:jc w:val="both"/>
      </w:pPr>
    </w:p>
    <w:p w:rsidR="00812A62" w:rsidRDefault="00C127B7">
      <w:pPr>
        <w:ind w:left="720"/>
        <w:jc w:val="both"/>
      </w:pPr>
      <w:r>
        <w:rPr>
          <w:rFonts w:ascii="Roboto" w:eastAsia="Roboto" w:hAnsi="Roboto" w:cs="Roboto"/>
          <w:b/>
          <w:u w:val="single"/>
        </w:rPr>
        <w:t>Parágrafo 3°.</w:t>
      </w:r>
      <w:r>
        <w:rPr>
          <w:rFonts w:ascii="Roboto" w:eastAsia="Roboto" w:hAnsi="Roboto" w:cs="Roboto"/>
          <w:u w:val="single"/>
        </w:rPr>
        <w:t xml:space="preserve"> La información deberá publicarse en los formatos únicos, los cuales serán igual para ambas Cámaras.</w:t>
      </w:r>
    </w:p>
    <w:p w:rsidR="00812A62" w:rsidRDefault="00812A62">
      <w:pPr>
        <w:jc w:val="both"/>
      </w:pPr>
    </w:p>
    <w:p w:rsidR="00812A62" w:rsidRDefault="00C127B7">
      <w:pPr>
        <w:jc w:val="center"/>
      </w:pPr>
      <w:r>
        <w:rPr>
          <w:rFonts w:ascii="Roboto" w:eastAsia="Roboto" w:hAnsi="Roboto" w:cs="Roboto"/>
          <w:b/>
        </w:rPr>
        <w:t>CAPÍTULO III</w:t>
      </w:r>
    </w:p>
    <w:p w:rsidR="00812A62" w:rsidRDefault="00C127B7">
      <w:pPr>
        <w:jc w:val="center"/>
      </w:pPr>
      <w:r>
        <w:rPr>
          <w:rFonts w:ascii="Roboto" w:eastAsia="Roboto" w:hAnsi="Roboto" w:cs="Roboto"/>
          <w:b/>
        </w:rPr>
        <w:t>ACCESO A LA CIUDADANÍA</w:t>
      </w:r>
    </w:p>
    <w:p w:rsidR="00812A62" w:rsidRDefault="00812A62">
      <w:pPr>
        <w:jc w:val="both"/>
      </w:pPr>
    </w:p>
    <w:p w:rsidR="00812A62" w:rsidRDefault="00C127B7">
      <w:pPr>
        <w:jc w:val="both"/>
      </w:pPr>
      <w:r>
        <w:rPr>
          <w:rFonts w:ascii="Roboto" w:eastAsia="Roboto" w:hAnsi="Roboto" w:cs="Roboto"/>
          <w:b/>
        </w:rPr>
        <w:t>Artículo 9°.</w:t>
      </w:r>
      <w:r>
        <w:rPr>
          <w:rFonts w:ascii="Roboto" w:eastAsia="Roboto" w:hAnsi="Roboto" w:cs="Roboto"/>
        </w:rPr>
        <w:t xml:space="preserve"> Adiciónese el artículo 21A a la Ley 5ª de 1992, el cual quedará redactado de la siguiente manera:</w:t>
      </w:r>
    </w:p>
    <w:p w:rsidR="00812A62" w:rsidRDefault="00812A62">
      <w:pPr>
        <w:ind w:left="720"/>
        <w:jc w:val="both"/>
      </w:pPr>
    </w:p>
    <w:p w:rsidR="00812A62" w:rsidRDefault="00C127B7">
      <w:pPr>
        <w:ind w:left="720"/>
        <w:jc w:val="both"/>
      </w:pPr>
      <w:r>
        <w:rPr>
          <w:rFonts w:ascii="Roboto" w:eastAsia="Roboto" w:hAnsi="Roboto" w:cs="Roboto"/>
          <w:b/>
          <w:u w:val="single"/>
        </w:rPr>
        <w:t xml:space="preserve">Artículo 21A. Publicación previa de postulaciones. </w:t>
      </w:r>
      <w:r>
        <w:rPr>
          <w:rFonts w:ascii="Roboto" w:eastAsia="Roboto" w:hAnsi="Roboto" w:cs="Roboto"/>
          <w:u w:val="single"/>
        </w:rPr>
        <w:t>Para todas las elecciones que realice el Congreso en pleno o en alguna de sus cámaras, los nombres de los candidatos y los documentos que acrediten sus calidades deberán ser publicados treinta (30) días antes de la elección. La Secretaría General de la Cámara correspondiente deberá publicar esta información en el sitio web de la cámara que realice la elección o en el de las dos (2) Cámaras, cuando la elección corresponda a ambas.</w:t>
      </w:r>
    </w:p>
    <w:p w:rsidR="00812A62" w:rsidRDefault="00812A62">
      <w:pPr>
        <w:ind w:left="720"/>
        <w:jc w:val="both"/>
      </w:pPr>
    </w:p>
    <w:p w:rsidR="00812A62" w:rsidRDefault="00C127B7">
      <w:pPr>
        <w:ind w:left="720"/>
        <w:jc w:val="both"/>
      </w:pPr>
      <w:r>
        <w:rPr>
          <w:rFonts w:ascii="Roboto" w:eastAsia="Roboto" w:hAnsi="Roboto" w:cs="Roboto"/>
          <w:u w:val="single"/>
        </w:rPr>
        <w:t>Al publicarse la información sobre las candidaturas, se garantizará la existencia de un mecanismo que permita a los ciudadanos interesados presentar de manera sustentada las observaciones y preguntas al candidato. Estas deberán presentarse hasta quince (15) días antes a la elección y serán contestadas por el candidato, tras la remisión por la Comisión de Acreditación correspondiente, dentro de los tres (3) días siguientes a la fecha de su recibo.</w:t>
      </w:r>
    </w:p>
    <w:p w:rsidR="00812A62" w:rsidRDefault="00812A62">
      <w:pPr>
        <w:ind w:left="720"/>
        <w:jc w:val="both"/>
      </w:pPr>
    </w:p>
    <w:p w:rsidR="00812A62" w:rsidRDefault="00C127B7">
      <w:pPr>
        <w:ind w:left="720"/>
        <w:jc w:val="both"/>
      </w:pPr>
      <w:r>
        <w:rPr>
          <w:rFonts w:ascii="Roboto" w:eastAsia="Roboto" w:hAnsi="Roboto" w:cs="Roboto"/>
          <w:u w:val="single"/>
        </w:rPr>
        <w:t>La publicación de la información de los candidatos y las observaciones ciudadanas serán  difundidas por la oficina de publicidad y prensa de cada una de las Cámaras o de ambas, en el sitio web correspondiente.</w:t>
      </w:r>
    </w:p>
    <w:p w:rsidR="00812A62" w:rsidRDefault="00812A62">
      <w:pPr>
        <w:ind w:left="720"/>
        <w:jc w:val="both"/>
      </w:pPr>
    </w:p>
    <w:p w:rsidR="00812A62" w:rsidRDefault="00C127B7">
      <w:pPr>
        <w:ind w:left="720"/>
        <w:jc w:val="both"/>
      </w:pPr>
      <w:r>
        <w:rPr>
          <w:rFonts w:ascii="Roboto" w:eastAsia="Roboto" w:hAnsi="Roboto" w:cs="Roboto"/>
          <w:u w:val="single"/>
        </w:rPr>
        <w:t>En el caso de la elección del Contralor General de la Nación, las observaciones podrán presentarse hasta siete (7) días antes de la elección y la audiencia pública de que trata la presente ley, se realizará con al menos cuatro (4) días antes de la elección.</w:t>
      </w:r>
    </w:p>
    <w:p w:rsidR="00812A62" w:rsidRDefault="00812A62">
      <w:pPr>
        <w:jc w:val="both"/>
      </w:pPr>
    </w:p>
    <w:p w:rsidR="00812A62" w:rsidRDefault="00C127B7">
      <w:pPr>
        <w:jc w:val="both"/>
      </w:pPr>
      <w:r>
        <w:rPr>
          <w:rFonts w:ascii="Roboto" w:eastAsia="Roboto" w:hAnsi="Roboto" w:cs="Roboto"/>
          <w:b/>
        </w:rPr>
        <w:t>Artículo 10°.</w:t>
      </w:r>
      <w:r>
        <w:rPr>
          <w:rFonts w:ascii="Roboto" w:eastAsia="Roboto" w:hAnsi="Roboto" w:cs="Roboto"/>
        </w:rPr>
        <w:t xml:space="preserve"> Adiciónese el artículo 21B a la Ley 5ª de 1992, el cual quedará redactado de la siguiente manera:</w:t>
      </w:r>
    </w:p>
    <w:p w:rsidR="00812A62" w:rsidRDefault="00812A62">
      <w:pPr>
        <w:jc w:val="both"/>
      </w:pPr>
    </w:p>
    <w:p w:rsidR="00812A62" w:rsidRDefault="00C127B7">
      <w:pPr>
        <w:ind w:left="720"/>
        <w:jc w:val="both"/>
      </w:pPr>
      <w:r>
        <w:rPr>
          <w:rFonts w:ascii="Roboto" w:eastAsia="Roboto" w:hAnsi="Roboto" w:cs="Roboto"/>
          <w:b/>
          <w:u w:val="single"/>
        </w:rPr>
        <w:t xml:space="preserve">Artículo 21B. Convocatoria a la audiencia previa a la elección. </w:t>
      </w:r>
      <w:r>
        <w:rPr>
          <w:rFonts w:ascii="Roboto" w:eastAsia="Roboto" w:hAnsi="Roboto" w:cs="Roboto"/>
          <w:u w:val="single"/>
        </w:rPr>
        <w:t xml:space="preserve">Durante el lapso de publicación de documentos de que trata el artículo anterior, el Presidente de la Cámara </w:t>
      </w:r>
      <w:r>
        <w:rPr>
          <w:rFonts w:ascii="Roboto" w:eastAsia="Roboto" w:hAnsi="Roboto" w:cs="Roboto"/>
          <w:u w:val="single"/>
        </w:rPr>
        <w:lastRenderedPageBreak/>
        <w:t>respectiva o del Congreso, según fuera el caso, convocará a una audiencia pública con todos los candidatos al mismo cargo, en la que estos expondrán sus calidades para ser elegido. En esta audiencia, los candidatos también responderán a un cuestionario recibido previamente y a las preguntas que formulen los congresistas y los ciudadanos que participen en ella. En todo caso, la audiencia deberá realizarse mínimo ocho (8) días antes a la elección.</w:t>
      </w:r>
    </w:p>
    <w:p w:rsidR="00812A62" w:rsidRDefault="00812A62">
      <w:pPr>
        <w:ind w:left="720"/>
        <w:jc w:val="both"/>
      </w:pPr>
    </w:p>
    <w:p w:rsidR="00812A62" w:rsidRDefault="00C127B7">
      <w:pPr>
        <w:ind w:left="720"/>
        <w:jc w:val="both"/>
      </w:pPr>
      <w:r>
        <w:rPr>
          <w:rFonts w:ascii="Roboto" w:eastAsia="Roboto" w:hAnsi="Roboto" w:cs="Roboto"/>
          <w:u w:val="single"/>
        </w:rPr>
        <w:t>El cuestionario escrito será elaborado por la Comisión de Acreditación correspondiente y enviado a los candidatos mínimo ocho  (8) días antes a la realización de la audiencia. Este cuestionario será el mismo para todos los candidatos que participen en la audiencia</w:t>
      </w:r>
    </w:p>
    <w:p w:rsidR="00812A62" w:rsidRDefault="00812A62">
      <w:pPr>
        <w:ind w:left="720"/>
        <w:jc w:val="both"/>
      </w:pPr>
    </w:p>
    <w:p w:rsidR="00812A62" w:rsidRDefault="00C127B7">
      <w:pPr>
        <w:ind w:left="720"/>
        <w:jc w:val="both"/>
        <w:rPr>
          <w:rFonts w:ascii="Roboto" w:eastAsia="Roboto" w:hAnsi="Roboto" w:cs="Roboto"/>
          <w:u w:val="single"/>
        </w:rPr>
      </w:pPr>
      <w:r>
        <w:rPr>
          <w:rFonts w:ascii="Roboto" w:eastAsia="Roboto" w:hAnsi="Roboto" w:cs="Roboto"/>
          <w:u w:val="single"/>
        </w:rPr>
        <w:t>Los candidatos deberán responder el cuestionario por escrito y entregarlo a la Comisión de Acreditación correspondiente a más tardar tres (3) días antes de la realización de la audiencia. El mismo día de su recepción, la Comisión de Acreditación garantizará la publicación de las respuestas al cuestionario en el sitio web de la cámara que realice la elección o en la de ambas, cuando la elección corresponda realizarla al Congreso a través de las nuevas tecnologías de la información y comunicación.</w:t>
      </w:r>
    </w:p>
    <w:p w:rsidR="00C127B7" w:rsidRDefault="00C127B7">
      <w:pPr>
        <w:ind w:left="720"/>
        <w:jc w:val="both"/>
      </w:pPr>
    </w:p>
    <w:p w:rsidR="00812A62" w:rsidRDefault="00812A62">
      <w:pPr>
        <w:jc w:val="both"/>
      </w:pPr>
    </w:p>
    <w:p w:rsidR="00812A62" w:rsidRDefault="00C127B7">
      <w:pPr>
        <w:jc w:val="both"/>
      </w:pPr>
      <w:r>
        <w:rPr>
          <w:rFonts w:ascii="Roboto" w:eastAsia="Roboto" w:hAnsi="Roboto" w:cs="Roboto"/>
          <w:b/>
        </w:rPr>
        <w:t>Artículo 11°.</w:t>
      </w:r>
      <w:r>
        <w:rPr>
          <w:rFonts w:ascii="Roboto" w:eastAsia="Roboto" w:hAnsi="Roboto" w:cs="Roboto"/>
        </w:rPr>
        <w:t xml:space="preserve"> Adiciónese el artículo 21C a la Ley 5ª de 1992, el cual quedará redactado de la siguiente manera:</w:t>
      </w:r>
    </w:p>
    <w:p w:rsidR="00812A62" w:rsidRDefault="00812A62">
      <w:pPr>
        <w:ind w:left="720"/>
        <w:jc w:val="both"/>
      </w:pPr>
    </w:p>
    <w:p w:rsidR="00812A62" w:rsidRDefault="00C127B7">
      <w:pPr>
        <w:ind w:left="720"/>
        <w:jc w:val="both"/>
      </w:pPr>
      <w:r>
        <w:rPr>
          <w:rFonts w:ascii="Roboto" w:eastAsia="Roboto" w:hAnsi="Roboto" w:cs="Roboto"/>
          <w:b/>
          <w:u w:val="single"/>
        </w:rPr>
        <w:t xml:space="preserve">Artículo 21C. Preguntas de la ciudadanía a los candidatos. </w:t>
      </w:r>
      <w:r>
        <w:rPr>
          <w:rFonts w:ascii="Roboto" w:eastAsia="Roboto" w:hAnsi="Roboto" w:cs="Roboto"/>
          <w:u w:val="single"/>
        </w:rPr>
        <w:t>Los ciudadanos interesados en intervenir y formular preguntas en la audiencia pública previa a la elección deberán inscribirse hasta el día antes a la audiencia. Para este efecto, se dispondrá de un libro de registro físico que se mantendrá disponible en la Secretaría General que realice la elección o en la de ambas Cámaras, cuando la elección la haga el Congreso en pleno. También se ofrecerá un canal de registro virtual disponible en el sitio web correspondiente. La respectiva Mesa Directiva de la Cámara correspondiente dispondrá el orden y duración de las intervenciones durante la audiencia. En caso de no ser posible dar oportunidad de intervención a todos los inscritos, se priorizarán según el orden de recepción.</w:t>
      </w:r>
    </w:p>
    <w:p w:rsidR="00812A62" w:rsidRDefault="00812A62">
      <w:pPr>
        <w:ind w:left="720"/>
        <w:jc w:val="both"/>
      </w:pPr>
    </w:p>
    <w:p w:rsidR="00812A62" w:rsidRDefault="00C127B7">
      <w:pPr>
        <w:ind w:left="720"/>
        <w:jc w:val="both"/>
      </w:pPr>
      <w:r>
        <w:rPr>
          <w:rFonts w:ascii="Roboto" w:eastAsia="Roboto" w:hAnsi="Roboto" w:cs="Roboto"/>
          <w:u w:val="single"/>
        </w:rPr>
        <w:t>Las preguntas realizadas a los candidatos no podrán versar sobre procesos en curso en la entidad a la que aspira. Las opiniones emitidas en el transcurso de esta audiencia no podrán ser interpretadas como prejuzgamiento, ni podrán versar sobre asuntos protegidos por el secreto profesional. Tampoco podrán ser consideradas como concepto sobre la legalidad o constitucionalidad de un asunto que dé lugar a impedimento o recusación.</w:t>
      </w:r>
    </w:p>
    <w:p w:rsidR="00812A62" w:rsidRDefault="00812A62">
      <w:pPr>
        <w:jc w:val="both"/>
      </w:pPr>
    </w:p>
    <w:p w:rsidR="00812A62" w:rsidRDefault="00C127B7">
      <w:pPr>
        <w:jc w:val="both"/>
      </w:pPr>
      <w:r>
        <w:rPr>
          <w:rFonts w:ascii="Roboto" w:eastAsia="Roboto" w:hAnsi="Roboto" w:cs="Roboto"/>
          <w:b/>
        </w:rPr>
        <w:t>Artículo 12°.</w:t>
      </w:r>
      <w:r>
        <w:rPr>
          <w:rFonts w:ascii="Roboto" w:eastAsia="Roboto" w:hAnsi="Roboto" w:cs="Roboto"/>
        </w:rPr>
        <w:t xml:space="preserve"> Modifíquese el artículo 144 de la Ley 5ª de 1992, el cual quedará redactado de la siguiente manera.</w:t>
      </w:r>
    </w:p>
    <w:p w:rsidR="00812A62" w:rsidRDefault="00812A62">
      <w:pPr>
        <w:jc w:val="both"/>
      </w:pPr>
    </w:p>
    <w:p w:rsidR="00812A62" w:rsidRDefault="00C127B7">
      <w:pPr>
        <w:ind w:left="720"/>
        <w:jc w:val="both"/>
      </w:pPr>
      <w:r>
        <w:rPr>
          <w:rFonts w:ascii="Roboto" w:eastAsia="Roboto" w:hAnsi="Roboto" w:cs="Roboto"/>
          <w:b/>
        </w:rPr>
        <w:t>Artículo 144. Publicación y reparto.</w:t>
      </w:r>
      <w:r>
        <w:rPr>
          <w:rFonts w:ascii="Roboto" w:eastAsia="Roboto" w:hAnsi="Roboto" w:cs="Roboto"/>
        </w:rPr>
        <w:t xml:space="preserve"> Recibido un proyecto, se ordena por la Secretaría su publicación en la Gaceta del Congreso, y se repartirá por el Presidente a la Comisión Permanente respectiva.</w:t>
      </w:r>
    </w:p>
    <w:p w:rsidR="00812A62" w:rsidRDefault="00812A62">
      <w:pPr>
        <w:ind w:left="720"/>
        <w:jc w:val="both"/>
      </w:pPr>
    </w:p>
    <w:p w:rsidR="00812A62" w:rsidRDefault="00C127B7">
      <w:pPr>
        <w:ind w:left="720"/>
        <w:jc w:val="both"/>
      </w:pPr>
      <w:r>
        <w:rPr>
          <w:rFonts w:ascii="Roboto" w:eastAsia="Roboto" w:hAnsi="Roboto" w:cs="Roboto"/>
        </w:rPr>
        <w:t xml:space="preserve">El proyecto se entregará en original y dos copias, con su correspondiente exposición de motivos </w:t>
      </w:r>
      <w:r>
        <w:rPr>
          <w:rFonts w:ascii="Roboto" w:eastAsia="Roboto" w:hAnsi="Roboto" w:cs="Roboto"/>
          <w:u w:val="single"/>
        </w:rPr>
        <w:t xml:space="preserve">y con el documento de consulta a la ciudadanía. </w:t>
      </w:r>
      <w:r>
        <w:rPr>
          <w:rFonts w:ascii="Roboto" w:eastAsia="Roboto" w:hAnsi="Roboto" w:cs="Roboto"/>
        </w:rPr>
        <w:t>De él se dejará constancia en la Secretaría y se radicará y clasificará por materia, autor, clase de proyecto y comisión que deba tramitarlo.</w:t>
      </w:r>
    </w:p>
    <w:p w:rsidR="00812A62" w:rsidRDefault="00812A62">
      <w:pPr>
        <w:ind w:left="720"/>
        <w:jc w:val="both"/>
      </w:pPr>
    </w:p>
    <w:p w:rsidR="00812A62" w:rsidRDefault="00C127B7">
      <w:pPr>
        <w:ind w:left="720"/>
        <w:jc w:val="both"/>
      </w:pPr>
      <w:r>
        <w:rPr>
          <w:rFonts w:ascii="Roboto" w:eastAsia="Roboto" w:hAnsi="Roboto" w:cs="Roboto"/>
        </w:rPr>
        <w:t>Un ejemplar del proyecto será enviado por el Secretario inmediatamente para su publicación en la Gaceta del Congreso.</w:t>
      </w:r>
    </w:p>
    <w:p w:rsidR="00812A62" w:rsidRDefault="00812A62">
      <w:pPr>
        <w:ind w:left="720"/>
        <w:jc w:val="both"/>
      </w:pPr>
    </w:p>
    <w:p w:rsidR="00812A62" w:rsidRDefault="00C127B7">
      <w:pPr>
        <w:ind w:left="720"/>
        <w:jc w:val="both"/>
        <w:rPr>
          <w:rFonts w:ascii="Roboto" w:eastAsia="Roboto" w:hAnsi="Roboto" w:cs="Roboto"/>
          <w:u w:val="single"/>
        </w:rPr>
      </w:pPr>
      <w:r>
        <w:rPr>
          <w:rFonts w:ascii="Roboto" w:eastAsia="Roboto" w:hAnsi="Roboto" w:cs="Roboto"/>
          <w:u w:val="single"/>
        </w:rPr>
        <w:t>El documento de consulta a la ciudadanía consistirá en un formato estándar definido por la comisión especial, establecida en el parágrafo transitorio del artículo séptimo de la presente Ley. Contendrá una explicación resumida del proyecto en un lenguaje de fácil comprensión, así como indicaciones sobre los canales de participación ciudadana a los que se refiere el Capítulo IX de la presente ley.</w:t>
      </w:r>
    </w:p>
    <w:p w:rsidR="00C127B7" w:rsidRDefault="00C127B7">
      <w:pPr>
        <w:ind w:left="720"/>
        <w:jc w:val="both"/>
        <w:rPr>
          <w:rFonts w:ascii="Roboto" w:eastAsia="Roboto" w:hAnsi="Roboto" w:cs="Roboto"/>
          <w:u w:val="single"/>
        </w:rPr>
      </w:pPr>
    </w:p>
    <w:p w:rsidR="00C127B7" w:rsidRDefault="00C127B7">
      <w:pPr>
        <w:ind w:left="720"/>
        <w:jc w:val="both"/>
        <w:rPr>
          <w:rFonts w:ascii="Roboto" w:eastAsia="Roboto" w:hAnsi="Roboto" w:cs="Roboto"/>
          <w:u w:val="single"/>
        </w:rPr>
      </w:pPr>
    </w:p>
    <w:p w:rsidR="00C127B7" w:rsidRDefault="00C127B7">
      <w:pPr>
        <w:ind w:left="720"/>
        <w:jc w:val="both"/>
      </w:pPr>
    </w:p>
    <w:p w:rsidR="00812A62" w:rsidRDefault="00812A62">
      <w:pPr>
        <w:jc w:val="both"/>
      </w:pPr>
    </w:p>
    <w:p w:rsidR="00812A62" w:rsidRDefault="00C127B7">
      <w:pPr>
        <w:jc w:val="both"/>
      </w:pPr>
      <w:r>
        <w:rPr>
          <w:rFonts w:ascii="Roboto" w:eastAsia="Roboto" w:hAnsi="Roboto" w:cs="Roboto"/>
          <w:b/>
        </w:rPr>
        <w:t>Artículo 13°.</w:t>
      </w:r>
      <w:r>
        <w:rPr>
          <w:rFonts w:ascii="Roboto" w:eastAsia="Roboto" w:hAnsi="Roboto" w:cs="Roboto"/>
        </w:rPr>
        <w:t xml:space="preserve"> Modifíquese el artículo 145 de la Ley 5ª de 1992, el cual quedará redactado de la siguiente manera:</w:t>
      </w:r>
    </w:p>
    <w:p w:rsidR="00812A62" w:rsidRDefault="00812A62">
      <w:pPr>
        <w:jc w:val="both"/>
      </w:pPr>
    </w:p>
    <w:p w:rsidR="00812A62" w:rsidRDefault="00C127B7">
      <w:pPr>
        <w:ind w:left="720"/>
        <w:jc w:val="both"/>
      </w:pPr>
      <w:r>
        <w:rPr>
          <w:rFonts w:ascii="Roboto" w:eastAsia="Roboto" w:hAnsi="Roboto" w:cs="Roboto"/>
          <w:b/>
        </w:rPr>
        <w:t>Artículo 145. Orden en la redacción del proyecto.</w:t>
      </w:r>
      <w:r>
        <w:rPr>
          <w:rFonts w:ascii="Roboto" w:eastAsia="Roboto" w:hAnsi="Roboto" w:cs="Roboto"/>
        </w:rPr>
        <w:t xml:space="preserve"> En la presentación de todo proyecto debe incluirse: título, encabezamiento, parte dispositiva, exposición de motivos </w:t>
      </w:r>
      <w:r>
        <w:rPr>
          <w:rFonts w:ascii="Roboto" w:eastAsia="Roboto" w:hAnsi="Roboto" w:cs="Roboto"/>
          <w:u w:val="single"/>
        </w:rPr>
        <w:t>y documento de consulta a la ciudadanía.</w:t>
      </w:r>
      <w:r>
        <w:rPr>
          <w:rFonts w:ascii="Roboto" w:eastAsia="Roboto" w:hAnsi="Roboto" w:cs="Roboto"/>
        </w:rPr>
        <w:t xml:space="preserve"> Sin este orden el Secretario devolverá el proyecto para su corrección.</w:t>
      </w:r>
    </w:p>
    <w:p w:rsidR="00812A62" w:rsidRDefault="00812A62">
      <w:pPr>
        <w:ind w:left="720"/>
        <w:jc w:val="both"/>
      </w:pPr>
    </w:p>
    <w:p w:rsidR="00812A62" w:rsidRDefault="00C127B7">
      <w:pPr>
        <w:jc w:val="both"/>
      </w:pPr>
      <w:r>
        <w:rPr>
          <w:rFonts w:ascii="Roboto" w:eastAsia="Roboto" w:hAnsi="Roboto" w:cs="Roboto"/>
          <w:b/>
        </w:rPr>
        <w:t>Artículo 14°:</w:t>
      </w:r>
      <w:r>
        <w:rPr>
          <w:rFonts w:ascii="Roboto" w:eastAsia="Roboto" w:hAnsi="Roboto" w:cs="Roboto"/>
        </w:rPr>
        <w:t xml:space="preserve"> Adiciónese un inciso final al artículo 88 de la Ley 5ª de 1992, el cual tendrá la siguiente redacción:</w:t>
      </w:r>
    </w:p>
    <w:p w:rsidR="00812A62" w:rsidRDefault="00812A62">
      <w:pPr>
        <w:jc w:val="both"/>
      </w:pPr>
    </w:p>
    <w:p w:rsidR="00812A62" w:rsidRDefault="00C127B7">
      <w:pPr>
        <w:ind w:left="720"/>
        <w:jc w:val="both"/>
      </w:pPr>
      <w:r>
        <w:rPr>
          <w:rFonts w:ascii="Roboto" w:eastAsia="Roboto" w:hAnsi="Roboto" w:cs="Roboto"/>
          <w:b/>
        </w:rPr>
        <w:t>ARTÍCULO 88. PUBLICIDAD, OFICINA DE PRENSA E INRAVISIÓN.</w:t>
      </w:r>
      <w:r>
        <w:rPr>
          <w:rFonts w:ascii="Roboto" w:eastAsia="Roboto" w:hAnsi="Roboto" w:cs="Roboto"/>
        </w:rPr>
        <w:t xml:space="preserve"> Las sesiones de las Cámaras y sus Comisiones tendrán la más amplia publicidad y difusión por las oficinas de prensa y comunicaciones de cada Corporación. A través de programas semanales de televisión, comunicados periodísticos y transmisiones especiales de radiodifusión el Congreso se comunicará con el país para informar permanentemente sobre sus actividades.</w:t>
      </w:r>
    </w:p>
    <w:p w:rsidR="00812A62" w:rsidRDefault="00812A62">
      <w:pPr>
        <w:ind w:left="720"/>
        <w:jc w:val="both"/>
      </w:pPr>
    </w:p>
    <w:p w:rsidR="00812A62" w:rsidRDefault="00C127B7">
      <w:pPr>
        <w:ind w:left="720"/>
        <w:jc w:val="both"/>
      </w:pPr>
      <w:r>
        <w:rPr>
          <w:rFonts w:ascii="Roboto" w:eastAsia="Roboto" w:hAnsi="Roboto" w:cs="Roboto"/>
        </w:rPr>
        <w:t xml:space="preserve">Las Mesas Directivas de las Cámaras podrán contratar los servicios de televisión y radiodifusión privadas para transmitir en directo o diferido debates de especial importancia. La Radiodifusora Nacional a solicitud de las Mesas Directivas de las Cámaras transmitirá gratuitamente debates parlamentarios de especial importancia. </w:t>
      </w:r>
    </w:p>
    <w:p w:rsidR="00812A62" w:rsidRDefault="00812A62">
      <w:pPr>
        <w:ind w:left="720"/>
        <w:jc w:val="both"/>
      </w:pPr>
    </w:p>
    <w:p w:rsidR="00812A62" w:rsidRDefault="00C127B7">
      <w:pPr>
        <w:ind w:left="720"/>
        <w:jc w:val="both"/>
      </w:pPr>
      <w:r>
        <w:rPr>
          <w:rFonts w:ascii="Roboto" w:eastAsia="Roboto" w:hAnsi="Roboto" w:cs="Roboto"/>
        </w:rPr>
        <w:t>La autoridad estatal de televisión a las que se refieren los artículos 76 y 77 de la Constitución Política garantizará el acceso gratuito a las Cámaras Legislativas al servicio de televisión abierta y para ello deberá poner a disposición de las Cámaras sendos espacios semanales de treinta (30) minutos en horas de máxima audiencia o triple A, que se transmitirán en los canales comerciales mixtos y privados de cobertura nacional, regional y local, con el objeto de informar a la Nación sobre las actividades desarrolladas por el Congreso y sus miembros.</w:t>
      </w:r>
    </w:p>
    <w:p w:rsidR="00812A62" w:rsidRDefault="00812A62">
      <w:pPr>
        <w:ind w:left="720"/>
        <w:jc w:val="both"/>
      </w:pPr>
    </w:p>
    <w:p w:rsidR="00812A62" w:rsidRDefault="00C127B7">
      <w:pPr>
        <w:ind w:left="720"/>
        <w:jc w:val="both"/>
      </w:pPr>
      <w:r>
        <w:rPr>
          <w:rFonts w:ascii="Roboto" w:eastAsia="Roboto" w:hAnsi="Roboto" w:cs="Roboto"/>
        </w:rPr>
        <w:t>En el Congreso de la República se creará un informativo que garantice las declaraciones que cada Congresista quiera consagrar con respecto a sus actividades parlamentarias y opiniones sobre temas relacionados con el ejercicio de su investidura. Las Mesas Directivas coordinarán lo pertinente para su publicación y asegurarán la emisión del mismo con una frecuencia no inferior a la de una vez al mes.</w:t>
      </w:r>
    </w:p>
    <w:p w:rsidR="00812A62" w:rsidRDefault="00812A62">
      <w:pPr>
        <w:ind w:left="720"/>
        <w:jc w:val="both"/>
      </w:pPr>
    </w:p>
    <w:p w:rsidR="00812A62" w:rsidRDefault="00C127B7">
      <w:pPr>
        <w:ind w:left="720"/>
        <w:jc w:val="both"/>
      </w:pPr>
      <w:r>
        <w:rPr>
          <w:rFonts w:ascii="Roboto" w:eastAsia="Roboto" w:hAnsi="Roboto" w:cs="Roboto"/>
        </w:rPr>
        <w:lastRenderedPageBreak/>
        <w:t>Se garantizará la inclusión del informativo como inserto en las publicaciones de los periódicos de amplia circulación nacional.</w:t>
      </w:r>
    </w:p>
    <w:p w:rsidR="00812A62" w:rsidRDefault="00812A62">
      <w:pPr>
        <w:ind w:left="720"/>
        <w:jc w:val="both"/>
      </w:pPr>
    </w:p>
    <w:p w:rsidR="00812A62" w:rsidRDefault="00C127B7">
      <w:pPr>
        <w:ind w:left="720"/>
        <w:jc w:val="both"/>
      </w:pPr>
      <w:r>
        <w:rPr>
          <w:rFonts w:ascii="Roboto" w:eastAsia="Roboto" w:hAnsi="Roboto" w:cs="Roboto"/>
          <w:u w:val="single"/>
        </w:rPr>
        <w:t>El Congreso de la República usará la tecnología vigente en sus salas y las herramientas de uso libre disponibles para transmitir en vivo, ya sea a través del Canal Congreso o a través de la página web de Senado y/o Cámara de Representantes, según corresponda, todas las sesiones plenarias y de sus respectivas comisiones, así como las sesiones conjuntas. Las transmisiones por televisión mantendrán el esquema definido por Canal Congreso, o quien haga sus veces.</w:t>
      </w:r>
    </w:p>
    <w:p w:rsidR="00812A62" w:rsidRDefault="00812A62">
      <w:pPr>
        <w:jc w:val="center"/>
      </w:pPr>
    </w:p>
    <w:p w:rsidR="00812A62" w:rsidRDefault="00812A62">
      <w:pPr>
        <w:jc w:val="center"/>
      </w:pPr>
    </w:p>
    <w:p w:rsidR="00812A62" w:rsidRDefault="00C127B7">
      <w:pPr>
        <w:jc w:val="center"/>
      </w:pPr>
      <w:r>
        <w:rPr>
          <w:rFonts w:ascii="Roboto" w:eastAsia="Roboto" w:hAnsi="Roboto" w:cs="Roboto"/>
          <w:b/>
        </w:rPr>
        <w:t>CAPÍTULO IV</w:t>
      </w:r>
    </w:p>
    <w:p w:rsidR="00812A62" w:rsidRDefault="00C127B7">
      <w:pPr>
        <w:jc w:val="center"/>
      </w:pPr>
      <w:r>
        <w:rPr>
          <w:rFonts w:ascii="Roboto" w:eastAsia="Roboto" w:hAnsi="Roboto" w:cs="Roboto"/>
          <w:b/>
        </w:rPr>
        <w:t>TRANSPARENCIA EN LA DESIGNACIÓN DE PONENTES Y EN LOS INFORMES DE CONCILIACIÓN</w:t>
      </w:r>
    </w:p>
    <w:p w:rsidR="00812A62" w:rsidRDefault="00812A62">
      <w:pPr>
        <w:jc w:val="both"/>
      </w:pPr>
      <w:bookmarkStart w:id="3" w:name="_GoBack"/>
      <w:bookmarkEnd w:id="3"/>
    </w:p>
    <w:p w:rsidR="00812A62" w:rsidRDefault="00812A62">
      <w:pPr>
        <w:jc w:val="both"/>
      </w:pPr>
    </w:p>
    <w:p w:rsidR="00812A62" w:rsidRDefault="00C127B7">
      <w:pPr>
        <w:jc w:val="both"/>
      </w:pPr>
      <w:r>
        <w:rPr>
          <w:rFonts w:ascii="Roboto" w:eastAsia="Roboto" w:hAnsi="Roboto" w:cs="Roboto"/>
          <w:b/>
        </w:rPr>
        <w:t>Artículo 15°.</w:t>
      </w:r>
      <w:r>
        <w:rPr>
          <w:rFonts w:ascii="Roboto" w:eastAsia="Roboto" w:hAnsi="Roboto" w:cs="Roboto"/>
        </w:rPr>
        <w:t xml:space="preserve"> Adiciónese un inciso final al artículo 150 de la Ley 5ª de 1992, el cual tendrá la siguiente redacción:</w:t>
      </w:r>
    </w:p>
    <w:p w:rsidR="00812A62" w:rsidRDefault="00812A62">
      <w:pPr>
        <w:jc w:val="both"/>
      </w:pPr>
    </w:p>
    <w:p w:rsidR="00812A62" w:rsidRDefault="00C127B7">
      <w:pPr>
        <w:ind w:left="720"/>
        <w:jc w:val="both"/>
      </w:pPr>
      <w:r>
        <w:rPr>
          <w:rFonts w:ascii="Roboto" w:eastAsia="Roboto" w:hAnsi="Roboto" w:cs="Roboto"/>
          <w:b/>
        </w:rPr>
        <w:t>ARTÍCULO 150. DESIGNACIÓN DE PONENTE.</w:t>
      </w:r>
      <w:r>
        <w:rPr>
          <w:rFonts w:ascii="Roboto" w:eastAsia="Roboto" w:hAnsi="Roboto" w:cs="Roboto"/>
        </w:rPr>
        <w:t xml:space="preserve"> La designación de los ponentes será facultad de la Mesa Directiva de la respectiva Comisión. Cada proyecto de ley tendrá un ponente, o varios, si las conveniencias lo aconsejan. En todo caso habrá un ponente coordinador quien además de organizar el trabajo de la ponencia ayudará al Presidente en el trámite del proyecto respectivo. </w:t>
      </w:r>
    </w:p>
    <w:p w:rsidR="00812A62" w:rsidRDefault="00812A62">
      <w:pPr>
        <w:ind w:left="720"/>
        <w:jc w:val="both"/>
      </w:pPr>
    </w:p>
    <w:p w:rsidR="00812A62" w:rsidRDefault="00C127B7">
      <w:pPr>
        <w:ind w:left="720"/>
        <w:jc w:val="both"/>
      </w:pPr>
      <w:r>
        <w:rPr>
          <w:rFonts w:ascii="Roboto" w:eastAsia="Roboto" w:hAnsi="Roboto" w:cs="Roboto"/>
        </w:rPr>
        <w:t xml:space="preserve">Cuando un proyecto de Acto legislativo o de ley sea presentado por una bancada, esta tendrá derecho a designar el ponente, o por lo menos uno de los ponentes cuando la ponencia sea colectiva. </w:t>
      </w:r>
    </w:p>
    <w:p w:rsidR="00812A62" w:rsidRDefault="00812A62">
      <w:pPr>
        <w:ind w:left="720"/>
        <w:jc w:val="both"/>
      </w:pPr>
    </w:p>
    <w:p w:rsidR="00812A62" w:rsidRDefault="00C127B7">
      <w:pPr>
        <w:ind w:left="720"/>
        <w:jc w:val="both"/>
      </w:pPr>
      <w:r>
        <w:rPr>
          <w:rFonts w:ascii="Roboto" w:eastAsia="Roboto" w:hAnsi="Roboto" w:cs="Roboto"/>
        </w:rPr>
        <w:t>Cuando la ponencia sea colectiva la Mesa Directiva debe garantizar la representación de las diferentes bancadas en la designación de los ponentes.</w:t>
      </w:r>
    </w:p>
    <w:p w:rsidR="00812A62" w:rsidRDefault="00812A62">
      <w:pPr>
        <w:ind w:left="720"/>
        <w:jc w:val="both"/>
      </w:pPr>
    </w:p>
    <w:p w:rsidR="00812A62" w:rsidRDefault="00C127B7">
      <w:pPr>
        <w:ind w:left="720"/>
        <w:jc w:val="both"/>
      </w:pPr>
      <w:r>
        <w:rPr>
          <w:rFonts w:ascii="Roboto" w:eastAsia="Roboto" w:hAnsi="Roboto" w:cs="Roboto"/>
          <w:u w:val="single"/>
        </w:rPr>
        <w:t xml:space="preserve">En la selección de ponentes y coordinadores ponentes el presidente de la respectiva comisión deberá  observar los principios de igualdad, imparcialidad y proporcionalidad  a fin de que todos los miembros de la comisión legislativa puedan ejercer dicha actividad de forma equitativa dentro de la distribución que se haga, igual por las respectivas bancadas que tengan asiento en cada comisión. Cada comisión podrá establecer mecanismos de selección aleatoria para la designación de ponencias y coordinaciones de ponentes. </w:t>
      </w:r>
    </w:p>
    <w:p w:rsidR="00812A62" w:rsidRDefault="00812A62">
      <w:pPr>
        <w:ind w:left="720"/>
        <w:jc w:val="both"/>
      </w:pPr>
    </w:p>
    <w:p w:rsidR="00812A62" w:rsidRDefault="00C127B7">
      <w:pPr>
        <w:jc w:val="both"/>
      </w:pPr>
      <w:r>
        <w:rPr>
          <w:rFonts w:ascii="Roboto" w:eastAsia="Roboto" w:hAnsi="Roboto" w:cs="Roboto"/>
          <w:b/>
        </w:rPr>
        <w:t>Artículo 16°.</w:t>
      </w:r>
      <w:r>
        <w:rPr>
          <w:rFonts w:ascii="Roboto" w:eastAsia="Roboto" w:hAnsi="Roboto" w:cs="Roboto"/>
        </w:rPr>
        <w:t xml:space="preserve"> Adiciónese el artículo 188A de la Ley 5ª de 1992, el cual quedará redactado de la siguiente manera:</w:t>
      </w:r>
    </w:p>
    <w:p w:rsidR="00812A62" w:rsidRDefault="00812A62">
      <w:pPr>
        <w:ind w:left="720"/>
        <w:jc w:val="both"/>
      </w:pPr>
    </w:p>
    <w:p w:rsidR="00812A62" w:rsidRDefault="00C127B7">
      <w:pPr>
        <w:ind w:left="720"/>
        <w:jc w:val="both"/>
      </w:pPr>
      <w:r>
        <w:rPr>
          <w:rFonts w:ascii="Roboto" w:eastAsia="Roboto" w:hAnsi="Roboto" w:cs="Roboto"/>
          <w:b/>
          <w:u w:val="single"/>
        </w:rPr>
        <w:t>Artículo 188A. Informes de conciliación.</w:t>
      </w:r>
      <w:r>
        <w:rPr>
          <w:rFonts w:ascii="Roboto" w:eastAsia="Roboto" w:hAnsi="Roboto" w:cs="Roboto"/>
          <w:u w:val="single"/>
        </w:rPr>
        <w:t xml:space="preserve"> Los miembros de la Comisión de Conciliación deberán presentar un informe a la Cámara a la que pertenezcan. Dicho texto solo podrá ser sometido a consideración de la Sesión Plenaria de cada Cámara cuando hayan transcurrido por lo menos un (1) día después de su publicación en la Gaceta del Congreso y en los sitios web del Senado y la Cámara de Representantes. Cuando el proyecto a conciliar tenga cincuenta (50) o más artículos, solo podrá ser sometido a consideración cuando hayan </w:t>
      </w:r>
      <w:r>
        <w:rPr>
          <w:rFonts w:ascii="Roboto" w:eastAsia="Roboto" w:hAnsi="Roboto" w:cs="Roboto"/>
          <w:u w:val="single"/>
        </w:rPr>
        <w:lastRenderedPageBreak/>
        <w:t>transcurrido por lo menos dos (2) día después de su publicación en los medios antes mencionados.</w:t>
      </w:r>
    </w:p>
    <w:p w:rsidR="00812A62" w:rsidRDefault="00812A62">
      <w:pPr>
        <w:ind w:left="720"/>
        <w:jc w:val="both"/>
      </w:pPr>
    </w:p>
    <w:p w:rsidR="00812A62" w:rsidRDefault="00C127B7">
      <w:pPr>
        <w:ind w:left="720"/>
        <w:jc w:val="both"/>
      </w:pPr>
      <w:r>
        <w:rPr>
          <w:rFonts w:ascii="Roboto" w:eastAsia="Roboto" w:hAnsi="Roboto" w:cs="Roboto"/>
          <w:u w:val="single"/>
        </w:rPr>
        <w:t>En este informe se deberá hacer una relación sucinta de cada uno de los artículos conciliados, la forma como se resolvieron las discrepancias, los temas debatidos, las personas que intervinieron, su hora de inicio y finalización, la votación nominal y pública respecto de los artículos objeto de conciliación.</w:t>
      </w:r>
    </w:p>
    <w:p w:rsidR="00812A62" w:rsidRDefault="00812A62">
      <w:pPr>
        <w:jc w:val="both"/>
      </w:pPr>
    </w:p>
    <w:p w:rsidR="00812A62" w:rsidRDefault="00812A62">
      <w:pPr>
        <w:jc w:val="both"/>
      </w:pPr>
    </w:p>
    <w:p w:rsidR="00812A62" w:rsidRDefault="00C127B7">
      <w:pPr>
        <w:jc w:val="center"/>
      </w:pPr>
      <w:r>
        <w:rPr>
          <w:rFonts w:ascii="Roboto" w:eastAsia="Roboto" w:hAnsi="Roboto" w:cs="Roboto"/>
          <w:b/>
        </w:rPr>
        <w:t>CAPÍTULO V</w:t>
      </w:r>
    </w:p>
    <w:p w:rsidR="00812A62" w:rsidRDefault="00C127B7">
      <w:pPr>
        <w:jc w:val="center"/>
      </w:pPr>
      <w:r>
        <w:rPr>
          <w:rFonts w:ascii="Roboto" w:eastAsia="Roboto" w:hAnsi="Roboto" w:cs="Roboto"/>
          <w:b/>
        </w:rPr>
        <w:t>IMPLEMENTACIÓN DE LOS MECANISMOS DE RENDICIÓN DE CUENTAS, TRANSPARENCIA Y ACCESO DE LA CIUDADANÍA</w:t>
      </w:r>
    </w:p>
    <w:p w:rsidR="00812A62" w:rsidRDefault="00812A62">
      <w:pPr>
        <w:jc w:val="center"/>
      </w:pPr>
    </w:p>
    <w:p w:rsidR="00812A62" w:rsidRDefault="00812A62">
      <w:pPr>
        <w:jc w:val="center"/>
      </w:pPr>
    </w:p>
    <w:p w:rsidR="00812A62" w:rsidRDefault="00C127B7">
      <w:pPr>
        <w:jc w:val="both"/>
      </w:pPr>
      <w:r>
        <w:rPr>
          <w:rFonts w:ascii="Roboto" w:eastAsia="Roboto" w:hAnsi="Roboto" w:cs="Roboto"/>
          <w:b/>
        </w:rPr>
        <w:t>Artículo 17°.</w:t>
      </w:r>
      <w:r>
        <w:rPr>
          <w:rFonts w:ascii="Roboto" w:eastAsia="Roboto" w:hAnsi="Roboto" w:cs="Roboto"/>
        </w:rPr>
        <w:t xml:space="preserve"> Para el cumplimiento del presente título, y en lo no previsto por esta ley, las Mesas Directivas de cada Cámara tendrán la facultad de expedir reglamentos, con el fin de garantizar su plena implementación.</w:t>
      </w:r>
    </w:p>
    <w:p w:rsidR="00812A62" w:rsidRDefault="00812A62">
      <w:pPr>
        <w:jc w:val="both"/>
      </w:pPr>
    </w:p>
    <w:p w:rsidR="00812A62" w:rsidRDefault="00C127B7">
      <w:pPr>
        <w:jc w:val="center"/>
      </w:pPr>
      <w:r>
        <w:rPr>
          <w:rFonts w:ascii="Roboto" w:eastAsia="Roboto" w:hAnsi="Roboto" w:cs="Roboto"/>
          <w:b/>
        </w:rPr>
        <w:t>TÍTULO II</w:t>
      </w:r>
    </w:p>
    <w:p w:rsidR="00812A62" w:rsidRDefault="00C127B7">
      <w:pPr>
        <w:ind w:firstLine="720"/>
        <w:jc w:val="center"/>
      </w:pPr>
      <w:r>
        <w:rPr>
          <w:rFonts w:ascii="Roboto" w:eastAsia="Roboto" w:hAnsi="Roboto" w:cs="Roboto"/>
          <w:b/>
        </w:rPr>
        <w:t>INASISTENCIA DE LOS CONGRESISTAS A LAS SESIONES</w:t>
      </w:r>
    </w:p>
    <w:p w:rsidR="00812A62" w:rsidRDefault="00812A62">
      <w:pPr>
        <w:jc w:val="both"/>
      </w:pPr>
    </w:p>
    <w:p w:rsidR="00812A62" w:rsidRDefault="00C127B7">
      <w:pPr>
        <w:jc w:val="both"/>
      </w:pPr>
      <w:r>
        <w:rPr>
          <w:rFonts w:ascii="Roboto" w:eastAsia="Roboto" w:hAnsi="Roboto" w:cs="Roboto"/>
          <w:b/>
          <w:highlight w:val="white"/>
        </w:rPr>
        <w:t xml:space="preserve">Artículo 18°. </w:t>
      </w:r>
      <w:r>
        <w:rPr>
          <w:rFonts w:ascii="Roboto" w:eastAsia="Roboto" w:hAnsi="Roboto" w:cs="Roboto"/>
          <w:highlight w:val="white"/>
        </w:rPr>
        <w:t>Adiciónese dos incisos al artículo 89 de la Ley 5</w:t>
      </w:r>
      <w:r>
        <w:rPr>
          <w:rFonts w:ascii="Roboto" w:eastAsia="Roboto" w:hAnsi="Roboto" w:cs="Roboto"/>
          <w:highlight w:val="white"/>
          <w:vertAlign w:val="superscript"/>
        </w:rPr>
        <w:t>a</w:t>
      </w:r>
      <w:r>
        <w:rPr>
          <w:rFonts w:ascii="Roboto" w:eastAsia="Roboto" w:hAnsi="Roboto" w:cs="Roboto"/>
          <w:highlight w:val="white"/>
        </w:rPr>
        <w:t xml:space="preserve"> de 1992, el cual quedará así:</w:t>
      </w:r>
    </w:p>
    <w:p w:rsidR="00812A62" w:rsidRDefault="00812A62">
      <w:pPr>
        <w:jc w:val="both"/>
      </w:pPr>
    </w:p>
    <w:p w:rsidR="00812A62" w:rsidRDefault="00C127B7">
      <w:pPr>
        <w:ind w:left="720"/>
        <w:jc w:val="both"/>
      </w:pPr>
      <w:r>
        <w:rPr>
          <w:rFonts w:ascii="Roboto" w:eastAsia="Roboto" w:hAnsi="Roboto" w:cs="Roboto"/>
          <w:b/>
          <w:highlight w:val="white"/>
        </w:rPr>
        <w:t>ARTÍCULO 89.</w:t>
      </w:r>
      <w:r>
        <w:rPr>
          <w:rFonts w:ascii="Roboto" w:eastAsia="Roboto" w:hAnsi="Roboto" w:cs="Roboto"/>
          <w:highlight w:val="white"/>
        </w:rPr>
        <w:t xml:space="preserve"> </w:t>
      </w:r>
      <w:r>
        <w:rPr>
          <w:rFonts w:ascii="Roboto" w:eastAsia="Roboto" w:hAnsi="Roboto" w:cs="Roboto"/>
          <w:b/>
          <w:highlight w:val="white"/>
        </w:rPr>
        <w:t>Llamada a lista.</w:t>
      </w:r>
      <w:r>
        <w:rPr>
          <w:rFonts w:ascii="Roboto" w:eastAsia="Roboto" w:hAnsi="Roboto" w:cs="Roboto"/>
          <w:highlight w:val="white"/>
        </w:rPr>
        <w:t xml:space="preserve"> Llegada la hora para la cual ha sido convocada la sesión, cada uno de los Presidentes de las Corporaciones ordenará llamar a lista para verificar el quórum constitucional. En el acta respectiva se harán constar los nombres de los asistentes y ausentes a la sesión, y las razones de excusa invocadas, con su transcripción textual. Su desconocimiento por el Secretario es causal que puede calificarse de mala conducta.</w:t>
      </w:r>
    </w:p>
    <w:p w:rsidR="00812A62" w:rsidRDefault="00812A62">
      <w:pPr>
        <w:ind w:left="720"/>
        <w:jc w:val="both"/>
      </w:pPr>
    </w:p>
    <w:p w:rsidR="00812A62" w:rsidRDefault="00C127B7">
      <w:pPr>
        <w:ind w:left="720"/>
        <w:jc w:val="both"/>
      </w:pPr>
      <w:r>
        <w:rPr>
          <w:rFonts w:ascii="Roboto" w:eastAsia="Roboto" w:hAnsi="Roboto" w:cs="Roboto"/>
          <w:highlight w:val="white"/>
        </w:rPr>
        <w:t>Para el llamado a lista podrá emplearse por el Secretario cualquier procedimiento o sistema técnico que apruebe o determine la Corporación.</w:t>
      </w:r>
    </w:p>
    <w:p w:rsidR="00812A62" w:rsidRDefault="00812A62">
      <w:pPr>
        <w:ind w:left="720"/>
        <w:jc w:val="both"/>
      </w:pPr>
    </w:p>
    <w:p w:rsidR="00812A62" w:rsidRDefault="00C127B7">
      <w:pPr>
        <w:ind w:left="720"/>
        <w:jc w:val="both"/>
      </w:pPr>
      <w:r>
        <w:rPr>
          <w:rFonts w:ascii="Roboto" w:eastAsia="Roboto" w:hAnsi="Roboto" w:cs="Roboto"/>
          <w:highlight w:val="white"/>
          <w:u w:val="single"/>
        </w:rPr>
        <w:t>Quince (15) minutos antes de completar la primera hora de sesión se debe verificar uninominalmente que haya quórum decisorio. El mismo procedimiento se realizará quince (15) minutos antes de completar la cuarta hora de sesión. No contestar el llamado a lista en alguna de estas dos (2) ocasiones se considerará inasistencia a la sesión.</w:t>
      </w:r>
    </w:p>
    <w:p w:rsidR="00812A62" w:rsidRDefault="00812A62">
      <w:pPr>
        <w:ind w:left="720"/>
        <w:jc w:val="both"/>
      </w:pPr>
    </w:p>
    <w:p w:rsidR="00812A62" w:rsidRDefault="00C127B7">
      <w:pPr>
        <w:ind w:left="720"/>
        <w:jc w:val="both"/>
        <w:rPr>
          <w:rFonts w:ascii="Roboto" w:eastAsia="Roboto" w:hAnsi="Roboto" w:cs="Roboto"/>
          <w:u w:val="single"/>
        </w:rPr>
      </w:pPr>
      <w:r>
        <w:rPr>
          <w:rFonts w:ascii="Roboto" w:eastAsia="Roboto" w:hAnsi="Roboto" w:cs="Roboto"/>
          <w:highlight w:val="white"/>
          <w:u w:val="single"/>
        </w:rPr>
        <w:t xml:space="preserve">En caso de que la sesión dure menos de cuatro (4) horas y la misma se levante por falta de quórum decisorio, aquellos congresistas que no respondieron el llamado a lista incurrirán en inasistencia. </w:t>
      </w:r>
    </w:p>
    <w:p w:rsidR="00C127B7" w:rsidRDefault="00C127B7">
      <w:pPr>
        <w:ind w:left="720"/>
        <w:jc w:val="both"/>
        <w:rPr>
          <w:rFonts w:ascii="Roboto" w:eastAsia="Roboto" w:hAnsi="Roboto" w:cs="Roboto"/>
          <w:u w:val="single"/>
        </w:rPr>
      </w:pPr>
    </w:p>
    <w:p w:rsidR="00C127B7" w:rsidRDefault="00C127B7">
      <w:pPr>
        <w:ind w:left="720"/>
        <w:jc w:val="both"/>
        <w:rPr>
          <w:rFonts w:ascii="Roboto" w:eastAsia="Roboto" w:hAnsi="Roboto" w:cs="Roboto"/>
          <w:u w:val="single"/>
        </w:rPr>
      </w:pPr>
    </w:p>
    <w:p w:rsidR="00C127B7" w:rsidRDefault="00C127B7">
      <w:pPr>
        <w:ind w:left="720"/>
        <w:jc w:val="both"/>
        <w:rPr>
          <w:rFonts w:ascii="Roboto" w:eastAsia="Roboto" w:hAnsi="Roboto" w:cs="Roboto"/>
          <w:u w:val="single"/>
        </w:rPr>
      </w:pPr>
    </w:p>
    <w:p w:rsidR="00C127B7" w:rsidRDefault="00C127B7">
      <w:pPr>
        <w:ind w:left="720"/>
        <w:jc w:val="both"/>
        <w:rPr>
          <w:rFonts w:ascii="Roboto" w:eastAsia="Roboto" w:hAnsi="Roboto" w:cs="Roboto"/>
          <w:u w:val="single"/>
        </w:rPr>
      </w:pPr>
    </w:p>
    <w:p w:rsidR="00C127B7" w:rsidRDefault="00C127B7">
      <w:pPr>
        <w:ind w:left="720"/>
        <w:jc w:val="both"/>
      </w:pPr>
    </w:p>
    <w:p w:rsidR="00812A62" w:rsidRDefault="00812A62">
      <w:pPr>
        <w:jc w:val="both"/>
      </w:pPr>
    </w:p>
    <w:p w:rsidR="00812A62" w:rsidRDefault="00C127B7">
      <w:pPr>
        <w:jc w:val="both"/>
      </w:pPr>
      <w:r>
        <w:rPr>
          <w:rFonts w:ascii="Roboto" w:eastAsia="Roboto" w:hAnsi="Roboto" w:cs="Roboto"/>
          <w:b/>
          <w:highlight w:val="white"/>
        </w:rPr>
        <w:t xml:space="preserve">Artículo 19°. </w:t>
      </w:r>
      <w:r>
        <w:rPr>
          <w:rFonts w:ascii="Roboto" w:eastAsia="Roboto" w:hAnsi="Roboto" w:cs="Roboto"/>
          <w:highlight w:val="white"/>
        </w:rPr>
        <w:t>Modifíquese el numeral 6 del artículo 296 de la Ley 5 de 1992, el cual quedará así:</w:t>
      </w:r>
    </w:p>
    <w:p w:rsidR="00812A62" w:rsidRDefault="00812A62">
      <w:pPr>
        <w:jc w:val="both"/>
      </w:pPr>
    </w:p>
    <w:p w:rsidR="00812A62" w:rsidRDefault="00C127B7">
      <w:pPr>
        <w:ind w:left="720"/>
        <w:jc w:val="both"/>
      </w:pPr>
      <w:bookmarkStart w:id="4" w:name="h.hobppddultp1" w:colFirst="0" w:colLast="0"/>
      <w:bookmarkEnd w:id="4"/>
      <w:r>
        <w:rPr>
          <w:rFonts w:ascii="Roboto" w:eastAsia="Roboto" w:hAnsi="Roboto" w:cs="Roboto"/>
          <w:b/>
          <w:highlight w:val="white"/>
        </w:rPr>
        <w:lastRenderedPageBreak/>
        <w:t>ARTÍCULO 296. CAUSALES.</w:t>
      </w:r>
      <w:r>
        <w:rPr>
          <w:rFonts w:ascii="Roboto" w:eastAsia="Roboto" w:hAnsi="Roboto" w:cs="Roboto"/>
          <w:highlight w:val="white"/>
        </w:rPr>
        <w:t xml:space="preserve"> La pérdida de la investidura se produce:</w:t>
      </w:r>
    </w:p>
    <w:p w:rsidR="00812A62" w:rsidRDefault="00812A62">
      <w:pPr>
        <w:ind w:left="720"/>
        <w:jc w:val="both"/>
      </w:pPr>
      <w:bookmarkStart w:id="5" w:name="h.z337ya" w:colFirst="0" w:colLast="0"/>
      <w:bookmarkEnd w:id="5"/>
    </w:p>
    <w:p w:rsidR="00812A62" w:rsidRDefault="00C127B7">
      <w:pPr>
        <w:ind w:left="720"/>
        <w:jc w:val="both"/>
      </w:pPr>
      <w:r>
        <w:rPr>
          <w:rFonts w:ascii="Roboto" w:eastAsia="Roboto" w:hAnsi="Roboto" w:cs="Roboto"/>
        </w:rPr>
        <w:t xml:space="preserve">6. Por la inasistencia </w:t>
      </w:r>
      <w:r>
        <w:rPr>
          <w:rFonts w:ascii="Roboto" w:eastAsia="Roboto" w:hAnsi="Roboto" w:cs="Roboto"/>
          <w:u w:val="single"/>
        </w:rPr>
        <w:t>injustificada</w:t>
      </w:r>
      <w:r>
        <w:rPr>
          <w:rFonts w:ascii="Roboto" w:eastAsia="Roboto" w:hAnsi="Roboto" w:cs="Roboto"/>
        </w:rPr>
        <w:t xml:space="preserve">, en un mismo período de sesiones, a seis (6) reuniones plenarias </w:t>
      </w:r>
      <w:r>
        <w:rPr>
          <w:rFonts w:ascii="Roboto" w:eastAsia="Roboto" w:hAnsi="Roboto" w:cs="Roboto"/>
          <w:u w:val="single"/>
        </w:rPr>
        <w:t>o de comisión</w:t>
      </w:r>
      <w:r>
        <w:rPr>
          <w:rFonts w:ascii="Roboto" w:eastAsia="Roboto" w:hAnsi="Roboto" w:cs="Roboto"/>
        </w:rPr>
        <w:t xml:space="preserve">.  </w:t>
      </w:r>
    </w:p>
    <w:p w:rsidR="00812A62" w:rsidRDefault="00812A62">
      <w:pPr>
        <w:jc w:val="both"/>
      </w:pPr>
    </w:p>
    <w:p w:rsidR="00812A62" w:rsidRDefault="00812A62">
      <w:pPr>
        <w:jc w:val="both"/>
      </w:pPr>
    </w:p>
    <w:p w:rsidR="00812A62" w:rsidRDefault="00812A62">
      <w:pPr>
        <w:jc w:val="both"/>
      </w:pPr>
    </w:p>
    <w:p w:rsidR="00812A62" w:rsidRDefault="00812A62">
      <w:pPr>
        <w:jc w:val="both"/>
      </w:pPr>
    </w:p>
    <w:p w:rsidR="00812A62" w:rsidRDefault="00C127B7">
      <w:pPr>
        <w:jc w:val="both"/>
      </w:pPr>
      <w:r>
        <w:rPr>
          <w:rFonts w:ascii="Roboto" w:eastAsia="Roboto" w:hAnsi="Roboto" w:cs="Roboto"/>
          <w:b/>
          <w:highlight w:val="white"/>
        </w:rPr>
        <w:t xml:space="preserve">Artículo 20°. </w:t>
      </w:r>
      <w:r>
        <w:rPr>
          <w:rFonts w:ascii="Roboto" w:eastAsia="Roboto" w:hAnsi="Roboto" w:cs="Roboto"/>
          <w:highlight w:val="white"/>
        </w:rPr>
        <w:t>Adicióne</w:t>
      </w:r>
      <w:r>
        <w:rPr>
          <w:rFonts w:ascii="Roboto" w:eastAsia="Roboto" w:hAnsi="Roboto" w:cs="Roboto"/>
        </w:rPr>
        <w:t>se un i</w:t>
      </w:r>
      <w:r>
        <w:rPr>
          <w:rFonts w:ascii="Roboto" w:eastAsia="Roboto" w:hAnsi="Roboto" w:cs="Roboto"/>
          <w:highlight w:val="white"/>
        </w:rPr>
        <w:t>nciso al artículo 271 de la Ley 5 de 1992, el cual quedará así:</w:t>
      </w:r>
    </w:p>
    <w:p w:rsidR="00812A62" w:rsidRDefault="00812A62">
      <w:pPr>
        <w:jc w:val="both"/>
      </w:pPr>
    </w:p>
    <w:p w:rsidR="00812A62" w:rsidRDefault="00C127B7">
      <w:pPr>
        <w:ind w:left="720"/>
        <w:jc w:val="both"/>
      </w:pPr>
      <w:r>
        <w:rPr>
          <w:rFonts w:ascii="Roboto" w:eastAsia="Roboto" w:hAnsi="Roboto" w:cs="Roboto"/>
          <w:b/>
          <w:highlight w:val="white"/>
        </w:rPr>
        <w:t>ARTÍCULO 271.</w:t>
      </w:r>
      <w:r>
        <w:rPr>
          <w:rFonts w:ascii="Roboto" w:eastAsia="Roboto" w:hAnsi="Roboto" w:cs="Roboto"/>
          <w:highlight w:val="white"/>
        </w:rPr>
        <w:t xml:space="preserve"> Inasistencia. La falta de asistencia de los Congresistas a las sesiones, sin excusa válida, no causará los salarios y prestaciones correspondientes. Ello, sin perjuicio de la pérdida de la investidura cuando hubiere lugar.</w:t>
      </w:r>
    </w:p>
    <w:p w:rsidR="00812A62" w:rsidRDefault="00812A62">
      <w:pPr>
        <w:ind w:left="720"/>
        <w:jc w:val="both"/>
      </w:pPr>
    </w:p>
    <w:p w:rsidR="00812A62" w:rsidRDefault="00C127B7">
      <w:pPr>
        <w:ind w:left="720"/>
        <w:jc w:val="both"/>
      </w:pPr>
      <w:r>
        <w:rPr>
          <w:rFonts w:ascii="Roboto" w:eastAsia="Roboto" w:hAnsi="Roboto" w:cs="Roboto"/>
          <w:highlight w:val="white"/>
          <w:u w:val="single"/>
        </w:rPr>
        <w:t>Cuando un Congresista complete seis (6) inasistencias injustificadas, el Presidente de cada una de las Corporaciones y los Presidentes de cada Comisión Constitucional deberán solicitar al Consejo de Estado se inicie el proceso de pérdida de investidura correspondiente</w:t>
      </w:r>
    </w:p>
    <w:p w:rsidR="00812A62" w:rsidRDefault="00812A62">
      <w:pPr>
        <w:jc w:val="both"/>
      </w:pPr>
    </w:p>
    <w:p w:rsidR="00812A62" w:rsidRDefault="00C127B7">
      <w:pPr>
        <w:jc w:val="both"/>
      </w:pPr>
      <w:r>
        <w:rPr>
          <w:rFonts w:ascii="Roboto" w:eastAsia="Roboto" w:hAnsi="Roboto" w:cs="Roboto"/>
          <w:b/>
        </w:rPr>
        <w:t>Artículo 21°.</w:t>
      </w:r>
      <w:r>
        <w:rPr>
          <w:rFonts w:ascii="Roboto" w:eastAsia="Roboto" w:hAnsi="Roboto" w:cs="Roboto"/>
        </w:rPr>
        <w:t xml:space="preserve"> La presente ley rige a partir de los seis (6) meses siguientes a su promulgación y deroga todas las disposiciones que le sean contrarias.</w:t>
      </w:r>
    </w:p>
    <w:p w:rsidR="00812A62" w:rsidRDefault="00812A62">
      <w:pPr>
        <w:jc w:val="both"/>
      </w:pPr>
    </w:p>
    <w:p w:rsidR="00812A62" w:rsidRDefault="00812A62"/>
    <w:p w:rsidR="00812A62" w:rsidRDefault="00812A62"/>
    <w:p w:rsidR="00812A62" w:rsidRDefault="00812A62"/>
    <w:p w:rsidR="00812A62" w:rsidRDefault="00C127B7">
      <w:pPr>
        <w:jc w:val="both"/>
      </w:pPr>
      <w:r>
        <w:rPr>
          <w:rFonts w:ascii="Roboto" w:eastAsia="Roboto" w:hAnsi="Roboto" w:cs="Roboto"/>
          <w:b/>
        </w:rPr>
        <w:t>Angélica Lozano                                                                 Claudia López</w:t>
      </w:r>
    </w:p>
    <w:p w:rsidR="00812A62" w:rsidRDefault="00C127B7">
      <w:pPr>
        <w:jc w:val="both"/>
      </w:pPr>
      <w:r>
        <w:rPr>
          <w:rFonts w:ascii="Roboto" w:eastAsia="Roboto" w:hAnsi="Roboto" w:cs="Roboto"/>
        </w:rPr>
        <w:t>Representante a la Cámara                                               Senadora de la República</w:t>
      </w:r>
    </w:p>
    <w:p w:rsidR="00C127B7" w:rsidRDefault="00C127B7" w:rsidP="00C127B7">
      <w:pPr>
        <w:jc w:val="both"/>
      </w:pPr>
      <w:r>
        <w:rPr>
          <w:rFonts w:ascii="Roboto" w:eastAsia="Roboto" w:hAnsi="Roboto" w:cs="Roboto"/>
        </w:rPr>
        <w:t>Alianza Verde                                                                       Alianza Verde</w:t>
      </w:r>
    </w:p>
    <w:p w:rsidR="00812A62" w:rsidRDefault="00812A62">
      <w:pPr>
        <w:jc w:val="both"/>
      </w:pPr>
    </w:p>
    <w:p w:rsidR="00812A62" w:rsidRDefault="00812A62">
      <w:pPr>
        <w:jc w:val="both"/>
      </w:pPr>
    </w:p>
    <w:p w:rsidR="00812A62" w:rsidRDefault="00812A62">
      <w:pPr>
        <w:jc w:val="both"/>
      </w:pPr>
    </w:p>
    <w:p w:rsidR="00812A62" w:rsidRDefault="00812A62">
      <w:pPr>
        <w:jc w:val="both"/>
      </w:pPr>
    </w:p>
    <w:p w:rsidR="00812A62" w:rsidRDefault="00812A62"/>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812A62" w:rsidP="00C127B7"/>
    <w:p w:rsidR="00812A62" w:rsidRDefault="00812A62">
      <w:pPr>
        <w:jc w:val="center"/>
      </w:pPr>
    </w:p>
    <w:p w:rsidR="00C127B7" w:rsidRDefault="00C127B7" w:rsidP="00C127B7">
      <w:pPr>
        <w:jc w:val="center"/>
      </w:pPr>
      <w:r>
        <w:rPr>
          <w:rFonts w:ascii="Roboto" w:eastAsia="Roboto" w:hAnsi="Roboto" w:cs="Roboto"/>
          <w:b/>
        </w:rPr>
        <w:t>PROYECTO DE LEY _______________ DE 2016</w:t>
      </w:r>
    </w:p>
    <w:p w:rsidR="00C127B7" w:rsidRDefault="00C127B7" w:rsidP="00C127B7">
      <w:pPr>
        <w:jc w:val="center"/>
      </w:pPr>
      <w:r>
        <w:rPr>
          <w:rFonts w:ascii="Roboto" w:eastAsia="Roboto" w:hAnsi="Roboto" w:cs="Roboto"/>
          <w:b/>
        </w:rPr>
        <w:t>“Por medio de la cual se reforma la Ley 5° de 1992 para establecer mecanismos de rendición de cuentas, transparencia y verificación de la asistencia en el Congreso de la República.”</w:t>
      </w:r>
    </w:p>
    <w:p w:rsidR="00812A62" w:rsidRDefault="00812A62">
      <w:pPr>
        <w:spacing w:line="240" w:lineRule="auto"/>
        <w:jc w:val="center"/>
      </w:pPr>
    </w:p>
    <w:p w:rsidR="00C127B7" w:rsidRDefault="00C127B7">
      <w:pPr>
        <w:spacing w:line="240" w:lineRule="auto"/>
        <w:jc w:val="center"/>
      </w:pPr>
    </w:p>
    <w:p w:rsidR="00C127B7" w:rsidRDefault="00C127B7">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jc w:val="center"/>
      </w:pPr>
    </w:p>
    <w:p w:rsidR="00812A62" w:rsidRDefault="00812A62">
      <w:pPr>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C127B7" w:rsidRDefault="00C127B7">
      <w:pPr>
        <w:jc w:val="both"/>
      </w:pPr>
    </w:p>
    <w:p w:rsidR="00812A62" w:rsidRDefault="00C127B7">
      <w:pPr>
        <w:pStyle w:val="Ttulo"/>
        <w:spacing w:after="0"/>
        <w:jc w:val="center"/>
      </w:pPr>
      <w:bookmarkStart w:id="6" w:name="h.gjdgxs" w:colFirst="0" w:colLast="0"/>
      <w:bookmarkEnd w:id="6"/>
      <w:r>
        <w:rPr>
          <w:rFonts w:ascii="Roboto" w:eastAsia="Roboto" w:hAnsi="Roboto" w:cs="Roboto"/>
          <w:b/>
          <w:sz w:val="22"/>
          <w:szCs w:val="22"/>
        </w:rPr>
        <w:t>EXPOSICIÓN DE MOTIVOS</w:t>
      </w:r>
    </w:p>
    <w:p w:rsidR="00812A62" w:rsidRDefault="00812A62"/>
    <w:p w:rsidR="00812A62" w:rsidRDefault="00C127B7">
      <w:pPr>
        <w:jc w:val="center"/>
      </w:pPr>
      <w:r>
        <w:rPr>
          <w:rFonts w:ascii="Roboto" w:eastAsia="Roboto" w:hAnsi="Roboto" w:cs="Roboto"/>
          <w:b/>
        </w:rPr>
        <w:t>PROYECTO DE LEY _______________ DE 2016</w:t>
      </w:r>
    </w:p>
    <w:p w:rsidR="00812A62" w:rsidRDefault="00C127B7">
      <w:pPr>
        <w:jc w:val="center"/>
      </w:pPr>
      <w:r>
        <w:rPr>
          <w:rFonts w:ascii="Roboto" w:eastAsia="Roboto" w:hAnsi="Roboto" w:cs="Roboto"/>
          <w:b/>
        </w:rPr>
        <w:t>“Por medio de la cual se reforma la Ley 5° de 1992 para establecer mecanismos de rendición de cuentas, transparencia y verificación de la asistencia en el Congreso de la República.”</w:t>
      </w:r>
    </w:p>
    <w:p w:rsidR="00812A62" w:rsidRDefault="00812A62">
      <w:pPr>
        <w:jc w:val="both"/>
      </w:pPr>
    </w:p>
    <w:p w:rsidR="00812A62" w:rsidRDefault="00C127B7">
      <w:pPr>
        <w:pStyle w:val="Ttulo3"/>
        <w:numPr>
          <w:ilvl w:val="0"/>
          <w:numId w:val="8"/>
        </w:numPr>
        <w:ind w:firstLine="0"/>
        <w:contextualSpacing/>
        <w:rPr>
          <w:rFonts w:ascii="Roboto" w:eastAsia="Roboto" w:hAnsi="Roboto" w:cs="Roboto"/>
        </w:rPr>
      </w:pPr>
      <w:bookmarkStart w:id="7" w:name="h.30j0zll" w:colFirst="0" w:colLast="0"/>
      <w:bookmarkEnd w:id="7"/>
      <w:r>
        <w:rPr>
          <w:rFonts w:ascii="Roboto" w:eastAsia="Roboto" w:hAnsi="Roboto" w:cs="Roboto"/>
        </w:rPr>
        <w:lastRenderedPageBreak/>
        <w:t>Introducción</w:t>
      </w:r>
    </w:p>
    <w:p w:rsidR="00812A62" w:rsidRDefault="00812A62">
      <w:pPr>
        <w:jc w:val="both"/>
      </w:pPr>
    </w:p>
    <w:p w:rsidR="00812A62" w:rsidRDefault="00C127B7">
      <w:pPr>
        <w:jc w:val="both"/>
      </w:pPr>
      <w:r>
        <w:rPr>
          <w:rFonts w:ascii="Roboto" w:eastAsia="Roboto" w:hAnsi="Roboto" w:cs="Roboto"/>
        </w:rPr>
        <w:t>Cambios sociales, culturales y tecnológicos han hecho que aumente la demanda ciudadana por una gestión pública más transparente, participativa y colaborativa. Durante los últimos años se ha avanzado de manera paulatina en la materia; hitos significativos demuestran un avance importante, sin embargo, ninguno de ellos resulta útil para garantizar un Congreso abierto, transparente, que rinda cuentas a la ciudadanía y asuma la responsabilidad política de su gestión. Por medio del presente proyecto de ley se pretende generar un instrumento específico para la apertura del Congreso de la República y específicamente de los Congresistas que lo integran.</w:t>
      </w:r>
    </w:p>
    <w:p w:rsidR="00812A62" w:rsidRDefault="00812A62">
      <w:pPr>
        <w:jc w:val="both"/>
      </w:pPr>
    </w:p>
    <w:p w:rsidR="00812A62" w:rsidRDefault="00C127B7">
      <w:pPr>
        <w:pStyle w:val="Ttulo3"/>
        <w:numPr>
          <w:ilvl w:val="0"/>
          <w:numId w:val="8"/>
        </w:numPr>
        <w:ind w:firstLine="0"/>
        <w:contextualSpacing/>
        <w:rPr>
          <w:rFonts w:ascii="Roboto" w:eastAsia="Roboto" w:hAnsi="Roboto" w:cs="Roboto"/>
        </w:rPr>
      </w:pPr>
      <w:r>
        <w:rPr>
          <w:rFonts w:ascii="Roboto" w:eastAsia="Roboto" w:hAnsi="Roboto" w:cs="Roboto"/>
        </w:rPr>
        <w:t>Objeto</w:t>
      </w:r>
    </w:p>
    <w:p w:rsidR="00812A62" w:rsidRDefault="00812A62">
      <w:pPr>
        <w:jc w:val="both"/>
      </w:pPr>
    </w:p>
    <w:p w:rsidR="00812A62" w:rsidRDefault="00C127B7">
      <w:pPr>
        <w:jc w:val="both"/>
      </w:pPr>
      <w:r>
        <w:rPr>
          <w:rFonts w:ascii="Roboto" w:eastAsia="Roboto" w:hAnsi="Roboto" w:cs="Roboto"/>
        </w:rPr>
        <w:t>La presente ley tiene por objeto desarrollar el principio de transparencia en el ejercicio de las funciones de los congresistas por medio de la creación del deber de transparencia legislativa el cual implica la rendición de cuentas y el reporte de actuaciones realizadas en razón a sus funciones. Articula la transparencia legislativa con los canales de comunicación del Congreso y les otorga a los secretarios generales el deber de publicar de manera diligente en la página web del Congreso información de interés público relacionada con la gestión y función de los congresistas.</w:t>
      </w:r>
    </w:p>
    <w:p w:rsidR="00812A62" w:rsidRDefault="00812A62">
      <w:pPr>
        <w:jc w:val="both"/>
      </w:pPr>
    </w:p>
    <w:p w:rsidR="00812A62" w:rsidRDefault="00C127B7">
      <w:pPr>
        <w:jc w:val="both"/>
      </w:pPr>
      <w:r>
        <w:rPr>
          <w:rFonts w:ascii="Roboto" w:eastAsia="Roboto" w:hAnsi="Roboto" w:cs="Roboto"/>
        </w:rPr>
        <w:t>Adicionalmente, establece un mecanismo de llamado a lista para verificar la asistencia de los congresistas a las sesiones, e incorpora en cabeza de</w:t>
      </w:r>
      <w:r>
        <w:rPr>
          <w:rFonts w:ascii="Roboto" w:eastAsia="Roboto" w:hAnsi="Roboto" w:cs="Roboto"/>
          <w:highlight w:val="white"/>
        </w:rPr>
        <w:t xml:space="preserve">l Presidente de cada una de las Corporaciones y los Presidentes de cada Comisión Constitucional, </w:t>
      </w:r>
      <w:r>
        <w:rPr>
          <w:rFonts w:ascii="Roboto" w:eastAsia="Roboto" w:hAnsi="Roboto" w:cs="Roboto"/>
        </w:rPr>
        <w:t xml:space="preserve">el deber de </w:t>
      </w:r>
      <w:r>
        <w:rPr>
          <w:rFonts w:ascii="Roboto" w:eastAsia="Roboto" w:hAnsi="Roboto" w:cs="Roboto"/>
          <w:highlight w:val="white"/>
        </w:rPr>
        <w:t>solicitar al Consejo de Estado el inicio del proceso de pérdida de investidura correspondiente</w:t>
      </w:r>
      <w:r>
        <w:rPr>
          <w:rFonts w:ascii="Roboto" w:eastAsia="Roboto" w:hAnsi="Roboto" w:cs="Roboto"/>
        </w:rPr>
        <w:t xml:space="preserve"> c</w:t>
      </w:r>
      <w:r>
        <w:rPr>
          <w:rFonts w:ascii="Roboto" w:eastAsia="Roboto" w:hAnsi="Roboto" w:cs="Roboto"/>
          <w:highlight w:val="white"/>
        </w:rPr>
        <w:t>uando un Congresista complete seis inasistencias injustificadas.</w:t>
      </w:r>
    </w:p>
    <w:p w:rsidR="00812A62" w:rsidRDefault="00812A62">
      <w:pPr>
        <w:jc w:val="both"/>
      </w:pPr>
    </w:p>
    <w:p w:rsidR="00812A62" w:rsidRDefault="00C127B7">
      <w:pPr>
        <w:pStyle w:val="Ttulo3"/>
        <w:numPr>
          <w:ilvl w:val="0"/>
          <w:numId w:val="8"/>
        </w:numPr>
        <w:ind w:firstLine="0"/>
        <w:contextualSpacing/>
        <w:rPr>
          <w:rFonts w:ascii="Roboto" w:eastAsia="Roboto" w:hAnsi="Roboto" w:cs="Roboto"/>
        </w:rPr>
      </w:pPr>
      <w:r>
        <w:rPr>
          <w:rFonts w:ascii="Roboto" w:eastAsia="Roboto" w:hAnsi="Roboto" w:cs="Roboto"/>
        </w:rPr>
        <w:t>Marco Constitucional y legal en materia de transparencia</w:t>
      </w:r>
    </w:p>
    <w:p w:rsidR="00812A62" w:rsidRDefault="00812A62">
      <w:pPr>
        <w:jc w:val="both"/>
      </w:pPr>
    </w:p>
    <w:p w:rsidR="00812A62" w:rsidRDefault="00C127B7">
      <w:pPr>
        <w:jc w:val="both"/>
      </w:pPr>
      <w:bookmarkStart w:id="8" w:name="h.1fob9te" w:colFirst="0" w:colLast="0"/>
      <w:bookmarkEnd w:id="8"/>
      <w:r>
        <w:rPr>
          <w:rFonts w:ascii="Roboto" w:eastAsia="Roboto" w:hAnsi="Roboto" w:cs="Roboto"/>
        </w:rPr>
        <w:t>La Constitución Política, en su artículo 2°, instaura como un fin esencial del Estado Social de Derecho “</w:t>
      </w:r>
      <w:r>
        <w:rPr>
          <w:rFonts w:ascii="Roboto" w:eastAsia="Roboto" w:hAnsi="Roboto" w:cs="Roboto"/>
          <w:i/>
        </w:rPr>
        <w:t>facilitar la participación de todos en las decisiones que los afectan y en la vida económica, política, administrativa y cultural de la Nación</w:t>
      </w:r>
      <w:r>
        <w:rPr>
          <w:rFonts w:ascii="Roboto" w:eastAsia="Roboto" w:hAnsi="Roboto" w:cs="Roboto"/>
        </w:rPr>
        <w:t>” y en consecuencia concede a todo ciudadano el derecho a “</w:t>
      </w:r>
      <w:r>
        <w:rPr>
          <w:rFonts w:ascii="Roboto" w:eastAsia="Roboto" w:hAnsi="Roboto" w:cs="Roboto"/>
          <w:i/>
        </w:rPr>
        <w:t>recibir información veraz e imparcial” (artículo 20), y “acceder a los documentos públicos salvo los casos que establezca la ley</w:t>
      </w:r>
      <w:proofErr w:type="gramStart"/>
      <w:r>
        <w:rPr>
          <w:rFonts w:ascii="Roboto" w:eastAsia="Roboto" w:hAnsi="Roboto" w:cs="Roboto"/>
        </w:rPr>
        <w:t>”(</w:t>
      </w:r>
      <w:proofErr w:type="gramEnd"/>
      <w:r>
        <w:rPr>
          <w:rFonts w:ascii="Roboto" w:eastAsia="Roboto" w:hAnsi="Roboto" w:cs="Roboto"/>
        </w:rPr>
        <w:t>artículo 74).</w:t>
      </w:r>
    </w:p>
    <w:p w:rsidR="00812A62" w:rsidRDefault="00812A62">
      <w:pPr>
        <w:jc w:val="both"/>
      </w:pPr>
    </w:p>
    <w:p w:rsidR="00812A62" w:rsidRDefault="00C127B7">
      <w:pPr>
        <w:jc w:val="both"/>
      </w:pPr>
      <w:r>
        <w:rPr>
          <w:rFonts w:ascii="Roboto" w:eastAsia="Roboto" w:hAnsi="Roboto" w:cs="Roboto"/>
        </w:rPr>
        <w:t xml:space="preserve">Aunque el ordenamiento legal colombiano ha desarrollado estos enunciados constitucionales en distintas normas existe un vacío normativo sobre la transparencia en gestión de los Congresistas. La Ley 57 de 1985 “por la cual se ordena la publicidad de los actos y documentos oficiales”, Ley 1755 de 2015 “por medio de la cual se regula el Derecho Fundamental de Petición (...)”,  la Ley 80 de 1993, sobre el principio de transparencia, la Ley 1712 de 2014 “Ley de Transparencia y del Derecho de Acceso a la Información Pública Nacional” y la Ley 1147 de 2007 “por la cual se adiciona la Ley 5ª de 1992 y se crean la Comisión Especial de Modernización y las Unidades Coordinadoras de Asistencia Técnica Legislativa y Atención Ciudadana del Congreso de la República”; son un avance significativo para promover la apertura de administración pública, sin embargo, ninguna de estas leyes se regula de manera específica la transparencia en la gestión de cada congresista y si bien es cierto que entre los deberes del congresista se consagran dos que podrían estar relacionados con la transparencia “5. Presentar en su posesión como Congresista, una declaración juramentada de su patrimonio y de las actividades que puedan significarle ingresos económicos adicionales al cargo de representación popular” y “7. Cumplir las disposiciones acerca de las incompatibilidades y conflictos de interés”. </w:t>
      </w:r>
      <w:r>
        <w:rPr>
          <w:rFonts w:ascii="Roboto" w:eastAsia="Roboto" w:hAnsi="Roboto" w:cs="Roboto"/>
        </w:rPr>
        <w:lastRenderedPageBreak/>
        <w:t>Estos son poco efectivos para garantizar la participación ciudadana y permitir acceder a información completa, oportuna y veraz sobre la gestión de sus representantes.</w:t>
      </w:r>
    </w:p>
    <w:p w:rsidR="00812A62" w:rsidRDefault="00812A62">
      <w:pPr>
        <w:jc w:val="both"/>
      </w:pPr>
    </w:p>
    <w:p w:rsidR="00812A62" w:rsidRDefault="00C127B7">
      <w:pPr>
        <w:pStyle w:val="Ttulo3"/>
        <w:numPr>
          <w:ilvl w:val="0"/>
          <w:numId w:val="8"/>
        </w:numPr>
        <w:ind w:firstLine="0"/>
        <w:contextualSpacing/>
        <w:rPr>
          <w:rFonts w:ascii="Roboto" w:eastAsia="Roboto" w:hAnsi="Roboto" w:cs="Roboto"/>
        </w:rPr>
      </w:pPr>
      <w:r>
        <w:rPr>
          <w:rFonts w:ascii="Roboto" w:eastAsia="Roboto" w:hAnsi="Roboto" w:cs="Roboto"/>
        </w:rPr>
        <w:t>Marco constitucional y legal en materia de rendición de cuentas</w:t>
      </w:r>
    </w:p>
    <w:p w:rsidR="00812A62" w:rsidRDefault="00812A62">
      <w:pPr>
        <w:jc w:val="both"/>
      </w:pPr>
    </w:p>
    <w:p w:rsidR="00812A62" w:rsidRDefault="00C127B7">
      <w:pPr>
        <w:jc w:val="both"/>
      </w:pPr>
      <w:r>
        <w:rPr>
          <w:rFonts w:ascii="Roboto" w:eastAsia="Roboto" w:hAnsi="Roboto" w:cs="Roboto"/>
        </w:rPr>
        <w:t>“Los congresistas elegidos son responsables ante la sociedad y sus electores”, así lo consagran el artículo 133 constitucional y de manera reiterada la Ley 5ª de 1992. Estas dos menciones introducen la figura que implica responsabilidad y consecuencias positivas o negativas relacionadas con la gestión del congresista.</w:t>
      </w:r>
    </w:p>
    <w:p w:rsidR="00812A62" w:rsidRDefault="00812A62">
      <w:pPr>
        <w:jc w:val="both"/>
      </w:pPr>
    </w:p>
    <w:p w:rsidR="00812A62" w:rsidRDefault="00C127B7">
      <w:pPr>
        <w:jc w:val="both"/>
      </w:pPr>
      <w:r>
        <w:rPr>
          <w:rFonts w:ascii="Roboto" w:eastAsia="Roboto" w:hAnsi="Roboto" w:cs="Roboto"/>
        </w:rPr>
        <w:t>Sin embargo, la declaración constitucional y legal sobre responsabilidad del congresista resulta inocua a la luz del ordenamiento jurídico colombiano y específicamente del estatuto del congresista, ya que, haciendo una inspección minuciosa del régimen aplicable, la ciudadanía no cuenta con herramientas que le permitan acceder fácilmente a la información, no es jurídicamente exigible que le rindan cuentas a la ciudadanía, ni se estipulan canales efectivos por medio de los cuales los ciudadanos puedan conocer de manera ágil, efectiva y transparente las actuaciones de sus representantes y, en consecuencia, la figura de la responsabilidad política se queda como una simple declaración sin efectos en la ley.</w:t>
      </w:r>
    </w:p>
    <w:p w:rsidR="00812A62" w:rsidRDefault="00812A62">
      <w:pPr>
        <w:jc w:val="both"/>
      </w:pPr>
    </w:p>
    <w:p w:rsidR="00812A62" w:rsidRDefault="00C127B7">
      <w:pPr>
        <w:pStyle w:val="Ttulo3"/>
        <w:numPr>
          <w:ilvl w:val="0"/>
          <w:numId w:val="8"/>
        </w:numPr>
        <w:ind w:firstLine="0"/>
        <w:contextualSpacing/>
        <w:rPr>
          <w:rFonts w:ascii="Roboto" w:eastAsia="Roboto" w:hAnsi="Roboto" w:cs="Roboto"/>
        </w:rPr>
      </w:pPr>
      <w:r>
        <w:rPr>
          <w:rFonts w:ascii="Roboto" w:eastAsia="Roboto" w:hAnsi="Roboto" w:cs="Roboto"/>
        </w:rPr>
        <w:t>Transparencia, rendición de cuentas y legitimidad de las instituciones</w:t>
      </w:r>
    </w:p>
    <w:p w:rsidR="00812A62" w:rsidRDefault="00812A62">
      <w:pPr>
        <w:jc w:val="both"/>
      </w:pPr>
    </w:p>
    <w:p w:rsidR="00812A62" w:rsidRDefault="00C127B7">
      <w:pPr>
        <w:jc w:val="both"/>
      </w:pPr>
      <w:r>
        <w:rPr>
          <w:rFonts w:ascii="Roboto" w:eastAsia="Roboto" w:hAnsi="Roboto" w:cs="Roboto"/>
        </w:rPr>
        <w:t>Según revelan los sondeos de opinión, en Colombia existe un alto nivel de desconfianza hacia la labor realizada por el Congreso de la República.</w:t>
      </w:r>
    </w:p>
    <w:p w:rsidR="00812A62" w:rsidRDefault="00812A62">
      <w:pPr>
        <w:jc w:val="both"/>
      </w:pPr>
    </w:p>
    <w:p w:rsidR="00812A62" w:rsidRDefault="00C127B7">
      <w:pPr>
        <w:jc w:val="both"/>
      </w:pPr>
      <w:r>
        <w:rPr>
          <w:rFonts w:ascii="Roboto" w:eastAsia="Roboto" w:hAnsi="Roboto" w:cs="Roboto"/>
        </w:rPr>
        <w:t xml:space="preserve">Según la encuesta “Colombia Opina 2014” realizada por </w:t>
      </w:r>
      <w:proofErr w:type="spellStart"/>
      <w:r>
        <w:rPr>
          <w:rFonts w:ascii="Roboto" w:eastAsia="Roboto" w:hAnsi="Roboto" w:cs="Roboto"/>
        </w:rPr>
        <w:t>Ipsos</w:t>
      </w:r>
      <w:proofErr w:type="spellEnd"/>
      <w:r>
        <w:rPr>
          <w:rFonts w:ascii="Roboto" w:eastAsia="Roboto" w:hAnsi="Roboto" w:cs="Roboto"/>
        </w:rPr>
        <w:t xml:space="preserve"> </w:t>
      </w:r>
      <w:proofErr w:type="spellStart"/>
      <w:r>
        <w:rPr>
          <w:rFonts w:ascii="Roboto" w:eastAsia="Roboto" w:hAnsi="Roboto" w:cs="Roboto"/>
        </w:rPr>
        <w:t>Public</w:t>
      </w:r>
      <w:proofErr w:type="spellEnd"/>
      <w:r>
        <w:rPr>
          <w:rFonts w:ascii="Roboto" w:eastAsia="Roboto" w:hAnsi="Roboto" w:cs="Roboto"/>
        </w:rPr>
        <w:t xml:space="preserve"> </w:t>
      </w:r>
      <w:proofErr w:type="spellStart"/>
      <w:r>
        <w:rPr>
          <w:rFonts w:ascii="Roboto" w:eastAsia="Roboto" w:hAnsi="Roboto" w:cs="Roboto"/>
        </w:rPr>
        <w:t>Affairs</w:t>
      </w:r>
      <w:proofErr w:type="spellEnd"/>
      <w:r>
        <w:rPr>
          <w:rFonts w:ascii="Roboto" w:eastAsia="Roboto" w:hAnsi="Roboto" w:cs="Roboto"/>
        </w:rPr>
        <w:t xml:space="preserve"> el 13 de noviembre del 2014, tan solo un 20% de los encuestados confía en que el Congreso “está haciendo las cosas correctas para que el país salga adelante”, dejando un 75% que no. </w:t>
      </w:r>
    </w:p>
    <w:p w:rsidR="00812A62" w:rsidRDefault="00812A62">
      <w:pPr>
        <w:jc w:val="both"/>
      </w:pPr>
    </w:p>
    <w:p w:rsidR="00812A62" w:rsidRDefault="00C127B7">
      <w:pPr>
        <w:jc w:val="both"/>
      </w:pPr>
      <w:r>
        <w:rPr>
          <w:rFonts w:ascii="Roboto" w:eastAsia="Roboto" w:hAnsi="Roboto" w:cs="Roboto"/>
        </w:rPr>
        <w:t>Podría concluirse que este índice bajo de confianza se puede dar por circunstancias coyunturales; sin embargo, esta se ha mantenido como una tendencia sólida. Ante la misma pregunta realizada en septiembre de 2013, 18% de los encuestados manifestaron confiar en el Congreso, mientras que un 75% no, y en noviembre de 2012, 20% de los encuestados expresaban su confianza mientras que 74% su desconfianza. De la misma forma, la imagen favorable de la institución es preocupante. En noviembre de 2014, 66% de los colombianos manifestó tener una imagen desfavorable del congreso y tan solo un 21% una imagen favorable.</w:t>
      </w:r>
    </w:p>
    <w:p w:rsidR="00812A62" w:rsidRDefault="00812A62">
      <w:pPr>
        <w:jc w:val="both"/>
      </w:pPr>
    </w:p>
    <w:p w:rsidR="00812A62" w:rsidRDefault="00C127B7">
      <w:pPr>
        <w:jc w:val="both"/>
      </w:pPr>
      <w:bookmarkStart w:id="9" w:name="h.ejc6pm8casr1" w:colFirst="0" w:colLast="0"/>
      <w:bookmarkEnd w:id="9"/>
      <w:r>
        <w:rPr>
          <w:rFonts w:ascii="Roboto" w:eastAsia="Roboto" w:hAnsi="Roboto" w:cs="Roboto"/>
        </w:rPr>
        <w:t>Es importante reconocer leyes que promuevan la transparencia por sí solas no representan una solución definitiva a la falta de confianza institucional, sin embargo, sí son una condición necesaria para avanzar en la recuperación de confianza y sumadas al correcto ejercicio de las funciones de los Congresistas y una gestión eficiente significan pasos apropiados para mejorar la percepción del Congreso como un órgano representativo, justo y neutral lo cual entraña ventajas significativas para esta institución legislativa y la democracia colombiana. Como lo señalan distintos autores: </w:t>
      </w:r>
      <w:r>
        <w:rPr>
          <w:rFonts w:ascii="Roboto" w:eastAsia="Roboto" w:hAnsi="Roboto" w:cs="Roboto"/>
          <w:i/>
        </w:rPr>
        <w:t>“</w:t>
      </w:r>
      <w:r>
        <w:rPr>
          <w:rFonts w:ascii="Roboto" w:eastAsia="Roboto" w:hAnsi="Roboto" w:cs="Roboto"/>
        </w:rPr>
        <w:t>un mayor nivel de confianza genera una menor necesidad de recurrir a las fuerzas del orden, menor polarización en el sistema político y mayor eficiencia en el legislativo”</w:t>
      </w:r>
      <w:r>
        <w:rPr>
          <w:rFonts w:ascii="Roboto" w:eastAsia="Roboto" w:hAnsi="Roboto" w:cs="Roboto"/>
          <w:vertAlign w:val="superscript"/>
        </w:rPr>
        <w:footnoteReference w:id="1"/>
      </w:r>
      <w:r>
        <w:rPr>
          <w:rFonts w:ascii="Roboto" w:eastAsia="Roboto" w:hAnsi="Roboto" w:cs="Roboto"/>
        </w:rPr>
        <w:t>.</w:t>
      </w:r>
    </w:p>
    <w:p w:rsidR="00812A62" w:rsidRDefault="00812A62">
      <w:pPr>
        <w:jc w:val="both"/>
      </w:pPr>
      <w:bookmarkStart w:id="10" w:name="h.xx4b3h2n3k91" w:colFirst="0" w:colLast="0"/>
      <w:bookmarkEnd w:id="10"/>
    </w:p>
    <w:p w:rsidR="00812A62" w:rsidRDefault="00C127B7">
      <w:pPr>
        <w:jc w:val="both"/>
      </w:pPr>
      <w:bookmarkStart w:id="11" w:name="h.2veyfxj6n008" w:colFirst="0" w:colLast="0"/>
      <w:bookmarkEnd w:id="11"/>
      <w:r>
        <w:rPr>
          <w:rFonts w:ascii="Roboto" w:eastAsia="Roboto" w:hAnsi="Roboto" w:cs="Roboto"/>
        </w:rPr>
        <w:lastRenderedPageBreak/>
        <w:t>Así, el fortalecimiento de la transparencia legislativa y la rendición de cuentas de los congresistas contribuye principalmente a disminuir la corrupción, entendida como la utilización del poder en beneficio de intereses personales, la cual trae nefastas consecuencias para el ejercicio legislativo, pues afecta el proceso de elaboración de leyes, reduce la confianza en el ordenamiento jurídico y distorsiona la efectiva administración de los recursos públicos</w:t>
      </w:r>
      <w:r>
        <w:rPr>
          <w:rFonts w:ascii="Roboto" w:eastAsia="Roboto" w:hAnsi="Roboto" w:cs="Roboto"/>
          <w:vertAlign w:val="superscript"/>
        </w:rPr>
        <w:footnoteReference w:id="2"/>
      </w:r>
      <w:r>
        <w:rPr>
          <w:rFonts w:ascii="Roboto" w:eastAsia="Roboto" w:hAnsi="Roboto" w:cs="Roboto"/>
        </w:rPr>
        <w:t>. Así, con el fortalecimiento de la transparencia legislativa se “podrá garantizar un flujo transparente y efectivo de información pública, que permite a los ciudadanos identificar y denunciar la corrupción, y a los organismos de control detectar y sancionar a los funcionarios públicos corruptos</w:t>
      </w:r>
      <w:r>
        <w:rPr>
          <w:rFonts w:ascii="Roboto" w:eastAsia="Roboto" w:hAnsi="Roboto" w:cs="Roboto"/>
          <w:vertAlign w:val="superscript"/>
        </w:rPr>
        <w:footnoteReference w:id="3"/>
      </w:r>
      <w:r>
        <w:rPr>
          <w:rFonts w:ascii="Roboto" w:eastAsia="Roboto" w:hAnsi="Roboto" w:cs="Roboto"/>
        </w:rPr>
        <w:t>.</w:t>
      </w:r>
    </w:p>
    <w:p w:rsidR="00812A62" w:rsidRDefault="00C127B7">
      <w:pPr>
        <w:jc w:val="both"/>
      </w:pPr>
      <w:r>
        <w:rPr>
          <w:rFonts w:ascii="Roboto" w:eastAsia="Roboto" w:hAnsi="Roboto" w:cs="Roboto"/>
        </w:rPr>
        <w:t xml:space="preserve"> </w:t>
      </w:r>
    </w:p>
    <w:p w:rsidR="00812A62" w:rsidRDefault="00C127B7">
      <w:pPr>
        <w:jc w:val="both"/>
      </w:pPr>
      <w:r>
        <w:rPr>
          <w:rFonts w:ascii="Roboto" w:eastAsia="Roboto" w:hAnsi="Roboto" w:cs="Roboto"/>
        </w:rPr>
        <w:t>Bajo este contexto, es necesario mencionar que el Estado colombiano se ha obligado de manera reiterada, no solo nacional sino también internacionalmente, a erradicar la corrupción en sus distintas manifestaciones, y ante esto, la transparencia legislativa es una estrategia efectiva que garantiza un flujo de información pública valiosa, posibilita a ciudadanos y organismos de control identificar la corrupción de manera más eficaz y en muchos casos, evita que los servidores públicos cometan actos de corrupción, ya que se sienten «observados»</w:t>
      </w:r>
      <w:r>
        <w:rPr>
          <w:rFonts w:ascii="Roboto" w:eastAsia="Roboto" w:hAnsi="Roboto" w:cs="Roboto"/>
          <w:vertAlign w:val="superscript"/>
        </w:rPr>
        <w:footnoteReference w:id="4"/>
      </w:r>
      <w:r>
        <w:rPr>
          <w:rFonts w:ascii="Roboto" w:eastAsia="Roboto" w:hAnsi="Roboto" w:cs="Roboto"/>
        </w:rPr>
        <w:t>.</w:t>
      </w:r>
    </w:p>
    <w:p w:rsidR="00812A62" w:rsidRDefault="00C127B7">
      <w:pPr>
        <w:jc w:val="both"/>
      </w:pPr>
      <w:r>
        <w:rPr>
          <w:rFonts w:ascii="Roboto" w:eastAsia="Roboto" w:hAnsi="Roboto" w:cs="Roboto"/>
        </w:rPr>
        <w:t xml:space="preserve"> </w:t>
      </w:r>
    </w:p>
    <w:p w:rsidR="00812A62" w:rsidRDefault="00C127B7">
      <w:pPr>
        <w:jc w:val="both"/>
      </w:pPr>
      <w:r>
        <w:rPr>
          <w:rFonts w:ascii="Roboto" w:eastAsia="Roboto" w:hAnsi="Roboto" w:cs="Roboto"/>
        </w:rPr>
        <w:t>Bajo esta misma argumentación, la Comisión Nacional Ciudadana para la Lucha contra la Corrupción ha señalado que esta iniciativa legislativa representa una herramienta valiosa en la lucha contra la corrupción, en primera medida porque actualiza el reglamento del Congreso de la República con los nuevos estándares y normas vigentes en la materia como la Ley de Acceso a la Información Pública y, más puntualmente, porque busca promover la rendición de cuentas de los congresistas, incentivar el control político ciudadano, crear canales de información transparentes, establecer un procedimiento público y participativo de elección de altos funcionarios por parte del Congreso, y hacer más transparentes las comisiones de conciliación , toda vez que ponen fin al secretismo de las fuentes, y a la negativa al acceso de lo que un ciudadano necesita conocer</w:t>
      </w:r>
      <w:r>
        <w:rPr>
          <w:rFonts w:ascii="Roboto" w:eastAsia="Roboto" w:hAnsi="Roboto" w:cs="Roboto"/>
          <w:vertAlign w:val="superscript"/>
        </w:rPr>
        <w:footnoteReference w:id="5"/>
      </w:r>
      <w:r>
        <w:rPr>
          <w:rFonts w:ascii="Roboto" w:eastAsia="Roboto" w:hAnsi="Roboto" w:cs="Roboto"/>
        </w:rPr>
        <w:t>.</w:t>
      </w:r>
    </w:p>
    <w:p w:rsidR="00812A62" w:rsidRDefault="00C127B7">
      <w:pPr>
        <w:jc w:val="both"/>
      </w:pPr>
      <w:r>
        <w:rPr>
          <w:rFonts w:ascii="Roboto" w:eastAsia="Roboto" w:hAnsi="Roboto" w:cs="Roboto"/>
        </w:rPr>
        <w:t xml:space="preserve"> </w:t>
      </w:r>
    </w:p>
    <w:p w:rsidR="00812A62" w:rsidRDefault="00C127B7">
      <w:pPr>
        <w:jc w:val="both"/>
      </w:pPr>
      <w:r>
        <w:rPr>
          <w:rFonts w:ascii="Roboto" w:eastAsia="Roboto" w:hAnsi="Roboto" w:cs="Roboto"/>
        </w:rPr>
        <w:t>Bajo este contexto de anticorrupción, vale la pena mencionar la iniciativa del Presidente Juan Manuel Santos, el día 27 de abril de 2016, donde solicitó a los integrantes de su Gabinete de la Paz, hacer públicas sus declaraciones de bienes y renta, con el objetivo de generar un compromiso adicional en la lucha contra la corrupción. Ante lo anterior, los siguientes ministros han publicado su declaración de renta y de bienes (a junio 20 de 2016):</w:t>
      </w:r>
    </w:p>
    <w:p w:rsidR="00812A62" w:rsidRDefault="00C127B7">
      <w:pPr>
        <w:jc w:val="both"/>
      </w:pPr>
      <w:r>
        <w:rPr>
          <w:rFonts w:ascii="Roboto" w:eastAsia="Roboto" w:hAnsi="Roboto" w:cs="Roboto"/>
        </w:rPr>
        <w:t xml:space="preserve"> </w:t>
      </w:r>
    </w:p>
    <w:p w:rsidR="00812A62" w:rsidRDefault="00C127B7">
      <w:pPr>
        <w:ind w:left="1440" w:hanging="360"/>
        <w:jc w:val="both"/>
      </w:pPr>
      <w:r>
        <w:rPr>
          <w:rFonts w:ascii="Roboto" w:eastAsia="Roboto" w:hAnsi="Roboto" w:cs="Roboto"/>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Ministro del Interior, Juan Fernando Cristo.</w:t>
      </w:r>
    </w:p>
    <w:p w:rsidR="00812A62" w:rsidRDefault="00C127B7">
      <w:pPr>
        <w:ind w:left="1440" w:hanging="360"/>
        <w:jc w:val="both"/>
      </w:pPr>
      <w:r>
        <w:rPr>
          <w:rFonts w:ascii="Roboto" w:eastAsia="Roboto" w:hAnsi="Roboto" w:cs="Roboto"/>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Ministro de Justicia, Jorge Londoño</w:t>
      </w:r>
    </w:p>
    <w:p w:rsidR="00812A62" w:rsidRDefault="00C127B7">
      <w:pPr>
        <w:ind w:left="1440" w:hanging="360"/>
        <w:jc w:val="both"/>
      </w:pPr>
      <w:r>
        <w:rPr>
          <w:rFonts w:ascii="Roboto" w:eastAsia="Roboto" w:hAnsi="Roboto" w:cs="Roboto"/>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Ministros de Tecnologías de Información y las Comunicaciones, David Luna;</w:t>
      </w:r>
    </w:p>
    <w:p w:rsidR="00812A62" w:rsidRDefault="00C127B7">
      <w:pPr>
        <w:ind w:left="1440" w:hanging="360"/>
        <w:jc w:val="both"/>
      </w:pPr>
      <w:r>
        <w:rPr>
          <w:rFonts w:ascii="Roboto" w:eastAsia="Roboto" w:hAnsi="Roboto" w:cs="Roboto"/>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Ministro de Minas, German Arce;</w:t>
      </w:r>
    </w:p>
    <w:p w:rsidR="00812A62" w:rsidRDefault="00C127B7">
      <w:pPr>
        <w:ind w:left="1440" w:hanging="360"/>
        <w:jc w:val="both"/>
      </w:pPr>
      <w:r>
        <w:rPr>
          <w:rFonts w:ascii="Roboto" w:eastAsia="Roboto" w:hAnsi="Roboto" w:cs="Roboto"/>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Ministro de Transporte, Jorge Rojas</w:t>
      </w:r>
    </w:p>
    <w:p w:rsidR="00812A62" w:rsidRDefault="00C127B7">
      <w:pPr>
        <w:ind w:left="1440" w:hanging="360"/>
        <w:jc w:val="both"/>
      </w:pPr>
      <w:r>
        <w:rPr>
          <w:rFonts w:ascii="Roboto" w:eastAsia="Roboto" w:hAnsi="Roboto" w:cs="Roboto"/>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Ministro de Hacienda, Mauricio Cárdenas,</w:t>
      </w:r>
    </w:p>
    <w:p w:rsidR="00812A62" w:rsidRDefault="00C127B7">
      <w:pPr>
        <w:ind w:left="1440" w:hanging="360"/>
        <w:jc w:val="both"/>
      </w:pPr>
      <w:r>
        <w:rPr>
          <w:rFonts w:ascii="Roboto" w:eastAsia="Roboto" w:hAnsi="Roboto" w:cs="Roboto"/>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Ministro de Ambiente; Gilberto Murillo</w:t>
      </w:r>
    </w:p>
    <w:p w:rsidR="00812A62" w:rsidRDefault="00C127B7">
      <w:pPr>
        <w:ind w:left="1440" w:hanging="360"/>
        <w:jc w:val="both"/>
      </w:pPr>
      <w:r>
        <w:rPr>
          <w:rFonts w:ascii="Roboto" w:eastAsia="Roboto" w:hAnsi="Roboto" w:cs="Roboto"/>
        </w:rP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 xml:space="preserve">Ministro de Agricultura, Aurelio </w:t>
      </w:r>
      <w:proofErr w:type="spellStart"/>
      <w:r>
        <w:rPr>
          <w:rFonts w:ascii="Roboto" w:eastAsia="Roboto" w:hAnsi="Roboto" w:cs="Roboto"/>
        </w:rPr>
        <w:t>Iragorri</w:t>
      </w:r>
      <w:proofErr w:type="spellEnd"/>
    </w:p>
    <w:p w:rsidR="00812A62" w:rsidRDefault="00C127B7">
      <w:pPr>
        <w:ind w:left="1440" w:hanging="360"/>
        <w:jc w:val="both"/>
      </w:pPr>
      <w:r>
        <w:rPr>
          <w:rFonts w:ascii="Roboto" w:eastAsia="Roboto" w:hAnsi="Roboto" w:cs="Roboto"/>
        </w:rPr>
        <w:lastRenderedPageBreak/>
        <w:t>i.</w:t>
      </w:r>
      <w:r>
        <w:rPr>
          <w:rFonts w:ascii="Times New Roman" w:eastAsia="Times New Roman" w:hAnsi="Times New Roman" w:cs="Times New Roman"/>
          <w:sz w:val="14"/>
          <w:szCs w:val="14"/>
        </w:rPr>
        <w:t xml:space="preserve">        </w:t>
      </w:r>
      <w:r>
        <w:rPr>
          <w:rFonts w:ascii="Roboto" w:eastAsia="Roboto" w:hAnsi="Roboto" w:cs="Roboto"/>
        </w:rPr>
        <w:t xml:space="preserve">Ministra de Educación, Gina </w:t>
      </w:r>
      <w:proofErr w:type="spellStart"/>
      <w:r>
        <w:rPr>
          <w:rFonts w:ascii="Roboto" w:eastAsia="Roboto" w:hAnsi="Roboto" w:cs="Roboto"/>
        </w:rPr>
        <w:t>Parody</w:t>
      </w:r>
      <w:proofErr w:type="spellEnd"/>
    </w:p>
    <w:p w:rsidR="00812A62" w:rsidRDefault="00C127B7">
      <w:pPr>
        <w:ind w:left="1440" w:hanging="360"/>
        <w:jc w:val="both"/>
      </w:pPr>
      <w:r>
        <w:rPr>
          <w:rFonts w:ascii="Roboto" w:eastAsia="Roboto" w:hAnsi="Roboto" w:cs="Roboto"/>
        </w:rPr>
        <w:t>j.</w:t>
      </w:r>
      <w:r>
        <w:rPr>
          <w:rFonts w:ascii="Times New Roman" w:eastAsia="Times New Roman" w:hAnsi="Times New Roman" w:cs="Times New Roman"/>
          <w:sz w:val="14"/>
          <w:szCs w:val="14"/>
        </w:rPr>
        <w:t xml:space="preserve">        </w:t>
      </w:r>
      <w:r>
        <w:rPr>
          <w:rFonts w:ascii="Roboto" w:eastAsia="Roboto" w:hAnsi="Roboto" w:cs="Roboto"/>
        </w:rPr>
        <w:t>Ministra de Vivienda, Elsa Noguera</w:t>
      </w:r>
    </w:p>
    <w:p w:rsidR="00812A62" w:rsidRDefault="00C127B7">
      <w:pPr>
        <w:ind w:left="1440" w:hanging="360"/>
        <w:jc w:val="both"/>
      </w:pPr>
      <w:r>
        <w:rPr>
          <w:rFonts w:ascii="Roboto" w:eastAsia="Roboto" w:hAnsi="Roboto" w:cs="Roboto"/>
        </w:rPr>
        <w:t>k.</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Roboto" w:eastAsia="Roboto" w:hAnsi="Roboto" w:cs="Roboto"/>
        </w:rPr>
        <w:t>Ministra de Trabajo, Clara Rojas</w:t>
      </w:r>
    </w:p>
    <w:p w:rsidR="00812A62" w:rsidRDefault="00C127B7">
      <w:pPr>
        <w:ind w:left="1440" w:hanging="360"/>
        <w:jc w:val="both"/>
      </w:pPr>
      <w:r>
        <w:rPr>
          <w:rFonts w:ascii="Roboto" w:eastAsia="Roboto" w:hAnsi="Roboto" w:cs="Roboto"/>
        </w:rPr>
        <w:t>l.</w:t>
      </w:r>
      <w:r>
        <w:rPr>
          <w:rFonts w:ascii="Times New Roman" w:eastAsia="Times New Roman" w:hAnsi="Times New Roman" w:cs="Times New Roman"/>
          <w:sz w:val="14"/>
          <w:szCs w:val="14"/>
        </w:rPr>
        <w:t xml:space="preserve">        </w:t>
      </w:r>
      <w:r>
        <w:rPr>
          <w:rFonts w:ascii="Roboto" w:eastAsia="Roboto" w:hAnsi="Roboto" w:cs="Roboto"/>
        </w:rPr>
        <w:t>Ministro de Salud, Alejandro Gaviria</w:t>
      </w:r>
    </w:p>
    <w:p w:rsidR="00812A62" w:rsidRDefault="00C127B7">
      <w:pPr>
        <w:ind w:left="1440" w:hanging="360"/>
        <w:jc w:val="both"/>
      </w:pPr>
      <w:proofErr w:type="gramStart"/>
      <w:r>
        <w:rPr>
          <w:rFonts w:ascii="Roboto" w:eastAsia="Roboto" w:hAnsi="Roboto" w:cs="Roboto"/>
        </w:rPr>
        <w:t>m</w:t>
      </w:r>
      <w:proofErr w:type="gramEnd"/>
      <w:r>
        <w:rPr>
          <w:rFonts w:ascii="Roboto" w:eastAsia="Roboto" w:hAnsi="Roboto" w:cs="Roboto"/>
        </w:rPr>
        <w:t>.</w:t>
      </w:r>
      <w:r>
        <w:rPr>
          <w:rFonts w:ascii="Times New Roman" w:eastAsia="Times New Roman" w:hAnsi="Times New Roman" w:cs="Times New Roman"/>
          <w:sz w:val="14"/>
          <w:szCs w:val="14"/>
        </w:rPr>
        <w:tab/>
      </w:r>
      <w:r>
        <w:rPr>
          <w:rFonts w:ascii="Roboto" w:eastAsia="Roboto" w:hAnsi="Roboto" w:cs="Roboto"/>
        </w:rPr>
        <w:t>Ministra de Cultura, Mariana Garcés</w:t>
      </w:r>
    </w:p>
    <w:p w:rsidR="00812A62" w:rsidRDefault="00C127B7">
      <w:pPr>
        <w:jc w:val="both"/>
      </w:pPr>
      <w:r>
        <w:rPr>
          <w:rFonts w:ascii="Roboto" w:eastAsia="Roboto" w:hAnsi="Roboto" w:cs="Roboto"/>
        </w:rPr>
        <w:t xml:space="preserve"> </w:t>
      </w:r>
    </w:p>
    <w:p w:rsidR="00812A62" w:rsidRDefault="00C127B7">
      <w:pPr>
        <w:jc w:val="both"/>
      </w:pPr>
      <w:r>
        <w:rPr>
          <w:rFonts w:ascii="Roboto" w:eastAsia="Roboto" w:hAnsi="Roboto" w:cs="Roboto"/>
        </w:rPr>
        <w:t xml:space="preserve">No obstante lo anterior, la petición del Presidente Santos tuvo carácter voluntario, por lo que era decisión propia de cada ministro si publicaba o no su declaración de renta. De esta manera, si bien fue una iniciativa favorable para cumplir la transparencia legislativa y luchar contra la corrupción, el carácter voluntario elimina el matiz de deber de publicidad y de control ciudadano ante el Gobierno Nacional. </w:t>
      </w:r>
    </w:p>
    <w:p w:rsidR="00812A62" w:rsidRDefault="00812A62">
      <w:pPr>
        <w:jc w:val="both"/>
      </w:pPr>
      <w:bookmarkStart w:id="12" w:name="h.3znysh7" w:colFirst="0" w:colLast="0"/>
      <w:bookmarkEnd w:id="12"/>
    </w:p>
    <w:p w:rsidR="00812A62" w:rsidRDefault="00C127B7">
      <w:pPr>
        <w:pStyle w:val="Ttulo3"/>
        <w:numPr>
          <w:ilvl w:val="0"/>
          <w:numId w:val="8"/>
        </w:numPr>
        <w:ind w:firstLine="0"/>
        <w:contextualSpacing/>
        <w:rPr>
          <w:rFonts w:ascii="Roboto" w:eastAsia="Roboto" w:hAnsi="Roboto" w:cs="Roboto"/>
        </w:rPr>
      </w:pPr>
      <w:r>
        <w:rPr>
          <w:rFonts w:ascii="Roboto" w:eastAsia="Roboto" w:hAnsi="Roboto" w:cs="Roboto"/>
        </w:rPr>
        <w:t>Uso de las Tecnologías de la Información y Comunicaciones (TIC) para facilitar el acceso a la información</w:t>
      </w:r>
    </w:p>
    <w:p w:rsidR="00812A62" w:rsidRDefault="00812A62">
      <w:pPr>
        <w:jc w:val="both"/>
      </w:pPr>
    </w:p>
    <w:p w:rsidR="00812A62" w:rsidRDefault="00C127B7">
      <w:pPr>
        <w:jc w:val="both"/>
      </w:pPr>
      <w:r>
        <w:rPr>
          <w:rFonts w:ascii="Roboto" w:eastAsia="Roboto" w:hAnsi="Roboto" w:cs="Roboto"/>
        </w:rPr>
        <w:t>La transparencia legislativa, entendida como la apertura de información en las funciones que se ejecuta el Congreso implica diversas acciones de visibilidad, participación y sanción para ser realmente efectiva, para lo cual se necesitan herramientas, legales, sociales y tecnológicas que permitan su realización.</w:t>
      </w:r>
    </w:p>
    <w:p w:rsidR="00812A62" w:rsidRDefault="00812A62">
      <w:pPr>
        <w:jc w:val="both"/>
      </w:pPr>
    </w:p>
    <w:p w:rsidR="00812A62" w:rsidRDefault="00C127B7">
      <w:pPr>
        <w:jc w:val="both"/>
      </w:pPr>
      <w:bookmarkStart w:id="13" w:name="h.2et92p0" w:colFirst="0" w:colLast="0"/>
      <w:bookmarkEnd w:id="13"/>
      <w:r>
        <w:rPr>
          <w:rFonts w:ascii="Roboto" w:eastAsia="Roboto" w:hAnsi="Roboto" w:cs="Roboto"/>
        </w:rPr>
        <w:t>Diversos autores señalan que la forma como se permite el acceso a la información es un aspecto indispensable al analizar la transparencia. “El esquema es sencillo: no bastaría solo con abrir la información; si esta no alcanza a sus destinatarios es difícil que estas iniciativas cumplan sus objetivos”</w:t>
      </w:r>
      <w:r>
        <w:rPr>
          <w:rFonts w:ascii="Roboto" w:eastAsia="Roboto" w:hAnsi="Roboto" w:cs="Roboto"/>
          <w:vertAlign w:val="superscript"/>
        </w:rPr>
        <w:footnoteReference w:id="6"/>
      </w:r>
      <w:r>
        <w:rPr>
          <w:rFonts w:ascii="Roboto" w:eastAsia="Roboto" w:hAnsi="Roboto" w:cs="Roboto"/>
        </w:rPr>
        <w:t>. Por lo tanto, es necesario contar con legislación que haga prioritario la gestión de páginas web completas, actualizadas y con un interface amigable para el ciudadano, esto ayudaría a fortalecer la comunicación entre ciudadanía y Congreso y por ende a la materialización del derecho a acceder a información relevante.</w:t>
      </w:r>
    </w:p>
    <w:p w:rsidR="00812A62" w:rsidRDefault="00812A62">
      <w:pPr>
        <w:jc w:val="both"/>
      </w:pPr>
    </w:p>
    <w:p w:rsidR="00812A62" w:rsidRDefault="00C127B7">
      <w:pPr>
        <w:jc w:val="both"/>
      </w:pPr>
      <w:r>
        <w:rPr>
          <w:rFonts w:ascii="Roboto" w:eastAsia="Roboto" w:hAnsi="Roboto" w:cs="Roboto"/>
        </w:rPr>
        <w:t>En este escenario, la ley, sumada a las Tecnologías de la Información, principalmente internet, representan una oportunidad para la realización de acciones que permitan el fácil acceso a la información relacionada con los Congresistas y su gestión. Su buena utilización rompe barreras materiales como la ubicación del ciudadano interesado, el costo y esfuerzo necesario para hacer una solicitud de información.</w:t>
      </w:r>
    </w:p>
    <w:p w:rsidR="00812A62" w:rsidRDefault="00812A62">
      <w:pPr>
        <w:jc w:val="both"/>
      </w:pPr>
    </w:p>
    <w:p w:rsidR="00812A62" w:rsidRDefault="00C127B7">
      <w:pPr>
        <w:jc w:val="both"/>
      </w:pPr>
      <w:r>
        <w:rPr>
          <w:rFonts w:ascii="Roboto" w:eastAsia="Roboto" w:hAnsi="Roboto" w:cs="Roboto"/>
        </w:rPr>
        <w:t>Además de lo anterior es importante reconocer que las Tecnologías de la Información, al momento de elaboración de este proyecto, no han penetrado de manera homogénea a toda la sociedad y por ende enfocarse exclusivamente en ellas no garantiza el acceso a la información en totalidad de colombianos, razón por la cual esta propuesta dispone la obligación conjunta de mantener un archivo físico, público y permanente en el que cualquier ciudadano pueda acercarse revisar la misma información que encontraría en las páginas web.</w:t>
      </w:r>
    </w:p>
    <w:p w:rsidR="00812A62" w:rsidRDefault="00812A62">
      <w:pPr>
        <w:jc w:val="both"/>
      </w:pPr>
    </w:p>
    <w:p w:rsidR="00812A62" w:rsidRDefault="00C127B7">
      <w:pPr>
        <w:pStyle w:val="Ttulo3"/>
        <w:numPr>
          <w:ilvl w:val="0"/>
          <w:numId w:val="8"/>
        </w:numPr>
        <w:ind w:firstLine="0"/>
        <w:contextualSpacing/>
        <w:rPr>
          <w:rFonts w:ascii="Roboto" w:eastAsia="Roboto" w:hAnsi="Roboto" w:cs="Roboto"/>
        </w:rPr>
      </w:pPr>
      <w:r>
        <w:rPr>
          <w:rFonts w:ascii="Roboto" w:eastAsia="Roboto" w:hAnsi="Roboto" w:cs="Roboto"/>
        </w:rPr>
        <w:t>Compromisos internacionales adquiridos por el Estado de Colombia</w:t>
      </w:r>
    </w:p>
    <w:p w:rsidR="00812A62" w:rsidRDefault="00812A62">
      <w:pPr>
        <w:jc w:val="both"/>
      </w:pPr>
    </w:p>
    <w:p w:rsidR="00812A62" w:rsidRDefault="00C127B7">
      <w:pPr>
        <w:jc w:val="both"/>
      </w:pPr>
      <w:bookmarkStart w:id="14" w:name="h.tyjcwt" w:colFirst="0" w:colLast="0"/>
      <w:bookmarkEnd w:id="14"/>
      <w:r>
        <w:rPr>
          <w:rFonts w:ascii="Roboto" w:eastAsia="Roboto" w:hAnsi="Roboto" w:cs="Roboto"/>
        </w:rPr>
        <w:t xml:space="preserve">Teniendo en cuenta la importancia de las </w:t>
      </w:r>
      <w:proofErr w:type="spellStart"/>
      <w:r>
        <w:rPr>
          <w:rFonts w:ascii="Roboto" w:eastAsia="Roboto" w:hAnsi="Roboto" w:cs="Roboto"/>
        </w:rPr>
        <w:t>TIC’s</w:t>
      </w:r>
      <w:proofErr w:type="spellEnd"/>
      <w:r>
        <w:rPr>
          <w:rFonts w:ascii="Roboto" w:eastAsia="Roboto" w:hAnsi="Roboto" w:cs="Roboto"/>
        </w:rPr>
        <w:t xml:space="preserve"> en la interacción con el ciudadano el sistema de las Naciones Unidas ha insistido en recomendar “la consolidación de procesos de aprovechamiento del uso de las TIC, principalmente internet, con el fin de acercar a la ciudadanía a las instituciones </w:t>
      </w:r>
      <w:r>
        <w:rPr>
          <w:rFonts w:ascii="Roboto" w:eastAsia="Roboto" w:hAnsi="Roboto" w:cs="Roboto"/>
        </w:rPr>
        <w:lastRenderedPageBreak/>
        <w:t>estatales y crear metodologías interactivas para facilitar el acceso ciudadano a la información pública”</w:t>
      </w:r>
      <w:r>
        <w:rPr>
          <w:rFonts w:ascii="Roboto" w:eastAsia="Roboto" w:hAnsi="Roboto" w:cs="Roboto"/>
          <w:vertAlign w:val="superscript"/>
        </w:rPr>
        <w:footnoteReference w:id="7"/>
      </w:r>
      <w:r>
        <w:rPr>
          <w:rFonts w:ascii="Roboto" w:eastAsia="Roboto" w:hAnsi="Roboto" w:cs="Roboto"/>
        </w:rPr>
        <w:t>. Asimismo, la Organización de Estados para la Cooperación y del Desarrollo (OECD) en su informe para la gobernabilidad del año 2013</w:t>
      </w:r>
      <w:r>
        <w:rPr>
          <w:rFonts w:ascii="Roboto" w:eastAsia="Roboto" w:hAnsi="Roboto" w:cs="Roboto"/>
          <w:vertAlign w:val="superscript"/>
        </w:rPr>
        <w:footnoteReference w:id="8"/>
      </w:r>
      <w:r>
        <w:rPr>
          <w:rFonts w:ascii="Roboto" w:eastAsia="Roboto" w:hAnsi="Roboto" w:cs="Roboto"/>
        </w:rPr>
        <w:t xml:space="preserve"> le recomendó al Estado colombiano mejorar la interfaz de comunicación entre los poderes Ejecutivo, Legislativo y la ciudadanía.</w:t>
      </w:r>
    </w:p>
    <w:p w:rsidR="00812A62" w:rsidRDefault="00812A62">
      <w:pPr>
        <w:jc w:val="both"/>
      </w:pPr>
    </w:p>
    <w:p w:rsidR="00812A62" w:rsidRDefault="00C127B7">
      <w:pPr>
        <w:jc w:val="both"/>
      </w:pPr>
      <w:r>
        <w:rPr>
          <w:rFonts w:ascii="Roboto" w:eastAsia="Roboto" w:hAnsi="Roboto" w:cs="Roboto"/>
        </w:rPr>
        <w:t>Por otra parte, el Estado colombiano también ha adquirido compromisos internacionales en materia de transparencia e incorporación de las TIC en esta área; desde septiembre de 2011 el Gobierno colombiano comenzó un proceso para hacer parte de la “Alianza por un Gobierno Abierto (AGA)” dentro del cual se encuentra el “Grupo de trabajo para parlamento abierto”, el propósito de este proceso es promover instituciones más eficaces, transparentes y responsables; de esta el Gobierno colombiano recibió el primer informe de recomendaciones en gobierno abierto</w:t>
      </w:r>
      <w:r>
        <w:rPr>
          <w:rFonts w:ascii="Roboto" w:eastAsia="Roboto" w:hAnsi="Roboto" w:cs="Roboto"/>
          <w:vertAlign w:val="superscript"/>
        </w:rPr>
        <w:footnoteReference w:id="9"/>
      </w:r>
      <w:r>
        <w:rPr>
          <w:rFonts w:ascii="Roboto" w:eastAsia="Roboto" w:hAnsi="Roboto" w:cs="Roboto"/>
        </w:rPr>
        <w:t>, en el cual se le encargó mejorar en aspectos relacionados con participación ciudadana y confianza institucional.</w:t>
      </w:r>
    </w:p>
    <w:p w:rsidR="00812A62" w:rsidRDefault="00812A62">
      <w:pPr>
        <w:jc w:val="both"/>
      </w:pPr>
    </w:p>
    <w:p w:rsidR="00812A62" w:rsidRDefault="00C127B7">
      <w:pPr>
        <w:jc w:val="both"/>
      </w:pPr>
      <w:r>
        <w:rPr>
          <w:rFonts w:ascii="Roboto" w:eastAsia="Roboto" w:hAnsi="Roboto" w:cs="Roboto"/>
        </w:rPr>
        <w:t>Asimismo, la Red Latinoamericana por la Transparencia Legislativa, una organización que agrupa diversos movimientos ciudadanos que trabajan por el fortalecimiento de poderes legislativos de la región, realizó un estudio llamado: “Índice de transparencia legislativa”, en su más reciente publicación el Congreso colombiano obtuvo un resultado de 38% en materia de transparencia, ubicándose dos puntos por debajo del promedio regional.</w:t>
      </w:r>
    </w:p>
    <w:p w:rsidR="00812A62" w:rsidRDefault="00812A62">
      <w:pPr>
        <w:jc w:val="both"/>
      </w:pPr>
    </w:p>
    <w:p w:rsidR="00812A62" w:rsidRDefault="00C127B7">
      <w:pPr>
        <w:jc w:val="both"/>
      </w:pPr>
      <w:r>
        <w:rPr>
          <w:rFonts w:ascii="Roboto" w:eastAsia="Roboto" w:hAnsi="Roboto" w:cs="Roboto"/>
        </w:rPr>
        <w:t>Teniendo en cuenta que uno de los principales aspectos que se evalúan por organizaciones ciudadanas y organizaciones internacionales es el marco normativo nacional, promover legalmente la publicación de información como la contenida en el presente proyecto permitiría cumplir de manera diligente con los requerimientos internacionales, además de los beneficios propios del aumento de transparencia institucional.</w:t>
      </w:r>
    </w:p>
    <w:p w:rsidR="00812A62" w:rsidRDefault="00812A62">
      <w:pPr>
        <w:jc w:val="both"/>
      </w:pPr>
    </w:p>
    <w:p w:rsidR="00812A62" w:rsidRDefault="00C127B7">
      <w:pPr>
        <w:pStyle w:val="Ttulo4"/>
        <w:numPr>
          <w:ilvl w:val="0"/>
          <w:numId w:val="9"/>
        </w:numPr>
        <w:ind w:firstLine="0"/>
        <w:contextualSpacing/>
      </w:pPr>
      <w:r>
        <w:rPr>
          <w:rFonts w:ascii="Roboto" w:eastAsia="Roboto" w:hAnsi="Roboto" w:cs="Roboto"/>
        </w:rPr>
        <w:t>Derecho a la privacidad y publicación de información sobre los Congresistas y su gestión</w:t>
      </w:r>
    </w:p>
    <w:p w:rsidR="00812A62" w:rsidRDefault="00812A62">
      <w:pPr>
        <w:jc w:val="both"/>
      </w:pPr>
    </w:p>
    <w:p w:rsidR="00812A62" w:rsidRDefault="00C127B7">
      <w:pPr>
        <w:jc w:val="both"/>
      </w:pPr>
      <w:r>
        <w:rPr>
          <w:rFonts w:ascii="Roboto" w:eastAsia="Roboto" w:hAnsi="Roboto" w:cs="Roboto"/>
        </w:rPr>
        <w:t>El derecho a la privacidad admite limitaciones cuando se trata de asuntos de interés público. Los congresistas, al ser responsables ante sus electores y la sociedad por cumplimiento de obligaciones propias de su investidura</w:t>
      </w:r>
      <w:r>
        <w:rPr>
          <w:rFonts w:ascii="Roboto" w:eastAsia="Roboto" w:hAnsi="Roboto" w:cs="Roboto"/>
          <w:vertAlign w:val="superscript"/>
        </w:rPr>
        <w:footnoteReference w:id="10"/>
      </w:r>
      <w:r>
        <w:rPr>
          <w:rFonts w:ascii="Roboto" w:eastAsia="Roboto" w:hAnsi="Roboto" w:cs="Roboto"/>
        </w:rPr>
        <w:t>, tienen deberes y limitaciones más altas que el resto de las personas y en consecuencia es posible hacer pública información sin que esto genere una restricción ilegítima al derecho a la privacidad.</w:t>
      </w:r>
    </w:p>
    <w:p w:rsidR="00812A62" w:rsidRDefault="00812A62">
      <w:pPr>
        <w:jc w:val="both"/>
      </w:pPr>
    </w:p>
    <w:p w:rsidR="00812A62" w:rsidRDefault="00C127B7">
      <w:pPr>
        <w:jc w:val="both"/>
      </w:pPr>
      <w:r>
        <w:rPr>
          <w:rFonts w:ascii="Roboto" w:eastAsia="Roboto" w:hAnsi="Roboto" w:cs="Roboto"/>
        </w:rPr>
        <w:t>La jurisprudencia de la Corte Interamericana de Derechos Humanos</w:t>
      </w:r>
      <w:r>
        <w:rPr>
          <w:rFonts w:ascii="Roboto" w:eastAsia="Roboto" w:hAnsi="Roboto" w:cs="Roboto"/>
          <w:vertAlign w:val="superscript"/>
        </w:rPr>
        <w:footnoteReference w:id="11"/>
      </w:r>
      <w:r>
        <w:rPr>
          <w:rFonts w:ascii="Roboto" w:eastAsia="Roboto" w:hAnsi="Roboto" w:cs="Roboto"/>
        </w:rPr>
        <w:t xml:space="preserve"> ha reiterado que el interés público permite una restricción legítima al derecho a la privacidad sin que esto derive en violación alguna. La información que se propone publicar en el presente proyecto reviste las características propias del interés público, por ejemplo, la declaración de bienes y rentas al contener información como cuentas corrientes en Colombia y el exterior, parientes, participación en sociedades y actividades económicas privadas del declarante, contiene información de interés público ya que </w:t>
      </w:r>
      <w:r>
        <w:rPr>
          <w:rFonts w:ascii="Roboto" w:eastAsia="Roboto" w:hAnsi="Roboto" w:cs="Roboto"/>
        </w:rPr>
        <w:lastRenderedPageBreak/>
        <w:t>determina posibles impedimentos y conflictos de interés que podrían afectar la gestión del representante.</w:t>
      </w:r>
    </w:p>
    <w:p w:rsidR="00812A62" w:rsidRDefault="00812A62">
      <w:pPr>
        <w:jc w:val="both"/>
      </w:pPr>
    </w:p>
    <w:p w:rsidR="00812A62" w:rsidRDefault="00C127B7">
      <w:pPr>
        <w:jc w:val="both"/>
      </w:pPr>
      <w:r>
        <w:rPr>
          <w:rFonts w:ascii="Roboto" w:eastAsia="Roboto" w:hAnsi="Roboto" w:cs="Roboto"/>
        </w:rPr>
        <w:t>Es cierto que la declaración de bienes y rentas documentos relacionados, debe ser entregada a la Cámara respectiva al momento de la posesión del Congresista, sin embargo, su difícil acceso le hace imposible al ciudadano practicar una veeduría activa sobre estos documentos. También es cierto que algunos elementos contenidos en los documentos que este proyecto pide publicar pueden contener información que puede no revestir dicho interés como la dirección o el teléfono del funcionario, sin embargo estas pueden publicarse omitiendo estos apartes.</w:t>
      </w:r>
    </w:p>
    <w:p w:rsidR="00812A62" w:rsidRDefault="00812A62">
      <w:pPr>
        <w:jc w:val="both"/>
      </w:pPr>
    </w:p>
    <w:p w:rsidR="00812A62" w:rsidRDefault="00C127B7">
      <w:pPr>
        <w:pStyle w:val="Ttulo3"/>
        <w:numPr>
          <w:ilvl w:val="0"/>
          <w:numId w:val="8"/>
        </w:numPr>
        <w:ind w:firstLine="0"/>
        <w:contextualSpacing/>
        <w:rPr>
          <w:rFonts w:ascii="Roboto" w:eastAsia="Roboto" w:hAnsi="Roboto" w:cs="Roboto"/>
        </w:rPr>
      </w:pPr>
      <w:r>
        <w:rPr>
          <w:rFonts w:ascii="Roboto" w:eastAsia="Roboto" w:hAnsi="Roboto" w:cs="Roboto"/>
        </w:rPr>
        <w:t>Deber de transparencia legislativa y sanción</w:t>
      </w:r>
    </w:p>
    <w:p w:rsidR="00812A62" w:rsidRDefault="00812A62">
      <w:pPr>
        <w:jc w:val="both"/>
      </w:pPr>
    </w:p>
    <w:p w:rsidR="00812A62" w:rsidRDefault="00C127B7">
      <w:pPr>
        <w:jc w:val="both"/>
      </w:pPr>
      <w:r>
        <w:rPr>
          <w:rFonts w:ascii="Roboto" w:eastAsia="Roboto" w:hAnsi="Roboto" w:cs="Roboto"/>
        </w:rPr>
        <w:t>En el presente proyecto propone agregar dentro de los deberes del Congresista el “deber de cumplir con las disposiciones correspondientes a transparencia legislativa y rendición de cuentas”, refiriéndose a la adición realizada en la Sección </w:t>
      </w:r>
      <w:proofErr w:type="spellStart"/>
      <w:r>
        <w:rPr>
          <w:rFonts w:ascii="Roboto" w:eastAsia="Roboto" w:hAnsi="Roboto" w:cs="Roboto"/>
        </w:rPr>
        <w:t>IV</w:t>
      </w:r>
      <w:r>
        <w:rPr>
          <w:rFonts w:ascii="Roboto" w:eastAsia="Roboto" w:hAnsi="Roboto" w:cs="Roboto"/>
          <w:vertAlign w:val="superscript"/>
        </w:rPr>
        <w:t>a</w:t>
      </w:r>
      <w:proofErr w:type="spellEnd"/>
      <w:r>
        <w:rPr>
          <w:rFonts w:ascii="Roboto" w:eastAsia="Roboto" w:hAnsi="Roboto" w:cs="Roboto"/>
        </w:rPr>
        <w:t xml:space="preserve"> la finalidad de esta inclusión es hacer explícito el deber de transparencia que rige a todos los servidores públicos y darle alcance material mediante el cumplimiento a las disposiciones de la Sección 4ª entre las que se encuentran la rendición de cuentas y el registro de actuaciones del Congresista.</w:t>
      </w:r>
    </w:p>
    <w:p w:rsidR="00812A62" w:rsidRDefault="00812A62">
      <w:pPr>
        <w:jc w:val="both"/>
      </w:pPr>
    </w:p>
    <w:p w:rsidR="00812A62" w:rsidRDefault="00C127B7">
      <w:pPr>
        <w:jc w:val="both"/>
      </w:pPr>
      <w:r>
        <w:rPr>
          <w:rFonts w:ascii="Roboto" w:eastAsia="Roboto" w:hAnsi="Roboto" w:cs="Roboto"/>
        </w:rPr>
        <w:t>Sancionar la no observancia de estas disposiciones es una acción fundamental para hacer efectivo su cumplimiento. La “declaración pública de incumplimiento a las disposiciones de transparencia legislativa” sería impuesta por el Presidente de la Cámara correspondiente a quien se le asignaría la responsabilidad de hacer cumplir estas disposiciones, al igual que el mantenimiento del orden durante las sesiones.</w:t>
      </w:r>
    </w:p>
    <w:p w:rsidR="00812A62" w:rsidRDefault="00812A62">
      <w:pPr>
        <w:jc w:val="both"/>
      </w:pPr>
    </w:p>
    <w:p w:rsidR="00812A62" w:rsidRDefault="00C127B7">
      <w:pPr>
        <w:jc w:val="both"/>
      </w:pPr>
      <w:r>
        <w:rPr>
          <w:rFonts w:ascii="Roboto" w:eastAsia="Roboto" w:hAnsi="Roboto" w:cs="Roboto"/>
        </w:rPr>
        <w:t>Esta sanción se basa en el principio de responsabilidad política individual de cada congresista y el reproche social por incumplimiento. Por una parte hace público el incumplimiento mediante la “declaración pública de incumplimiento a las disposiciones de transparencia legislativa” y su publicación por parte del Secretario General en la página del congresista y por otra contempla las consecuencias propias de la causal de mala conducta conforme al artículo 48 del Código Disciplinario Único (Ley 734 del 2002).</w:t>
      </w:r>
    </w:p>
    <w:p w:rsidR="00812A62" w:rsidRDefault="00812A62">
      <w:pPr>
        <w:jc w:val="both"/>
      </w:pPr>
    </w:p>
    <w:p w:rsidR="00812A62" w:rsidRDefault="00812A62">
      <w:pPr>
        <w:jc w:val="both"/>
      </w:pPr>
    </w:p>
    <w:p w:rsidR="00812A62" w:rsidRDefault="00C127B7">
      <w:pPr>
        <w:numPr>
          <w:ilvl w:val="0"/>
          <w:numId w:val="1"/>
        </w:numPr>
        <w:ind w:hanging="360"/>
        <w:contextualSpacing/>
        <w:jc w:val="both"/>
        <w:rPr>
          <w:b/>
        </w:rPr>
      </w:pPr>
      <w:r>
        <w:rPr>
          <w:rFonts w:ascii="Roboto" w:eastAsia="Roboto" w:hAnsi="Roboto" w:cs="Roboto"/>
          <w:b/>
        </w:rPr>
        <w:t>Publicación de información por parte de la Secretaría General de cada Cámara</w:t>
      </w:r>
    </w:p>
    <w:p w:rsidR="00812A62" w:rsidRDefault="00812A62">
      <w:pPr>
        <w:jc w:val="both"/>
      </w:pPr>
    </w:p>
    <w:p w:rsidR="00812A62" w:rsidRDefault="00C127B7">
      <w:pPr>
        <w:jc w:val="both"/>
      </w:pPr>
      <w:r>
        <w:rPr>
          <w:rFonts w:ascii="Roboto" w:eastAsia="Roboto" w:hAnsi="Roboto" w:cs="Roboto"/>
        </w:rPr>
        <w:t>El presente proyecto le otorga el deber al Secretario de publicar la hoja de vida de cada congresista, su partido y votos que lo eligieron, la circunscripción que representa, los informes de ingresos y gastos de campaña presentados a la organización electoral, su remuneración mensual, su declaración juramentada de patrimonio y el registro de intereses privados, además le encarga la publicación de los nombres y hojas de vida de los integrantes de cada unidad de trabajo legislativo y las licencias de comisión de viajes al extranjero.</w:t>
      </w:r>
    </w:p>
    <w:p w:rsidR="00812A62" w:rsidRDefault="00812A62">
      <w:pPr>
        <w:jc w:val="both"/>
      </w:pPr>
    </w:p>
    <w:p w:rsidR="00812A62" w:rsidRDefault="00C127B7">
      <w:pPr>
        <w:jc w:val="both"/>
      </w:pPr>
      <w:r>
        <w:rPr>
          <w:rFonts w:ascii="Roboto" w:eastAsia="Roboto" w:hAnsi="Roboto" w:cs="Roboto"/>
        </w:rPr>
        <w:t>Alguna de esta información se puede encontrar en las páginas web de las </w:t>
      </w:r>
      <w:r>
        <w:rPr>
          <w:rFonts w:ascii="Roboto" w:eastAsia="Roboto" w:hAnsi="Roboto" w:cs="Roboto"/>
          <w:smallCaps/>
        </w:rPr>
        <w:t>C</w:t>
      </w:r>
      <w:r>
        <w:rPr>
          <w:rFonts w:ascii="Roboto" w:eastAsia="Roboto" w:hAnsi="Roboto" w:cs="Roboto"/>
        </w:rPr>
        <w:t xml:space="preserve">ámara, especialmente en la Cámara de Representantes, sin embargo, la publicación eficiente de esta información depende plenamente de la voluntad y gestión del Presidente y Secretario de turno, ya que no existe un marco normativo que requiera su publicación. Además información como la declaración de bienes y rentas, el registro de intereses privados, los nombres y hojas de vida de quienes conforman cada unidad de trabajo legislativo son de difícil acceso, en otros canales informativos, su publicación se hace en </w:t>
      </w:r>
      <w:r>
        <w:rPr>
          <w:rFonts w:ascii="Roboto" w:eastAsia="Roboto" w:hAnsi="Roboto" w:cs="Roboto"/>
        </w:rPr>
        <w:lastRenderedPageBreak/>
        <w:t>formatos no uniformes, de manera desagrupada y no existe un instrumento de rango legal que implique su publicación, elementos que representan una barrera para la veeduría ciudadana.</w:t>
      </w:r>
    </w:p>
    <w:p w:rsidR="00812A62" w:rsidRDefault="00812A62">
      <w:pPr>
        <w:jc w:val="both"/>
      </w:pPr>
    </w:p>
    <w:p w:rsidR="00812A62" w:rsidRDefault="00812A62">
      <w:pPr>
        <w:jc w:val="both"/>
      </w:pPr>
    </w:p>
    <w:p w:rsidR="00812A62" w:rsidRDefault="00C127B7">
      <w:pPr>
        <w:jc w:val="both"/>
      </w:pPr>
      <w:r>
        <w:rPr>
          <w:b/>
        </w:rPr>
        <w:t>9</w:t>
      </w:r>
      <w:r>
        <w:rPr>
          <w:rFonts w:ascii="Roboto" w:eastAsia="Roboto" w:hAnsi="Roboto" w:cs="Roboto"/>
          <w:b/>
        </w:rPr>
        <w:t>. Informe de Gestión del Congresista</w:t>
      </w:r>
    </w:p>
    <w:p w:rsidR="00812A62" w:rsidRDefault="00812A62">
      <w:pPr>
        <w:jc w:val="both"/>
      </w:pPr>
    </w:p>
    <w:p w:rsidR="00812A62" w:rsidRDefault="00C127B7">
      <w:pPr>
        <w:jc w:val="both"/>
      </w:pPr>
      <w:r>
        <w:rPr>
          <w:rFonts w:ascii="Roboto" w:eastAsia="Roboto" w:hAnsi="Roboto" w:cs="Roboto"/>
        </w:rPr>
        <w:t>La entrega de la información de gestión de las instituciones públicas es un principio fundamental para la solidez institucional y la construcción de confianza. Si bien, la Ley 1147 de 2007 exige la presentación de un “informe legislativo” cada periodo, este informe no cuenta con formatos únicos de presentación y son pocos los Congresistas que lo presentan en el plazo determinado ya que su incumplimiento no genera sanción alguna además de ser un requerimiento que no es ampliamente difundido por la Unidad de Asistencia Técnica Legislativa, situación que genera una rendición de cuentas excepcional, poco uniforme, en tiempos no coordinados y en general poco efectiva para lograr su propósito.</w:t>
      </w:r>
    </w:p>
    <w:p w:rsidR="00812A62" w:rsidRDefault="00812A62">
      <w:pPr>
        <w:jc w:val="both"/>
      </w:pPr>
    </w:p>
    <w:p w:rsidR="00812A62" w:rsidRDefault="00C127B7">
      <w:pPr>
        <w:jc w:val="both"/>
      </w:pPr>
      <w:r>
        <w:rPr>
          <w:rFonts w:ascii="Roboto" w:eastAsia="Roboto" w:hAnsi="Roboto" w:cs="Roboto"/>
        </w:rPr>
        <w:t>Proponemos la presentación anual del Informe de gestión del congresista con características delimitadas, pues es importante que exista un sistema de información de la gestión que sea individualizado, uniforme en sus formatos y tiempos de presentación, asimismo que este sea difundido ampliamente por los canales de comunicación del Congreso de manera interna y externa, esto le permitiría a los ciudadanos evaluar la gestión de los congresistas sobre una base informada de su trabajo.</w:t>
      </w:r>
    </w:p>
    <w:p w:rsidR="00812A62" w:rsidRDefault="00812A62">
      <w:pPr>
        <w:jc w:val="both"/>
      </w:pPr>
    </w:p>
    <w:p w:rsidR="00812A62" w:rsidRDefault="00C127B7">
      <w:pPr>
        <w:pStyle w:val="Ttulo3"/>
        <w:ind w:left="0"/>
      </w:pPr>
      <w:r>
        <w:rPr>
          <w:rFonts w:ascii="Roboto" w:eastAsia="Roboto" w:hAnsi="Roboto" w:cs="Roboto"/>
        </w:rPr>
        <w:t>10. Transparencia en las elecciones realizadas por el </w:t>
      </w:r>
      <w:r>
        <w:rPr>
          <w:rFonts w:ascii="Roboto" w:eastAsia="Roboto" w:hAnsi="Roboto" w:cs="Roboto"/>
          <w:smallCaps/>
        </w:rPr>
        <w:t>C</w:t>
      </w:r>
      <w:r>
        <w:rPr>
          <w:rFonts w:ascii="Roboto" w:eastAsia="Roboto" w:hAnsi="Roboto" w:cs="Roboto"/>
        </w:rPr>
        <w:t>ongreso o alguna de sus </w:t>
      </w:r>
      <w:r>
        <w:rPr>
          <w:rFonts w:ascii="Roboto" w:eastAsia="Roboto" w:hAnsi="Roboto" w:cs="Roboto"/>
          <w:smallCaps/>
        </w:rPr>
        <w:t>C</w:t>
      </w:r>
      <w:r>
        <w:rPr>
          <w:rFonts w:ascii="Roboto" w:eastAsia="Roboto" w:hAnsi="Roboto" w:cs="Roboto"/>
        </w:rPr>
        <w:t>ámaras</w:t>
      </w:r>
    </w:p>
    <w:p w:rsidR="00812A62" w:rsidRDefault="00812A62">
      <w:pPr>
        <w:jc w:val="both"/>
      </w:pPr>
    </w:p>
    <w:p w:rsidR="00812A62" w:rsidRDefault="00C127B7">
      <w:pPr>
        <w:pStyle w:val="Ttulo4"/>
        <w:numPr>
          <w:ilvl w:val="0"/>
          <w:numId w:val="9"/>
        </w:numPr>
        <w:ind w:firstLine="0"/>
        <w:contextualSpacing/>
      </w:pPr>
      <w:r>
        <w:rPr>
          <w:rFonts w:ascii="Roboto" w:eastAsia="Roboto" w:hAnsi="Roboto" w:cs="Roboto"/>
        </w:rPr>
        <w:t>Publicación de candidatos</w:t>
      </w:r>
    </w:p>
    <w:p w:rsidR="00812A62" w:rsidRDefault="00812A62">
      <w:pPr>
        <w:jc w:val="both"/>
      </w:pPr>
    </w:p>
    <w:p w:rsidR="00812A62" w:rsidRDefault="00C127B7">
      <w:pPr>
        <w:jc w:val="both"/>
      </w:pPr>
      <w:r>
        <w:rPr>
          <w:rFonts w:ascii="Roboto" w:eastAsia="Roboto" w:hAnsi="Roboto" w:cs="Roboto"/>
        </w:rPr>
        <w:t>Es responsabilidad del Congreso realizar elecciones claras, transparentes y consecuentes con el alto grado de responsabilidad encargado a los funcionarios que elige. Razón por la cual este proyecto propone la adopción de algunos criterios mínimos para que los procesos de elección realizados al interior del Congreso cumplan condiciones de publicidad, transparencia y participación que aseguren la idoneidad de los funcionarios electos.</w:t>
      </w:r>
    </w:p>
    <w:p w:rsidR="00812A62" w:rsidRDefault="00812A62"/>
    <w:p w:rsidR="00812A62" w:rsidRDefault="00C127B7">
      <w:r>
        <w:rPr>
          <w:rFonts w:ascii="Roboto" w:eastAsia="Roboto" w:hAnsi="Roboto" w:cs="Roboto"/>
        </w:rPr>
        <w:t>En primer lugar se propone que previo a la elección se realice la publicación de los nombres de los candidatos y sus documentos de acreditación por treinta (30) días en medios físicos y virtuales, esto acompañado de un mecanismo para que los ciudadanos puedan formular observaciones sobre los candidatos y sus documentos de respaldo.</w:t>
      </w:r>
    </w:p>
    <w:p w:rsidR="00812A62" w:rsidRDefault="00812A62">
      <w:pPr>
        <w:jc w:val="both"/>
      </w:pPr>
    </w:p>
    <w:p w:rsidR="00812A62" w:rsidRDefault="00C127B7">
      <w:pPr>
        <w:jc w:val="both"/>
      </w:pPr>
      <w:r>
        <w:rPr>
          <w:rFonts w:ascii="Roboto" w:eastAsia="Roboto" w:hAnsi="Roboto" w:cs="Roboto"/>
        </w:rPr>
        <w:t>Este mecanismo de publicación tiene en cuenta que las veedurías ciudadanas desempeñan un papel fundamental para asegurar elecciones con un alto grado de competitividad basada en el mérito, su adopción facilitaría recibir perspectivas independientes al gobierno, la rama judicial y los partidos políticos, las cuales pueden advertir de manera previa sobre situaciones relevantes para decidir sobre la aspiración de los postulados, muchas de las cuales no podrían ser conocidas de otra forma.</w:t>
      </w:r>
    </w:p>
    <w:p w:rsidR="00812A62" w:rsidRDefault="00812A62">
      <w:pPr>
        <w:jc w:val="both"/>
      </w:pPr>
    </w:p>
    <w:p w:rsidR="00812A62" w:rsidRDefault="00C127B7">
      <w:pPr>
        <w:jc w:val="both"/>
      </w:pPr>
      <w:r>
        <w:rPr>
          <w:rFonts w:ascii="Roboto" w:eastAsia="Roboto" w:hAnsi="Roboto" w:cs="Roboto"/>
        </w:rPr>
        <w:t>La necesidad de mecanismos para la expresión de las inquietudes ciudadanas es además un parámetro adoptado por el derecho internacional. La Comisión Interamericana de Derechos Humanos, en su informe sobre las garantías para la independencia de las y los operadores de justicia en la región, recomienda la adopción de estos procedimientos de la siguiente manera: </w:t>
      </w:r>
      <w:r>
        <w:rPr>
          <w:rFonts w:ascii="Roboto" w:eastAsia="Roboto" w:hAnsi="Roboto" w:cs="Roboto"/>
          <w:i/>
        </w:rPr>
        <w:t xml:space="preserve">“Asimismo, en muchas ocasiones, no se previene en los procedimientos la celebración de audiencias o de entrevistas </w:t>
      </w:r>
      <w:r>
        <w:rPr>
          <w:rFonts w:ascii="Roboto" w:eastAsia="Roboto" w:hAnsi="Roboto" w:cs="Roboto"/>
          <w:i/>
        </w:rPr>
        <w:lastRenderedPageBreak/>
        <w:t>públicas, adecuadamente preparadas, en las que la ciudadanía, las organizaciones no gubernamentales y otros interesados tuvieran la posibilidad de conocer los criterios de selección, así como a las candidatas y candidatos y de expresar sus inquietudes en relación con un determinado candidato, favoreciéndose la discrecionalidad por parte de las autoridades encargadas de tales procesos”</w:t>
      </w:r>
      <w:r>
        <w:rPr>
          <w:rFonts w:ascii="Roboto" w:eastAsia="Roboto" w:hAnsi="Roboto" w:cs="Roboto"/>
          <w:i/>
          <w:vertAlign w:val="superscript"/>
        </w:rPr>
        <w:footnoteReference w:id="12"/>
      </w:r>
      <w:r>
        <w:rPr>
          <w:rFonts w:ascii="Roboto" w:eastAsia="Roboto" w:hAnsi="Roboto" w:cs="Roboto"/>
          <w:i/>
        </w:rPr>
        <w:t>.</w:t>
      </w:r>
    </w:p>
    <w:p w:rsidR="00812A62" w:rsidRDefault="00812A62">
      <w:pPr>
        <w:jc w:val="both"/>
      </w:pPr>
    </w:p>
    <w:p w:rsidR="00812A62" w:rsidRDefault="00C127B7">
      <w:pPr>
        <w:jc w:val="both"/>
      </w:pPr>
      <w:r>
        <w:rPr>
          <w:rFonts w:ascii="Roboto" w:eastAsia="Roboto" w:hAnsi="Roboto" w:cs="Roboto"/>
        </w:rPr>
        <w:t>Por otra parte, es fundamental que el procedimiento de participación contemple un efecto práctico que incentive la formulación de inquietudes y garantice un adecuado aprovechamiento de la colaboración ciudadana, razón por la cual se propone que las comunicaciones recibidas tengan que ser contestadas por la comisión de acreditación lo cual da garantía de que estas sean tenidas en cuenta. No obstante lo anterior, es necesario prevenir la obstaculización o dilación injustificada de las elecciones, lo cual se da con un procedimiento reglado que estipula que el ciudadano objetante debe identificarse plenamente y presentar sus objeciones únicamente sobre los requisitos para ocupar el cargo y los documentos que respaldan las candidaturas, descartando de plano las comunicaciones que no llenen estas condiciones.</w:t>
      </w:r>
    </w:p>
    <w:p w:rsidR="00812A62" w:rsidRDefault="00812A62">
      <w:pPr>
        <w:jc w:val="both"/>
      </w:pPr>
    </w:p>
    <w:p w:rsidR="00812A62" w:rsidRDefault="00C127B7">
      <w:pPr>
        <w:jc w:val="both"/>
      </w:pPr>
      <w:r>
        <w:rPr>
          <w:rFonts w:ascii="Roboto" w:eastAsia="Roboto" w:hAnsi="Roboto" w:cs="Roboto"/>
        </w:rPr>
        <w:t>El procedimiento actual también padece de defectos estructurales en cuanto escaso tiempo en el que usualmente se realizan las diferentes elecciones y en consecuencia muy poco espacio y tiempo para la participación y veeduría ciudadana. Este es un elemento de relevancia sustancial ya que para desarrollar un debate profundo con la participación de la opinión pública se debe otorgar una oportunidad razonable para el análisis de documentos, claro está, sin que esto implique la delación injustificada de nombramientos necesarios, razón por la cual el presente proyecto propone un término perentorio de 30 días para la publicación y recepción de comunicaciones de todos los candidatos, término reducido a 15 días en el caso de la elección del Contralor General, espacio durante el cual se puede dar un debate útil para aumentar la calidad de las elecciones.</w:t>
      </w:r>
    </w:p>
    <w:p w:rsidR="00812A62" w:rsidRDefault="00812A62">
      <w:pPr>
        <w:jc w:val="both"/>
      </w:pPr>
    </w:p>
    <w:p w:rsidR="00812A62" w:rsidRDefault="00C127B7">
      <w:pPr>
        <w:jc w:val="both"/>
      </w:pPr>
      <w:r>
        <w:rPr>
          <w:rFonts w:ascii="Roboto" w:eastAsia="Roboto" w:hAnsi="Roboto" w:cs="Roboto"/>
        </w:rPr>
        <w:t>En conclusión, el presente proyecto formula garantías para un sistema de elecciones adecuado, basado en la meritocracia, la apertura y participación ciudadana para la elección de funcionarios idóneos e independientes así como la adopción de parámetros para disminuir el alto grado de discrecionalidad y bajo de transparencia existente en las elecciones que realiza el Congreso, mediante la adopción de paramentos propios del derecho internacional que atienden a estándares de publicidad, participación y efectividad.</w:t>
      </w:r>
    </w:p>
    <w:p w:rsidR="00812A62" w:rsidRDefault="00812A62">
      <w:pPr>
        <w:jc w:val="both"/>
      </w:pPr>
    </w:p>
    <w:p w:rsidR="00812A62" w:rsidRDefault="00C127B7">
      <w:pPr>
        <w:pStyle w:val="Ttulo4"/>
        <w:numPr>
          <w:ilvl w:val="0"/>
          <w:numId w:val="9"/>
        </w:numPr>
        <w:ind w:firstLine="0"/>
        <w:contextualSpacing/>
      </w:pPr>
      <w:r>
        <w:rPr>
          <w:rFonts w:ascii="Roboto" w:eastAsia="Roboto" w:hAnsi="Roboto" w:cs="Roboto"/>
        </w:rPr>
        <w:t>Audiencia previa a la elección</w:t>
      </w:r>
    </w:p>
    <w:p w:rsidR="00812A62" w:rsidRDefault="00812A62">
      <w:pPr>
        <w:jc w:val="both"/>
      </w:pPr>
    </w:p>
    <w:p w:rsidR="00812A62" w:rsidRDefault="00C127B7">
      <w:pPr>
        <w:jc w:val="both"/>
      </w:pPr>
      <w:r>
        <w:rPr>
          <w:rFonts w:ascii="Roboto" w:eastAsia="Roboto" w:hAnsi="Roboto" w:cs="Roboto"/>
        </w:rPr>
        <w:t>Los funcionarios elegidos por el Congreso deciden asuntos de alta relevancia nacional, sobre los cuales es trascendente realizar un profundo debate sobre las calidades de quienes pretenden ocupar estos cargos, lo cual es posible mediante la incorporación de un mecanismo permanente de audiencias públicas en el que se asegure la participación de los partidos políticos y la ciudadanía.</w:t>
      </w:r>
    </w:p>
    <w:p w:rsidR="00812A62" w:rsidRDefault="00812A62">
      <w:pPr>
        <w:jc w:val="both"/>
      </w:pPr>
    </w:p>
    <w:p w:rsidR="00812A62" w:rsidRDefault="00C127B7">
      <w:pPr>
        <w:jc w:val="both"/>
      </w:pPr>
      <w:bookmarkStart w:id="15" w:name="h.3dy6vkm" w:colFirst="0" w:colLast="0"/>
      <w:bookmarkEnd w:id="15"/>
      <w:r>
        <w:rPr>
          <w:rFonts w:ascii="Roboto" w:eastAsia="Roboto" w:hAnsi="Roboto" w:cs="Roboto"/>
        </w:rPr>
        <w:t>Vale destacar que la academia ha sostenido sobre la elección de los Magistrados de la Corte Constitucional y sus responsabilidades que: </w:t>
      </w:r>
      <w:r>
        <w:rPr>
          <w:rFonts w:ascii="Roboto" w:eastAsia="Roboto" w:hAnsi="Roboto" w:cs="Roboto"/>
          <w:i/>
        </w:rPr>
        <w:t xml:space="preserve">“es urgente profundizar el debate y que cada uno de los involucrados se haga públicamente </w:t>
      </w:r>
      <w:r>
        <w:rPr>
          <w:rFonts w:ascii="Roboto" w:eastAsia="Roboto" w:hAnsi="Roboto" w:cs="Roboto"/>
          <w:i/>
          <w:vertAlign w:val="superscript"/>
        </w:rPr>
        <w:footnoteReference w:id="13"/>
      </w:r>
      <w:r>
        <w:rPr>
          <w:rFonts w:ascii="Roboto" w:eastAsia="Roboto" w:hAnsi="Roboto" w:cs="Roboto"/>
          <w:i/>
        </w:rPr>
        <w:t> responsable por su papel en el proceso</w:t>
      </w:r>
      <w:proofErr w:type="gramStart"/>
      <w:r>
        <w:rPr>
          <w:rFonts w:ascii="Roboto" w:eastAsia="Roboto" w:hAnsi="Roboto" w:cs="Roboto"/>
          <w:i/>
        </w:rPr>
        <w:t>¿.</w:t>
      </w:r>
      <w:proofErr w:type="gramEnd"/>
      <w:r>
        <w:rPr>
          <w:rFonts w:ascii="Roboto" w:eastAsia="Roboto" w:hAnsi="Roboto" w:cs="Roboto"/>
          <w:i/>
        </w:rPr>
        <w:t xml:space="preserve"> De igual manera que la Comisión Interamericana de Derechos Humanos ha recomendado: ¿para fortalecer la </w:t>
      </w:r>
      <w:r>
        <w:rPr>
          <w:rFonts w:ascii="Roboto" w:eastAsia="Roboto" w:hAnsi="Roboto" w:cs="Roboto"/>
          <w:i/>
        </w:rPr>
        <w:lastRenderedPageBreak/>
        <w:t>independencia de las y los operadores de justicia que integrarán los más altos puestos dentro del Poder Judicial, Fiscalía o Defensoría Pública, resulta conveniente incluir la celebración de audiencias o de entrevistas públicas, adecuadamente preparadas, en las que la ciudadanía, las organizaciones no gubernamentales y otros interesados tuvieran la posibilidad de conocer los criterios de selección, así como a impugnar a las candidatas y candidatos y expresar sus inquietudes o su apoyo”</w:t>
      </w:r>
      <w:r>
        <w:rPr>
          <w:rFonts w:ascii="Roboto" w:eastAsia="Roboto" w:hAnsi="Roboto" w:cs="Roboto"/>
          <w:i/>
          <w:vertAlign w:val="superscript"/>
        </w:rPr>
        <w:footnoteReference w:id="14"/>
      </w:r>
      <w:r>
        <w:rPr>
          <w:rFonts w:ascii="Roboto" w:eastAsia="Roboto" w:hAnsi="Roboto" w:cs="Roboto"/>
          <w:i/>
        </w:rPr>
        <w:t>.</w:t>
      </w:r>
      <w:r>
        <w:rPr>
          <w:rFonts w:ascii="Roboto" w:eastAsia="Roboto" w:hAnsi="Roboto" w:cs="Roboto"/>
        </w:rPr>
        <w:t> En ambos se destaca la necesidad de audiencias abiertas a la participación e indagación sobre los candidatos.</w:t>
      </w:r>
    </w:p>
    <w:p w:rsidR="00812A62" w:rsidRDefault="00812A62">
      <w:pPr>
        <w:jc w:val="both"/>
      </w:pPr>
    </w:p>
    <w:p w:rsidR="00812A62" w:rsidRDefault="00C127B7">
      <w:pPr>
        <w:jc w:val="both"/>
      </w:pPr>
      <w:r>
        <w:rPr>
          <w:rFonts w:ascii="Roboto" w:eastAsia="Roboto" w:hAnsi="Roboto" w:cs="Roboto"/>
        </w:rPr>
        <w:t>El presente proyecto propone que antes de cualquier elección el Presidente de la Cámara respectiva o del Congreso, tenga que convocar a una audiencia pública con todos los candidatos al mismo cargo en la que expondrán sus calidades para ser elegido, responderán un cuestionario enviado previamente y las preguntas que formulen los Congresistas y la ciudadanía durante la audiencia. Propuesta que permitiría que se desarrolle una discusión amplia y participativa que aumentaría la competitividad basada en los méritos demostrables, así como la calidad de la información sobre los candidatos entregada a la ciudadanía, lo cual permitiría conocer de primera fuente el perfil de los candidatos y sus posturas técnicas sobre el cargo que pretenden desempeñar.</w:t>
      </w:r>
    </w:p>
    <w:p w:rsidR="00812A62" w:rsidRDefault="00812A62">
      <w:pPr>
        <w:spacing w:after="160" w:line="259" w:lineRule="auto"/>
      </w:pPr>
      <w:bookmarkStart w:id="16" w:name="h.1t3h5sf" w:colFirst="0" w:colLast="0"/>
      <w:bookmarkEnd w:id="16"/>
    </w:p>
    <w:p w:rsidR="00812A62" w:rsidRDefault="00C127B7">
      <w:pPr>
        <w:spacing w:after="160" w:line="259" w:lineRule="auto"/>
      </w:pPr>
      <w:bookmarkStart w:id="17" w:name="h.4d34og8" w:colFirst="0" w:colLast="0"/>
      <w:bookmarkEnd w:id="17"/>
      <w:r>
        <w:rPr>
          <w:rFonts w:ascii="Roboto" w:eastAsia="Roboto" w:hAnsi="Roboto" w:cs="Roboto"/>
          <w:b/>
        </w:rPr>
        <w:t xml:space="preserve">11. Inasistencias a las sesiones </w:t>
      </w:r>
    </w:p>
    <w:p w:rsidR="00812A62" w:rsidRDefault="00C127B7">
      <w:pPr>
        <w:spacing w:after="160" w:line="259" w:lineRule="auto"/>
        <w:jc w:val="both"/>
      </w:pPr>
      <w:bookmarkStart w:id="18" w:name="h.2s8eyo1" w:colFirst="0" w:colLast="0"/>
      <w:bookmarkEnd w:id="18"/>
      <w:r>
        <w:rPr>
          <w:rFonts w:ascii="Roboto" w:eastAsia="Roboto" w:hAnsi="Roboto" w:cs="Roboto"/>
        </w:rPr>
        <w:t>El artículo 184 constitucional contiene la figura de la pérdida de investidura decretada por el Consejo de Estado por la solicitud formulada por la mesa directiva de la cámara correspondiente o por cualquier ciudadano.</w:t>
      </w:r>
    </w:p>
    <w:p w:rsidR="00812A62" w:rsidRDefault="00C127B7">
      <w:pPr>
        <w:jc w:val="both"/>
      </w:pPr>
      <w:r>
        <w:rPr>
          <w:rFonts w:ascii="Roboto" w:eastAsia="Roboto" w:hAnsi="Roboto" w:cs="Roboto"/>
        </w:rPr>
        <w:t xml:space="preserve">En la sentencia C-254A de 2012, la Corte Constitucional se refirió a la pérdida de investidura en los siguientes términos: </w:t>
      </w:r>
    </w:p>
    <w:p w:rsidR="00812A62" w:rsidRDefault="00812A62">
      <w:pPr>
        <w:jc w:val="both"/>
      </w:pPr>
    </w:p>
    <w:p w:rsidR="00812A62" w:rsidRDefault="00C127B7">
      <w:pPr>
        <w:jc w:val="both"/>
      </w:pPr>
      <w:r>
        <w:rPr>
          <w:rFonts w:ascii="Roboto" w:eastAsia="Roboto" w:hAnsi="Roboto" w:cs="Roboto"/>
        </w:rPr>
        <w:t>“</w:t>
      </w:r>
      <w:r>
        <w:rPr>
          <w:rFonts w:ascii="Roboto" w:eastAsia="Roboto" w:hAnsi="Roboto" w:cs="Roboto"/>
          <w:i/>
        </w:rPr>
        <w:t>es una sanción de carácter disciplinario</w:t>
      </w:r>
      <w:r>
        <w:rPr>
          <w:rFonts w:ascii="Roboto" w:eastAsia="Roboto" w:hAnsi="Roboto" w:cs="Roboto"/>
          <w:i/>
          <w:vertAlign w:val="superscript"/>
        </w:rPr>
        <w:footnoteReference w:id="15"/>
      </w:r>
      <w:r>
        <w:rPr>
          <w:rFonts w:ascii="Roboto" w:eastAsia="Roboto" w:hAnsi="Roboto" w:cs="Roboto"/>
          <w:i/>
        </w:rPr>
        <w:t xml:space="preserve"> de características especiales que la distinguen de otros regímenes de responsabilidad de los servidores públicos</w:t>
      </w:r>
      <w:r>
        <w:rPr>
          <w:rFonts w:ascii="Roboto" w:eastAsia="Roboto" w:hAnsi="Roboto" w:cs="Roboto"/>
          <w:i/>
          <w:vertAlign w:val="superscript"/>
        </w:rPr>
        <w:footnoteReference w:id="16"/>
      </w:r>
      <w:r>
        <w:rPr>
          <w:rFonts w:ascii="Roboto" w:eastAsia="Roboto" w:hAnsi="Roboto" w:cs="Roboto"/>
          <w:i/>
        </w:rPr>
        <w:t>, así como también, de los procesos penales</w:t>
      </w:r>
      <w:r>
        <w:rPr>
          <w:rFonts w:ascii="Roboto" w:eastAsia="Roboto" w:hAnsi="Roboto" w:cs="Roboto"/>
          <w:i/>
          <w:vertAlign w:val="superscript"/>
        </w:rPr>
        <w:footnoteReference w:id="17"/>
      </w:r>
      <w:r>
        <w:rPr>
          <w:rFonts w:ascii="Roboto" w:eastAsia="Roboto" w:hAnsi="Roboto" w:cs="Roboto"/>
          <w:i/>
        </w:rPr>
        <w:t>, electorales</w:t>
      </w:r>
      <w:r>
        <w:rPr>
          <w:rFonts w:ascii="Roboto" w:eastAsia="Roboto" w:hAnsi="Roboto" w:cs="Roboto"/>
          <w:i/>
          <w:vertAlign w:val="superscript"/>
        </w:rPr>
        <w:footnoteReference w:id="18"/>
      </w:r>
      <w:r>
        <w:rPr>
          <w:rFonts w:ascii="Roboto" w:eastAsia="Roboto" w:hAnsi="Roboto" w:cs="Roboto"/>
          <w:i/>
        </w:rPr>
        <w:t>, de responsabilidad fiscal, e incluso del proceso disciplinario realizado por la administración pública</w:t>
      </w:r>
      <w:r>
        <w:rPr>
          <w:rFonts w:ascii="Roboto" w:eastAsia="Roboto" w:hAnsi="Roboto" w:cs="Roboto"/>
          <w:vertAlign w:val="superscript"/>
        </w:rPr>
        <w:t>”</w:t>
      </w:r>
      <w:r>
        <w:rPr>
          <w:rFonts w:ascii="Roboto" w:eastAsia="Roboto" w:hAnsi="Roboto" w:cs="Roboto"/>
          <w:vertAlign w:val="superscript"/>
        </w:rPr>
        <w:footnoteReference w:id="19"/>
      </w:r>
      <w:r>
        <w:rPr>
          <w:rFonts w:ascii="Roboto" w:eastAsia="Roboto" w:hAnsi="Roboto" w:cs="Roboto"/>
        </w:rPr>
        <w:t>.</w:t>
      </w:r>
    </w:p>
    <w:p w:rsidR="00812A62" w:rsidRDefault="00C127B7">
      <w:pPr>
        <w:jc w:val="both"/>
      </w:pPr>
      <w:r>
        <w:rPr>
          <w:rFonts w:ascii="Roboto" w:eastAsia="Roboto" w:hAnsi="Roboto" w:cs="Roboto"/>
        </w:rPr>
        <w:t xml:space="preserve"> </w:t>
      </w:r>
    </w:p>
    <w:p w:rsidR="00812A62" w:rsidRDefault="00C127B7">
      <w:pPr>
        <w:jc w:val="both"/>
      </w:pPr>
      <w:r>
        <w:rPr>
          <w:rFonts w:ascii="Roboto" w:eastAsia="Roboto" w:hAnsi="Roboto" w:cs="Roboto"/>
        </w:rPr>
        <w:lastRenderedPageBreak/>
        <w:t>Adicionalmente se refirió a su jurisprudencia anterior recordando la naturaleza de la pérdida de investidura como “un verdadero juicio de responsabilidad política que culmina con la imposición de una sanción de carácter jurisdiccional, de tipo disciplinario” por la trasgresión del estricto código de conducta previsto para los miembros de las corporaciones representativas. Consiste por lo tanto en un proceso jurisdiccional, de carácter sancionatorio, el cual culmina –en el caso que se comprueba la trasgresión de una de las causales legalmente previstas- con la imposición de una sanción que constituye una sanción equiparable, por sus efectos y gravedad, a la destitución de los altos funcionarios públicos”</w:t>
      </w:r>
      <w:r>
        <w:rPr>
          <w:rFonts w:ascii="Roboto" w:eastAsia="Roboto" w:hAnsi="Roboto" w:cs="Roboto"/>
          <w:vertAlign w:val="superscript"/>
        </w:rPr>
        <w:footnoteReference w:id="20"/>
      </w:r>
      <w:r>
        <w:rPr>
          <w:rFonts w:ascii="Roboto" w:eastAsia="Roboto" w:hAnsi="Roboto" w:cs="Roboto"/>
        </w:rPr>
        <w:t>.</w:t>
      </w:r>
    </w:p>
    <w:p w:rsidR="00812A62" w:rsidRDefault="00C127B7">
      <w:pPr>
        <w:jc w:val="both"/>
      </w:pPr>
      <w:r>
        <w:rPr>
          <w:rFonts w:ascii="Roboto" w:eastAsia="Roboto" w:hAnsi="Roboto" w:cs="Roboto"/>
        </w:rPr>
        <w:t xml:space="preserve"> </w:t>
      </w:r>
    </w:p>
    <w:p w:rsidR="00812A62" w:rsidRDefault="00C127B7">
      <w:pPr>
        <w:jc w:val="both"/>
      </w:pPr>
      <w:r>
        <w:rPr>
          <w:rFonts w:ascii="Roboto" w:eastAsia="Roboto" w:hAnsi="Roboto" w:cs="Roboto"/>
        </w:rPr>
        <w:t>Similar postura, citó la Corte Constitucional, tiene el Consejo de Estado, el cual también ha resaltado el carácter punitivo disciplinario especial de la pérdida de investidura:</w:t>
      </w:r>
    </w:p>
    <w:p w:rsidR="00812A62" w:rsidRDefault="00C127B7">
      <w:pPr>
        <w:jc w:val="both"/>
      </w:pPr>
      <w:r>
        <w:rPr>
          <w:rFonts w:ascii="Roboto" w:eastAsia="Roboto" w:hAnsi="Roboto" w:cs="Roboto"/>
        </w:rPr>
        <w:t xml:space="preserve"> </w:t>
      </w:r>
    </w:p>
    <w:p w:rsidR="00812A62" w:rsidRDefault="00C127B7">
      <w:pPr>
        <w:jc w:val="both"/>
      </w:pPr>
      <w:r>
        <w:rPr>
          <w:rFonts w:ascii="Roboto" w:eastAsia="Roboto" w:hAnsi="Roboto" w:cs="Roboto"/>
        </w:rPr>
        <w:t>“Como se ha dicho en varias ocasiones, la acción de pérdida de investidura es una acción de tipo punitivo, especial, de carácter disciplinario que tiene por objeto general el de favorecer la legitimidad del Congreso de la República mediante la finalidad específica de sancionar conductas contrarias a la transparencia, a la probidad y a la imparcialidad en que pudieran en un momento dado incurrir los congresistas”</w:t>
      </w:r>
      <w:r>
        <w:rPr>
          <w:rFonts w:ascii="Roboto" w:eastAsia="Roboto" w:hAnsi="Roboto" w:cs="Roboto"/>
          <w:vertAlign w:val="superscript"/>
        </w:rPr>
        <w:footnoteReference w:id="21"/>
      </w:r>
      <w:r>
        <w:rPr>
          <w:rFonts w:ascii="Roboto" w:eastAsia="Roboto" w:hAnsi="Roboto" w:cs="Roboto"/>
        </w:rPr>
        <w:t>.</w:t>
      </w:r>
    </w:p>
    <w:p w:rsidR="00812A62" w:rsidRDefault="00812A62">
      <w:pPr>
        <w:jc w:val="both"/>
      </w:pPr>
    </w:p>
    <w:p w:rsidR="00812A62" w:rsidRDefault="00C127B7">
      <w:pPr>
        <w:jc w:val="both"/>
      </w:pPr>
      <w:r>
        <w:rPr>
          <w:rFonts w:ascii="Roboto" w:eastAsia="Roboto" w:hAnsi="Roboto" w:cs="Roboto"/>
        </w:rPr>
        <w:t>Así las cosas, la pérdida de investidura resulta en una importante herramienta de control sobre el actuar de los congresistas.</w:t>
      </w:r>
    </w:p>
    <w:p w:rsidR="00812A62" w:rsidRDefault="00812A62">
      <w:pPr>
        <w:jc w:val="both"/>
      </w:pPr>
    </w:p>
    <w:p w:rsidR="00812A62" w:rsidRDefault="00C127B7">
      <w:pPr>
        <w:jc w:val="both"/>
      </w:pPr>
      <w:r>
        <w:rPr>
          <w:rFonts w:ascii="Roboto" w:eastAsia="Roboto" w:hAnsi="Roboto" w:cs="Roboto"/>
        </w:rPr>
        <w:t>El artículo 296 de la Ley 5 de 1992 señala las siguientes como causales de pérdida de investidura:</w:t>
      </w:r>
    </w:p>
    <w:p w:rsidR="00812A62" w:rsidRDefault="00812A62">
      <w:pPr>
        <w:jc w:val="both"/>
      </w:pPr>
    </w:p>
    <w:p w:rsidR="00812A62" w:rsidRDefault="00C127B7">
      <w:pPr>
        <w:jc w:val="both"/>
      </w:pPr>
      <w:r>
        <w:rPr>
          <w:rFonts w:ascii="Roboto" w:eastAsia="Roboto" w:hAnsi="Roboto" w:cs="Roboto"/>
        </w:rPr>
        <w:t>1. Por violación del régimen de inhabilidades.</w:t>
      </w:r>
    </w:p>
    <w:p w:rsidR="00812A62" w:rsidRDefault="00C127B7">
      <w:pPr>
        <w:jc w:val="both"/>
      </w:pPr>
      <w:r>
        <w:rPr>
          <w:rFonts w:ascii="Roboto" w:eastAsia="Roboto" w:hAnsi="Roboto" w:cs="Roboto"/>
        </w:rPr>
        <w:t>2. Por violación del régimen de incompatibilidades.</w:t>
      </w:r>
    </w:p>
    <w:p w:rsidR="00812A62" w:rsidRDefault="00C127B7">
      <w:pPr>
        <w:jc w:val="both"/>
      </w:pPr>
      <w:r>
        <w:rPr>
          <w:rFonts w:ascii="Roboto" w:eastAsia="Roboto" w:hAnsi="Roboto" w:cs="Roboto"/>
        </w:rPr>
        <w:t>3. Por violación al régimen de conflicto de intereses.</w:t>
      </w:r>
    </w:p>
    <w:p w:rsidR="00812A62" w:rsidRDefault="00C127B7">
      <w:pPr>
        <w:jc w:val="both"/>
      </w:pPr>
      <w:r>
        <w:rPr>
          <w:rFonts w:ascii="Roboto" w:eastAsia="Roboto" w:hAnsi="Roboto" w:cs="Roboto"/>
        </w:rPr>
        <w:t>4. Por indebida destinación de dineros públicos.</w:t>
      </w:r>
    </w:p>
    <w:p w:rsidR="00812A62" w:rsidRDefault="00C127B7">
      <w:pPr>
        <w:jc w:val="both"/>
      </w:pPr>
      <w:r>
        <w:rPr>
          <w:rFonts w:ascii="Roboto" w:eastAsia="Roboto" w:hAnsi="Roboto" w:cs="Roboto"/>
        </w:rPr>
        <w:t>5. Por tráfico de influencias debidamente comprobadas.</w:t>
      </w:r>
    </w:p>
    <w:p w:rsidR="00812A62" w:rsidRDefault="00C127B7">
      <w:pPr>
        <w:jc w:val="both"/>
      </w:pPr>
      <w:r>
        <w:rPr>
          <w:rFonts w:ascii="Roboto" w:eastAsia="Roboto" w:hAnsi="Roboto" w:cs="Roboto"/>
          <w:b/>
        </w:rPr>
        <w:t>6. Por la inasistencia, en un mismo período de sesiones, a seis (6) reuniones plenarias en las que se voten proyectos de acto legislativo y de ley o mociones de censura.</w:t>
      </w:r>
    </w:p>
    <w:p w:rsidR="00812A62" w:rsidRDefault="00C127B7">
      <w:pPr>
        <w:jc w:val="both"/>
      </w:pPr>
      <w:r>
        <w:rPr>
          <w:rFonts w:ascii="Roboto" w:eastAsia="Roboto" w:hAnsi="Roboto" w:cs="Roboto"/>
        </w:rPr>
        <w:t>7. Por no tomar posesión del cargo dentro de los ocho (8) días siguientes a la fecha de instalación de las Cámaras, o a la fecha en que fueren llamados a posesionarse.</w:t>
      </w:r>
    </w:p>
    <w:p w:rsidR="00812A62" w:rsidRDefault="00812A62">
      <w:pPr>
        <w:jc w:val="both"/>
      </w:pPr>
    </w:p>
    <w:p w:rsidR="00812A62" w:rsidRDefault="00C127B7">
      <w:pPr>
        <w:jc w:val="both"/>
      </w:pPr>
      <w:r>
        <w:rPr>
          <w:rFonts w:ascii="Roboto" w:eastAsia="Roboto" w:hAnsi="Roboto" w:cs="Roboto"/>
        </w:rPr>
        <w:t>El presente proyecto de ley pretende modificar la causal del numeral 6 del artículo 296 citado, con el objetivo de implementar como originaria de pérdida de investidura, la ausencia a 6 sesiones, independientemente del tema o del tipo.</w:t>
      </w:r>
    </w:p>
    <w:p w:rsidR="00812A62" w:rsidRDefault="00812A62">
      <w:pPr>
        <w:jc w:val="both"/>
      </w:pPr>
    </w:p>
    <w:p w:rsidR="00812A62" w:rsidRDefault="00C127B7">
      <w:pPr>
        <w:jc w:val="both"/>
      </w:pPr>
      <w:r>
        <w:rPr>
          <w:rFonts w:ascii="Roboto" w:eastAsia="Roboto" w:hAnsi="Roboto" w:cs="Roboto"/>
        </w:rPr>
        <w:t>Como medida de eficacia, se introduce la modificación al artículo 271 del Reglamento del Congreso, creando la obligación en cabeza de los Presidentes de</w:t>
      </w:r>
      <w:r>
        <w:rPr>
          <w:rFonts w:ascii="Roboto" w:eastAsia="Roboto" w:hAnsi="Roboto" w:cs="Roboto"/>
          <w:highlight w:val="white"/>
        </w:rPr>
        <w:t xml:space="preserve"> cada una de las Corporaciones y los Presidentes de cada Comisión Constitucional de solicitar al Consejo de Estado que se inicie el proceso de pérdida de investidura correspondiente. Ello asegura la efectividad de la aplicación de la sanción por inasistencia y propende por el cumplimiento del propósito de la figura de la pérdida de investidura </w:t>
      </w:r>
      <w:r>
        <w:rPr>
          <w:rFonts w:ascii="Roboto" w:eastAsia="Roboto" w:hAnsi="Roboto" w:cs="Roboto"/>
          <w:highlight w:val="white"/>
        </w:rPr>
        <w:lastRenderedPageBreak/>
        <w:t xml:space="preserve">como </w:t>
      </w:r>
      <w:proofErr w:type="gramStart"/>
      <w:r>
        <w:rPr>
          <w:rFonts w:ascii="Roboto" w:eastAsia="Roboto" w:hAnsi="Roboto" w:cs="Roboto"/>
          <w:highlight w:val="white"/>
        </w:rPr>
        <w:t>“ mecanismo</w:t>
      </w:r>
      <w:proofErr w:type="gramEnd"/>
      <w:r>
        <w:rPr>
          <w:rFonts w:ascii="Roboto" w:eastAsia="Roboto" w:hAnsi="Roboto" w:cs="Roboto"/>
          <w:highlight w:val="white"/>
        </w:rPr>
        <w:t xml:space="preserve"> de control político de los ciudadanos y un instrumento de depuración en manos de las corporaciones públicas contra sus propios integrantes, cuando éstos incurran en conductas contrarias al buen servicio, el interés general o la dignidad que ostentan.</w:t>
      </w:r>
      <w:r>
        <w:rPr>
          <w:rFonts w:ascii="Roboto" w:eastAsia="Roboto" w:hAnsi="Roboto" w:cs="Roboto"/>
          <w:highlight w:val="white"/>
          <w:vertAlign w:val="superscript"/>
        </w:rPr>
        <w:footnoteReference w:id="22"/>
      </w:r>
      <w:r>
        <w:rPr>
          <w:rFonts w:ascii="Roboto" w:eastAsia="Roboto" w:hAnsi="Roboto" w:cs="Roboto"/>
          <w:highlight w:val="white"/>
        </w:rPr>
        <w:t>”</w:t>
      </w:r>
    </w:p>
    <w:p w:rsidR="00812A62" w:rsidRDefault="00812A62">
      <w:pPr>
        <w:spacing w:after="160" w:line="259" w:lineRule="auto"/>
      </w:pPr>
      <w:bookmarkStart w:id="19" w:name="h.17dp8vu" w:colFirst="0" w:colLast="0"/>
      <w:bookmarkEnd w:id="19"/>
    </w:p>
    <w:p w:rsidR="00812A62" w:rsidRDefault="00C127B7">
      <w:pPr>
        <w:jc w:val="both"/>
      </w:pPr>
      <w:r>
        <w:rPr>
          <w:rFonts w:ascii="Roboto" w:eastAsia="Roboto" w:hAnsi="Roboto" w:cs="Roboto"/>
          <w:b/>
          <w:highlight w:val="white"/>
        </w:rPr>
        <w:t>12. Antecedentes al Proyecto de Ley No. “Proyecto de Ley Orgánica por medio de la cual se reforma la Ley 5° de 1992 para establecer mecanismos de rendición de cuentas, transparencia y verificación de la asistencia en el Congreso de la República”.</w:t>
      </w:r>
    </w:p>
    <w:p w:rsidR="00812A62" w:rsidRDefault="00812A62">
      <w:pPr>
        <w:jc w:val="both"/>
      </w:pPr>
    </w:p>
    <w:p w:rsidR="00812A62" w:rsidRDefault="00C127B7">
      <w:pPr>
        <w:jc w:val="both"/>
      </w:pPr>
      <w:r>
        <w:rPr>
          <w:rFonts w:ascii="Roboto" w:eastAsia="Roboto" w:hAnsi="Roboto" w:cs="Roboto"/>
          <w:highlight w:val="white"/>
        </w:rPr>
        <w:t>Es necesario tener en cuenta que en el año 2015 se presentó una iniciativa de transparencia legislativa, la cual inició y dio todo su trámite en Senado. Este fue el Proyecto de Ley No. 147 de 2015 Senado, en donde tuvo como autores a los siguientes congresistas:</w:t>
      </w:r>
    </w:p>
    <w:p w:rsidR="00812A62" w:rsidRDefault="00812A62">
      <w:pPr>
        <w:jc w:val="both"/>
      </w:pPr>
    </w:p>
    <w:p w:rsidR="00812A62" w:rsidRDefault="00C127B7">
      <w:pPr>
        <w:numPr>
          <w:ilvl w:val="0"/>
          <w:numId w:val="7"/>
        </w:numPr>
        <w:ind w:hanging="360"/>
        <w:contextualSpacing/>
        <w:jc w:val="both"/>
        <w:rPr>
          <w:rFonts w:ascii="Roboto" w:eastAsia="Roboto" w:hAnsi="Roboto" w:cs="Roboto"/>
          <w:highlight w:val="white"/>
        </w:rPr>
      </w:pPr>
      <w:r>
        <w:rPr>
          <w:rFonts w:ascii="Roboto" w:eastAsia="Roboto" w:hAnsi="Roboto" w:cs="Roboto"/>
          <w:highlight w:val="white"/>
        </w:rPr>
        <w:t>Por el Senado de la República: Claudia López, Hernán Andrade, Carlos Fernando Galán y Armando Benedetti.</w:t>
      </w:r>
    </w:p>
    <w:p w:rsidR="00812A62" w:rsidRDefault="00812A62">
      <w:pPr>
        <w:jc w:val="both"/>
      </w:pPr>
    </w:p>
    <w:p w:rsidR="00812A62" w:rsidRDefault="00C127B7">
      <w:pPr>
        <w:numPr>
          <w:ilvl w:val="0"/>
          <w:numId w:val="7"/>
        </w:numPr>
        <w:ind w:hanging="360"/>
        <w:contextualSpacing/>
        <w:jc w:val="both"/>
        <w:rPr>
          <w:rFonts w:ascii="Roboto" w:eastAsia="Roboto" w:hAnsi="Roboto" w:cs="Roboto"/>
          <w:highlight w:val="white"/>
        </w:rPr>
      </w:pPr>
      <w:r>
        <w:rPr>
          <w:rFonts w:ascii="Roboto" w:eastAsia="Roboto" w:hAnsi="Roboto" w:cs="Roboto"/>
          <w:highlight w:val="white"/>
        </w:rPr>
        <w:t>Por la Cámara de Representantes: Angélica Lozano, Hernán Penagos y Heriberto Sanabria.</w:t>
      </w:r>
    </w:p>
    <w:p w:rsidR="00812A62" w:rsidRDefault="00C127B7">
      <w:pPr>
        <w:jc w:val="both"/>
      </w:pPr>
      <w:r>
        <w:rPr>
          <w:rFonts w:ascii="Roboto" w:eastAsia="Roboto" w:hAnsi="Roboto" w:cs="Roboto"/>
          <w:highlight w:val="white"/>
        </w:rPr>
        <w:t xml:space="preserve"> </w:t>
      </w:r>
    </w:p>
    <w:p w:rsidR="00812A62" w:rsidRDefault="00C127B7">
      <w:pPr>
        <w:jc w:val="both"/>
      </w:pPr>
      <w:r>
        <w:rPr>
          <w:rFonts w:ascii="Roboto" w:eastAsia="Roboto" w:hAnsi="Roboto" w:cs="Roboto"/>
          <w:highlight w:val="white"/>
        </w:rPr>
        <w:t>El Proyecto de Ley en referencia fue discutido en una subcomisión del Senado, donde fue aprobado de manera unánime. Los Senadores que integraron la subcomisión fueron: Ángel Custodio Cabrera, Paloma Valencia, Juan Carlos Escobar, Guillermo Santos, Jorge Pedraza y Claudia López. Posteriormente fue sometido a primer debate en la comisión primera de Senado el día 17 de junio de 2015 y en Senado fue aprobado el día 14 de diciembre de 2015. En este sentido, dando el trámite legislativo respectivo, el proyecto pasó a tercer debate en la Cámara de Representantes, el cual tuvo lugar el día 18 de mayo de 2016 y fue apoyada por la mayoría de Partidos Políticos.</w:t>
      </w:r>
    </w:p>
    <w:p w:rsidR="00812A62" w:rsidRDefault="00C127B7">
      <w:pPr>
        <w:jc w:val="both"/>
      </w:pPr>
      <w:r>
        <w:rPr>
          <w:rFonts w:ascii="Roboto" w:eastAsia="Roboto" w:hAnsi="Roboto" w:cs="Roboto"/>
          <w:highlight w:val="white"/>
        </w:rPr>
        <w:t xml:space="preserve"> </w:t>
      </w:r>
    </w:p>
    <w:p w:rsidR="00812A62" w:rsidRDefault="00C127B7">
      <w:pPr>
        <w:jc w:val="both"/>
      </w:pPr>
      <w:r>
        <w:rPr>
          <w:rFonts w:ascii="Roboto" w:eastAsia="Roboto" w:hAnsi="Roboto" w:cs="Roboto"/>
          <w:highlight w:val="white"/>
        </w:rPr>
        <w:t xml:space="preserve">En último debate, se designaron como ponentes a los siguientes Representantes: Angélica Lozano Correa, como ponente coordinadora, Pedrito Tomas Pereira del Partido Conservador, Samuel Hoyos Mejía del Partido Centro Democrático, Abraham Jiménez López del Partido Cambio Radical, Germán Navas Talero del Partido Polo Democrático Alternativo, Leopoldo Suarez Melo del Partido Liberal, Fernando de la Peña Márquez del Partido Opción Ciudadana y </w:t>
      </w:r>
      <w:proofErr w:type="spellStart"/>
      <w:r>
        <w:rPr>
          <w:rFonts w:ascii="Roboto" w:eastAsia="Roboto" w:hAnsi="Roboto" w:cs="Roboto"/>
          <w:highlight w:val="white"/>
        </w:rPr>
        <w:t>Elberth</w:t>
      </w:r>
      <w:proofErr w:type="spellEnd"/>
      <w:r>
        <w:rPr>
          <w:rFonts w:ascii="Roboto" w:eastAsia="Roboto" w:hAnsi="Roboto" w:cs="Roboto"/>
          <w:highlight w:val="white"/>
        </w:rPr>
        <w:t xml:space="preserve"> Díaz Lozano del Partido de la U. </w:t>
      </w:r>
    </w:p>
    <w:p w:rsidR="00812A62" w:rsidRDefault="00812A62">
      <w:pPr>
        <w:jc w:val="both"/>
      </w:pPr>
    </w:p>
    <w:p w:rsidR="00812A62" w:rsidRDefault="00C127B7">
      <w:pPr>
        <w:jc w:val="both"/>
      </w:pPr>
      <w:r>
        <w:rPr>
          <w:rFonts w:ascii="Roboto" w:eastAsia="Roboto" w:hAnsi="Roboto" w:cs="Roboto"/>
          <w:highlight w:val="white"/>
        </w:rPr>
        <w:t xml:space="preserve">No obstante lo anterior, y aun cumpliendo más de la mitad del trámite legislativo necesario para convertirse en ley de la República, el mismo tuvo que ser archivado toda vez que no se debatió en cuarto y último debate, en atención al artículo 190 de la Ley 5 de 1992. </w:t>
      </w:r>
    </w:p>
    <w:p w:rsidR="00812A62" w:rsidRDefault="00812A62">
      <w:pPr>
        <w:jc w:val="both"/>
      </w:pPr>
    </w:p>
    <w:p w:rsidR="00C127B7" w:rsidRDefault="00C127B7" w:rsidP="00C127B7">
      <w:pPr>
        <w:jc w:val="center"/>
      </w:pPr>
      <w:r>
        <w:rPr>
          <w:rFonts w:ascii="Roboto" w:eastAsia="Roboto" w:hAnsi="Roboto" w:cs="Roboto"/>
          <w:b/>
        </w:rPr>
        <w:t>PROYECTO DE LEY _______________ DE 2016</w:t>
      </w:r>
    </w:p>
    <w:p w:rsidR="00C127B7" w:rsidRDefault="00C127B7" w:rsidP="00C127B7">
      <w:pPr>
        <w:jc w:val="center"/>
      </w:pPr>
      <w:r>
        <w:rPr>
          <w:rFonts w:ascii="Roboto" w:eastAsia="Roboto" w:hAnsi="Roboto" w:cs="Roboto"/>
          <w:b/>
        </w:rPr>
        <w:t>“Por medio de la cual se reforma la Ley 5° de 1992 para establecer mecanismos de rendición de cuentas, transparencia y verificación de la asistencia en el Congreso de la República.”</w:t>
      </w:r>
    </w:p>
    <w:p w:rsidR="00812A62" w:rsidRDefault="00812A62"/>
    <w:p w:rsidR="00C127B7" w:rsidRDefault="00C127B7"/>
    <w:p w:rsidR="00C127B7" w:rsidRDefault="00C127B7"/>
    <w:p w:rsidR="00C127B7" w:rsidRDefault="00C127B7"/>
    <w:p w:rsidR="00C127B7" w:rsidRDefault="00C127B7"/>
    <w:p w:rsidR="00812A62" w:rsidRDefault="00C127B7">
      <w:pPr>
        <w:jc w:val="both"/>
      </w:pPr>
      <w:r>
        <w:rPr>
          <w:rFonts w:ascii="Roboto" w:eastAsia="Roboto" w:hAnsi="Roboto" w:cs="Roboto"/>
          <w:b/>
        </w:rPr>
        <w:t>Angélica Lozano                                                                    Claudia López</w:t>
      </w:r>
    </w:p>
    <w:p w:rsidR="00812A62" w:rsidRDefault="00C127B7">
      <w:pPr>
        <w:jc w:val="both"/>
      </w:pPr>
      <w:r>
        <w:rPr>
          <w:rFonts w:ascii="Roboto" w:eastAsia="Roboto" w:hAnsi="Roboto" w:cs="Roboto"/>
        </w:rPr>
        <w:lastRenderedPageBreak/>
        <w:t>Representante a la Cámara                                                  Senadora de la República</w:t>
      </w:r>
    </w:p>
    <w:p w:rsidR="00C127B7" w:rsidRDefault="00C127B7" w:rsidP="00C127B7">
      <w:pPr>
        <w:jc w:val="both"/>
      </w:pPr>
      <w:r>
        <w:rPr>
          <w:rFonts w:ascii="Roboto" w:eastAsia="Roboto" w:hAnsi="Roboto" w:cs="Roboto"/>
        </w:rPr>
        <w:t>Alianza Verde                                                                          Alianza Verde</w:t>
      </w:r>
    </w:p>
    <w:p w:rsidR="00812A62" w:rsidRDefault="00812A62">
      <w:pPr>
        <w:jc w:val="both"/>
      </w:pPr>
    </w:p>
    <w:p w:rsidR="00812A62" w:rsidRDefault="00812A62">
      <w:pPr>
        <w:jc w:val="both"/>
      </w:pPr>
    </w:p>
    <w:p w:rsidR="00812A62" w:rsidRDefault="00812A62">
      <w:pPr>
        <w:jc w:val="both"/>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jc w:val="center"/>
      </w:pPr>
    </w:p>
    <w:p w:rsidR="00812A62" w:rsidRDefault="00812A62">
      <w:pPr>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C127B7" w:rsidRDefault="00C127B7" w:rsidP="00C127B7">
      <w:pPr>
        <w:jc w:val="center"/>
      </w:pPr>
      <w:r>
        <w:rPr>
          <w:rFonts w:ascii="Roboto" w:eastAsia="Roboto" w:hAnsi="Roboto" w:cs="Roboto"/>
          <w:b/>
        </w:rPr>
        <w:t>PROYECTO DE LEY _______________ DE 2016</w:t>
      </w:r>
    </w:p>
    <w:p w:rsidR="00C127B7" w:rsidRDefault="00C127B7" w:rsidP="00C127B7">
      <w:pPr>
        <w:jc w:val="center"/>
      </w:pPr>
      <w:r>
        <w:rPr>
          <w:rFonts w:ascii="Roboto" w:eastAsia="Roboto" w:hAnsi="Roboto" w:cs="Roboto"/>
          <w:b/>
        </w:rPr>
        <w:t>“Por medio de la cual se reforma la Ley 5° de 1992 para establecer mecanismos de rendición de cuentas, transparencia y verificación de la asistencia en el Congreso de la República.”</w:t>
      </w:r>
    </w:p>
    <w:p w:rsidR="00812A62" w:rsidRDefault="00812A62">
      <w:pPr>
        <w:spacing w:line="240" w:lineRule="auto"/>
        <w:jc w:val="center"/>
      </w:pPr>
    </w:p>
    <w:p w:rsidR="00C127B7" w:rsidRDefault="00C127B7">
      <w:pPr>
        <w:spacing w:line="240" w:lineRule="auto"/>
        <w:jc w:val="center"/>
      </w:pPr>
    </w:p>
    <w:p w:rsidR="00C127B7" w:rsidRDefault="00C127B7">
      <w:pPr>
        <w:spacing w:line="240" w:lineRule="auto"/>
        <w:jc w:val="center"/>
      </w:pPr>
    </w:p>
    <w:p w:rsidR="00C127B7" w:rsidRDefault="00C127B7">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jc w:val="center"/>
      </w:pPr>
    </w:p>
    <w:p w:rsidR="00812A62" w:rsidRDefault="00812A62">
      <w:pPr>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jc w:val="center"/>
      </w:pPr>
    </w:p>
    <w:p w:rsidR="00812A62" w:rsidRDefault="00812A62">
      <w:pPr>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pPr>
        <w:spacing w:line="240" w:lineRule="auto"/>
        <w:jc w:val="center"/>
      </w:pPr>
    </w:p>
    <w:p w:rsidR="00812A62" w:rsidRDefault="00812A62">
      <w:pPr>
        <w:spacing w:line="240" w:lineRule="auto"/>
        <w:jc w:val="center"/>
      </w:pPr>
    </w:p>
    <w:p w:rsidR="00812A62" w:rsidRDefault="00C127B7">
      <w:pPr>
        <w:spacing w:line="240" w:lineRule="auto"/>
        <w:jc w:val="center"/>
      </w:pPr>
      <w:r>
        <w:rPr>
          <w:rFonts w:ascii="Roboto" w:eastAsia="Roboto" w:hAnsi="Roboto" w:cs="Roboto"/>
        </w:rPr>
        <w:t>______________________________                  ______________________________</w:t>
      </w:r>
    </w:p>
    <w:p w:rsidR="00812A62" w:rsidRDefault="00812A62"/>
    <w:sectPr w:rsidR="00812A6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95" w:rsidRDefault="00CF1195">
      <w:pPr>
        <w:spacing w:line="240" w:lineRule="auto"/>
      </w:pPr>
      <w:r>
        <w:separator/>
      </w:r>
    </w:p>
  </w:endnote>
  <w:endnote w:type="continuationSeparator" w:id="0">
    <w:p w:rsidR="00CF1195" w:rsidRDefault="00CF1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95" w:rsidRDefault="00CF1195">
      <w:pPr>
        <w:spacing w:line="240" w:lineRule="auto"/>
      </w:pPr>
      <w:r>
        <w:separator/>
      </w:r>
    </w:p>
  </w:footnote>
  <w:footnote w:type="continuationSeparator" w:id="0">
    <w:p w:rsidR="00CF1195" w:rsidRDefault="00CF1195">
      <w:pPr>
        <w:spacing w:line="240" w:lineRule="auto"/>
      </w:pPr>
      <w:r>
        <w:continuationSeparator/>
      </w:r>
    </w:p>
  </w:footnote>
  <w:footnote w:id="1">
    <w:p w:rsidR="00C127B7" w:rsidRDefault="00C127B7">
      <w:pPr>
        <w:spacing w:line="240" w:lineRule="auto"/>
        <w:jc w:val="both"/>
      </w:pPr>
      <w:r>
        <w:rPr>
          <w:vertAlign w:val="superscript"/>
        </w:rPr>
        <w:footnoteRef/>
      </w:r>
      <w:r>
        <w:rPr>
          <w:sz w:val="16"/>
          <w:szCs w:val="16"/>
        </w:rPr>
        <w:t xml:space="preserve"> María </w:t>
      </w:r>
      <w:proofErr w:type="spellStart"/>
      <w:r>
        <w:rPr>
          <w:sz w:val="16"/>
          <w:szCs w:val="16"/>
        </w:rPr>
        <w:t>Rubiños</w:t>
      </w:r>
      <w:proofErr w:type="spellEnd"/>
      <w:r>
        <w:rPr>
          <w:sz w:val="16"/>
          <w:szCs w:val="16"/>
        </w:rPr>
        <w:t xml:space="preserve"> Gil. La transparencia, la comunicación y la confianza en las instituciones públicas: los casos comparados de la </w:t>
      </w:r>
      <w:proofErr w:type="spellStart"/>
      <w:r>
        <w:rPr>
          <w:sz w:val="16"/>
          <w:szCs w:val="16"/>
        </w:rPr>
        <w:t>Freedom</w:t>
      </w:r>
      <w:proofErr w:type="spellEnd"/>
      <w:r>
        <w:rPr>
          <w:sz w:val="16"/>
          <w:szCs w:val="16"/>
        </w:rPr>
        <w:t xml:space="preserve"> of </w:t>
      </w:r>
      <w:proofErr w:type="spellStart"/>
      <w:r>
        <w:rPr>
          <w:sz w:val="16"/>
          <w:szCs w:val="16"/>
        </w:rPr>
        <w:t>Information</w:t>
      </w:r>
      <w:proofErr w:type="spellEnd"/>
      <w:r>
        <w:rPr>
          <w:sz w:val="16"/>
          <w:szCs w:val="16"/>
        </w:rPr>
        <w:t xml:space="preserve"> </w:t>
      </w:r>
      <w:proofErr w:type="spellStart"/>
      <w:r>
        <w:rPr>
          <w:sz w:val="16"/>
          <w:szCs w:val="16"/>
        </w:rPr>
        <w:t>Act</w:t>
      </w:r>
      <w:proofErr w:type="spellEnd"/>
      <w:r>
        <w:rPr>
          <w:sz w:val="16"/>
          <w:szCs w:val="16"/>
        </w:rPr>
        <w:t xml:space="preserve"> en el Reino Unido y la Ley de Transparencia, Buen Gobierno y Acceso a la Información en España. Instituto Universitario de Investigación Ortega y Gasset. Santiago de Compostela septiembre 2014.</w:t>
      </w:r>
    </w:p>
  </w:footnote>
  <w:footnote w:id="2">
    <w:p w:rsidR="00C127B7" w:rsidRPr="00C127B7" w:rsidRDefault="00C127B7">
      <w:pPr>
        <w:spacing w:line="240" w:lineRule="auto"/>
        <w:rPr>
          <w:lang w:val="en-US"/>
        </w:rPr>
      </w:pPr>
      <w:r>
        <w:rPr>
          <w:vertAlign w:val="superscript"/>
        </w:rPr>
        <w:footnoteRef/>
      </w:r>
      <w:r w:rsidRPr="00C127B7">
        <w:rPr>
          <w:sz w:val="20"/>
          <w:szCs w:val="20"/>
          <w:lang w:val="en-US"/>
        </w:rPr>
        <w:t xml:space="preserve"> </w:t>
      </w:r>
      <w:r w:rsidRPr="00C127B7">
        <w:rPr>
          <w:rFonts w:ascii="Times New Roman" w:eastAsia="Times New Roman" w:hAnsi="Times New Roman" w:cs="Times New Roman"/>
          <w:sz w:val="18"/>
          <w:szCs w:val="18"/>
          <w:lang w:val="en-US"/>
        </w:rPr>
        <w:t xml:space="preserve">Integrity in Public Procurement GOOD PRACTICE FROM A TO Z. OECD 2007 DEFINING AN ADEQUATE FRAMEWORK FOR INTEGRITY IN PUBLIC PROCUREMENT </w:t>
      </w:r>
    </w:p>
    <w:p w:rsidR="00C127B7" w:rsidRPr="00C127B7" w:rsidRDefault="00C127B7">
      <w:pPr>
        <w:spacing w:line="240" w:lineRule="auto"/>
        <w:rPr>
          <w:lang w:val="en-US"/>
        </w:rPr>
      </w:pPr>
    </w:p>
  </w:footnote>
  <w:footnote w:id="3">
    <w:p w:rsidR="00C127B7" w:rsidRPr="00C127B7" w:rsidRDefault="00C127B7">
      <w:pPr>
        <w:spacing w:line="240" w:lineRule="auto"/>
        <w:rPr>
          <w:lang w:val="en-US"/>
        </w:rPr>
      </w:pPr>
      <w:r>
        <w:rPr>
          <w:vertAlign w:val="superscript"/>
        </w:rPr>
        <w:footnoteRef/>
      </w:r>
      <w:r w:rsidRPr="00C127B7">
        <w:rPr>
          <w:sz w:val="20"/>
          <w:szCs w:val="20"/>
          <w:lang w:val="en-US"/>
        </w:rPr>
        <w:t xml:space="preserve"> </w:t>
      </w:r>
      <w:r w:rsidRPr="00C127B7">
        <w:rPr>
          <w:rFonts w:ascii="Times New Roman" w:eastAsia="Times New Roman" w:hAnsi="Times New Roman" w:cs="Times New Roman"/>
          <w:sz w:val="18"/>
          <w:szCs w:val="18"/>
          <w:lang w:val="en-US"/>
        </w:rPr>
        <w:t>Ladipo, O. et al. 2009. Accountability in Public Expenditures in Latin America and the Caribbean: Revitalizing. Reforms in Financial Management and Procurement. World Bank, Washington, DC.</w:t>
      </w:r>
    </w:p>
  </w:footnote>
  <w:footnote w:id="4">
    <w:p w:rsidR="00C127B7" w:rsidRDefault="00C127B7">
      <w:pPr>
        <w:spacing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 xml:space="preserve">LA TRANSPARENCIA Y EL ACCESO A LA INFORMACIÓN COMO HERRAMIENTAS PARA ENFRENTAR LA CORRUPCIÓN. ELLA EVIDENCIAS Y LECCIONES DESDE AMÉRICA LATINA. </w:t>
      </w:r>
      <w:r>
        <w:rPr>
          <w:rFonts w:ascii="Times New Roman" w:eastAsia="Times New Roman" w:hAnsi="Times New Roman" w:cs="Times New Roman"/>
          <w:color w:val="333333"/>
          <w:sz w:val="18"/>
          <w:szCs w:val="18"/>
          <w:highlight w:val="white"/>
        </w:rPr>
        <w:t>2013</w:t>
      </w:r>
    </w:p>
  </w:footnote>
  <w:footnote w:id="5">
    <w:p w:rsidR="00C127B7" w:rsidRDefault="00C127B7">
      <w:pPr>
        <w:spacing w:line="240" w:lineRule="auto"/>
      </w:pPr>
      <w:r>
        <w:rPr>
          <w:vertAlign w:val="superscript"/>
        </w:rPr>
        <w:footnoteRef/>
      </w:r>
      <w:r>
        <w:rPr>
          <w:sz w:val="20"/>
          <w:szCs w:val="20"/>
        </w:rPr>
        <w:t xml:space="preserve"> </w:t>
      </w:r>
      <w:r>
        <w:rPr>
          <w:sz w:val="18"/>
          <w:szCs w:val="18"/>
        </w:rPr>
        <w:t xml:space="preserve">Comisión Nacional Ciudadana para la Lucha contra la Corrupción – Colombia. Quinto Informe. 2015. </w:t>
      </w:r>
    </w:p>
  </w:footnote>
  <w:footnote w:id="6">
    <w:p w:rsidR="00C127B7" w:rsidRDefault="00C127B7">
      <w:pPr>
        <w:spacing w:line="240" w:lineRule="auto"/>
        <w:jc w:val="both"/>
      </w:pPr>
      <w:r>
        <w:rPr>
          <w:vertAlign w:val="superscript"/>
        </w:rPr>
        <w:footnoteRef/>
      </w:r>
      <w:r>
        <w:rPr>
          <w:sz w:val="16"/>
          <w:szCs w:val="16"/>
        </w:rPr>
        <w:t xml:space="preserve"> </w:t>
      </w:r>
      <w:proofErr w:type="spellStart"/>
      <w:r>
        <w:rPr>
          <w:sz w:val="16"/>
          <w:szCs w:val="16"/>
        </w:rPr>
        <w:t>Íbid</w:t>
      </w:r>
      <w:proofErr w:type="spellEnd"/>
      <w:r>
        <w:rPr>
          <w:sz w:val="16"/>
          <w:szCs w:val="16"/>
        </w:rPr>
        <w:t>.</w:t>
      </w:r>
    </w:p>
  </w:footnote>
  <w:footnote w:id="7">
    <w:p w:rsidR="00C127B7" w:rsidRDefault="00C127B7">
      <w:pPr>
        <w:spacing w:line="240" w:lineRule="auto"/>
        <w:jc w:val="both"/>
      </w:pPr>
      <w:r>
        <w:rPr>
          <w:vertAlign w:val="superscript"/>
        </w:rPr>
        <w:footnoteRef/>
      </w:r>
      <w:r>
        <w:rPr>
          <w:sz w:val="16"/>
          <w:szCs w:val="16"/>
        </w:rPr>
        <w:t xml:space="preserve"> Programa de las Naciones Unidas para el Desarrollo (PNUD), Instituto para la Democracia y Asistencia Electoral (IDEA Internacional) Instituto Holandés para la Democracia Multipartidaria (NIMD). Modernizar el Congreso para Fortalecer la Democracia. Uso de las Tecnologías de la Información y las Comunicaciones como herramienta de transparencia y visibilidad del Congreso. Fernando Segura Unesco (2005). Guía de democracia electrónica local. Universidad Externado de Colombia, Bogotá, p.</w:t>
      </w:r>
    </w:p>
  </w:footnote>
  <w:footnote w:id="8">
    <w:p w:rsidR="00C127B7" w:rsidRPr="00C127B7" w:rsidRDefault="00C127B7">
      <w:pPr>
        <w:spacing w:line="240" w:lineRule="auto"/>
        <w:jc w:val="both"/>
        <w:rPr>
          <w:lang w:val="en-US"/>
        </w:rPr>
      </w:pPr>
      <w:r>
        <w:rPr>
          <w:vertAlign w:val="superscript"/>
        </w:rPr>
        <w:footnoteRef/>
      </w:r>
      <w:r w:rsidRPr="00C127B7">
        <w:rPr>
          <w:sz w:val="16"/>
          <w:szCs w:val="16"/>
          <w:lang w:val="en-US"/>
        </w:rPr>
        <w:t xml:space="preserve"> OECD (2013), Colombia: Implementing Good Governance, OECD Public Governance Reviews, OECD Publishing, París.</w:t>
      </w:r>
    </w:p>
  </w:footnote>
  <w:footnote w:id="9">
    <w:p w:rsidR="00C127B7" w:rsidRDefault="00C127B7">
      <w:pPr>
        <w:spacing w:line="240" w:lineRule="auto"/>
        <w:jc w:val="both"/>
      </w:pPr>
      <w:r>
        <w:rPr>
          <w:vertAlign w:val="superscript"/>
        </w:rPr>
        <w:footnoteRef/>
      </w:r>
      <w:r>
        <w:rPr>
          <w:sz w:val="16"/>
          <w:szCs w:val="16"/>
        </w:rPr>
        <w:t xml:space="preserve"> </w:t>
      </w:r>
      <w:proofErr w:type="spellStart"/>
      <w:r>
        <w:rPr>
          <w:sz w:val="16"/>
          <w:szCs w:val="16"/>
        </w:rPr>
        <w:t>Íbid</w:t>
      </w:r>
      <w:proofErr w:type="spellEnd"/>
      <w:r>
        <w:rPr>
          <w:sz w:val="16"/>
          <w:szCs w:val="16"/>
        </w:rPr>
        <w:t>.</w:t>
      </w:r>
    </w:p>
  </w:footnote>
  <w:footnote w:id="10">
    <w:p w:rsidR="00C127B7" w:rsidRDefault="00C127B7">
      <w:pPr>
        <w:spacing w:line="240" w:lineRule="auto"/>
        <w:jc w:val="both"/>
      </w:pPr>
      <w:r>
        <w:rPr>
          <w:vertAlign w:val="superscript"/>
        </w:rPr>
        <w:footnoteRef/>
      </w:r>
      <w:r>
        <w:rPr>
          <w:sz w:val="16"/>
          <w:szCs w:val="16"/>
        </w:rPr>
        <w:t xml:space="preserve"> Constitución Política, artículo 133. Ley 5ª de 1992, artículo 263.</w:t>
      </w:r>
    </w:p>
  </w:footnote>
  <w:footnote w:id="11">
    <w:p w:rsidR="00C127B7" w:rsidRDefault="00C127B7">
      <w:pPr>
        <w:spacing w:line="240" w:lineRule="auto"/>
        <w:jc w:val="both"/>
      </w:pPr>
      <w:r>
        <w:rPr>
          <w:vertAlign w:val="superscript"/>
        </w:rPr>
        <w:footnoteRef/>
      </w:r>
      <w:r>
        <w:rPr>
          <w:sz w:val="16"/>
          <w:szCs w:val="16"/>
        </w:rPr>
        <w:t xml:space="preserve"> Caso Herrera-Ulloa vs. Costa Rica no. 12367 (</w:t>
      </w:r>
      <w:proofErr w:type="spellStart"/>
      <w:r>
        <w:rPr>
          <w:sz w:val="16"/>
          <w:szCs w:val="16"/>
        </w:rPr>
        <w:t>IACtHR</w:t>
      </w:r>
      <w:proofErr w:type="spellEnd"/>
      <w:r>
        <w:rPr>
          <w:sz w:val="16"/>
          <w:szCs w:val="16"/>
        </w:rPr>
        <w:t xml:space="preserve">, 2 </w:t>
      </w:r>
      <w:proofErr w:type="spellStart"/>
      <w:r>
        <w:rPr>
          <w:sz w:val="16"/>
          <w:szCs w:val="16"/>
        </w:rPr>
        <w:t>July</w:t>
      </w:r>
      <w:proofErr w:type="spellEnd"/>
      <w:r>
        <w:rPr>
          <w:sz w:val="16"/>
          <w:szCs w:val="16"/>
        </w:rPr>
        <w:t xml:space="preserve"> 2004) par 129; Caso Ricardo </w:t>
      </w:r>
      <w:proofErr w:type="spellStart"/>
      <w:r>
        <w:rPr>
          <w:sz w:val="16"/>
          <w:szCs w:val="16"/>
        </w:rPr>
        <w:t>Canese</w:t>
      </w:r>
      <w:proofErr w:type="spellEnd"/>
      <w:r>
        <w:rPr>
          <w:sz w:val="16"/>
          <w:szCs w:val="16"/>
        </w:rPr>
        <w:t xml:space="preserve"> </w:t>
      </w:r>
      <w:proofErr w:type="gramStart"/>
      <w:r>
        <w:rPr>
          <w:sz w:val="16"/>
          <w:szCs w:val="16"/>
        </w:rPr>
        <w:t>v..</w:t>
      </w:r>
      <w:proofErr w:type="gramEnd"/>
      <w:r>
        <w:rPr>
          <w:sz w:val="16"/>
          <w:szCs w:val="16"/>
        </w:rPr>
        <w:t xml:space="preserve"> Paraguay Petición número 12032 de 1998.</w:t>
      </w:r>
    </w:p>
  </w:footnote>
  <w:footnote w:id="12">
    <w:p w:rsidR="00C127B7" w:rsidRDefault="00C127B7">
      <w:pPr>
        <w:spacing w:line="240" w:lineRule="auto"/>
        <w:jc w:val="both"/>
      </w:pPr>
      <w:r>
        <w:rPr>
          <w:vertAlign w:val="superscript"/>
        </w:rPr>
        <w:footnoteRef/>
      </w:r>
      <w:r>
        <w:rPr>
          <w:sz w:val="16"/>
          <w:szCs w:val="16"/>
        </w:rPr>
        <w:t xml:space="preserve"> Inter-American </w:t>
      </w:r>
      <w:proofErr w:type="spellStart"/>
      <w:r>
        <w:rPr>
          <w:sz w:val="16"/>
          <w:szCs w:val="16"/>
        </w:rPr>
        <w:t>Commission</w:t>
      </w:r>
      <w:proofErr w:type="spellEnd"/>
      <w:r>
        <w:rPr>
          <w:sz w:val="16"/>
          <w:szCs w:val="16"/>
        </w:rPr>
        <w:t xml:space="preserve"> </w:t>
      </w:r>
      <w:proofErr w:type="spellStart"/>
      <w:r>
        <w:rPr>
          <w:sz w:val="16"/>
          <w:szCs w:val="16"/>
        </w:rPr>
        <w:t>on</w:t>
      </w:r>
      <w:proofErr w:type="spellEnd"/>
      <w:r>
        <w:rPr>
          <w:sz w:val="16"/>
          <w:szCs w:val="16"/>
        </w:rPr>
        <w:t xml:space="preserve"> Human </w:t>
      </w:r>
      <w:proofErr w:type="spellStart"/>
      <w:r>
        <w:rPr>
          <w:sz w:val="16"/>
          <w:szCs w:val="16"/>
        </w:rPr>
        <w:t>Rights</w:t>
      </w:r>
      <w:proofErr w:type="spellEnd"/>
      <w:r>
        <w:rPr>
          <w:sz w:val="16"/>
          <w:szCs w:val="16"/>
        </w:rPr>
        <w:t>. Garantías para la independencia de las y los operadores de justicia: Hacia el fortalecimiento del acceso a la justicia y el estado de derecho en las Américas. v.; cm. (OEA documentos oficiales; OEA/</w:t>
      </w:r>
      <w:proofErr w:type="spellStart"/>
      <w:r>
        <w:rPr>
          <w:sz w:val="16"/>
          <w:szCs w:val="16"/>
        </w:rPr>
        <w:t>Ser.L</w:t>
      </w:r>
      <w:proofErr w:type="spellEnd"/>
      <w:r>
        <w:rPr>
          <w:sz w:val="16"/>
          <w:szCs w:val="16"/>
        </w:rPr>
        <w:t>) ISBN 978-0-8270-6088-3.</w:t>
      </w:r>
    </w:p>
  </w:footnote>
  <w:footnote w:id="13">
    <w:p w:rsidR="00C127B7" w:rsidRDefault="00C127B7">
      <w:pPr>
        <w:spacing w:line="240" w:lineRule="auto"/>
        <w:ind w:left="320" w:hanging="320"/>
        <w:jc w:val="both"/>
      </w:pPr>
      <w:r>
        <w:rPr>
          <w:vertAlign w:val="superscript"/>
        </w:rPr>
        <w:footnoteRef/>
      </w:r>
      <w:r>
        <w:rPr>
          <w:sz w:val="16"/>
          <w:szCs w:val="16"/>
        </w:rPr>
        <w:t xml:space="preserve"> Helena </w:t>
      </w:r>
      <w:proofErr w:type="spellStart"/>
      <w:r>
        <w:rPr>
          <w:sz w:val="16"/>
          <w:szCs w:val="16"/>
        </w:rPr>
        <w:t>Alviar</w:t>
      </w:r>
      <w:proofErr w:type="spellEnd"/>
      <w:r>
        <w:rPr>
          <w:sz w:val="16"/>
          <w:szCs w:val="16"/>
        </w:rPr>
        <w:t xml:space="preserve"> García. Universidad de los Andes. La necesidad del debate público. Agosto 18 de 2007.</w:t>
      </w:r>
    </w:p>
  </w:footnote>
  <w:footnote w:id="14">
    <w:p w:rsidR="00C127B7" w:rsidRDefault="00C127B7">
      <w:pPr>
        <w:spacing w:line="240" w:lineRule="auto"/>
        <w:jc w:val="both"/>
      </w:pPr>
      <w:r>
        <w:rPr>
          <w:vertAlign w:val="superscript"/>
        </w:rPr>
        <w:footnoteRef/>
      </w:r>
      <w:r>
        <w:rPr>
          <w:sz w:val="16"/>
          <w:szCs w:val="16"/>
        </w:rPr>
        <w:t xml:space="preserve"> Naciones Unidas. Consejo Económico y Social. Comisión de Derechos Humanos. Informe del Relator Especial sobre la independencia de los Magistrados y Abogados, Leandro </w:t>
      </w:r>
      <w:proofErr w:type="spellStart"/>
      <w:r>
        <w:rPr>
          <w:sz w:val="16"/>
          <w:szCs w:val="16"/>
        </w:rPr>
        <w:t>Despouy</w:t>
      </w:r>
      <w:proofErr w:type="spellEnd"/>
      <w:r>
        <w:rPr>
          <w:sz w:val="16"/>
          <w:szCs w:val="16"/>
        </w:rPr>
        <w:t>. Adición. Informe preliminar sobre la misión al Ecuador. E/CNA/2005/60/</w:t>
      </w:r>
      <w:proofErr w:type="spellStart"/>
      <w:r>
        <w:rPr>
          <w:sz w:val="16"/>
          <w:szCs w:val="16"/>
        </w:rPr>
        <w:t>AddA</w:t>
      </w:r>
      <w:proofErr w:type="spellEnd"/>
      <w:r>
        <w:rPr>
          <w:sz w:val="16"/>
          <w:szCs w:val="16"/>
        </w:rPr>
        <w:t xml:space="preserve">, 29 de marzo de 2005, párr. 5; Naciones Unidas. Asamblea General. Consejo de Derechos Humanos. Informe del Relator Especial sobre la independencia de los Magistrados y Abogados, Leandro </w:t>
      </w:r>
      <w:proofErr w:type="spellStart"/>
      <w:r>
        <w:rPr>
          <w:sz w:val="16"/>
          <w:szCs w:val="16"/>
        </w:rPr>
        <w:t>Despouy</w:t>
      </w:r>
      <w:proofErr w:type="spellEnd"/>
      <w:r>
        <w:rPr>
          <w:sz w:val="16"/>
          <w:szCs w:val="16"/>
        </w:rPr>
        <w:t>, A/HRC/ll/41, 24 de marzo de 2009, párr. 31. En el mismo sentido, Naciones Unidas.</w:t>
      </w:r>
    </w:p>
  </w:footnote>
  <w:footnote w:id="15">
    <w:p w:rsidR="00C127B7" w:rsidRDefault="00C127B7">
      <w:pPr>
        <w:spacing w:line="240" w:lineRule="auto"/>
        <w:jc w:val="both"/>
      </w:pPr>
      <w:r>
        <w:rPr>
          <w:vertAlign w:val="superscript"/>
        </w:rPr>
        <w:footnoteRef/>
      </w:r>
      <w:r>
        <w:rPr>
          <w:rFonts w:ascii="Roboto" w:eastAsia="Roboto" w:hAnsi="Roboto" w:cs="Roboto"/>
          <w:sz w:val="20"/>
          <w:szCs w:val="20"/>
        </w:rPr>
        <w:t xml:space="preserve"> </w:t>
      </w:r>
      <w:r>
        <w:rPr>
          <w:rFonts w:ascii="Roboto" w:eastAsia="Roboto" w:hAnsi="Roboto" w:cs="Roboto"/>
          <w:color w:val="2D2D2D"/>
          <w:sz w:val="20"/>
          <w:szCs w:val="20"/>
          <w:highlight w:val="white"/>
        </w:rPr>
        <w:t xml:space="preserve">Sentencia de la Corte Constitucional C-247 de 1995, M.P. José Gregorio Hernández Galindo; Sentencia del Consejo de Estado, Sala Plena de lo Contencioso Administrativo, C.P.: Hugo Fernando Bastidas </w:t>
      </w:r>
      <w:proofErr w:type="spellStart"/>
      <w:r>
        <w:rPr>
          <w:rFonts w:ascii="Roboto" w:eastAsia="Roboto" w:hAnsi="Roboto" w:cs="Roboto"/>
          <w:color w:val="2D2D2D"/>
          <w:sz w:val="20"/>
          <w:szCs w:val="20"/>
          <w:highlight w:val="white"/>
        </w:rPr>
        <w:t>Barcenas</w:t>
      </w:r>
      <w:proofErr w:type="spellEnd"/>
      <w:r>
        <w:rPr>
          <w:rFonts w:ascii="Roboto" w:eastAsia="Roboto" w:hAnsi="Roboto" w:cs="Roboto"/>
          <w:color w:val="2D2D2D"/>
          <w:sz w:val="20"/>
          <w:szCs w:val="20"/>
          <w:highlight w:val="white"/>
        </w:rPr>
        <w:t xml:space="preserve">, veintitrés (23) de marzo de dos mil diez (2010), Radicación número: 11001-03-15-000-2009-00198-00(PI). En el mismo sentido, Sentencia del Consejo de Estado, Sala Plena de lo Contencioso Administrativo, C.P.: Germán Rodríguez Villamizar, veinticinco (25) de mayo de dos mil cuatro (2004), Radicación número: 11001-03-15-000-2003-1463-01 y 11001-03-15-000-2004-00132-01 (PI). (Citada tomada de la </w:t>
      </w:r>
      <w:r>
        <w:rPr>
          <w:rFonts w:ascii="Roboto" w:eastAsia="Roboto" w:hAnsi="Roboto" w:cs="Roboto"/>
          <w:sz w:val="20"/>
          <w:szCs w:val="20"/>
        </w:rPr>
        <w:t>sentencia C-254A de 2012)</w:t>
      </w:r>
    </w:p>
  </w:footnote>
  <w:footnote w:id="16">
    <w:p w:rsidR="00C127B7" w:rsidRDefault="00C127B7">
      <w:pPr>
        <w:spacing w:line="240" w:lineRule="auto"/>
        <w:jc w:val="both"/>
      </w:pPr>
      <w:r>
        <w:rPr>
          <w:vertAlign w:val="superscript"/>
        </w:rPr>
        <w:footnoteRef/>
      </w:r>
      <w:r>
        <w:rPr>
          <w:rFonts w:ascii="Roboto" w:eastAsia="Roboto" w:hAnsi="Roboto" w:cs="Roboto"/>
          <w:sz w:val="20"/>
          <w:szCs w:val="20"/>
        </w:rPr>
        <w:t xml:space="preserve"> </w:t>
      </w:r>
      <w:r>
        <w:rPr>
          <w:rFonts w:ascii="Roboto" w:eastAsia="Roboto" w:hAnsi="Roboto" w:cs="Roboto"/>
          <w:color w:val="2D2D2D"/>
          <w:sz w:val="20"/>
          <w:szCs w:val="20"/>
          <w:highlight w:val="white"/>
        </w:rPr>
        <w:t xml:space="preserve">Sentencia de la Corte Constitucional C-247 de 1995, M.P. José Gregorio Hernández Galindo. Sentencia del Consejo de Estado, Sala Plena de lo Contencioso Administrativo, C.P.: Hugo Fernando Bastidas </w:t>
      </w:r>
      <w:proofErr w:type="spellStart"/>
      <w:r>
        <w:rPr>
          <w:rFonts w:ascii="Roboto" w:eastAsia="Roboto" w:hAnsi="Roboto" w:cs="Roboto"/>
          <w:color w:val="2D2D2D"/>
          <w:sz w:val="20"/>
          <w:szCs w:val="20"/>
          <w:highlight w:val="white"/>
        </w:rPr>
        <w:t>Barcenas</w:t>
      </w:r>
      <w:proofErr w:type="spellEnd"/>
      <w:r>
        <w:rPr>
          <w:rFonts w:ascii="Roboto" w:eastAsia="Roboto" w:hAnsi="Roboto" w:cs="Roboto"/>
          <w:color w:val="2D2D2D"/>
          <w:sz w:val="20"/>
          <w:szCs w:val="20"/>
          <w:highlight w:val="white"/>
        </w:rPr>
        <w:t xml:space="preserve">, veintitrés (23) de marzo de dos mil diez (2010), Radicación número: 11001-03-15-000-2009-00198-00(PI). (Citada tomada de la </w:t>
      </w:r>
      <w:r>
        <w:rPr>
          <w:rFonts w:ascii="Roboto" w:eastAsia="Roboto" w:hAnsi="Roboto" w:cs="Roboto"/>
          <w:sz w:val="20"/>
          <w:szCs w:val="20"/>
        </w:rPr>
        <w:t>sentencia C-254A de 2012)</w:t>
      </w:r>
    </w:p>
  </w:footnote>
  <w:footnote w:id="17">
    <w:p w:rsidR="00C127B7" w:rsidRDefault="00C127B7">
      <w:pPr>
        <w:spacing w:line="240" w:lineRule="auto"/>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 xml:space="preserve">Sentencias de la Corte Constitucional C-319 de 1994 </w:t>
      </w:r>
      <w:r>
        <w:rPr>
          <w:rFonts w:ascii="Roboto" w:eastAsia="Roboto" w:hAnsi="Roboto" w:cs="Roboto"/>
          <w:color w:val="2D2D2D"/>
          <w:sz w:val="20"/>
          <w:szCs w:val="20"/>
          <w:highlight w:val="white"/>
        </w:rPr>
        <w:t xml:space="preserve">M.P. Hernando Herrera Vergara y C-247 de 1995 M.P. José Gregorio Hernández Galindo. (Citada tomada de la </w:t>
      </w:r>
      <w:r>
        <w:rPr>
          <w:rFonts w:ascii="Roboto" w:eastAsia="Roboto" w:hAnsi="Roboto" w:cs="Roboto"/>
          <w:sz w:val="20"/>
          <w:szCs w:val="20"/>
        </w:rPr>
        <w:t>sentencia C-254A de 2012)</w:t>
      </w:r>
    </w:p>
  </w:footnote>
  <w:footnote w:id="18">
    <w:p w:rsidR="00C127B7" w:rsidRDefault="00C127B7">
      <w:pPr>
        <w:spacing w:line="240" w:lineRule="auto"/>
      </w:pPr>
      <w:r>
        <w:rPr>
          <w:vertAlign w:val="superscript"/>
        </w:rPr>
        <w:footnoteRef/>
      </w:r>
      <w:r>
        <w:rPr>
          <w:sz w:val="20"/>
          <w:szCs w:val="20"/>
        </w:rPr>
        <w:t xml:space="preserve"> Sentencias de la Corte Constitucional C-507 de 1994, M.P. Jorge Arango</w:t>
      </w:r>
      <w:r>
        <w:rPr>
          <w:rFonts w:ascii="Roboto" w:eastAsia="Roboto" w:hAnsi="Roboto" w:cs="Roboto"/>
          <w:sz w:val="20"/>
          <w:szCs w:val="20"/>
        </w:rPr>
        <w:t xml:space="preserve"> Mejía y T-162 de 1998 M.P. Eduardo Cifuentes Muñoz y otras. </w:t>
      </w:r>
      <w:r>
        <w:rPr>
          <w:rFonts w:ascii="Roboto" w:eastAsia="Roboto" w:hAnsi="Roboto" w:cs="Roboto"/>
          <w:color w:val="2D2D2D"/>
          <w:sz w:val="20"/>
          <w:szCs w:val="20"/>
          <w:highlight w:val="white"/>
        </w:rPr>
        <w:t xml:space="preserve">(Citada tomada de la </w:t>
      </w:r>
      <w:r>
        <w:rPr>
          <w:rFonts w:ascii="Roboto" w:eastAsia="Roboto" w:hAnsi="Roboto" w:cs="Roboto"/>
          <w:sz w:val="20"/>
          <w:szCs w:val="20"/>
        </w:rPr>
        <w:t>sentencia C-254A de 2012)</w:t>
      </w:r>
    </w:p>
  </w:footnote>
  <w:footnote w:id="19">
    <w:p w:rsidR="00C127B7" w:rsidRDefault="00C127B7">
      <w:pPr>
        <w:spacing w:line="240" w:lineRule="auto"/>
      </w:pPr>
      <w:r>
        <w:rPr>
          <w:vertAlign w:val="superscript"/>
        </w:rPr>
        <w:footnoteRef/>
      </w:r>
      <w:r>
        <w:rPr>
          <w:sz w:val="20"/>
          <w:szCs w:val="20"/>
        </w:rPr>
        <w:t xml:space="preserve"> </w:t>
      </w:r>
      <w:r>
        <w:rPr>
          <w:rFonts w:ascii="Roboto" w:eastAsia="Roboto" w:hAnsi="Roboto" w:cs="Roboto"/>
          <w:color w:val="2D2D2D"/>
          <w:sz w:val="20"/>
          <w:szCs w:val="20"/>
          <w:highlight w:val="white"/>
        </w:rPr>
        <w:t xml:space="preserve">Sentencia de la Corte Constitucional T-147 de 2011, M.P. Mauricio González Cuervo. (Citada tomada de la </w:t>
      </w:r>
      <w:r>
        <w:rPr>
          <w:rFonts w:ascii="Roboto" w:eastAsia="Roboto" w:hAnsi="Roboto" w:cs="Roboto"/>
          <w:sz w:val="20"/>
          <w:szCs w:val="20"/>
        </w:rPr>
        <w:t>sentencia C-254A de 2012)</w:t>
      </w:r>
    </w:p>
  </w:footnote>
  <w:footnote w:id="20">
    <w:p w:rsidR="00C127B7" w:rsidRDefault="00C127B7">
      <w:pPr>
        <w:spacing w:line="240" w:lineRule="auto"/>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 xml:space="preserve">Sentencias de la Corte Constitucional C-319 de 1994, M.P. Hernando Herrera Vergara; T-935 de 2009, M.P. Humberto Antonio Sierra Porto. En similar sentido Sentencia de la Corte Constitucional T-544 de 2004, M.P. Jaime Córdoba Triviño. </w:t>
      </w:r>
      <w:r>
        <w:rPr>
          <w:rFonts w:ascii="Roboto" w:eastAsia="Roboto" w:hAnsi="Roboto" w:cs="Roboto"/>
          <w:color w:val="2D2D2D"/>
          <w:sz w:val="20"/>
          <w:szCs w:val="20"/>
          <w:highlight w:val="white"/>
        </w:rPr>
        <w:t xml:space="preserve"> (Citada tomada de la </w:t>
      </w:r>
      <w:r>
        <w:rPr>
          <w:rFonts w:ascii="Roboto" w:eastAsia="Roboto" w:hAnsi="Roboto" w:cs="Roboto"/>
          <w:sz w:val="20"/>
          <w:szCs w:val="20"/>
        </w:rPr>
        <w:t>sentencia C-254A de 2012).</w:t>
      </w:r>
    </w:p>
  </w:footnote>
  <w:footnote w:id="21">
    <w:p w:rsidR="00C127B7" w:rsidRDefault="00C127B7">
      <w:pPr>
        <w:spacing w:line="240" w:lineRule="auto"/>
        <w:jc w:val="both"/>
      </w:pPr>
      <w:r>
        <w:rPr>
          <w:vertAlign w:val="superscript"/>
        </w:rPr>
        <w:footnoteRef/>
      </w:r>
      <w:r>
        <w:rPr>
          <w:rFonts w:ascii="Roboto" w:eastAsia="Roboto" w:hAnsi="Roboto" w:cs="Roboto"/>
          <w:sz w:val="20"/>
          <w:szCs w:val="20"/>
        </w:rPr>
        <w:t xml:space="preserve"> </w:t>
      </w:r>
      <w:r>
        <w:rPr>
          <w:rFonts w:ascii="Roboto" w:eastAsia="Roboto" w:hAnsi="Roboto" w:cs="Roboto"/>
          <w:color w:val="2D2D2D"/>
          <w:sz w:val="20"/>
          <w:szCs w:val="20"/>
          <w:highlight w:val="white"/>
        </w:rPr>
        <w:t xml:space="preserve">Sentencia del Consejo de Estado, Sala Plena de lo Contencioso Administrativo, C.P.: Hugo Fernando Bastidas </w:t>
      </w:r>
      <w:proofErr w:type="spellStart"/>
      <w:r>
        <w:rPr>
          <w:rFonts w:ascii="Roboto" w:eastAsia="Roboto" w:hAnsi="Roboto" w:cs="Roboto"/>
          <w:color w:val="2D2D2D"/>
          <w:sz w:val="20"/>
          <w:szCs w:val="20"/>
          <w:highlight w:val="white"/>
        </w:rPr>
        <w:t>Barcenas</w:t>
      </w:r>
      <w:proofErr w:type="spellEnd"/>
      <w:r>
        <w:rPr>
          <w:rFonts w:ascii="Roboto" w:eastAsia="Roboto" w:hAnsi="Roboto" w:cs="Roboto"/>
          <w:color w:val="2D2D2D"/>
          <w:sz w:val="20"/>
          <w:szCs w:val="20"/>
          <w:highlight w:val="white"/>
        </w:rPr>
        <w:t xml:space="preserve">, veintitrés (23) de marzo de dos mil diez (2010), Radicación número: 11001-03-15-000-2009-00198-00(PI). (Citada tomada de la </w:t>
      </w:r>
      <w:r>
        <w:rPr>
          <w:rFonts w:ascii="Roboto" w:eastAsia="Roboto" w:hAnsi="Roboto" w:cs="Roboto"/>
          <w:sz w:val="20"/>
          <w:szCs w:val="20"/>
        </w:rPr>
        <w:t>sentencia C-254A de 2012)</w:t>
      </w:r>
    </w:p>
  </w:footnote>
  <w:footnote w:id="22">
    <w:p w:rsidR="00C127B7" w:rsidRDefault="00C127B7">
      <w:pPr>
        <w:spacing w:line="240" w:lineRule="auto"/>
      </w:pPr>
      <w:r>
        <w:rPr>
          <w:vertAlign w:val="superscript"/>
        </w:rPr>
        <w:footnoteRef/>
      </w:r>
      <w:r>
        <w:rPr>
          <w:rFonts w:ascii="Roboto" w:eastAsia="Roboto" w:hAnsi="Roboto" w:cs="Roboto"/>
          <w:sz w:val="20"/>
          <w:szCs w:val="20"/>
        </w:rPr>
        <w:t xml:space="preserve"> Corte Constitucional. Sentencia C-234A de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BE1"/>
    <w:multiLevelType w:val="multilevel"/>
    <w:tmpl w:val="E15E97D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167C4E40"/>
    <w:multiLevelType w:val="multilevel"/>
    <w:tmpl w:val="542C9912"/>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2">
    <w:nsid w:val="1776490D"/>
    <w:multiLevelType w:val="multilevel"/>
    <w:tmpl w:val="805E04E0"/>
    <w:lvl w:ilvl="0">
      <w:start w:val="15"/>
      <w:numFmt w:val="decimal"/>
      <w:lvlText w:val="%1."/>
      <w:lvlJc w:val="left"/>
      <w:pPr>
        <w:ind w:left="720" w:firstLine="360"/>
      </w:pPr>
      <w:rPr>
        <w:u w:val="singl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A331414"/>
    <w:multiLevelType w:val="multilevel"/>
    <w:tmpl w:val="0526FF4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nsid w:val="2CD40DBC"/>
    <w:multiLevelType w:val="multilevel"/>
    <w:tmpl w:val="1C30A14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nsid w:val="5AF23A14"/>
    <w:multiLevelType w:val="multilevel"/>
    <w:tmpl w:val="AA24CAC4"/>
    <w:lvl w:ilvl="0">
      <w:start w:val="8"/>
      <w:numFmt w:val="decimal"/>
      <w:lvlText w:val="%1."/>
      <w:lvlJc w:val="left"/>
      <w:pPr>
        <w:ind w:left="1080" w:firstLine="720"/>
      </w:pPr>
      <w:rPr>
        <w:u w:val="single"/>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nsid w:val="6498799D"/>
    <w:multiLevelType w:val="multilevel"/>
    <w:tmpl w:val="A168948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nsid w:val="65763D4F"/>
    <w:multiLevelType w:val="multilevel"/>
    <w:tmpl w:val="7EC6F0C2"/>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8">
    <w:nsid w:val="73584E4A"/>
    <w:multiLevelType w:val="multilevel"/>
    <w:tmpl w:val="670A48A8"/>
    <w:lvl w:ilvl="0">
      <w:start w:val="5"/>
      <w:numFmt w:val="decimal"/>
      <w:lvlText w:val="%1."/>
      <w:lvlJc w:val="left"/>
      <w:pPr>
        <w:ind w:left="1080" w:firstLine="720"/>
      </w:pPr>
      <w:rPr>
        <w:u w:val="single"/>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0"/>
  </w:num>
  <w:num w:numId="2">
    <w:abstractNumId w:val="2"/>
  </w:num>
  <w:num w:numId="3">
    <w:abstractNumId w:val="4"/>
  </w:num>
  <w:num w:numId="4">
    <w:abstractNumId w:val="5"/>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12A62"/>
    <w:rsid w:val="00812A62"/>
    <w:rsid w:val="009B3345"/>
    <w:rsid w:val="00C127B7"/>
    <w:rsid w:val="00CF1195"/>
    <w:rsid w:val="00F01B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ind w:left="360" w:hanging="360"/>
      <w:jc w:val="both"/>
      <w:outlineLvl w:val="2"/>
    </w:pPr>
    <w:rPr>
      <w:b/>
    </w:rPr>
  </w:style>
  <w:style w:type="paragraph" w:styleId="Ttulo4">
    <w:name w:val="heading 4"/>
    <w:basedOn w:val="Normal"/>
    <w:next w:val="Normal"/>
    <w:pPr>
      <w:keepNext/>
      <w:keepLines/>
      <w:ind w:left="360" w:hanging="360"/>
      <w:jc w:val="both"/>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ind w:left="360" w:hanging="360"/>
      <w:jc w:val="both"/>
      <w:outlineLvl w:val="2"/>
    </w:pPr>
    <w:rPr>
      <w:b/>
    </w:rPr>
  </w:style>
  <w:style w:type="paragraph" w:styleId="Ttulo4">
    <w:name w:val="heading 4"/>
    <w:basedOn w:val="Normal"/>
    <w:next w:val="Normal"/>
    <w:pPr>
      <w:keepNext/>
      <w:keepLines/>
      <w:ind w:left="360" w:hanging="360"/>
      <w:jc w:val="both"/>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10304</Words>
  <Characters>56672</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Daniela  Reina Martinez</dc:creator>
  <cp:lastModifiedBy>usuario</cp:lastModifiedBy>
  <cp:revision>3</cp:revision>
  <cp:lastPrinted>2016-07-20T19:55:00Z</cp:lastPrinted>
  <dcterms:created xsi:type="dcterms:W3CDTF">2016-07-20T20:01:00Z</dcterms:created>
  <dcterms:modified xsi:type="dcterms:W3CDTF">2016-07-26T20:09:00Z</dcterms:modified>
</cp:coreProperties>
</file>