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162" w:rsidRPr="00615CA6" w:rsidRDefault="003E1162" w:rsidP="003E1162">
      <w:pPr>
        <w:spacing w:before="100" w:beforeAutospacing="1" w:after="100" w:afterAutospacing="1" w:line="240" w:lineRule="auto"/>
        <w:rPr>
          <w:rFonts w:ascii="Bookman Old Style" w:eastAsia="Times New Roman" w:hAnsi="Bookman Old Style" w:cs="Times New Roman"/>
          <w:b/>
          <w:bCs/>
          <w:sz w:val="24"/>
          <w:szCs w:val="24"/>
          <w:lang w:eastAsia="es-CO"/>
        </w:rPr>
      </w:pPr>
      <w:bookmarkStart w:id="0" w:name="_GoBack"/>
      <w:bookmarkEnd w:id="0"/>
      <w:r w:rsidRPr="00615CA6">
        <w:rPr>
          <w:rFonts w:ascii="Bookman Old Style" w:eastAsia="Times New Roman" w:hAnsi="Bookman Old Style" w:cs="Times New Roman"/>
          <w:b/>
          <w:bCs/>
          <w:sz w:val="24"/>
          <w:szCs w:val="24"/>
          <w:lang w:eastAsia="es-CO"/>
        </w:rPr>
        <w:t xml:space="preserve">Bogotá D.C, </w:t>
      </w:r>
      <w:r w:rsidR="0051774E">
        <w:rPr>
          <w:rFonts w:ascii="Bookman Old Style" w:eastAsia="Times New Roman" w:hAnsi="Bookman Old Style" w:cs="Times New Roman"/>
          <w:b/>
          <w:bCs/>
          <w:sz w:val="24"/>
          <w:szCs w:val="24"/>
          <w:lang w:eastAsia="es-CO"/>
        </w:rPr>
        <w:t xml:space="preserve">Julio 20 </w:t>
      </w:r>
      <w:r w:rsidRPr="00615CA6">
        <w:rPr>
          <w:rFonts w:ascii="Bookman Old Style" w:eastAsia="Times New Roman" w:hAnsi="Bookman Old Style" w:cs="Times New Roman"/>
          <w:b/>
          <w:bCs/>
          <w:sz w:val="24"/>
          <w:szCs w:val="24"/>
          <w:lang w:eastAsia="es-CO"/>
        </w:rPr>
        <w:t xml:space="preserve">de 2017 </w:t>
      </w:r>
    </w:p>
    <w:p w:rsidR="008F7226" w:rsidRDefault="008F7226" w:rsidP="003E1162">
      <w:pPr>
        <w:spacing w:after="0" w:line="240" w:lineRule="auto"/>
        <w:rPr>
          <w:rFonts w:ascii="Bookman Old Style" w:eastAsia="Times New Roman" w:hAnsi="Bookman Old Style" w:cs="Times New Roman"/>
          <w:bCs/>
          <w:sz w:val="24"/>
          <w:szCs w:val="24"/>
          <w:lang w:eastAsia="es-CO"/>
        </w:rPr>
      </w:pPr>
    </w:p>
    <w:p w:rsidR="003E1162" w:rsidRPr="00615CA6" w:rsidRDefault="003E1162" w:rsidP="003E1162">
      <w:pPr>
        <w:spacing w:after="0" w:line="240" w:lineRule="auto"/>
        <w:rPr>
          <w:rFonts w:ascii="Bookman Old Style" w:eastAsia="Times New Roman" w:hAnsi="Bookman Old Style" w:cs="Times New Roman"/>
          <w:bCs/>
          <w:sz w:val="24"/>
          <w:szCs w:val="24"/>
          <w:lang w:eastAsia="es-CO"/>
        </w:rPr>
      </w:pPr>
      <w:r w:rsidRPr="00615CA6">
        <w:rPr>
          <w:rFonts w:ascii="Bookman Old Style" w:eastAsia="Times New Roman" w:hAnsi="Bookman Old Style" w:cs="Times New Roman"/>
          <w:bCs/>
          <w:sz w:val="24"/>
          <w:szCs w:val="24"/>
          <w:lang w:eastAsia="es-CO"/>
        </w:rPr>
        <w:t xml:space="preserve">Doctor: </w:t>
      </w:r>
    </w:p>
    <w:p w:rsidR="00077D70" w:rsidRDefault="00077D70" w:rsidP="003E1162">
      <w:pPr>
        <w:spacing w:after="0" w:line="240" w:lineRule="auto"/>
        <w:rPr>
          <w:rFonts w:ascii="Bookman Old Style" w:eastAsia="Times New Roman" w:hAnsi="Bookman Old Style" w:cs="Times New Roman"/>
          <w:b/>
          <w:bCs/>
          <w:sz w:val="24"/>
          <w:szCs w:val="24"/>
          <w:lang w:eastAsia="es-CO"/>
        </w:rPr>
      </w:pPr>
      <w:r>
        <w:rPr>
          <w:rFonts w:ascii="Bookman Old Style" w:eastAsia="Times New Roman" w:hAnsi="Bookman Old Style" w:cs="Times New Roman"/>
          <w:b/>
          <w:bCs/>
          <w:sz w:val="24"/>
          <w:szCs w:val="24"/>
          <w:lang w:eastAsia="es-CO"/>
        </w:rPr>
        <w:t xml:space="preserve">Jorge Humberto Mantilla  Serrano </w:t>
      </w:r>
    </w:p>
    <w:p w:rsidR="003E1162" w:rsidRPr="00615CA6" w:rsidRDefault="003E1162" w:rsidP="003E1162">
      <w:pPr>
        <w:spacing w:after="0" w:line="240" w:lineRule="auto"/>
        <w:rPr>
          <w:rFonts w:ascii="Bookman Old Style" w:eastAsia="Times New Roman" w:hAnsi="Bookman Old Style" w:cs="Times New Roman"/>
          <w:bCs/>
          <w:sz w:val="24"/>
          <w:szCs w:val="24"/>
          <w:lang w:eastAsia="es-CO"/>
        </w:rPr>
      </w:pPr>
      <w:r w:rsidRPr="00615CA6">
        <w:rPr>
          <w:rFonts w:ascii="Bookman Old Style" w:eastAsia="Times New Roman" w:hAnsi="Bookman Old Style" w:cs="Times New Roman"/>
          <w:bCs/>
          <w:sz w:val="24"/>
          <w:szCs w:val="24"/>
          <w:lang w:eastAsia="es-CO"/>
        </w:rPr>
        <w:t xml:space="preserve">Secretario General </w:t>
      </w:r>
    </w:p>
    <w:p w:rsidR="00077D70" w:rsidRDefault="00077D70" w:rsidP="003E1162">
      <w:pPr>
        <w:spacing w:after="0" w:line="240" w:lineRule="auto"/>
        <w:rPr>
          <w:rFonts w:ascii="Bookman Old Style" w:eastAsia="Times New Roman" w:hAnsi="Bookman Old Style" w:cs="Times New Roman"/>
          <w:bCs/>
          <w:sz w:val="24"/>
          <w:szCs w:val="24"/>
          <w:lang w:eastAsia="es-CO"/>
        </w:rPr>
      </w:pPr>
      <w:r>
        <w:rPr>
          <w:rFonts w:ascii="Bookman Old Style" w:eastAsia="Times New Roman" w:hAnsi="Bookman Old Style" w:cs="Times New Roman"/>
          <w:bCs/>
          <w:sz w:val="24"/>
          <w:szCs w:val="24"/>
          <w:lang w:eastAsia="es-CO"/>
        </w:rPr>
        <w:t>Cámara de Representantes</w:t>
      </w:r>
    </w:p>
    <w:p w:rsidR="003E1162" w:rsidRPr="00615CA6" w:rsidRDefault="003E1162" w:rsidP="003E1162">
      <w:pPr>
        <w:spacing w:after="0" w:line="240" w:lineRule="auto"/>
        <w:rPr>
          <w:rFonts w:ascii="Bookman Old Style" w:eastAsia="Times New Roman" w:hAnsi="Bookman Old Style" w:cs="Times New Roman"/>
          <w:bCs/>
          <w:sz w:val="24"/>
          <w:szCs w:val="24"/>
          <w:lang w:eastAsia="es-CO"/>
        </w:rPr>
      </w:pPr>
      <w:r w:rsidRPr="00615CA6">
        <w:rPr>
          <w:rFonts w:ascii="Bookman Old Style" w:eastAsia="Times New Roman" w:hAnsi="Bookman Old Style" w:cs="Times New Roman"/>
          <w:bCs/>
          <w:sz w:val="24"/>
          <w:szCs w:val="24"/>
          <w:lang w:eastAsia="es-CO"/>
        </w:rPr>
        <w:t xml:space="preserve">Capitolio Nacional </w:t>
      </w:r>
    </w:p>
    <w:p w:rsidR="003E1162" w:rsidRPr="00615CA6" w:rsidRDefault="003E1162" w:rsidP="003E1162">
      <w:pPr>
        <w:spacing w:after="0" w:line="240" w:lineRule="auto"/>
        <w:rPr>
          <w:rFonts w:ascii="Bookman Old Style" w:eastAsia="Times New Roman" w:hAnsi="Bookman Old Style" w:cs="Times New Roman"/>
          <w:bCs/>
          <w:sz w:val="24"/>
          <w:szCs w:val="24"/>
          <w:lang w:eastAsia="es-CO"/>
        </w:rPr>
      </w:pPr>
      <w:r w:rsidRPr="00615CA6">
        <w:rPr>
          <w:rFonts w:ascii="Bookman Old Style" w:eastAsia="Times New Roman" w:hAnsi="Bookman Old Style" w:cs="Times New Roman"/>
          <w:bCs/>
          <w:sz w:val="24"/>
          <w:szCs w:val="24"/>
          <w:lang w:eastAsia="es-CO"/>
        </w:rPr>
        <w:t xml:space="preserve">Ciudad </w:t>
      </w:r>
    </w:p>
    <w:p w:rsidR="003E1162" w:rsidRPr="00615CA6" w:rsidRDefault="003E1162" w:rsidP="003E1162">
      <w:pPr>
        <w:spacing w:after="0" w:line="240" w:lineRule="auto"/>
        <w:rPr>
          <w:rFonts w:ascii="Bookman Old Style" w:eastAsia="Times New Roman" w:hAnsi="Bookman Old Style" w:cs="Times New Roman"/>
          <w:b/>
          <w:bCs/>
          <w:sz w:val="24"/>
          <w:szCs w:val="24"/>
          <w:lang w:eastAsia="es-CO"/>
        </w:rPr>
      </w:pPr>
    </w:p>
    <w:p w:rsidR="003E1162" w:rsidRPr="00615CA6" w:rsidRDefault="003E1162" w:rsidP="003E1162">
      <w:pPr>
        <w:spacing w:before="100" w:beforeAutospacing="1" w:after="100" w:afterAutospacing="1" w:line="240" w:lineRule="auto"/>
        <w:jc w:val="both"/>
        <w:rPr>
          <w:rFonts w:ascii="Bookman Old Style" w:eastAsia="Times New Roman" w:hAnsi="Bookman Old Style" w:cs="Times New Roman"/>
          <w:b/>
          <w:bCs/>
          <w:i/>
          <w:kern w:val="36"/>
          <w:sz w:val="24"/>
          <w:szCs w:val="24"/>
          <w:lang w:eastAsia="es-CO"/>
        </w:rPr>
      </w:pPr>
      <w:r w:rsidRPr="00615CA6">
        <w:rPr>
          <w:rFonts w:ascii="Bookman Old Style" w:eastAsia="Times New Roman" w:hAnsi="Bookman Old Style" w:cs="Times New Roman"/>
          <w:b/>
          <w:bCs/>
          <w:sz w:val="24"/>
          <w:szCs w:val="24"/>
          <w:lang w:eastAsia="es-CO"/>
        </w:rPr>
        <w:t xml:space="preserve">Referencia: </w:t>
      </w:r>
      <w:r w:rsidRPr="00615CA6">
        <w:rPr>
          <w:rFonts w:ascii="Bookman Old Style" w:eastAsia="Times New Roman" w:hAnsi="Bookman Old Style" w:cs="Times New Roman"/>
          <w:bCs/>
          <w:sz w:val="24"/>
          <w:szCs w:val="24"/>
          <w:lang w:eastAsia="es-CO"/>
        </w:rPr>
        <w:t>Radicación Proyecto de Ley</w:t>
      </w:r>
      <w:r w:rsidRPr="00615CA6">
        <w:rPr>
          <w:rFonts w:ascii="Bookman Old Style" w:eastAsia="Times New Roman" w:hAnsi="Bookman Old Style" w:cs="Times New Roman"/>
          <w:b/>
          <w:bCs/>
          <w:sz w:val="24"/>
          <w:szCs w:val="24"/>
          <w:lang w:eastAsia="es-CO"/>
        </w:rPr>
        <w:t xml:space="preserve"> “</w:t>
      </w:r>
      <w:r w:rsidRPr="00615CA6">
        <w:rPr>
          <w:rFonts w:ascii="Bookman Old Style" w:hAnsi="Bookman Old Style" w:cs="Times New Roman"/>
          <w:b/>
          <w:i/>
          <w:sz w:val="24"/>
        </w:rPr>
        <w:t>Por medio de la cual se modifica el artículo 563 de la Ley 906 de 2004, adicionado por la Ley 1826 de 2017,</w:t>
      </w:r>
      <w:r w:rsidRPr="00615CA6">
        <w:rPr>
          <w:rFonts w:ascii="Bookman Old Style" w:hAnsi="Bookman Old Style" w:cs="Times New Roman"/>
          <w:sz w:val="24"/>
        </w:rPr>
        <w:t xml:space="preserve"> y se dictan otras disposiciones</w:t>
      </w:r>
      <w:r w:rsidRPr="00615CA6">
        <w:rPr>
          <w:rFonts w:ascii="Bookman Old Style" w:eastAsia="Times New Roman" w:hAnsi="Bookman Old Style" w:cs="Times New Roman"/>
          <w:b/>
          <w:bCs/>
          <w:i/>
          <w:kern w:val="36"/>
          <w:sz w:val="24"/>
          <w:szCs w:val="24"/>
          <w:lang w:eastAsia="es-CO"/>
        </w:rPr>
        <w:t>”</w:t>
      </w:r>
    </w:p>
    <w:p w:rsidR="003E1162" w:rsidRPr="00615CA6" w:rsidRDefault="003E1162" w:rsidP="003E1162">
      <w:pPr>
        <w:spacing w:before="100" w:beforeAutospacing="1" w:after="100" w:afterAutospacing="1" w:line="240" w:lineRule="auto"/>
        <w:jc w:val="both"/>
        <w:rPr>
          <w:rFonts w:ascii="Bookman Old Style" w:eastAsia="Times New Roman" w:hAnsi="Bookman Old Style" w:cs="Times New Roman"/>
          <w:b/>
          <w:bCs/>
          <w:i/>
          <w:kern w:val="36"/>
          <w:sz w:val="24"/>
          <w:szCs w:val="24"/>
          <w:lang w:eastAsia="es-CO"/>
        </w:rPr>
      </w:pPr>
    </w:p>
    <w:p w:rsidR="003E1162" w:rsidRPr="00615CA6" w:rsidRDefault="003E1162" w:rsidP="003E1162">
      <w:pPr>
        <w:autoSpaceDE w:val="0"/>
        <w:autoSpaceDN w:val="0"/>
        <w:adjustRightInd w:val="0"/>
        <w:spacing w:after="0" w:line="240" w:lineRule="auto"/>
        <w:rPr>
          <w:rFonts w:ascii="Bookman Old Style" w:hAnsi="Bookman Old Style" w:cs="Times New Roman"/>
          <w:color w:val="000000"/>
          <w:sz w:val="24"/>
          <w:szCs w:val="24"/>
        </w:rPr>
      </w:pPr>
      <w:r w:rsidRPr="00615CA6">
        <w:rPr>
          <w:rFonts w:ascii="Bookman Old Style" w:hAnsi="Bookman Old Style" w:cs="Times New Roman"/>
          <w:color w:val="000000"/>
          <w:sz w:val="24"/>
          <w:szCs w:val="24"/>
        </w:rPr>
        <w:t xml:space="preserve">Respetado Secretario: </w:t>
      </w:r>
    </w:p>
    <w:p w:rsidR="003E1162" w:rsidRPr="00615CA6" w:rsidRDefault="003E1162" w:rsidP="003E1162">
      <w:pPr>
        <w:autoSpaceDE w:val="0"/>
        <w:autoSpaceDN w:val="0"/>
        <w:adjustRightInd w:val="0"/>
        <w:spacing w:after="0" w:line="240" w:lineRule="auto"/>
        <w:rPr>
          <w:rFonts w:ascii="Bookman Old Style" w:hAnsi="Bookman Old Style" w:cs="Times New Roman"/>
          <w:color w:val="000000"/>
          <w:sz w:val="24"/>
          <w:szCs w:val="24"/>
        </w:rPr>
      </w:pPr>
    </w:p>
    <w:p w:rsidR="003E1162" w:rsidRPr="00615CA6" w:rsidRDefault="003E1162" w:rsidP="003E1162">
      <w:pPr>
        <w:autoSpaceDE w:val="0"/>
        <w:autoSpaceDN w:val="0"/>
        <w:adjustRightInd w:val="0"/>
        <w:spacing w:after="0" w:line="240" w:lineRule="auto"/>
        <w:rPr>
          <w:rFonts w:ascii="Bookman Old Style" w:hAnsi="Bookman Old Style" w:cs="Times New Roman"/>
          <w:color w:val="000000"/>
          <w:sz w:val="24"/>
          <w:szCs w:val="24"/>
        </w:rPr>
      </w:pPr>
    </w:p>
    <w:p w:rsidR="003E1162" w:rsidRPr="00615CA6" w:rsidRDefault="003E1162" w:rsidP="003E1162">
      <w:pPr>
        <w:autoSpaceDE w:val="0"/>
        <w:autoSpaceDN w:val="0"/>
        <w:adjustRightInd w:val="0"/>
        <w:spacing w:after="0" w:line="240" w:lineRule="auto"/>
        <w:jc w:val="both"/>
        <w:rPr>
          <w:rFonts w:ascii="Bookman Old Style" w:hAnsi="Bookman Old Style" w:cs="Times New Roman"/>
          <w:color w:val="000000"/>
          <w:sz w:val="24"/>
          <w:szCs w:val="24"/>
        </w:rPr>
      </w:pPr>
      <w:r w:rsidRPr="00615CA6">
        <w:rPr>
          <w:rFonts w:ascii="Bookman Old Style" w:hAnsi="Bookman Old Style" w:cs="Times New Roman"/>
          <w:color w:val="000000"/>
          <w:sz w:val="24"/>
          <w:szCs w:val="24"/>
        </w:rPr>
        <w:t xml:space="preserve">Reciba un cordial saludo. De conformidad con lo estipulado en los artículos 139 y 140 de la Ley 5 de 1992 presento a consideración del Senado de la República el Proyecto de Ley </w:t>
      </w:r>
      <w:r w:rsidRPr="00615CA6">
        <w:rPr>
          <w:rFonts w:ascii="Bookman Old Style" w:hAnsi="Bookman Old Style" w:cs="Times New Roman"/>
          <w:b/>
          <w:bCs/>
          <w:color w:val="000000"/>
          <w:sz w:val="24"/>
          <w:szCs w:val="24"/>
        </w:rPr>
        <w:t>“</w:t>
      </w:r>
      <w:r w:rsidRPr="00615CA6">
        <w:rPr>
          <w:rFonts w:ascii="Bookman Old Style" w:hAnsi="Bookman Old Style" w:cs="Times New Roman"/>
          <w:b/>
          <w:i/>
          <w:sz w:val="24"/>
        </w:rPr>
        <w:t>Por medio de la cual se modifica el artículo 563 de la Ley 906 de 2004, adicionado por la Ley 1826 de 2017,</w:t>
      </w:r>
      <w:r w:rsidRPr="00615CA6">
        <w:rPr>
          <w:rFonts w:ascii="Bookman Old Style" w:hAnsi="Bookman Old Style" w:cs="Times New Roman"/>
          <w:sz w:val="24"/>
        </w:rPr>
        <w:t xml:space="preserve"> y se dictan otras disposiciones</w:t>
      </w:r>
      <w:r w:rsidRPr="00615CA6">
        <w:rPr>
          <w:rFonts w:ascii="Bookman Old Style" w:hAnsi="Bookman Old Style" w:cs="Times New Roman"/>
          <w:b/>
          <w:bCs/>
          <w:color w:val="000000"/>
          <w:sz w:val="24"/>
          <w:szCs w:val="24"/>
        </w:rPr>
        <w:t>”</w:t>
      </w:r>
      <w:r w:rsidRPr="00615CA6">
        <w:rPr>
          <w:rFonts w:ascii="Bookman Old Style" w:hAnsi="Bookman Old Style" w:cs="Times New Roman"/>
          <w:color w:val="000000"/>
          <w:sz w:val="24"/>
          <w:szCs w:val="24"/>
        </w:rPr>
        <w:t xml:space="preserve">, iniciativa legislativa que cumple las disposiciones correspondientes al orden en la redacción del proyecto consagradas en el artículo 145 de la citada ley. </w:t>
      </w:r>
    </w:p>
    <w:p w:rsidR="003E1162" w:rsidRPr="00615CA6" w:rsidRDefault="003E1162" w:rsidP="003E1162">
      <w:pPr>
        <w:autoSpaceDE w:val="0"/>
        <w:autoSpaceDN w:val="0"/>
        <w:adjustRightInd w:val="0"/>
        <w:spacing w:after="0" w:line="240" w:lineRule="auto"/>
        <w:rPr>
          <w:rFonts w:ascii="Bookman Old Style" w:hAnsi="Bookman Old Style" w:cs="Times New Roman"/>
          <w:color w:val="000000"/>
          <w:sz w:val="24"/>
          <w:szCs w:val="24"/>
        </w:rPr>
      </w:pPr>
    </w:p>
    <w:p w:rsidR="003E1162" w:rsidRPr="00615CA6" w:rsidRDefault="003E1162" w:rsidP="003E1162">
      <w:pPr>
        <w:autoSpaceDE w:val="0"/>
        <w:autoSpaceDN w:val="0"/>
        <w:adjustRightInd w:val="0"/>
        <w:spacing w:after="0" w:line="240" w:lineRule="auto"/>
        <w:rPr>
          <w:rFonts w:ascii="Bookman Old Style" w:hAnsi="Bookman Old Style" w:cs="Times New Roman"/>
          <w:color w:val="000000"/>
          <w:sz w:val="24"/>
          <w:szCs w:val="24"/>
        </w:rPr>
      </w:pPr>
      <w:r w:rsidRPr="00615CA6">
        <w:rPr>
          <w:rFonts w:ascii="Bookman Old Style" w:hAnsi="Bookman Old Style" w:cs="Times New Roman"/>
          <w:color w:val="000000"/>
          <w:sz w:val="24"/>
          <w:szCs w:val="24"/>
        </w:rPr>
        <w:t xml:space="preserve">Agradezco surtir el trámite legislativo previsto en la Ley 5 de 1992. </w:t>
      </w:r>
    </w:p>
    <w:p w:rsidR="003E1162" w:rsidRPr="00615CA6" w:rsidRDefault="003E1162" w:rsidP="003E1162">
      <w:pPr>
        <w:autoSpaceDE w:val="0"/>
        <w:autoSpaceDN w:val="0"/>
        <w:adjustRightInd w:val="0"/>
        <w:spacing w:after="0" w:line="240" w:lineRule="auto"/>
        <w:rPr>
          <w:rFonts w:ascii="Bookman Old Style" w:hAnsi="Bookman Old Style" w:cs="Times New Roman"/>
          <w:color w:val="000000"/>
          <w:sz w:val="24"/>
          <w:szCs w:val="24"/>
        </w:rPr>
      </w:pPr>
    </w:p>
    <w:p w:rsidR="003E1162" w:rsidRPr="00615CA6" w:rsidRDefault="003E1162" w:rsidP="003E1162">
      <w:pPr>
        <w:autoSpaceDE w:val="0"/>
        <w:autoSpaceDN w:val="0"/>
        <w:adjustRightInd w:val="0"/>
        <w:spacing w:after="0" w:line="240" w:lineRule="auto"/>
        <w:rPr>
          <w:rFonts w:ascii="Bookman Old Style" w:hAnsi="Bookman Old Style" w:cs="Times New Roman"/>
          <w:color w:val="000000"/>
          <w:sz w:val="24"/>
          <w:szCs w:val="24"/>
        </w:rPr>
      </w:pPr>
      <w:r w:rsidRPr="00615CA6">
        <w:rPr>
          <w:rFonts w:ascii="Bookman Old Style" w:hAnsi="Bookman Old Style" w:cs="Times New Roman"/>
          <w:color w:val="000000"/>
          <w:sz w:val="24"/>
          <w:szCs w:val="24"/>
        </w:rPr>
        <w:t xml:space="preserve">Sin otro particular, </w:t>
      </w:r>
    </w:p>
    <w:p w:rsidR="003E1162" w:rsidRPr="00615CA6" w:rsidRDefault="003E1162" w:rsidP="003E1162">
      <w:pPr>
        <w:autoSpaceDE w:val="0"/>
        <w:autoSpaceDN w:val="0"/>
        <w:adjustRightInd w:val="0"/>
        <w:spacing w:after="0" w:line="240" w:lineRule="auto"/>
        <w:rPr>
          <w:rFonts w:ascii="Bookman Old Style" w:hAnsi="Bookman Old Style" w:cs="Times New Roman"/>
          <w:color w:val="000000"/>
          <w:sz w:val="24"/>
          <w:szCs w:val="24"/>
        </w:rPr>
      </w:pPr>
      <w:r w:rsidRPr="00615CA6">
        <w:rPr>
          <w:rFonts w:ascii="Bookman Old Style" w:hAnsi="Bookman Old Style" w:cs="Times New Roman"/>
          <w:color w:val="000000"/>
          <w:sz w:val="24"/>
          <w:szCs w:val="24"/>
        </w:rPr>
        <w:t xml:space="preserve"> </w:t>
      </w:r>
    </w:p>
    <w:p w:rsidR="003E1162" w:rsidRDefault="003E1162" w:rsidP="003E1162">
      <w:pPr>
        <w:jc w:val="both"/>
        <w:rPr>
          <w:rFonts w:ascii="Bookman Old Style" w:hAnsi="Bookman Old Style" w:cs="Times New Roman"/>
          <w:sz w:val="24"/>
        </w:rPr>
      </w:pPr>
    </w:p>
    <w:p w:rsidR="00125160" w:rsidRDefault="00125160" w:rsidP="003E1162">
      <w:pPr>
        <w:jc w:val="both"/>
        <w:rPr>
          <w:rFonts w:ascii="Bookman Old Style" w:hAnsi="Bookman Old Style" w:cs="Times New Roman"/>
          <w:sz w:val="24"/>
        </w:rPr>
      </w:pPr>
    </w:p>
    <w:p w:rsidR="00125160" w:rsidRDefault="00125160" w:rsidP="003E1162">
      <w:pPr>
        <w:jc w:val="both"/>
        <w:rPr>
          <w:rFonts w:ascii="Bookman Old Style" w:hAnsi="Bookman Old Style" w:cs="Times New Roman"/>
          <w:sz w:val="24"/>
        </w:rPr>
      </w:pPr>
    </w:p>
    <w:p w:rsidR="00125160" w:rsidRDefault="00125160" w:rsidP="003E1162">
      <w:pPr>
        <w:jc w:val="both"/>
        <w:rPr>
          <w:rFonts w:ascii="Bookman Old Style" w:hAnsi="Bookman Old Style" w:cs="Times New Roman"/>
          <w:sz w:val="24"/>
        </w:rPr>
      </w:pPr>
    </w:p>
    <w:p w:rsidR="00125160" w:rsidRPr="00125160" w:rsidRDefault="00125160" w:rsidP="00125160">
      <w:pPr>
        <w:pStyle w:val="Sinespaciado"/>
        <w:jc w:val="center"/>
        <w:rPr>
          <w:rFonts w:ascii="Bookman Old Style" w:hAnsi="Bookman Old Style"/>
          <w:b/>
        </w:rPr>
      </w:pPr>
      <w:r w:rsidRPr="00125160">
        <w:rPr>
          <w:rFonts w:ascii="Bookman Old Style" w:hAnsi="Bookman Old Style"/>
          <w:b/>
        </w:rPr>
        <w:t>JAIME ENRIQUE SERRANO PÉREZ</w:t>
      </w:r>
    </w:p>
    <w:p w:rsidR="00125160" w:rsidRPr="00125160" w:rsidRDefault="00125160" w:rsidP="00125160">
      <w:pPr>
        <w:pStyle w:val="Sinespaciado"/>
        <w:jc w:val="center"/>
        <w:rPr>
          <w:rFonts w:ascii="Bookman Old Style" w:hAnsi="Bookman Old Style"/>
        </w:rPr>
      </w:pPr>
      <w:r w:rsidRPr="00125160">
        <w:rPr>
          <w:rFonts w:ascii="Bookman Old Style" w:hAnsi="Bookman Old Style"/>
        </w:rPr>
        <w:t>Representante a la Cámara</w:t>
      </w:r>
    </w:p>
    <w:p w:rsidR="00125160" w:rsidRPr="00125160" w:rsidRDefault="00125160" w:rsidP="00125160">
      <w:pPr>
        <w:pStyle w:val="Sinespaciado"/>
        <w:jc w:val="center"/>
        <w:rPr>
          <w:rFonts w:ascii="Bookman Old Style" w:hAnsi="Bookman Old Style"/>
        </w:rPr>
      </w:pPr>
      <w:r w:rsidRPr="00125160">
        <w:rPr>
          <w:rFonts w:ascii="Bookman Old Style" w:hAnsi="Bookman Old Style"/>
        </w:rPr>
        <w:t>Departamento del Magdalena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25160" w:rsidRPr="00125160" w:rsidTr="008557A3">
        <w:tc>
          <w:tcPr>
            <w:tcW w:w="4414" w:type="dxa"/>
          </w:tcPr>
          <w:p w:rsidR="00125160" w:rsidRPr="00125160" w:rsidRDefault="00125160" w:rsidP="008557A3">
            <w:pPr>
              <w:pStyle w:val="Sinespaciado"/>
              <w:rPr>
                <w:rFonts w:ascii="Bookman Old Style" w:hAnsi="Bookman Old Style"/>
              </w:rPr>
            </w:pPr>
          </w:p>
        </w:tc>
        <w:tc>
          <w:tcPr>
            <w:tcW w:w="4414" w:type="dxa"/>
          </w:tcPr>
          <w:p w:rsidR="00125160" w:rsidRPr="00125160" w:rsidRDefault="00125160" w:rsidP="008557A3">
            <w:pPr>
              <w:pStyle w:val="Sinespaciado"/>
              <w:rPr>
                <w:rFonts w:ascii="Bookman Old Style" w:hAnsi="Bookman Old Style"/>
              </w:rPr>
            </w:pPr>
          </w:p>
        </w:tc>
      </w:tr>
    </w:tbl>
    <w:p w:rsidR="00125160" w:rsidRDefault="00125160" w:rsidP="003E1162">
      <w:pPr>
        <w:jc w:val="both"/>
        <w:rPr>
          <w:rFonts w:ascii="Bookman Old Style" w:hAnsi="Bookman Old Style" w:cs="Times New Roman"/>
          <w:sz w:val="24"/>
        </w:rPr>
      </w:pPr>
    </w:p>
    <w:p w:rsidR="00125160" w:rsidRDefault="00077D70" w:rsidP="003E1162">
      <w:pPr>
        <w:jc w:val="both"/>
        <w:rPr>
          <w:rFonts w:ascii="Bookman Old Style" w:hAnsi="Bookman Old Style" w:cs="Times New Roman"/>
          <w:sz w:val="24"/>
        </w:rPr>
      </w:pPr>
      <w:r>
        <w:rPr>
          <w:rFonts w:ascii="Bookman Old Style" w:hAnsi="Bookman Old Style" w:cs="Times New Roman"/>
          <w:sz w:val="24"/>
        </w:rPr>
        <w:t xml:space="preserve"> </w:t>
      </w:r>
    </w:p>
    <w:p w:rsidR="00EE2A26" w:rsidRPr="00615CA6" w:rsidRDefault="00E06D3C" w:rsidP="00077D70">
      <w:pPr>
        <w:jc w:val="center"/>
        <w:rPr>
          <w:rFonts w:ascii="Bookman Old Style" w:hAnsi="Bookman Old Style" w:cs="Times New Roman"/>
          <w:sz w:val="24"/>
        </w:rPr>
      </w:pPr>
      <w:r w:rsidRPr="00615CA6">
        <w:rPr>
          <w:rFonts w:ascii="Bookman Old Style" w:hAnsi="Bookman Old Style" w:cs="Times New Roman"/>
          <w:sz w:val="24"/>
        </w:rPr>
        <w:lastRenderedPageBreak/>
        <w:t>Proyecto de Ley ___ de 2017 Senado</w:t>
      </w:r>
      <w:r w:rsidR="00EE2A26" w:rsidRPr="00615CA6">
        <w:rPr>
          <w:rFonts w:ascii="Bookman Old Style" w:hAnsi="Bookman Old Style" w:cs="Times New Roman"/>
          <w:sz w:val="24"/>
        </w:rPr>
        <w:t>.</w:t>
      </w:r>
    </w:p>
    <w:p w:rsidR="00EE2A26" w:rsidRPr="00615CA6" w:rsidRDefault="00BD0778" w:rsidP="00077D70">
      <w:pPr>
        <w:jc w:val="center"/>
        <w:rPr>
          <w:rFonts w:ascii="Bookman Old Style" w:hAnsi="Bookman Old Style" w:cs="Times New Roman"/>
          <w:sz w:val="24"/>
        </w:rPr>
      </w:pPr>
      <w:r w:rsidRPr="00615CA6">
        <w:rPr>
          <w:rFonts w:ascii="Bookman Old Style" w:hAnsi="Bookman Old Style" w:cs="Times New Roman"/>
          <w:b/>
          <w:i/>
          <w:sz w:val="24"/>
        </w:rPr>
        <w:t>“</w:t>
      </w:r>
      <w:r w:rsidR="00EB44A6" w:rsidRPr="00615CA6">
        <w:rPr>
          <w:rFonts w:ascii="Bookman Old Style" w:hAnsi="Bookman Old Style" w:cs="Times New Roman"/>
          <w:b/>
          <w:i/>
          <w:sz w:val="24"/>
        </w:rPr>
        <w:t>Por</w:t>
      </w:r>
      <w:r w:rsidR="00EE2A26" w:rsidRPr="00615CA6">
        <w:rPr>
          <w:rFonts w:ascii="Bookman Old Style" w:hAnsi="Bookman Old Style" w:cs="Times New Roman"/>
          <w:b/>
          <w:i/>
          <w:sz w:val="24"/>
        </w:rPr>
        <w:t xml:space="preserve"> medio de la cual se </w:t>
      </w:r>
      <w:r w:rsidRPr="00615CA6">
        <w:rPr>
          <w:rFonts w:ascii="Bookman Old Style" w:hAnsi="Bookman Old Style" w:cs="Times New Roman"/>
          <w:b/>
          <w:i/>
          <w:sz w:val="24"/>
        </w:rPr>
        <w:t>modifica el artículo 563 de la Ley 906</w:t>
      </w:r>
      <w:r w:rsidR="00EB44A6" w:rsidRPr="00615CA6">
        <w:rPr>
          <w:rFonts w:ascii="Bookman Old Style" w:hAnsi="Bookman Old Style" w:cs="Times New Roman"/>
          <w:b/>
          <w:i/>
          <w:sz w:val="24"/>
        </w:rPr>
        <w:t xml:space="preserve"> de 2004, adicionado por la Ley 1826 de 2017,</w:t>
      </w:r>
      <w:r w:rsidR="00EE2A26" w:rsidRPr="00615CA6">
        <w:rPr>
          <w:rFonts w:ascii="Bookman Old Style" w:hAnsi="Bookman Old Style" w:cs="Times New Roman"/>
          <w:sz w:val="24"/>
        </w:rPr>
        <w:t xml:space="preserve"> y se dictan otras disposiciones.</w:t>
      </w:r>
    </w:p>
    <w:p w:rsidR="00EB44A6" w:rsidRPr="00615CA6" w:rsidRDefault="00EB44A6" w:rsidP="00EE2A26">
      <w:pPr>
        <w:jc w:val="center"/>
        <w:rPr>
          <w:rFonts w:ascii="Bookman Old Style" w:hAnsi="Bookman Old Style" w:cs="Times New Roman"/>
          <w:sz w:val="24"/>
        </w:rPr>
      </w:pPr>
    </w:p>
    <w:p w:rsidR="00EE2A26" w:rsidRPr="00615CA6" w:rsidRDefault="00EE2A26" w:rsidP="00EE2A26">
      <w:pPr>
        <w:jc w:val="center"/>
        <w:rPr>
          <w:rFonts w:ascii="Bookman Old Style" w:hAnsi="Bookman Old Style" w:cs="Times New Roman"/>
          <w:sz w:val="24"/>
        </w:rPr>
      </w:pPr>
      <w:r w:rsidRPr="00615CA6">
        <w:rPr>
          <w:rFonts w:ascii="Bookman Old Style" w:hAnsi="Bookman Old Style" w:cs="Times New Roman"/>
          <w:sz w:val="24"/>
        </w:rPr>
        <w:t>El Congreso de Colombia</w:t>
      </w:r>
    </w:p>
    <w:p w:rsidR="00375E9F" w:rsidRPr="00615CA6" w:rsidRDefault="00EE2A26" w:rsidP="00EE2A26">
      <w:pPr>
        <w:jc w:val="center"/>
        <w:rPr>
          <w:rFonts w:ascii="Bookman Old Style" w:hAnsi="Bookman Old Style" w:cs="Times New Roman"/>
          <w:sz w:val="24"/>
        </w:rPr>
      </w:pPr>
      <w:r w:rsidRPr="00615CA6">
        <w:rPr>
          <w:rFonts w:ascii="Bookman Old Style" w:hAnsi="Bookman Old Style" w:cs="Times New Roman"/>
          <w:sz w:val="24"/>
        </w:rPr>
        <w:t>DECRETA:</w:t>
      </w:r>
    </w:p>
    <w:p w:rsidR="00EB44A6" w:rsidRPr="00615CA6" w:rsidRDefault="00EB44A6" w:rsidP="00077D70">
      <w:pPr>
        <w:jc w:val="both"/>
        <w:rPr>
          <w:rFonts w:ascii="Bookman Old Style" w:hAnsi="Bookman Old Style" w:cs="Times New Roman"/>
          <w:sz w:val="24"/>
        </w:rPr>
      </w:pPr>
      <w:r w:rsidRPr="00615CA6">
        <w:rPr>
          <w:rFonts w:ascii="Bookman Old Style" w:hAnsi="Bookman Old Style" w:cs="Times New Roman"/>
          <w:b/>
          <w:sz w:val="24"/>
        </w:rPr>
        <w:t>Artículo 1</w:t>
      </w:r>
      <w:r w:rsidR="00E06D3C" w:rsidRPr="00615CA6">
        <w:rPr>
          <w:rFonts w:ascii="Bookman Old Style" w:hAnsi="Bookman Old Style" w:cs="Times New Roman"/>
          <w:b/>
          <w:sz w:val="24"/>
        </w:rPr>
        <w:t>°.</w:t>
      </w:r>
      <w:r w:rsidRPr="00615CA6">
        <w:rPr>
          <w:rFonts w:ascii="Bookman Old Style" w:hAnsi="Bookman Old Style" w:cs="Times New Roman"/>
          <w:sz w:val="24"/>
        </w:rPr>
        <w:t xml:space="preserve"> Modifíquese el artículo 563 de la Ley 906 del 2004,</w:t>
      </w:r>
      <w:r w:rsidR="000066EC" w:rsidRPr="000066EC">
        <w:rPr>
          <w:rFonts w:ascii="Bookman Old Style" w:hAnsi="Bookman Old Style" w:cs="Times New Roman"/>
          <w:sz w:val="24"/>
        </w:rPr>
        <w:t xml:space="preserve"> </w:t>
      </w:r>
      <w:r w:rsidR="000066EC" w:rsidRPr="000066EC">
        <w:rPr>
          <w:rFonts w:ascii="Bookman Old Style" w:hAnsi="Bookman Old Style" w:cs="Times New Roman"/>
          <w:i/>
          <w:sz w:val="24"/>
        </w:rPr>
        <w:t>adicionado por la Ley 1826 de 2017¸</w:t>
      </w:r>
      <w:r w:rsidRPr="00615CA6">
        <w:rPr>
          <w:rFonts w:ascii="Bookman Old Style" w:hAnsi="Bookman Old Style" w:cs="Times New Roman"/>
          <w:sz w:val="24"/>
        </w:rPr>
        <w:t xml:space="preserve"> el cual </w:t>
      </w:r>
      <w:r w:rsidR="00E06D3C" w:rsidRPr="00615CA6">
        <w:rPr>
          <w:rFonts w:ascii="Bookman Old Style" w:hAnsi="Bookman Old Style" w:cs="Times New Roman"/>
          <w:sz w:val="24"/>
        </w:rPr>
        <w:t>tendrá un nuevo parágrafo así:</w:t>
      </w:r>
    </w:p>
    <w:p w:rsidR="00E06D3C" w:rsidRPr="00615CA6" w:rsidRDefault="00E06D3C" w:rsidP="00E06D3C">
      <w:pPr>
        <w:jc w:val="both"/>
        <w:rPr>
          <w:rFonts w:ascii="Bookman Old Style" w:hAnsi="Bookman Old Style" w:cs="Times New Roman"/>
          <w:sz w:val="24"/>
        </w:rPr>
      </w:pPr>
      <w:r w:rsidRPr="00615CA6">
        <w:rPr>
          <w:rFonts w:ascii="Bookman Old Style" w:hAnsi="Bookman Old Style" w:cs="Times New Roman"/>
          <w:b/>
          <w:sz w:val="24"/>
        </w:rPr>
        <w:t>Artículo 563</w:t>
      </w:r>
      <w:r w:rsidRPr="00615CA6">
        <w:rPr>
          <w:rFonts w:ascii="Bookman Old Style" w:hAnsi="Bookman Old Style" w:cs="Times New Roman"/>
          <w:sz w:val="24"/>
        </w:rPr>
        <w:t>. Destrucción del objeto material del delito. En las actuaciones por conductas punibles en las que se empleen como medios o instrumentos para su comisión, armas de fuego o armas blancas, una vez cumplidas las previsiones de este código relativas a la cadena de custodia y después de ser examinadas por peritos para los fines investigativos pertinentes, se procederá a su destrucción previa orden del fiscal de conocimiento, siempre que no sean requeridas en la actuación a su cargo.</w:t>
      </w:r>
    </w:p>
    <w:p w:rsidR="00E06D3C" w:rsidRPr="00615CA6" w:rsidRDefault="00E06D3C" w:rsidP="00E06D3C">
      <w:pPr>
        <w:jc w:val="both"/>
        <w:rPr>
          <w:rFonts w:ascii="Bookman Old Style" w:hAnsi="Bookman Old Style" w:cs="Times New Roman"/>
          <w:sz w:val="24"/>
        </w:rPr>
      </w:pPr>
      <w:r w:rsidRPr="00615CA6">
        <w:rPr>
          <w:rFonts w:ascii="Bookman Old Style" w:hAnsi="Bookman Old Style" w:cs="Times New Roman"/>
          <w:b/>
          <w:sz w:val="24"/>
        </w:rPr>
        <w:t>Parágrafo.</w:t>
      </w:r>
      <w:r w:rsidRPr="00615CA6">
        <w:rPr>
          <w:rFonts w:ascii="Bookman Old Style" w:hAnsi="Bookman Old Style" w:cs="Times New Roman"/>
          <w:sz w:val="24"/>
        </w:rPr>
        <w:t xml:space="preserve"> La Fiscalía General de la Nación aplicará el procedimiento previsto en este artículo para las armas de fuego o armas blancas que actualmente se encuentran a su disposición.</w:t>
      </w:r>
    </w:p>
    <w:p w:rsidR="00E44F67" w:rsidRPr="00615CA6" w:rsidRDefault="00E44F67" w:rsidP="00E06D3C">
      <w:pPr>
        <w:jc w:val="both"/>
        <w:rPr>
          <w:rFonts w:ascii="Bookman Old Style" w:hAnsi="Bookman Old Style" w:cs="Times New Roman"/>
          <w:sz w:val="24"/>
          <w:u w:val="single"/>
        </w:rPr>
      </w:pPr>
      <w:r w:rsidRPr="00615CA6">
        <w:rPr>
          <w:rFonts w:ascii="Bookman Old Style" w:hAnsi="Bookman Old Style" w:cs="Times New Roman"/>
          <w:b/>
          <w:sz w:val="24"/>
          <w:u w:val="single"/>
        </w:rPr>
        <w:t xml:space="preserve">Parágrafo Nuevo. </w:t>
      </w:r>
      <w:r w:rsidR="00125160" w:rsidRPr="00013431">
        <w:rPr>
          <w:rFonts w:ascii="Bookman Old Style" w:hAnsi="Bookman Old Style" w:cs="Times New Roman"/>
          <w:sz w:val="24"/>
          <w:u w:val="single"/>
        </w:rPr>
        <w:t xml:space="preserve">Hasta un diez </w:t>
      </w:r>
      <w:r w:rsidR="003940A6">
        <w:rPr>
          <w:rFonts w:ascii="Bookman Old Style" w:hAnsi="Bookman Old Style" w:cs="Times New Roman"/>
          <w:sz w:val="24"/>
          <w:u w:val="single"/>
        </w:rPr>
        <w:t>(</w:t>
      </w:r>
      <w:r w:rsidR="00125160" w:rsidRPr="00013431">
        <w:rPr>
          <w:rFonts w:ascii="Bookman Old Style" w:hAnsi="Bookman Old Style" w:cs="Times New Roman"/>
          <w:sz w:val="24"/>
          <w:u w:val="single"/>
        </w:rPr>
        <w:t>10</w:t>
      </w:r>
      <w:r w:rsidR="003940A6">
        <w:rPr>
          <w:rFonts w:ascii="Bookman Old Style" w:hAnsi="Bookman Old Style" w:cs="Times New Roman"/>
          <w:sz w:val="24"/>
          <w:u w:val="single"/>
        </w:rPr>
        <w:t>)</w:t>
      </w:r>
      <w:r w:rsidR="00125160" w:rsidRPr="00013431">
        <w:rPr>
          <w:rFonts w:ascii="Bookman Old Style" w:hAnsi="Bookman Old Style" w:cs="Times New Roman"/>
          <w:sz w:val="24"/>
          <w:u w:val="single"/>
        </w:rPr>
        <w:t xml:space="preserve"> por ciento de las</w:t>
      </w:r>
      <w:r w:rsidR="00125160" w:rsidRPr="00125160">
        <w:rPr>
          <w:rFonts w:ascii="Bookman Old Style" w:hAnsi="Bookman Old Style" w:cs="Times New Roman"/>
          <w:sz w:val="24"/>
          <w:u w:val="single"/>
        </w:rPr>
        <w:t xml:space="preserve"> armas </w:t>
      </w:r>
      <w:r w:rsidR="00125160">
        <w:rPr>
          <w:rFonts w:ascii="Bookman Old Style" w:hAnsi="Bookman Old Style" w:cs="Times New Roman"/>
          <w:sz w:val="24"/>
          <w:u w:val="single"/>
        </w:rPr>
        <w:t xml:space="preserve">de fuego </w:t>
      </w:r>
      <w:r w:rsidR="00125160" w:rsidRPr="00125160">
        <w:rPr>
          <w:rFonts w:ascii="Bookman Old Style" w:hAnsi="Bookman Old Style" w:cs="Times New Roman"/>
          <w:sz w:val="24"/>
          <w:u w:val="single"/>
        </w:rPr>
        <w:t>entregadas por la Fiscalía General de la Nación</w:t>
      </w:r>
      <w:r w:rsidR="00125160">
        <w:rPr>
          <w:rFonts w:ascii="Bookman Old Style" w:hAnsi="Bookman Old Style" w:cs="Times New Roman"/>
          <w:sz w:val="24"/>
          <w:u w:val="single"/>
        </w:rPr>
        <w:t xml:space="preserve"> al </w:t>
      </w:r>
      <w:r w:rsidR="00013431">
        <w:rPr>
          <w:rFonts w:ascii="Bookman Old Style" w:hAnsi="Bookman Old Style" w:cs="Times New Roman"/>
          <w:sz w:val="24"/>
          <w:u w:val="single"/>
        </w:rPr>
        <w:t xml:space="preserve">Ministerio de Defensa </w:t>
      </w:r>
      <w:r w:rsidRPr="00615CA6">
        <w:rPr>
          <w:rFonts w:ascii="Bookman Old Style" w:hAnsi="Bookman Old Style" w:cs="Times New Roman"/>
          <w:sz w:val="24"/>
          <w:u w:val="single"/>
        </w:rPr>
        <w:t>no serán destruidas</w:t>
      </w:r>
      <w:r w:rsidR="003940A6">
        <w:rPr>
          <w:rFonts w:ascii="Bookman Old Style" w:hAnsi="Bookman Old Style" w:cs="Times New Roman"/>
          <w:sz w:val="24"/>
          <w:u w:val="single"/>
        </w:rPr>
        <w:t xml:space="preserve"> y </w:t>
      </w:r>
      <w:r w:rsidR="00125160">
        <w:rPr>
          <w:rFonts w:ascii="Bookman Old Style" w:hAnsi="Bookman Old Style" w:cs="Times New Roman"/>
          <w:sz w:val="24"/>
          <w:u w:val="single"/>
        </w:rPr>
        <w:t xml:space="preserve">serán </w:t>
      </w:r>
      <w:r w:rsidR="007A0C02" w:rsidRPr="00615CA6">
        <w:rPr>
          <w:rFonts w:ascii="Bookman Old Style" w:hAnsi="Bookman Old Style" w:cs="Times New Roman"/>
          <w:sz w:val="24"/>
          <w:u w:val="single"/>
        </w:rPr>
        <w:t xml:space="preserve">asignadas </w:t>
      </w:r>
      <w:r w:rsidR="00013431">
        <w:rPr>
          <w:rFonts w:ascii="Bookman Old Style" w:hAnsi="Bookman Old Style" w:cs="Times New Roman"/>
          <w:sz w:val="24"/>
          <w:u w:val="single"/>
        </w:rPr>
        <w:t>por e</w:t>
      </w:r>
      <w:r w:rsidR="00013431" w:rsidRPr="00615CA6">
        <w:rPr>
          <w:rFonts w:ascii="Bookman Old Style" w:hAnsi="Bookman Old Style" w:cs="Times New Roman"/>
          <w:sz w:val="24"/>
          <w:u w:val="single"/>
        </w:rPr>
        <w:t>l Departamento Control Comercio de Armas Municiones y Explosivos (DCCA</w:t>
      </w:r>
      <w:r w:rsidR="00013431">
        <w:rPr>
          <w:rFonts w:ascii="Bookman Old Style" w:hAnsi="Bookman Old Style" w:cs="Times New Roman"/>
          <w:sz w:val="24"/>
          <w:u w:val="single"/>
        </w:rPr>
        <w:t>)</w:t>
      </w:r>
      <w:r w:rsidR="003940A6">
        <w:rPr>
          <w:rFonts w:ascii="Bookman Old Style" w:hAnsi="Bookman Old Style" w:cs="Times New Roman"/>
          <w:sz w:val="24"/>
          <w:u w:val="single"/>
        </w:rPr>
        <w:t xml:space="preserve">, </w:t>
      </w:r>
      <w:r w:rsidR="00013431">
        <w:rPr>
          <w:rFonts w:ascii="Bookman Old Style" w:hAnsi="Bookman Old Style" w:cs="Times New Roman"/>
          <w:sz w:val="24"/>
          <w:u w:val="single"/>
        </w:rPr>
        <w:t xml:space="preserve"> </w:t>
      </w:r>
      <w:r w:rsidR="007A0C02" w:rsidRPr="00615CA6">
        <w:rPr>
          <w:rFonts w:ascii="Bookman Old Style" w:hAnsi="Bookman Old Style" w:cs="Times New Roman"/>
          <w:sz w:val="24"/>
          <w:u w:val="single"/>
        </w:rPr>
        <w:t>al personal activo y</w:t>
      </w:r>
      <w:r w:rsidR="003940A6">
        <w:rPr>
          <w:rFonts w:ascii="Bookman Old Style" w:hAnsi="Bookman Old Style" w:cs="Times New Roman"/>
          <w:sz w:val="24"/>
          <w:u w:val="single"/>
        </w:rPr>
        <w:t xml:space="preserve"> retirado </w:t>
      </w:r>
      <w:r w:rsidRPr="00615CA6">
        <w:rPr>
          <w:rFonts w:ascii="Bookman Old Style" w:hAnsi="Bookman Old Style" w:cs="Times New Roman"/>
          <w:sz w:val="24"/>
          <w:u w:val="single"/>
        </w:rPr>
        <w:t>de la</w:t>
      </w:r>
      <w:r w:rsidR="007A0C02" w:rsidRPr="00615CA6">
        <w:rPr>
          <w:rFonts w:ascii="Bookman Old Style" w:hAnsi="Bookman Old Style" w:cs="Times New Roman"/>
          <w:sz w:val="24"/>
          <w:u w:val="single"/>
        </w:rPr>
        <w:t>s Fuerzas Armadas y de Policía</w:t>
      </w:r>
      <w:r w:rsidR="00013431">
        <w:rPr>
          <w:rFonts w:ascii="Bookman Old Style" w:hAnsi="Bookman Old Style" w:cs="Times New Roman"/>
          <w:sz w:val="24"/>
          <w:u w:val="single"/>
        </w:rPr>
        <w:t xml:space="preserve"> y </w:t>
      </w:r>
      <w:r w:rsidR="003940A6">
        <w:rPr>
          <w:rFonts w:ascii="Bookman Old Style" w:hAnsi="Bookman Old Style" w:cs="Times New Roman"/>
          <w:sz w:val="24"/>
          <w:u w:val="single"/>
        </w:rPr>
        <w:t xml:space="preserve">demás </w:t>
      </w:r>
      <w:r w:rsidR="00013431">
        <w:rPr>
          <w:rFonts w:ascii="Bookman Old Style" w:hAnsi="Bookman Old Style" w:cs="Times New Roman"/>
          <w:sz w:val="24"/>
          <w:u w:val="single"/>
        </w:rPr>
        <w:t>personas naturales</w:t>
      </w:r>
      <w:r w:rsidR="003940A6">
        <w:rPr>
          <w:rFonts w:ascii="Bookman Old Style" w:hAnsi="Bookman Old Style" w:cs="Times New Roman"/>
          <w:sz w:val="24"/>
          <w:u w:val="single"/>
        </w:rPr>
        <w:t xml:space="preserve"> de conformidad con la reglamentación que para tal efecto se expida. </w:t>
      </w:r>
    </w:p>
    <w:p w:rsidR="00E06D3C" w:rsidRPr="00615CA6" w:rsidRDefault="00E06D3C" w:rsidP="00E06D3C">
      <w:pPr>
        <w:jc w:val="both"/>
        <w:rPr>
          <w:rFonts w:ascii="Bookman Old Style" w:hAnsi="Bookman Old Style" w:cs="Times New Roman"/>
          <w:sz w:val="24"/>
        </w:rPr>
      </w:pPr>
      <w:r w:rsidRPr="00615CA6">
        <w:rPr>
          <w:rFonts w:ascii="Bookman Old Style" w:hAnsi="Bookman Old Style" w:cs="Times New Roman"/>
          <w:b/>
          <w:sz w:val="24"/>
        </w:rPr>
        <w:t>Artículo 2°. Vigencia.</w:t>
      </w:r>
      <w:r w:rsidR="00E44F67" w:rsidRPr="00615CA6">
        <w:rPr>
          <w:rFonts w:ascii="Bookman Old Style" w:hAnsi="Bookman Old Style" w:cs="Times New Roman"/>
          <w:sz w:val="24"/>
        </w:rPr>
        <w:t xml:space="preserve"> La presente ley rige a partir de la fecha de su sanción y promulgación, y deroga todas las disposiciones que le sean contrarias.</w:t>
      </w:r>
    </w:p>
    <w:p w:rsidR="003E1162" w:rsidRPr="00615CA6" w:rsidRDefault="003E1162" w:rsidP="00E06D3C">
      <w:pPr>
        <w:jc w:val="both"/>
        <w:rPr>
          <w:rFonts w:ascii="Bookman Old Style" w:hAnsi="Bookman Old Style" w:cs="Times New Roman"/>
          <w:sz w:val="24"/>
        </w:rPr>
      </w:pPr>
    </w:p>
    <w:p w:rsidR="00E44F67" w:rsidRPr="00615CA6" w:rsidRDefault="003E1162" w:rsidP="00E06D3C">
      <w:pPr>
        <w:jc w:val="both"/>
        <w:rPr>
          <w:rFonts w:ascii="Bookman Old Style" w:hAnsi="Bookman Old Style" w:cs="Times New Roman"/>
          <w:sz w:val="24"/>
        </w:rPr>
      </w:pPr>
      <w:r w:rsidRPr="00615CA6">
        <w:rPr>
          <w:rFonts w:ascii="Bookman Old Style" w:hAnsi="Bookman Old Style" w:cs="Times New Roman"/>
          <w:sz w:val="24"/>
        </w:rPr>
        <w:t xml:space="preserve">De los Honorables Congresistas, </w:t>
      </w:r>
    </w:p>
    <w:p w:rsidR="00125160" w:rsidRDefault="00125160" w:rsidP="00125160">
      <w:pPr>
        <w:pStyle w:val="Sinespaciado"/>
        <w:jc w:val="center"/>
        <w:rPr>
          <w:rFonts w:ascii="Bookman Old Style" w:hAnsi="Bookman Old Style"/>
          <w:b/>
        </w:rPr>
      </w:pPr>
    </w:p>
    <w:p w:rsidR="00125160" w:rsidRDefault="00125160" w:rsidP="00125160">
      <w:pPr>
        <w:pStyle w:val="Sinespaciado"/>
        <w:jc w:val="center"/>
        <w:rPr>
          <w:rFonts w:ascii="Bookman Old Style" w:hAnsi="Bookman Old Style"/>
          <w:b/>
        </w:rPr>
      </w:pPr>
    </w:p>
    <w:p w:rsidR="0051774E" w:rsidRDefault="0051774E" w:rsidP="00125160">
      <w:pPr>
        <w:pStyle w:val="Sinespaciado"/>
        <w:jc w:val="center"/>
        <w:rPr>
          <w:rFonts w:ascii="Bookman Old Style" w:hAnsi="Bookman Old Style"/>
          <w:b/>
        </w:rPr>
      </w:pPr>
    </w:p>
    <w:p w:rsidR="00125160" w:rsidRDefault="00125160" w:rsidP="00125160">
      <w:pPr>
        <w:pStyle w:val="Sinespaciado"/>
        <w:jc w:val="center"/>
        <w:rPr>
          <w:rFonts w:ascii="Bookman Old Style" w:hAnsi="Bookman Old Style"/>
          <w:b/>
        </w:rPr>
      </w:pPr>
    </w:p>
    <w:p w:rsidR="00125160" w:rsidRPr="00125160" w:rsidRDefault="00125160" w:rsidP="00125160">
      <w:pPr>
        <w:pStyle w:val="Sinespaciado"/>
        <w:jc w:val="center"/>
        <w:rPr>
          <w:rFonts w:ascii="Bookman Old Style" w:hAnsi="Bookman Old Style"/>
          <w:b/>
        </w:rPr>
      </w:pPr>
      <w:r w:rsidRPr="00125160">
        <w:rPr>
          <w:rFonts w:ascii="Bookman Old Style" w:hAnsi="Bookman Old Style"/>
          <w:b/>
        </w:rPr>
        <w:t>JAIME ENRIQUE SERRANO PÉREZ</w:t>
      </w:r>
    </w:p>
    <w:p w:rsidR="00125160" w:rsidRPr="00125160" w:rsidRDefault="00125160" w:rsidP="00125160">
      <w:pPr>
        <w:pStyle w:val="Sinespaciado"/>
        <w:jc w:val="center"/>
        <w:rPr>
          <w:rFonts w:ascii="Bookman Old Style" w:hAnsi="Bookman Old Style"/>
        </w:rPr>
      </w:pPr>
      <w:r w:rsidRPr="00125160">
        <w:rPr>
          <w:rFonts w:ascii="Bookman Old Style" w:hAnsi="Bookman Old Style"/>
        </w:rPr>
        <w:t>Representante a la Cámara</w:t>
      </w:r>
    </w:p>
    <w:p w:rsidR="00125160" w:rsidRPr="00125160" w:rsidRDefault="00125160" w:rsidP="00125160">
      <w:pPr>
        <w:pStyle w:val="Sinespaciado"/>
        <w:jc w:val="center"/>
        <w:rPr>
          <w:rFonts w:ascii="Bookman Old Style" w:hAnsi="Bookman Old Style"/>
        </w:rPr>
      </w:pPr>
      <w:r w:rsidRPr="00125160">
        <w:rPr>
          <w:rFonts w:ascii="Bookman Old Style" w:hAnsi="Bookman Old Style"/>
        </w:rPr>
        <w:t>Departamento del Magdalena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25160" w:rsidRPr="00125160" w:rsidTr="008557A3">
        <w:tc>
          <w:tcPr>
            <w:tcW w:w="4414" w:type="dxa"/>
          </w:tcPr>
          <w:p w:rsidR="00125160" w:rsidRPr="00125160" w:rsidRDefault="00125160" w:rsidP="008557A3">
            <w:pPr>
              <w:pStyle w:val="Sinespaciado"/>
              <w:rPr>
                <w:rFonts w:ascii="Bookman Old Style" w:hAnsi="Bookman Old Style"/>
              </w:rPr>
            </w:pPr>
          </w:p>
        </w:tc>
        <w:tc>
          <w:tcPr>
            <w:tcW w:w="4414" w:type="dxa"/>
          </w:tcPr>
          <w:p w:rsidR="00125160" w:rsidRPr="00125160" w:rsidRDefault="00125160" w:rsidP="008557A3">
            <w:pPr>
              <w:pStyle w:val="Sinespaciado"/>
              <w:rPr>
                <w:rFonts w:ascii="Bookman Old Style" w:hAnsi="Bookman Old Style"/>
              </w:rPr>
            </w:pPr>
          </w:p>
        </w:tc>
      </w:tr>
      <w:tr w:rsidR="00F94616" w:rsidRPr="00615CA6" w:rsidTr="00F94616">
        <w:tc>
          <w:tcPr>
            <w:tcW w:w="4414" w:type="dxa"/>
          </w:tcPr>
          <w:p w:rsidR="00125160" w:rsidRPr="00615CA6" w:rsidRDefault="00125160" w:rsidP="00F94616">
            <w:pPr>
              <w:jc w:val="center"/>
              <w:rPr>
                <w:rFonts w:ascii="Bookman Old Style" w:hAnsi="Bookman Old Style" w:cs="Times New Roman"/>
                <w:sz w:val="24"/>
              </w:rPr>
            </w:pPr>
          </w:p>
        </w:tc>
        <w:tc>
          <w:tcPr>
            <w:tcW w:w="4414" w:type="dxa"/>
          </w:tcPr>
          <w:p w:rsidR="00F94616" w:rsidRPr="00615CA6" w:rsidRDefault="00F94616" w:rsidP="00125160">
            <w:pPr>
              <w:jc w:val="center"/>
              <w:rPr>
                <w:rFonts w:ascii="Bookman Old Style" w:hAnsi="Bookman Old Style" w:cs="Times New Roman"/>
                <w:sz w:val="24"/>
              </w:rPr>
            </w:pPr>
          </w:p>
        </w:tc>
      </w:tr>
    </w:tbl>
    <w:p w:rsidR="003E1162" w:rsidRPr="00615CA6" w:rsidRDefault="003E1162" w:rsidP="003E1162">
      <w:pPr>
        <w:spacing w:before="57" w:after="57" w:line="288" w:lineRule="atLeast"/>
        <w:jc w:val="center"/>
        <w:textAlignment w:val="center"/>
        <w:rPr>
          <w:rFonts w:ascii="Bookman Old Style" w:eastAsia="Times New Roman" w:hAnsi="Bookman Old Style" w:cs="Times New Roman"/>
          <w:b/>
          <w:bCs/>
          <w:color w:val="000000"/>
          <w:sz w:val="24"/>
          <w:szCs w:val="24"/>
          <w:lang w:val="es-ES_tradnl" w:eastAsia="es-CO"/>
        </w:rPr>
      </w:pPr>
      <w:r w:rsidRPr="00615CA6">
        <w:rPr>
          <w:rFonts w:ascii="Bookman Old Style" w:eastAsia="Times New Roman" w:hAnsi="Bookman Old Style" w:cs="Times New Roman"/>
          <w:b/>
          <w:bCs/>
          <w:color w:val="000000"/>
          <w:sz w:val="24"/>
          <w:szCs w:val="24"/>
          <w:lang w:val="es-ES_tradnl" w:eastAsia="es-CO"/>
        </w:rPr>
        <w:t>EXPOSICIÓN DE MOTIVOS</w:t>
      </w:r>
    </w:p>
    <w:p w:rsidR="003E1162" w:rsidRPr="00615CA6" w:rsidRDefault="003E1162" w:rsidP="003E1162">
      <w:pPr>
        <w:jc w:val="center"/>
        <w:rPr>
          <w:rFonts w:ascii="Bookman Old Style" w:hAnsi="Bookman Old Style" w:cs="Times New Roman"/>
          <w:sz w:val="24"/>
        </w:rPr>
      </w:pPr>
    </w:p>
    <w:p w:rsidR="003E1162" w:rsidRPr="00615CA6" w:rsidRDefault="003E1162" w:rsidP="003E1162">
      <w:pPr>
        <w:jc w:val="center"/>
        <w:rPr>
          <w:rFonts w:ascii="Bookman Old Style" w:hAnsi="Bookman Old Style" w:cs="Times New Roman"/>
          <w:sz w:val="24"/>
        </w:rPr>
      </w:pPr>
      <w:r w:rsidRPr="00615CA6">
        <w:rPr>
          <w:rFonts w:ascii="Bookman Old Style" w:hAnsi="Bookman Old Style" w:cs="Times New Roman"/>
          <w:sz w:val="24"/>
        </w:rPr>
        <w:t>Proyecto de Ley ___ de 2017 Senado.</w:t>
      </w:r>
    </w:p>
    <w:p w:rsidR="003E1162" w:rsidRPr="00615CA6" w:rsidRDefault="003E1162" w:rsidP="003E1162">
      <w:pPr>
        <w:jc w:val="center"/>
        <w:rPr>
          <w:rFonts w:ascii="Bookman Old Style" w:hAnsi="Bookman Old Style" w:cs="Times New Roman"/>
          <w:sz w:val="24"/>
        </w:rPr>
      </w:pPr>
      <w:r w:rsidRPr="00615CA6">
        <w:rPr>
          <w:rFonts w:ascii="Bookman Old Style" w:hAnsi="Bookman Old Style" w:cs="Times New Roman"/>
          <w:b/>
          <w:i/>
          <w:sz w:val="24"/>
        </w:rPr>
        <w:t>“Por medio de la cual se modifica el artículo 563 de la Ley 906 de 2004, adicionado por la Ley 1826 de 2017,</w:t>
      </w:r>
      <w:r w:rsidRPr="00615CA6">
        <w:rPr>
          <w:rFonts w:ascii="Bookman Old Style" w:hAnsi="Bookman Old Style" w:cs="Times New Roman"/>
          <w:sz w:val="24"/>
        </w:rPr>
        <w:t xml:space="preserve"> y se dictan otras disposiciones.</w:t>
      </w:r>
    </w:p>
    <w:p w:rsidR="003E1162" w:rsidRPr="00615CA6" w:rsidRDefault="003E1162" w:rsidP="003E1162">
      <w:pPr>
        <w:jc w:val="center"/>
        <w:rPr>
          <w:rFonts w:ascii="Bookman Old Style" w:hAnsi="Bookman Old Style" w:cs="Times New Roman"/>
          <w:sz w:val="24"/>
        </w:rPr>
      </w:pPr>
    </w:p>
    <w:p w:rsidR="003E1162" w:rsidRPr="00615CA6" w:rsidRDefault="003E1162" w:rsidP="003E1162">
      <w:pPr>
        <w:pStyle w:val="Default"/>
        <w:rPr>
          <w:rFonts w:ascii="Bookman Old Style" w:hAnsi="Bookman Old Style"/>
          <w:sz w:val="23"/>
          <w:szCs w:val="23"/>
        </w:rPr>
      </w:pPr>
      <w:r w:rsidRPr="00615CA6">
        <w:rPr>
          <w:rFonts w:ascii="Bookman Old Style" w:hAnsi="Bookman Old Style"/>
          <w:b/>
          <w:bCs/>
          <w:sz w:val="23"/>
          <w:szCs w:val="23"/>
        </w:rPr>
        <w:t xml:space="preserve">OBJETIVO. </w:t>
      </w:r>
    </w:p>
    <w:p w:rsidR="003E1162" w:rsidRPr="00615CA6" w:rsidRDefault="003E1162" w:rsidP="003E1162">
      <w:pPr>
        <w:jc w:val="both"/>
        <w:rPr>
          <w:rFonts w:ascii="Bookman Old Style" w:hAnsi="Bookman Old Style" w:cs="Times New Roman"/>
          <w:sz w:val="24"/>
          <w:szCs w:val="24"/>
        </w:rPr>
      </w:pPr>
    </w:p>
    <w:p w:rsidR="003E1162" w:rsidRPr="008F7226" w:rsidRDefault="003E1162" w:rsidP="003E1162">
      <w:pPr>
        <w:jc w:val="both"/>
        <w:rPr>
          <w:rFonts w:ascii="Bookman Old Style" w:hAnsi="Bookman Old Style" w:cs="Times New Roman"/>
          <w:sz w:val="24"/>
          <w:szCs w:val="24"/>
        </w:rPr>
      </w:pPr>
      <w:r w:rsidRPr="00615CA6">
        <w:rPr>
          <w:rFonts w:ascii="Bookman Old Style" w:hAnsi="Bookman Old Style" w:cs="Times New Roman"/>
          <w:sz w:val="24"/>
          <w:szCs w:val="24"/>
        </w:rPr>
        <w:t xml:space="preserve">La presente iniciativa legislativa tiene por fin, </w:t>
      </w:r>
      <w:r w:rsidRPr="00615CA6">
        <w:rPr>
          <w:rFonts w:ascii="Bookman Old Style" w:hAnsi="Bookman Old Style" w:cs="Times New Roman"/>
          <w:i/>
          <w:sz w:val="24"/>
          <w:szCs w:val="24"/>
        </w:rPr>
        <w:t xml:space="preserve">modificar el artículo 563 de la Ley 906 de 2004, adicionado por la Ley 1826 de 2017, en el sentido de adicionar un parágrafo que permita que hasta el </w:t>
      </w:r>
      <w:r w:rsidRPr="00615CA6">
        <w:rPr>
          <w:rFonts w:ascii="Bookman Old Style" w:hAnsi="Bookman Old Style" w:cs="Times New Roman"/>
          <w:sz w:val="24"/>
          <w:szCs w:val="24"/>
        </w:rPr>
        <w:t>10% de las armas de fuego que han sido devueltas, después de haber sido examinadas por peritos y que no hagan parte de la cadena de custodia para los fines investigativos, no serán destruidas, esto con el fin de ser asignadas al personal activo y no activo de las Fuerzas Armadas y de Policía, y a las personas naturales, previo estu</w:t>
      </w:r>
      <w:r w:rsidRPr="008F7226">
        <w:rPr>
          <w:rFonts w:ascii="Bookman Old Style" w:hAnsi="Bookman Old Style" w:cs="Times New Roman"/>
          <w:sz w:val="24"/>
          <w:szCs w:val="24"/>
        </w:rPr>
        <w:t>dio del Ministerio de Defensa Nacional, a través del Departamento Control Comercio de Armas Municiones y Explosivos, (DCCA).</w:t>
      </w:r>
    </w:p>
    <w:p w:rsidR="007C6847" w:rsidRDefault="007C6847" w:rsidP="007C6847">
      <w:pPr>
        <w:jc w:val="both"/>
        <w:rPr>
          <w:rFonts w:ascii="Bookman Old Style" w:hAnsi="Bookman Old Style" w:cs="Times New Roman"/>
          <w:sz w:val="24"/>
          <w:szCs w:val="24"/>
        </w:rPr>
      </w:pPr>
      <w:r w:rsidRPr="007C6847">
        <w:rPr>
          <w:rFonts w:ascii="Bookman Old Style" w:hAnsi="Bookman Old Style" w:cs="Times New Roman"/>
          <w:sz w:val="24"/>
          <w:szCs w:val="24"/>
        </w:rPr>
        <w:t>En este sentido,</w:t>
      </w:r>
      <w:r>
        <w:rPr>
          <w:rFonts w:ascii="Bookman Old Style" w:hAnsi="Bookman Old Style" w:cs="Times New Roman"/>
          <w:sz w:val="24"/>
          <w:szCs w:val="24"/>
        </w:rPr>
        <w:t xml:space="preserve"> el presente proyecto de ley que pongo a consideración del honorable congreso de la república tiene por objetivo último permitir que hasta el diez (10) por ciento de las armas de fuego que hayan sido decomisadas por la fiscalía y que estén por fuera de la cadena de custodia  sean transferidas y pasen a disposición del Comando General de las Fuerzas Militares de Colombia , para que este a su vez, las reasigne a través del </w:t>
      </w:r>
      <w:r w:rsidRPr="008F7226">
        <w:rPr>
          <w:rFonts w:ascii="Bookman Old Style" w:hAnsi="Bookman Old Style" w:cs="Times New Roman"/>
          <w:sz w:val="24"/>
          <w:szCs w:val="24"/>
        </w:rPr>
        <w:t>Departamento Control Comercio de Armas Municiones y Explosivos, (DCCA)</w:t>
      </w:r>
      <w:r>
        <w:rPr>
          <w:rFonts w:ascii="Bookman Old Style" w:hAnsi="Bookman Old Style" w:cs="Times New Roman"/>
          <w:sz w:val="24"/>
          <w:szCs w:val="24"/>
        </w:rPr>
        <w:t xml:space="preserve">  en los términos que la ley lo estipule.</w:t>
      </w:r>
    </w:p>
    <w:p w:rsidR="00E203E3" w:rsidRDefault="00E203E3" w:rsidP="00E203E3">
      <w:pPr>
        <w:jc w:val="both"/>
        <w:rPr>
          <w:rFonts w:ascii="Bookman Old Style" w:hAnsi="Bookman Old Style" w:cs="Times New Roman"/>
          <w:b/>
          <w:sz w:val="24"/>
          <w:szCs w:val="24"/>
        </w:rPr>
      </w:pPr>
    </w:p>
    <w:p w:rsidR="003E1162" w:rsidRPr="008F7226" w:rsidRDefault="008333CC" w:rsidP="00E203E3">
      <w:pPr>
        <w:jc w:val="both"/>
        <w:rPr>
          <w:rFonts w:ascii="Bookman Old Style" w:hAnsi="Bookman Old Style" w:cs="Times New Roman"/>
          <w:b/>
          <w:sz w:val="24"/>
          <w:szCs w:val="24"/>
        </w:rPr>
      </w:pPr>
      <w:r>
        <w:rPr>
          <w:rFonts w:ascii="Bookman Old Style" w:hAnsi="Bookman Old Style" w:cs="Times New Roman"/>
          <w:b/>
          <w:sz w:val="24"/>
          <w:szCs w:val="24"/>
        </w:rPr>
        <w:t xml:space="preserve">CONTEXTO </w:t>
      </w:r>
      <w:r w:rsidR="00E71C5E" w:rsidRPr="008F7226">
        <w:rPr>
          <w:rFonts w:ascii="Bookman Old Style" w:hAnsi="Bookman Old Style" w:cs="Times New Roman"/>
          <w:b/>
          <w:sz w:val="24"/>
          <w:szCs w:val="24"/>
        </w:rPr>
        <w:t xml:space="preserve">DEL PROYECTO DE LEY. </w:t>
      </w:r>
    </w:p>
    <w:p w:rsidR="007C6847" w:rsidRDefault="00785B1A" w:rsidP="002E0A94">
      <w:pPr>
        <w:jc w:val="both"/>
        <w:rPr>
          <w:rFonts w:ascii="Bookman Old Style" w:hAnsi="Bookman Old Style" w:cs="Times New Roman"/>
          <w:sz w:val="24"/>
          <w:szCs w:val="24"/>
        </w:rPr>
      </w:pPr>
      <w:r w:rsidRPr="008F7226">
        <w:rPr>
          <w:rFonts w:ascii="Bookman Old Style" w:hAnsi="Bookman Old Style" w:cs="Times New Roman"/>
          <w:sz w:val="24"/>
          <w:szCs w:val="24"/>
        </w:rPr>
        <w:t xml:space="preserve">En el plano constitucional el </w:t>
      </w:r>
      <w:r w:rsidR="002E0A94" w:rsidRPr="008F7226">
        <w:rPr>
          <w:rFonts w:ascii="Bookman Old Style" w:hAnsi="Bookman Old Style" w:cs="Times New Roman"/>
          <w:sz w:val="24"/>
          <w:szCs w:val="24"/>
        </w:rPr>
        <w:t>artículo</w:t>
      </w:r>
      <w:r w:rsidRPr="008F7226">
        <w:rPr>
          <w:rFonts w:ascii="Bookman Old Style" w:hAnsi="Bookman Old Style" w:cs="Times New Roman"/>
          <w:sz w:val="24"/>
          <w:szCs w:val="24"/>
        </w:rPr>
        <w:t xml:space="preserve"> </w:t>
      </w:r>
      <w:r w:rsidR="00FB50A7" w:rsidRPr="008F7226">
        <w:rPr>
          <w:rFonts w:ascii="Bookman Old Style" w:hAnsi="Bookman Old Style" w:cs="Times New Roman"/>
          <w:sz w:val="24"/>
          <w:szCs w:val="24"/>
        </w:rPr>
        <w:t>223</w:t>
      </w:r>
      <w:r w:rsidR="005030CC" w:rsidRPr="008F7226">
        <w:rPr>
          <w:rFonts w:ascii="Bookman Old Style" w:hAnsi="Bookman Old Style" w:cs="Times New Roman"/>
          <w:sz w:val="24"/>
          <w:szCs w:val="24"/>
        </w:rPr>
        <w:t xml:space="preserve"> superior </w:t>
      </w:r>
      <w:r w:rsidR="00FB50A7" w:rsidRPr="008F7226">
        <w:rPr>
          <w:rFonts w:ascii="Bookman Old Style" w:hAnsi="Bookman Old Style" w:cs="Times New Roman"/>
          <w:sz w:val="24"/>
          <w:szCs w:val="24"/>
        </w:rPr>
        <w:t>consagra</w:t>
      </w:r>
      <w:r w:rsidRPr="008F7226">
        <w:rPr>
          <w:rFonts w:ascii="Bookman Old Style" w:hAnsi="Bookman Old Style" w:cs="Times New Roman"/>
          <w:sz w:val="24"/>
          <w:szCs w:val="24"/>
        </w:rPr>
        <w:t xml:space="preserve"> </w:t>
      </w:r>
      <w:r w:rsidR="002E0A94" w:rsidRPr="008F7226">
        <w:rPr>
          <w:rFonts w:ascii="Bookman Old Style" w:hAnsi="Bookman Old Style" w:cs="Times New Roman"/>
          <w:sz w:val="24"/>
          <w:szCs w:val="24"/>
        </w:rPr>
        <w:t>el monopolio estatal en relación con la introducción y fabricación de armas, así como la prohibición de que nadie podrá poseerlas</w:t>
      </w:r>
      <w:r w:rsidR="005030CC" w:rsidRPr="008F7226">
        <w:rPr>
          <w:rFonts w:ascii="Bookman Old Style" w:hAnsi="Bookman Old Style" w:cs="Times New Roman"/>
          <w:sz w:val="24"/>
          <w:szCs w:val="24"/>
        </w:rPr>
        <w:t xml:space="preserve"> o portarla</w:t>
      </w:r>
      <w:r w:rsidR="002E0A94" w:rsidRPr="008F7226">
        <w:rPr>
          <w:rFonts w:ascii="Bookman Old Style" w:hAnsi="Bookman Old Style" w:cs="Times New Roman"/>
          <w:sz w:val="24"/>
          <w:szCs w:val="24"/>
        </w:rPr>
        <w:t xml:space="preserve">s sin permiso de la autoridad competente. </w:t>
      </w:r>
    </w:p>
    <w:p w:rsidR="00E71C5E" w:rsidRDefault="007C6847" w:rsidP="002E0A94">
      <w:pPr>
        <w:jc w:val="both"/>
        <w:rPr>
          <w:rFonts w:ascii="Bookman Old Style" w:hAnsi="Bookman Old Style" w:cs="Times New Roman"/>
          <w:sz w:val="24"/>
          <w:szCs w:val="24"/>
        </w:rPr>
      </w:pPr>
      <w:r>
        <w:rPr>
          <w:rFonts w:ascii="Bookman Old Style" w:hAnsi="Bookman Old Style" w:cs="Times New Roman"/>
          <w:sz w:val="24"/>
          <w:szCs w:val="24"/>
        </w:rPr>
        <w:t>Es por ello</w:t>
      </w:r>
      <w:r w:rsidR="00E203E3">
        <w:rPr>
          <w:rFonts w:ascii="Bookman Old Style" w:hAnsi="Bookman Old Style" w:cs="Times New Roman"/>
          <w:sz w:val="24"/>
          <w:szCs w:val="24"/>
        </w:rPr>
        <w:t xml:space="preserve">, </w:t>
      </w:r>
      <w:r>
        <w:rPr>
          <w:rFonts w:ascii="Bookman Old Style" w:hAnsi="Bookman Old Style" w:cs="Times New Roman"/>
          <w:sz w:val="24"/>
          <w:szCs w:val="24"/>
        </w:rPr>
        <w:t>que este proyecto de ley sigue</w:t>
      </w:r>
      <w:r w:rsidR="00E203E3">
        <w:rPr>
          <w:rFonts w:ascii="Bookman Old Style" w:hAnsi="Bookman Old Style" w:cs="Times New Roman"/>
          <w:sz w:val="24"/>
          <w:szCs w:val="24"/>
        </w:rPr>
        <w:t xml:space="preserve"> </w:t>
      </w:r>
      <w:r>
        <w:rPr>
          <w:rFonts w:ascii="Bookman Old Style" w:hAnsi="Bookman Old Style" w:cs="Times New Roman"/>
          <w:sz w:val="24"/>
          <w:szCs w:val="24"/>
        </w:rPr>
        <w:t xml:space="preserve">el mandamiento constitucional </w:t>
      </w:r>
      <w:r w:rsidR="00E203E3">
        <w:rPr>
          <w:rFonts w:ascii="Bookman Old Style" w:hAnsi="Bookman Old Style" w:cs="Times New Roman"/>
          <w:sz w:val="24"/>
          <w:szCs w:val="24"/>
        </w:rPr>
        <w:t xml:space="preserve">y </w:t>
      </w:r>
      <w:r>
        <w:rPr>
          <w:rFonts w:ascii="Bookman Old Style" w:hAnsi="Bookman Old Style" w:cs="Times New Roman"/>
          <w:sz w:val="24"/>
          <w:szCs w:val="24"/>
        </w:rPr>
        <w:t>recoge en su articulado</w:t>
      </w:r>
      <w:r w:rsidR="00E203E3">
        <w:rPr>
          <w:rFonts w:ascii="Bookman Old Style" w:hAnsi="Bookman Old Style" w:cs="Times New Roman"/>
          <w:sz w:val="24"/>
          <w:szCs w:val="24"/>
        </w:rPr>
        <w:t xml:space="preserve"> la atribución </w:t>
      </w:r>
      <w:r>
        <w:rPr>
          <w:rFonts w:ascii="Bookman Old Style" w:hAnsi="Bookman Old Style" w:cs="Times New Roman"/>
          <w:sz w:val="24"/>
          <w:szCs w:val="24"/>
        </w:rPr>
        <w:t>e</w:t>
      </w:r>
      <w:r w:rsidR="00E203E3">
        <w:rPr>
          <w:rFonts w:ascii="Bookman Old Style" w:hAnsi="Bookman Old Style" w:cs="Times New Roman"/>
          <w:sz w:val="24"/>
          <w:szCs w:val="24"/>
        </w:rPr>
        <w:t xml:space="preserve">n cabeza del </w:t>
      </w:r>
      <w:r>
        <w:rPr>
          <w:rFonts w:ascii="Bookman Old Style" w:hAnsi="Bookman Old Style" w:cs="Times New Roman"/>
          <w:sz w:val="24"/>
          <w:szCs w:val="24"/>
        </w:rPr>
        <w:t>estado</w:t>
      </w:r>
      <w:r w:rsidR="00E203E3">
        <w:rPr>
          <w:rFonts w:ascii="Bookman Old Style" w:hAnsi="Bookman Old Style" w:cs="Times New Roman"/>
          <w:sz w:val="24"/>
          <w:szCs w:val="24"/>
        </w:rPr>
        <w:t xml:space="preserve"> en relación con la disposición de las armas </w:t>
      </w:r>
      <w:r>
        <w:rPr>
          <w:rFonts w:ascii="Bookman Old Style" w:hAnsi="Bookman Old Style" w:cs="Times New Roman"/>
          <w:sz w:val="24"/>
          <w:szCs w:val="24"/>
        </w:rPr>
        <w:t>a través del Min</w:t>
      </w:r>
      <w:r w:rsidR="00E203E3">
        <w:rPr>
          <w:rFonts w:ascii="Bookman Old Style" w:hAnsi="Bookman Old Style" w:cs="Times New Roman"/>
          <w:sz w:val="24"/>
          <w:szCs w:val="24"/>
        </w:rPr>
        <w:t>isterio de D</w:t>
      </w:r>
      <w:r>
        <w:rPr>
          <w:rFonts w:ascii="Bookman Old Style" w:hAnsi="Bookman Old Style" w:cs="Times New Roman"/>
          <w:sz w:val="24"/>
          <w:szCs w:val="24"/>
        </w:rPr>
        <w:t>efensa</w:t>
      </w:r>
      <w:r w:rsidR="00E203E3">
        <w:rPr>
          <w:rFonts w:ascii="Bookman Old Style" w:hAnsi="Bookman Old Style" w:cs="Times New Roman"/>
          <w:sz w:val="24"/>
          <w:szCs w:val="24"/>
        </w:rPr>
        <w:t xml:space="preserve"> Nacional, ordenando al</w:t>
      </w:r>
      <w:r w:rsidR="00785B1A" w:rsidRPr="008F7226">
        <w:rPr>
          <w:rFonts w:ascii="Bookman Old Style" w:hAnsi="Bookman Old Style" w:cs="Times New Roman"/>
          <w:sz w:val="24"/>
          <w:szCs w:val="24"/>
        </w:rPr>
        <w:t xml:space="preserve"> </w:t>
      </w:r>
      <w:r w:rsidRPr="008F7226">
        <w:rPr>
          <w:rFonts w:ascii="Bookman Old Style" w:hAnsi="Bookman Old Style" w:cs="Times New Roman"/>
          <w:sz w:val="24"/>
          <w:szCs w:val="24"/>
        </w:rPr>
        <w:t xml:space="preserve">Departamento Control Comercio de Armas Municiones y </w:t>
      </w:r>
      <w:r w:rsidRPr="008F7226">
        <w:rPr>
          <w:rFonts w:ascii="Bookman Old Style" w:hAnsi="Bookman Old Style" w:cs="Times New Roman"/>
          <w:sz w:val="24"/>
          <w:szCs w:val="24"/>
        </w:rPr>
        <w:lastRenderedPageBreak/>
        <w:t>Explosivos (DCCA</w:t>
      </w:r>
      <w:r>
        <w:rPr>
          <w:rFonts w:ascii="Bookman Old Style" w:hAnsi="Bookman Old Style" w:cs="Times New Roman"/>
          <w:sz w:val="24"/>
          <w:szCs w:val="24"/>
        </w:rPr>
        <w:t>)</w:t>
      </w:r>
      <w:r w:rsidR="00E203E3">
        <w:rPr>
          <w:rFonts w:ascii="Bookman Old Style" w:hAnsi="Bookman Old Style" w:cs="Times New Roman"/>
          <w:sz w:val="24"/>
          <w:szCs w:val="24"/>
        </w:rPr>
        <w:t xml:space="preserve"> la competencia conferida en la presente iniciativa, el cuál otorgará el concepto previo y autorización para la asignación de las armas de fuego.   </w:t>
      </w:r>
    </w:p>
    <w:p w:rsidR="00FB3109" w:rsidRDefault="00E316DB" w:rsidP="00E316DB">
      <w:pPr>
        <w:spacing w:before="100" w:beforeAutospacing="1" w:after="100" w:afterAutospacing="1" w:line="240" w:lineRule="auto"/>
        <w:jc w:val="both"/>
        <w:rPr>
          <w:rFonts w:ascii="Bookman Old Style" w:eastAsia="Times New Roman" w:hAnsi="Bookman Old Style" w:cs="Times New Roman"/>
          <w:sz w:val="24"/>
          <w:szCs w:val="24"/>
          <w:lang w:eastAsia="es-CO"/>
        </w:rPr>
      </w:pPr>
      <w:r w:rsidRPr="00E316DB">
        <w:rPr>
          <w:rFonts w:ascii="Bookman Old Style" w:eastAsia="Times New Roman" w:hAnsi="Bookman Old Style" w:cs="Times New Roman"/>
          <w:sz w:val="24"/>
          <w:szCs w:val="24"/>
          <w:lang w:eastAsia="es-CO"/>
        </w:rPr>
        <w:t>Descendiendo al plano legal, el decreto 1070 de 2015, “</w:t>
      </w:r>
      <w:r w:rsidRPr="00E316DB">
        <w:rPr>
          <w:rFonts w:ascii="Bookman Old Style" w:eastAsia="Times New Roman" w:hAnsi="Bookman Old Style" w:cs="Times New Roman"/>
          <w:color w:val="333333"/>
          <w:sz w:val="24"/>
          <w:szCs w:val="24"/>
          <w:lang w:eastAsia="es-CO"/>
        </w:rPr>
        <w:t>Por el cual se expide el decreto único reglamentario del sector Administrativo de Defensa</w:t>
      </w:r>
      <w:r w:rsidRPr="00E316DB">
        <w:rPr>
          <w:rFonts w:ascii="Bookman Old Style" w:eastAsia="Times New Roman" w:hAnsi="Bookman Old Style" w:cs="Times New Roman"/>
          <w:sz w:val="24"/>
          <w:szCs w:val="24"/>
          <w:lang w:eastAsia="es-CO"/>
        </w:rPr>
        <w:t xml:space="preserve">” otorga las competencias y las funciones relativas al control, autorización y uso de armas en nuestro país al </w:t>
      </w:r>
      <w:r w:rsidR="00E203E3" w:rsidRPr="00E316DB">
        <w:rPr>
          <w:rFonts w:ascii="Bookman Old Style" w:eastAsia="Times New Roman" w:hAnsi="Bookman Old Style" w:cs="Times New Roman"/>
          <w:sz w:val="24"/>
          <w:szCs w:val="24"/>
          <w:lang w:eastAsia="es-CO"/>
        </w:rPr>
        <w:t>D</w:t>
      </w:r>
      <w:r w:rsidRPr="00E316DB">
        <w:rPr>
          <w:rFonts w:ascii="Bookman Old Style" w:eastAsia="Times New Roman" w:hAnsi="Bookman Old Style" w:cs="Times New Roman"/>
          <w:sz w:val="24"/>
          <w:szCs w:val="24"/>
          <w:lang w:eastAsia="es-CO"/>
        </w:rPr>
        <w:t xml:space="preserve">epartamento </w:t>
      </w:r>
      <w:r w:rsidR="00E203E3" w:rsidRPr="00E316DB">
        <w:rPr>
          <w:rFonts w:ascii="Bookman Old Style" w:eastAsia="Times New Roman" w:hAnsi="Bookman Old Style" w:cs="Times New Roman"/>
          <w:sz w:val="24"/>
          <w:szCs w:val="24"/>
          <w:lang w:eastAsia="es-CO"/>
        </w:rPr>
        <w:t>C</w:t>
      </w:r>
      <w:r w:rsidRPr="00E316DB">
        <w:rPr>
          <w:rFonts w:ascii="Bookman Old Style" w:eastAsia="Times New Roman" w:hAnsi="Bookman Old Style" w:cs="Times New Roman"/>
          <w:sz w:val="24"/>
          <w:szCs w:val="24"/>
          <w:lang w:eastAsia="es-CO"/>
        </w:rPr>
        <w:t xml:space="preserve">ontrol, </w:t>
      </w:r>
      <w:r w:rsidR="00E203E3" w:rsidRPr="00E316DB">
        <w:rPr>
          <w:rFonts w:ascii="Bookman Old Style" w:eastAsia="Times New Roman" w:hAnsi="Bookman Old Style" w:cs="Times New Roman"/>
          <w:sz w:val="24"/>
          <w:szCs w:val="24"/>
          <w:lang w:eastAsia="es-CO"/>
        </w:rPr>
        <w:t>C</w:t>
      </w:r>
      <w:r w:rsidRPr="00E316DB">
        <w:rPr>
          <w:rFonts w:ascii="Bookman Old Style" w:eastAsia="Times New Roman" w:hAnsi="Bookman Old Style" w:cs="Times New Roman"/>
          <w:sz w:val="24"/>
          <w:szCs w:val="24"/>
          <w:lang w:eastAsia="es-CO"/>
        </w:rPr>
        <w:t xml:space="preserve">omercio de </w:t>
      </w:r>
      <w:r w:rsidR="00E203E3" w:rsidRPr="00E316DB">
        <w:rPr>
          <w:rFonts w:ascii="Bookman Old Style" w:eastAsia="Times New Roman" w:hAnsi="Bookman Old Style" w:cs="Times New Roman"/>
          <w:sz w:val="24"/>
          <w:szCs w:val="24"/>
          <w:lang w:eastAsia="es-CO"/>
        </w:rPr>
        <w:t>A</w:t>
      </w:r>
      <w:r w:rsidRPr="00E316DB">
        <w:rPr>
          <w:rFonts w:ascii="Bookman Old Style" w:eastAsia="Times New Roman" w:hAnsi="Bookman Old Style" w:cs="Times New Roman"/>
          <w:sz w:val="24"/>
          <w:szCs w:val="24"/>
          <w:lang w:eastAsia="es-CO"/>
        </w:rPr>
        <w:t xml:space="preserve">rmas, </w:t>
      </w:r>
      <w:r w:rsidR="00E203E3" w:rsidRPr="00E316DB">
        <w:rPr>
          <w:rFonts w:ascii="Bookman Old Style" w:eastAsia="Times New Roman" w:hAnsi="Bookman Old Style" w:cs="Times New Roman"/>
          <w:sz w:val="24"/>
          <w:szCs w:val="24"/>
          <w:lang w:eastAsia="es-CO"/>
        </w:rPr>
        <w:t>M</w:t>
      </w:r>
      <w:r w:rsidRPr="00E316DB">
        <w:rPr>
          <w:rFonts w:ascii="Bookman Old Style" w:eastAsia="Times New Roman" w:hAnsi="Bookman Old Style" w:cs="Times New Roman"/>
          <w:sz w:val="24"/>
          <w:szCs w:val="24"/>
          <w:lang w:eastAsia="es-CO"/>
        </w:rPr>
        <w:t xml:space="preserve">uniciones y </w:t>
      </w:r>
      <w:r w:rsidR="00E203E3" w:rsidRPr="00E316DB">
        <w:rPr>
          <w:rFonts w:ascii="Bookman Old Style" w:eastAsia="Times New Roman" w:hAnsi="Bookman Old Style" w:cs="Times New Roman"/>
          <w:sz w:val="24"/>
          <w:szCs w:val="24"/>
          <w:lang w:eastAsia="es-CO"/>
        </w:rPr>
        <w:t>E</w:t>
      </w:r>
      <w:r w:rsidRPr="00E316DB">
        <w:rPr>
          <w:rFonts w:ascii="Bookman Old Style" w:eastAsia="Times New Roman" w:hAnsi="Bookman Old Style" w:cs="Times New Roman"/>
          <w:sz w:val="24"/>
          <w:szCs w:val="24"/>
          <w:lang w:eastAsia="es-CO"/>
        </w:rPr>
        <w:t>xplosivos del Comando General de las fuerzas militares</w:t>
      </w:r>
      <w:r w:rsidR="00FB3109">
        <w:rPr>
          <w:rFonts w:ascii="Bookman Old Style" w:eastAsia="Times New Roman" w:hAnsi="Bookman Old Style" w:cs="Times New Roman"/>
          <w:sz w:val="24"/>
          <w:szCs w:val="24"/>
          <w:lang w:eastAsia="es-CO"/>
        </w:rPr>
        <w:t xml:space="preserve">, el cual contiene la atribución del artículo 32 del Decreto 2535 de 1993,que señala : </w:t>
      </w:r>
    </w:p>
    <w:p w:rsidR="00E316DB" w:rsidRDefault="00FB3109" w:rsidP="00D91922">
      <w:pPr>
        <w:spacing w:after="0" w:line="240" w:lineRule="auto"/>
        <w:ind w:left="567" w:right="333"/>
        <w:jc w:val="both"/>
        <w:rPr>
          <w:rFonts w:ascii="Times New Roman" w:eastAsia="Times New Roman" w:hAnsi="Times New Roman" w:cs="Times New Roman"/>
          <w:sz w:val="24"/>
          <w:szCs w:val="24"/>
          <w:lang w:eastAsia="es-CO"/>
        </w:rPr>
      </w:pPr>
      <w:r>
        <w:rPr>
          <w:rFonts w:ascii="Arial" w:eastAsia="Times New Roman" w:hAnsi="Arial" w:cs="Arial"/>
          <w:sz w:val="29"/>
          <w:szCs w:val="29"/>
          <w:lang w:eastAsia="es-CO"/>
        </w:rPr>
        <w:t>“</w:t>
      </w:r>
      <w:r w:rsidRPr="00FB3109">
        <w:rPr>
          <w:rFonts w:ascii="Bookman Old Style" w:eastAsia="Times New Roman" w:hAnsi="Bookman Old Style" w:cs="Arial"/>
          <w:i/>
          <w:sz w:val="24"/>
          <w:szCs w:val="24"/>
          <w:lang w:eastAsia="es-CO"/>
        </w:rPr>
        <w:t>ARTICULO 32. COMPETENCIA. Son competentes para la expedición y revalidación de permisos para tenencia y para porte de armas y para la venta de municiones y explosivos en los lugares que determine el Ministerio de Defensa Nacional, las siguientes autoridades militares: El Jefe del Departamento Control Comercio Armas, Municiones y Explosivos, los Jefes de Estado Mayor de las unidades Operativas Menores o sus equivalentes en la Armada Nacional o la Fuerza Aérea y los Ejecutivos y Segundos Comandantes de Unidades Tácticas en el Ejército Nacional, o sus equivalentes en la Armada Nacional y la Fuerza Aérea</w:t>
      </w:r>
      <w:r w:rsidRPr="00FB3109">
        <w:rPr>
          <w:rFonts w:ascii="Arial" w:eastAsia="Times New Roman" w:hAnsi="Arial" w:cs="Arial"/>
          <w:i/>
          <w:sz w:val="29"/>
          <w:szCs w:val="29"/>
          <w:lang w:eastAsia="es-CO"/>
        </w:rPr>
        <w:t>.</w:t>
      </w:r>
      <w:r>
        <w:rPr>
          <w:rFonts w:ascii="Arial" w:eastAsia="Times New Roman" w:hAnsi="Arial" w:cs="Arial"/>
          <w:sz w:val="29"/>
          <w:szCs w:val="29"/>
          <w:lang w:eastAsia="es-CO"/>
        </w:rPr>
        <w:t>”</w:t>
      </w:r>
      <w:r w:rsidR="00E316DB" w:rsidRPr="00E316DB">
        <w:rPr>
          <w:rFonts w:ascii="Times New Roman" w:eastAsia="Times New Roman" w:hAnsi="Times New Roman" w:cs="Times New Roman"/>
          <w:sz w:val="24"/>
          <w:szCs w:val="24"/>
          <w:lang w:eastAsia="es-CO"/>
        </w:rPr>
        <w:t>   </w:t>
      </w:r>
    </w:p>
    <w:p w:rsidR="00E203E3" w:rsidRPr="00FB3109" w:rsidRDefault="00FB3109" w:rsidP="00E316DB">
      <w:pPr>
        <w:spacing w:before="100" w:beforeAutospacing="1" w:after="100" w:afterAutospacing="1" w:line="240" w:lineRule="auto"/>
        <w:jc w:val="both"/>
        <w:rPr>
          <w:rFonts w:ascii="Bookman Old Style" w:eastAsia="Times New Roman" w:hAnsi="Bookman Old Style" w:cs="Times New Roman"/>
          <w:sz w:val="24"/>
          <w:szCs w:val="24"/>
          <w:lang w:eastAsia="es-CO"/>
        </w:rPr>
      </w:pPr>
      <w:r>
        <w:rPr>
          <w:rFonts w:ascii="Bookman Old Style" w:eastAsia="Times New Roman" w:hAnsi="Bookman Old Style" w:cs="Times New Roman"/>
          <w:sz w:val="24"/>
          <w:szCs w:val="24"/>
          <w:lang w:eastAsia="es-CO"/>
        </w:rPr>
        <w:t xml:space="preserve">Lo anterior, para aclarar que el proyecto de ley se encuentra dentro del marco de las competencias asignadas por el ordenamiento constitucional y legal vigente para el sector defensa. </w:t>
      </w:r>
    </w:p>
    <w:p w:rsidR="00D91922" w:rsidRDefault="00FB3109" w:rsidP="00E316DB">
      <w:pPr>
        <w:spacing w:before="100" w:beforeAutospacing="1" w:after="100" w:afterAutospacing="1" w:line="240" w:lineRule="auto"/>
        <w:jc w:val="both"/>
        <w:rPr>
          <w:rFonts w:ascii="Bookman Old Style" w:eastAsia="Times New Roman" w:hAnsi="Bookman Old Style" w:cs="Times New Roman"/>
          <w:sz w:val="24"/>
          <w:szCs w:val="24"/>
          <w:lang w:eastAsia="es-CO"/>
        </w:rPr>
      </w:pPr>
      <w:r>
        <w:rPr>
          <w:rFonts w:ascii="Bookman Old Style" w:eastAsia="Times New Roman" w:hAnsi="Bookman Old Style" w:cs="Times New Roman"/>
          <w:sz w:val="24"/>
          <w:szCs w:val="24"/>
          <w:lang w:eastAsia="es-CO"/>
        </w:rPr>
        <w:t>El objetivo de lo propuesto en la presente iniciativa legislativa es que de conformidad con lo preceptuado en l</w:t>
      </w:r>
      <w:r w:rsidRPr="00FB3109">
        <w:rPr>
          <w:rFonts w:ascii="Bookman Old Style" w:eastAsia="Times New Roman" w:hAnsi="Bookman Old Style" w:cs="Times New Roman"/>
          <w:sz w:val="24"/>
          <w:szCs w:val="24"/>
          <w:lang w:eastAsia="es-CO"/>
        </w:rPr>
        <w:t>a ley 1826 de 2017 “</w:t>
      </w:r>
      <w:r w:rsidRPr="00FB3109">
        <w:rPr>
          <w:rFonts w:ascii="Bookman Old Style" w:hAnsi="Bookman Old Style" w:cs="Arial"/>
          <w:sz w:val="24"/>
          <w:szCs w:val="24"/>
        </w:rPr>
        <w:t>Por medio de la cual se establece un procedimiento penal especial abreviado y se regula la figura del acusador privado</w:t>
      </w:r>
      <w:r>
        <w:rPr>
          <w:rFonts w:ascii="Bookman Old Style" w:eastAsia="Times New Roman" w:hAnsi="Bookman Old Style" w:cs="Times New Roman"/>
          <w:sz w:val="24"/>
          <w:szCs w:val="24"/>
          <w:lang w:eastAsia="es-CO"/>
        </w:rPr>
        <w:t xml:space="preserve">”, la </w:t>
      </w:r>
      <w:r w:rsidR="00D91922">
        <w:rPr>
          <w:rFonts w:ascii="Bookman Old Style" w:eastAsia="Times New Roman" w:hAnsi="Bookman Old Style" w:cs="Times New Roman"/>
          <w:sz w:val="24"/>
          <w:szCs w:val="24"/>
          <w:lang w:eastAsia="es-CO"/>
        </w:rPr>
        <w:t>cual</w:t>
      </w:r>
      <w:r>
        <w:rPr>
          <w:rFonts w:ascii="Bookman Old Style" w:eastAsia="Times New Roman" w:hAnsi="Bookman Old Style" w:cs="Times New Roman"/>
          <w:sz w:val="24"/>
          <w:szCs w:val="24"/>
          <w:lang w:eastAsia="es-CO"/>
        </w:rPr>
        <w:t xml:space="preserve"> modificó parcialmente la ley 906 de 2004, adicionando </w:t>
      </w:r>
      <w:r w:rsidR="00D91922">
        <w:rPr>
          <w:rFonts w:ascii="Bookman Old Style" w:eastAsia="Times New Roman" w:hAnsi="Bookman Old Style" w:cs="Times New Roman"/>
          <w:sz w:val="24"/>
          <w:szCs w:val="24"/>
          <w:lang w:eastAsia="es-CO"/>
        </w:rPr>
        <w:t xml:space="preserve">un artículo así: </w:t>
      </w:r>
    </w:p>
    <w:p w:rsidR="00D91922" w:rsidRPr="00D91922" w:rsidRDefault="00D91922" w:rsidP="00D91922">
      <w:pPr>
        <w:spacing w:before="100" w:beforeAutospacing="1" w:after="100" w:afterAutospacing="1" w:line="240" w:lineRule="auto"/>
        <w:ind w:left="567" w:right="333"/>
        <w:jc w:val="both"/>
        <w:rPr>
          <w:rFonts w:ascii="Bookman Old Style" w:eastAsia="Times New Roman" w:hAnsi="Bookman Old Style" w:cs="Times New Roman"/>
          <w:i/>
          <w:sz w:val="24"/>
          <w:szCs w:val="24"/>
          <w:lang w:eastAsia="es-CO"/>
        </w:rPr>
      </w:pPr>
      <w:r w:rsidRPr="00D91922">
        <w:rPr>
          <w:rFonts w:ascii="Bookman Old Style" w:eastAsia="Times New Roman" w:hAnsi="Bookman Old Style" w:cs="Arial"/>
          <w:b/>
          <w:i/>
          <w:sz w:val="24"/>
          <w:szCs w:val="24"/>
          <w:lang w:eastAsia="es-CO"/>
        </w:rPr>
        <w:t>“Artículo 41.</w:t>
      </w:r>
      <w:r w:rsidRPr="00D91922">
        <w:rPr>
          <w:rFonts w:ascii="Bookman Old Style" w:eastAsia="Times New Roman" w:hAnsi="Bookman Old Style" w:cs="Arial"/>
          <w:i/>
          <w:sz w:val="24"/>
          <w:szCs w:val="24"/>
          <w:lang w:eastAsia="es-CO"/>
        </w:rPr>
        <w:t xml:space="preserve"> La Ley 906 de 2004 tendrá un nuevo artículo 563, así: </w:t>
      </w:r>
    </w:p>
    <w:p w:rsidR="00D91922" w:rsidRDefault="00D91922" w:rsidP="00D91922">
      <w:pPr>
        <w:spacing w:before="100" w:beforeAutospacing="1" w:after="100" w:afterAutospacing="1" w:line="240" w:lineRule="auto"/>
        <w:ind w:left="567" w:right="333"/>
        <w:jc w:val="both"/>
        <w:rPr>
          <w:rFonts w:ascii="Bookman Old Style" w:eastAsia="Times New Roman" w:hAnsi="Bookman Old Style" w:cs="Arial"/>
          <w:i/>
          <w:sz w:val="24"/>
          <w:szCs w:val="24"/>
          <w:lang w:eastAsia="es-CO"/>
        </w:rPr>
      </w:pPr>
      <w:r w:rsidRPr="00D91922">
        <w:rPr>
          <w:rFonts w:ascii="Bookman Old Style" w:eastAsia="Times New Roman" w:hAnsi="Bookman Old Style" w:cs="Arial"/>
          <w:b/>
          <w:i/>
          <w:sz w:val="24"/>
          <w:szCs w:val="24"/>
          <w:lang w:eastAsia="es-CO"/>
        </w:rPr>
        <w:t>Artículo 563. Destrucción del objeto material del delito.</w:t>
      </w:r>
      <w:r w:rsidRPr="00D91922">
        <w:rPr>
          <w:rFonts w:ascii="Bookman Old Style" w:eastAsia="Times New Roman" w:hAnsi="Bookman Old Style" w:cs="Arial"/>
          <w:i/>
          <w:sz w:val="24"/>
          <w:szCs w:val="24"/>
          <w:lang w:eastAsia="es-CO"/>
        </w:rPr>
        <w:t xml:space="preserve"> En las actuaciones por conductas punibles en las que se empleen como medios o instrumentos para su comisión, armas de fuego o armas blancas, una vez cumplidas las previsiones de este código relativas a la cadena de custodia y después de ser examinadas por peritos para los fines investigativos pertinentes, se procederá a su destrucción previa orden del fiscal de conocimiento, siempre que no sean requeridas en la actuación a su cargo. </w:t>
      </w:r>
    </w:p>
    <w:p w:rsidR="00D91922" w:rsidRPr="00D91922" w:rsidRDefault="00D91922" w:rsidP="00D91922">
      <w:pPr>
        <w:spacing w:before="100" w:beforeAutospacing="1" w:after="100" w:afterAutospacing="1" w:line="240" w:lineRule="auto"/>
        <w:ind w:left="567" w:right="333"/>
        <w:jc w:val="both"/>
        <w:rPr>
          <w:rFonts w:ascii="Bookman Old Style" w:eastAsia="Times New Roman" w:hAnsi="Bookman Old Style" w:cs="Times New Roman"/>
          <w:i/>
          <w:sz w:val="24"/>
          <w:szCs w:val="24"/>
          <w:lang w:eastAsia="es-CO"/>
        </w:rPr>
      </w:pPr>
      <w:r w:rsidRPr="00D91922">
        <w:rPr>
          <w:rFonts w:ascii="Bookman Old Style" w:eastAsia="Times New Roman" w:hAnsi="Bookman Old Style" w:cs="Arial"/>
          <w:b/>
          <w:i/>
          <w:sz w:val="24"/>
          <w:szCs w:val="24"/>
          <w:lang w:eastAsia="es-CO"/>
        </w:rPr>
        <w:lastRenderedPageBreak/>
        <w:t>Parágrafo.</w:t>
      </w:r>
      <w:r w:rsidRPr="00D91922">
        <w:rPr>
          <w:rFonts w:ascii="Bookman Old Style" w:eastAsia="Times New Roman" w:hAnsi="Bookman Old Style" w:cs="Arial"/>
          <w:i/>
          <w:sz w:val="24"/>
          <w:szCs w:val="24"/>
          <w:lang w:eastAsia="es-CO"/>
        </w:rPr>
        <w:t xml:space="preserve"> La Fiscalía General de la Nación aplicará el procedimiento previsto en este artículo para las armas de fuego o armas blancas que actualmente se encuentran a su disposición.”</w:t>
      </w:r>
    </w:p>
    <w:p w:rsidR="00D91922" w:rsidRDefault="00D91922" w:rsidP="00E316DB">
      <w:pPr>
        <w:spacing w:before="100" w:beforeAutospacing="1" w:after="100" w:afterAutospacing="1" w:line="240" w:lineRule="auto"/>
        <w:jc w:val="both"/>
        <w:rPr>
          <w:rFonts w:ascii="Bookman Old Style" w:eastAsia="Times New Roman" w:hAnsi="Bookman Old Style" w:cs="Times New Roman"/>
          <w:sz w:val="24"/>
          <w:szCs w:val="24"/>
          <w:lang w:eastAsia="es-CO"/>
        </w:rPr>
      </w:pPr>
      <w:r>
        <w:rPr>
          <w:rFonts w:ascii="Bookman Old Style" w:eastAsia="Times New Roman" w:hAnsi="Bookman Old Style" w:cs="Times New Roman"/>
          <w:sz w:val="24"/>
          <w:szCs w:val="24"/>
          <w:lang w:eastAsia="es-CO"/>
        </w:rPr>
        <w:t xml:space="preserve">El presente artículo de la ley 1826 de 2017, permite que la fiscalía ordene la destrucción de las armas de fuego y armas blancas utilizadas en la comisión de delitos, una vez aquellas se encuentren por fuera de la cadena de custodia y previo concepto técnico de los peritos no continúan siendo parte del material probatorio de algún proceso vigente, situación que está acorde con el ordenamiento jurídico y que evita la acumulación innecesaria de material probatorio no relevante para impartir justicia.   </w:t>
      </w:r>
    </w:p>
    <w:p w:rsidR="004624F0" w:rsidRPr="008333CC" w:rsidRDefault="00EA6512" w:rsidP="004624F0">
      <w:pPr>
        <w:jc w:val="both"/>
        <w:rPr>
          <w:rFonts w:ascii="Bookman Old Style" w:hAnsi="Bookman Old Style" w:cs="Times New Roman"/>
          <w:sz w:val="24"/>
          <w:szCs w:val="24"/>
        </w:rPr>
      </w:pPr>
      <w:r>
        <w:rPr>
          <w:rFonts w:ascii="Bookman Old Style" w:eastAsia="Times New Roman" w:hAnsi="Bookman Old Style" w:cs="Times New Roman"/>
          <w:sz w:val="24"/>
          <w:szCs w:val="24"/>
          <w:lang w:eastAsia="es-CO"/>
        </w:rPr>
        <w:t>Con relación al artículo anteriormente descrito, se evidencia que no se estipulo qu</w:t>
      </w:r>
      <w:r w:rsidR="004624F0">
        <w:rPr>
          <w:rFonts w:ascii="Bookman Old Style" w:eastAsia="Times New Roman" w:hAnsi="Bookman Old Style" w:cs="Times New Roman"/>
          <w:sz w:val="24"/>
          <w:szCs w:val="24"/>
          <w:lang w:eastAsia="es-CO"/>
        </w:rPr>
        <w:t>é</w:t>
      </w:r>
      <w:r>
        <w:rPr>
          <w:rFonts w:ascii="Bookman Old Style" w:eastAsia="Times New Roman" w:hAnsi="Bookman Old Style" w:cs="Times New Roman"/>
          <w:sz w:val="24"/>
          <w:szCs w:val="24"/>
          <w:lang w:eastAsia="es-CO"/>
        </w:rPr>
        <w:t xml:space="preserve"> armas y en qué condiciones </w:t>
      </w:r>
      <w:r w:rsidR="004624F0">
        <w:rPr>
          <w:rFonts w:ascii="Bookman Old Style" w:eastAsia="Times New Roman" w:hAnsi="Bookman Old Style" w:cs="Times New Roman"/>
          <w:sz w:val="24"/>
          <w:szCs w:val="24"/>
          <w:lang w:eastAsia="es-CO"/>
        </w:rPr>
        <w:t>se haría la destrucción y/o cesión de las mismas en el entendido que el artículo consigna que se destruirían todas. Para superar este vacío, el presente proyecto de ley</w:t>
      </w:r>
      <w:r w:rsidR="00BF1DE3">
        <w:rPr>
          <w:rFonts w:ascii="Bookman Old Style" w:eastAsia="Times New Roman" w:hAnsi="Bookman Old Style" w:cs="Times New Roman"/>
          <w:sz w:val="24"/>
          <w:szCs w:val="24"/>
          <w:lang w:eastAsia="es-CO"/>
        </w:rPr>
        <w:t xml:space="preserve"> permite y </w:t>
      </w:r>
      <w:r w:rsidR="004624F0">
        <w:rPr>
          <w:rFonts w:ascii="Bookman Old Style" w:eastAsia="Times New Roman" w:hAnsi="Bookman Old Style" w:cs="Times New Roman"/>
          <w:sz w:val="24"/>
          <w:szCs w:val="24"/>
          <w:lang w:eastAsia="es-CO"/>
        </w:rPr>
        <w:t xml:space="preserve">aclara que hasta un diez (10) por ciento de las armas de fuego que se encuentren por fuera de la cadena de custodia o que no hagan parte de un proceso sean cedidas a miembros y ex integrantes de la fuerza pública y demás que el Departamento </w:t>
      </w:r>
      <w:r w:rsidR="004624F0" w:rsidRPr="008F7226">
        <w:rPr>
          <w:rFonts w:ascii="Bookman Old Style" w:hAnsi="Bookman Old Style" w:cs="Times New Roman"/>
          <w:sz w:val="24"/>
          <w:szCs w:val="24"/>
        </w:rPr>
        <w:t>Control Comercio de Armas Municiones y Explosivos, (DCCA).</w:t>
      </w:r>
    </w:p>
    <w:p w:rsidR="008333CC" w:rsidRDefault="008333CC" w:rsidP="00125160">
      <w:pPr>
        <w:spacing w:before="100" w:beforeAutospacing="1" w:after="100" w:afterAutospacing="1" w:line="240" w:lineRule="auto"/>
        <w:jc w:val="both"/>
        <w:rPr>
          <w:rFonts w:ascii="Times New Roman" w:eastAsia="Times New Roman" w:hAnsi="Times New Roman" w:cs="Times New Roman"/>
          <w:sz w:val="24"/>
          <w:szCs w:val="24"/>
          <w:lang w:eastAsia="es-CO"/>
        </w:rPr>
      </w:pPr>
      <w:r w:rsidRPr="008333CC">
        <w:rPr>
          <w:rFonts w:ascii="Bookman Old Style" w:eastAsia="Times New Roman" w:hAnsi="Bookman Old Style" w:cs="Times New Roman"/>
          <w:sz w:val="24"/>
          <w:szCs w:val="24"/>
          <w:lang w:eastAsia="es-CO"/>
        </w:rPr>
        <w:t xml:space="preserve">Así las cosas lo propuesto al honorable Congreso de la República permitiría </w:t>
      </w:r>
      <w:r w:rsidR="00125160">
        <w:rPr>
          <w:rFonts w:ascii="Bookman Old Style" w:eastAsia="Times New Roman" w:hAnsi="Bookman Old Style" w:cs="Times New Roman"/>
          <w:sz w:val="24"/>
          <w:szCs w:val="24"/>
          <w:lang w:eastAsia="es-CO"/>
        </w:rPr>
        <w:t>hacer más funcional la</w:t>
      </w:r>
      <w:r w:rsidRPr="008333CC">
        <w:rPr>
          <w:rFonts w:ascii="Bookman Old Style" w:eastAsia="Times New Roman" w:hAnsi="Bookman Old Style" w:cs="Times New Roman"/>
          <w:sz w:val="24"/>
          <w:szCs w:val="24"/>
          <w:lang w:eastAsia="es-CO"/>
        </w:rPr>
        <w:t xml:space="preserve"> competencia constitucional sobre el control de las armas</w:t>
      </w:r>
      <w:r w:rsidR="00CB5BAC">
        <w:rPr>
          <w:rFonts w:ascii="Bookman Old Style" w:eastAsia="Times New Roman" w:hAnsi="Bookman Old Style" w:cs="Times New Roman"/>
          <w:sz w:val="24"/>
          <w:szCs w:val="24"/>
          <w:lang w:eastAsia="es-CO"/>
        </w:rPr>
        <w:t xml:space="preserve"> mediante la</w:t>
      </w:r>
      <w:r w:rsidR="00125160">
        <w:rPr>
          <w:rFonts w:ascii="Bookman Old Style" w:eastAsia="Times New Roman" w:hAnsi="Bookman Old Style" w:cs="Times New Roman"/>
          <w:sz w:val="24"/>
          <w:szCs w:val="24"/>
          <w:lang w:eastAsia="es-CO"/>
        </w:rPr>
        <w:t xml:space="preserve"> </w:t>
      </w:r>
      <w:r w:rsidR="00CB5BAC">
        <w:rPr>
          <w:rFonts w:ascii="Bookman Old Style" w:eastAsia="Times New Roman" w:hAnsi="Bookman Old Style" w:cs="Times New Roman"/>
          <w:sz w:val="24"/>
          <w:szCs w:val="24"/>
          <w:lang w:eastAsia="es-CO"/>
        </w:rPr>
        <w:t>c</w:t>
      </w:r>
      <w:r w:rsidR="00125160">
        <w:rPr>
          <w:rFonts w:ascii="Bookman Old Style" w:eastAsia="Times New Roman" w:hAnsi="Bookman Old Style" w:cs="Times New Roman"/>
          <w:sz w:val="24"/>
          <w:szCs w:val="24"/>
          <w:lang w:eastAsia="es-CO"/>
        </w:rPr>
        <w:t>onsignación, c</w:t>
      </w:r>
      <w:r w:rsidR="00CB5BAC">
        <w:rPr>
          <w:rFonts w:ascii="Bookman Old Style" w:eastAsia="Times New Roman" w:hAnsi="Bookman Old Style" w:cs="Times New Roman"/>
          <w:sz w:val="24"/>
          <w:szCs w:val="24"/>
          <w:lang w:eastAsia="es-CO"/>
        </w:rPr>
        <w:t>esión</w:t>
      </w:r>
      <w:r w:rsidR="00125160">
        <w:rPr>
          <w:rFonts w:ascii="Bookman Old Style" w:eastAsia="Times New Roman" w:hAnsi="Bookman Old Style" w:cs="Times New Roman"/>
          <w:sz w:val="24"/>
          <w:szCs w:val="24"/>
          <w:lang w:eastAsia="es-CO"/>
        </w:rPr>
        <w:t xml:space="preserve"> y otorgamiento de las armas en el territorio nacional mediante su asignación a miembros, ex miembros y demás personas naturales que cumplan lo dispuesto por el Comando General de las Fuerzas militares y demás requisitos de ley. </w:t>
      </w:r>
    </w:p>
    <w:p w:rsidR="00FB013E" w:rsidRPr="00615CA6" w:rsidRDefault="00FB013E" w:rsidP="00FB013E">
      <w:pPr>
        <w:jc w:val="both"/>
        <w:rPr>
          <w:rFonts w:ascii="Bookman Old Style" w:hAnsi="Bookman Old Style" w:cs="Times New Roman"/>
          <w:sz w:val="24"/>
        </w:rPr>
      </w:pPr>
      <w:r w:rsidRPr="00615CA6">
        <w:rPr>
          <w:rFonts w:ascii="Bookman Old Style" w:hAnsi="Bookman Old Style" w:cs="Times New Roman"/>
          <w:sz w:val="24"/>
        </w:rPr>
        <w:t xml:space="preserve">De los Honorables Congresistas, </w:t>
      </w:r>
    </w:p>
    <w:p w:rsidR="00FB013E" w:rsidRDefault="00FB013E" w:rsidP="00125160">
      <w:pPr>
        <w:jc w:val="center"/>
        <w:rPr>
          <w:rFonts w:ascii="Bookman Old Style" w:hAnsi="Bookman Old Style" w:cs="Times New Roman"/>
          <w:sz w:val="24"/>
        </w:rPr>
      </w:pPr>
    </w:p>
    <w:p w:rsidR="00125160" w:rsidRDefault="00125160" w:rsidP="00125160">
      <w:pPr>
        <w:jc w:val="center"/>
        <w:rPr>
          <w:rFonts w:ascii="Bookman Old Style" w:hAnsi="Bookman Old Style" w:cs="Times New Roman"/>
          <w:sz w:val="24"/>
        </w:rPr>
      </w:pPr>
    </w:p>
    <w:p w:rsidR="00125160" w:rsidRDefault="00125160" w:rsidP="00125160">
      <w:pPr>
        <w:jc w:val="center"/>
        <w:rPr>
          <w:rFonts w:ascii="Bookman Old Style" w:hAnsi="Bookman Old Style" w:cs="Times New Roman"/>
          <w:sz w:val="24"/>
        </w:rPr>
      </w:pPr>
    </w:p>
    <w:p w:rsidR="00125160" w:rsidRPr="00125160" w:rsidRDefault="00125160" w:rsidP="00125160">
      <w:pPr>
        <w:pStyle w:val="Sinespaciado"/>
        <w:jc w:val="center"/>
        <w:rPr>
          <w:rFonts w:ascii="Bookman Old Style" w:hAnsi="Bookman Old Style"/>
          <w:b/>
        </w:rPr>
      </w:pPr>
      <w:r w:rsidRPr="00125160">
        <w:rPr>
          <w:rFonts w:ascii="Bookman Old Style" w:hAnsi="Bookman Old Style"/>
          <w:b/>
        </w:rPr>
        <w:t>JAIME ENRIQUE SERRANO PÉREZ</w:t>
      </w:r>
    </w:p>
    <w:p w:rsidR="00125160" w:rsidRPr="00125160" w:rsidRDefault="00125160" w:rsidP="00125160">
      <w:pPr>
        <w:pStyle w:val="Sinespaciado"/>
        <w:jc w:val="center"/>
        <w:rPr>
          <w:rFonts w:ascii="Bookman Old Style" w:hAnsi="Bookman Old Style"/>
        </w:rPr>
      </w:pPr>
      <w:r w:rsidRPr="00125160">
        <w:rPr>
          <w:rFonts w:ascii="Bookman Old Style" w:hAnsi="Bookman Old Style"/>
        </w:rPr>
        <w:t>Representante a la Cámara</w:t>
      </w:r>
    </w:p>
    <w:p w:rsidR="00125160" w:rsidRPr="00125160" w:rsidRDefault="00125160" w:rsidP="00125160">
      <w:pPr>
        <w:pStyle w:val="Sinespaciado"/>
        <w:jc w:val="center"/>
        <w:rPr>
          <w:rFonts w:ascii="Bookman Old Style" w:hAnsi="Bookman Old Style"/>
        </w:rPr>
      </w:pPr>
      <w:r w:rsidRPr="00125160">
        <w:rPr>
          <w:rFonts w:ascii="Bookman Old Style" w:hAnsi="Bookman Old Style"/>
        </w:rPr>
        <w:t>Departamento del Magdalena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B013E" w:rsidRPr="00125160" w:rsidTr="008557A3">
        <w:tc>
          <w:tcPr>
            <w:tcW w:w="4414" w:type="dxa"/>
          </w:tcPr>
          <w:p w:rsidR="00FB013E" w:rsidRPr="00125160" w:rsidRDefault="00FB013E" w:rsidP="00125160">
            <w:pPr>
              <w:pStyle w:val="Sinespaciado"/>
              <w:rPr>
                <w:rFonts w:ascii="Bookman Old Style" w:hAnsi="Bookman Old Style"/>
              </w:rPr>
            </w:pPr>
          </w:p>
        </w:tc>
        <w:tc>
          <w:tcPr>
            <w:tcW w:w="4414" w:type="dxa"/>
          </w:tcPr>
          <w:p w:rsidR="00FB013E" w:rsidRPr="00125160" w:rsidRDefault="00FB013E" w:rsidP="00125160">
            <w:pPr>
              <w:pStyle w:val="Sinespaciado"/>
              <w:rPr>
                <w:rFonts w:ascii="Bookman Old Style" w:hAnsi="Bookman Old Style"/>
              </w:rPr>
            </w:pPr>
          </w:p>
        </w:tc>
      </w:tr>
    </w:tbl>
    <w:p w:rsidR="00FB013E" w:rsidRPr="00E316DB" w:rsidRDefault="00FB013E" w:rsidP="00E316DB">
      <w:pPr>
        <w:spacing w:before="100" w:beforeAutospacing="1" w:after="100" w:afterAutospacing="1" w:line="240" w:lineRule="auto"/>
        <w:jc w:val="both"/>
        <w:rPr>
          <w:rFonts w:ascii="Times New Roman" w:eastAsia="Times New Roman" w:hAnsi="Times New Roman" w:cs="Times New Roman"/>
          <w:sz w:val="24"/>
          <w:szCs w:val="24"/>
          <w:lang w:eastAsia="es-CO"/>
        </w:rPr>
      </w:pPr>
    </w:p>
    <w:sectPr w:rsidR="00FB013E" w:rsidRPr="00E316DB" w:rsidSect="00077D7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1B1" w:rsidRDefault="00D871B1" w:rsidP="00077D70">
      <w:pPr>
        <w:spacing w:after="0" w:line="240" w:lineRule="auto"/>
      </w:pPr>
      <w:r>
        <w:separator/>
      </w:r>
    </w:p>
  </w:endnote>
  <w:endnote w:type="continuationSeparator" w:id="0">
    <w:p w:rsidR="00D871B1" w:rsidRDefault="00D871B1" w:rsidP="000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1B1" w:rsidRDefault="00D871B1" w:rsidP="00077D70">
      <w:pPr>
        <w:spacing w:after="0" w:line="240" w:lineRule="auto"/>
      </w:pPr>
      <w:r>
        <w:separator/>
      </w:r>
    </w:p>
  </w:footnote>
  <w:footnote w:type="continuationSeparator" w:id="0">
    <w:p w:rsidR="00D871B1" w:rsidRDefault="00D871B1" w:rsidP="00077D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26"/>
    <w:rsid w:val="000066EC"/>
    <w:rsid w:val="00013431"/>
    <w:rsid w:val="00077A6B"/>
    <w:rsid w:val="00077D70"/>
    <w:rsid w:val="000D5075"/>
    <w:rsid w:val="000F59E5"/>
    <w:rsid w:val="00125160"/>
    <w:rsid w:val="00215C49"/>
    <w:rsid w:val="002E0A94"/>
    <w:rsid w:val="0035395C"/>
    <w:rsid w:val="003940A6"/>
    <w:rsid w:val="003E1162"/>
    <w:rsid w:val="004321B5"/>
    <w:rsid w:val="00432D37"/>
    <w:rsid w:val="004624F0"/>
    <w:rsid w:val="005030CC"/>
    <w:rsid w:val="0051774E"/>
    <w:rsid w:val="00615CA6"/>
    <w:rsid w:val="006D124A"/>
    <w:rsid w:val="00785B1A"/>
    <w:rsid w:val="007A0C02"/>
    <w:rsid w:val="007C6847"/>
    <w:rsid w:val="00822592"/>
    <w:rsid w:val="008333CC"/>
    <w:rsid w:val="008F7226"/>
    <w:rsid w:val="00B24169"/>
    <w:rsid w:val="00B34080"/>
    <w:rsid w:val="00BD0778"/>
    <w:rsid w:val="00BF1DE3"/>
    <w:rsid w:val="00CB5BAC"/>
    <w:rsid w:val="00D27922"/>
    <w:rsid w:val="00D871B1"/>
    <w:rsid w:val="00D91922"/>
    <w:rsid w:val="00D94F41"/>
    <w:rsid w:val="00E06D3C"/>
    <w:rsid w:val="00E203E3"/>
    <w:rsid w:val="00E316DB"/>
    <w:rsid w:val="00E44F67"/>
    <w:rsid w:val="00E71C5E"/>
    <w:rsid w:val="00EA6512"/>
    <w:rsid w:val="00EB44A6"/>
    <w:rsid w:val="00EE2A26"/>
    <w:rsid w:val="00F16444"/>
    <w:rsid w:val="00F739EA"/>
    <w:rsid w:val="00F94616"/>
    <w:rsid w:val="00FB013E"/>
    <w:rsid w:val="00FB3109"/>
    <w:rsid w:val="00FB50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2B903-7BE9-4F7B-9FF7-9ABC5605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A0C02"/>
    <w:pPr>
      <w:spacing w:after="0" w:line="240" w:lineRule="auto"/>
    </w:pPr>
  </w:style>
  <w:style w:type="table" w:styleId="Tablaconcuadrcula">
    <w:name w:val="Table Grid"/>
    <w:basedOn w:val="Tablanormal"/>
    <w:uiPriority w:val="39"/>
    <w:rsid w:val="00F9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1162"/>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215C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5C49"/>
    <w:rPr>
      <w:rFonts w:ascii="Segoe UI" w:hAnsi="Segoe UI" w:cs="Segoe UI"/>
      <w:sz w:val="18"/>
      <w:szCs w:val="18"/>
    </w:rPr>
  </w:style>
  <w:style w:type="paragraph" w:styleId="Encabezado">
    <w:name w:val="header"/>
    <w:basedOn w:val="Normal"/>
    <w:link w:val="EncabezadoCar"/>
    <w:uiPriority w:val="99"/>
    <w:unhideWhenUsed/>
    <w:rsid w:val="00077D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7D70"/>
  </w:style>
  <w:style w:type="paragraph" w:styleId="Piedepgina">
    <w:name w:val="footer"/>
    <w:basedOn w:val="Normal"/>
    <w:link w:val="PiedepginaCar"/>
    <w:uiPriority w:val="99"/>
    <w:unhideWhenUsed/>
    <w:rsid w:val="00077D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8231">
      <w:bodyDiv w:val="1"/>
      <w:marLeft w:val="0"/>
      <w:marRight w:val="0"/>
      <w:marTop w:val="0"/>
      <w:marBottom w:val="0"/>
      <w:divBdr>
        <w:top w:val="none" w:sz="0" w:space="0" w:color="auto"/>
        <w:left w:val="none" w:sz="0" w:space="0" w:color="auto"/>
        <w:bottom w:val="none" w:sz="0" w:space="0" w:color="auto"/>
        <w:right w:val="none" w:sz="0" w:space="0" w:color="auto"/>
      </w:divBdr>
    </w:div>
    <w:div w:id="229728112">
      <w:bodyDiv w:val="1"/>
      <w:marLeft w:val="0"/>
      <w:marRight w:val="0"/>
      <w:marTop w:val="0"/>
      <w:marBottom w:val="0"/>
      <w:divBdr>
        <w:top w:val="none" w:sz="0" w:space="0" w:color="auto"/>
        <w:left w:val="none" w:sz="0" w:space="0" w:color="auto"/>
        <w:bottom w:val="none" w:sz="0" w:space="0" w:color="auto"/>
        <w:right w:val="none" w:sz="0" w:space="0" w:color="auto"/>
      </w:divBdr>
      <w:divsChild>
        <w:div w:id="536234389">
          <w:marLeft w:val="0"/>
          <w:marRight w:val="0"/>
          <w:marTop w:val="0"/>
          <w:marBottom w:val="0"/>
          <w:divBdr>
            <w:top w:val="none" w:sz="0" w:space="0" w:color="auto"/>
            <w:left w:val="none" w:sz="0" w:space="0" w:color="auto"/>
            <w:bottom w:val="none" w:sz="0" w:space="0" w:color="auto"/>
            <w:right w:val="none" w:sz="0" w:space="0" w:color="auto"/>
          </w:divBdr>
        </w:div>
        <w:div w:id="12583157">
          <w:marLeft w:val="0"/>
          <w:marRight w:val="0"/>
          <w:marTop w:val="0"/>
          <w:marBottom w:val="0"/>
          <w:divBdr>
            <w:top w:val="none" w:sz="0" w:space="0" w:color="auto"/>
            <w:left w:val="none" w:sz="0" w:space="0" w:color="auto"/>
            <w:bottom w:val="none" w:sz="0" w:space="0" w:color="auto"/>
            <w:right w:val="none" w:sz="0" w:space="0" w:color="auto"/>
          </w:divBdr>
        </w:div>
        <w:div w:id="1240359155">
          <w:marLeft w:val="0"/>
          <w:marRight w:val="0"/>
          <w:marTop w:val="0"/>
          <w:marBottom w:val="0"/>
          <w:divBdr>
            <w:top w:val="none" w:sz="0" w:space="0" w:color="auto"/>
            <w:left w:val="none" w:sz="0" w:space="0" w:color="auto"/>
            <w:bottom w:val="none" w:sz="0" w:space="0" w:color="auto"/>
            <w:right w:val="none" w:sz="0" w:space="0" w:color="auto"/>
          </w:divBdr>
        </w:div>
        <w:div w:id="1921022849">
          <w:marLeft w:val="0"/>
          <w:marRight w:val="0"/>
          <w:marTop w:val="0"/>
          <w:marBottom w:val="0"/>
          <w:divBdr>
            <w:top w:val="none" w:sz="0" w:space="0" w:color="auto"/>
            <w:left w:val="none" w:sz="0" w:space="0" w:color="auto"/>
            <w:bottom w:val="none" w:sz="0" w:space="0" w:color="auto"/>
            <w:right w:val="none" w:sz="0" w:space="0" w:color="auto"/>
          </w:divBdr>
        </w:div>
        <w:div w:id="885064941">
          <w:marLeft w:val="0"/>
          <w:marRight w:val="0"/>
          <w:marTop w:val="0"/>
          <w:marBottom w:val="0"/>
          <w:divBdr>
            <w:top w:val="none" w:sz="0" w:space="0" w:color="auto"/>
            <w:left w:val="none" w:sz="0" w:space="0" w:color="auto"/>
            <w:bottom w:val="none" w:sz="0" w:space="0" w:color="auto"/>
            <w:right w:val="none" w:sz="0" w:space="0" w:color="auto"/>
          </w:divBdr>
        </w:div>
        <w:div w:id="2091804595">
          <w:marLeft w:val="0"/>
          <w:marRight w:val="0"/>
          <w:marTop w:val="0"/>
          <w:marBottom w:val="0"/>
          <w:divBdr>
            <w:top w:val="none" w:sz="0" w:space="0" w:color="auto"/>
            <w:left w:val="none" w:sz="0" w:space="0" w:color="auto"/>
            <w:bottom w:val="none" w:sz="0" w:space="0" w:color="auto"/>
            <w:right w:val="none" w:sz="0" w:space="0" w:color="auto"/>
          </w:divBdr>
        </w:div>
        <w:div w:id="1892569329">
          <w:marLeft w:val="0"/>
          <w:marRight w:val="0"/>
          <w:marTop w:val="0"/>
          <w:marBottom w:val="0"/>
          <w:divBdr>
            <w:top w:val="none" w:sz="0" w:space="0" w:color="auto"/>
            <w:left w:val="none" w:sz="0" w:space="0" w:color="auto"/>
            <w:bottom w:val="none" w:sz="0" w:space="0" w:color="auto"/>
            <w:right w:val="none" w:sz="0" w:space="0" w:color="auto"/>
          </w:divBdr>
        </w:div>
        <w:div w:id="1160266546">
          <w:marLeft w:val="0"/>
          <w:marRight w:val="0"/>
          <w:marTop w:val="0"/>
          <w:marBottom w:val="0"/>
          <w:divBdr>
            <w:top w:val="none" w:sz="0" w:space="0" w:color="auto"/>
            <w:left w:val="none" w:sz="0" w:space="0" w:color="auto"/>
            <w:bottom w:val="none" w:sz="0" w:space="0" w:color="auto"/>
            <w:right w:val="none" w:sz="0" w:space="0" w:color="auto"/>
          </w:divBdr>
        </w:div>
        <w:div w:id="2097094043">
          <w:marLeft w:val="0"/>
          <w:marRight w:val="0"/>
          <w:marTop w:val="0"/>
          <w:marBottom w:val="0"/>
          <w:divBdr>
            <w:top w:val="none" w:sz="0" w:space="0" w:color="auto"/>
            <w:left w:val="none" w:sz="0" w:space="0" w:color="auto"/>
            <w:bottom w:val="none" w:sz="0" w:space="0" w:color="auto"/>
            <w:right w:val="none" w:sz="0" w:space="0" w:color="auto"/>
          </w:divBdr>
        </w:div>
        <w:div w:id="1280912764">
          <w:marLeft w:val="0"/>
          <w:marRight w:val="0"/>
          <w:marTop w:val="0"/>
          <w:marBottom w:val="0"/>
          <w:divBdr>
            <w:top w:val="none" w:sz="0" w:space="0" w:color="auto"/>
            <w:left w:val="none" w:sz="0" w:space="0" w:color="auto"/>
            <w:bottom w:val="none" w:sz="0" w:space="0" w:color="auto"/>
            <w:right w:val="none" w:sz="0" w:space="0" w:color="auto"/>
          </w:divBdr>
        </w:div>
        <w:div w:id="2128233627">
          <w:marLeft w:val="0"/>
          <w:marRight w:val="0"/>
          <w:marTop w:val="0"/>
          <w:marBottom w:val="0"/>
          <w:divBdr>
            <w:top w:val="none" w:sz="0" w:space="0" w:color="auto"/>
            <w:left w:val="none" w:sz="0" w:space="0" w:color="auto"/>
            <w:bottom w:val="none" w:sz="0" w:space="0" w:color="auto"/>
            <w:right w:val="none" w:sz="0" w:space="0" w:color="auto"/>
          </w:divBdr>
        </w:div>
      </w:divsChild>
    </w:div>
    <w:div w:id="1930187513">
      <w:bodyDiv w:val="1"/>
      <w:marLeft w:val="0"/>
      <w:marRight w:val="0"/>
      <w:marTop w:val="0"/>
      <w:marBottom w:val="0"/>
      <w:divBdr>
        <w:top w:val="none" w:sz="0" w:space="0" w:color="auto"/>
        <w:left w:val="none" w:sz="0" w:space="0" w:color="auto"/>
        <w:bottom w:val="none" w:sz="0" w:space="0" w:color="auto"/>
        <w:right w:val="none" w:sz="0" w:space="0" w:color="auto"/>
      </w:divBdr>
    </w:div>
    <w:div w:id="1949701399">
      <w:bodyDiv w:val="1"/>
      <w:marLeft w:val="0"/>
      <w:marRight w:val="0"/>
      <w:marTop w:val="0"/>
      <w:marBottom w:val="0"/>
      <w:divBdr>
        <w:top w:val="none" w:sz="0" w:space="0" w:color="auto"/>
        <w:left w:val="none" w:sz="0" w:space="0" w:color="auto"/>
        <w:bottom w:val="none" w:sz="0" w:space="0" w:color="auto"/>
        <w:right w:val="none" w:sz="0" w:space="0" w:color="auto"/>
      </w:divBdr>
    </w:div>
    <w:div w:id="21414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BDA6-9666-4EAB-8126-49DF77B1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7510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jaimeserrano</dc:creator>
  <cp:keywords/>
  <dc:description/>
  <cp:lastModifiedBy>Hasbleidy Súarez Sánchez</cp:lastModifiedBy>
  <cp:revision>2</cp:revision>
  <cp:lastPrinted>2017-07-18T20:19:00Z</cp:lastPrinted>
  <dcterms:created xsi:type="dcterms:W3CDTF">2017-07-24T19:31:00Z</dcterms:created>
  <dcterms:modified xsi:type="dcterms:W3CDTF">2017-07-24T19:31:00Z</dcterms:modified>
</cp:coreProperties>
</file>