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A3E" w:rsidRPr="00B45E5C" w:rsidRDefault="00524A3E">
      <w:pPr>
        <w:jc w:val="center"/>
        <w:rPr>
          <w:rFonts w:eastAsia="Quattrocento Sans"/>
          <w:b/>
          <w:highlight w:val="white"/>
        </w:rPr>
      </w:pPr>
      <w:bookmarkStart w:id="0" w:name="_GoBack"/>
      <w:bookmarkEnd w:id="0"/>
    </w:p>
    <w:p w:rsidR="00524A3E" w:rsidRPr="00B45E5C" w:rsidRDefault="00127967">
      <w:pPr>
        <w:jc w:val="center"/>
        <w:rPr>
          <w:rFonts w:eastAsia="Quattrocento Sans"/>
        </w:rPr>
      </w:pPr>
      <w:r w:rsidRPr="00B45E5C">
        <w:rPr>
          <w:rFonts w:eastAsia="Quattrocento Sans"/>
          <w:b/>
          <w:highlight w:val="white"/>
        </w:rPr>
        <w:t>PROYECTO DE LEY __ DE 2018</w:t>
      </w:r>
    </w:p>
    <w:p w:rsidR="00524A3E" w:rsidRPr="00B45E5C" w:rsidRDefault="00127967">
      <w:pPr>
        <w:jc w:val="center"/>
        <w:rPr>
          <w:rFonts w:eastAsia="Quattrocento Sans"/>
        </w:rPr>
      </w:pPr>
      <w:r w:rsidRPr="00B45E5C">
        <w:rPr>
          <w:rFonts w:eastAsia="Quattrocento Sans"/>
          <w:highlight w:val="white"/>
        </w:rPr>
        <w:t>“Por el cual se establece un tope para el salario de los congresistas y altos funcionarios del Estado”</w:t>
      </w:r>
    </w:p>
    <w:p w:rsidR="00524A3E" w:rsidRPr="00B45E5C" w:rsidRDefault="00127967">
      <w:pPr>
        <w:jc w:val="center"/>
        <w:rPr>
          <w:rFonts w:eastAsia="Quattrocento Sans"/>
        </w:rPr>
      </w:pPr>
      <w:r w:rsidRPr="00B45E5C">
        <w:rPr>
          <w:rFonts w:eastAsia="Quattrocento Sans"/>
        </w:rPr>
        <w:t xml:space="preserve"> </w:t>
      </w:r>
    </w:p>
    <w:p w:rsidR="00524A3E" w:rsidRPr="00B45E5C" w:rsidRDefault="00127967">
      <w:pPr>
        <w:jc w:val="center"/>
        <w:rPr>
          <w:rFonts w:eastAsia="Quattrocento Sans"/>
        </w:rPr>
      </w:pPr>
      <w:r w:rsidRPr="00B45E5C">
        <w:rPr>
          <w:rFonts w:eastAsia="Quattrocento Sans"/>
          <w:highlight w:val="white"/>
        </w:rPr>
        <w:t>El Congreso de Colombia</w:t>
      </w:r>
    </w:p>
    <w:p w:rsidR="00524A3E" w:rsidRPr="00B45E5C" w:rsidRDefault="00524A3E">
      <w:pPr>
        <w:jc w:val="center"/>
        <w:rPr>
          <w:rFonts w:eastAsia="Quattrocento Sans"/>
        </w:rPr>
      </w:pPr>
    </w:p>
    <w:p w:rsidR="00524A3E" w:rsidRPr="00B45E5C" w:rsidRDefault="00127967">
      <w:pPr>
        <w:jc w:val="center"/>
        <w:rPr>
          <w:rFonts w:eastAsia="Quattrocento Sans"/>
        </w:rPr>
      </w:pPr>
      <w:r w:rsidRPr="00B45E5C">
        <w:rPr>
          <w:rFonts w:eastAsia="Quattrocento Sans"/>
          <w:highlight w:val="white"/>
        </w:rPr>
        <w:t>DECRETA:</w:t>
      </w:r>
    </w:p>
    <w:p w:rsidR="00524A3E" w:rsidRPr="00B45E5C" w:rsidRDefault="00524A3E">
      <w:pPr>
        <w:jc w:val="both"/>
        <w:rPr>
          <w:rFonts w:eastAsia="Quattrocento Sans"/>
        </w:rPr>
      </w:pPr>
    </w:p>
    <w:p w:rsidR="00524A3E" w:rsidRPr="00B45E5C" w:rsidRDefault="00127967">
      <w:pPr>
        <w:jc w:val="both"/>
        <w:rPr>
          <w:rFonts w:eastAsia="Quattrocento Sans"/>
          <w:highlight w:val="white"/>
        </w:rPr>
      </w:pPr>
      <w:r w:rsidRPr="00B45E5C">
        <w:rPr>
          <w:rFonts w:eastAsia="Quattrocento Sans"/>
          <w:b/>
          <w:highlight w:val="white"/>
        </w:rPr>
        <w:t>Artículo 1º Objeto.</w:t>
      </w:r>
      <w:r w:rsidRPr="00B45E5C">
        <w:rPr>
          <w:rFonts w:eastAsia="Quattrocento Sans"/>
          <w:highlight w:val="white"/>
        </w:rPr>
        <w:t xml:space="preserve"> La presente ley tiene por objeto establecer una máxima remuneración mensual para los congresistas y altos funcionarios del Estado como medida de equidad.</w:t>
      </w:r>
    </w:p>
    <w:p w:rsidR="00524A3E" w:rsidRPr="00B45E5C" w:rsidRDefault="00524A3E">
      <w:pPr>
        <w:jc w:val="both"/>
        <w:rPr>
          <w:rFonts w:eastAsia="Quattrocento Sans"/>
          <w:highlight w:val="white"/>
        </w:rPr>
      </w:pPr>
    </w:p>
    <w:p w:rsidR="00524A3E" w:rsidRPr="00B45E5C" w:rsidRDefault="00127967">
      <w:pPr>
        <w:jc w:val="both"/>
        <w:rPr>
          <w:rFonts w:eastAsia="Quattrocento Sans"/>
        </w:rPr>
      </w:pPr>
      <w:r w:rsidRPr="00B45E5C">
        <w:rPr>
          <w:rFonts w:eastAsia="Quattrocento Sans"/>
          <w:b/>
          <w:highlight w:val="white"/>
        </w:rPr>
        <w:t>Artículo 2º.</w:t>
      </w:r>
      <w:r w:rsidRPr="00B45E5C">
        <w:rPr>
          <w:rFonts w:eastAsia="Quattrocento Sans"/>
        </w:rPr>
        <w:t xml:space="preserve"> Adiciónese un parágrafo al artículo 1 de la Ley 4 de 1992, el cual quedará así;</w:t>
      </w:r>
    </w:p>
    <w:p w:rsidR="00524A3E" w:rsidRPr="00B45E5C" w:rsidRDefault="00524A3E">
      <w:pPr>
        <w:jc w:val="both"/>
        <w:rPr>
          <w:rFonts w:eastAsia="Quattrocento Sans"/>
        </w:rPr>
      </w:pPr>
    </w:p>
    <w:p w:rsidR="00524A3E" w:rsidRPr="00B45E5C" w:rsidRDefault="00127967">
      <w:pPr>
        <w:ind w:left="720" w:hanging="11"/>
        <w:jc w:val="both"/>
        <w:rPr>
          <w:rFonts w:eastAsia="Quattrocento Sans"/>
          <w:b/>
          <w:u w:val="single"/>
        </w:rPr>
      </w:pPr>
      <w:r w:rsidRPr="00B45E5C">
        <w:rPr>
          <w:rFonts w:eastAsia="Quattrocento Sans"/>
          <w:b/>
          <w:u w:val="single"/>
        </w:rPr>
        <w:t>PARÁGRAFO. En cualquier caso, para la fijación del régimen salarial y prestacional a que se refiere el presente artículo, el Gobierno Nacional sólo podrá establecer como máxima remuneración mensual para los congresistas y para los funcionarios de los que trata el artículo 197 constitucional, la equivalente a 25 Salarios Mínimos Mensuales Legales Vigentes.</w:t>
      </w:r>
    </w:p>
    <w:p w:rsidR="00524A3E" w:rsidRPr="00B45E5C" w:rsidRDefault="00524A3E">
      <w:pPr>
        <w:ind w:left="720" w:hanging="11"/>
        <w:jc w:val="both"/>
        <w:rPr>
          <w:rFonts w:eastAsia="Quattrocento Sans"/>
          <w:b/>
          <w:u w:val="single"/>
        </w:rPr>
      </w:pPr>
    </w:p>
    <w:p w:rsidR="00524A3E" w:rsidRPr="00B45E5C" w:rsidRDefault="00127967">
      <w:pPr>
        <w:ind w:left="720" w:hanging="11"/>
        <w:jc w:val="both"/>
        <w:rPr>
          <w:rFonts w:eastAsia="Quattrocento Sans"/>
          <w:b/>
          <w:u w:val="single"/>
        </w:rPr>
      </w:pPr>
      <w:r w:rsidRPr="00B45E5C">
        <w:rPr>
          <w:rFonts w:eastAsia="Quattrocento Sans"/>
          <w:b/>
          <w:u w:val="single"/>
        </w:rPr>
        <w:t xml:space="preserve">El Gobierno Nacional deberá tomar las medidas necesarias para que con el tope de 25 Salarios Mínimos Mensuales Legales Vigentes a que se refiere la presente ley, en ningún caso, se afecte el salario de aquellos servidores públicos que devenguen una remuneración mensual inferior a ese tope. </w:t>
      </w:r>
    </w:p>
    <w:p w:rsidR="00524A3E" w:rsidRPr="00B45E5C" w:rsidRDefault="00524A3E">
      <w:pPr>
        <w:ind w:left="720" w:hanging="11"/>
        <w:jc w:val="both"/>
        <w:rPr>
          <w:rFonts w:eastAsia="Quattrocento Sans"/>
          <w:b/>
          <w:u w:val="single"/>
        </w:rPr>
      </w:pPr>
    </w:p>
    <w:p w:rsidR="00524A3E" w:rsidRPr="00B45E5C" w:rsidRDefault="00127967">
      <w:pPr>
        <w:jc w:val="both"/>
        <w:rPr>
          <w:rFonts w:eastAsia="Quattrocento Sans"/>
        </w:rPr>
      </w:pPr>
      <w:r w:rsidRPr="00B45E5C">
        <w:rPr>
          <w:rFonts w:eastAsia="Quattrocento Sans"/>
          <w:b/>
        </w:rPr>
        <w:t>Artículo 3°.</w:t>
      </w:r>
      <w:r w:rsidRPr="00B45E5C">
        <w:rPr>
          <w:rFonts w:eastAsia="Quattrocento Sans"/>
        </w:rPr>
        <w:t xml:space="preserve"> Adiciónese un parágrafo al artículo 2 de la Ley 4 de 1992, el cual quedará así:</w:t>
      </w:r>
    </w:p>
    <w:p w:rsidR="00524A3E" w:rsidRPr="00B45E5C" w:rsidRDefault="00524A3E">
      <w:pPr>
        <w:jc w:val="both"/>
        <w:rPr>
          <w:rFonts w:eastAsia="Quattrocento Sans"/>
        </w:rPr>
      </w:pPr>
    </w:p>
    <w:p w:rsidR="00524A3E" w:rsidRPr="00B45E5C" w:rsidRDefault="00127967">
      <w:pPr>
        <w:ind w:left="720" w:hanging="11"/>
        <w:jc w:val="both"/>
        <w:rPr>
          <w:rFonts w:eastAsia="Quattrocento Sans"/>
          <w:b/>
          <w:u w:val="single"/>
        </w:rPr>
      </w:pPr>
      <w:r w:rsidRPr="00B45E5C">
        <w:rPr>
          <w:rFonts w:eastAsia="Quattrocento Sans"/>
          <w:b/>
          <w:u w:val="single"/>
        </w:rPr>
        <w:t xml:space="preserve">PARÁGRAFO. </w:t>
      </w:r>
      <w:r w:rsidR="00BF41FB" w:rsidRPr="00B45E5C">
        <w:rPr>
          <w:rFonts w:eastAsia="Quattrocento Sans"/>
          <w:b/>
          <w:u w:val="single"/>
        </w:rPr>
        <w:t>En ninguna circunstancia</w:t>
      </w:r>
      <w:r w:rsidRPr="00B45E5C">
        <w:rPr>
          <w:rFonts w:eastAsia="Quattrocento Sans"/>
          <w:b/>
          <w:u w:val="single"/>
        </w:rPr>
        <w:t xml:space="preserve"> el Gobierno Nacional podrá tomar como referente los salarios devengados por los congresistas para la fijación del régimen salarial y prestacional de los demás servidores públicos.</w:t>
      </w:r>
    </w:p>
    <w:p w:rsidR="00524A3E" w:rsidRPr="00B45E5C" w:rsidRDefault="00524A3E">
      <w:pPr>
        <w:ind w:left="720" w:hanging="11"/>
        <w:jc w:val="both"/>
        <w:rPr>
          <w:rFonts w:eastAsia="Quattrocento Sans"/>
          <w:b/>
          <w:u w:val="single"/>
        </w:rPr>
      </w:pPr>
    </w:p>
    <w:p w:rsidR="00524A3E" w:rsidRPr="00B45E5C" w:rsidRDefault="00127967">
      <w:pPr>
        <w:jc w:val="both"/>
        <w:rPr>
          <w:rFonts w:eastAsia="Quattrocento Sans"/>
        </w:rPr>
      </w:pPr>
      <w:r w:rsidRPr="00B45E5C">
        <w:rPr>
          <w:rFonts w:eastAsia="Quattrocento Sans"/>
          <w:b/>
        </w:rPr>
        <w:t>Artículo 4°.</w:t>
      </w:r>
      <w:r w:rsidRPr="00B45E5C">
        <w:rPr>
          <w:rFonts w:eastAsia="Quattrocento Sans"/>
        </w:rPr>
        <w:t xml:space="preserve"> Modifíquese el artículo 15 de la Ley 4 de 1992 el cual quedará así:</w:t>
      </w:r>
    </w:p>
    <w:p w:rsidR="00524A3E" w:rsidRPr="00B45E5C" w:rsidRDefault="00524A3E">
      <w:pPr>
        <w:spacing w:before="20" w:after="20"/>
        <w:jc w:val="both"/>
        <w:rPr>
          <w:rFonts w:eastAsia="Quattrocento Sans"/>
        </w:rPr>
      </w:pPr>
    </w:p>
    <w:p w:rsidR="00524A3E" w:rsidRPr="00B45E5C" w:rsidRDefault="00127967">
      <w:pPr>
        <w:pBdr>
          <w:top w:val="nil"/>
          <w:left w:val="nil"/>
          <w:bottom w:val="nil"/>
          <w:right w:val="nil"/>
          <w:between w:val="nil"/>
        </w:pBdr>
        <w:ind w:left="720" w:hanging="11"/>
        <w:jc w:val="both"/>
        <w:rPr>
          <w:rFonts w:eastAsia="Quattrocento Sans"/>
        </w:rPr>
      </w:pPr>
      <w:r w:rsidRPr="00B45E5C">
        <w:rPr>
          <w:rFonts w:eastAsia="Quattrocento Sans"/>
        </w:rPr>
        <w:t xml:space="preserve">ARTÍCULO 15. Los Magistrados del Consejo Superior de la Judicatura, de la Corte Suprema de Justicia, de la Corte Constitucional, del Consejo de Estado, el Procurador General de la Nación, el Contralor General de la República, el Fiscal General de la Nación, el Defensor del Pueblo y el Registrador Nacional del Estado Civil tendrán una prima especial de servicios, que sumada a los demás ingresos laborales, </w:t>
      </w:r>
      <w:r w:rsidRPr="00B45E5C">
        <w:rPr>
          <w:rFonts w:eastAsia="Quattrocento Sans"/>
          <w:b/>
          <w:u w:val="single"/>
        </w:rPr>
        <w:t>no podrá superar los 25 Salarios Mínimos Mensuales Legales Vigentes.</w:t>
      </w:r>
      <w:r w:rsidRPr="00B45E5C">
        <w:rPr>
          <w:rFonts w:eastAsia="Quattrocento Sans"/>
        </w:rPr>
        <w:t xml:space="preserve"> </w:t>
      </w:r>
      <w:r w:rsidRPr="00B45E5C">
        <w:rPr>
          <w:rFonts w:eastAsia="Quattrocento Sans"/>
          <w:b/>
          <w:strike/>
        </w:rPr>
        <w:t xml:space="preserve"> igualen a los percibidos en su totalidad, por los miembros del Congreso</w:t>
      </w:r>
      <w:r w:rsidRPr="00B45E5C">
        <w:rPr>
          <w:rFonts w:eastAsia="Quattrocento Sans"/>
        </w:rPr>
        <w:t xml:space="preserve">, </w:t>
      </w:r>
      <w:r w:rsidRPr="00B45E5C">
        <w:rPr>
          <w:rFonts w:eastAsia="Quattrocento Sans"/>
          <w:b/>
          <w:strike/>
        </w:rPr>
        <w:t>sin que en ningún caso los supere.</w:t>
      </w:r>
      <w:r w:rsidRPr="00B45E5C">
        <w:rPr>
          <w:rFonts w:eastAsia="Quattrocento Sans"/>
        </w:rPr>
        <w:t xml:space="preserve"> El Gobierno podrá fijar la misma prima para los Ministros del Despacho, los Generales y Almirantes de la Fuerza Pública.</w:t>
      </w:r>
    </w:p>
    <w:p w:rsidR="00524A3E" w:rsidRPr="00B45E5C" w:rsidRDefault="00524A3E">
      <w:pPr>
        <w:pBdr>
          <w:top w:val="nil"/>
          <w:left w:val="nil"/>
          <w:bottom w:val="nil"/>
          <w:right w:val="nil"/>
          <w:between w:val="nil"/>
        </w:pBdr>
        <w:ind w:left="720" w:hanging="11"/>
        <w:jc w:val="both"/>
        <w:rPr>
          <w:rFonts w:eastAsia="Quattrocento Sans"/>
          <w:b/>
          <w:u w:val="single"/>
        </w:rPr>
      </w:pPr>
    </w:p>
    <w:p w:rsidR="00524A3E" w:rsidRPr="00B45E5C" w:rsidRDefault="00524A3E">
      <w:pPr>
        <w:pBdr>
          <w:top w:val="nil"/>
          <w:left w:val="nil"/>
          <w:bottom w:val="nil"/>
          <w:right w:val="nil"/>
          <w:between w:val="nil"/>
        </w:pBdr>
        <w:jc w:val="both"/>
        <w:rPr>
          <w:rFonts w:eastAsia="Quattrocento Sans"/>
          <w:b/>
          <w:u w:val="single"/>
        </w:rPr>
      </w:pPr>
    </w:p>
    <w:p w:rsidR="00524A3E" w:rsidRPr="00B45E5C" w:rsidRDefault="00127967">
      <w:pPr>
        <w:spacing w:before="20" w:after="20"/>
        <w:jc w:val="both"/>
        <w:rPr>
          <w:rFonts w:eastAsia="Quattrocento Sans"/>
        </w:rPr>
      </w:pPr>
      <w:r w:rsidRPr="00B45E5C">
        <w:rPr>
          <w:rFonts w:eastAsia="Quattrocento Sans"/>
          <w:b/>
        </w:rPr>
        <w:t>Artículo 5°.</w:t>
      </w:r>
      <w:r w:rsidRPr="00B45E5C">
        <w:rPr>
          <w:rFonts w:eastAsia="Quattrocento Sans"/>
        </w:rPr>
        <w:t xml:space="preserve"> Dentro de los 6 meses siguientes a la entrada en vigencia de la presente ley el Gobierno Nacional reglamentará la materia. </w:t>
      </w:r>
    </w:p>
    <w:p w:rsidR="00524A3E" w:rsidRPr="00B45E5C" w:rsidRDefault="00524A3E">
      <w:pPr>
        <w:spacing w:before="20" w:after="20"/>
        <w:jc w:val="both"/>
        <w:rPr>
          <w:rFonts w:eastAsia="Quattrocento Sans"/>
          <w:b/>
        </w:rPr>
      </w:pPr>
    </w:p>
    <w:p w:rsidR="00524A3E" w:rsidRPr="00B45E5C" w:rsidRDefault="00127967">
      <w:pPr>
        <w:spacing w:before="20" w:after="20"/>
        <w:jc w:val="both"/>
        <w:rPr>
          <w:rFonts w:eastAsia="Quattrocento Sans"/>
        </w:rPr>
      </w:pPr>
      <w:r w:rsidRPr="00B45E5C">
        <w:rPr>
          <w:rFonts w:eastAsia="Quattrocento Sans"/>
          <w:b/>
        </w:rPr>
        <w:t xml:space="preserve">Artículo 7°. Derogatorias. </w:t>
      </w:r>
      <w:r w:rsidRPr="00B45E5C">
        <w:rPr>
          <w:rFonts w:eastAsia="Quattrocento Sans"/>
        </w:rPr>
        <w:t xml:space="preserve">La presente ley deroga el parágrafo del artículo 4 de la Ley 4 de 1992, todas las disposiciones que le sean contrarias y en especial las relacionadas con el otorgamiento de primas, bonificaciones y gastos de representación que pretendan otorgar remuneraciones mensuales superiores a 25 Salarios Mínimos Mensuales Legales Vigentes a los congresistas y los funcionarios de que trata el artículo 197 constitucional. </w:t>
      </w:r>
    </w:p>
    <w:p w:rsidR="00524A3E" w:rsidRPr="00B45E5C" w:rsidRDefault="00524A3E">
      <w:pPr>
        <w:spacing w:before="20" w:after="20"/>
        <w:jc w:val="both"/>
        <w:rPr>
          <w:rFonts w:eastAsia="Quattrocento Sans"/>
        </w:rPr>
      </w:pPr>
    </w:p>
    <w:p w:rsidR="00524A3E" w:rsidRPr="00B45E5C" w:rsidRDefault="00127967">
      <w:pPr>
        <w:spacing w:before="20" w:after="20"/>
        <w:jc w:val="both"/>
        <w:rPr>
          <w:rFonts w:eastAsia="Quattrocento Sans"/>
        </w:rPr>
      </w:pPr>
      <w:r w:rsidRPr="00B45E5C">
        <w:rPr>
          <w:rFonts w:eastAsia="Quattrocento Sans"/>
          <w:b/>
        </w:rPr>
        <w:t xml:space="preserve">Artículo 8¨°. Vigencia. </w:t>
      </w:r>
      <w:r w:rsidRPr="00B45E5C">
        <w:rPr>
          <w:rFonts w:eastAsia="Quattrocento Sans"/>
        </w:rPr>
        <w:t>La presente Ley rige a partir de su promulgación,</w:t>
      </w:r>
    </w:p>
    <w:p w:rsidR="00524A3E" w:rsidRPr="00B45E5C" w:rsidRDefault="00524A3E">
      <w:pPr>
        <w:pBdr>
          <w:top w:val="nil"/>
          <w:left w:val="nil"/>
          <w:bottom w:val="nil"/>
          <w:right w:val="nil"/>
          <w:between w:val="nil"/>
        </w:pBdr>
        <w:jc w:val="center"/>
        <w:rPr>
          <w:rFonts w:eastAsia="Quattrocento Sans"/>
          <w:b/>
        </w:rPr>
      </w:pPr>
      <w:bookmarkStart w:id="1" w:name="_gjdgxs" w:colFirst="0" w:colLast="0"/>
      <w:bookmarkEnd w:id="1"/>
    </w:p>
    <w:p w:rsidR="00524A3E" w:rsidRPr="00B45E5C" w:rsidRDefault="00524A3E">
      <w:pPr>
        <w:pBdr>
          <w:top w:val="nil"/>
          <w:left w:val="nil"/>
          <w:bottom w:val="nil"/>
          <w:right w:val="nil"/>
          <w:between w:val="nil"/>
        </w:pBdr>
        <w:jc w:val="center"/>
        <w:rPr>
          <w:rFonts w:eastAsia="Quattrocento Sans"/>
          <w:b/>
        </w:rPr>
      </w:pPr>
      <w:bookmarkStart w:id="2" w:name="_gqgcv07btn9c" w:colFirst="0" w:colLast="0"/>
      <w:bookmarkEnd w:id="2"/>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524A3E" w:rsidRDefault="00524A3E">
      <w:pPr>
        <w:pBdr>
          <w:top w:val="nil"/>
          <w:left w:val="nil"/>
          <w:bottom w:val="nil"/>
          <w:right w:val="nil"/>
          <w:between w:val="nil"/>
        </w:pBdr>
        <w:jc w:val="center"/>
        <w:rPr>
          <w:rFonts w:eastAsia="Quattrocento Sans"/>
          <w:b/>
        </w:rPr>
      </w:pPr>
      <w:bookmarkStart w:id="3" w:name="_kttkkty8ow03" w:colFirst="0" w:colLast="0"/>
      <w:bookmarkEnd w:id="3"/>
    </w:p>
    <w:p w:rsidR="00B45E5C" w:rsidRDefault="00B45E5C">
      <w:pPr>
        <w:pBdr>
          <w:top w:val="nil"/>
          <w:left w:val="nil"/>
          <w:bottom w:val="nil"/>
          <w:right w:val="nil"/>
          <w:between w:val="nil"/>
        </w:pBdr>
        <w:jc w:val="center"/>
        <w:rPr>
          <w:rFonts w:eastAsia="Quattrocento Sans"/>
          <w:b/>
        </w:rPr>
      </w:pPr>
    </w:p>
    <w:p w:rsidR="00B45E5C" w:rsidRDefault="00B45E5C">
      <w:pPr>
        <w:pBdr>
          <w:top w:val="nil"/>
          <w:left w:val="nil"/>
          <w:bottom w:val="nil"/>
          <w:right w:val="nil"/>
          <w:between w:val="nil"/>
        </w:pBdr>
        <w:jc w:val="center"/>
        <w:rPr>
          <w:rFonts w:eastAsia="Quattrocento Sans"/>
          <w:b/>
        </w:rPr>
      </w:pPr>
    </w:p>
    <w:p w:rsidR="00B45E5C" w:rsidRPr="00B45E5C" w:rsidRDefault="00B45E5C">
      <w:pPr>
        <w:pBdr>
          <w:top w:val="nil"/>
          <w:left w:val="nil"/>
          <w:bottom w:val="nil"/>
          <w:right w:val="nil"/>
          <w:between w:val="nil"/>
        </w:pBdr>
        <w:jc w:val="center"/>
        <w:rPr>
          <w:rFonts w:eastAsia="Quattrocento Sans"/>
          <w:b/>
        </w:rPr>
      </w:pPr>
    </w:p>
    <w:p w:rsidR="00524A3E" w:rsidRPr="00B45E5C" w:rsidRDefault="00127967">
      <w:pPr>
        <w:pBdr>
          <w:top w:val="nil"/>
          <w:left w:val="nil"/>
          <w:bottom w:val="nil"/>
          <w:right w:val="nil"/>
          <w:between w:val="nil"/>
        </w:pBdr>
        <w:jc w:val="center"/>
        <w:rPr>
          <w:rFonts w:eastAsia="Quattrocento Sans"/>
        </w:rPr>
      </w:pPr>
      <w:bookmarkStart w:id="4" w:name="_7bqz8h4ujmtd" w:colFirst="0" w:colLast="0"/>
      <w:bookmarkEnd w:id="4"/>
      <w:r w:rsidRPr="00B45E5C">
        <w:rPr>
          <w:rFonts w:eastAsia="Quattrocento Sans"/>
          <w:b/>
          <w:color w:val="000000"/>
        </w:rPr>
        <w:lastRenderedPageBreak/>
        <w:t>EXPOSICIÓN DE MOTIVOS</w:t>
      </w:r>
    </w:p>
    <w:p w:rsidR="00524A3E" w:rsidRPr="00B45E5C" w:rsidRDefault="00524A3E">
      <w:pPr>
        <w:pBdr>
          <w:top w:val="nil"/>
          <w:left w:val="nil"/>
          <w:bottom w:val="nil"/>
          <w:right w:val="nil"/>
          <w:between w:val="nil"/>
        </w:pBdr>
        <w:jc w:val="center"/>
        <w:rPr>
          <w:rFonts w:eastAsia="Quattrocento Sans"/>
        </w:rPr>
      </w:pPr>
    </w:p>
    <w:p w:rsidR="00524A3E" w:rsidRPr="00B45E5C" w:rsidRDefault="00127967">
      <w:pPr>
        <w:jc w:val="center"/>
        <w:rPr>
          <w:rFonts w:eastAsia="Quattrocento Sans"/>
        </w:rPr>
      </w:pPr>
      <w:r w:rsidRPr="00B45E5C">
        <w:rPr>
          <w:rFonts w:eastAsia="Quattrocento Sans"/>
          <w:b/>
          <w:highlight w:val="white"/>
        </w:rPr>
        <w:t>PROYECTO DE LEY __ DE 2018</w:t>
      </w:r>
    </w:p>
    <w:p w:rsidR="00524A3E" w:rsidRPr="00B45E5C" w:rsidRDefault="00127967">
      <w:pPr>
        <w:jc w:val="center"/>
        <w:rPr>
          <w:rFonts w:eastAsia="Quattrocento Sans"/>
          <w:b/>
        </w:rPr>
      </w:pPr>
      <w:r w:rsidRPr="00B45E5C">
        <w:rPr>
          <w:rFonts w:eastAsia="Quattrocento Sans"/>
          <w:highlight w:val="white"/>
        </w:rPr>
        <w:t>“Por el cual se establece un tope para el salario de los congresistas y altos funcionarios del Estado”</w:t>
      </w:r>
    </w:p>
    <w:p w:rsidR="00524A3E" w:rsidRPr="00B45E5C" w:rsidRDefault="00524A3E">
      <w:pPr>
        <w:pBdr>
          <w:top w:val="nil"/>
          <w:left w:val="nil"/>
          <w:bottom w:val="nil"/>
          <w:right w:val="nil"/>
          <w:between w:val="nil"/>
        </w:pBdr>
        <w:spacing w:before="20" w:after="20"/>
        <w:jc w:val="center"/>
        <w:rPr>
          <w:rFonts w:eastAsia="Quattrocento Sans"/>
        </w:rPr>
      </w:pPr>
    </w:p>
    <w:p w:rsidR="00524A3E" w:rsidRPr="00B45E5C" w:rsidRDefault="00127967">
      <w:pPr>
        <w:pStyle w:val="Ttulo2"/>
        <w:numPr>
          <w:ilvl w:val="0"/>
          <w:numId w:val="2"/>
        </w:numPr>
        <w:pBdr>
          <w:top w:val="nil"/>
          <w:left w:val="nil"/>
          <w:bottom w:val="nil"/>
          <w:right w:val="nil"/>
          <w:between w:val="nil"/>
        </w:pBdr>
        <w:spacing w:before="20" w:after="20"/>
        <w:contextualSpacing w:val="0"/>
        <w:rPr>
          <w:rFonts w:eastAsia="Quattrocento Sans"/>
          <w:sz w:val="22"/>
          <w:szCs w:val="22"/>
        </w:rPr>
      </w:pPr>
      <w:bookmarkStart w:id="5" w:name="_30j0zll" w:colFirst="0" w:colLast="0"/>
      <w:bookmarkEnd w:id="5"/>
      <w:r w:rsidRPr="00B45E5C">
        <w:rPr>
          <w:rFonts w:eastAsia="Quattrocento Sans"/>
          <w:b/>
          <w:sz w:val="22"/>
          <w:szCs w:val="22"/>
        </w:rPr>
        <w:t>Objetivo y resumen del Proyecto</w:t>
      </w:r>
      <w:r w:rsidR="00B45E5C">
        <w:rPr>
          <w:rFonts w:eastAsia="Quattrocento Sans"/>
          <w:b/>
          <w:sz w:val="22"/>
          <w:szCs w:val="22"/>
        </w:rPr>
        <w:t>.</w:t>
      </w:r>
    </w:p>
    <w:p w:rsidR="00524A3E" w:rsidRPr="00B45E5C" w:rsidRDefault="00127967">
      <w:pPr>
        <w:pBdr>
          <w:top w:val="nil"/>
          <w:left w:val="nil"/>
          <w:bottom w:val="nil"/>
          <w:right w:val="nil"/>
          <w:between w:val="nil"/>
        </w:pBdr>
        <w:spacing w:before="20" w:after="20"/>
        <w:rPr>
          <w:rFonts w:eastAsia="Quattrocento Sans"/>
        </w:rPr>
      </w:pPr>
      <w:r w:rsidRPr="00B45E5C">
        <w:rPr>
          <w:rFonts w:eastAsia="Quattrocento Sans"/>
          <w:color w:val="000000"/>
        </w:rPr>
        <w:t xml:space="preserve"> </w:t>
      </w: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 xml:space="preserve">El objetivo del presente Proyecto de Acto Legislativo es modificar los artículos 53, 140 y 187 de la Constitución Política, con el fin de establecer (i) un tope máximo de 25 salarios mínimos legales mensuales vigentes (SMLMV) a la asignación salarial de los congresistas colombianos y (ii) evitar que </w:t>
      </w:r>
      <w:r w:rsidRPr="00B45E5C">
        <w:rPr>
          <w:rFonts w:eastAsia="Quattrocento Sans"/>
        </w:rPr>
        <w:t>se afecte el salario de aquellos servidores públicos que devenguen una remuneración mensual inferior a ese tope</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 xml:space="preserve">En primer </w:t>
      </w:r>
      <w:r w:rsidR="00B45E5C" w:rsidRPr="00B45E5C">
        <w:rPr>
          <w:rFonts w:eastAsia="Quattrocento Sans"/>
          <w:color w:val="000000"/>
        </w:rPr>
        <w:t>lugar,</w:t>
      </w:r>
      <w:r w:rsidRPr="00B45E5C">
        <w:rPr>
          <w:rFonts w:eastAsia="Quattrocento Sans"/>
          <w:color w:val="000000"/>
        </w:rPr>
        <w:t xml:space="preserve"> </w:t>
      </w:r>
      <w:r w:rsidRPr="00B45E5C">
        <w:rPr>
          <w:rFonts w:eastAsia="Quattrocento Sans"/>
          <w:color w:val="000000"/>
          <w:u w:val="single"/>
        </w:rPr>
        <w:t xml:space="preserve">fijar un monto máximo que reduzca la asignación actual de los congresistas (de 40 </w:t>
      </w:r>
      <w:r w:rsidR="00B45E5C" w:rsidRPr="00B45E5C">
        <w:rPr>
          <w:rFonts w:eastAsia="Quattrocento Sans"/>
          <w:color w:val="000000"/>
          <w:u w:val="single"/>
        </w:rPr>
        <w:t>a 25 SMLMV)</w:t>
      </w:r>
      <w:r w:rsidRPr="00B45E5C">
        <w:rPr>
          <w:rFonts w:eastAsia="Quattrocento Sans"/>
          <w:color w:val="000000"/>
          <w:u w:val="single"/>
        </w:rPr>
        <w:t xml:space="preserve"> es pertinente teniendo en cuenta que: </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numPr>
          <w:ilvl w:val="0"/>
          <w:numId w:val="1"/>
        </w:numPr>
        <w:pBdr>
          <w:top w:val="nil"/>
          <w:left w:val="nil"/>
          <w:bottom w:val="nil"/>
          <w:right w:val="nil"/>
          <w:between w:val="nil"/>
        </w:pBdr>
        <w:contextualSpacing/>
        <w:jc w:val="both"/>
        <w:rPr>
          <w:rFonts w:eastAsia="Quattrocento Sans"/>
          <w:color w:val="000000"/>
        </w:rPr>
      </w:pPr>
      <w:r w:rsidRPr="00B45E5C">
        <w:rPr>
          <w:rFonts w:eastAsia="Quattrocento Sans"/>
          <w:color w:val="000000"/>
        </w:rPr>
        <w:t>Colombia es uno de los países del mundo con mayor desigualdad en el ingreso. Nuestro país es el sexto en el mundo con el Índice de Gini</w:t>
      </w:r>
      <w:r w:rsidRPr="00B45E5C">
        <w:rPr>
          <w:rFonts w:eastAsia="Quattrocento Sans"/>
          <w:color w:val="000000"/>
          <w:vertAlign w:val="superscript"/>
        </w:rPr>
        <w:footnoteReference w:id="1"/>
      </w:r>
      <w:r w:rsidRPr="00B45E5C">
        <w:rPr>
          <w:rFonts w:eastAsia="Quattrocento Sans"/>
          <w:color w:val="000000"/>
        </w:rPr>
        <w:t xml:space="preserve"> más alto, solo superado por algunos países de África y por Honduras.</w:t>
      </w:r>
    </w:p>
    <w:p w:rsidR="00524A3E" w:rsidRPr="00B45E5C" w:rsidRDefault="00524A3E">
      <w:pPr>
        <w:pBdr>
          <w:top w:val="nil"/>
          <w:left w:val="nil"/>
          <w:bottom w:val="nil"/>
          <w:right w:val="nil"/>
          <w:between w:val="nil"/>
        </w:pBdr>
        <w:ind w:left="1080"/>
        <w:jc w:val="both"/>
        <w:rPr>
          <w:rFonts w:eastAsia="Quattrocento Sans"/>
          <w:color w:val="000000"/>
        </w:rPr>
      </w:pPr>
    </w:p>
    <w:p w:rsidR="00524A3E" w:rsidRPr="00B45E5C" w:rsidRDefault="00127967">
      <w:pPr>
        <w:numPr>
          <w:ilvl w:val="0"/>
          <w:numId w:val="1"/>
        </w:numPr>
        <w:pBdr>
          <w:top w:val="nil"/>
          <w:left w:val="nil"/>
          <w:bottom w:val="nil"/>
          <w:right w:val="nil"/>
          <w:between w:val="nil"/>
        </w:pBdr>
        <w:contextualSpacing/>
        <w:jc w:val="both"/>
        <w:rPr>
          <w:rFonts w:eastAsia="Quattrocento Sans"/>
          <w:color w:val="000000"/>
        </w:rPr>
      </w:pPr>
      <w:r w:rsidRPr="00B45E5C">
        <w:rPr>
          <w:rFonts w:eastAsia="Quattrocento Sans"/>
          <w:color w:val="000000"/>
        </w:rPr>
        <w:t xml:space="preserve">En América Latina, actualmente Colombia es el segundo país con la mayor desproporción entre el salario de los Congresistas y el salario mínimo. El salario mensual de un congresista en 2018 ($31'249.680) equivale a 41,8 SMLMV de este año ($747.242). </w:t>
      </w:r>
    </w:p>
    <w:p w:rsidR="00524A3E" w:rsidRPr="00B45E5C" w:rsidRDefault="00524A3E">
      <w:pPr>
        <w:pBdr>
          <w:top w:val="nil"/>
          <w:left w:val="nil"/>
          <w:bottom w:val="nil"/>
          <w:right w:val="nil"/>
          <w:between w:val="nil"/>
        </w:pBdr>
        <w:ind w:left="720"/>
        <w:rPr>
          <w:rFonts w:eastAsia="Quattrocento Sans"/>
          <w:color w:val="000000"/>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 xml:space="preserve">Disminuir la asignación salarial de los congresistas de 40 a 25 SMLMV permitirá reducir la brecha entre el ingreso de los congresistas y el promedio de los ciudadanos y además ubica la asignación salarial de los congresistas en un monto más acorde con el promedio de los Ministros en Colombia y los Congresistas de los países de América Latina. </w:t>
      </w: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rPr>
        <w:t xml:space="preserve"> </w:t>
      </w:r>
    </w:p>
    <w:p w:rsidR="00524A3E" w:rsidRPr="00B45E5C" w:rsidRDefault="00127967">
      <w:pPr>
        <w:pStyle w:val="Ttulo2"/>
        <w:numPr>
          <w:ilvl w:val="0"/>
          <w:numId w:val="2"/>
        </w:numPr>
        <w:pBdr>
          <w:top w:val="nil"/>
          <w:left w:val="nil"/>
          <w:bottom w:val="nil"/>
          <w:right w:val="nil"/>
          <w:between w:val="nil"/>
        </w:pBdr>
        <w:spacing w:before="20" w:after="20"/>
        <w:contextualSpacing w:val="0"/>
        <w:jc w:val="both"/>
        <w:rPr>
          <w:rFonts w:eastAsia="Quattrocento Sans"/>
          <w:sz w:val="22"/>
          <w:szCs w:val="22"/>
        </w:rPr>
      </w:pPr>
      <w:bookmarkStart w:id="6" w:name="_1fob9te" w:colFirst="0" w:colLast="0"/>
      <w:bookmarkEnd w:id="6"/>
      <w:r w:rsidRPr="00B45E5C">
        <w:rPr>
          <w:rFonts w:eastAsia="Quattrocento Sans"/>
          <w:b/>
          <w:sz w:val="22"/>
          <w:szCs w:val="22"/>
        </w:rPr>
        <w:t>Antecedentes</w:t>
      </w:r>
      <w:r w:rsidR="00B45E5C">
        <w:rPr>
          <w:rFonts w:eastAsia="Quattrocento Sans"/>
          <w:b/>
          <w:sz w:val="22"/>
          <w:szCs w:val="22"/>
        </w:rPr>
        <w:t>.</w:t>
      </w:r>
      <w:r w:rsidRPr="00B45E5C">
        <w:rPr>
          <w:rFonts w:eastAsia="Quattrocento Sans"/>
          <w:b/>
          <w:sz w:val="22"/>
          <w:szCs w:val="22"/>
        </w:rPr>
        <w:t xml:space="preserve"> </w:t>
      </w:r>
    </w:p>
    <w:p w:rsidR="00524A3E" w:rsidRPr="00B45E5C" w:rsidRDefault="00524A3E">
      <w:pPr>
        <w:rPr>
          <w:rFonts w:eastAsia="Quattrocento Sans"/>
        </w:rPr>
      </w:pPr>
    </w:p>
    <w:p w:rsidR="00524A3E" w:rsidRPr="00B45E5C" w:rsidRDefault="00127967">
      <w:pPr>
        <w:ind w:left="284"/>
        <w:rPr>
          <w:rFonts w:eastAsia="Quattrocento Sans"/>
          <w:b/>
        </w:rPr>
      </w:pPr>
      <w:r w:rsidRPr="00B45E5C">
        <w:rPr>
          <w:rFonts w:eastAsia="Quattrocento Sans"/>
          <w:b/>
        </w:rPr>
        <w:t>2.1. La Consulta Popular Anticorrupción</w:t>
      </w:r>
      <w:r w:rsidR="00B45E5C">
        <w:rPr>
          <w:rFonts w:eastAsia="Quattrocento Sans"/>
          <w:b/>
        </w:rPr>
        <w:t>.</w:t>
      </w:r>
    </w:p>
    <w:p w:rsidR="00524A3E" w:rsidRPr="00B45E5C" w:rsidRDefault="00524A3E">
      <w:pPr>
        <w:rPr>
          <w:rFonts w:eastAsia="Quattrocento Sans"/>
        </w:rPr>
      </w:pPr>
    </w:p>
    <w:p w:rsidR="00524A3E" w:rsidRPr="00B45E5C" w:rsidRDefault="00127967">
      <w:pPr>
        <w:jc w:val="both"/>
        <w:rPr>
          <w:rFonts w:eastAsia="Quattrocento Sans"/>
        </w:rPr>
      </w:pPr>
      <w:r w:rsidRPr="00B45E5C">
        <w:rPr>
          <w:rFonts w:eastAsia="Quattrocento Sans"/>
        </w:rPr>
        <w:t>El 24 de enero de 2017, fue inscrita ante la Registraduría la Consulta Popular Anticorrupción con las siguientes preguntas:</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1. REDUCIR EL SALARIO DE CONGRESISTAS Y ALTOS FUNCIONARIOS DEL ESTADO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¿Aprueba usted reducir el salario de los congresistas de 40 a 25 Salarios Mínimos Legales Mensuales Vigentes-SMLMV, fijando un tope de 25 SMLMV como máxima remuneración mensual de los congresistas y altos funcionarios del Estado señalados en el artículo 197 de la Constitución Política?</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2. CÁRCEL A CORRUPTOS Y PROHIBIRLES VOLVER A CONTRATAR CON EL ESTADO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¿Aprueba usted que las personas condenadas por corrupción y delitos contra la administración pública deban cumplir la totalidad de las penas en la cárcel, sin posibilidades de reclusión especial, y que el Estado unilateralmente pueda dar por terminados los contratos con ellas y con las personas jurídicas de las que hagan parte, sin que haya lugar a indemnización alguna para el contratista ni posibilidad de volver a contratar con el Estado?</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3. CONTRATACIÓN TRANSPARENTE OBLIGATORIA EN TODO EL PAÍS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¿Aprueba usted establecer la obligación a todas las entidades públicas y territoriales de usar pliegos tipo, que reduzcan la manipulación de requisitos habilitantes y ponderables y la contratación a dedo con un número anormalmente bajo de proponentes, en todo tipo de contrato con recursos públicos?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4. PRESUPUESTOS PÚBLICOS CON PARTICIPACIÓN DE LA CIUDADANÍA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¿Aprueba usted establecer la obligación de realizar audiencias públicas para que la ciudadanía y los corporados decidan el desglose y priorización del presupuesto de inversión de la Nación, los departamentos y los municipios, así como en la rendición de cuentas sobre su contratación y ejecución?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5. CONGRESISTAS DEBEN RENDIR CUENTAS DE SU ASISTENCIA, VOTACIÓN Y GESTIÓN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¿Aprueba usted obligar a congresistas y demás corporados a rendir cuentas anualmente sobre su asistencia, iniciativas presentadas, votaciones, debates, gestión de intereses particulares o de lobbistas, proyectos, partidas e inversiones públicas que haya gestionado y cargos públicos para los cuales hayan presentado candidatos?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PREGUNTA 6. HACER PÚBLICAS LAS PROPIEDADES E INGRESOS INJUSTIFICADOS DE POLÍTICOS ELEGIDOS Y EXTINGUIRLES EL DOMINIO</w:t>
      </w:r>
    </w:p>
    <w:p w:rsidR="00524A3E" w:rsidRPr="00B45E5C" w:rsidRDefault="00127967">
      <w:pPr>
        <w:jc w:val="both"/>
        <w:rPr>
          <w:rFonts w:eastAsia="Quattrocento Sans"/>
        </w:rPr>
      </w:pPr>
      <w:r w:rsidRPr="00B45E5C">
        <w:rPr>
          <w:rFonts w:eastAsia="Quattrocento Sans"/>
          <w:i/>
        </w:rPr>
        <w:t xml:space="preserve">¿Aprueba usted obligar a todos los electos mediante voto popular a hacer público a escrutinio de la ciudadanía sus declaraciones de bienes, patrimonio, rentas, pago de impuestos y conflictos de interés, como requisito para posesionarse y ejercer el cargo; incorporando la facultad de iniciar de oficio investigaciones penales y aplicar la extinción de dominio al elegido y a su potencial red de testaferros como su cónyuge, compañero o compañera permanente, a sus parientes dentro del cuarto grado de consanguinidad, segundo de afinidad y primero civil, y a sus socios de derecho o de hecho?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 xml:space="preserve">PREGUNTA 7. NO MÁS ATORNILLADOS EN EL PODER: MÁXIMO 3 PERÍODOS EN CORPORACIONES PÚBLICAS </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i/>
        </w:rPr>
        <w:t>¿Aprueba usted establecer un límite de máximo tres periodos para ser elegido y ejercer en una misma corporación de elección popular como el Senado de la República, la Cámara de Representantes, las Asambleas Departamentales, los Concejos Municipales y las Juntas Administradoras Locales?</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 xml:space="preserve">A través de la Resolución No. 641 de 26 de enero de 2017, la Registraduría Nacional del Estado Civil declaró el cumplimiento de los requisitos legales y constitucionales para inscribir la consulta popular denominada </w:t>
      </w:r>
      <w:r w:rsidRPr="00B45E5C">
        <w:rPr>
          <w:rFonts w:eastAsia="Quattrocento Sans"/>
          <w:i/>
        </w:rPr>
        <w:t xml:space="preserve">“Consulta Popular Anticorrupción” </w:t>
      </w:r>
      <w:r w:rsidRPr="00B45E5C">
        <w:rPr>
          <w:rFonts w:eastAsia="Quattrocento Sans"/>
        </w:rPr>
        <w:t>y su comité promotor.</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Mediante Resolución No. 835 de 24 de enero de 2018, la Registraduría Nacional del Estado Civil verificó el número de apoyos ciudadanos recolectados y certificó el cumplimiento de los requisitos constitucionales y legales “</w:t>
      </w:r>
      <w:r w:rsidRPr="00B45E5C">
        <w:rPr>
          <w:rFonts w:eastAsia="Quattrocento Sans"/>
          <w:i/>
        </w:rPr>
        <w:t xml:space="preserve">para el apoyo de la propuesta del Mecanismo de Participación Democrática – Consulta Popular denominado </w:t>
      </w:r>
      <w:r w:rsidRPr="00B45E5C">
        <w:rPr>
          <w:rFonts w:eastAsia="Quattrocento Sans"/>
        </w:rPr>
        <w:t>‘</w:t>
      </w:r>
      <w:r w:rsidRPr="00B45E5C">
        <w:rPr>
          <w:rFonts w:eastAsia="Quattrocento Sans"/>
          <w:i/>
        </w:rPr>
        <w:t xml:space="preserve">Consulta Popular Anticorrupción’…”, </w:t>
      </w:r>
      <w:r w:rsidRPr="00B45E5C">
        <w:rPr>
          <w:rFonts w:eastAsia="Quattrocento Sans"/>
        </w:rPr>
        <w:t>avalando 3.092.138 de firmas de las 4.236.681 recogidas por los colombianos durante los 6 meses otorgados por la ley para dicha tarea.</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En consecuencia, comunicó dicha de Resolución al Senado de la República.</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El 12 de junio de 2018, el Secretario General del Senado de la República de Colombia, certificó que el día 5 de junio del mismo año “</w:t>
      </w:r>
      <w:r w:rsidRPr="00B45E5C">
        <w:rPr>
          <w:rFonts w:eastAsia="Quattrocento Sans"/>
          <w:i/>
        </w:rPr>
        <w:t xml:space="preserve">se aprobó en sesión plenaria la Proposición sobre la Conveniencia de la Convocatoria a la </w:t>
      </w:r>
      <w:r w:rsidRPr="00B45E5C">
        <w:rPr>
          <w:rFonts w:eastAsia="Quattrocento Sans"/>
        </w:rPr>
        <w:t>‘</w:t>
      </w:r>
      <w:r w:rsidRPr="00B45E5C">
        <w:rPr>
          <w:rFonts w:eastAsia="Quattrocento Sans"/>
          <w:i/>
        </w:rPr>
        <w:t xml:space="preserve">Consulta Popular Anticorrupción’…” </w:t>
      </w:r>
      <w:r w:rsidRPr="00B45E5C">
        <w:rPr>
          <w:rFonts w:eastAsia="Quattrocento Sans"/>
        </w:rPr>
        <w:t>con una votación por el SÍ de 86 votos y ninguno por el no.</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El 18 de junio de 2018 el Presidente de la República expidió el Decreto 1028 “</w:t>
      </w:r>
      <w:r w:rsidRPr="00B45E5C">
        <w:rPr>
          <w:rFonts w:eastAsia="Quattrocento Sans"/>
          <w:i/>
        </w:rPr>
        <w:t>por el cual se convoca a una consulta popular y se dictan otras disposiciones</w:t>
      </w:r>
      <w:r w:rsidRPr="00B45E5C">
        <w:rPr>
          <w:rFonts w:eastAsia="Quattrocento Sans"/>
        </w:rPr>
        <w:t>”, mediante el cual se convocó la votación de la “Consulta Popular Anticorrupción” para el domingo 26 de agosto de 2018.</w:t>
      </w:r>
    </w:p>
    <w:p w:rsidR="00524A3E" w:rsidRPr="00B45E5C" w:rsidRDefault="00524A3E">
      <w:pPr>
        <w:jc w:val="both"/>
        <w:rPr>
          <w:rFonts w:eastAsia="Quattrocento Sans"/>
        </w:rPr>
      </w:pPr>
    </w:p>
    <w:p w:rsidR="00524A3E" w:rsidRPr="00B45E5C" w:rsidRDefault="00B45E5C">
      <w:pPr>
        <w:jc w:val="both"/>
        <w:rPr>
          <w:rFonts w:eastAsia="Quattrocento Sans"/>
        </w:rPr>
      </w:pPr>
      <w:r>
        <w:rPr>
          <w:rFonts w:eastAsia="Quattrocento Sans"/>
        </w:rPr>
        <w:t>Durante la</w:t>
      </w:r>
      <w:r w:rsidR="00127967" w:rsidRPr="00B45E5C">
        <w:rPr>
          <w:rFonts w:eastAsia="Quattrocento Sans"/>
        </w:rPr>
        <w:t xml:space="preserve"> votación del 26 de agosto de 2018 la Consulta tuvo una votación de 11.674.951 y la pregunta 1 tuvo una votación de 11.667.702 sufragios, de los cuales 99.16% fueron por el SÍ y el 0.83% por el NO. No </w:t>
      </w:r>
      <w:r w:rsidRPr="00B45E5C">
        <w:rPr>
          <w:rFonts w:eastAsia="Quattrocento Sans"/>
        </w:rPr>
        <w:t>obstante</w:t>
      </w:r>
      <w:r w:rsidR="00127967" w:rsidRPr="00B45E5C">
        <w:rPr>
          <w:rFonts w:eastAsia="Quattrocento Sans"/>
        </w:rPr>
        <w:t xml:space="preserve"> lo anterior, la votación no alcanzó el umbral requerido por la ley.</w:t>
      </w:r>
    </w:p>
    <w:p w:rsidR="00524A3E" w:rsidRPr="00B45E5C" w:rsidRDefault="00524A3E">
      <w:pPr>
        <w:jc w:val="both"/>
        <w:rPr>
          <w:rFonts w:eastAsia="Quattrocento Sans"/>
        </w:rPr>
      </w:pPr>
    </w:p>
    <w:p w:rsidR="00524A3E" w:rsidRPr="00B45E5C" w:rsidRDefault="00127967">
      <w:pPr>
        <w:ind w:left="426"/>
        <w:jc w:val="both"/>
        <w:rPr>
          <w:rFonts w:eastAsia="Quattrocento Sans"/>
          <w:b/>
        </w:rPr>
      </w:pPr>
      <w:r w:rsidRPr="00B45E5C">
        <w:rPr>
          <w:rFonts w:eastAsia="Quattrocento Sans"/>
          <w:b/>
        </w:rPr>
        <w:t>2.2. Bloqueo institucional para discutir la propuesta por medio de los mecanismos legislativos ordinarios</w:t>
      </w:r>
      <w:r w:rsidR="00B45E5C">
        <w:rPr>
          <w:rFonts w:eastAsia="Quattrocento Sans"/>
          <w:b/>
        </w:rPr>
        <w:t>.</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La iniciativa de establecer un tope de 25 SMLMV a la remuneración mensual de los congresistas y de los altos funcionarios del Estado, y consecuentemente, disminuir la devengada actualmente, ha sufrido un bloqueo que hace imposible que el Congreso se manifieste de fondo sobre la autorregulación de los salarios de sus integrantes.</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El 16 de septiembre de 2015, se presentó a consideración del Congreso de la República el Proyecto de Acto Legislativo 06 de 2015 con el objetivo de incluir un límite constitucional en el literal e, numeral 17 del artículo 150, conforme el cual se fija, mediante ley, el régimen salarial y prestacional de los empleados públicos, de los miembros del Congreso Nacional y de la Fuerza Pública. En este proyecto se propuso incluir un tope constitucional de 30 salarios mínimos a la asignación mensual de los Congresistas. Dicho proyecto fue acumulado el 18 de septiembre del mismo año con el Proyecto de Acto Legislativo 3 de 2015, en contra de la voluntad de los autores y autoras, incluso acumulando propuestas normativas diferentes, en contravía de la ley 5 de 1992. A su vez el Proyecto de Acto Legislativo 3 de 2015 fue negado por la plenaria del Senado el 12 de diciembre del 2016 y archivado de conformidad con el artículo 157 Ley 5 de 1992.</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Posteriormente, el 25 de julio de 2016, se presentó nuevamente el contenido del proyecto de auto regulación de salarios del Congreso en el Proyecto de Acto legislativo 02 del 2016, esta vez con el respaldo de 140.000 firmas ciudadanas. Este proyecto propuso un tope de 25 salarios mínimos a la asignación mensual de los congresistas y una regla para su actualización anual conforme al incremento del Índice de Precios al Consumidor (IPC); sin embargo, la Comisión Primera de Senado postergó este proyecto en el orden del día lo que ocasionó su archivo por vencimiento de términos conforme el artículo 224 de la Ley 5 de 1992.</w:t>
      </w:r>
    </w:p>
    <w:p w:rsidR="00524A3E" w:rsidRPr="00B45E5C" w:rsidRDefault="00524A3E">
      <w:pPr>
        <w:jc w:val="both"/>
        <w:rPr>
          <w:rFonts w:eastAsia="Quattrocento Sans"/>
        </w:rPr>
      </w:pPr>
    </w:p>
    <w:p w:rsidR="00524A3E" w:rsidRPr="00B45E5C" w:rsidRDefault="00127967">
      <w:pPr>
        <w:jc w:val="both"/>
        <w:rPr>
          <w:rFonts w:eastAsia="Quattrocento Sans"/>
        </w:rPr>
      </w:pPr>
      <w:r w:rsidRPr="00B45E5C">
        <w:rPr>
          <w:rFonts w:eastAsia="Quattrocento Sans"/>
        </w:rPr>
        <w:t>El fallido proceso legislativo descrito da cuenta de un evidente y reiterado bloqueo por parte del Congreso de la República, el cual se ha negado de manera sistemática a discutir de fondo la autorregulación en la asignación salarial de sus integrantes y su fórmula de actualización. Las estrategias implementadas por esta corporación incluyen la presentación de conflictos de interés abiertamente improcedentes, el ausentismo, la dilación del punto en el orden del día, la acumulación improcedente con otros proyectos y la negación a dar apertura de la discusión. Esta situación hace necesario que la regulación de los salarios de los congresistas se realice por medio de un mecanismo como la consulta popular de origen ciudadano, cuya decisión obligaría al Congreso a la adopción de un tope salarial para sus integrantes.</w:t>
      </w:r>
    </w:p>
    <w:p w:rsidR="00524A3E" w:rsidRPr="00B45E5C" w:rsidRDefault="00524A3E">
      <w:pPr>
        <w:jc w:val="both"/>
        <w:rPr>
          <w:rFonts w:eastAsia="Quattrocento Sans"/>
        </w:rPr>
      </w:pPr>
    </w:p>
    <w:p w:rsidR="00524A3E" w:rsidRPr="00B45E5C" w:rsidRDefault="00127967">
      <w:pPr>
        <w:ind w:left="426"/>
        <w:jc w:val="both"/>
        <w:rPr>
          <w:rFonts w:eastAsia="Quattrocento Sans"/>
          <w:b/>
        </w:rPr>
      </w:pPr>
      <w:r w:rsidRPr="00B45E5C">
        <w:rPr>
          <w:rFonts w:eastAsia="Quattrocento Sans"/>
          <w:b/>
        </w:rPr>
        <w:t>3. Motivos que sustentan la propuesta</w:t>
      </w:r>
      <w:r w:rsidR="00B45E5C">
        <w:rPr>
          <w:rFonts w:eastAsia="Quattrocento Sans"/>
          <w:b/>
        </w:rPr>
        <w:t>.</w:t>
      </w:r>
    </w:p>
    <w:p w:rsidR="00524A3E" w:rsidRPr="00B45E5C" w:rsidRDefault="00524A3E">
      <w:pPr>
        <w:ind w:left="426"/>
        <w:jc w:val="both"/>
        <w:rPr>
          <w:rFonts w:eastAsia="Quattrocento Sans"/>
        </w:rPr>
      </w:pPr>
    </w:p>
    <w:p w:rsidR="00524A3E" w:rsidRPr="00B45E5C" w:rsidRDefault="00127967">
      <w:pPr>
        <w:jc w:val="both"/>
        <w:rPr>
          <w:rFonts w:eastAsia="Quattrocento Sans"/>
        </w:rPr>
      </w:pPr>
      <w:r w:rsidRPr="00B45E5C">
        <w:rPr>
          <w:rFonts w:eastAsia="Quattrocento Sans"/>
        </w:rPr>
        <w:t>El objetivo de esta pregunta es que la ciudadanía apruebe que se establezca un tope máximo de 25 salarios mínimos legales mensuales vigentes (SMLMV) a la remuneración salarial de los congresistas colombianos y altos funcionarios del Estado lo cual es pertinente teniendo en cuenta que:</w:t>
      </w:r>
    </w:p>
    <w:p w:rsidR="00524A3E" w:rsidRPr="00B45E5C" w:rsidRDefault="00524A3E">
      <w:pPr>
        <w:jc w:val="both"/>
        <w:rPr>
          <w:rFonts w:eastAsia="Quattrocento Sans"/>
        </w:rPr>
      </w:pPr>
    </w:p>
    <w:p w:rsidR="00524A3E" w:rsidRPr="00B45E5C" w:rsidRDefault="00127967" w:rsidP="00B45E5C">
      <w:pPr>
        <w:jc w:val="both"/>
        <w:rPr>
          <w:rFonts w:eastAsia="Quattrocento Sans"/>
        </w:rPr>
      </w:pPr>
      <w:r w:rsidRPr="00B45E5C">
        <w:rPr>
          <w:rFonts w:eastAsia="Quattrocento Sans"/>
        </w:rPr>
        <w:t>(i) Colombia es uno de los países del mundo con mayor desigualdad en el ingreso. Nuestro país es el sexto en el mundo con el índice de Gini más alto, sólo superado por algunos países de África y por Honduras. (ii) En América Latina, actualmente Colombia es el segundo país con la mayor desproporción entre el salario de los Congresistas, altos funcionarios y el salario mínimo. (iii) Disminuir la remuneración mensual de los congresistas de 40 a 25 SMLMV permitirá reducir la brecha entre el ingreso de los congresistas y el promedio de los ciudadanos y además ubicaría la asignación salarial de los Congresistas en un monto más acorde con el promedio de los Ministros en Colombia y los Congresistas de los países de América Latina.</w:t>
      </w:r>
    </w:p>
    <w:p w:rsidR="00524A3E" w:rsidRPr="00B45E5C" w:rsidRDefault="00524A3E">
      <w:pPr>
        <w:rPr>
          <w:rFonts w:eastAsia="Quattrocento Sans"/>
        </w:rPr>
      </w:pPr>
    </w:p>
    <w:p w:rsidR="00524A3E" w:rsidRPr="00B45E5C" w:rsidRDefault="00127967">
      <w:pPr>
        <w:pBdr>
          <w:top w:val="nil"/>
          <w:left w:val="nil"/>
          <w:bottom w:val="nil"/>
          <w:right w:val="nil"/>
          <w:between w:val="nil"/>
        </w:pBdr>
        <w:spacing w:before="20" w:after="20"/>
        <w:ind w:left="426"/>
        <w:jc w:val="both"/>
        <w:rPr>
          <w:rFonts w:eastAsia="Quattrocento Sans"/>
        </w:rPr>
      </w:pPr>
      <w:r w:rsidRPr="00B45E5C">
        <w:rPr>
          <w:rFonts w:eastAsia="Quattrocento Sans"/>
          <w:b/>
          <w:color w:val="000000"/>
        </w:rPr>
        <w:t>3.1. Comparación internacional del salario de los congresistas</w:t>
      </w:r>
      <w:r w:rsidR="00B45E5C">
        <w:rPr>
          <w:rFonts w:eastAsia="Quattrocento Sans"/>
          <w:b/>
          <w:color w:val="000000"/>
        </w:rPr>
        <w:t>.</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 xml:space="preserve">Una comparación con los demás países de América permite evidenciar la desproporcionalidad del salario de los Congresistas colombianos. En Estados Unidos, el salario de un senador es de US$ 87 por hora (U.S. Senate, 2015) mientras que el salario mínimo federal es de US$ 7,25 dólares por hora (y de hecho es mayor a ese monto en casi todos los Estados). Esto indica que un senador en Estados Unidos gana 12 veces el salario mínimo, mientras que en Colombia esta proporción asciende a más de 40 veces. </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Si la comparación se realiza en términos del PIB per cápita, el salario de un senador estadounidense equivale a 3,1 veces el PIB per cápita de su país, mientras que el salario de un congresista colombiano equivale a más de 11 veces el PIB per cápita colombiano (Banco Mundial, 2014).</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Al hacer una comparación con los demás países de la región, que se muestra en el Cuadro 2, Colombia resulta ser el segundo país de América Latina con la mayor desproporción en la relación entre el salario de los congresistas y el salario mínimo (esta relación se muestra en la columna 5 del Cuadro 2). Como ya se mencionó, el salario de un congresista equivale a 39,7 salarios mínimos de 2018, mientras que el promedio de la región es de 25,4. En esta desproporción Colombia es superada solamente México.</w:t>
      </w:r>
    </w:p>
    <w:p w:rsidR="00524A3E" w:rsidRPr="00B45E5C" w:rsidRDefault="00524A3E">
      <w:pPr>
        <w:pBdr>
          <w:top w:val="nil"/>
          <w:left w:val="nil"/>
          <w:bottom w:val="nil"/>
          <w:right w:val="nil"/>
          <w:between w:val="nil"/>
        </w:pBdr>
        <w:spacing w:before="20" w:after="20"/>
        <w:jc w:val="both"/>
        <w:rPr>
          <w:rFonts w:eastAsia="Quattrocento Sans"/>
          <w:b/>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b/>
          <w:color w:val="000000"/>
        </w:rPr>
        <w:t>Cuadro 1</w:t>
      </w:r>
      <w:r w:rsidRPr="00B45E5C">
        <w:rPr>
          <w:rFonts w:eastAsia="Quattrocento Sans"/>
          <w:b/>
          <w:color w:val="000000"/>
          <w:vertAlign w:val="superscript"/>
        </w:rPr>
        <w:footnoteReference w:id="2"/>
      </w:r>
      <w:r w:rsidRPr="00B45E5C">
        <w:rPr>
          <w:rFonts w:eastAsia="Quattrocento Sans"/>
          <w:b/>
          <w:color w:val="000000"/>
        </w:rPr>
        <w:t xml:space="preserve">. </w:t>
      </w:r>
      <w:r w:rsidRPr="00B45E5C">
        <w:rPr>
          <w:rFonts w:eastAsia="Quattrocento Sans"/>
          <w:color w:val="000000"/>
        </w:rPr>
        <w:t>Comparación regional de salario de los Congresistas</w:t>
      </w:r>
    </w:p>
    <w:p w:rsidR="00524A3E" w:rsidRPr="00B45E5C" w:rsidRDefault="00524A3E">
      <w:pPr>
        <w:pBdr>
          <w:top w:val="nil"/>
          <w:left w:val="nil"/>
          <w:bottom w:val="nil"/>
          <w:right w:val="nil"/>
          <w:between w:val="nil"/>
        </w:pBdr>
        <w:rPr>
          <w:rFonts w:eastAsia="Quattrocento Sans"/>
        </w:rPr>
      </w:pPr>
    </w:p>
    <w:tbl>
      <w:tblPr>
        <w:tblStyle w:val="a"/>
        <w:tblW w:w="9266"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15"/>
        <w:gridCol w:w="1147"/>
        <w:gridCol w:w="1701"/>
        <w:gridCol w:w="2126"/>
        <w:gridCol w:w="2177"/>
      </w:tblGrid>
      <w:tr w:rsidR="00524A3E" w:rsidRPr="00B45E5C">
        <w:tc>
          <w:tcPr>
            <w:tcW w:w="211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524A3E">
            <w:pPr>
              <w:pBdr>
                <w:top w:val="nil"/>
                <w:left w:val="nil"/>
                <w:bottom w:val="nil"/>
                <w:right w:val="nil"/>
                <w:between w:val="nil"/>
              </w:pBdr>
              <w:ind w:left="280"/>
              <w:rPr>
                <w:rFonts w:eastAsia="Quattrocento Sans"/>
              </w:rPr>
            </w:pPr>
          </w:p>
          <w:p w:rsidR="00524A3E" w:rsidRPr="00B45E5C" w:rsidRDefault="00524A3E">
            <w:pPr>
              <w:pBdr>
                <w:top w:val="nil"/>
                <w:left w:val="nil"/>
                <w:bottom w:val="nil"/>
                <w:right w:val="nil"/>
                <w:between w:val="nil"/>
              </w:pBdr>
              <w:ind w:left="280"/>
              <w:rPr>
                <w:rFonts w:eastAsia="Quattrocento Sans"/>
              </w:rPr>
            </w:pPr>
          </w:p>
          <w:p w:rsidR="00524A3E" w:rsidRPr="00B45E5C" w:rsidRDefault="00524A3E">
            <w:pPr>
              <w:pBdr>
                <w:top w:val="nil"/>
                <w:left w:val="nil"/>
                <w:bottom w:val="nil"/>
                <w:right w:val="nil"/>
                <w:between w:val="nil"/>
              </w:pBdr>
              <w:ind w:left="280"/>
              <w:rPr>
                <w:rFonts w:eastAsia="Quattrocento Sans"/>
              </w:rPr>
            </w:pPr>
          </w:p>
          <w:p w:rsidR="00524A3E" w:rsidRPr="00B45E5C" w:rsidRDefault="00127967">
            <w:pPr>
              <w:pBdr>
                <w:top w:val="nil"/>
                <w:left w:val="nil"/>
                <w:bottom w:val="nil"/>
                <w:right w:val="nil"/>
                <w:between w:val="nil"/>
              </w:pBdr>
              <w:ind w:left="280"/>
              <w:rPr>
                <w:rFonts w:eastAsia="Quattrocento Sans"/>
              </w:rPr>
            </w:pPr>
            <w:r w:rsidRPr="00B45E5C">
              <w:rPr>
                <w:rFonts w:eastAsia="Quattrocento Sans"/>
                <w:b/>
                <w:color w:val="000000"/>
              </w:rPr>
              <w:t>País (año)</w:t>
            </w:r>
          </w:p>
        </w:tc>
        <w:tc>
          <w:tcPr>
            <w:tcW w:w="1147" w:type="dxa"/>
            <w:tcBorders>
              <w:top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524A3E">
            <w:pPr>
              <w:pBdr>
                <w:top w:val="nil"/>
                <w:left w:val="nil"/>
                <w:bottom w:val="nil"/>
                <w:right w:val="nil"/>
                <w:between w:val="nil"/>
              </w:pBdr>
              <w:ind w:left="280"/>
              <w:jc w:val="center"/>
              <w:rPr>
                <w:rFonts w:eastAsia="Quattrocento Sans"/>
              </w:rPr>
            </w:pPr>
          </w:p>
          <w:p w:rsidR="00524A3E" w:rsidRPr="00B45E5C" w:rsidRDefault="00524A3E">
            <w:pPr>
              <w:pBdr>
                <w:top w:val="nil"/>
                <w:left w:val="nil"/>
                <w:bottom w:val="nil"/>
                <w:right w:val="nil"/>
                <w:between w:val="nil"/>
              </w:pBdr>
              <w:rPr>
                <w:rFonts w:eastAsia="Quattrocento Sans"/>
              </w:rPr>
            </w:pPr>
          </w:p>
          <w:p w:rsidR="00524A3E" w:rsidRPr="00B45E5C" w:rsidRDefault="00127967">
            <w:pPr>
              <w:pBdr>
                <w:top w:val="nil"/>
                <w:left w:val="nil"/>
                <w:bottom w:val="nil"/>
                <w:right w:val="nil"/>
                <w:between w:val="nil"/>
              </w:pBdr>
              <w:jc w:val="center"/>
              <w:rPr>
                <w:rFonts w:eastAsia="Quattrocento Sans"/>
              </w:rPr>
            </w:pPr>
            <w:r w:rsidRPr="00B45E5C">
              <w:rPr>
                <w:rFonts w:eastAsia="Quattrocento Sans"/>
                <w:b/>
                <w:color w:val="000000"/>
              </w:rPr>
              <w:t>Salario Mínimo Mensual (USD)</w:t>
            </w:r>
          </w:p>
        </w:tc>
        <w:tc>
          <w:tcPr>
            <w:tcW w:w="1701" w:type="dxa"/>
            <w:tcBorders>
              <w:top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524A3E">
            <w:pPr>
              <w:pBdr>
                <w:top w:val="nil"/>
                <w:left w:val="nil"/>
                <w:bottom w:val="nil"/>
                <w:right w:val="nil"/>
                <w:between w:val="nil"/>
              </w:pBdr>
              <w:ind w:left="280"/>
              <w:rPr>
                <w:rFonts w:eastAsia="Quattrocento Sans"/>
              </w:rPr>
            </w:pPr>
          </w:p>
          <w:p w:rsidR="00524A3E" w:rsidRPr="00B45E5C" w:rsidRDefault="00524A3E">
            <w:pPr>
              <w:pBdr>
                <w:top w:val="nil"/>
                <w:left w:val="nil"/>
                <w:bottom w:val="nil"/>
                <w:right w:val="nil"/>
                <w:between w:val="nil"/>
              </w:pBdr>
              <w:ind w:left="280"/>
              <w:rPr>
                <w:rFonts w:eastAsia="Quattrocento Sans"/>
              </w:rPr>
            </w:pPr>
          </w:p>
          <w:p w:rsidR="00524A3E" w:rsidRPr="00B45E5C" w:rsidRDefault="00127967">
            <w:pPr>
              <w:pBdr>
                <w:top w:val="nil"/>
                <w:left w:val="nil"/>
                <w:bottom w:val="nil"/>
                <w:right w:val="nil"/>
                <w:between w:val="nil"/>
              </w:pBdr>
              <w:jc w:val="center"/>
              <w:rPr>
                <w:rFonts w:eastAsia="Quattrocento Sans"/>
              </w:rPr>
            </w:pPr>
            <w:r w:rsidRPr="00B45E5C">
              <w:rPr>
                <w:rFonts w:eastAsia="Quattrocento Sans"/>
                <w:b/>
                <w:color w:val="000000"/>
              </w:rPr>
              <w:t>Asignación mensual Congresistas (USD)</w:t>
            </w:r>
          </w:p>
        </w:tc>
        <w:tc>
          <w:tcPr>
            <w:tcW w:w="2126" w:type="dxa"/>
            <w:tcBorders>
              <w:top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524A3E">
            <w:pPr>
              <w:pBdr>
                <w:top w:val="nil"/>
                <w:left w:val="nil"/>
                <w:bottom w:val="nil"/>
                <w:right w:val="nil"/>
                <w:between w:val="nil"/>
              </w:pBdr>
              <w:rPr>
                <w:rFonts w:eastAsia="Quattrocento Sans"/>
              </w:rPr>
            </w:pPr>
          </w:p>
          <w:p w:rsidR="00524A3E" w:rsidRPr="00B45E5C" w:rsidRDefault="00127967">
            <w:pPr>
              <w:pBdr>
                <w:top w:val="nil"/>
                <w:left w:val="nil"/>
                <w:bottom w:val="nil"/>
                <w:right w:val="nil"/>
                <w:between w:val="nil"/>
              </w:pBdr>
              <w:jc w:val="center"/>
              <w:rPr>
                <w:rFonts w:eastAsia="Quattrocento Sans"/>
              </w:rPr>
            </w:pPr>
            <w:r w:rsidRPr="00B45E5C">
              <w:rPr>
                <w:rFonts w:eastAsia="Quattrocento Sans"/>
                <w:b/>
                <w:color w:val="000000"/>
              </w:rPr>
              <w:t>Asignación mensual Congresistas</w:t>
            </w:r>
          </w:p>
          <w:p w:rsidR="00524A3E" w:rsidRPr="00B45E5C" w:rsidRDefault="00127967">
            <w:pPr>
              <w:pBdr>
                <w:top w:val="nil"/>
                <w:left w:val="nil"/>
                <w:bottom w:val="nil"/>
                <w:right w:val="nil"/>
                <w:between w:val="nil"/>
              </w:pBdr>
              <w:jc w:val="center"/>
              <w:rPr>
                <w:rFonts w:eastAsia="Quattrocento Sans"/>
              </w:rPr>
            </w:pPr>
            <w:r w:rsidRPr="00B45E5C">
              <w:rPr>
                <w:rFonts w:eastAsia="Quattrocento Sans"/>
                <w:b/>
                <w:color w:val="000000"/>
              </w:rPr>
              <w:t>(Equivalencia en Pesos Colombianos)</w:t>
            </w:r>
          </w:p>
        </w:tc>
        <w:tc>
          <w:tcPr>
            <w:tcW w:w="2177" w:type="dxa"/>
            <w:tcBorders>
              <w:top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jc w:val="center"/>
              <w:rPr>
                <w:rFonts w:eastAsia="Quattrocento Sans"/>
              </w:rPr>
            </w:pPr>
            <w:r w:rsidRPr="00B45E5C">
              <w:rPr>
                <w:rFonts w:eastAsia="Quattrocento Sans"/>
                <w:b/>
                <w:color w:val="000000"/>
              </w:rPr>
              <w:t>¿A cuántos salarios mínimos equivale el salario de un congresista en cada país?</w:t>
            </w:r>
          </w:p>
          <w:p w:rsidR="00524A3E" w:rsidRPr="00B45E5C" w:rsidRDefault="00127967">
            <w:pPr>
              <w:pBdr>
                <w:top w:val="nil"/>
                <w:left w:val="nil"/>
                <w:bottom w:val="nil"/>
                <w:right w:val="nil"/>
                <w:between w:val="nil"/>
              </w:pBdr>
              <w:jc w:val="center"/>
              <w:rPr>
                <w:rFonts w:eastAsia="Quattrocento Sans"/>
              </w:rPr>
            </w:pPr>
            <w:r w:rsidRPr="00B45E5C">
              <w:rPr>
                <w:rFonts w:eastAsia="Quattrocento Sans"/>
                <w:color w:val="000000"/>
              </w:rPr>
              <w:t xml:space="preserve"> (Asignación Congresistas del país / Salario Mínimo del país)</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México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121</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8.622</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25.366.657</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71.3</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rPr>
              <w:t>Colombia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rPr>
              <w:t>265</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rPr>
              <w:t>10.526</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rPr>
              <w:t>31.249.280</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rPr>
              <w:t>39.7</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Brasil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325</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10.557</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31.731.427</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32.5</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Chile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456</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14.584</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42.907.368</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32</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Perú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250</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4.736</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13.933.714</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18.9</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Paraguay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371</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5.647</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16.613.950</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15.2</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Uruguay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431</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7.055</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20.756.410</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16.4</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Ecuador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391</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4.508</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13.262.920</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11.5</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Bolivia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300</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2.600</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7.649.420</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8.7</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Argentina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544</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4.133</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12.159.637</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7.6</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Venezuela (2018)</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65</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60</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110.328</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color w:val="000000"/>
              </w:rPr>
              <w:t>0.9</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b/>
                <w:color w:val="000000"/>
              </w:rPr>
              <w:t>Promedio</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319</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6.636</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19.523.676</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25.4</w:t>
            </w:r>
          </w:p>
        </w:tc>
      </w:tr>
      <w:tr w:rsidR="00524A3E" w:rsidRPr="00B45E5C">
        <w:tc>
          <w:tcPr>
            <w:tcW w:w="2115" w:type="dxa"/>
            <w:tcBorders>
              <w:left w:val="single" w:sz="8" w:space="0" w:color="000000"/>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rPr>
                <w:rFonts w:eastAsia="Quattrocento Sans"/>
              </w:rPr>
            </w:pPr>
            <w:r w:rsidRPr="00B45E5C">
              <w:rPr>
                <w:rFonts w:eastAsia="Quattrocento Sans"/>
                <w:b/>
                <w:color w:val="000000"/>
              </w:rPr>
              <w:t xml:space="preserve">Promedio sin Venezuela </w:t>
            </w:r>
          </w:p>
        </w:tc>
        <w:tc>
          <w:tcPr>
            <w:tcW w:w="1147"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 xml:space="preserve">         345</w:t>
            </w:r>
          </w:p>
        </w:tc>
        <w:tc>
          <w:tcPr>
            <w:tcW w:w="1701"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 xml:space="preserve">                    7.296</w:t>
            </w:r>
          </w:p>
        </w:tc>
        <w:tc>
          <w:tcPr>
            <w:tcW w:w="2126" w:type="dxa"/>
            <w:tcBorders>
              <w:bottom w:val="single" w:sz="8" w:space="0" w:color="000000"/>
              <w:right w:val="single" w:sz="8" w:space="0" w:color="000000"/>
            </w:tcBorders>
            <w:tcMar>
              <w:top w:w="100" w:type="dxa"/>
              <w:left w:w="80" w:type="dxa"/>
              <w:bottom w:w="100" w:type="dxa"/>
              <w:right w:w="80" w:type="dxa"/>
            </w:tcMar>
          </w:tcPr>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 xml:space="preserve">           </w:t>
            </w:r>
            <w:r w:rsidRPr="00B45E5C">
              <w:rPr>
                <w:rFonts w:eastAsia="Quattrocento Sans"/>
                <w:b/>
                <w:color w:val="000000"/>
              </w:rPr>
              <w:tab/>
              <w:t xml:space="preserve">21.465.452 </w:t>
            </w:r>
          </w:p>
        </w:tc>
        <w:tc>
          <w:tcPr>
            <w:tcW w:w="2177" w:type="dxa"/>
            <w:tcBorders>
              <w:bottom w:val="single" w:sz="8" w:space="0" w:color="000000"/>
              <w:right w:val="single" w:sz="8" w:space="0" w:color="000000"/>
            </w:tcBorders>
            <w:tcMar>
              <w:top w:w="100" w:type="dxa"/>
              <w:left w:w="80" w:type="dxa"/>
              <w:bottom w:w="100" w:type="dxa"/>
              <w:right w:w="80" w:type="dxa"/>
            </w:tcMar>
          </w:tcPr>
          <w:p w:rsidR="00524A3E" w:rsidRPr="00B45E5C" w:rsidRDefault="00524A3E">
            <w:pPr>
              <w:pBdr>
                <w:top w:val="nil"/>
                <w:left w:val="nil"/>
                <w:bottom w:val="nil"/>
                <w:right w:val="nil"/>
                <w:between w:val="nil"/>
              </w:pBdr>
              <w:ind w:left="280"/>
              <w:jc w:val="right"/>
              <w:rPr>
                <w:rFonts w:eastAsia="Quattrocento Sans"/>
              </w:rPr>
            </w:pPr>
          </w:p>
          <w:p w:rsidR="00524A3E" w:rsidRPr="00B45E5C" w:rsidRDefault="00127967">
            <w:pPr>
              <w:pBdr>
                <w:top w:val="nil"/>
                <w:left w:val="nil"/>
                <w:bottom w:val="nil"/>
                <w:right w:val="nil"/>
                <w:between w:val="nil"/>
              </w:pBdr>
              <w:ind w:left="280"/>
              <w:jc w:val="right"/>
              <w:rPr>
                <w:rFonts w:eastAsia="Quattrocento Sans"/>
              </w:rPr>
            </w:pPr>
            <w:r w:rsidRPr="00B45E5C">
              <w:rPr>
                <w:rFonts w:eastAsia="Quattrocento Sans"/>
                <w:b/>
                <w:color w:val="000000"/>
              </w:rPr>
              <w:t>23.2</w:t>
            </w:r>
          </w:p>
        </w:tc>
      </w:tr>
    </w:tbl>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pPr>
        <w:pBdr>
          <w:top w:val="nil"/>
          <w:left w:val="nil"/>
          <w:bottom w:val="nil"/>
          <w:right w:val="nil"/>
          <w:between w:val="nil"/>
        </w:pBdr>
        <w:spacing w:before="20" w:after="20"/>
        <w:jc w:val="both"/>
        <w:rPr>
          <w:rFonts w:eastAsia="Quattrocento Sans"/>
        </w:rPr>
      </w:pPr>
      <w:r w:rsidRPr="00B45E5C">
        <w:rPr>
          <w:rFonts w:eastAsia="Quattrocento Sans"/>
          <w:color w:val="000000"/>
        </w:rPr>
        <w:t>Teniendo en cuenta la información del Cuadro 2,</w:t>
      </w:r>
      <w:r w:rsidRPr="00B45E5C">
        <w:rPr>
          <w:rFonts w:eastAsia="Quattrocento Sans"/>
          <w:color w:val="000000"/>
          <w:highlight w:val="white"/>
        </w:rPr>
        <w:t xml:space="preserve"> la propuesta de límite salarial del presente proyecto es más consistente con el promedio del salario de los congresistas de América Latina. Al comparar la asignación percibida por los congresistas de algunos países de la región y teniendo en cuenta las variaciones cambiarias, la asignación final promedio de los congresistas en 2018 (sin incluir Venezuela) corresponde a $21.465.452</w:t>
      </w:r>
      <w:r w:rsidRPr="00B45E5C">
        <w:rPr>
          <w:rFonts w:eastAsia="Quattrocento Sans"/>
          <w:color w:val="000000"/>
        </w:rPr>
        <w:t>.</w:t>
      </w:r>
    </w:p>
    <w:p w:rsidR="00524A3E" w:rsidRPr="00B45E5C" w:rsidRDefault="00524A3E">
      <w:pPr>
        <w:pBdr>
          <w:top w:val="nil"/>
          <w:left w:val="nil"/>
          <w:bottom w:val="nil"/>
          <w:right w:val="nil"/>
          <w:between w:val="nil"/>
        </w:pBdr>
        <w:spacing w:before="20" w:after="20"/>
        <w:jc w:val="both"/>
        <w:rPr>
          <w:rFonts w:eastAsia="Quattrocento Sans"/>
        </w:rPr>
      </w:pPr>
    </w:p>
    <w:p w:rsidR="00524A3E" w:rsidRPr="00B45E5C" w:rsidRDefault="00127967" w:rsidP="00B45E5C">
      <w:pPr>
        <w:pBdr>
          <w:top w:val="nil"/>
          <w:left w:val="nil"/>
          <w:bottom w:val="nil"/>
          <w:right w:val="nil"/>
          <w:between w:val="nil"/>
        </w:pBdr>
        <w:jc w:val="both"/>
        <w:rPr>
          <w:rFonts w:eastAsia="Quattrocento Sans"/>
        </w:rPr>
      </w:pPr>
      <w:r w:rsidRPr="00B45E5C">
        <w:rPr>
          <w:rFonts w:eastAsia="Quattrocento Sans"/>
          <w:color w:val="000000"/>
          <w:highlight w:val="white"/>
        </w:rPr>
        <w:t xml:space="preserve">El presente Proyecto de Acto Legislativo propone un tope de 25 SMLMV, monto que en 2018 equivale a </w:t>
      </w:r>
      <w:r w:rsidRPr="00B45E5C">
        <w:rPr>
          <w:rFonts w:eastAsia="Quattrocento Sans"/>
          <w:color w:val="000000"/>
        </w:rPr>
        <w:t>$19.543.550</w:t>
      </w:r>
      <w:r w:rsidRPr="00B45E5C">
        <w:rPr>
          <w:rFonts w:eastAsia="Quattrocento Sans"/>
          <w:color w:val="000000"/>
          <w:highlight w:val="white"/>
        </w:rPr>
        <w:t xml:space="preserve">. Esta asignación, como es evidente, se encuentra más acorde con el promedio de la región, a diferencia de la asignación salarial actual que supera los $30 millones mensuales. </w:t>
      </w:r>
    </w:p>
    <w:p w:rsidR="00524A3E" w:rsidRPr="00B45E5C" w:rsidRDefault="00524A3E">
      <w:pPr>
        <w:pBdr>
          <w:top w:val="nil"/>
          <w:left w:val="nil"/>
          <w:bottom w:val="nil"/>
          <w:right w:val="nil"/>
          <w:between w:val="nil"/>
        </w:pBdr>
        <w:rPr>
          <w:rFonts w:eastAsia="Quattrocento Sans"/>
        </w:rPr>
      </w:pPr>
    </w:p>
    <w:p w:rsidR="00524A3E" w:rsidRPr="00B45E5C" w:rsidRDefault="00127967">
      <w:pPr>
        <w:pBdr>
          <w:top w:val="nil"/>
          <w:left w:val="nil"/>
          <w:bottom w:val="nil"/>
          <w:right w:val="nil"/>
          <w:between w:val="nil"/>
        </w:pBdr>
        <w:rPr>
          <w:rFonts w:eastAsia="Quattrocento Sans"/>
        </w:rPr>
      </w:pPr>
      <w:r w:rsidRPr="00B45E5C">
        <w:rPr>
          <w:rFonts w:eastAsia="Quattrocento Sans"/>
          <w:b/>
          <w:color w:val="000000"/>
        </w:rPr>
        <w:t>3.2. Desigualdad en la tasa de aumento salarial</w:t>
      </w:r>
      <w:r w:rsidR="00B45E5C">
        <w:rPr>
          <w:rFonts w:eastAsia="Quattrocento Sans"/>
          <w:b/>
          <w:color w:val="000000"/>
        </w:rPr>
        <w:t>.</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 xml:space="preserve">Es importante reconocer la necesidad de mantener el poder adquisitivo de la asignación salarial de todos servidores públicos, incluyendo a los congresistas. Sin embargo, el artículo 187 de la Constitución Política acoge una fórmula de crecimiento basada en el aumento promedio de los servidores públicos de la administración central, sin considerar que los Congresistas reciben una de las asignaciones más altas en el Estado y en el país y sin establecer ningún techo a ese incremento. Es decir, aunque los Congresistas ganan un monto considerablemente más alto, como se mostró en la sección anterior, se les incrementa su asignación mensual con base en lo estipulado para otros servidores públicos que no tienen asignaciones tan altas, contribuyendo a incrementar la brecha existente.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Esto se ve agravado debido a que el aumento en la remuneración de los servidores públicos de la administración central ha sido reiteradamente superior al aumento en el salario mínimo. Lo anterior, sumado a la diferencia salarial entre congresistas y el promedio de los trabajadores, hace que el aumento percibido por los congresistas sea significativamente más alto, en términos porcentuales y absolutos, que el aumento de los salarios de la mayoría de los trabajadores colombianos.</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color w:val="000000"/>
        </w:rPr>
      </w:pPr>
      <w:r w:rsidRPr="00B45E5C">
        <w:rPr>
          <w:rFonts w:eastAsia="Quattrocento Sans"/>
          <w:color w:val="000000"/>
        </w:rPr>
        <w:t>Antes de la regla adoptada por el artículo 187 de la constitución, el salario de los congresistas se aumentaba en la misma proporción que el aumento en el salario mínimo, lo que a su vez mantenía una relación relativamente proporcional a la inflación</w:t>
      </w:r>
      <w:r w:rsidRPr="00B45E5C">
        <w:rPr>
          <w:rFonts w:eastAsia="Quattrocento Sans"/>
          <w:color w:val="000000"/>
          <w:vertAlign w:val="superscript"/>
        </w:rPr>
        <w:footnoteReference w:id="3"/>
      </w:r>
      <w:r w:rsidRPr="00B45E5C">
        <w:rPr>
          <w:rFonts w:eastAsia="Quattrocento Sans"/>
          <w:color w:val="000000"/>
        </w:rPr>
        <w:t xml:space="preserve">.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color w:val="000000"/>
        </w:rPr>
      </w:pPr>
      <w:r w:rsidRPr="00B45E5C">
        <w:rPr>
          <w:rFonts w:eastAsia="Quattrocento Sans"/>
          <w:color w:val="000000"/>
        </w:rPr>
        <w:t>Sin embargo, con la regla adoptada en 1991, y ejecutada por la ley 4 de 1992, con solo el primer año de vigencia de dicha ley, el salario aumentó en un 275%, un porcentaje desmedido en comparación con el aumento del salario mínimo en ese año, que fue del 26%.</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Al considerar la variación total de los salarios entre 1992 y 2018, el salario de los miembros del congreso se ha incrementado en un 3.634,3% mientras que el salario mínimo aumentó un 1.175,9%. De esta manera, en términos porcentuales el aumento para los congresistas fue cerca de 3 veces superior al aumento del salario mínimo en algo más de 20 años.</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color w:val="000000"/>
        </w:rPr>
      </w:pPr>
      <w:r w:rsidRPr="00B45E5C">
        <w:rPr>
          <w:rFonts w:eastAsia="Quattrocento Sans"/>
          <w:color w:val="000000"/>
        </w:rPr>
        <w:t xml:space="preserve">Actualmente, mientras un congresista en 2018 recibe un salario de $31,331.821 millones y su salario aumentó en más de un millón y medio de pesos (exactamente </w:t>
      </w:r>
      <w:r w:rsidRPr="00B45E5C">
        <w:rPr>
          <w:rFonts w:eastAsia="Quattrocento Sans"/>
          <w:color w:val="000000"/>
          <w:highlight w:val="white"/>
        </w:rPr>
        <w:t>$1.517.546) con respecto al 2017</w:t>
      </w:r>
      <w:r w:rsidRPr="00B45E5C">
        <w:rPr>
          <w:rFonts w:eastAsia="Quattrocento Sans"/>
          <w:color w:val="000000"/>
        </w:rPr>
        <w:t xml:space="preserve"> (que fue de $29,814.275) un trabajador que recibe el mínimo percibe un salario de </w:t>
      </w:r>
      <w:r w:rsidRPr="00B45E5C">
        <w:rPr>
          <w:rFonts w:eastAsia="Quattrocento Sans"/>
          <w:color w:val="000000"/>
          <w:highlight w:val="white"/>
        </w:rPr>
        <w:t>$781.742</w:t>
      </w:r>
      <w:r w:rsidRPr="00B45E5C">
        <w:rPr>
          <w:rFonts w:eastAsia="Quattrocento Sans"/>
          <w:color w:val="000000"/>
        </w:rPr>
        <w:t xml:space="preserve"> y su incremento anual fue de apenas $</w:t>
      </w:r>
      <w:r w:rsidRPr="00B45E5C">
        <w:rPr>
          <w:rFonts w:eastAsia="Quattrocento Sans"/>
          <w:color w:val="000000"/>
          <w:highlight w:val="white"/>
        </w:rPr>
        <w:t>44.025</w:t>
      </w:r>
      <w:r w:rsidRPr="00B45E5C">
        <w:rPr>
          <w:rFonts w:eastAsia="Quattrocento Sans"/>
          <w:color w:val="000000"/>
        </w:rPr>
        <w:t xml:space="preserve">. Esto implica que tan solo el incremento de </w:t>
      </w:r>
      <w:r w:rsidRPr="00B45E5C">
        <w:rPr>
          <w:rFonts w:eastAsia="Quattrocento Sans"/>
          <w:color w:val="000000"/>
          <w:highlight w:val="white"/>
        </w:rPr>
        <w:t>$1.517.546 del salario de un congresista equivale al doble de la totalidad del salario mínimo en 2018.</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333333"/>
          <w:highlight w:val="white"/>
        </w:rPr>
        <w:t xml:space="preserve">En otros términos, </w:t>
      </w:r>
      <w:r w:rsidRPr="00B45E5C">
        <w:rPr>
          <w:rFonts w:eastAsia="Quattrocento Sans"/>
          <w:color w:val="000000"/>
        </w:rPr>
        <w:t>el aumento salarial de los congresistas equivale a 34 veces el aumento del salario mínimo. El panorama empeora si se tiene en cuenta que el 48,1% de los trabajadores en Colombia son informales (y por ende no se ven cobijados por el aumento salarial del mínimo estipulado en la ley) y que, como se señaló antes, el ingreso per cápita promedio no supera un salario mínimo.</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 xml:space="preserve">En el mismo sentido, en el concepto emitido por la Contraloría General de la República para el proyecto de acto legislativo radicado por Senadores del Centro Democrático que proponía la congelación del incremento del salario de los Congresistas por 4 años, afirma lo siguiente: </w:t>
      </w:r>
      <w:r w:rsidRPr="00B45E5C">
        <w:rPr>
          <w:rFonts w:eastAsia="Quattrocento Sans"/>
          <w:i/>
          <w:color w:val="000000"/>
        </w:rPr>
        <w:t xml:space="preserve">“Se reconoce el esfuerzo del Legislativo Nacional por atenuar la </w:t>
      </w:r>
      <w:r w:rsidRPr="00B45E5C">
        <w:rPr>
          <w:rFonts w:eastAsia="Quattrocento Sans"/>
          <w:i/>
          <w:color w:val="000000"/>
          <w:u w:val="single"/>
        </w:rPr>
        <w:t>desproporción existente entre los incrementos salariales del común de los servidores públicos de la administración central y los incrementos a la remuneración de los Congresistas.</w:t>
      </w:r>
      <w:r w:rsidRPr="00B45E5C">
        <w:rPr>
          <w:rFonts w:eastAsia="Quattrocento Sans"/>
          <w:i/>
          <w:color w:val="000000"/>
        </w:rPr>
        <w:t xml:space="preserve"> Sin embargo, cumplido el plazo previsto en el Proyecto de Acto Legislativo de congelamiento de las asignaciones Congresionales y sin otro desarrollo legislativo complementario, con el correr del tiempo se volvería a manifestar dicha desproporción”</w:t>
      </w:r>
      <w:r w:rsidRPr="00B45E5C">
        <w:rPr>
          <w:rFonts w:eastAsia="Quattrocento Sans"/>
          <w:color w:val="000000"/>
        </w:rPr>
        <w:t xml:space="preserve"> (subrayado propio).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Al respecto, el mencionado concepto de la CGR propone una metodología de tasa de crecimiento para la asignación salarial de los congresistas</w:t>
      </w:r>
      <w:r w:rsidRPr="00B45E5C">
        <w:rPr>
          <w:rFonts w:eastAsia="Quattrocento Sans"/>
          <w:i/>
          <w:color w:val="000000"/>
        </w:rPr>
        <w:t xml:space="preserve"> “cuyo nivel mínimo sea la tasa de inflación observada en el periodo inmediatamente anterior  y el máximo la tasa de inflación observada en el periodo inmediatamente anterior más puntos básicos en proporción inversa a los decretados por productividad al resto de servidores públicos.” </w:t>
      </w:r>
      <w:r w:rsidRPr="00B45E5C">
        <w:rPr>
          <w:rFonts w:eastAsia="Quattrocento Sans"/>
          <w:i/>
          <w:color w:val="000000"/>
          <w:vertAlign w:val="superscript"/>
        </w:rPr>
        <w:footnoteReference w:id="4"/>
      </w:r>
      <w:r w:rsidRPr="00B45E5C">
        <w:rPr>
          <w:rFonts w:eastAsia="Quattrocento Sans"/>
          <w:color w:val="000000"/>
        </w:rPr>
        <w:t xml:space="preserve"> </w:t>
      </w:r>
    </w:p>
    <w:p w:rsidR="00B45E5C" w:rsidRPr="00B45E5C" w:rsidRDefault="00127967" w:rsidP="00B45E5C">
      <w:pPr>
        <w:pStyle w:val="Ttulo2"/>
        <w:numPr>
          <w:ilvl w:val="0"/>
          <w:numId w:val="2"/>
        </w:numPr>
        <w:pBdr>
          <w:top w:val="nil"/>
          <w:left w:val="nil"/>
          <w:bottom w:val="nil"/>
          <w:right w:val="nil"/>
          <w:between w:val="nil"/>
        </w:pBdr>
        <w:contextualSpacing w:val="0"/>
        <w:jc w:val="both"/>
        <w:rPr>
          <w:rFonts w:eastAsia="Quattrocento Sans"/>
          <w:b/>
          <w:sz w:val="22"/>
          <w:szCs w:val="22"/>
        </w:rPr>
      </w:pPr>
      <w:bookmarkStart w:id="7" w:name="_3znysh7" w:colFirst="0" w:colLast="0"/>
      <w:bookmarkEnd w:id="7"/>
      <w:r w:rsidRPr="00B45E5C">
        <w:rPr>
          <w:rFonts w:eastAsia="Quattrocento Sans"/>
          <w:b/>
          <w:sz w:val="22"/>
          <w:szCs w:val="22"/>
        </w:rPr>
        <w:t>Repercusiones presupuestarias</w:t>
      </w:r>
      <w:r w:rsidR="00B45E5C" w:rsidRPr="00B45E5C">
        <w:rPr>
          <w:rFonts w:eastAsia="Quattrocento Sans"/>
          <w:b/>
          <w:sz w:val="22"/>
          <w:szCs w:val="22"/>
        </w:rPr>
        <w:t>.</w:t>
      </w:r>
    </w:p>
    <w:p w:rsidR="00B45E5C" w:rsidRPr="00B45E5C" w:rsidRDefault="00B45E5C" w:rsidP="00B45E5C"/>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Fijar el límite de 25 SMLMV propuesto en el presente proyecto favorece los recursos públicos de la Nación, debido a la reducción en el monto salarial de los congresistas, y a la reducción de las demás asignaciones salariales de otros servidores públicos de altos ingresos estipuladas de acuerdo con este parámetro.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Por otra parte, según el régimen establecido por la ley 4 de 1992 ningún funcionario del nivel nacional (con excepción del Presidente de la República, el Cuerpo Diplomático Colombiano y el personal del Ministerio de Defensa destinado en comisión en el exterior) podrá tener una remuneración anual superior a la de los miembros del Congreso Nacional, por lo tanto, conforme el principio de la igualdad de trato de los altos funcionarios, el régimen salarial vigente hace que aproximadamente 1.920</w:t>
      </w:r>
      <w:r w:rsidRPr="00B45E5C">
        <w:rPr>
          <w:rFonts w:eastAsia="Quattrocento Sans"/>
          <w:color w:val="000000"/>
          <w:highlight w:val="white"/>
          <w:vertAlign w:val="superscript"/>
        </w:rPr>
        <w:footnoteReference w:id="5"/>
      </w:r>
      <w:r w:rsidRPr="00B45E5C">
        <w:rPr>
          <w:rFonts w:eastAsia="Quattrocento Sans"/>
          <w:color w:val="000000"/>
          <w:highlight w:val="white"/>
        </w:rPr>
        <w:t xml:space="preserve"> funcionarios reciban una asignación con estricta proporcionalidad al régimen salarial aplicable a los congresistas.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Puntualmente, como se observa en el Cuadro 2, el presente proyecto implica para el estado un ahorro de $</w:t>
      </w:r>
      <w:r w:rsidRPr="00B45E5C">
        <w:rPr>
          <w:rFonts w:eastAsia="Quattrocento Sans"/>
          <w:color w:val="000000"/>
        </w:rPr>
        <w:t xml:space="preserve">10’692.714 </w:t>
      </w:r>
      <w:r w:rsidRPr="00B45E5C">
        <w:rPr>
          <w:rFonts w:eastAsia="Quattrocento Sans"/>
          <w:color w:val="000000"/>
          <w:highlight w:val="white"/>
        </w:rPr>
        <w:t>en el salario mensual de cada congresista, según datos de 2016. Este valor multiplicado por 268 congresistas equivale a un ahorro de $</w:t>
      </w:r>
      <w:r w:rsidRPr="00B45E5C">
        <w:rPr>
          <w:rFonts w:eastAsia="Quattrocento Sans"/>
          <w:color w:val="000000"/>
        </w:rPr>
        <w:t xml:space="preserve">2.865’647.352 </w:t>
      </w:r>
      <w:r w:rsidRPr="00B45E5C">
        <w:rPr>
          <w:rFonts w:eastAsia="Quattrocento Sans"/>
          <w:color w:val="000000"/>
          <w:highlight w:val="white"/>
        </w:rPr>
        <w:t>mensuales, es decir casi tres mil millones de pesos mensuales. Incluyendo dos primas al año equivalentes a 1,5 salarios, este ahorro equivale a $</w:t>
      </w:r>
      <w:r w:rsidRPr="00B45E5C">
        <w:rPr>
          <w:rFonts w:eastAsia="Quattrocento Sans"/>
          <w:color w:val="000000"/>
        </w:rPr>
        <w:t xml:space="preserve">38.686’239.252 </w:t>
      </w:r>
      <w:r w:rsidRPr="00B45E5C">
        <w:rPr>
          <w:rFonts w:eastAsia="Quattrocento Sans"/>
          <w:color w:val="000000"/>
          <w:highlight w:val="white"/>
        </w:rPr>
        <w:t xml:space="preserve">anuales </w:t>
      </w:r>
      <w:r w:rsidRPr="00B45E5C">
        <w:rPr>
          <w:rFonts w:eastAsia="Quattrocento Sans"/>
          <w:highlight w:val="white"/>
        </w:rPr>
        <w:t>(equivalentes al 7,7% del presupuesto anual del Congreso en 2016), lo q</w:t>
      </w:r>
      <w:r w:rsidRPr="00B45E5C">
        <w:rPr>
          <w:rFonts w:eastAsia="Quattrocento Sans"/>
          <w:color w:val="000000"/>
          <w:highlight w:val="white"/>
        </w:rPr>
        <w:t>ue representa aproximadamente $</w:t>
      </w:r>
      <w:r w:rsidRPr="00B45E5C">
        <w:rPr>
          <w:rFonts w:eastAsia="Quattrocento Sans"/>
          <w:color w:val="000000"/>
        </w:rPr>
        <w:t xml:space="preserve">154.745 </w:t>
      </w:r>
      <w:r w:rsidRPr="00B45E5C">
        <w:rPr>
          <w:rFonts w:eastAsia="Quattrocento Sans"/>
          <w:color w:val="000000"/>
          <w:highlight w:val="white"/>
        </w:rPr>
        <w:t xml:space="preserve">millones de pesos en un período de 4 años, haciendo el cálculo a precios constantes de 2016.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Cuadro 2</w:t>
      </w:r>
      <w:r w:rsidRPr="00B45E5C">
        <w:rPr>
          <w:rFonts w:eastAsia="Quattrocento Sans"/>
          <w:color w:val="000000"/>
          <w:highlight w:val="white"/>
          <w:vertAlign w:val="superscript"/>
        </w:rPr>
        <w:footnoteReference w:id="6"/>
      </w:r>
      <w:r w:rsidRPr="00B45E5C">
        <w:rPr>
          <w:rFonts w:eastAsia="Quattrocento Sans"/>
          <w:color w:val="000000"/>
          <w:highlight w:val="white"/>
        </w:rPr>
        <w:t xml:space="preserve">. Ahorro de recursos públicos que implica el presente proyecto (Cifras en pesos) </w:t>
      </w:r>
    </w:p>
    <w:tbl>
      <w:tblPr>
        <w:tblStyle w:val="a0"/>
        <w:tblW w:w="9345" w:type="dxa"/>
        <w:tblLayout w:type="fixed"/>
        <w:tblLook w:val="0400" w:firstRow="0" w:lastRow="0" w:firstColumn="0" w:lastColumn="0" w:noHBand="0" w:noVBand="1"/>
      </w:tblPr>
      <w:tblGrid>
        <w:gridCol w:w="3450"/>
        <w:gridCol w:w="1890"/>
        <w:gridCol w:w="2055"/>
        <w:gridCol w:w="1950"/>
      </w:tblGrid>
      <w:tr w:rsidR="00524A3E" w:rsidRPr="00B45E5C">
        <w:trPr>
          <w:trHeight w:val="600"/>
        </w:trPr>
        <w:tc>
          <w:tcPr>
            <w:tcW w:w="3450" w:type="dxa"/>
            <w:tcBorders>
              <w:top w:val="single" w:sz="4" w:space="0" w:color="000000"/>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 </w:t>
            </w:r>
          </w:p>
        </w:tc>
        <w:tc>
          <w:tcPr>
            <w:tcW w:w="1890" w:type="dxa"/>
            <w:tcBorders>
              <w:top w:val="single" w:sz="4" w:space="0" w:color="000000"/>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center"/>
              <w:rPr>
                <w:rFonts w:eastAsia="Quattrocento Sans"/>
                <w:b/>
              </w:rPr>
            </w:pPr>
            <w:r w:rsidRPr="00B45E5C">
              <w:rPr>
                <w:rFonts w:eastAsia="Quattrocento Sans"/>
                <w:b/>
                <w:color w:val="000000"/>
              </w:rPr>
              <w:t>Actual (2016)</w:t>
            </w:r>
          </w:p>
        </w:tc>
        <w:tc>
          <w:tcPr>
            <w:tcW w:w="2055" w:type="dxa"/>
            <w:tcBorders>
              <w:top w:val="single" w:sz="4" w:space="0" w:color="000000"/>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center"/>
              <w:rPr>
                <w:rFonts w:eastAsia="Quattrocento Sans"/>
                <w:b/>
              </w:rPr>
            </w:pPr>
            <w:r w:rsidRPr="00B45E5C">
              <w:rPr>
                <w:rFonts w:eastAsia="Quattrocento Sans"/>
                <w:b/>
                <w:color w:val="000000"/>
              </w:rPr>
              <w:t>Con Proyecto</w:t>
            </w:r>
          </w:p>
        </w:tc>
        <w:tc>
          <w:tcPr>
            <w:tcW w:w="1950" w:type="dxa"/>
            <w:tcBorders>
              <w:top w:val="single" w:sz="4" w:space="0" w:color="000000"/>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center"/>
              <w:rPr>
                <w:rFonts w:eastAsia="Quattrocento Sans"/>
                <w:b/>
              </w:rPr>
            </w:pPr>
            <w:r w:rsidRPr="00B45E5C">
              <w:rPr>
                <w:rFonts w:eastAsia="Quattrocento Sans"/>
                <w:b/>
                <w:color w:val="000000"/>
              </w:rPr>
              <w:t>Ahorro de recursos públicos</w:t>
            </w:r>
          </w:p>
        </w:tc>
      </w:tr>
      <w:tr w:rsidR="00524A3E" w:rsidRPr="00B45E5C">
        <w:trPr>
          <w:trHeight w:val="300"/>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b/>
              </w:rPr>
            </w:pPr>
            <w:r w:rsidRPr="00B45E5C">
              <w:rPr>
                <w:rFonts w:eastAsia="Quattrocento Sans"/>
                <w:b/>
                <w:color w:val="000000"/>
              </w:rPr>
              <w:t>Asignación Mensual</w:t>
            </w:r>
          </w:p>
        </w:tc>
      </w:tr>
      <w:tr w:rsidR="00524A3E" w:rsidRPr="00B45E5C">
        <w:trPr>
          <w:trHeight w:val="3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Asignación mensual por congresista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27.929.064 </w:t>
            </w:r>
          </w:p>
        </w:tc>
        <w:tc>
          <w:tcPr>
            <w:tcW w:w="2055" w:type="dxa"/>
            <w:tcBorders>
              <w:top w:val="nil"/>
              <w:left w:val="nil"/>
              <w:bottom w:val="nil"/>
              <w:right w:val="nil"/>
            </w:tcBorders>
            <w:vAlign w:val="bottom"/>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17.236.350</w:t>
            </w:r>
          </w:p>
        </w:tc>
        <w:tc>
          <w:tcPr>
            <w:tcW w:w="19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b/>
              </w:rPr>
            </w:pPr>
            <w:r w:rsidRPr="00B45E5C">
              <w:rPr>
                <w:rFonts w:eastAsia="Quattrocento Sans"/>
                <w:b/>
                <w:color w:val="000000"/>
              </w:rPr>
              <w:t xml:space="preserve">       10.692.714 </w:t>
            </w:r>
          </w:p>
        </w:tc>
      </w:tr>
      <w:tr w:rsidR="00524A3E" w:rsidRPr="00B45E5C">
        <w:trPr>
          <w:trHeight w:val="9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mensual asignaciones Representantes a la Cámara (166 representantes)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4.636.224.624 </w:t>
            </w:r>
          </w:p>
        </w:tc>
        <w:tc>
          <w:tcPr>
            <w:tcW w:w="2055" w:type="dxa"/>
            <w:tcBorders>
              <w:top w:val="single" w:sz="4" w:space="0" w:color="000000"/>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2.861.234.100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1.774.990.524 </w:t>
            </w:r>
          </w:p>
        </w:tc>
      </w:tr>
      <w:tr w:rsidR="00524A3E" w:rsidRPr="00B45E5C">
        <w:trPr>
          <w:trHeight w:val="9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mensual asignaciones Senadores de la República (102 senadores)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2.848.764.528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1.758.107.700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1.090.656.828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total mensual  asignaciones congresistas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7.484.989.152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4.619.341.800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b/>
              </w:rPr>
            </w:pPr>
            <w:r w:rsidRPr="00B45E5C">
              <w:rPr>
                <w:rFonts w:eastAsia="Quattrocento Sans"/>
                <w:b/>
                <w:color w:val="000000"/>
              </w:rPr>
              <w:t xml:space="preserve">          2.865.647.352 </w:t>
            </w:r>
          </w:p>
        </w:tc>
      </w:tr>
      <w:tr w:rsidR="00524A3E" w:rsidRPr="00B45E5C">
        <w:trPr>
          <w:trHeight w:val="300"/>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b/>
              </w:rPr>
            </w:pPr>
            <w:r w:rsidRPr="00B45E5C">
              <w:rPr>
                <w:rFonts w:eastAsia="Quattrocento Sans"/>
                <w:b/>
                <w:color w:val="000000"/>
              </w:rPr>
              <w:t>Primas anuales</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 xml:space="preserve"> 1,5 asignaciones mensuales al año por congresista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41.893.596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25.854.525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16.039.071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en primas anuales Representantes a la Cámara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6.954.336.936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4.291.851.150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2.662.485.786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en primas anuales Senadores de la República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4.273.146.792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2.637.161.550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1.635.985.242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total en primas anuales congresistas (268 congresistas)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11.227.483.728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6.929.012.700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4.298.471.028 </w:t>
            </w:r>
          </w:p>
        </w:tc>
      </w:tr>
      <w:tr w:rsidR="00524A3E" w:rsidRPr="00B45E5C">
        <w:trPr>
          <w:trHeight w:val="300"/>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b/>
              </w:rPr>
            </w:pPr>
            <w:r w:rsidRPr="00B45E5C">
              <w:rPr>
                <w:rFonts w:eastAsia="Quattrocento Sans"/>
                <w:b/>
                <w:color w:val="000000"/>
              </w:rPr>
              <w:t>Gasto anual (12 asignaciones + primas)</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anual por remuneración a un congresista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377.042.364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232.690.725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144.351.639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anual por remuneración Representantes a la Cámara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62.589.032.424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38.626.660.350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23.962.372.074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anual por remuneración Senadores de la República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38.458.321.128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23.734.453.950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14.723.867.178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anual por remuneración al total de congresistas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101.047.353.552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62.361.114.300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b/>
              </w:rPr>
            </w:pPr>
            <w:r w:rsidRPr="00B45E5C">
              <w:rPr>
                <w:rFonts w:eastAsia="Quattrocento Sans"/>
                <w:b/>
                <w:color w:val="000000"/>
              </w:rPr>
              <w:t xml:space="preserve">        38.686.239.252 </w:t>
            </w:r>
          </w:p>
        </w:tc>
      </w:tr>
      <w:tr w:rsidR="00524A3E" w:rsidRPr="00B45E5C">
        <w:trPr>
          <w:trHeight w:val="300"/>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b/>
              </w:rPr>
            </w:pPr>
            <w:r w:rsidRPr="00B45E5C">
              <w:rPr>
                <w:rFonts w:eastAsia="Quattrocento Sans"/>
                <w:b/>
                <w:color w:val="000000"/>
              </w:rPr>
              <w:t>Gasto cuatrienio (a precios constantes de 2016)</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cuatrienio por remuneración a un congresista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1.508.169.456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930.762.900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577.406.556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cuatrienio por remuneración Representantes a la Cámara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250.356.129.696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154.506.641.400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95.849.488.296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cuatrienio por remuneración Senadores de la República</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153.833.284.512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94.937.815.800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58.895.468.712 </w:t>
            </w:r>
          </w:p>
        </w:tc>
      </w:tr>
      <w:tr w:rsidR="00524A3E" w:rsidRPr="00B45E5C">
        <w:trPr>
          <w:trHeight w:val="600"/>
        </w:trPr>
        <w:tc>
          <w:tcPr>
            <w:tcW w:w="3450" w:type="dxa"/>
            <w:tcBorders>
              <w:top w:val="nil"/>
              <w:left w:val="single" w:sz="4" w:space="0" w:color="000000"/>
              <w:bottom w:val="single" w:sz="4" w:space="0" w:color="000000"/>
              <w:right w:val="single" w:sz="4" w:space="0" w:color="000000"/>
            </w:tcBorders>
            <w:vAlign w:val="center"/>
          </w:tcPr>
          <w:p w:rsidR="00524A3E" w:rsidRPr="00B45E5C" w:rsidRDefault="00127967">
            <w:pPr>
              <w:pBdr>
                <w:top w:val="nil"/>
                <w:left w:val="nil"/>
                <w:bottom w:val="nil"/>
                <w:right w:val="nil"/>
                <w:between w:val="nil"/>
              </w:pBdr>
              <w:rPr>
                <w:rFonts w:eastAsia="Quattrocento Sans"/>
              </w:rPr>
            </w:pPr>
            <w:r w:rsidRPr="00B45E5C">
              <w:rPr>
                <w:rFonts w:eastAsia="Quattrocento Sans"/>
                <w:color w:val="000000"/>
              </w:rPr>
              <w:t>Gasto cuatrienio por remuneración al total de congresistas</w:t>
            </w:r>
          </w:p>
        </w:tc>
        <w:tc>
          <w:tcPr>
            <w:tcW w:w="189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404.189.414.208 </w:t>
            </w:r>
          </w:p>
        </w:tc>
        <w:tc>
          <w:tcPr>
            <w:tcW w:w="2055"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rPr>
            </w:pPr>
            <w:r w:rsidRPr="00B45E5C">
              <w:rPr>
                <w:rFonts w:eastAsia="Quattrocento Sans"/>
                <w:color w:val="000000"/>
              </w:rPr>
              <w:t xml:space="preserve">  249.444.457.200 </w:t>
            </w:r>
          </w:p>
        </w:tc>
        <w:tc>
          <w:tcPr>
            <w:tcW w:w="1950" w:type="dxa"/>
            <w:tcBorders>
              <w:top w:val="nil"/>
              <w:left w:val="nil"/>
              <w:bottom w:val="single" w:sz="4" w:space="0" w:color="000000"/>
              <w:right w:val="single" w:sz="4" w:space="0" w:color="000000"/>
            </w:tcBorders>
            <w:vAlign w:val="center"/>
          </w:tcPr>
          <w:p w:rsidR="00524A3E" w:rsidRPr="00B45E5C" w:rsidRDefault="00127967">
            <w:pPr>
              <w:pBdr>
                <w:top w:val="nil"/>
                <w:left w:val="nil"/>
                <w:bottom w:val="nil"/>
                <w:right w:val="nil"/>
                <w:between w:val="nil"/>
              </w:pBdr>
              <w:jc w:val="right"/>
              <w:rPr>
                <w:rFonts w:eastAsia="Quattrocento Sans"/>
                <w:b/>
              </w:rPr>
            </w:pPr>
            <w:r w:rsidRPr="00B45E5C">
              <w:rPr>
                <w:rFonts w:eastAsia="Quattrocento Sans"/>
                <w:b/>
                <w:color w:val="000000"/>
              </w:rPr>
              <w:t xml:space="preserve">      154.744.957.008 </w:t>
            </w:r>
          </w:p>
        </w:tc>
      </w:tr>
    </w:tbl>
    <w:p w:rsidR="00524A3E" w:rsidRPr="00B45E5C" w:rsidRDefault="00524A3E">
      <w:pPr>
        <w:pBdr>
          <w:top w:val="nil"/>
          <w:left w:val="nil"/>
          <w:bottom w:val="nil"/>
          <w:right w:val="nil"/>
          <w:between w:val="nil"/>
        </w:pBdr>
        <w:jc w:val="both"/>
        <w:rPr>
          <w:rFonts w:eastAsia="Quattrocento Sans"/>
        </w:rPr>
      </w:pP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color w:val="000000"/>
          <w:highlight w:val="white"/>
        </w:rPr>
      </w:pPr>
      <w:r w:rsidRPr="00B45E5C">
        <w:rPr>
          <w:rFonts w:eastAsia="Quattrocento Sans"/>
          <w:color w:val="000000"/>
          <w:highlight w:val="white"/>
        </w:rPr>
        <w:t xml:space="preserve">Este cálculo del ahorro es una subestimación, pues se hace con base en datos de 2016 (a falta de información actualziada) y porque se hace sin tener en cuenta la disminución proporcional que la reducción de la asignación salarial de los congresistas generaría en las demás asignaciones salariales altas de los servidores públicos del país (únicamente los vinculados a partir de la promulgación de la ley), y en este sentido, el ahorro percibido en realidad sería mayor. </w:t>
      </w:r>
    </w:p>
    <w:p w:rsidR="00524A3E" w:rsidRPr="00B45E5C" w:rsidRDefault="00524A3E">
      <w:pPr>
        <w:pBdr>
          <w:top w:val="nil"/>
          <w:left w:val="nil"/>
          <w:bottom w:val="nil"/>
          <w:right w:val="nil"/>
          <w:between w:val="nil"/>
        </w:pBdr>
        <w:jc w:val="both"/>
        <w:rPr>
          <w:rFonts w:eastAsia="Quattrocento Sans"/>
          <w:highlight w:val="white"/>
        </w:rPr>
      </w:pPr>
    </w:p>
    <w:p w:rsidR="00524A3E" w:rsidRPr="00B45E5C" w:rsidRDefault="00127967">
      <w:pPr>
        <w:pBdr>
          <w:top w:val="nil"/>
          <w:left w:val="nil"/>
          <w:bottom w:val="nil"/>
          <w:right w:val="nil"/>
          <w:between w:val="nil"/>
        </w:pBdr>
        <w:jc w:val="both"/>
        <w:rPr>
          <w:rFonts w:eastAsia="Quattrocento Sans"/>
          <w:highlight w:val="white"/>
        </w:rPr>
      </w:pPr>
      <w:r w:rsidRPr="00B45E5C">
        <w:rPr>
          <w:rFonts w:eastAsia="Quattrocento Sans"/>
          <w:highlight w:val="white"/>
        </w:rPr>
        <w:t>Al respecto en otro concepto solicitado a la Contraloría General de la República sobre el particular, se resalta el impacto positivo que el actual Proyecto de Acto Legislativo tendría sobre el ahorro de las finanzas públicas; allí se señala que el valor del ahorro total anual “</w:t>
      </w:r>
      <w:r w:rsidRPr="00B45E5C">
        <w:rPr>
          <w:rFonts w:eastAsia="Quattrocento Sans"/>
          <w:i/>
          <w:highlight w:val="white"/>
        </w:rPr>
        <w:t>representaría un 2,3% adicional al recorte propuesto por $6 billones para el 2016 por parte del Ministerio de Hacienda y Crédito Público</w:t>
      </w:r>
      <w:r w:rsidRPr="00B45E5C">
        <w:rPr>
          <w:rFonts w:eastAsia="Quattrocento Sans"/>
          <w:highlight w:val="white"/>
        </w:rPr>
        <w:t>”.</w:t>
      </w:r>
    </w:p>
    <w:p w:rsidR="00524A3E" w:rsidRPr="00B45E5C" w:rsidRDefault="00524A3E">
      <w:pPr>
        <w:pBdr>
          <w:top w:val="nil"/>
          <w:left w:val="nil"/>
          <w:bottom w:val="nil"/>
          <w:right w:val="nil"/>
          <w:between w:val="nil"/>
        </w:pBdr>
        <w:jc w:val="both"/>
        <w:rPr>
          <w:rFonts w:eastAsia="Quattrocento Sans"/>
          <w:highlight w:val="white"/>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El ahorro generado por la reducción en la asignación salarial de aquellos servidores públicos que ostentan los salarios más altos le caería muy bien al país, teniendo en cuenta que el contexto económico internacional (de bajos precios del petróleo y devaluación del peso) ha generado reducción de los ingresos públicos.</w:t>
      </w:r>
    </w:p>
    <w:p w:rsidR="00524A3E" w:rsidRPr="00B45E5C" w:rsidRDefault="00127967">
      <w:pPr>
        <w:pStyle w:val="Ttulo2"/>
        <w:pBdr>
          <w:top w:val="nil"/>
          <w:left w:val="nil"/>
          <w:bottom w:val="nil"/>
          <w:right w:val="nil"/>
          <w:between w:val="nil"/>
        </w:pBdr>
        <w:contextualSpacing w:val="0"/>
        <w:jc w:val="both"/>
        <w:rPr>
          <w:rFonts w:eastAsia="Quattrocento Sans"/>
          <w:sz w:val="22"/>
          <w:szCs w:val="22"/>
        </w:rPr>
      </w:pPr>
      <w:bookmarkStart w:id="8" w:name="_2et92p0" w:colFirst="0" w:colLast="0"/>
      <w:bookmarkEnd w:id="8"/>
      <w:r w:rsidRPr="00B45E5C">
        <w:rPr>
          <w:rFonts w:eastAsia="Quattrocento Sans"/>
          <w:b/>
          <w:sz w:val="22"/>
          <w:szCs w:val="22"/>
          <w:highlight w:val="white"/>
        </w:rPr>
        <w:t xml:space="preserve"> </w:t>
      </w:r>
      <w:r w:rsidRPr="00B45E5C">
        <w:rPr>
          <w:rFonts w:eastAsia="Quattrocento Sans"/>
          <w:b/>
          <w:sz w:val="22"/>
          <w:szCs w:val="22"/>
        </w:rPr>
        <w:t xml:space="preserve"> 5. Idoneidad del límite propuesto para la asignación salarial con respecto al </w:t>
      </w:r>
      <w:r w:rsidRPr="00B45E5C">
        <w:rPr>
          <w:rFonts w:eastAsia="Quattrocento Sans"/>
          <w:b/>
          <w:sz w:val="22"/>
          <w:szCs w:val="22"/>
          <w:highlight w:val="white"/>
        </w:rPr>
        <w:t>Acto Legislativo 01 del 2005</w:t>
      </w:r>
      <w:r w:rsidR="00B45E5C">
        <w:rPr>
          <w:rFonts w:eastAsia="Quattrocento Sans"/>
          <w:b/>
          <w:sz w:val="22"/>
          <w:szCs w:val="22"/>
        </w:rPr>
        <w:t>.</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El presente Proyecto de Acto Legislativo propone un tope de 25 SMLMV, (aproximadamente $</w:t>
      </w:r>
      <w:r w:rsidRPr="00B45E5C">
        <w:rPr>
          <w:rFonts w:eastAsia="Quattrocento Sans"/>
          <w:color w:val="000000"/>
        </w:rPr>
        <w:t>19.543.550</w:t>
      </w:r>
      <w:r w:rsidRPr="00B45E5C">
        <w:rPr>
          <w:rFonts w:eastAsia="Quattrocento Sans"/>
          <w:color w:val="000000"/>
          <w:highlight w:val="white"/>
        </w:rPr>
        <w:t>, según el SMLMV de 2018) en concordancia con la constitución nacional, la economía nacional y parámetros regionales en América Latina para esta asignación.</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Este límite, como ya se mencionó, permite disminuir la brecha de ingreso entre los congresistas y ciudadanos y es consistente con el promedio de dicha asignación en la región de América Latina.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Adicionalmente, este límite va en concordancia con el régimen pensional. El Acto Legislativo 01 del 2005 introdujo una modificación a la Carta Política según la cual no podrán causarse, con cargo al erario público, pensiones superiores a veinticinco (25) SMLMV. Esto justificado en argumentos de sostenibilidad, equidad y eficiencia, principios que fueron acogidos por la jurisprudencia constitucional para resaltar la importancia de una política salarial equitativa y sostenible. </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En concordancia con lo anterior, el presente proyecto acoge la medida propuesta por el Acto Legislativo 01 del 2005, así como su filosofía y propone un límite que es consistente con dicho Acto. De esta manera, un funcionario que se pensiona bajo el tope de asignación propuesto en el presente </w:t>
      </w:r>
      <w:r w:rsidR="00B45E5C" w:rsidRPr="00B45E5C">
        <w:rPr>
          <w:rFonts w:eastAsia="Quattrocento Sans"/>
          <w:color w:val="000000"/>
          <w:highlight w:val="white"/>
        </w:rPr>
        <w:t>proyecto</w:t>
      </w:r>
      <w:r w:rsidRPr="00B45E5C">
        <w:rPr>
          <w:rFonts w:eastAsia="Quattrocento Sans"/>
          <w:color w:val="000000"/>
          <w:highlight w:val="white"/>
        </w:rPr>
        <w:t xml:space="preserve"> recibiría menos del tope máximo pensional contemplado en artículo 48 constitucional.</w:t>
      </w:r>
    </w:p>
    <w:p w:rsidR="00524A3E" w:rsidRPr="00B45E5C" w:rsidRDefault="00127967">
      <w:pPr>
        <w:pStyle w:val="Ttulo2"/>
        <w:pBdr>
          <w:top w:val="nil"/>
          <w:left w:val="nil"/>
          <w:bottom w:val="nil"/>
          <w:right w:val="nil"/>
          <w:between w:val="nil"/>
        </w:pBdr>
        <w:contextualSpacing w:val="0"/>
        <w:jc w:val="both"/>
        <w:rPr>
          <w:rFonts w:eastAsia="Quattrocento Sans"/>
          <w:sz w:val="22"/>
          <w:szCs w:val="22"/>
        </w:rPr>
      </w:pPr>
      <w:bookmarkStart w:id="9" w:name="_tyjcwt" w:colFirst="0" w:colLast="0"/>
      <w:bookmarkEnd w:id="9"/>
      <w:r w:rsidRPr="00B45E5C">
        <w:rPr>
          <w:rFonts w:eastAsia="Quattrocento Sans"/>
          <w:b/>
          <w:sz w:val="22"/>
          <w:szCs w:val="22"/>
        </w:rPr>
        <w:t>6. No existe un conflicto de intereses por parte de los congresistas para votar el proyecto de acto legislativo</w:t>
      </w:r>
      <w:r w:rsidR="00B45E5C">
        <w:rPr>
          <w:rFonts w:eastAsia="Quattrocento Sans"/>
          <w:b/>
          <w:sz w:val="22"/>
          <w:szCs w:val="22"/>
        </w:rPr>
        <w:t>.</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color w:val="000000"/>
        </w:rPr>
      </w:pPr>
      <w:r w:rsidRPr="00B45E5C">
        <w:rPr>
          <w:rFonts w:eastAsia="Quattrocento Sans"/>
          <w:color w:val="000000"/>
        </w:rPr>
        <w:t xml:space="preserve">No existe conflicto de interés que impida al Congreso y sus integrantes radicar este proyecto y votar </w:t>
      </w:r>
      <w:r w:rsidRPr="00B45E5C">
        <w:rPr>
          <w:rFonts w:eastAsia="Quattrocento Sans"/>
          <w:color w:val="000000"/>
          <w:highlight w:val="white"/>
        </w:rPr>
        <w:t>afirmativa o negativamente</w:t>
      </w:r>
      <w:r w:rsidRPr="00B45E5C">
        <w:rPr>
          <w:rFonts w:eastAsia="Quattrocento Sans"/>
          <w:color w:val="000000"/>
        </w:rPr>
        <w:t xml:space="preserve"> las disposiciones contempladas en él, ya que este no redunda en beneficio alguno de los congresistas.</w:t>
      </w:r>
    </w:p>
    <w:p w:rsidR="00B45E5C" w:rsidRPr="00B45E5C" w:rsidRDefault="00B45E5C">
      <w:pPr>
        <w:pBdr>
          <w:top w:val="nil"/>
          <w:left w:val="nil"/>
          <w:bottom w:val="nil"/>
          <w:right w:val="nil"/>
          <w:between w:val="nil"/>
        </w:pBdr>
        <w:jc w:val="both"/>
        <w:rPr>
          <w:rFonts w:eastAsia="Quattrocento Sans"/>
          <w:b/>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 xml:space="preserve">La ley 5 de 1992, reguló el conflicto de interés con el propósito de evitar situaciones donde prime el interés privado y se obstaculice </w:t>
      </w:r>
      <w:r w:rsidRPr="00B45E5C">
        <w:rPr>
          <w:rFonts w:eastAsia="Quattrocento Sans"/>
          <w:color w:val="000000"/>
          <w:highlight w:val="white"/>
        </w:rPr>
        <w:t>la justicia y el bien común, con esta perspectiva el</w:t>
      </w:r>
      <w:r w:rsidRPr="00B45E5C">
        <w:rPr>
          <w:rFonts w:eastAsia="Quattrocento Sans"/>
          <w:color w:val="000000"/>
        </w:rPr>
        <w:t xml:space="preserve"> artículo 286 del Reglamento del Congreso estipuló que: “</w:t>
      </w:r>
      <w:r w:rsidRPr="00B45E5C">
        <w:rPr>
          <w:rFonts w:eastAsia="Quattrocento Sans"/>
          <w:i/>
          <w:color w:val="000000"/>
          <w:highlight w:val="white"/>
        </w:rPr>
        <w:t>todo Congresista, cuando exista</w:t>
      </w:r>
      <w:r w:rsidRPr="00B45E5C">
        <w:rPr>
          <w:rFonts w:eastAsia="Quattrocento Sans"/>
          <w:i/>
          <w:color w:val="000000"/>
          <w:highlight w:val="white"/>
          <w:u w:val="single"/>
        </w:rPr>
        <w:t xml:space="preserve"> interés directo</w:t>
      </w:r>
      <w:r w:rsidRPr="00B45E5C">
        <w:rPr>
          <w:rFonts w:eastAsia="Quattrocento Sans"/>
          <w:i/>
          <w:color w:val="000000"/>
          <w:highlight w:val="white"/>
        </w:rPr>
        <w:t xml:space="preserve"> en la decisión porque le afecte de alguna manera, (...) deberá declararse impedido de participar en los debates o votaciones respectiva</w:t>
      </w:r>
      <w:r w:rsidRPr="00B45E5C">
        <w:rPr>
          <w:rFonts w:eastAsia="Quattrocento Sans"/>
          <w:color w:val="000000"/>
          <w:highlight w:val="white"/>
        </w:rPr>
        <w:t>s” (subrayado añadido por las autor</w:t>
      </w:r>
      <w:r w:rsidRPr="00B45E5C">
        <w:rPr>
          <w:rFonts w:eastAsia="Quattrocento Sans"/>
          <w:highlight w:val="white"/>
        </w:rPr>
        <w:t>a</w:t>
      </w:r>
      <w:r w:rsidRPr="00B45E5C">
        <w:rPr>
          <w:rFonts w:eastAsia="Quattrocento Sans"/>
          <w:color w:val="000000"/>
          <w:highlight w:val="white"/>
        </w:rPr>
        <w:t>s).</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Según ha sido definido por la jurisprudencia, para que la votación de un proyecto de ley le genere a un congresista un conflicto de intereses que lo obligue a presentar algún tipo de impedimento, dicho interés debe ser directo, particular y actual. Al respecto, el Consejo de Estado, en Sentencia de 22 de noviembre de 2011, C. P. </w:t>
      </w:r>
      <w:r w:rsidR="00B45E5C" w:rsidRPr="00B45E5C">
        <w:rPr>
          <w:rFonts w:eastAsia="Quattrocento Sans"/>
          <w:color w:val="000000"/>
          <w:highlight w:val="white"/>
        </w:rPr>
        <w:t>María</w:t>
      </w:r>
      <w:r w:rsidRPr="00B45E5C">
        <w:rPr>
          <w:rFonts w:eastAsia="Quattrocento Sans"/>
          <w:color w:val="000000"/>
          <w:highlight w:val="white"/>
        </w:rPr>
        <w:t xml:space="preserve"> Claudia Rojas Lasso, explicó lo siguiente:  </w:t>
      </w: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 </w:t>
      </w:r>
    </w:p>
    <w:p w:rsidR="00524A3E" w:rsidRPr="00B45E5C" w:rsidRDefault="00127967">
      <w:pPr>
        <w:pBdr>
          <w:top w:val="nil"/>
          <w:left w:val="nil"/>
          <w:bottom w:val="nil"/>
          <w:right w:val="nil"/>
          <w:between w:val="nil"/>
        </w:pBdr>
        <w:ind w:left="460"/>
        <w:jc w:val="both"/>
        <w:rPr>
          <w:rFonts w:eastAsia="Quattrocento Sans"/>
        </w:rPr>
      </w:pPr>
      <w:r w:rsidRPr="00B45E5C">
        <w:rPr>
          <w:rFonts w:eastAsia="Quattrocento Sans"/>
          <w:color w:val="000000"/>
          <w:highlight w:val="white"/>
        </w:rPr>
        <w:t>“</w:t>
      </w:r>
      <w:r w:rsidRPr="00B45E5C">
        <w:rPr>
          <w:rFonts w:eastAsia="Quattrocento Sans"/>
          <w:i/>
          <w:color w:val="000000"/>
          <w:highlight w:val="white"/>
        </w:rPr>
        <w:t>En relación con las características del referido interés, la Sala ha precisado que el mismo debe ser directo, esto es, “debe surgir de los extremos de la relación que se plantea a través de la decisión que haya de tomarse con respecto a los proyectos de ley, sin intermediación alguna”</w:t>
      </w:r>
      <w:r w:rsidRPr="00B45E5C">
        <w:rPr>
          <w:rFonts w:eastAsia="Quattrocento Sans"/>
          <w:color w:val="000000"/>
          <w:highlight w:val="white"/>
          <w:vertAlign w:val="superscript"/>
        </w:rPr>
        <w:footnoteReference w:id="7"/>
      </w:r>
      <w:r w:rsidRPr="00B45E5C">
        <w:rPr>
          <w:rFonts w:eastAsia="Quattrocento Sans"/>
          <w:i/>
          <w:color w:val="000000"/>
          <w:highlight w:val="white"/>
        </w:rPr>
        <w:t>, en el entendido de que esa connotación se puede predicar para el congresista o las personas indicadas en el numeral 286 de la Ley 5ª de 1992”</w:t>
      </w:r>
      <w:r w:rsidRPr="00B45E5C">
        <w:rPr>
          <w:rFonts w:eastAsia="Quattrocento Sans"/>
          <w:i/>
          <w:color w:val="000000"/>
          <w:highlight w:val="white"/>
          <w:vertAlign w:val="superscript"/>
        </w:rPr>
        <w:footnoteReference w:id="8"/>
      </w:r>
      <w:r w:rsidRPr="00B45E5C">
        <w:rPr>
          <w:rFonts w:eastAsia="Quattrocento Sans"/>
          <w:i/>
          <w:color w:val="000000"/>
          <w:highlight w:val="white"/>
        </w:rPr>
        <w:t>. El interés debe ser además “particular y actual, de carácter moral o económico, en la decisión de uno de los asuntos sometidos a su consideración</w:t>
      </w:r>
      <w:r w:rsidRPr="00B45E5C">
        <w:rPr>
          <w:rFonts w:eastAsia="Quattrocento Sans"/>
          <w:i/>
          <w:color w:val="000000"/>
          <w:highlight w:val="white"/>
          <w:vertAlign w:val="superscript"/>
        </w:rPr>
        <w:footnoteReference w:id="9"/>
      </w:r>
      <w:r w:rsidRPr="00B45E5C">
        <w:rPr>
          <w:rFonts w:eastAsia="Quattrocento Sans"/>
          <w:i/>
          <w:color w:val="000000"/>
          <w:highlight w:val="white"/>
        </w:rPr>
        <w:t>, debe ser real, no hipotético o aleatorio, lo cual supone, según lo expuesto por la Sala, “que el acto jurídico resultante de la concurrencia de la voluntad de los congresistas, tenga por sí mismo la virtualidad de configurar el provecho de manera autónoma, esto es, que no se requiera de actos, hechos, o desarrollos ulteriores para cristalizar el beneficio personal.”</w:t>
      </w:r>
      <w:r w:rsidRPr="00B45E5C">
        <w:rPr>
          <w:rFonts w:eastAsia="Quattrocento Sans"/>
          <w:i/>
          <w:color w:val="000000"/>
          <w:highlight w:val="white"/>
          <w:vertAlign w:val="superscript"/>
        </w:rPr>
        <w:footnoteReference w:id="10"/>
      </w:r>
      <w:r w:rsidRPr="00B45E5C">
        <w:rPr>
          <w:rFonts w:eastAsia="Quattrocento Sans"/>
          <w:i/>
          <w:color w:val="000000"/>
          <w:highlight w:val="white"/>
        </w:rPr>
        <w:t>. El interés que se analiza, según lo ha explicado igualmente la Sala Plena, puede ser económico o moral: “Así pues, no es sólo el interés estrictamente personal o el beneficio económico los fenómenos que el legislador ha creído prudente elevar a la entidad de causales de impedimento, sino que dentro del amplio concepto del ‘interés en el proceso’ a que se refiere el numeral 1º del artículo 103 del Código de Procedimiento Penal, debe entenderse también la utilidad o el menoscabo de índole moral o intelectual que en grado racional puede derivarse de la decisión correspondiente.”</w:t>
      </w:r>
      <w:r w:rsidRPr="00B45E5C">
        <w:rPr>
          <w:rFonts w:eastAsia="Quattrocento Sans"/>
          <w:i/>
          <w:color w:val="000000"/>
          <w:highlight w:val="white"/>
          <w:vertAlign w:val="superscript"/>
        </w:rPr>
        <w:footnoteReference w:id="11"/>
      </w:r>
      <w:r w:rsidRPr="00B45E5C">
        <w:rPr>
          <w:rFonts w:eastAsia="Quattrocento Sans"/>
          <w:i/>
          <w:color w:val="000000"/>
          <w:highlight w:val="white"/>
        </w:rPr>
        <w:t xml:space="preserve"> Cabe igualmente tener en cuenta las precisiones realizadas por la Sala respecto del indicado interés ético o moral: “Estima la Sala, y con ello no se está sentando una tesis de última hora, que no es necesario, ni conveniente, que exista una tabla legal de conductas éticas, que supongan una adecuación típica, para efectos de poder juzgar acerca de la presencia de un conflicto de interés de orden moral. Basta la consagración genérica tal como se formula en el artículo 182 de la Constitución o como se plantea en el 286 de la Ley 5ª o como se estructura en la causal primera de impedimento consagrada en el artículo 150 del Código de Procedimiento Civil. (…) Tampoco es admisible el argumento de que sólo en la medida en que el legislador tipifique unas prohibiciones precisas de carácter ético podría deducirse impedimento moral. Esto último equivaldría a aceptar que en materia de conflicto de interés de los Congresistas impera la ética de que todo está permitido</w:t>
      </w:r>
      <w:r w:rsidRPr="00B45E5C">
        <w:rPr>
          <w:rFonts w:eastAsia="Quattrocento Sans"/>
          <w:color w:val="000000"/>
          <w:highlight w:val="white"/>
        </w:rPr>
        <w:t>.”</w:t>
      </w:r>
      <w:r w:rsidRPr="00B45E5C">
        <w:rPr>
          <w:rFonts w:eastAsia="Quattrocento Sans"/>
          <w:color w:val="000000"/>
          <w:highlight w:val="white"/>
          <w:vertAlign w:val="superscript"/>
        </w:rPr>
        <w:footnoteReference w:id="12"/>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Así las cosas, resulta pertinente enfatizar en lo que se ha entendido como “interés directo” ya que este determina qué situación configuraría un conflicto y qué situación no. La jurisprudencia del Consejo de Estado del 17 de octubre del 2000 (Rad. 11116)</w:t>
      </w:r>
      <w:r w:rsidRPr="00B45E5C">
        <w:rPr>
          <w:rFonts w:eastAsia="Quattrocento Sans"/>
          <w:color w:val="000000"/>
          <w:highlight w:val="white"/>
          <w:vertAlign w:val="superscript"/>
        </w:rPr>
        <w:footnoteReference w:id="13"/>
      </w:r>
      <w:r w:rsidRPr="00B45E5C">
        <w:rPr>
          <w:rFonts w:eastAsia="Quattrocento Sans"/>
          <w:color w:val="000000"/>
          <w:highlight w:val="white"/>
        </w:rPr>
        <w:t xml:space="preserve"> estableció el concepto de interés como: </w:t>
      </w:r>
      <w:r w:rsidRPr="00B45E5C">
        <w:rPr>
          <w:rFonts w:eastAsia="Quattrocento Sans"/>
          <w:i/>
          <w:color w:val="000000"/>
          <w:highlight w:val="white"/>
        </w:rPr>
        <w:t xml:space="preserve">“el </w:t>
      </w:r>
      <w:r w:rsidRPr="00B45E5C">
        <w:rPr>
          <w:rFonts w:eastAsia="Quattrocento Sans"/>
          <w:i/>
          <w:color w:val="000000"/>
          <w:highlight w:val="white"/>
          <w:u w:val="single"/>
        </w:rPr>
        <w:t>provecho, conveniencia o utilidad</w:t>
      </w:r>
      <w:r w:rsidRPr="00B45E5C">
        <w:rPr>
          <w:rFonts w:eastAsia="Quattrocento Sans"/>
          <w:i/>
          <w:color w:val="000000"/>
          <w:highlight w:val="white"/>
        </w:rPr>
        <w:t xml:space="preserve"> que, atendidas sus circunstancias, derivarían el congresista o los suyos de la decisión que pudiera tomarse en el asunto”.</w:t>
      </w:r>
      <w:r w:rsidRPr="00B45E5C">
        <w:rPr>
          <w:rFonts w:eastAsia="Quattrocento Sans"/>
          <w:color w:val="000000"/>
          <w:highlight w:val="white"/>
        </w:rPr>
        <w:t xml:space="preserve"> Con esto se marca un</w:t>
      </w:r>
      <w:r w:rsidRPr="00B45E5C">
        <w:rPr>
          <w:rFonts w:eastAsia="Quattrocento Sans"/>
          <w:i/>
          <w:color w:val="000000"/>
          <w:highlight w:val="white"/>
        </w:rPr>
        <w:t xml:space="preserve"> </w:t>
      </w:r>
      <w:r w:rsidRPr="00B45E5C">
        <w:rPr>
          <w:rFonts w:eastAsia="Quattrocento Sans"/>
          <w:color w:val="000000"/>
          <w:highlight w:val="white"/>
        </w:rPr>
        <w:t>claro el precedente jurisprudencial: únicamente existe un conflicto cuando la adopción de la medida propuesta generaría un beneficio pero no cuando no lo hace.</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En la misma decisión señaló que </w:t>
      </w:r>
      <w:r w:rsidRPr="00B45E5C">
        <w:rPr>
          <w:rFonts w:eastAsia="Quattrocento Sans"/>
          <w:i/>
          <w:color w:val="000000"/>
          <w:highlight w:val="white"/>
        </w:rPr>
        <w:t>“no se encuentra en situación de conflicto de intereses el congresista que apoye o patrocine el proyecto que, de alguna manera, redundaría en su perjuicio o haría más gravosa su situación o la de los suyos, o se oponga al proyecto que de algún modo les fuera provechoso</w:t>
      </w:r>
      <w:r w:rsidRPr="00B45E5C">
        <w:rPr>
          <w:rFonts w:eastAsia="Quattrocento Sans"/>
          <w:color w:val="000000"/>
          <w:highlight w:val="white"/>
        </w:rPr>
        <w:t>”.</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El presente Proyecto de Acto Legislativo fija el tope en la asignación máxima a los Congresistas en (30) salarios mínimos, disminuyendo en aproximadamente diez (10) salarios respecto de la asignación vigente y deroga su regla de actualización.</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rPr>
        <w:t>Es claro que esta medida no redunda en el beneficio de los Congresistas porque restringe la asignación salarial que perciben actualmente. Por lo tanto, votarla afirmativa o negativamente no generaría beneficio y por ende conflicto alguno, incluso cuando el voto es negativo, ya que negar el proyecto no generaría ningún beneficio o utilidad, simplemente se mantendría el régimen salarial vigente.</w:t>
      </w:r>
    </w:p>
    <w:p w:rsidR="00524A3E" w:rsidRPr="00B45E5C" w:rsidRDefault="00127967">
      <w:pPr>
        <w:pStyle w:val="Ttulo2"/>
        <w:pBdr>
          <w:top w:val="nil"/>
          <w:left w:val="nil"/>
          <w:bottom w:val="nil"/>
          <w:right w:val="nil"/>
          <w:between w:val="nil"/>
        </w:pBdr>
        <w:contextualSpacing w:val="0"/>
        <w:jc w:val="both"/>
        <w:rPr>
          <w:rFonts w:eastAsia="Quattrocento Sans"/>
          <w:sz w:val="22"/>
          <w:szCs w:val="22"/>
        </w:rPr>
      </w:pPr>
      <w:bookmarkStart w:id="10" w:name="_3dy6vkm" w:colFirst="0" w:colLast="0"/>
      <w:bookmarkEnd w:id="10"/>
      <w:r w:rsidRPr="00B45E5C">
        <w:rPr>
          <w:rFonts w:eastAsia="Quattrocento Sans"/>
          <w:b/>
          <w:sz w:val="22"/>
          <w:szCs w:val="22"/>
        </w:rPr>
        <w:t>7. Iniciativa legislativa del Congreso de la República para la presentación de proyectos de acto legislativo</w:t>
      </w:r>
      <w:r w:rsidR="00B45E5C">
        <w:rPr>
          <w:rFonts w:eastAsia="Quattrocento Sans"/>
          <w:b/>
          <w:sz w:val="22"/>
          <w:szCs w:val="22"/>
        </w:rPr>
        <w:t>.</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El Congreso cuenta con iniciativa legislativa para la presentación de proyectos de acto legislativo sobre cualquier tema, ya que ni la Constitución ni la Ley 5</w:t>
      </w:r>
      <w:r w:rsidRPr="00B45E5C">
        <w:rPr>
          <w:rFonts w:eastAsia="Quattrocento Sans"/>
          <w:color w:val="000000"/>
          <w:highlight w:val="white"/>
          <w:vertAlign w:val="superscript"/>
        </w:rPr>
        <w:t>a</w:t>
      </w:r>
      <w:r w:rsidRPr="00B45E5C">
        <w:rPr>
          <w:rFonts w:eastAsia="Quattrocento Sans"/>
          <w:color w:val="000000"/>
          <w:highlight w:val="white"/>
        </w:rPr>
        <w:t xml:space="preserve"> de 1992 establecen limitación alguna, como sí se hace para ciertas leyes cuya iniciativa legislativa es privativa del Gobierno en tanto se refieran a las cuestiones contempladas en el artículo 142 del Reglamento del Congreso.</w:t>
      </w:r>
    </w:p>
    <w:p w:rsidR="00524A3E" w:rsidRPr="00B45E5C" w:rsidRDefault="00524A3E">
      <w:pPr>
        <w:pBdr>
          <w:top w:val="nil"/>
          <w:left w:val="nil"/>
          <w:bottom w:val="nil"/>
          <w:right w:val="nil"/>
          <w:between w:val="nil"/>
        </w:pBdr>
        <w:jc w:val="both"/>
        <w:rPr>
          <w:rFonts w:eastAsia="Quattrocento Sans"/>
        </w:rPr>
      </w:pP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Tratándose de proyectos de acto legislativo los requisitos para su presentación y trámite son los consagrados en el Título XIII de la Constitución Política (art. 375 y s.s.) y en el Capítulo VII de la Ley 5 de 1992 (art. 219 y s.s.), como lo dijo la Corte Constitucional en la sentencia C-1200 de 2003.</w:t>
      </w:r>
    </w:p>
    <w:p w:rsidR="00524A3E" w:rsidRPr="00B45E5C" w:rsidRDefault="00127967">
      <w:pPr>
        <w:pBdr>
          <w:top w:val="nil"/>
          <w:left w:val="nil"/>
          <w:bottom w:val="nil"/>
          <w:right w:val="nil"/>
          <w:between w:val="nil"/>
        </w:pBdr>
        <w:jc w:val="both"/>
        <w:rPr>
          <w:rFonts w:eastAsia="Quattrocento Sans"/>
        </w:rPr>
      </w:pPr>
      <w:r w:rsidRPr="00B45E5C">
        <w:rPr>
          <w:rFonts w:eastAsia="Quattrocento Sans"/>
          <w:color w:val="000000"/>
          <w:highlight w:val="white"/>
        </w:rPr>
        <w:t xml:space="preserve"> </w:t>
      </w:r>
    </w:p>
    <w:p w:rsidR="00524A3E" w:rsidRPr="00B45E5C" w:rsidRDefault="00127967">
      <w:pPr>
        <w:pBdr>
          <w:top w:val="nil"/>
          <w:left w:val="nil"/>
          <w:bottom w:val="nil"/>
          <w:right w:val="nil"/>
          <w:between w:val="nil"/>
        </w:pBdr>
        <w:jc w:val="both"/>
        <w:rPr>
          <w:rFonts w:eastAsia="Quattrocento Sans"/>
          <w:color w:val="000000"/>
          <w:highlight w:val="white"/>
        </w:rPr>
      </w:pPr>
      <w:r w:rsidRPr="00B45E5C">
        <w:rPr>
          <w:rFonts w:eastAsia="Quattrocento Sans"/>
          <w:color w:val="000000"/>
          <w:highlight w:val="white"/>
        </w:rPr>
        <w:t>Así las cosas, se cumple la regla de iniciativa legislativa cuando los proyectos de acto legislativo son presentados por diez (10) miembros del Congreso, sin que para ello haya lugar a estudiar el tema objeto de la reforma constitucional, pues la iniciativa constituyente no es privativa.</w:t>
      </w:r>
    </w:p>
    <w:p w:rsidR="00524A3E" w:rsidRPr="00B45E5C" w:rsidRDefault="00524A3E">
      <w:pPr>
        <w:spacing w:before="20" w:after="20"/>
        <w:jc w:val="both"/>
        <w:rPr>
          <w:rFonts w:eastAsia="Quattrocento Sans"/>
        </w:rPr>
      </w:pPr>
    </w:p>
    <w:sectPr w:rsidR="00524A3E" w:rsidRPr="00B45E5C">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45" w:rsidRDefault="00514F45">
      <w:pPr>
        <w:spacing w:line="240" w:lineRule="auto"/>
      </w:pPr>
      <w:r>
        <w:separator/>
      </w:r>
    </w:p>
  </w:endnote>
  <w:endnote w:type="continuationSeparator" w:id="0">
    <w:p w:rsidR="00514F45" w:rsidRDefault="00514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FB" w:rsidRDefault="00BF41F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FB" w:rsidRDefault="00BF41F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FB" w:rsidRDefault="00BF41F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45" w:rsidRDefault="00514F45">
      <w:pPr>
        <w:spacing w:line="240" w:lineRule="auto"/>
      </w:pPr>
      <w:r>
        <w:separator/>
      </w:r>
    </w:p>
  </w:footnote>
  <w:footnote w:type="continuationSeparator" w:id="0">
    <w:p w:rsidR="00514F45" w:rsidRDefault="00514F45">
      <w:pPr>
        <w:spacing w:line="240" w:lineRule="auto"/>
      </w:pPr>
      <w:r>
        <w:continuationSeparator/>
      </w:r>
    </w:p>
  </w:footnote>
  <w:footnote w:id="1">
    <w:p w:rsidR="00524A3E" w:rsidRDefault="00127967">
      <w:pPr>
        <w:pBdr>
          <w:top w:val="nil"/>
          <w:left w:val="nil"/>
          <w:bottom w:val="nil"/>
          <w:right w:val="nil"/>
          <w:between w:val="nil"/>
        </w:pBdr>
        <w:spacing w:line="240" w:lineRule="auto"/>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222222"/>
          <w:sz w:val="16"/>
          <w:szCs w:val="16"/>
          <w:highlight w:val="white"/>
        </w:rPr>
        <w:t>Medida indicativa del nivel de distribución de los ingresos en una sociedad.</w:t>
      </w:r>
    </w:p>
  </w:footnote>
  <w:footnote w:id="2">
    <w:p w:rsidR="00524A3E" w:rsidRDefault="00127967">
      <w:pPr>
        <w:pBdr>
          <w:top w:val="nil"/>
          <w:left w:val="nil"/>
          <w:bottom w:val="nil"/>
          <w:right w:val="nil"/>
          <w:between w:val="nil"/>
        </w:pBdr>
        <w:spacing w:before="20" w:after="20"/>
        <w:jc w:val="both"/>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sz w:val="20"/>
          <w:szCs w:val="20"/>
        </w:rPr>
        <w:t xml:space="preserve">Basado en “Sueldo de congresistas de Colombia, el más alto de la región”. El Colombiano, 2016. “¿Cómo está el salario mínimo del país frente a los de la región?”. El Tiempo, 2016. Cálculos propios </w:t>
      </w:r>
    </w:p>
    <w:p w:rsidR="00524A3E" w:rsidRDefault="00524A3E">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p>
  </w:footnote>
  <w:footnote w:id="3">
    <w:p w:rsidR="00524A3E" w:rsidRDefault="00127967">
      <w:pPr>
        <w:pBdr>
          <w:top w:val="nil"/>
          <w:left w:val="nil"/>
          <w:bottom w:val="nil"/>
          <w:right w:val="nil"/>
          <w:between w:val="nil"/>
        </w:pBdr>
        <w:spacing w:line="240" w:lineRule="auto"/>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sz w:val="20"/>
          <w:szCs w:val="20"/>
        </w:rPr>
        <w:t xml:space="preserve"> “Salario de los Congresistas vs Salario Mínimo”. Infografía Casa Editorial El Tiempo. 2009. </w:t>
      </w:r>
    </w:p>
    <w:p w:rsidR="00524A3E" w:rsidRDefault="00524A3E">
      <w:pPr>
        <w:pBdr>
          <w:top w:val="nil"/>
          <w:left w:val="nil"/>
          <w:bottom w:val="nil"/>
          <w:right w:val="nil"/>
          <w:between w:val="nil"/>
        </w:pBdr>
        <w:spacing w:line="240" w:lineRule="auto"/>
        <w:rPr>
          <w:rFonts w:ascii="Quattrocento Sans" w:eastAsia="Quattrocento Sans" w:hAnsi="Quattrocento Sans" w:cs="Quattrocento Sans"/>
        </w:rPr>
      </w:pPr>
    </w:p>
  </w:footnote>
  <w:footnote w:id="4">
    <w:p w:rsidR="00524A3E" w:rsidRDefault="00127967">
      <w:pPr>
        <w:pBdr>
          <w:top w:val="nil"/>
          <w:left w:val="nil"/>
          <w:bottom w:val="nil"/>
          <w:right w:val="nil"/>
          <w:between w:val="nil"/>
        </w:pBdr>
        <w:spacing w:line="240" w:lineRule="auto"/>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sz w:val="20"/>
          <w:szCs w:val="20"/>
        </w:rPr>
        <w:t xml:space="preserve"> Valga recordar que la Tasa de Inflación corresponde a la tasa de incremento del IPC de un período a otro. </w:t>
      </w:r>
    </w:p>
  </w:footnote>
  <w:footnote w:id="5">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“Entre magistrados de las altas cortes, magistrados auxiliares, magistrados de tribunal y magistrados auxiliares, así como el del procurador, viceprocurador, procuradores delegados, fiscal general, fiscales delegados, contralora, vicecontralora.”  Semana. El cheque que esperan los congresistas. Septiembre 2009.</w:t>
      </w:r>
    </w:p>
  </w:footnote>
  <w:footnote w:id="6">
    <w:p w:rsidR="00524A3E" w:rsidRDefault="00127967">
      <w:pPr>
        <w:pBdr>
          <w:top w:val="nil"/>
          <w:left w:val="nil"/>
          <w:bottom w:val="nil"/>
          <w:right w:val="nil"/>
          <w:between w:val="nil"/>
        </w:pBdr>
        <w:spacing w:line="240" w:lineRule="auto"/>
        <w:jc w:val="both"/>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sz w:val="20"/>
          <w:szCs w:val="20"/>
        </w:rPr>
        <w:t>Fuente: Elaboración propia con base a información suministrada por la Contraloría General de la República. (2016)</w:t>
      </w:r>
      <w:r>
        <w:rPr>
          <w:rFonts w:ascii="Quattrocento Sans" w:eastAsia="Quattrocento Sans" w:hAnsi="Quattrocento Sans" w:cs="Quattrocento Sans"/>
          <w:color w:val="000000"/>
          <w:sz w:val="20"/>
          <w:szCs w:val="20"/>
        </w:rPr>
        <w:t xml:space="preserve"> </w:t>
      </w:r>
    </w:p>
  </w:footnote>
  <w:footnote w:id="7">
    <w:p w:rsidR="00524A3E" w:rsidRDefault="00127967">
      <w:pPr>
        <w:pBdr>
          <w:top w:val="nil"/>
          <w:left w:val="nil"/>
          <w:bottom w:val="nil"/>
          <w:right w:val="nil"/>
          <w:between w:val="nil"/>
        </w:pBdr>
        <w:jc w:val="both"/>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sz w:val="20"/>
          <w:szCs w:val="20"/>
          <w:highlight w:val="white"/>
        </w:rPr>
        <w:t>Sentencia de Sala Plena de lo Contencioso Administrativo de 19 de julio de 1991, Exp.</w:t>
      </w:r>
    </w:p>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highlight w:val="white"/>
        </w:rPr>
        <w:t>AC-1433, C.P. Dr. Diego Younes Moreno</w:t>
      </w:r>
    </w:p>
  </w:footnote>
  <w:footnote w:id="8">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000000"/>
          <w:sz w:val="20"/>
          <w:szCs w:val="20"/>
          <w:highlight w:val="white"/>
        </w:rPr>
        <w:t>Sentencia del 26 de julio de 1994. Radicación AC-1499. C.P. Dr.Delio Gómez Leyva.</w:t>
      </w:r>
    </w:p>
  </w:footnote>
  <w:footnote w:id="9">
    <w:p w:rsidR="00524A3E" w:rsidRDefault="00127967">
      <w:pPr>
        <w:pBdr>
          <w:top w:val="nil"/>
          <w:left w:val="nil"/>
          <w:bottom w:val="nil"/>
          <w:right w:val="nil"/>
          <w:between w:val="nil"/>
        </w:pBdr>
        <w:jc w:val="both"/>
        <w:rPr>
          <w:rFonts w:ascii="Quattrocento Sans" w:eastAsia="Quattrocento Sans" w:hAnsi="Quattrocento Sans" w:cs="Quattrocento Sans"/>
        </w:rPr>
      </w:pPr>
      <w:r>
        <w:rPr>
          <w:vertAlign w:val="superscript"/>
        </w:rPr>
        <w:footnoteRef/>
      </w: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sz w:val="20"/>
          <w:szCs w:val="20"/>
          <w:highlight w:val="white"/>
        </w:rPr>
        <w:t>Sentencia proferida el 23 de marzo de 2010; expediente PI 000198-00; C.P. Dr. Hugo</w:t>
      </w:r>
    </w:p>
    <w:p w:rsidR="00524A3E" w:rsidRDefault="00127967">
      <w:pPr>
        <w:pBdr>
          <w:top w:val="nil"/>
          <w:left w:val="nil"/>
          <w:bottom w:val="nil"/>
          <w:right w:val="nil"/>
          <w:between w:val="nil"/>
        </w:pBdr>
        <w:jc w:val="both"/>
        <w:rPr>
          <w:rFonts w:ascii="Quattrocento Sans" w:eastAsia="Quattrocento Sans" w:hAnsi="Quattrocento Sans" w:cs="Quattrocento Sans"/>
        </w:rPr>
      </w:pPr>
      <w:r>
        <w:rPr>
          <w:rFonts w:ascii="Quattrocento Sans" w:eastAsia="Quattrocento Sans" w:hAnsi="Quattrocento Sans" w:cs="Quattrocento Sans"/>
          <w:color w:val="000000"/>
          <w:sz w:val="20"/>
          <w:szCs w:val="20"/>
          <w:highlight w:val="white"/>
        </w:rPr>
        <w:t>Fernando Bastidas B.</w:t>
      </w:r>
    </w:p>
  </w:footnote>
  <w:footnote w:id="10">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000000"/>
          <w:sz w:val="20"/>
          <w:szCs w:val="20"/>
          <w:highlight w:val="white"/>
        </w:rPr>
        <w:t>Sentencia PI 0584 00 del 9 de noviembre de 2004.</w:t>
      </w:r>
    </w:p>
  </w:footnote>
  <w:footnote w:id="11">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000000"/>
          <w:sz w:val="20"/>
          <w:szCs w:val="20"/>
          <w:highlight w:val="white"/>
        </w:rPr>
        <w:t>Sentencia AC 3300 del 19 de marzo de 1996; CP: Dr. Joaquín Barreto Ruiz</w:t>
      </w:r>
    </w:p>
  </w:footnote>
  <w:footnote w:id="12">
    <w:p w:rsidR="00524A3E" w:rsidRDefault="00127967">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000000"/>
          <w:sz w:val="20"/>
          <w:szCs w:val="20"/>
          <w:highlight w:val="white"/>
        </w:rPr>
        <w:t>Sentencia AC 3300 del 19 de marzo de 1996; CP: Dr. Joaquín Barreto Ruiz</w:t>
      </w:r>
    </w:p>
  </w:footnote>
  <w:footnote w:id="13">
    <w:p w:rsidR="00524A3E" w:rsidRDefault="00127967">
      <w:pPr>
        <w:pBdr>
          <w:top w:val="nil"/>
          <w:left w:val="nil"/>
          <w:bottom w:val="nil"/>
          <w:right w:val="nil"/>
          <w:between w:val="nil"/>
        </w:pBdr>
        <w:spacing w:line="240" w:lineRule="auto"/>
        <w:jc w:val="both"/>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20"/>
          <w:szCs w:val="20"/>
        </w:rPr>
        <w:t xml:space="preserve"> Consejero ponente: MARIO ALARIO MÉNDEZ Bogotá, D. C., diecisiete (17) de octubre de dos mil (2000). Radicación número: AC-11116. Sentencia 2012-01771 de noviembre 21 de 201 CONSEJO DE ESTADO SALA DE LO CONTENCIOSO ADMINISTRATIVO SECCIÓN PRIMERA Ref.: Expediente 20120177101 Consejera Ponente: Dra. María Claudia Rojas Lasso Actor: Jorge Iván Piedrahita Montoya Bogotá D.C., veintiuno de noviembre de dos mil trece. EXTRACTOS: «V. Consideraciones de la Sala.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FB" w:rsidRDefault="00BF41F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A3E" w:rsidRDefault="00127967">
    <w:pPr>
      <w:widowControl w:val="0"/>
      <w:tabs>
        <w:tab w:val="center" w:pos="4252"/>
        <w:tab w:val="right" w:pos="8504"/>
      </w:tabs>
      <w:spacing w:line="240" w:lineRule="auto"/>
      <w:jc w:val="center"/>
    </w:pPr>
    <w:r>
      <w:rPr>
        <w:rFonts w:ascii="Calibri" w:eastAsia="Calibri" w:hAnsi="Calibri" w:cs="Calibri"/>
        <w:noProof/>
        <w:lang w:val="es-CO" w:eastAsia="es-CO"/>
      </w:rPr>
      <w:drawing>
        <wp:inline distT="0" distB="0" distL="0" distR="0">
          <wp:extent cx="2030730" cy="6057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30730" cy="6057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FB" w:rsidRDefault="00BF41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68C"/>
    <w:multiLevelType w:val="multilevel"/>
    <w:tmpl w:val="FE06C1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DD7218"/>
    <w:multiLevelType w:val="multilevel"/>
    <w:tmpl w:val="DDEC5674"/>
    <w:lvl w:ilvl="0">
      <w:start w:val="1"/>
      <w:numFmt w:val="decimal"/>
      <w:lvlText w:val="%1."/>
      <w:lvlJc w:val="left"/>
      <w:pPr>
        <w:ind w:left="720" w:hanging="360"/>
      </w:pPr>
      <w:rPr>
        <w:rFonts w:ascii="Arial" w:eastAsia="Roboto" w:hAnsi="Arial"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3E"/>
    <w:rsid w:val="00127967"/>
    <w:rsid w:val="00514F45"/>
    <w:rsid w:val="00524A3E"/>
    <w:rsid w:val="00B3661E"/>
    <w:rsid w:val="00B45E5C"/>
    <w:rsid w:val="00BF41FB"/>
    <w:rsid w:val="00C7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2AFC2-4C02-4D91-A04A-752E71E6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contextualSpacing/>
      <w:outlineLvl w:val="0"/>
    </w:pPr>
    <w:rPr>
      <w:sz w:val="40"/>
      <w:szCs w:val="40"/>
    </w:rPr>
  </w:style>
  <w:style w:type="paragraph" w:styleId="Ttulo2">
    <w:name w:val="heading 2"/>
    <w:basedOn w:val="Normal"/>
    <w:next w:val="Normal"/>
    <w:uiPriority w:val="9"/>
    <w:unhideWhenUsed/>
    <w:qFormat/>
    <w:pPr>
      <w:keepNext/>
      <w:keepLines/>
      <w:spacing w:before="360" w:after="120"/>
      <w:contextualSpacing/>
      <w:outlineLvl w:val="1"/>
    </w:pPr>
    <w:rPr>
      <w:sz w:val="32"/>
      <w:szCs w:val="32"/>
    </w:rPr>
  </w:style>
  <w:style w:type="paragraph" w:styleId="Ttulo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contextualSpacing/>
      <w:outlineLvl w:val="4"/>
    </w:pPr>
    <w:rPr>
      <w:color w:val="666666"/>
    </w:rPr>
  </w:style>
  <w:style w:type="paragraph" w:styleId="Ttulo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contextualSpacing/>
    </w:pPr>
    <w:rPr>
      <w:sz w:val="52"/>
      <w:szCs w:val="52"/>
    </w:rPr>
  </w:style>
  <w:style w:type="paragraph" w:styleId="Subttulo">
    <w:name w:val="Subtitle"/>
    <w:basedOn w:val="Normal"/>
    <w:next w:val="Normal"/>
    <w:uiPriority w:val="11"/>
    <w:qFormat/>
    <w:pPr>
      <w:keepNext/>
      <w:keepLines/>
      <w:spacing w:after="320"/>
      <w:contextualSpacing/>
    </w:pPr>
    <w:rPr>
      <w:color w:val="666666"/>
      <w:sz w:val="30"/>
      <w:szCs w:val="30"/>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F41FB"/>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F41FB"/>
  </w:style>
  <w:style w:type="paragraph" w:styleId="Piedepgina">
    <w:name w:val="footer"/>
    <w:basedOn w:val="Normal"/>
    <w:link w:val="PiedepginaCar"/>
    <w:uiPriority w:val="99"/>
    <w:unhideWhenUsed/>
    <w:rsid w:val="00BF41FB"/>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F41FB"/>
  </w:style>
  <w:style w:type="paragraph" w:styleId="Prrafodelista">
    <w:name w:val="List Paragraph"/>
    <w:basedOn w:val="Normal"/>
    <w:uiPriority w:val="34"/>
    <w:qFormat/>
    <w:rsid w:val="00B45E5C"/>
    <w:pPr>
      <w:ind w:left="720"/>
      <w:contextualSpacing/>
    </w:pPr>
  </w:style>
  <w:style w:type="paragraph" w:styleId="Textodeglobo">
    <w:name w:val="Balloon Text"/>
    <w:basedOn w:val="Normal"/>
    <w:link w:val="TextodegloboCar"/>
    <w:uiPriority w:val="99"/>
    <w:semiHidden/>
    <w:unhideWhenUsed/>
    <w:rsid w:val="00B3661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5165</Words>
  <Characters>28411</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Cris3 GIRALDA</dc:creator>
  <cp:lastModifiedBy>hasbleidy suarez</cp:lastModifiedBy>
  <cp:revision>2</cp:revision>
  <dcterms:created xsi:type="dcterms:W3CDTF">2018-09-18T19:43:00Z</dcterms:created>
  <dcterms:modified xsi:type="dcterms:W3CDTF">2018-09-18T19:43:00Z</dcterms:modified>
</cp:coreProperties>
</file>