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1E7" w:rsidRPr="00A06A84" w:rsidRDefault="00B162B2" w:rsidP="00A93016">
      <w:pPr>
        <w:jc w:val="center"/>
        <w:rPr>
          <w:rFonts w:ascii="Arial Narrow" w:hAnsi="Arial Narrow" w:cstheme="minorHAnsi"/>
          <w:b/>
          <w:sz w:val="24"/>
          <w:szCs w:val="24"/>
        </w:rPr>
      </w:pPr>
      <w:r w:rsidRPr="00A06A84">
        <w:rPr>
          <w:rFonts w:ascii="Arial Narrow" w:hAnsi="Arial Narrow" w:cstheme="minorHAnsi"/>
          <w:b/>
          <w:sz w:val="24"/>
          <w:szCs w:val="24"/>
        </w:rPr>
        <w:t>PROYECTO DE LEY No. _____ DE 2017 CÁMARA</w:t>
      </w:r>
    </w:p>
    <w:p w:rsidR="002931E7" w:rsidRPr="00A06A84" w:rsidRDefault="00BC6048" w:rsidP="00E90865">
      <w:pPr>
        <w:jc w:val="center"/>
        <w:rPr>
          <w:rFonts w:ascii="Arial Narrow" w:hAnsi="Arial Narrow" w:cstheme="minorHAnsi"/>
          <w:i/>
          <w:sz w:val="24"/>
          <w:szCs w:val="24"/>
        </w:rPr>
      </w:pPr>
      <w:r w:rsidRPr="00A06A84">
        <w:rPr>
          <w:rFonts w:ascii="Arial Narrow" w:hAnsi="Arial Narrow" w:cstheme="minorHAnsi"/>
          <w:i/>
          <w:sz w:val="24"/>
          <w:szCs w:val="24"/>
        </w:rPr>
        <w:t>“</w:t>
      </w:r>
      <w:r w:rsidR="002931E7" w:rsidRPr="00A06A84">
        <w:rPr>
          <w:rFonts w:ascii="Arial Narrow" w:hAnsi="Arial Narrow" w:cstheme="minorHAnsi"/>
          <w:i/>
          <w:sz w:val="24"/>
          <w:szCs w:val="24"/>
        </w:rPr>
        <w:t xml:space="preserve">Por </w:t>
      </w:r>
      <w:r w:rsidR="00763A92" w:rsidRPr="00A06A84">
        <w:rPr>
          <w:rFonts w:ascii="Arial Narrow" w:hAnsi="Arial Narrow" w:cstheme="minorHAnsi"/>
          <w:i/>
          <w:sz w:val="24"/>
          <w:szCs w:val="24"/>
        </w:rPr>
        <w:t>medio de</w:t>
      </w:r>
      <w:r w:rsidR="00DC0C30" w:rsidRPr="00A06A84">
        <w:rPr>
          <w:rFonts w:ascii="Arial Narrow" w:hAnsi="Arial Narrow" w:cstheme="minorHAnsi"/>
          <w:i/>
          <w:sz w:val="24"/>
          <w:szCs w:val="24"/>
        </w:rPr>
        <w:t xml:space="preserve"> </w:t>
      </w:r>
      <w:r w:rsidR="00763A92" w:rsidRPr="00A06A84">
        <w:rPr>
          <w:rFonts w:ascii="Arial Narrow" w:hAnsi="Arial Narrow" w:cstheme="minorHAnsi"/>
          <w:i/>
          <w:sz w:val="24"/>
          <w:szCs w:val="24"/>
        </w:rPr>
        <w:t>l</w:t>
      </w:r>
      <w:r w:rsidR="00DC0C30" w:rsidRPr="00A06A84">
        <w:rPr>
          <w:rFonts w:ascii="Arial Narrow" w:hAnsi="Arial Narrow" w:cstheme="minorHAnsi"/>
          <w:i/>
          <w:sz w:val="24"/>
          <w:szCs w:val="24"/>
        </w:rPr>
        <w:t>a</w:t>
      </w:r>
      <w:r w:rsidR="00763A92" w:rsidRPr="00A06A84">
        <w:rPr>
          <w:rFonts w:ascii="Arial Narrow" w:hAnsi="Arial Narrow" w:cstheme="minorHAnsi"/>
          <w:i/>
          <w:sz w:val="24"/>
          <w:szCs w:val="24"/>
        </w:rPr>
        <w:t xml:space="preserve"> cual</w:t>
      </w:r>
      <w:r w:rsidR="000C0712" w:rsidRPr="00A06A84">
        <w:rPr>
          <w:rFonts w:ascii="Arial Narrow" w:hAnsi="Arial Narrow" w:cstheme="minorHAnsi"/>
          <w:i/>
          <w:sz w:val="24"/>
          <w:szCs w:val="24"/>
        </w:rPr>
        <w:t xml:space="preserve"> se modifica </w:t>
      </w:r>
      <w:r w:rsidR="00EE4067" w:rsidRPr="00A06A84">
        <w:rPr>
          <w:rFonts w:ascii="Arial Narrow" w:hAnsi="Arial Narrow" w:cstheme="minorHAnsi"/>
          <w:i/>
          <w:sz w:val="24"/>
          <w:szCs w:val="24"/>
        </w:rPr>
        <w:t xml:space="preserve">el artículo 152 de </w:t>
      </w:r>
      <w:r w:rsidR="000C0712" w:rsidRPr="00A06A84">
        <w:rPr>
          <w:rFonts w:ascii="Arial Narrow" w:hAnsi="Arial Narrow" w:cstheme="minorHAnsi"/>
          <w:i/>
          <w:sz w:val="24"/>
          <w:szCs w:val="24"/>
        </w:rPr>
        <w:t>la L</w:t>
      </w:r>
      <w:r w:rsidR="00C7152B" w:rsidRPr="00A06A84">
        <w:rPr>
          <w:rFonts w:ascii="Arial Narrow" w:hAnsi="Arial Narrow" w:cstheme="minorHAnsi"/>
          <w:i/>
          <w:sz w:val="24"/>
          <w:szCs w:val="24"/>
        </w:rPr>
        <w:t>ey 1437 de 2011 – Código de p</w:t>
      </w:r>
      <w:r w:rsidR="00763A92" w:rsidRPr="00A06A84">
        <w:rPr>
          <w:rFonts w:ascii="Arial Narrow" w:hAnsi="Arial Narrow" w:cstheme="minorHAnsi"/>
          <w:i/>
          <w:sz w:val="24"/>
          <w:szCs w:val="24"/>
        </w:rPr>
        <w:t>rocedimiento administrativo y de lo contencioso administrativo</w:t>
      </w:r>
      <w:r w:rsidR="00B162B2" w:rsidRPr="00A06A84">
        <w:rPr>
          <w:rFonts w:ascii="Arial Narrow" w:hAnsi="Arial Narrow" w:cstheme="minorHAnsi"/>
          <w:i/>
          <w:sz w:val="24"/>
          <w:szCs w:val="24"/>
        </w:rPr>
        <w:t>-</w:t>
      </w:r>
      <w:r w:rsidR="00763A92" w:rsidRPr="00A06A84">
        <w:rPr>
          <w:rFonts w:ascii="Arial Narrow" w:hAnsi="Arial Narrow" w:cstheme="minorHAnsi"/>
          <w:i/>
          <w:sz w:val="24"/>
          <w:szCs w:val="24"/>
        </w:rPr>
        <w:t xml:space="preserve"> y se dictan otras disposiciones</w:t>
      </w:r>
      <w:r w:rsidRPr="00A06A84">
        <w:rPr>
          <w:rFonts w:ascii="Arial Narrow" w:hAnsi="Arial Narrow" w:cstheme="minorHAnsi"/>
          <w:i/>
          <w:sz w:val="24"/>
          <w:szCs w:val="24"/>
        </w:rPr>
        <w:t>”</w:t>
      </w:r>
    </w:p>
    <w:p w:rsidR="002931E7" w:rsidRPr="00A06A84" w:rsidRDefault="00FF2BF2" w:rsidP="00E90865">
      <w:pPr>
        <w:jc w:val="center"/>
        <w:rPr>
          <w:rFonts w:ascii="Arial Narrow" w:hAnsi="Arial Narrow" w:cstheme="minorHAnsi"/>
          <w:sz w:val="24"/>
          <w:szCs w:val="24"/>
        </w:rPr>
      </w:pPr>
      <w:r w:rsidRPr="00A06A84">
        <w:rPr>
          <w:rFonts w:ascii="Arial Narrow" w:hAnsi="Arial Narrow" w:cstheme="minorHAnsi"/>
          <w:sz w:val="24"/>
          <w:szCs w:val="24"/>
        </w:rPr>
        <w:t>EL</w:t>
      </w:r>
      <w:r w:rsidR="00763A92" w:rsidRPr="00A06A84">
        <w:rPr>
          <w:rFonts w:ascii="Arial Narrow" w:hAnsi="Arial Narrow" w:cstheme="minorHAnsi"/>
          <w:sz w:val="24"/>
          <w:szCs w:val="24"/>
        </w:rPr>
        <w:t xml:space="preserve"> </w:t>
      </w:r>
      <w:r w:rsidR="00E90865" w:rsidRPr="00A06A84">
        <w:rPr>
          <w:rFonts w:ascii="Arial Narrow" w:hAnsi="Arial Narrow" w:cstheme="minorHAnsi"/>
          <w:sz w:val="24"/>
          <w:szCs w:val="24"/>
        </w:rPr>
        <w:t xml:space="preserve">CONGRESO </w:t>
      </w:r>
      <w:r w:rsidRPr="00A06A84">
        <w:rPr>
          <w:rFonts w:ascii="Arial Narrow" w:hAnsi="Arial Narrow" w:cstheme="minorHAnsi"/>
          <w:sz w:val="24"/>
          <w:szCs w:val="24"/>
        </w:rPr>
        <w:t>DE COLOMBIA</w:t>
      </w:r>
    </w:p>
    <w:p w:rsidR="00763A92" w:rsidRPr="00A06A84" w:rsidRDefault="00763A92" w:rsidP="00A93016">
      <w:pPr>
        <w:jc w:val="center"/>
        <w:rPr>
          <w:rFonts w:ascii="Arial Narrow" w:hAnsi="Arial Narrow" w:cstheme="minorHAnsi"/>
          <w:sz w:val="24"/>
          <w:szCs w:val="24"/>
        </w:rPr>
      </w:pPr>
      <w:r w:rsidRPr="00A06A84">
        <w:rPr>
          <w:rFonts w:ascii="Arial Narrow" w:hAnsi="Arial Narrow" w:cstheme="minorHAnsi"/>
          <w:sz w:val="24"/>
          <w:szCs w:val="24"/>
        </w:rPr>
        <w:t>D</w:t>
      </w:r>
      <w:r w:rsidR="000C0712" w:rsidRPr="00A06A84">
        <w:rPr>
          <w:rFonts w:ascii="Arial Narrow" w:hAnsi="Arial Narrow" w:cstheme="minorHAnsi"/>
          <w:sz w:val="24"/>
          <w:szCs w:val="24"/>
        </w:rPr>
        <w:t>ECRETA</w:t>
      </w:r>
      <w:r w:rsidRPr="00A06A84">
        <w:rPr>
          <w:rFonts w:ascii="Arial Narrow" w:hAnsi="Arial Narrow" w:cstheme="minorHAnsi"/>
          <w:sz w:val="24"/>
          <w:szCs w:val="24"/>
        </w:rPr>
        <w:t>:</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b/>
          <w:sz w:val="24"/>
          <w:szCs w:val="24"/>
        </w:rPr>
        <w:t>Artículo 1°</w:t>
      </w:r>
      <w:r w:rsidR="00A06A84">
        <w:rPr>
          <w:rFonts w:ascii="Arial Narrow" w:hAnsi="Arial Narrow" w:cstheme="minorHAnsi"/>
          <w:b/>
          <w:sz w:val="24"/>
          <w:szCs w:val="24"/>
        </w:rPr>
        <w:t>.</w:t>
      </w:r>
      <w:r w:rsidRPr="00A06A84">
        <w:rPr>
          <w:rFonts w:ascii="Arial Narrow" w:hAnsi="Arial Narrow" w:cstheme="minorHAnsi"/>
          <w:sz w:val="24"/>
          <w:szCs w:val="24"/>
        </w:rPr>
        <w:t xml:space="preserve"> Modifíquese el artíc</w:t>
      </w:r>
      <w:r w:rsidR="00FF2BF2" w:rsidRPr="00A06A84">
        <w:rPr>
          <w:rFonts w:ascii="Arial Narrow" w:hAnsi="Arial Narrow" w:cstheme="minorHAnsi"/>
          <w:sz w:val="24"/>
          <w:szCs w:val="24"/>
        </w:rPr>
        <w:t xml:space="preserve">ulo 152 de </w:t>
      </w:r>
      <w:r w:rsidR="00D03652" w:rsidRPr="00A06A84">
        <w:rPr>
          <w:rFonts w:ascii="Arial Narrow" w:hAnsi="Arial Narrow" w:cstheme="minorHAnsi"/>
          <w:sz w:val="24"/>
          <w:szCs w:val="24"/>
        </w:rPr>
        <w:t>l</w:t>
      </w:r>
      <w:r w:rsidR="00FF2BF2" w:rsidRPr="00A06A84">
        <w:rPr>
          <w:rFonts w:ascii="Arial Narrow" w:hAnsi="Arial Narrow" w:cstheme="minorHAnsi"/>
          <w:sz w:val="24"/>
          <w:szCs w:val="24"/>
        </w:rPr>
        <w:t xml:space="preserve">a </w:t>
      </w:r>
      <w:r w:rsidR="00D03652" w:rsidRPr="00A06A84">
        <w:rPr>
          <w:rFonts w:ascii="Arial Narrow" w:hAnsi="Arial Narrow" w:cstheme="minorHAnsi"/>
          <w:sz w:val="24"/>
          <w:szCs w:val="24"/>
        </w:rPr>
        <w:t>L</w:t>
      </w:r>
      <w:r w:rsidR="00FF2BF2" w:rsidRPr="00A06A84">
        <w:rPr>
          <w:rFonts w:ascii="Arial Narrow" w:hAnsi="Arial Narrow" w:cstheme="minorHAnsi"/>
          <w:sz w:val="24"/>
          <w:szCs w:val="24"/>
        </w:rPr>
        <w:t>ey 1437 de 2011</w:t>
      </w:r>
      <w:r w:rsidR="000C0712" w:rsidRPr="00A06A84">
        <w:rPr>
          <w:rFonts w:ascii="Arial Narrow" w:hAnsi="Arial Narrow" w:cstheme="minorHAnsi"/>
          <w:sz w:val="24"/>
          <w:szCs w:val="24"/>
        </w:rPr>
        <w:t>, el</w:t>
      </w:r>
      <w:r w:rsidRPr="00A06A84">
        <w:rPr>
          <w:rFonts w:ascii="Arial Narrow" w:hAnsi="Arial Narrow" w:cstheme="minorHAnsi"/>
          <w:sz w:val="24"/>
          <w:szCs w:val="24"/>
        </w:rPr>
        <w:t xml:space="preserve"> cual quedará así:</w:t>
      </w:r>
    </w:p>
    <w:p w:rsidR="00763A92" w:rsidRPr="00A06A84" w:rsidRDefault="00763A92" w:rsidP="00A93016">
      <w:pPr>
        <w:jc w:val="both"/>
        <w:rPr>
          <w:rFonts w:ascii="Arial Narrow" w:hAnsi="Arial Narrow" w:cstheme="minorHAnsi"/>
          <w:sz w:val="24"/>
          <w:szCs w:val="24"/>
        </w:rPr>
      </w:pPr>
      <w:bookmarkStart w:id="0" w:name="152"/>
      <w:r w:rsidRPr="00A06A84">
        <w:rPr>
          <w:rFonts w:ascii="Arial Narrow" w:hAnsi="Arial Narrow" w:cstheme="minorHAnsi"/>
          <w:b/>
          <w:bCs/>
          <w:sz w:val="24"/>
          <w:szCs w:val="24"/>
        </w:rPr>
        <w:t>ARTÍCULO 152. COMPETENCIA DE LOS TRIBUNALES ADMINISTRATIVOS EN PRIMERA INSTANCIA.</w:t>
      </w:r>
      <w:bookmarkEnd w:id="0"/>
      <w:r w:rsidRPr="00A06A84">
        <w:rPr>
          <w:rFonts w:ascii="Arial Narrow" w:hAnsi="Arial Narrow" w:cstheme="minorHAnsi"/>
          <w:sz w:val="24"/>
          <w:szCs w:val="24"/>
        </w:rPr>
        <w:t> Los Tribunales Administrativos conocerán en primera instancia de los siguientes asuntos: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 De los de nulidad de los actos administrativos proferidos por funcionarios u organismos del orden departamental, o por las personas o entidades de derecho privado cuando cumplan funciones administrativas de los citados órdenes.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2. De los de nulidad y restablecimiento del derecho de carácter laboral que no provengan de un contrato de trabajo, en los cuales se controviertan actos administrativos de cualquier autoridad, cuando la cuantía exceda de cincuenta (50) salarios mínimos legales mensuales vigentes.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3. De los de nulidad y restablecimiento del derecho en que se controviertan actos administrativos de cualquier autoridad, cuando la cuantía exceda de trescientos (300) salarios mínimos legales mensuales vigentes, y, sin atención a la cuantía, de los actos que se expidan en ejercicio del poder disciplinario asignado a los funcionarios de la Procuraduría General de la Nación, diferentes al Procurador General de la Nación.</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4. De los que se promuevan sobre el monto, distribución o asignación de impuestos, contribuciones y tasas nacionales, departamentales, municipales o distritales, cuando la cuantía sea superior a cien (100) salarios mínimos legales mensuales vigentes.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5. 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6. De los de reparación directa, inclusive aquellos provenientes de la acción u omisión de los agentes judiciales, cuando la cuantía exceda de quinientos (500) salarios mínimos legales mensuales vigentes.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lastRenderedPageBreak/>
        <w:t>7. De los procesos ejecutivos, cuya cuantía exceda de mil quinientos (1.500) salarios mínimos legales mensuales vigentes.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 xml:space="preserve">8. De la nulidad del acto de elección </w:t>
      </w:r>
      <w:r w:rsidR="000C0712" w:rsidRPr="00A06A84">
        <w:rPr>
          <w:rFonts w:ascii="Arial Narrow" w:hAnsi="Arial Narrow" w:cstheme="minorHAnsi"/>
          <w:sz w:val="24"/>
          <w:szCs w:val="24"/>
          <w:u w:val="single"/>
        </w:rPr>
        <w:t>de los gobernadores</w:t>
      </w:r>
      <w:r w:rsidR="000C0712" w:rsidRPr="00A06A84">
        <w:rPr>
          <w:rFonts w:ascii="Arial Narrow" w:hAnsi="Arial Narrow" w:cstheme="minorHAnsi"/>
          <w:sz w:val="24"/>
          <w:szCs w:val="24"/>
        </w:rPr>
        <w:t xml:space="preserve">, </w:t>
      </w:r>
      <w:r w:rsidRPr="00A06A84">
        <w:rPr>
          <w:rFonts w:ascii="Arial Narrow" w:hAnsi="Arial Narrow" w:cstheme="minorHAnsi"/>
          <w:sz w:val="24"/>
          <w:szCs w:val="24"/>
        </w:rPr>
        <w:t xml:space="preserve">de </w:t>
      </w:r>
      <w:r w:rsidR="00C7152B" w:rsidRPr="00A06A84">
        <w:rPr>
          <w:rFonts w:ascii="Arial Narrow" w:hAnsi="Arial Narrow" w:cstheme="minorHAnsi"/>
          <w:sz w:val="24"/>
          <w:szCs w:val="24"/>
        </w:rPr>
        <w:t xml:space="preserve">los </w:t>
      </w:r>
      <w:r w:rsidRPr="00A06A84">
        <w:rPr>
          <w:rFonts w:ascii="Arial Narrow" w:hAnsi="Arial Narrow" w:cstheme="minorHAnsi"/>
          <w:sz w:val="24"/>
          <w:szCs w:val="24"/>
        </w:rPr>
        <w:t>contralor</w:t>
      </w:r>
      <w:r w:rsidR="000C0712" w:rsidRPr="00A06A84">
        <w:rPr>
          <w:rFonts w:ascii="Arial Narrow" w:hAnsi="Arial Narrow" w:cstheme="minorHAnsi"/>
          <w:sz w:val="24"/>
          <w:szCs w:val="24"/>
        </w:rPr>
        <w:t>es</w:t>
      </w:r>
      <w:r w:rsidRPr="00A06A84">
        <w:rPr>
          <w:rFonts w:ascii="Arial Narrow" w:hAnsi="Arial Narrow" w:cstheme="minorHAnsi"/>
          <w:sz w:val="24"/>
          <w:szCs w:val="24"/>
        </w:rPr>
        <w:t xml:space="preserve"> departamental</w:t>
      </w:r>
      <w:r w:rsidR="000C0712" w:rsidRPr="00A06A84">
        <w:rPr>
          <w:rFonts w:ascii="Arial Narrow" w:hAnsi="Arial Narrow" w:cstheme="minorHAnsi"/>
          <w:sz w:val="24"/>
          <w:szCs w:val="24"/>
        </w:rPr>
        <w:t>es</w:t>
      </w:r>
      <w:r w:rsidRPr="00A06A84">
        <w:rPr>
          <w:rFonts w:ascii="Arial Narrow" w:hAnsi="Arial Narrow" w:cstheme="minorHAnsi"/>
          <w:sz w:val="24"/>
          <w:szCs w:val="24"/>
        </w:rPr>
        <w:t>,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9. De la nulidad del acto de nombramiento de los empleados públicos del nivel directivo o su equivalente efectuado por autoridades del orden nacional y por las autoridades Distritales, Departamentales o Municipales, en municipios con más de setenta mil (70.000) habitantes o que sean capital de departamento.</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10. De los de nulidad de los actos administrativos de las entidades territoriales y descentralizadas de carácter departamental, distrital o municipal que deban someterse para su validez a la aprobación de autoridad superior, o que hayan sido dictados en virtud de delegación de funciones hecha por la misma.</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11. De la repetición que el Estado ejerza contra los servidores o ex servidores públicos y personas privadas que cumplan funciones públicas, incluidos los agentes judiciales, cuando la cuantía exceda de quinientos (500) salarios mínimos legales mensuales vigentes y cuya competencia no estuviere asignada al Consejo de Estado en única instancia.</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12. De la nulidad contra las resoluciones de adjudicación de baldíos.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13. De los de expropiación de que tratan las leyes agrarias.</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14. De los que se promuevan contra los actos de expropiación por vía administrativa.</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15. De la pérdida de investidura de diputados, concejales y ediles, de conformidad con el procedimiento establecido en la ley. En estos eventos el fallo se proferirá por la Sala Plena del tribunal.</w:t>
      </w:r>
    </w:p>
    <w:p w:rsidR="00763A92" w:rsidRPr="00A06A84" w:rsidRDefault="00763A92" w:rsidP="00A93016">
      <w:pPr>
        <w:jc w:val="both"/>
        <w:rPr>
          <w:rFonts w:ascii="Arial Narrow" w:hAnsi="Arial Narrow" w:cstheme="minorHAnsi"/>
          <w:sz w:val="24"/>
          <w:szCs w:val="24"/>
        </w:rPr>
      </w:pPr>
      <w:r w:rsidRPr="00A06A84">
        <w:rPr>
          <w:rFonts w:ascii="Arial Narrow" w:hAnsi="Arial Narrow" w:cstheme="minorHAnsi"/>
          <w:sz w:val="24"/>
          <w:szCs w:val="24"/>
        </w:rPr>
        <w:t>16. De los relativos a la protección de derechos e intereses colectivos, reparación de daños causados a un grupo y de cumplimiento, contra las autoridades del orden nacional o las personas privadas que dentro de ese mismo ámbito desempeñen funciones administrativas.</w:t>
      </w:r>
    </w:p>
    <w:p w:rsidR="00CB4ACD" w:rsidRPr="00A06A84" w:rsidRDefault="00CB4ACD" w:rsidP="00A93016">
      <w:pPr>
        <w:jc w:val="both"/>
        <w:rPr>
          <w:rFonts w:ascii="Arial Narrow" w:hAnsi="Arial Narrow" w:cstheme="minorHAnsi"/>
          <w:sz w:val="24"/>
          <w:szCs w:val="24"/>
        </w:rPr>
      </w:pPr>
      <w:r w:rsidRPr="00A06A84">
        <w:rPr>
          <w:rFonts w:ascii="Arial Narrow" w:hAnsi="Arial Narrow" w:cstheme="minorHAnsi"/>
          <w:b/>
          <w:sz w:val="24"/>
          <w:szCs w:val="24"/>
        </w:rPr>
        <w:lastRenderedPageBreak/>
        <w:t>Artículo 2°</w:t>
      </w:r>
      <w:r w:rsidR="00A06A84">
        <w:rPr>
          <w:rFonts w:ascii="Arial Narrow" w:hAnsi="Arial Narrow" w:cstheme="minorHAnsi"/>
          <w:b/>
          <w:sz w:val="24"/>
          <w:szCs w:val="24"/>
        </w:rPr>
        <w:t>.</w:t>
      </w:r>
      <w:r w:rsidRPr="00A06A84">
        <w:rPr>
          <w:rFonts w:ascii="Arial Narrow" w:hAnsi="Arial Narrow" w:cstheme="minorHAnsi"/>
          <w:sz w:val="24"/>
          <w:szCs w:val="24"/>
        </w:rPr>
        <w:t xml:space="preserve"> Los procedimiento</w:t>
      </w:r>
      <w:r w:rsidR="00ED45B2" w:rsidRPr="00A06A84">
        <w:rPr>
          <w:rFonts w:ascii="Arial Narrow" w:hAnsi="Arial Narrow" w:cstheme="minorHAnsi"/>
          <w:sz w:val="24"/>
          <w:szCs w:val="24"/>
        </w:rPr>
        <w:t>s y</w:t>
      </w:r>
      <w:r w:rsidRPr="00A06A84">
        <w:rPr>
          <w:rFonts w:ascii="Arial Narrow" w:hAnsi="Arial Narrow" w:cstheme="minorHAnsi"/>
          <w:sz w:val="24"/>
          <w:szCs w:val="24"/>
        </w:rPr>
        <w:t xml:space="preserve"> actuacion</w:t>
      </w:r>
      <w:r w:rsidR="00ED45B2" w:rsidRPr="00A06A84">
        <w:rPr>
          <w:rFonts w:ascii="Arial Narrow" w:hAnsi="Arial Narrow" w:cstheme="minorHAnsi"/>
          <w:sz w:val="24"/>
          <w:szCs w:val="24"/>
        </w:rPr>
        <w:t>es administrativas, así como las</w:t>
      </w:r>
      <w:r w:rsidRPr="00A06A84">
        <w:rPr>
          <w:rFonts w:ascii="Arial Narrow" w:hAnsi="Arial Narrow" w:cstheme="minorHAnsi"/>
          <w:sz w:val="24"/>
          <w:szCs w:val="24"/>
        </w:rPr>
        <w:t xml:space="preserve"> demandas y procesos en curso a la</w:t>
      </w:r>
      <w:r w:rsidR="00ED45B2" w:rsidRPr="00A06A84">
        <w:rPr>
          <w:rFonts w:ascii="Arial Narrow" w:hAnsi="Arial Narrow" w:cstheme="minorHAnsi"/>
          <w:sz w:val="24"/>
          <w:szCs w:val="24"/>
        </w:rPr>
        <w:t xml:space="preserve"> entrada en</w:t>
      </w:r>
      <w:r w:rsidRPr="00A06A84">
        <w:rPr>
          <w:rFonts w:ascii="Arial Narrow" w:hAnsi="Arial Narrow" w:cstheme="minorHAnsi"/>
          <w:sz w:val="24"/>
          <w:szCs w:val="24"/>
        </w:rPr>
        <w:t xml:space="preserve"> vigencia de la presente ley seguirán rigiéndose y culminarán de conformidad</w:t>
      </w:r>
      <w:r w:rsidR="000C0712" w:rsidRPr="00A06A84">
        <w:rPr>
          <w:rFonts w:ascii="Arial Narrow" w:hAnsi="Arial Narrow" w:cstheme="minorHAnsi"/>
          <w:sz w:val="24"/>
          <w:szCs w:val="24"/>
        </w:rPr>
        <w:t xml:space="preserve"> a la normativa</w:t>
      </w:r>
      <w:r w:rsidR="00FF2BF2" w:rsidRPr="00A06A84">
        <w:rPr>
          <w:rFonts w:ascii="Arial Narrow" w:hAnsi="Arial Narrow" w:cstheme="minorHAnsi"/>
          <w:sz w:val="24"/>
          <w:szCs w:val="24"/>
        </w:rPr>
        <w:t xml:space="preserve"> anterior.</w:t>
      </w:r>
      <w:r w:rsidRPr="00A06A84">
        <w:rPr>
          <w:rFonts w:ascii="Arial Narrow" w:hAnsi="Arial Narrow" w:cstheme="minorHAnsi"/>
          <w:sz w:val="24"/>
          <w:szCs w:val="24"/>
        </w:rPr>
        <w:t xml:space="preserve"> </w:t>
      </w:r>
    </w:p>
    <w:p w:rsidR="00763A92" w:rsidRPr="00A06A84" w:rsidRDefault="00FF2BF2" w:rsidP="00A93016">
      <w:pPr>
        <w:jc w:val="both"/>
        <w:rPr>
          <w:rFonts w:ascii="Arial Narrow" w:hAnsi="Arial Narrow" w:cstheme="minorHAnsi"/>
          <w:sz w:val="24"/>
          <w:szCs w:val="24"/>
        </w:rPr>
      </w:pPr>
      <w:r w:rsidRPr="00A06A84">
        <w:rPr>
          <w:rFonts w:ascii="Arial Narrow" w:hAnsi="Arial Narrow" w:cstheme="minorHAnsi"/>
          <w:b/>
          <w:sz w:val="24"/>
          <w:szCs w:val="24"/>
        </w:rPr>
        <w:t>Artículo 3</w:t>
      </w:r>
      <w:r w:rsidR="00763A92" w:rsidRPr="00A06A84">
        <w:rPr>
          <w:rFonts w:ascii="Arial Narrow" w:hAnsi="Arial Narrow" w:cstheme="minorHAnsi"/>
          <w:b/>
          <w:sz w:val="24"/>
          <w:szCs w:val="24"/>
        </w:rPr>
        <w:t>°</w:t>
      </w:r>
      <w:r w:rsidR="00A06A84">
        <w:rPr>
          <w:rFonts w:ascii="Arial Narrow" w:hAnsi="Arial Narrow" w:cstheme="minorHAnsi"/>
          <w:b/>
          <w:sz w:val="24"/>
          <w:szCs w:val="24"/>
        </w:rPr>
        <w:t>.</w:t>
      </w:r>
      <w:r w:rsidR="00763A92" w:rsidRPr="00A06A84">
        <w:rPr>
          <w:rFonts w:ascii="Arial Narrow" w:hAnsi="Arial Narrow" w:cstheme="minorHAnsi"/>
          <w:sz w:val="24"/>
          <w:szCs w:val="24"/>
        </w:rPr>
        <w:t xml:space="preserve"> Vigencia. La presente rige a partir de su promulgaci</w:t>
      </w:r>
      <w:r w:rsidR="002931E7" w:rsidRPr="00A06A84">
        <w:rPr>
          <w:rFonts w:ascii="Arial Narrow" w:hAnsi="Arial Narrow" w:cstheme="minorHAnsi"/>
          <w:sz w:val="24"/>
          <w:szCs w:val="24"/>
        </w:rPr>
        <w:t>ón y deroga</w:t>
      </w:r>
      <w:r w:rsidR="004C7EF0" w:rsidRPr="00A06A84">
        <w:rPr>
          <w:rFonts w:ascii="Arial Narrow" w:hAnsi="Arial Narrow" w:cstheme="minorHAnsi"/>
          <w:sz w:val="24"/>
          <w:szCs w:val="24"/>
        </w:rPr>
        <w:t xml:space="preserve"> todas</w:t>
      </w:r>
      <w:r w:rsidR="002931E7" w:rsidRPr="00A06A84">
        <w:rPr>
          <w:rFonts w:ascii="Arial Narrow" w:hAnsi="Arial Narrow" w:cstheme="minorHAnsi"/>
          <w:sz w:val="24"/>
          <w:szCs w:val="24"/>
        </w:rPr>
        <w:t xml:space="preserve"> las disposiciones que le sean contrarias.</w:t>
      </w:r>
    </w:p>
    <w:p w:rsidR="002931E7" w:rsidRPr="00A06A84" w:rsidRDefault="002931E7" w:rsidP="00A93016">
      <w:pPr>
        <w:jc w:val="both"/>
        <w:rPr>
          <w:rFonts w:ascii="Arial Narrow" w:hAnsi="Arial Narrow" w:cstheme="minorHAnsi"/>
          <w:sz w:val="24"/>
          <w:szCs w:val="24"/>
        </w:rPr>
      </w:pPr>
    </w:p>
    <w:p w:rsidR="002931E7" w:rsidRPr="00A06A84" w:rsidRDefault="00DE4841" w:rsidP="00A93016">
      <w:pPr>
        <w:jc w:val="both"/>
        <w:rPr>
          <w:rFonts w:ascii="Arial Narrow" w:hAnsi="Arial Narrow" w:cstheme="minorHAnsi"/>
          <w:sz w:val="24"/>
          <w:szCs w:val="24"/>
        </w:rPr>
      </w:pPr>
      <w:r w:rsidRPr="00A06A84">
        <w:rPr>
          <w:rFonts w:ascii="Arial Narrow" w:hAnsi="Arial Narrow" w:cstheme="minorHAnsi"/>
          <w:sz w:val="24"/>
          <w:szCs w:val="24"/>
        </w:rPr>
        <w:t>A consideración de los honorables congresistas,</w:t>
      </w:r>
    </w:p>
    <w:p w:rsidR="00B162B2" w:rsidRPr="00A06A84" w:rsidRDefault="00B162B2" w:rsidP="00A93016">
      <w:pPr>
        <w:jc w:val="both"/>
        <w:rPr>
          <w:rFonts w:ascii="Arial Narrow" w:hAnsi="Arial Narrow" w:cstheme="minorHAnsi"/>
          <w:sz w:val="24"/>
          <w:szCs w:val="24"/>
        </w:rPr>
      </w:pPr>
    </w:p>
    <w:p w:rsidR="002931E7" w:rsidRPr="00A06A84" w:rsidRDefault="002931E7" w:rsidP="00A93016">
      <w:pPr>
        <w:jc w:val="both"/>
        <w:rPr>
          <w:rFonts w:ascii="Arial Narrow" w:hAnsi="Arial Narrow" w:cstheme="minorHAnsi"/>
          <w:sz w:val="24"/>
          <w:szCs w:val="24"/>
        </w:rPr>
      </w:pPr>
      <w:bookmarkStart w:id="1" w:name="_GoBack"/>
      <w:bookmarkEnd w:id="1"/>
    </w:p>
    <w:p w:rsidR="002931E7" w:rsidRPr="00A06A84" w:rsidRDefault="002931E7" w:rsidP="00A93016">
      <w:pPr>
        <w:jc w:val="both"/>
        <w:rPr>
          <w:rFonts w:ascii="Arial Narrow" w:hAnsi="Arial Narrow" w:cstheme="minorHAnsi"/>
          <w:sz w:val="24"/>
          <w:szCs w:val="24"/>
        </w:rPr>
      </w:pPr>
    </w:p>
    <w:p w:rsidR="002931E7" w:rsidRPr="00A06A84" w:rsidRDefault="002931E7" w:rsidP="00A93016">
      <w:pPr>
        <w:spacing w:after="0"/>
        <w:jc w:val="center"/>
        <w:rPr>
          <w:rFonts w:ascii="Arial Narrow" w:hAnsi="Arial Narrow" w:cstheme="minorHAnsi"/>
          <w:b/>
          <w:sz w:val="24"/>
          <w:szCs w:val="24"/>
        </w:rPr>
      </w:pPr>
      <w:r w:rsidRPr="00A06A84">
        <w:rPr>
          <w:rFonts w:ascii="Arial Narrow" w:hAnsi="Arial Narrow" w:cstheme="minorHAnsi"/>
          <w:b/>
          <w:sz w:val="24"/>
          <w:szCs w:val="24"/>
        </w:rPr>
        <w:t>ELOY CHICHÍ QUINTERO ROMERO</w:t>
      </w:r>
    </w:p>
    <w:p w:rsidR="002931E7" w:rsidRPr="00A06A84" w:rsidRDefault="002931E7" w:rsidP="00A93016">
      <w:pPr>
        <w:spacing w:after="0"/>
        <w:jc w:val="center"/>
        <w:rPr>
          <w:rFonts w:ascii="Arial Narrow" w:hAnsi="Arial Narrow" w:cstheme="minorHAnsi"/>
          <w:sz w:val="24"/>
          <w:szCs w:val="24"/>
        </w:rPr>
      </w:pPr>
      <w:r w:rsidRPr="00A06A84">
        <w:rPr>
          <w:rFonts w:ascii="Arial Narrow" w:hAnsi="Arial Narrow" w:cstheme="minorHAnsi"/>
          <w:sz w:val="24"/>
          <w:szCs w:val="24"/>
        </w:rPr>
        <w:t>Representante a la Cámara</w:t>
      </w:r>
    </w:p>
    <w:p w:rsidR="002931E7" w:rsidRPr="00A06A84" w:rsidRDefault="002931E7" w:rsidP="00A93016">
      <w:pPr>
        <w:spacing w:after="0"/>
        <w:jc w:val="center"/>
        <w:rPr>
          <w:rFonts w:ascii="Arial Narrow" w:hAnsi="Arial Narrow" w:cstheme="minorHAnsi"/>
          <w:sz w:val="24"/>
          <w:szCs w:val="24"/>
        </w:rPr>
      </w:pPr>
      <w:r w:rsidRPr="00A06A84">
        <w:rPr>
          <w:rFonts w:ascii="Arial Narrow" w:hAnsi="Arial Narrow" w:cstheme="minorHAnsi"/>
          <w:sz w:val="24"/>
          <w:szCs w:val="24"/>
        </w:rPr>
        <w:t>Departamento del Cesar</w:t>
      </w:r>
    </w:p>
    <w:p w:rsidR="00B162B2" w:rsidRPr="00A06A84" w:rsidRDefault="00B162B2" w:rsidP="00A93016">
      <w:pPr>
        <w:rPr>
          <w:rFonts w:ascii="Arial Narrow" w:hAnsi="Arial Narrow" w:cstheme="minorHAnsi"/>
          <w:sz w:val="24"/>
          <w:szCs w:val="24"/>
        </w:rPr>
      </w:pPr>
      <w:r w:rsidRPr="00A06A84">
        <w:rPr>
          <w:rFonts w:ascii="Arial Narrow" w:hAnsi="Arial Narrow" w:cstheme="minorHAnsi"/>
          <w:sz w:val="24"/>
          <w:szCs w:val="24"/>
        </w:rPr>
        <w:br w:type="page"/>
      </w:r>
    </w:p>
    <w:p w:rsidR="00B162B2" w:rsidRPr="00A06A84" w:rsidRDefault="00B162B2" w:rsidP="00A93016">
      <w:pPr>
        <w:jc w:val="center"/>
        <w:rPr>
          <w:rFonts w:ascii="Arial Narrow" w:hAnsi="Arial Narrow" w:cstheme="minorHAnsi"/>
          <w:b/>
          <w:sz w:val="24"/>
          <w:szCs w:val="24"/>
        </w:rPr>
      </w:pPr>
      <w:r w:rsidRPr="00A06A84">
        <w:rPr>
          <w:rFonts w:ascii="Arial Narrow" w:hAnsi="Arial Narrow" w:cstheme="minorHAnsi"/>
          <w:b/>
          <w:sz w:val="24"/>
          <w:szCs w:val="24"/>
        </w:rPr>
        <w:lastRenderedPageBreak/>
        <w:t>PROYECTO DE LEY No. _____ DE 2017 CÁMARA</w:t>
      </w:r>
    </w:p>
    <w:p w:rsidR="00DD0AC2" w:rsidRPr="00A06A84" w:rsidRDefault="00DD0AC2" w:rsidP="00DD0AC2">
      <w:pPr>
        <w:jc w:val="center"/>
        <w:rPr>
          <w:rFonts w:ascii="Arial Narrow" w:hAnsi="Arial Narrow" w:cstheme="minorHAnsi"/>
          <w:i/>
          <w:sz w:val="24"/>
          <w:szCs w:val="24"/>
        </w:rPr>
      </w:pPr>
      <w:r w:rsidRPr="00A06A84">
        <w:rPr>
          <w:rFonts w:ascii="Arial Narrow" w:hAnsi="Arial Narrow" w:cstheme="minorHAnsi"/>
          <w:i/>
          <w:sz w:val="24"/>
          <w:szCs w:val="24"/>
        </w:rPr>
        <w:t>“Por medio de</w:t>
      </w:r>
      <w:r w:rsidR="00DC0C30" w:rsidRPr="00A06A84">
        <w:rPr>
          <w:rFonts w:ascii="Arial Narrow" w:hAnsi="Arial Narrow" w:cstheme="minorHAnsi"/>
          <w:i/>
          <w:sz w:val="24"/>
          <w:szCs w:val="24"/>
        </w:rPr>
        <w:t xml:space="preserve"> </w:t>
      </w:r>
      <w:r w:rsidRPr="00A06A84">
        <w:rPr>
          <w:rFonts w:ascii="Arial Narrow" w:hAnsi="Arial Narrow" w:cstheme="minorHAnsi"/>
          <w:i/>
          <w:sz w:val="24"/>
          <w:szCs w:val="24"/>
        </w:rPr>
        <w:t>l</w:t>
      </w:r>
      <w:r w:rsidR="00DC0C30" w:rsidRPr="00A06A84">
        <w:rPr>
          <w:rFonts w:ascii="Arial Narrow" w:hAnsi="Arial Narrow" w:cstheme="minorHAnsi"/>
          <w:i/>
          <w:sz w:val="24"/>
          <w:szCs w:val="24"/>
        </w:rPr>
        <w:t>a</w:t>
      </w:r>
      <w:r w:rsidRPr="00A06A84">
        <w:rPr>
          <w:rFonts w:ascii="Arial Narrow" w:hAnsi="Arial Narrow" w:cstheme="minorHAnsi"/>
          <w:i/>
          <w:sz w:val="24"/>
          <w:szCs w:val="24"/>
        </w:rPr>
        <w:t xml:space="preserve"> cual se modifica el artículo 152 de la Ley 1437 de 2011 – Código de procedimiento administrativo y de lo contencioso administrativo- y se dictan otras disposiciones”</w:t>
      </w:r>
    </w:p>
    <w:p w:rsidR="004951A7" w:rsidRPr="00A06A84" w:rsidRDefault="004951A7" w:rsidP="00A93016">
      <w:pPr>
        <w:rPr>
          <w:rFonts w:ascii="Arial Narrow" w:hAnsi="Arial Narrow" w:cstheme="minorHAnsi"/>
          <w:sz w:val="24"/>
          <w:szCs w:val="24"/>
        </w:rPr>
      </w:pPr>
    </w:p>
    <w:p w:rsidR="00B162B2" w:rsidRPr="00A06A84" w:rsidRDefault="00B162B2" w:rsidP="00A93016">
      <w:pPr>
        <w:jc w:val="center"/>
        <w:rPr>
          <w:rFonts w:ascii="Arial Narrow" w:hAnsi="Arial Narrow" w:cstheme="minorHAnsi"/>
          <w:b/>
          <w:sz w:val="24"/>
          <w:szCs w:val="24"/>
        </w:rPr>
      </w:pPr>
      <w:r w:rsidRPr="00A06A84">
        <w:rPr>
          <w:rFonts w:ascii="Arial Narrow" w:hAnsi="Arial Narrow" w:cstheme="minorHAnsi"/>
          <w:b/>
          <w:sz w:val="24"/>
          <w:szCs w:val="24"/>
        </w:rPr>
        <w:t>EXPOSICIÓN DE MOTIVOS</w:t>
      </w:r>
    </w:p>
    <w:p w:rsidR="00A06A84" w:rsidRDefault="00A06A84" w:rsidP="00A06A84">
      <w:pPr>
        <w:rPr>
          <w:rFonts w:ascii="Arial Narrow" w:hAnsi="Arial Narrow" w:cs="Times New Roman"/>
          <w:b/>
          <w:sz w:val="24"/>
          <w:szCs w:val="24"/>
        </w:rPr>
      </w:pPr>
      <w:r>
        <w:rPr>
          <w:rFonts w:ascii="Arial Narrow" w:hAnsi="Arial Narrow" w:cs="Times New Roman"/>
          <w:b/>
          <w:sz w:val="24"/>
          <w:szCs w:val="24"/>
        </w:rPr>
        <w:t>Antecedentes</w:t>
      </w:r>
    </w:p>
    <w:p w:rsidR="00A92A45" w:rsidRPr="003B3BA3" w:rsidRDefault="00A06A84" w:rsidP="003B3BA3">
      <w:pPr>
        <w:jc w:val="both"/>
        <w:rPr>
          <w:rFonts w:ascii="Arial Narrow" w:hAnsi="Arial Narrow" w:cs="Times New Roman"/>
          <w:sz w:val="24"/>
          <w:szCs w:val="24"/>
        </w:rPr>
      </w:pPr>
      <w:r>
        <w:rPr>
          <w:rFonts w:ascii="Arial Narrow" w:hAnsi="Arial Narrow" w:cs="Times New Roman"/>
          <w:sz w:val="24"/>
          <w:szCs w:val="24"/>
        </w:rPr>
        <w:t>El presente proyecto de ley puesto a consideración de los honorables parlamentarios fue inicialmente radicado el 21 de marzo de 2017. No obstante, a causa de la</w:t>
      </w:r>
      <w:r w:rsidR="003B3BA3">
        <w:rPr>
          <w:rFonts w:ascii="Arial Narrow" w:hAnsi="Arial Narrow" w:cs="Times New Roman"/>
          <w:sz w:val="24"/>
          <w:szCs w:val="24"/>
        </w:rPr>
        <w:t xml:space="preserve"> apretada</w:t>
      </w:r>
      <w:r>
        <w:rPr>
          <w:rFonts w:ascii="Arial Narrow" w:hAnsi="Arial Narrow" w:cs="Times New Roman"/>
          <w:sz w:val="24"/>
          <w:szCs w:val="24"/>
        </w:rPr>
        <w:t xml:space="preserve"> agenda no pudo ser debatido. Por lo que, en aras de crear normas más justas relativas a los servidores públicos</w:t>
      </w:r>
      <w:r w:rsidR="00F2545F">
        <w:rPr>
          <w:rFonts w:ascii="Arial Narrow" w:hAnsi="Arial Narrow" w:cs="Times New Roman"/>
          <w:sz w:val="24"/>
          <w:szCs w:val="24"/>
        </w:rPr>
        <w:t xml:space="preserve"> que obedezcan</w:t>
      </w:r>
      <w:r w:rsidR="00F2545F" w:rsidRPr="00A06A84">
        <w:rPr>
          <w:rFonts w:ascii="Arial Narrow" w:hAnsi="Arial Narrow" w:cstheme="minorHAnsi"/>
          <w:sz w:val="24"/>
          <w:szCs w:val="24"/>
        </w:rPr>
        <w:t xml:space="preserve"> al deber de materializar los principios constitucionales de la doble instancia, razonabilidad, proporcionalidad e igualdad</w:t>
      </w:r>
      <w:r>
        <w:rPr>
          <w:rFonts w:ascii="Arial Narrow" w:hAnsi="Arial Narrow" w:cs="Times New Roman"/>
          <w:sz w:val="24"/>
          <w:szCs w:val="24"/>
        </w:rPr>
        <w:t xml:space="preserve">, considero de suma importancia volver a radicar el proyecto, esperando que durante esta legislatura tenga un mejor desenlace. </w:t>
      </w:r>
    </w:p>
    <w:p w:rsidR="00B162B2" w:rsidRPr="00A06A84" w:rsidRDefault="00A06A84" w:rsidP="00A93016">
      <w:pPr>
        <w:rPr>
          <w:rFonts w:ascii="Arial Narrow" w:hAnsi="Arial Narrow" w:cstheme="minorHAnsi"/>
          <w:b/>
          <w:sz w:val="24"/>
          <w:szCs w:val="24"/>
        </w:rPr>
      </w:pPr>
      <w:r>
        <w:rPr>
          <w:rFonts w:ascii="Arial Narrow" w:hAnsi="Arial Narrow" w:cstheme="minorHAnsi"/>
          <w:b/>
          <w:sz w:val="24"/>
          <w:szCs w:val="24"/>
        </w:rPr>
        <w:t>Consideraciones previas</w:t>
      </w:r>
    </w:p>
    <w:p w:rsidR="00F72239" w:rsidRPr="00A06A84" w:rsidRDefault="00B15171" w:rsidP="00A93016">
      <w:pPr>
        <w:jc w:val="both"/>
        <w:rPr>
          <w:rFonts w:ascii="Arial Narrow" w:hAnsi="Arial Narrow" w:cstheme="minorHAnsi"/>
          <w:sz w:val="24"/>
          <w:szCs w:val="24"/>
        </w:rPr>
      </w:pPr>
      <w:r w:rsidRPr="00A06A84">
        <w:rPr>
          <w:rFonts w:ascii="Arial Narrow" w:hAnsi="Arial Narrow" w:cstheme="minorHAnsi"/>
          <w:sz w:val="24"/>
          <w:szCs w:val="24"/>
        </w:rPr>
        <w:t>El</w:t>
      </w:r>
      <w:r w:rsidR="009479D6" w:rsidRPr="00A06A84">
        <w:rPr>
          <w:rFonts w:ascii="Arial Narrow" w:hAnsi="Arial Narrow" w:cstheme="minorHAnsi"/>
          <w:sz w:val="24"/>
          <w:szCs w:val="24"/>
        </w:rPr>
        <w:t xml:space="preserve"> </w:t>
      </w:r>
      <w:r w:rsidR="00260C46" w:rsidRPr="00A06A84">
        <w:rPr>
          <w:rFonts w:ascii="Arial Narrow" w:hAnsi="Arial Narrow" w:cstheme="minorHAnsi"/>
          <w:sz w:val="24"/>
          <w:szCs w:val="24"/>
        </w:rPr>
        <w:t>derogado</w:t>
      </w:r>
      <w:r w:rsidR="009479D6" w:rsidRPr="00A06A84">
        <w:rPr>
          <w:rFonts w:ascii="Arial Narrow" w:hAnsi="Arial Narrow" w:cstheme="minorHAnsi"/>
          <w:sz w:val="24"/>
          <w:szCs w:val="24"/>
        </w:rPr>
        <w:t xml:space="preserve"> </w:t>
      </w:r>
      <w:r w:rsidRPr="00A06A84">
        <w:rPr>
          <w:rFonts w:ascii="Arial Narrow" w:hAnsi="Arial Narrow" w:cstheme="minorHAnsi"/>
          <w:sz w:val="24"/>
          <w:szCs w:val="24"/>
        </w:rPr>
        <w:t>Código Contencioso Administrativo -Decreto 01 de 1984-</w:t>
      </w:r>
      <w:r w:rsidR="00F72239" w:rsidRPr="00A06A84">
        <w:rPr>
          <w:rFonts w:ascii="Arial Narrow" w:hAnsi="Arial Narrow" w:cstheme="minorHAnsi"/>
          <w:sz w:val="24"/>
          <w:szCs w:val="24"/>
        </w:rPr>
        <w:t>, modificado por el Decreto 2269 de 1987, contemplaba</w:t>
      </w:r>
      <w:r w:rsidR="00515F85" w:rsidRPr="00A06A84">
        <w:rPr>
          <w:rFonts w:ascii="Arial Narrow" w:hAnsi="Arial Narrow" w:cstheme="minorHAnsi"/>
          <w:sz w:val="24"/>
          <w:szCs w:val="24"/>
        </w:rPr>
        <w:t xml:space="preserve"> </w:t>
      </w:r>
      <w:r w:rsidR="00F72239" w:rsidRPr="00A06A84">
        <w:rPr>
          <w:rFonts w:ascii="Arial Narrow" w:hAnsi="Arial Narrow" w:cstheme="minorHAnsi"/>
          <w:sz w:val="24"/>
          <w:szCs w:val="24"/>
        </w:rPr>
        <w:t>que los Tribunales Administrativos</w:t>
      </w:r>
      <w:r w:rsidR="00260C46" w:rsidRPr="00A06A84">
        <w:rPr>
          <w:rFonts w:ascii="Arial Narrow" w:hAnsi="Arial Narrow" w:cstheme="minorHAnsi"/>
          <w:sz w:val="24"/>
          <w:szCs w:val="24"/>
        </w:rPr>
        <w:t xml:space="preserve"> eran los</w:t>
      </w:r>
      <w:r w:rsidR="00F72239" w:rsidRPr="00A06A84">
        <w:rPr>
          <w:rFonts w:ascii="Arial Narrow" w:hAnsi="Arial Narrow" w:cstheme="minorHAnsi"/>
          <w:sz w:val="24"/>
          <w:szCs w:val="24"/>
        </w:rPr>
        <w:t xml:space="preserve"> competentes de conocer en primera instancia de los asuntos relativos a la acción de nulidad electoral de los gobernadores, d</w:t>
      </w:r>
      <w:r w:rsidR="00A06A84">
        <w:rPr>
          <w:rFonts w:ascii="Arial Narrow" w:hAnsi="Arial Narrow" w:cstheme="minorHAnsi"/>
          <w:sz w:val="24"/>
          <w:szCs w:val="24"/>
        </w:rPr>
        <w:t>e los diputados de las Asambleas D</w:t>
      </w:r>
      <w:r w:rsidR="00F72239" w:rsidRPr="00A06A84">
        <w:rPr>
          <w:rFonts w:ascii="Arial Narrow" w:hAnsi="Arial Narrow" w:cstheme="minorHAnsi"/>
          <w:sz w:val="24"/>
          <w:szCs w:val="24"/>
        </w:rPr>
        <w:t>epartamentales y de cualquier otra elección celebrada dentro del respectivo departamento</w:t>
      </w:r>
      <w:r w:rsidR="00515F85" w:rsidRPr="00A06A84">
        <w:rPr>
          <w:rFonts w:ascii="Arial Narrow" w:hAnsi="Arial Narrow" w:cstheme="minorHAnsi"/>
          <w:sz w:val="24"/>
          <w:szCs w:val="24"/>
        </w:rPr>
        <w:t xml:space="preserve"> (Art. 132)</w:t>
      </w:r>
      <w:r w:rsidR="00F72239" w:rsidRPr="00A06A84">
        <w:rPr>
          <w:rFonts w:ascii="Arial Narrow" w:hAnsi="Arial Narrow" w:cstheme="minorHAnsi"/>
          <w:sz w:val="24"/>
          <w:szCs w:val="24"/>
        </w:rPr>
        <w:t>.</w:t>
      </w:r>
      <w:r w:rsidR="00515F85" w:rsidRPr="00A06A84">
        <w:rPr>
          <w:rFonts w:ascii="Arial Narrow" w:hAnsi="Arial Narrow" w:cstheme="minorHAnsi"/>
          <w:sz w:val="24"/>
          <w:szCs w:val="24"/>
        </w:rPr>
        <w:t xml:space="preserve"> </w:t>
      </w:r>
      <w:r w:rsidR="00F72239" w:rsidRPr="00A06A84">
        <w:rPr>
          <w:rFonts w:ascii="Arial Narrow" w:hAnsi="Arial Narrow" w:cstheme="minorHAnsi"/>
          <w:sz w:val="24"/>
          <w:szCs w:val="24"/>
        </w:rPr>
        <w:t xml:space="preserve">Sin embargo, </w:t>
      </w:r>
      <w:r w:rsidR="00260C46" w:rsidRPr="00A06A84">
        <w:rPr>
          <w:rFonts w:ascii="Arial Narrow" w:hAnsi="Arial Narrow" w:cstheme="minorHAnsi"/>
          <w:sz w:val="24"/>
          <w:szCs w:val="24"/>
        </w:rPr>
        <w:t>con la entrada en vigencia</w:t>
      </w:r>
      <w:r w:rsidR="00515F85" w:rsidRPr="00A06A84">
        <w:rPr>
          <w:rFonts w:ascii="Arial Narrow" w:hAnsi="Arial Narrow" w:cstheme="minorHAnsi"/>
          <w:sz w:val="24"/>
          <w:szCs w:val="24"/>
        </w:rPr>
        <w:t xml:space="preserve"> del </w:t>
      </w:r>
      <w:r w:rsidR="00260C46" w:rsidRPr="00A06A84">
        <w:rPr>
          <w:rFonts w:ascii="Arial Narrow" w:hAnsi="Arial Narrow" w:cstheme="minorHAnsi"/>
          <w:sz w:val="24"/>
          <w:szCs w:val="24"/>
        </w:rPr>
        <w:t xml:space="preserve">nuevo </w:t>
      </w:r>
      <w:r w:rsidR="00F72239" w:rsidRPr="00A06A84">
        <w:rPr>
          <w:rFonts w:ascii="Arial Narrow" w:hAnsi="Arial Narrow" w:cstheme="minorHAnsi"/>
          <w:sz w:val="24"/>
          <w:szCs w:val="24"/>
        </w:rPr>
        <w:t>Código de Procedimiento Administrativo y de lo Contencioso Administrativo</w:t>
      </w:r>
      <w:r w:rsidRPr="00A06A84">
        <w:rPr>
          <w:rFonts w:ascii="Arial Narrow" w:hAnsi="Arial Narrow" w:cstheme="minorHAnsi"/>
          <w:sz w:val="24"/>
          <w:szCs w:val="24"/>
        </w:rPr>
        <w:t xml:space="preserve"> –Ley 1437 de 2011-</w:t>
      </w:r>
      <w:r w:rsidR="00260C46" w:rsidRPr="00A06A84">
        <w:rPr>
          <w:rFonts w:ascii="Arial Narrow" w:hAnsi="Arial Narrow" w:cstheme="minorHAnsi"/>
          <w:sz w:val="24"/>
          <w:szCs w:val="24"/>
        </w:rPr>
        <w:t xml:space="preserve">, dicha competencia se entendió derogada por el legislador como resultado de </w:t>
      </w:r>
      <w:r w:rsidR="002D4555" w:rsidRPr="00A06A84">
        <w:rPr>
          <w:rFonts w:ascii="Arial Narrow" w:hAnsi="Arial Narrow" w:cstheme="minorHAnsi"/>
          <w:sz w:val="24"/>
          <w:szCs w:val="24"/>
        </w:rPr>
        <w:t>la</w:t>
      </w:r>
      <w:r w:rsidR="007F56B3" w:rsidRPr="00A06A84">
        <w:rPr>
          <w:rFonts w:ascii="Arial Narrow" w:hAnsi="Arial Narrow" w:cstheme="minorHAnsi"/>
          <w:sz w:val="24"/>
          <w:szCs w:val="24"/>
        </w:rPr>
        <w:t xml:space="preserve"> </w:t>
      </w:r>
      <w:r w:rsidR="00260C46" w:rsidRPr="00A06A84">
        <w:rPr>
          <w:rFonts w:ascii="Arial Narrow" w:hAnsi="Arial Narrow" w:cstheme="minorHAnsi"/>
          <w:sz w:val="24"/>
          <w:szCs w:val="24"/>
        </w:rPr>
        <w:t xml:space="preserve">omisión legislativa </w:t>
      </w:r>
      <w:r w:rsidR="009479D6" w:rsidRPr="00A06A84">
        <w:rPr>
          <w:rFonts w:ascii="Arial Narrow" w:hAnsi="Arial Narrow" w:cstheme="minorHAnsi"/>
          <w:sz w:val="24"/>
          <w:szCs w:val="24"/>
        </w:rPr>
        <w:t>en materia</w:t>
      </w:r>
      <w:r w:rsidR="007F56B3" w:rsidRPr="00A06A84">
        <w:rPr>
          <w:rFonts w:ascii="Arial Narrow" w:hAnsi="Arial Narrow" w:cstheme="minorHAnsi"/>
          <w:sz w:val="24"/>
          <w:szCs w:val="24"/>
        </w:rPr>
        <w:t xml:space="preserve"> de</w:t>
      </w:r>
      <w:r w:rsidR="00260C46" w:rsidRPr="00A06A84">
        <w:rPr>
          <w:rFonts w:ascii="Arial Narrow" w:hAnsi="Arial Narrow" w:cstheme="minorHAnsi"/>
          <w:sz w:val="24"/>
          <w:szCs w:val="24"/>
        </w:rPr>
        <w:t xml:space="preserve"> competencia judicial en los asuntos relativos a la</w:t>
      </w:r>
      <w:r w:rsidR="009479D6" w:rsidRPr="00A06A84">
        <w:rPr>
          <w:rFonts w:ascii="Arial Narrow" w:hAnsi="Arial Narrow" w:cstheme="minorHAnsi"/>
          <w:sz w:val="24"/>
          <w:szCs w:val="24"/>
        </w:rPr>
        <w:t xml:space="preserve"> nulidad </w:t>
      </w:r>
      <w:r w:rsidR="00260C46" w:rsidRPr="00A06A84">
        <w:rPr>
          <w:rFonts w:ascii="Arial Narrow" w:hAnsi="Arial Narrow" w:cstheme="minorHAnsi"/>
          <w:sz w:val="24"/>
          <w:szCs w:val="24"/>
        </w:rPr>
        <w:t xml:space="preserve">en </w:t>
      </w:r>
      <w:r w:rsidR="009479D6" w:rsidRPr="00A06A84">
        <w:rPr>
          <w:rFonts w:ascii="Arial Narrow" w:hAnsi="Arial Narrow" w:cstheme="minorHAnsi"/>
          <w:sz w:val="24"/>
          <w:szCs w:val="24"/>
        </w:rPr>
        <w:t>contra los actos de elecci</w:t>
      </w:r>
      <w:r w:rsidR="00515F85" w:rsidRPr="00A06A84">
        <w:rPr>
          <w:rFonts w:ascii="Arial Narrow" w:hAnsi="Arial Narrow" w:cstheme="minorHAnsi"/>
          <w:sz w:val="24"/>
          <w:szCs w:val="24"/>
        </w:rPr>
        <w:t>ón de los gobernadores</w:t>
      </w:r>
      <w:r w:rsidR="00834F62" w:rsidRPr="00A06A84">
        <w:rPr>
          <w:rFonts w:ascii="Arial Narrow" w:hAnsi="Arial Narrow" w:cstheme="minorHAnsi"/>
          <w:sz w:val="24"/>
          <w:szCs w:val="24"/>
        </w:rPr>
        <w:t>.</w:t>
      </w:r>
    </w:p>
    <w:p w:rsidR="007F56B3" w:rsidRPr="00A06A84" w:rsidRDefault="007F56B3" w:rsidP="00A93016">
      <w:pPr>
        <w:jc w:val="both"/>
        <w:rPr>
          <w:rFonts w:ascii="Arial Narrow" w:hAnsi="Arial Narrow" w:cstheme="minorHAnsi"/>
          <w:sz w:val="24"/>
          <w:szCs w:val="24"/>
        </w:rPr>
      </w:pPr>
      <w:r w:rsidRPr="00A06A84">
        <w:rPr>
          <w:rFonts w:ascii="Arial Narrow" w:hAnsi="Arial Narrow" w:cstheme="minorHAnsi"/>
          <w:sz w:val="24"/>
          <w:szCs w:val="24"/>
        </w:rPr>
        <w:t xml:space="preserve">El artículo 132 del Decreto 01 de 184, modificado por el Decreto 2269 de 1987, señalaba que: </w:t>
      </w:r>
    </w:p>
    <w:p w:rsidR="007F56B3" w:rsidRPr="00A06A84" w:rsidRDefault="007F56B3" w:rsidP="00A93016">
      <w:pPr>
        <w:ind w:left="708"/>
        <w:jc w:val="both"/>
        <w:rPr>
          <w:rFonts w:ascii="Arial Narrow" w:hAnsi="Arial Narrow" w:cstheme="minorHAnsi"/>
          <w:i/>
          <w:sz w:val="24"/>
          <w:szCs w:val="24"/>
        </w:rPr>
      </w:pPr>
      <w:r w:rsidRPr="00A06A84">
        <w:rPr>
          <w:rFonts w:ascii="Arial Narrow" w:hAnsi="Arial Narrow" w:cstheme="minorHAnsi"/>
          <w:b/>
          <w:i/>
          <w:sz w:val="24"/>
          <w:szCs w:val="24"/>
        </w:rPr>
        <w:t xml:space="preserve">Artículo 132. </w:t>
      </w:r>
      <w:r w:rsidRPr="00A06A84">
        <w:rPr>
          <w:rFonts w:ascii="Arial Narrow" w:hAnsi="Arial Narrow" w:cstheme="minorHAnsi"/>
          <w:i/>
          <w:sz w:val="24"/>
          <w:szCs w:val="24"/>
        </w:rPr>
        <w:t>Los tribunales administrativos conocerán en primera instancia de los siguientes asuntos:</w:t>
      </w:r>
    </w:p>
    <w:p w:rsidR="007F56B3" w:rsidRPr="00A06A84" w:rsidRDefault="007F56B3" w:rsidP="00A93016">
      <w:pPr>
        <w:ind w:left="708"/>
        <w:jc w:val="both"/>
        <w:rPr>
          <w:rFonts w:ascii="Arial Narrow" w:hAnsi="Arial Narrow" w:cstheme="minorHAnsi"/>
          <w:i/>
          <w:sz w:val="24"/>
          <w:szCs w:val="24"/>
        </w:rPr>
      </w:pPr>
      <w:r w:rsidRPr="00A06A84">
        <w:rPr>
          <w:rFonts w:ascii="Arial Narrow" w:hAnsi="Arial Narrow" w:cstheme="minorHAnsi"/>
          <w:i/>
          <w:sz w:val="24"/>
          <w:szCs w:val="24"/>
        </w:rPr>
        <w:t>(…)</w:t>
      </w:r>
    </w:p>
    <w:p w:rsidR="007F56B3" w:rsidRPr="00A06A84" w:rsidRDefault="007F56B3" w:rsidP="00A93016">
      <w:pPr>
        <w:pStyle w:val="NormalWeb"/>
        <w:shd w:val="clear" w:color="auto" w:fill="FFFFFF"/>
        <w:spacing w:line="276" w:lineRule="auto"/>
        <w:ind w:left="708"/>
        <w:jc w:val="both"/>
        <w:rPr>
          <w:rFonts w:ascii="Arial Narrow" w:eastAsiaTheme="minorHAnsi" w:hAnsi="Arial Narrow" w:cstheme="minorHAnsi"/>
          <w:i/>
          <w:lang w:eastAsia="en-US"/>
        </w:rPr>
      </w:pPr>
      <w:r w:rsidRPr="00A06A84">
        <w:rPr>
          <w:rFonts w:ascii="Arial Narrow" w:eastAsiaTheme="minorHAnsi" w:hAnsi="Arial Narrow" w:cstheme="minorHAnsi"/>
          <w:b/>
          <w:i/>
          <w:lang w:eastAsia="en-US"/>
        </w:rPr>
        <w:t>8.</w:t>
      </w:r>
      <w:r w:rsidRPr="00A06A84">
        <w:rPr>
          <w:rFonts w:ascii="Arial Narrow" w:eastAsiaTheme="minorHAnsi" w:hAnsi="Arial Narrow" w:cstheme="minorHAnsi"/>
          <w:i/>
          <w:lang w:eastAsia="en-US"/>
        </w:rPr>
        <w:t> </w:t>
      </w:r>
      <w:r w:rsidRPr="00A06A84">
        <w:rPr>
          <w:rFonts w:ascii="Arial Narrow" w:eastAsiaTheme="minorHAnsi" w:hAnsi="Arial Narrow" w:cstheme="minorHAnsi"/>
          <w:i/>
          <w:u w:val="single"/>
          <w:lang w:eastAsia="en-US"/>
        </w:rPr>
        <w:t>De los relativos a la acción de nulidad electoral de los gobernadores</w:t>
      </w:r>
      <w:r w:rsidRPr="00A06A84">
        <w:rPr>
          <w:rFonts w:ascii="Arial Narrow" w:eastAsiaTheme="minorHAnsi" w:hAnsi="Arial Narrow" w:cstheme="minorHAnsi"/>
          <w:i/>
          <w:lang w:eastAsia="en-US"/>
        </w:rPr>
        <w:t xml:space="preserve">, de los diputados a las asambleas departamentales, de cualquier otra elección celebrada dentro del respectivo departamento, de los alcaldes y miembros de los concejos de los municipios capital de departamento, o poblaciones de más de setenta mil (70000) habitantes de acuerdo con la certificación que expida el Departamento Administrativo Nacional de Estadística, DANE, del </w:t>
      </w:r>
      <w:r w:rsidRPr="00A06A84">
        <w:rPr>
          <w:rFonts w:ascii="Arial Narrow" w:eastAsiaTheme="minorHAnsi" w:hAnsi="Arial Narrow" w:cstheme="minorHAnsi"/>
          <w:i/>
          <w:lang w:eastAsia="en-US"/>
        </w:rPr>
        <w:lastRenderedPageBreak/>
        <w:t>Alcalde Mayor, concejales y ediles de Santafé de Bogotá. Cuando se trate de elecciones nacionales, la competencia será del tribunal correspondiente al lugar donde se haga la declaratoria de elección.</w:t>
      </w:r>
    </w:p>
    <w:p w:rsidR="007F56B3" w:rsidRPr="00A06A84" w:rsidRDefault="003B3BA3" w:rsidP="00A93016">
      <w:pPr>
        <w:pStyle w:val="NormalWeb"/>
        <w:shd w:val="clear" w:color="auto" w:fill="FFFFFF"/>
        <w:spacing w:line="276" w:lineRule="auto"/>
        <w:ind w:left="708"/>
        <w:jc w:val="both"/>
        <w:rPr>
          <w:rFonts w:ascii="Arial Narrow" w:eastAsiaTheme="minorHAnsi" w:hAnsi="Arial Narrow" w:cstheme="minorHAnsi"/>
          <w:i/>
          <w:lang w:eastAsia="en-US"/>
        </w:rPr>
      </w:pPr>
      <w:r w:rsidRPr="00A06A84">
        <w:rPr>
          <w:rFonts w:ascii="Arial Narrow" w:eastAsiaTheme="minorHAnsi" w:hAnsi="Arial Narrow" w:cstheme="minorHAnsi"/>
          <w:i/>
          <w:lang w:eastAsia="en-US"/>
        </w:rPr>
        <w:t>Igualmente,</w:t>
      </w:r>
      <w:r w:rsidR="007F56B3" w:rsidRPr="00A06A84">
        <w:rPr>
          <w:rFonts w:ascii="Arial Narrow" w:eastAsiaTheme="minorHAnsi" w:hAnsi="Arial Narrow" w:cstheme="minorHAnsi"/>
          <w:i/>
          <w:lang w:eastAsia="en-US"/>
        </w:rPr>
        <w:t xml:space="preserve"> de los relativos a la acción de nulidad electoral que se promuevan con motivo de las elecciones o nombramientos hechos por estas corporaciones o funcionarios de que trata el inciso anterior o por cualquier organismo o servidor de los departamentos, de los citados municipios o del distrito capital.</w:t>
      </w:r>
    </w:p>
    <w:p w:rsidR="007F56B3" w:rsidRPr="00A06A84" w:rsidRDefault="007F56B3" w:rsidP="00A93016">
      <w:pPr>
        <w:pStyle w:val="NormalWeb"/>
        <w:shd w:val="clear" w:color="auto" w:fill="FFFFFF"/>
        <w:spacing w:line="276" w:lineRule="auto"/>
        <w:jc w:val="both"/>
        <w:rPr>
          <w:rFonts w:ascii="Arial Narrow" w:eastAsiaTheme="minorHAnsi" w:hAnsi="Arial Narrow" w:cstheme="minorHAnsi"/>
          <w:lang w:eastAsia="en-US"/>
        </w:rPr>
      </w:pPr>
      <w:r w:rsidRPr="00A06A84">
        <w:rPr>
          <w:rFonts w:ascii="Arial Narrow" w:eastAsiaTheme="minorHAnsi" w:hAnsi="Arial Narrow" w:cstheme="minorHAnsi"/>
          <w:lang w:eastAsia="en-US"/>
        </w:rPr>
        <w:t>(Subrayado por fuera del texto original)</w:t>
      </w:r>
    </w:p>
    <w:p w:rsidR="00834F62" w:rsidRPr="00A06A84" w:rsidRDefault="007F56B3" w:rsidP="00A93016">
      <w:pPr>
        <w:jc w:val="both"/>
        <w:rPr>
          <w:rFonts w:ascii="Arial Narrow" w:hAnsi="Arial Narrow" w:cstheme="minorHAnsi"/>
          <w:sz w:val="24"/>
          <w:szCs w:val="24"/>
        </w:rPr>
      </w:pPr>
      <w:r w:rsidRPr="00A06A84">
        <w:rPr>
          <w:rFonts w:ascii="Arial Narrow" w:hAnsi="Arial Narrow" w:cstheme="minorHAnsi"/>
          <w:sz w:val="24"/>
          <w:szCs w:val="24"/>
        </w:rPr>
        <w:t>Por el contrario, e</w:t>
      </w:r>
      <w:r w:rsidR="00834F62" w:rsidRPr="00A06A84">
        <w:rPr>
          <w:rFonts w:ascii="Arial Narrow" w:hAnsi="Arial Narrow" w:cstheme="minorHAnsi"/>
          <w:sz w:val="24"/>
          <w:szCs w:val="24"/>
        </w:rPr>
        <w:t xml:space="preserve">l artículo 152 numeral 8 de la Ley 1437 de 2011 </w:t>
      </w:r>
      <w:r w:rsidRPr="00A06A84">
        <w:rPr>
          <w:rFonts w:ascii="Arial Narrow" w:hAnsi="Arial Narrow" w:cstheme="minorHAnsi"/>
          <w:sz w:val="24"/>
          <w:szCs w:val="24"/>
        </w:rPr>
        <w:t xml:space="preserve">actualmente </w:t>
      </w:r>
      <w:r w:rsidR="00834F62" w:rsidRPr="00A06A84">
        <w:rPr>
          <w:rFonts w:ascii="Arial Narrow" w:hAnsi="Arial Narrow" w:cstheme="minorHAnsi"/>
          <w:sz w:val="24"/>
          <w:szCs w:val="24"/>
        </w:rPr>
        <w:t>señala que:</w:t>
      </w:r>
    </w:p>
    <w:p w:rsidR="00834F62" w:rsidRPr="00A06A84" w:rsidRDefault="00F536F6" w:rsidP="00A93016">
      <w:pPr>
        <w:ind w:left="708"/>
        <w:jc w:val="both"/>
        <w:rPr>
          <w:rFonts w:ascii="Arial Narrow" w:hAnsi="Arial Narrow" w:cstheme="minorHAnsi"/>
          <w:i/>
          <w:sz w:val="24"/>
          <w:szCs w:val="24"/>
        </w:rPr>
      </w:pPr>
      <w:r w:rsidRPr="00A06A84">
        <w:rPr>
          <w:rFonts w:ascii="Arial Narrow" w:hAnsi="Arial Narrow" w:cstheme="minorHAnsi"/>
          <w:b/>
          <w:i/>
          <w:sz w:val="24"/>
          <w:szCs w:val="24"/>
        </w:rPr>
        <w:t>“</w:t>
      </w:r>
      <w:r w:rsidR="00834F62" w:rsidRPr="00A06A84">
        <w:rPr>
          <w:rFonts w:ascii="Arial Narrow" w:hAnsi="Arial Narrow" w:cstheme="minorHAnsi"/>
          <w:b/>
          <w:i/>
          <w:sz w:val="24"/>
          <w:szCs w:val="24"/>
        </w:rPr>
        <w:t xml:space="preserve">Artículo 152. Competencia de los tribunales administrativos en primera instancia. </w:t>
      </w:r>
      <w:r w:rsidR="00834F62" w:rsidRPr="00A06A84">
        <w:rPr>
          <w:rFonts w:ascii="Arial Narrow" w:hAnsi="Arial Narrow" w:cstheme="minorHAnsi"/>
          <w:i/>
          <w:sz w:val="24"/>
          <w:szCs w:val="24"/>
        </w:rPr>
        <w:t>Los Tribunales Administrativos conocerán en primera inst</w:t>
      </w:r>
      <w:r w:rsidR="00F44699" w:rsidRPr="00A06A84">
        <w:rPr>
          <w:rFonts w:ascii="Arial Narrow" w:hAnsi="Arial Narrow" w:cstheme="minorHAnsi"/>
          <w:i/>
          <w:sz w:val="24"/>
          <w:szCs w:val="24"/>
        </w:rPr>
        <w:t>ancia de los siguientes asuntos:</w:t>
      </w:r>
    </w:p>
    <w:p w:rsidR="00F536F6" w:rsidRPr="00A06A84" w:rsidRDefault="00F536F6" w:rsidP="00A93016">
      <w:pPr>
        <w:ind w:left="708"/>
        <w:jc w:val="both"/>
        <w:rPr>
          <w:rFonts w:ascii="Arial Narrow" w:hAnsi="Arial Narrow" w:cstheme="minorHAnsi"/>
          <w:i/>
          <w:sz w:val="24"/>
          <w:szCs w:val="24"/>
        </w:rPr>
      </w:pPr>
      <w:r w:rsidRPr="00A06A84">
        <w:rPr>
          <w:rFonts w:ascii="Arial Narrow" w:hAnsi="Arial Narrow" w:cstheme="minorHAnsi"/>
          <w:i/>
          <w:sz w:val="24"/>
          <w:szCs w:val="24"/>
        </w:rPr>
        <w:t>(…)</w:t>
      </w:r>
    </w:p>
    <w:p w:rsidR="00834F62" w:rsidRPr="00A06A84" w:rsidRDefault="00834F62" w:rsidP="00A93016">
      <w:pPr>
        <w:pStyle w:val="NormalWeb"/>
        <w:spacing w:line="276" w:lineRule="auto"/>
        <w:ind w:left="708"/>
        <w:jc w:val="both"/>
        <w:rPr>
          <w:rFonts w:ascii="Arial Narrow" w:eastAsiaTheme="minorHAnsi" w:hAnsi="Arial Narrow" w:cstheme="minorHAnsi"/>
          <w:i/>
          <w:lang w:eastAsia="en-US"/>
        </w:rPr>
      </w:pPr>
      <w:r w:rsidRPr="00A06A84">
        <w:rPr>
          <w:rFonts w:ascii="Arial Narrow" w:eastAsiaTheme="minorHAnsi" w:hAnsi="Arial Narrow" w:cstheme="minorHAnsi"/>
          <w:b/>
          <w:i/>
          <w:lang w:eastAsia="en-US"/>
        </w:rPr>
        <w:t>8.</w:t>
      </w:r>
      <w:r w:rsidRPr="00A06A84">
        <w:rPr>
          <w:rFonts w:ascii="Arial Narrow" w:eastAsiaTheme="minorHAnsi" w:hAnsi="Arial Narrow" w:cstheme="minorHAnsi"/>
          <w:i/>
          <w:lang w:eastAsia="en-US"/>
        </w:rPr>
        <w:t xml:space="preserve"> De la nulidad del acto de elección de contralor departamental,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r w:rsidR="00F536F6" w:rsidRPr="00A06A84">
        <w:rPr>
          <w:rFonts w:ascii="Arial Narrow" w:eastAsiaTheme="minorHAnsi" w:hAnsi="Arial Narrow" w:cstheme="minorHAnsi"/>
          <w:i/>
          <w:lang w:eastAsia="en-US"/>
        </w:rPr>
        <w:t>”</w:t>
      </w:r>
    </w:p>
    <w:p w:rsidR="00AC3790" w:rsidRPr="00A06A84" w:rsidRDefault="00F44699" w:rsidP="00A93016">
      <w:pPr>
        <w:jc w:val="both"/>
        <w:rPr>
          <w:rFonts w:ascii="Arial Narrow" w:hAnsi="Arial Narrow" w:cstheme="minorHAnsi"/>
          <w:sz w:val="24"/>
          <w:szCs w:val="24"/>
        </w:rPr>
      </w:pPr>
      <w:r w:rsidRPr="00A06A84">
        <w:rPr>
          <w:rFonts w:ascii="Arial Narrow" w:hAnsi="Arial Narrow" w:cstheme="minorHAnsi"/>
          <w:sz w:val="24"/>
          <w:szCs w:val="24"/>
        </w:rPr>
        <w:t>De tal forma que la ausencia</w:t>
      </w:r>
      <w:r w:rsidR="00AC3790" w:rsidRPr="00A06A84">
        <w:rPr>
          <w:rFonts w:ascii="Arial Narrow" w:hAnsi="Arial Narrow" w:cstheme="minorHAnsi"/>
          <w:sz w:val="24"/>
          <w:szCs w:val="24"/>
        </w:rPr>
        <w:t xml:space="preserve"> de una norma especial </w:t>
      </w:r>
      <w:r w:rsidRPr="00A06A84">
        <w:rPr>
          <w:rFonts w:ascii="Arial Narrow" w:hAnsi="Arial Narrow" w:cstheme="minorHAnsi"/>
          <w:sz w:val="24"/>
          <w:szCs w:val="24"/>
        </w:rPr>
        <w:t>en materia de</w:t>
      </w:r>
      <w:r w:rsidR="00AC3790" w:rsidRPr="00A06A84">
        <w:rPr>
          <w:rFonts w:ascii="Arial Narrow" w:hAnsi="Arial Narrow" w:cstheme="minorHAnsi"/>
          <w:sz w:val="24"/>
          <w:szCs w:val="24"/>
        </w:rPr>
        <w:t xml:space="preserve"> competencia de la jurisdicción contencioso administrativa en los asuntos de nulidad electoral de </w:t>
      </w:r>
      <w:r w:rsidRPr="00A06A84">
        <w:rPr>
          <w:rFonts w:ascii="Arial Narrow" w:hAnsi="Arial Narrow" w:cstheme="minorHAnsi"/>
          <w:sz w:val="24"/>
          <w:szCs w:val="24"/>
        </w:rPr>
        <w:t xml:space="preserve">los </w:t>
      </w:r>
      <w:r w:rsidR="00AC3790" w:rsidRPr="00A06A84">
        <w:rPr>
          <w:rFonts w:ascii="Arial Narrow" w:hAnsi="Arial Narrow" w:cstheme="minorHAnsi"/>
          <w:sz w:val="24"/>
          <w:szCs w:val="24"/>
        </w:rPr>
        <w:t xml:space="preserve">gobernadores ha llevado a que el Consejo de Estado </w:t>
      </w:r>
      <w:r w:rsidR="00F77E27" w:rsidRPr="00A06A84">
        <w:rPr>
          <w:rFonts w:ascii="Arial Narrow" w:hAnsi="Arial Narrow" w:cstheme="minorHAnsi"/>
          <w:sz w:val="24"/>
          <w:szCs w:val="24"/>
        </w:rPr>
        <w:t>conozca de estos asuntos</w:t>
      </w:r>
      <w:r w:rsidR="00AC3790" w:rsidRPr="00A06A84">
        <w:rPr>
          <w:rFonts w:ascii="Arial Narrow" w:hAnsi="Arial Narrow" w:cstheme="minorHAnsi"/>
          <w:sz w:val="24"/>
          <w:szCs w:val="24"/>
        </w:rPr>
        <w:t xml:space="preserve"> por vía de la competencia residual contemplada en el artículo 14 de la Ley 1437 de </w:t>
      </w:r>
      <w:r w:rsidR="003B3BA3" w:rsidRPr="00A06A84">
        <w:rPr>
          <w:rFonts w:ascii="Arial Narrow" w:hAnsi="Arial Narrow" w:cstheme="minorHAnsi"/>
          <w:sz w:val="24"/>
          <w:szCs w:val="24"/>
        </w:rPr>
        <w:t>2011, el</w:t>
      </w:r>
      <w:r w:rsidRPr="00A06A84">
        <w:rPr>
          <w:rFonts w:ascii="Arial Narrow" w:hAnsi="Arial Narrow" w:cstheme="minorHAnsi"/>
          <w:sz w:val="24"/>
          <w:szCs w:val="24"/>
        </w:rPr>
        <w:t xml:space="preserve"> cual señala</w:t>
      </w:r>
      <w:r w:rsidR="00AC3790" w:rsidRPr="00A06A84">
        <w:rPr>
          <w:rFonts w:ascii="Arial Narrow" w:hAnsi="Arial Narrow" w:cstheme="minorHAnsi"/>
          <w:sz w:val="24"/>
          <w:szCs w:val="24"/>
        </w:rPr>
        <w:t>:</w:t>
      </w:r>
    </w:p>
    <w:p w:rsidR="00AC3790" w:rsidRPr="00A06A84" w:rsidRDefault="00AC3790" w:rsidP="00A93016">
      <w:pPr>
        <w:ind w:left="708"/>
        <w:jc w:val="both"/>
        <w:rPr>
          <w:rFonts w:ascii="Arial Narrow" w:hAnsi="Arial Narrow" w:cstheme="minorHAnsi"/>
          <w:i/>
          <w:sz w:val="24"/>
          <w:szCs w:val="24"/>
        </w:rPr>
      </w:pPr>
      <w:r w:rsidRPr="00A06A84">
        <w:rPr>
          <w:rFonts w:ascii="Arial Narrow" w:hAnsi="Arial Narrow" w:cstheme="minorHAnsi"/>
          <w:b/>
          <w:i/>
          <w:sz w:val="24"/>
          <w:szCs w:val="24"/>
        </w:rPr>
        <w:t>“Artículo 149.</w:t>
      </w:r>
      <w:r w:rsidRPr="00A06A84">
        <w:rPr>
          <w:rFonts w:ascii="Arial Narrow" w:hAnsi="Arial Narrow" w:cstheme="minorHAnsi"/>
          <w:i/>
          <w:sz w:val="24"/>
          <w:szCs w:val="24"/>
        </w:rPr>
        <w:t xml:space="preserve"> Competencia del Consejo de Estado en única instancia:</w:t>
      </w:r>
    </w:p>
    <w:p w:rsidR="00AC3790" w:rsidRPr="00A06A84" w:rsidRDefault="00AC3790" w:rsidP="00A93016">
      <w:pPr>
        <w:spacing w:before="100" w:beforeAutospacing="1" w:after="100" w:afterAutospacing="1"/>
        <w:ind w:left="708"/>
        <w:jc w:val="both"/>
        <w:rPr>
          <w:rFonts w:ascii="Arial Narrow" w:hAnsi="Arial Narrow" w:cstheme="minorHAnsi"/>
          <w:i/>
          <w:sz w:val="24"/>
          <w:szCs w:val="24"/>
        </w:rPr>
      </w:pPr>
      <w:r w:rsidRPr="00A06A84">
        <w:rPr>
          <w:rFonts w:ascii="Arial Narrow" w:hAnsi="Arial Narrow" w:cstheme="minorHAnsi"/>
          <w:i/>
          <w:sz w:val="24"/>
          <w:szCs w:val="24"/>
        </w:rPr>
        <w:t>El Consejo de Estado, en Sala Plena de lo Contencioso Administrativo, por intermedio de sus Secciones, Subsecciones o Salas especiales, con arreglo a la distribución de trabajo que la Sala disponga, conocerá en única instancia de los siguientes asuntos:</w:t>
      </w:r>
    </w:p>
    <w:p w:rsidR="00AC3790" w:rsidRPr="00A06A84" w:rsidRDefault="00AC3790" w:rsidP="00A93016">
      <w:pPr>
        <w:spacing w:before="100" w:beforeAutospacing="1" w:after="100" w:afterAutospacing="1"/>
        <w:ind w:left="708"/>
        <w:jc w:val="both"/>
        <w:rPr>
          <w:rFonts w:ascii="Arial Narrow" w:hAnsi="Arial Narrow" w:cstheme="minorHAnsi"/>
          <w:i/>
          <w:sz w:val="24"/>
          <w:szCs w:val="24"/>
        </w:rPr>
      </w:pPr>
      <w:r w:rsidRPr="00A06A84">
        <w:rPr>
          <w:rFonts w:ascii="Arial Narrow" w:hAnsi="Arial Narrow" w:cstheme="minorHAnsi"/>
          <w:i/>
          <w:sz w:val="24"/>
          <w:szCs w:val="24"/>
        </w:rPr>
        <w:t>(…)</w:t>
      </w:r>
    </w:p>
    <w:p w:rsidR="00834F62" w:rsidRPr="00A06A84" w:rsidRDefault="00AC3790" w:rsidP="00A93016">
      <w:pPr>
        <w:ind w:left="708"/>
        <w:jc w:val="both"/>
        <w:rPr>
          <w:rFonts w:ascii="Arial Narrow" w:hAnsi="Arial Narrow" w:cstheme="minorHAnsi"/>
          <w:i/>
          <w:sz w:val="24"/>
          <w:szCs w:val="24"/>
        </w:rPr>
      </w:pPr>
      <w:r w:rsidRPr="00A06A84">
        <w:rPr>
          <w:rFonts w:ascii="Arial Narrow" w:hAnsi="Arial Narrow" w:cstheme="minorHAnsi"/>
          <w:b/>
          <w:i/>
          <w:sz w:val="24"/>
          <w:szCs w:val="24"/>
        </w:rPr>
        <w:lastRenderedPageBreak/>
        <w:t>14.</w:t>
      </w:r>
      <w:r w:rsidRPr="00A06A84">
        <w:rPr>
          <w:rFonts w:ascii="Arial Narrow" w:hAnsi="Arial Narrow" w:cstheme="minorHAnsi"/>
          <w:i/>
          <w:sz w:val="24"/>
          <w:szCs w:val="24"/>
        </w:rPr>
        <w:t xml:space="preserve"> De todos los demás de carácter Contencioso Administrativo para los cuales no exista regla especial de competencia.”</w:t>
      </w:r>
    </w:p>
    <w:p w:rsidR="00A92A45" w:rsidRPr="00A06A84" w:rsidRDefault="00176A47" w:rsidP="00A93016">
      <w:pPr>
        <w:jc w:val="both"/>
        <w:rPr>
          <w:rFonts w:ascii="Arial Narrow" w:hAnsi="Arial Narrow" w:cstheme="minorHAnsi"/>
          <w:sz w:val="24"/>
          <w:szCs w:val="24"/>
        </w:rPr>
      </w:pPr>
      <w:r w:rsidRPr="00A06A84">
        <w:rPr>
          <w:rFonts w:ascii="Arial Narrow" w:hAnsi="Arial Narrow" w:cstheme="minorHAnsi"/>
          <w:sz w:val="24"/>
          <w:szCs w:val="24"/>
        </w:rPr>
        <w:t>Es decir, a diferencia de la normativa anterior, en la actualidad los gobernadores que se encuentren incursos en demandas de nulidad electoral sólo tendrán derecho a una única instancia ante el Consejo de Estado y no en primera instancia ante el Tribunal Admin</w:t>
      </w:r>
      <w:r w:rsidR="003B3BA3">
        <w:rPr>
          <w:rFonts w:ascii="Arial Narrow" w:hAnsi="Arial Narrow" w:cstheme="minorHAnsi"/>
          <w:sz w:val="24"/>
          <w:szCs w:val="24"/>
        </w:rPr>
        <w:t>istrativo y en segunda</w:t>
      </w:r>
      <w:r w:rsidRPr="00A06A84">
        <w:rPr>
          <w:rFonts w:ascii="Arial Narrow" w:hAnsi="Arial Narrow" w:cstheme="minorHAnsi"/>
          <w:sz w:val="24"/>
          <w:szCs w:val="24"/>
        </w:rPr>
        <w:t xml:space="preserve"> ante el Consejo de Estado como lo establecía el Código Contencioso administrativo.</w:t>
      </w:r>
    </w:p>
    <w:p w:rsidR="00F72239" w:rsidRPr="00A06A84" w:rsidRDefault="00F77E27" w:rsidP="00A93016">
      <w:pPr>
        <w:jc w:val="both"/>
        <w:rPr>
          <w:rFonts w:ascii="Arial Narrow" w:hAnsi="Arial Narrow" w:cstheme="minorHAnsi"/>
          <w:b/>
          <w:sz w:val="24"/>
          <w:szCs w:val="24"/>
        </w:rPr>
      </w:pPr>
      <w:r w:rsidRPr="00A06A84">
        <w:rPr>
          <w:rFonts w:ascii="Arial Narrow" w:hAnsi="Arial Narrow" w:cstheme="minorHAnsi"/>
          <w:b/>
          <w:sz w:val="24"/>
          <w:szCs w:val="24"/>
        </w:rPr>
        <w:t>Objeto del proyecto de ley</w:t>
      </w:r>
    </w:p>
    <w:p w:rsidR="005F75EC" w:rsidRPr="00A06A84" w:rsidRDefault="00F77E27" w:rsidP="00A93016">
      <w:pPr>
        <w:jc w:val="both"/>
        <w:rPr>
          <w:rFonts w:ascii="Arial Narrow" w:hAnsi="Arial Narrow" w:cstheme="minorHAnsi"/>
          <w:sz w:val="24"/>
          <w:szCs w:val="24"/>
        </w:rPr>
      </w:pPr>
      <w:r w:rsidRPr="00A06A84">
        <w:rPr>
          <w:rFonts w:ascii="Arial Narrow" w:hAnsi="Arial Narrow" w:cstheme="minorHAnsi"/>
          <w:sz w:val="24"/>
          <w:szCs w:val="24"/>
        </w:rPr>
        <w:t xml:space="preserve">El objeto del presente proyecto de ley es establecer que los Tribunales Administrativos </w:t>
      </w:r>
      <w:r w:rsidR="00C12D95" w:rsidRPr="00A06A84">
        <w:rPr>
          <w:rFonts w:ascii="Arial Narrow" w:hAnsi="Arial Narrow" w:cstheme="minorHAnsi"/>
          <w:sz w:val="24"/>
          <w:szCs w:val="24"/>
        </w:rPr>
        <w:t>son competentes de conocer</w:t>
      </w:r>
      <w:r w:rsidRPr="00A06A84">
        <w:rPr>
          <w:rFonts w:ascii="Arial Narrow" w:hAnsi="Arial Narrow" w:cstheme="minorHAnsi"/>
          <w:sz w:val="24"/>
          <w:szCs w:val="24"/>
        </w:rPr>
        <w:t xml:space="preserve"> en primera instancia de los asuntos relativos a la nulidad</w:t>
      </w:r>
      <w:r w:rsidR="00176A47" w:rsidRPr="00A06A84">
        <w:rPr>
          <w:rFonts w:ascii="Arial Narrow" w:hAnsi="Arial Narrow" w:cstheme="minorHAnsi"/>
          <w:sz w:val="24"/>
          <w:szCs w:val="24"/>
        </w:rPr>
        <w:t xml:space="preserve"> de la elección de gobernadores</w:t>
      </w:r>
      <w:r w:rsidR="00266F1B" w:rsidRPr="00A06A84">
        <w:rPr>
          <w:rFonts w:ascii="Arial Narrow" w:hAnsi="Arial Narrow" w:cstheme="minorHAnsi"/>
          <w:sz w:val="24"/>
          <w:szCs w:val="24"/>
        </w:rPr>
        <w:t>,</w:t>
      </w:r>
      <w:r w:rsidR="00176A47" w:rsidRPr="00A06A84">
        <w:rPr>
          <w:rFonts w:ascii="Arial Narrow" w:hAnsi="Arial Narrow" w:cstheme="minorHAnsi"/>
          <w:sz w:val="24"/>
          <w:szCs w:val="24"/>
        </w:rPr>
        <w:t xml:space="preserve"> y d</w:t>
      </w:r>
      <w:r w:rsidRPr="00A06A84">
        <w:rPr>
          <w:rFonts w:ascii="Arial Narrow" w:hAnsi="Arial Narrow" w:cstheme="minorHAnsi"/>
          <w:sz w:val="24"/>
          <w:szCs w:val="24"/>
        </w:rPr>
        <w:t xml:space="preserve">e esta manera, </w:t>
      </w:r>
      <w:r w:rsidR="00176A47" w:rsidRPr="00A06A84">
        <w:rPr>
          <w:rFonts w:ascii="Arial Narrow" w:hAnsi="Arial Narrow" w:cstheme="minorHAnsi"/>
          <w:sz w:val="24"/>
          <w:szCs w:val="24"/>
        </w:rPr>
        <w:t>corregir</w:t>
      </w:r>
      <w:r w:rsidRPr="00A06A84">
        <w:rPr>
          <w:rFonts w:ascii="Arial Narrow" w:hAnsi="Arial Narrow" w:cstheme="minorHAnsi"/>
          <w:sz w:val="24"/>
          <w:szCs w:val="24"/>
        </w:rPr>
        <w:t xml:space="preserve"> la</w:t>
      </w:r>
      <w:r w:rsidR="00266F1B" w:rsidRPr="00A06A84">
        <w:rPr>
          <w:rFonts w:ascii="Arial Narrow" w:hAnsi="Arial Narrow" w:cstheme="minorHAnsi"/>
          <w:sz w:val="24"/>
          <w:szCs w:val="24"/>
        </w:rPr>
        <w:t xml:space="preserve"> omisión legislativa cometida con</w:t>
      </w:r>
      <w:r w:rsidRPr="00A06A84">
        <w:rPr>
          <w:rFonts w:ascii="Arial Narrow" w:hAnsi="Arial Narrow" w:cstheme="minorHAnsi"/>
          <w:sz w:val="24"/>
          <w:szCs w:val="24"/>
        </w:rPr>
        <w:t xml:space="preserve"> la </w:t>
      </w:r>
      <w:r w:rsidR="00176A47" w:rsidRPr="00A06A84">
        <w:rPr>
          <w:rFonts w:ascii="Arial Narrow" w:hAnsi="Arial Narrow" w:cstheme="minorHAnsi"/>
          <w:sz w:val="24"/>
          <w:szCs w:val="24"/>
        </w:rPr>
        <w:t>ex</w:t>
      </w:r>
      <w:r w:rsidR="00266F1B" w:rsidRPr="00A06A84">
        <w:rPr>
          <w:rFonts w:ascii="Arial Narrow" w:hAnsi="Arial Narrow" w:cstheme="minorHAnsi"/>
          <w:sz w:val="24"/>
          <w:szCs w:val="24"/>
        </w:rPr>
        <w:t>pedición de la Ley 1437 de 2011 y así</w:t>
      </w:r>
      <w:r w:rsidRPr="00A06A84">
        <w:rPr>
          <w:rFonts w:ascii="Arial Narrow" w:hAnsi="Arial Narrow" w:cstheme="minorHAnsi"/>
          <w:sz w:val="24"/>
          <w:szCs w:val="24"/>
        </w:rPr>
        <w:t xml:space="preserve"> </w:t>
      </w:r>
      <w:r w:rsidR="00176A47" w:rsidRPr="00A06A84">
        <w:rPr>
          <w:rFonts w:ascii="Arial Narrow" w:hAnsi="Arial Narrow" w:cstheme="minorHAnsi"/>
          <w:sz w:val="24"/>
          <w:szCs w:val="24"/>
        </w:rPr>
        <w:t>garantizar</w:t>
      </w:r>
      <w:r w:rsidRPr="00A06A84">
        <w:rPr>
          <w:rFonts w:ascii="Arial Narrow" w:hAnsi="Arial Narrow" w:cstheme="minorHAnsi"/>
          <w:sz w:val="24"/>
          <w:szCs w:val="24"/>
        </w:rPr>
        <w:t xml:space="preserve"> el derecho a la doble instancia de los gobernadores que se encuentren inmersos en procesos de nulidad electoral ante lo contencioso administrativo.</w:t>
      </w:r>
    </w:p>
    <w:p w:rsidR="005F75EC" w:rsidRPr="00A06A84" w:rsidRDefault="005F75EC" w:rsidP="00A93016">
      <w:pPr>
        <w:jc w:val="both"/>
        <w:rPr>
          <w:rFonts w:ascii="Arial Narrow" w:hAnsi="Arial Narrow" w:cstheme="minorHAnsi"/>
          <w:b/>
          <w:sz w:val="24"/>
          <w:szCs w:val="24"/>
        </w:rPr>
      </w:pPr>
      <w:r w:rsidRPr="00A06A84">
        <w:rPr>
          <w:rFonts w:ascii="Arial Narrow" w:hAnsi="Arial Narrow" w:cstheme="minorHAnsi"/>
          <w:b/>
          <w:sz w:val="24"/>
          <w:szCs w:val="24"/>
        </w:rPr>
        <w:t>Libertad de configuración del legislador en materia de procedimientos judiciales</w:t>
      </w:r>
    </w:p>
    <w:p w:rsidR="005F75EC" w:rsidRPr="00A06A84" w:rsidRDefault="005F75EC" w:rsidP="00A93016">
      <w:pPr>
        <w:jc w:val="both"/>
        <w:rPr>
          <w:rFonts w:ascii="Arial Narrow" w:hAnsi="Arial Narrow" w:cstheme="minorHAnsi"/>
          <w:sz w:val="24"/>
          <w:szCs w:val="24"/>
        </w:rPr>
      </w:pPr>
      <w:r w:rsidRPr="00A06A84">
        <w:rPr>
          <w:rFonts w:ascii="Arial Narrow" w:hAnsi="Arial Narrow" w:cstheme="minorHAnsi"/>
          <w:sz w:val="24"/>
          <w:szCs w:val="24"/>
        </w:rPr>
        <w:t>El artículo 150 de la Constitución Política de Colombia señala que corresponde al Congreso de la República expedir códigos en todos los ramos de la legislación y reformar sus disposiciones.</w:t>
      </w:r>
      <w:r w:rsidR="00D03652" w:rsidRPr="00A06A84">
        <w:rPr>
          <w:rFonts w:ascii="Arial Narrow" w:hAnsi="Arial Narrow" w:cstheme="minorHAnsi"/>
          <w:sz w:val="24"/>
          <w:szCs w:val="24"/>
        </w:rPr>
        <w:t xml:space="preserve"> Este artículo ha sido entendido como la cláusula general de competencia del Congreso de la República en materia legislativa, dentro de la cual se reviste al legislador de la facultad</w:t>
      </w:r>
      <w:r w:rsidR="0024583D" w:rsidRPr="00A06A84">
        <w:rPr>
          <w:rFonts w:ascii="Arial Narrow" w:hAnsi="Arial Narrow" w:cstheme="minorHAnsi"/>
          <w:sz w:val="24"/>
          <w:szCs w:val="24"/>
        </w:rPr>
        <w:t xml:space="preserve"> de hacer, interpretar, modificar y derogar las leyes.</w:t>
      </w:r>
    </w:p>
    <w:p w:rsidR="005F75EC" w:rsidRPr="00A06A84" w:rsidRDefault="00266F1B" w:rsidP="00A93016">
      <w:pPr>
        <w:jc w:val="both"/>
        <w:rPr>
          <w:rFonts w:ascii="Arial Narrow" w:hAnsi="Arial Narrow" w:cstheme="minorHAnsi"/>
          <w:sz w:val="24"/>
          <w:szCs w:val="24"/>
        </w:rPr>
      </w:pPr>
      <w:r w:rsidRPr="00A06A84">
        <w:rPr>
          <w:rFonts w:ascii="Arial Narrow" w:hAnsi="Arial Narrow" w:cstheme="minorHAnsi"/>
          <w:sz w:val="24"/>
          <w:szCs w:val="24"/>
        </w:rPr>
        <w:t>Sobre este asunto</w:t>
      </w:r>
      <w:r w:rsidR="005F75EC" w:rsidRPr="00A06A84">
        <w:rPr>
          <w:rFonts w:ascii="Arial Narrow" w:hAnsi="Arial Narrow" w:cstheme="minorHAnsi"/>
          <w:sz w:val="24"/>
          <w:szCs w:val="24"/>
        </w:rPr>
        <w:t xml:space="preserve"> la honorable Corte Constitucional ha interpretado </w:t>
      </w:r>
      <w:r w:rsidR="00F2545F" w:rsidRPr="00A06A84">
        <w:rPr>
          <w:rFonts w:ascii="Arial Narrow" w:hAnsi="Arial Narrow" w:cstheme="minorHAnsi"/>
          <w:sz w:val="24"/>
          <w:szCs w:val="24"/>
        </w:rPr>
        <w:t>que,</w:t>
      </w:r>
      <w:r w:rsidR="005F75EC" w:rsidRPr="00A06A84">
        <w:rPr>
          <w:rFonts w:ascii="Arial Narrow" w:hAnsi="Arial Narrow" w:cstheme="minorHAnsi"/>
          <w:sz w:val="24"/>
          <w:szCs w:val="24"/>
        </w:rPr>
        <w:t xml:space="preserve"> </w:t>
      </w:r>
      <w:r w:rsidR="0024583D" w:rsidRPr="00A06A84">
        <w:rPr>
          <w:rFonts w:ascii="Arial Narrow" w:hAnsi="Arial Narrow" w:cstheme="minorHAnsi"/>
          <w:sz w:val="24"/>
          <w:szCs w:val="24"/>
        </w:rPr>
        <w:t>dentro de las distintas potestades legislativas, el legislador es el primer facultado</w:t>
      </w:r>
      <w:r w:rsidR="005F75EC" w:rsidRPr="00A06A84">
        <w:rPr>
          <w:rFonts w:ascii="Arial Narrow" w:hAnsi="Arial Narrow" w:cstheme="minorHAnsi"/>
          <w:sz w:val="24"/>
          <w:szCs w:val="24"/>
        </w:rPr>
        <w:t xml:space="preserve"> para regular los procedimientos judiciales, </w:t>
      </w:r>
      <w:r w:rsidR="0024583D" w:rsidRPr="00A06A84">
        <w:rPr>
          <w:rFonts w:ascii="Arial Narrow" w:hAnsi="Arial Narrow" w:cstheme="minorHAnsi"/>
          <w:sz w:val="24"/>
          <w:szCs w:val="24"/>
        </w:rPr>
        <w:t>dentro de los cuales está autorizado para definir</w:t>
      </w:r>
      <w:r w:rsidR="005F75EC" w:rsidRPr="00A06A84">
        <w:rPr>
          <w:rFonts w:ascii="Arial Narrow" w:hAnsi="Arial Narrow" w:cstheme="minorHAnsi"/>
          <w:sz w:val="24"/>
          <w:szCs w:val="24"/>
        </w:rPr>
        <w:t xml:space="preserve"> los elementos propios de cada juicio, como lo </w:t>
      </w:r>
      <w:r w:rsidR="00E4767E" w:rsidRPr="00A06A84">
        <w:rPr>
          <w:rFonts w:ascii="Arial Narrow" w:hAnsi="Arial Narrow" w:cstheme="minorHAnsi"/>
          <w:sz w:val="24"/>
          <w:szCs w:val="24"/>
        </w:rPr>
        <w:t>es</w:t>
      </w:r>
      <w:r w:rsidR="0024583D" w:rsidRPr="00A06A84">
        <w:rPr>
          <w:rFonts w:ascii="Arial Narrow" w:hAnsi="Arial Narrow" w:cstheme="minorHAnsi"/>
          <w:sz w:val="24"/>
          <w:szCs w:val="24"/>
        </w:rPr>
        <w:t>, entre otros</w:t>
      </w:r>
      <w:r w:rsidRPr="00A06A84">
        <w:rPr>
          <w:rFonts w:ascii="Arial Narrow" w:hAnsi="Arial Narrow" w:cstheme="minorHAnsi"/>
          <w:sz w:val="24"/>
          <w:szCs w:val="24"/>
        </w:rPr>
        <w:t xml:space="preserve"> elementos</w:t>
      </w:r>
      <w:r w:rsidR="0024583D" w:rsidRPr="00A06A84">
        <w:rPr>
          <w:rFonts w:ascii="Arial Narrow" w:hAnsi="Arial Narrow" w:cstheme="minorHAnsi"/>
          <w:sz w:val="24"/>
          <w:szCs w:val="24"/>
        </w:rPr>
        <w:t>, la fijación de</w:t>
      </w:r>
      <w:r w:rsidR="005F75EC" w:rsidRPr="00A06A84">
        <w:rPr>
          <w:rFonts w:ascii="Arial Narrow" w:hAnsi="Arial Narrow" w:cstheme="minorHAnsi"/>
          <w:sz w:val="24"/>
          <w:szCs w:val="24"/>
        </w:rPr>
        <w:t xml:space="preserve"> la competencia de los jueces </w:t>
      </w:r>
      <w:r w:rsidR="0024583D" w:rsidRPr="00A06A84">
        <w:rPr>
          <w:rFonts w:ascii="Arial Narrow" w:hAnsi="Arial Narrow" w:cstheme="minorHAnsi"/>
          <w:sz w:val="24"/>
          <w:szCs w:val="24"/>
        </w:rPr>
        <w:t>sobre determinados asuntos</w:t>
      </w:r>
      <w:r w:rsidR="00BE2273" w:rsidRPr="00A06A84">
        <w:rPr>
          <w:rFonts w:ascii="Arial Narrow" w:hAnsi="Arial Narrow" w:cstheme="minorHAnsi"/>
          <w:sz w:val="24"/>
          <w:szCs w:val="24"/>
        </w:rPr>
        <w:t>.</w:t>
      </w:r>
      <w:r w:rsidR="0024583D" w:rsidRPr="00A06A84">
        <w:rPr>
          <w:rFonts w:ascii="Arial Narrow" w:hAnsi="Arial Narrow" w:cstheme="minorHAnsi"/>
          <w:sz w:val="24"/>
          <w:szCs w:val="24"/>
        </w:rPr>
        <w:t xml:space="preserve"> Esa facultad se ha conocido en nuestra jurisprudencia como la libertad de configuración legislativa.</w:t>
      </w:r>
      <w:r w:rsidR="00BE2273" w:rsidRPr="00A06A84">
        <w:rPr>
          <w:rFonts w:ascii="Arial Narrow" w:hAnsi="Arial Narrow" w:cstheme="minorHAnsi"/>
          <w:sz w:val="24"/>
          <w:szCs w:val="24"/>
        </w:rPr>
        <w:t xml:space="preserve"> </w:t>
      </w:r>
    </w:p>
    <w:p w:rsidR="0024583D" w:rsidRPr="00A06A84" w:rsidRDefault="0024583D" w:rsidP="00A93016">
      <w:pPr>
        <w:jc w:val="both"/>
        <w:rPr>
          <w:rFonts w:ascii="Arial Narrow" w:hAnsi="Arial Narrow" w:cstheme="minorHAnsi"/>
          <w:sz w:val="24"/>
          <w:szCs w:val="24"/>
        </w:rPr>
      </w:pPr>
      <w:r w:rsidRPr="00A06A84">
        <w:rPr>
          <w:rFonts w:ascii="Arial Narrow" w:hAnsi="Arial Narrow" w:cstheme="minorHAnsi"/>
          <w:sz w:val="24"/>
          <w:szCs w:val="24"/>
        </w:rPr>
        <w:t>En ese sentido, ha señalado la Alta Corte mediante sentencia C-738 de 2006, que dentro del ámbito de configuración legislativa en materia procesa</w:t>
      </w:r>
      <w:r w:rsidR="00E4767E" w:rsidRPr="00A06A84">
        <w:rPr>
          <w:rFonts w:ascii="Arial Narrow" w:hAnsi="Arial Narrow" w:cstheme="minorHAnsi"/>
          <w:sz w:val="24"/>
          <w:szCs w:val="24"/>
        </w:rPr>
        <w:t>l</w:t>
      </w:r>
      <w:r w:rsidRPr="00A06A84">
        <w:rPr>
          <w:rFonts w:ascii="Arial Narrow" w:hAnsi="Arial Narrow" w:cstheme="minorHAnsi"/>
          <w:sz w:val="24"/>
          <w:szCs w:val="24"/>
        </w:rPr>
        <w:t xml:space="preserve">, el legislador tiene la potestad de: a) Fijar las etapas de los diferentes procesos y establecer los términos y formalidades que deben cumplir, </w:t>
      </w:r>
      <w:r w:rsidRPr="00A06A84">
        <w:rPr>
          <w:rFonts w:ascii="Arial Narrow" w:hAnsi="Arial Narrow" w:cstheme="minorHAnsi"/>
          <w:sz w:val="24"/>
          <w:szCs w:val="24"/>
          <w:u w:val="single"/>
        </w:rPr>
        <w:t>b) definir las competencias cuando no se han establecido en la Constitución de manera explícita entre los distintos órganos del Estado,</w:t>
      </w:r>
      <w:r w:rsidRPr="00A06A84">
        <w:rPr>
          <w:rFonts w:ascii="Arial Narrow" w:hAnsi="Arial Narrow" w:cstheme="minorHAnsi"/>
          <w:sz w:val="24"/>
          <w:szCs w:val="24"/>
        </w:rPr>
        <w:t xml:space="preserve"> c) regular los medios de prueba,  </w:t>
      </w:r>
      <w:r w:rsidR="00005B47" w:rsidRPr="00A06A84">
        <w:rPr>
          <w:rFonts w:ascii="Arial Narrow" w:hAnsi="Arial Narrow" w:cstheme="minorHAnsi"/>
          <w:sz w:val="24"/>
          <w:szCs w:val="24"/>
        </w:rPr>
        <w:t>d) definir los poderes y deberes del juez y las exigencias de la participación de terceros intervinientes y e) regular l</w:t>
      </w:r>
      <w:r w:rsidR="00F2545F">
        <w:rPr>
          <w:rFonts w:ascii="Arial Narrow" w:hAnsi="Arial Narrow" w:cstheme="minorHAnsi"/>
          <w:sz w:val="24"/>
          <w:szCs w:val="24"/>
        </w:rPr>
        <w:t>os recursos y medios de defensa</w:t>
      </w:r>
      <w:r w:rsidR="00005B47" w:rsidRPr="00A06A84">
        <w:rPr>
          <w:rFonts w:ascii="Arial Narrow" w:hAnsi="Arial Narrow" w:cstheme="minorHAnsi"/>
          <w:sz w:val="24"/>
          <w:szCs w:val="24"/>
        </w:rPr>
        <w:t>.</w:t>
      </w:r>
    </w:p>
    <w:p w:rsidR="00D03652" w:rsidRPr="00A06A84" w:rsidRDefault="00005B47" w:rsidP="00A93016">
      <w:pPr>
        <w:jc w:val="both"/>
        <w:rPr>
          <w:rFonts w:ascii="Arial Narrow" w:hAnsi="Arial Narrow" w:cstheme="minorHAnsi"/>
          <w:sz w:val="24"/>
          <w:szCs w:val="24"/>
        </w:rPr>
      </w:pPr>
      <w:r w:rsidRPr="00A06A84">
        <w:rPr>
          <w:rFonts w:ascii="Arial Narrow" w:hAnsi="Arial Narrow" w:cstheme="minorHAnsi"/>
          <w:sz w:val="24"/>
          <w:szCs w:val="24"/>
        </w:rPr>
        <w:t>Sin embargo, también</w:t>
      </w:r>
      <w:r w:rsidR="00D03652" w:rsidRPr="00A06A84">
        <w:rPr>
          <w:rFonts w:ascii="Arial Narrow" w:hAnsi="Arial Narrow" w:cstheme="minorHAnsi"/>
          <w:sz w:val="24"/>
          <w:szCs w:val="24"/>
        </w:rPr>
        <w:t xml:space="preserve"> ha señalado el máximo órgano constitucional que esa libertad de configuración legislativa </w:t>
      </w:r>
      <w:r w:rsidRPr="00A06A84">
        <w:rPr>
          <w:rFonts w:ascii="Arial Narrow" w:hAnsi="Arial Narrow" w:cstheme="minorHAnsi"/>
          <w:sz w:val="24"/>
          <w:szCs w:val="24"/>
        </w:rPr>
        <w:t>en materia de</w:t>
      </w:r>
      <w:r w:rsidR="00D03652" w:rsidRPr="00A06A84">
        <w:rPr>
          <w:rFonts w:ascii="Arial Narrow" w:hAnsi="Arial Narrow" w:cstheme="minorHAnsi"/>
          <w:sz w:val="24"/>
          <w:szCs w:val="24"/>
        </w:rPr>
        <w:t xml:space="preserve"> procesos judiciales no puede entenderse como absoluta o ilimitada, toda vez que </w:t>
      </w:r>
      <w:r w:rsidRPr="00A06A84">
        <w:rPr>
          <w:rFonts w:ascii="Arial Narrow" w:hAnsi="Arial Narrow" w:cstheme="minorHAnsi"/>
          <w:sz w:val="24"/>
          <w:szCs w:val="24"/>
        </w:rPr>
        <w:t>debe respetar</w:t>
      </w:r>
      <w:r w:rsidR="00D03652" w:rsidRPr="00A06A84">
        <w:rPr>
          <w:rFonts w:ascii="Arial Narrow" w:hAnsi="Arial Narrow" w:cstheme="minorHAnsi"/>
          <w:sz w:val="24"/>
          <w:szCs w:val="24"/>
        </w:rPr>
        <w:t xml:space="preserve"> los principios y valores contemplados por la propia Constitución, los derechos </w:t>
      </w:r>
      <w:r w:rsidR="00D03652" w:rsidRPr="00A06A84">
        <w:rPr>
          <w:rFonts w:ascii="Arial Narrow" w:hAnsi="Arial Narrow" w:cstheme="minorHAnsi"/>
          <w:sz w:val="24"/>
          <w:szCs w:val="24"/>
        </w:rPr>
        <w:lastRenderedPageBreak/>
        <w:t>fundamentales, la prevalencia d</w:t>
      </w:r>
      <w:r w:rsidRPr="00A06A84">
        <w:rPr>
          <w:rFonts w:ascii="Arial Narrow" w:hAnsi="Arial Narrow" w:cstheme="minorHAnsi"/>
          <w:sz w:val="24"/>
          <w:szCs w:val="24"/>
        </w:rPr>
        <w:t>el derecho sustancial sobre lo procesal</w:t>
      </w:r>
      <w:r w:rsidR="00D03652" w:rsidRPr="00A06A84">
        <w:rPr>
          <w:rFonts w:ascii="Arial Narrow" w:hAnsi="Arial Narrow" w:cstheme="minorHAnsi"/>
          <w:sz w:val="24"/>
          <w:szCs w:val="24"/>
        </w:rPr>
        <w:t xml:space="preserve"> y los principios de razonabilidad, proporcionalidad, progresividad y no regresión.</w:t>
      </w:r>
      <w:r w:rsidR="00D03652" w:rsidRPr="00A06A84">
        <w:rPr>
          <w:rStyle w:val="Refdenotaalpie"/>
          <w:rFonts w:ascii="Arial Narrow" w:hAnsi="Arial Narrow" w:cstheme="minorHAnsi"/>
          <w:sz w:val="24"/>
          <w:szCs w:val="24"/>
        </w:rPr>
        <w:footnoteReference w:id="1"/>
      </w:r>
    </w:p>
    <w:p w:rsidR="005F75EC" w:rsidRPr="00A06A84" w:rsidRDefault="00005B47" w:rsidP="00A93016">
      <w:pPr>
        <w:jc w:val="both"/>
        <w:rPr>
          <w:rFonts w:ascii="Arial Narrow" w:hAnsi="Arial Narrow" w:cstheme="minorHAnsi"/>
          <w:sz w:val="24"/>
          <w:szCs w:val="24"/>
        </w:rPr>
      </w:pPr>
      <w:r w:rsidRPr="00A06A84">
        <w:rPr>
          <w:rFonts w:ascii="Arial Narrow" w:hAnsi="Arial Narrow" w:cstheme="minorHAnsi"/>
          <w:sz w:val="24"/>
          <w:szCs w:val="24"/>
        </w:rPr>
        <w:t xml:space="preserve">En este orden de ideas, el objeto del presente proyecto de ley se encuentra perfectamente </w:t>
      </w:r>
      <w:r w:rsidR="00266F1B" w:rsidRPr="00A06A84">
        <w:rPr>
          <w:rFonts w:ascii="Arial Narrow" w:hAnsi="Arial Narrow" w:cstheme="minorHAnsi"/>
          <w:sz w:val="24"/>
          <w:szCs w:val="24"/>
        </w:rPr>
        <w:t>ajustado al</w:t>
      </w:r>
      <w:r w:rsidRPr="00A06A84">
        <w:rPr>
          <w:rFonts w:ascii="Arial Narrow" w:hAnsi="Arial Narrow" w:cstheme="minorHAnsi"/>
          <w:sz w:val="24"/>
          <w:szCs w:val="24"/>
        </w:rPr>
        <w:t xml:space="preserve"> ámbito libertad de configuración legislativa otorgada por la Constitución Política de Colombia al Congreso de la República.</w:t>
      </w:r>
    </w:p>
    <w:p w:rsidR="00BE0688" w:rsidRPr="00A06A84" w:rsidRDefault="00005B47" w:rsidP="00A93016">
      <w:pPr>
        <w:jc w:val="both"/>
        <w:rPr>
          <w:rFonts w:ascii="Arial Narrow" w:hAnsi="Arial Narrow" w:cstheme="minorHAnsi"/>
          <w:sz w:val="24"/>
          <w:szCs w:val="24"/>
        </w:rPr>
      </w:pPr>
      <w:r w:rsidRPr="00A06A84">
        <w:rPr>
          <w:rFonts w:ascii="Arial Narrow" w:hAnsi="Arial Narrow" w:cstheme="minorHAnsi"/>
          <w:sz w:val="24"/>
          <w:szCs w:val="24"/>
        </w:rPr>
        <w:t xml:space="preserve">Igualmente, cabe señalar que el propósito de ubicar la nulidad de los actos de elección de gobernadores dentro de la competencia de los Tribunales Administrativos en primera instancia no es un capricho del legislador de crear más etapas procesales, sino por el contrario, </w:t>
      </w:r>
      <w:r w:rsidR="00266F1B" w:rsidRPr="00A06A84">
        <w:rPr>
          <w:rFonts w:ascii="Arial Narrow" w:hAnsi="Arial Narrow" w:cstheme="minorHAnsi"/>
          <w:sz w:val="24"/>
          <w:szCs w:val="24"/>
        </w:rPr>
        <w:t xml:space="preserve">obedece al deber </w:t>
      </w:r>
      <w:r w:rsidRPr="00A06A84">
        <w:rPr>
          <w:rFonts w:ascii="Arial Narrow" w:hAnsi="Arial Narrow" w:cstheme="minorHAnsi"/>
          <w:sz w:val="24"/>
          <w:szCs w:val="24"/>
        </w:rPr>
        <w:t xml:space="preserve">de </w:t>
      </w:r>
      <w:r w:rsidR="00266F1B" w:rsidRPr="00A06A84">
        <w:rPr>
          <w:rFonts w:ascii="Arial Narrow" w:hAnsi="Arial Narrow" w:cstheme="minorHAnsi"/>
          <w:sz w:val="24"/>
          <w:szCs w:val="24"/>
        </w:rPr>
        <w:t>materializar</w:t>
      </w:r>
      <w:r w:rsidRPr="00A06A84">
        <w:rPr>
          <w:rFonts w:ascii="Arial Narrow" w:hAnsi="Arial Narrow" w:cstheme="minorHAnsi"/>
          <w:sz w:val="24"/>
          <w:szCs w:val="24"/>
        </w:rPr>
        <w:t xml:space="preserve"> los principios constitucionales de la </w:t>
      </w:r>
      <w:r w:rsidR="00266F1B" w:rsidRPr="00A06A84">
        <w:rPr>
          <w:rFonts w:ascii="Arial Narrow" w:hAnsi="Arial Narrow" w:cstheme="minorHAnsi"/>
          <w:sz w:val="24"/>
          <w:szCs w:val="24"/>
        </w:rPr>
        <w:t xml:space="preserve">doble </w:t>
      </w:r>
      <w:r w:rsidRPr="00A06A84">
        <w:rPr>
          <w:rFonts w:ascii="Arial Narrow" w:hAnsi="Arial Narrow" w:cstheme="minorHAnsi"/>
          <w:sz w:val="24"/>
          <w:szCs w:val="24"/>
        </w:rPr>
        <w:t>instancia, razonabilidad</w:t>
      </w:r>
      <w:r w:rsidR="00266F1B" w:rsidRPr="00A06A84">
        <w:rPr>
          <w:rFonts w:ascii="Arial Narrow" w:hAnsi="Arial Narrow" w:cstheme="minorHAnsi"/>
          <w:sz w:val="24"/>
          <w:szCs w:val="24"/>
        </w:rPr>
        <w:t xml:space="preserve">, </w:t>
      </w:r>
      <w:r w:rsidR="00184DB1" w:rsidRPr="00A06A84">
        <w:rPr>
          <w:rFonts w:ascii="Arial Narrow" w:hAnsi="Arial Narrow" w:cstheme="minorHAnsi"/>
          <w:sz w:val="24"/>
          <w:szCs w:val="24"/>
        </w:rPr>
        <w:t>proporcionalidad</w:t>
      </w:r>
      <w:r w:rsidRPr="00A06A84">
        <w:rPr>
          <w:rFonts w:ascii="Arial Narrow" w:hAnsi="Arial Narrow" w:cstheme="minorHAnsi"/>
          <w:sz w:val="24"/>
          <w:szCs w:val="24"/>
        </w:rPr>
        <w:t xml:space="preserve"> e igualdad.</w:t>
      </w:r>
    </w:p>
    <w:p w:rsidR="00BE0688" w:rsidRPr="00A06A84" w:rsidRDefault="00BE0688" w:rsidP="00A93016">
      <w:pPr>
        <w:jc w:val="both"/>
        <w:rPr>
          <w:rFonts w:ascii="Arial Narrow" w:hAnsi="Arial Narrow" w:cstheme="minorHAnsi"/>
          <w:b/>
          <w:sz w:val="24"/>
          <w:szCs w:val="24"/>
        </w:rPr>
      </w:pPr>
      <w:r w:rsidRPr="00A06A84">
        <w:rPr>
          <w:rFonts w:ascii="Arial Narrow" w:hAnsi="Arial Narrow" w:cstheme="minorHAnsi"/>
          <w:b/>
          <w:sz w:val="24"/>
          <w:szCs w:val="24"/>
        </w:rPr>
        <w:t>Principio de doble instancia</w:t>
      </w:r>
    </w:p>
    <w:p w:rsidR="00BE0688" w:rsidRPr="00A06A84" w:rsidRDefault="00BE0688" w:rsidP="00A93016">
      <w:pPr>
        <w:jc w:val="both"/>
        <w:rPr>
          <w:rFonts w:ascii="Arial Narrow" w:hAnsi="Arial Narrow" w:cstheme="minorHAnsi"/>
          <w:sz w:val="24"/>
          <w:szCs w:val="24"/>
        </w:rPr>
      </w:pPr>
      <w:r w:rsidRPr="00A06A84">
        <w:rPr>
          <w:rFonts w:ascii="Arial Narrow" w:hAnsi="Arial Narrow" w:cstheme="minorHAnsi"/>
          <w:sz w:val="24"/>
          <w:szCs w:val="24"/>
        </w:rPr>
        <w:t xml:space="preserve">En reiteradas ocasiones se ha </w:t>
      </w:r>
      <w:r w:rsidR="00E4767E" w:rsidRPr="00A06A84">
        <w:rPr>
          <w:rFonts w:ascii="Arial Narrow" w:hAnsi="Arial Narrow" w:cstheme="minorHAnsi"/>
          <w:sz w:val="24"/>
          <w:szCs w:val="24"/>
        </w:rPr>
        <w:t>adelantado</w:t>
      </w:r>
      <w:r w:rsidRPr="00A06A84">
        <w:rPr>
          <w:rFonts w:ascii="Arial Narrow" w:hAnsi="Arial Narrow" w:cstheme="minorHAnsi"/>
          <w:sz w:val="24"/>
          <w:szCs w:val="24"/>
        </w:rPr>
        <w:t xml:space="preserve"> el debate, tanto juris</w:t>
      </w:r>
      <w:r w:rsidR="00F2545F">
        <w:rPr>
          <w:rFonts w:ascii="Arial Narrow" w:hAnsi="Arial Narrow" w:cstheme="minorHAnsi"/>
          <w:sz w:val="24"/>
          <w:szCs w:val="24"/>
        </w:rPr>
        <w:t>prudencial como legislativo</w:t>
      </w:r>
      <w:r w:rsidRPr="00A06A84">
        <w:rPr>
          <w:rFonts w:ascii="Arial Narrow" w:hAnsi="Arial Narrow" w:cstheme="minorHAnsi"/>
          <w:sz w:val="24"/>
          <w:szCs w:val="24"/>
        </w:rPr>
        <w:t>, de la connotación del principio de doble instancia en nuestro ordenamiento jurídico. Este asunto ha sido muy controvertido sobre todo en materia de juzgamiento a</w:t>
      </w:r>
      <w:r w:rsidR="005D045E" w:rsidRPr="00A06A84">
        <w:rPr>
          <w:rFonts w:ascii="Arial Narrow" w:hAnsi="Arial Narrow" w:cstheme="minorHAnsi"/>
          <w:sz w:val="24"/>
          <w:szCs w:val="24"/>
        </w:rPr>
        <w:t xml:space="preserve"> los</w:t>
      </w:r>
      <w:r w:rsidRPr="00A06A84">
        <w:rPr>
          <w:rFonts w:ascii="Arial Narrow" w:hAnsi="Arial Narrow" w:cstheme="minorHAnsi"/>
          <w:sz w:val="24"/>
          <w:szCs w:val="24"/>
        </w:rPr>
        <w:t xml:space="preserve"> altos funcionarios del estado, como </w:t>
      </w:r>
      <w:r w:rsidR="005D045E" w:rsidRPr="00A06A84">
        <w:rPr>
          <w:rFonts w:ascii="Arial Narrow" w:hAnsi="Arial Narrow" w:cstheme="minorHAnsi"/>
          <w:sz w:val="24"/>
          <w:szCs w:val="24"/>
        </w:rPr>
        <w:t xml:space="preserve">los </w:t>
      </w:r>
      <w:r w:rsidRPr="00A06A84">
        <w:rPr>
          <w:rFonts w:ascii="Arial Narrow" w:hAnsi="Arial Narrow" w:cstheme="minorHAnsi"/>
          <w:sz w:val="24"/>
          <w:szCs w:val="24"/>
        </w:rPr>
        <w:t>son el Presidente, Vi</w:t>
      </w:r>
      <w:r w:rsidR="00F2545F">
        <w:rPr>
          <w:rFonts w:ascii="Arial Narrow" w:hAnsi="Arial Narrow" w:cstheme="minorHAnsi"/>
          <w:sz w:val="24"/>
          <w:szCs w:val="24"/>
        </w:rPr>
        <w:t>cepresidente, los C</w:t>
      </w:r>
      <w:r w:rsidR="005D045E" w:rsidRPr="00A06A84">
        <w:rPr>
          <w:rFonts w:ascii="Arial Narrow" w:hAnsi="Arial Narrow" w:cstheme="minorHAnsi"/>
          <w:sz w:val="24"/>
          <w:szCs w:val="24"/>
        </w:rPr>
        <w:t>ongresistas,</w:t>
      </w:r>
      <w:r w:rsidRPr="00A06A84">
        <w:rPr>
          <w:rFonts w:ascii="Arial Narrow" w:hAnsi="Arial Narrow" w:cstheme="minorHAnsi"/>
          <w:sz w:val="24"/>
          <w:szCs w:val="24"/>
        </w:rPr>
        <w:t xml:space="preserve"> magistrados de las Altas Cortes</w:t>
      </w:r>
      <w:r w:rsidR="005D045E" w:rsidRPr="00A06A84">
        <w:rPr>
          <w:rFonts w:ascii="Arial Narrow" w:hAnsi="Arial Narrow" w:cstheme="minorHAnsi"/>
          <w:sz w:val="24"/>
          <w:szCs w:val="24"/>
        </w:rPr>
        <w:t xml:space="preserve">, </w:t>
      </w:r>
      <w:r w:rsidR="00F2545F">
        <w:rPr>
          <w:rFonts w:ascii="Arial Narrow" w:hAnsi="Arial Narrow" w:cstheme="minorHAnsi"/>
          <w:sz w:val="24"/>
          <w:szCs w:val="24"/>
        </w:rPr>
        <w:t xml:space="preserve">el </w:t>
      </w:r>
      <w:r w:rsidR="005D045E" w:rsidRPr="00A06A84">
        <w:rPr>
          <w:rFonts w:ascii="Arial Narrow" w:hAnsi="Arial Narrow" w:cstheme="minorHAnsi"/>
          <w:sz w:val="24"/>
          <w:szCs w:val="24"/>
        </w:rPr>
        <w:t>Fiscal General de la Nación y cabezas de los Entes de Control</w:t>
      </w:r>
      <w:r w:rsidRPr="00A06A84">
        <w:rPr>
          <w:rFonts w:ascii="Arial Narrow" w:hAnsi="Arial Narrow" w:cstheme="minorHAnsi"/>
          <w:sz w:val="24"/>
          <w:szCs w:val="24"/>
        </w:rPr>
        <w:t xml:space="preserve">. Sin </w:t>
      </w:r>
      <w:r w:rsidR="005D045E" w:rsidRPr="00A06A84">
        <w:rPr>
          <w:rFonts w:ascii="Arial Narrow" w:hAnsi="Arial Narrow" w:cstheme="minorHAnsi"/>
          <w:sz w:val="24"/>
          <w:szCs w:val="24"/>
        </w:rPr>
        <w:t xml:space="preserve">embargo, el tema no ha sido tanta discusión </w:t>
      </w:r>
      <w:r w:rsidRPr="00A06A84">
        <w:rPr>
          <w:rFonts w:ascii="Arial Narrow" w:hAnsi="Arial Narrow" w:cstheme="minorHAnsi"/>
          <w:sz w:val="24"/>
          <w:szCs w:val="24"/>
        </w:rPr>
        <w:t xml:space="preserve">cuando se ha hecho referencia a </w:t>
      </w:r>
      <w:r w:rsidR="00A06A84" w:rsidRPr="00A06A84">
        <w:rPr>
          <w:rFonts w:ascii="Arial Narrow" w:hAnsi="Arial Narrow" w:cstheme="minorHAnsi"/>
          <w:sz w:val="24"/>
          <w:szCs w:val="24"/>
        </w:rPr>
        <w:t>otros funcionarios</w:t>
      </w:r>
      <w:r w:rsidRPr="00A06A84">
        <w:rPr>
          <w:rFonts w:ascii="Arial Narrow" w:hAnsi="Arial Narrow" w:cstheme="minorHAnsi"/>
          <w:sz w:val="24"/>
          <w:szCs w:val="24"/>
        </w:rPr>
        <w:t xml:space="preserve"> públicos distintos de</w:t>
      </w:r>
      <w:r w:rsidR="005D045E" w:rsidRPr="00A06A84">
        <w:rPr>
          <w:rFonts w:ascii="Arial Narrow" w:hAnsi="Arial Narrow" w:cstheme="minorHAnsi"/>
          <w:sz w:val="24"/>
          <w:szCs w:val="24"/>
        </w:rPr>
        <w:t xml:space="preserve"> </w:t>
      </w:r>
      <w:r w:rsidRPr="00A06A84">
        <w:rPr>
          <w:rFonts w:ascii="Arial Narrow" w:hAnsi="Arial Narrow" w:cstheme="minorHAnsi"/>
          <w:sz w:val="24"/>
          <w:szCs w:val="24"/>
        </w:rPr>
        <w:t>los denominados “aforados”</w:t>
      </w:r>
      <w:r w:rsidR="005D045E" w:rsidRPr="00A06A84">
        <w:rPr>
          <w:rFonts w:ascii="Arial Narrow" w:hAnsi="Arial Narrow" w:cstheme="minorHAnsi"/>
          <w:sz w:val="24"/>
          <w:szCs w:val="24"/>
        </w:rPr>
        <w:t xml:space="preserve"> y otros altos funcionarios del orden nacional</w:t>
      </w:r>
      <w:r w:rsidRPr="00A06A84">
        <w:rPr>
          <w:rFonts w:ascii="Arial Narrow" w:hAnsi="Arial Narrow" w:cstheme="minorHAnsi"/>
          <w:sz w:val="24"/>
          <w:szCs w:val="24"/>
        </w:rPr>
        <w:t>,</w:t>
      </w:r>
      <w:r w:rsidR="005D045E" w:rsidRPr="00A06A84">
        <w:rPr>
          <w:rFonts w:ascii="Arial Narrow" w:hAnsi="Arial Narrow" w:cstheme="minorHAnsi"/>
          <w:sz w:val="24"/>
          <w:szCs w:val="24"/>
        </w:rPr>
        <w:t xml:space="preserve"> pues en la mayoría de los casos se ha contemplado el derecho a la doble instancia en los distintos procesos judiciales o administrativos.</w:t>
      </w:r>
      <w:r w:rsidRPr="00A06A84">
        <w:rPr>
          <w:rFonts w:ascii="Arial Narrow" w:hAnsi="Arial Narrow" w:cstheme="minorHAnsi"/>
          <w:sz w:val="24"/>
          <w:szCs w:val="24"/>
        </w:rPr>
        <w:t xml:space="preserve"> </w:t>
      </w:r>
      <w:r w:rsidR="005D045E" w:rsidRPr="00A06A84">
        <w:rPr>
          <w:rFonts w:ascii="Arial Narrow" w:hAnsi="Arial Narrow" w:cstheme="minorHAnsi"/>
          <w:sz w:val="24"/>
          <w:szCs w:val="24"/>
        </w:rPr>
        <w:t>Sin embargo, ese no es el caso de los asuntos relacionados a la nulidad de la elección de los gobernadores.</w:t>
      </w:r>
    </w:p>
    <w:p w:rsidR="00BE0688" w:rsidRPr="00A06A84" w:rsidRDefault="000B5946" w:rsidP="00A93016">
      <w:pPr>
        <w:jc w:val="both"/>
        <w:rPr>
          <w:rFonts w:ascii="Arial Narrow" w:hAnsi="Arial Narrow" w:cstheme="minorHAnsi"/>
          <w:sz w:val="24"/>
          <w:szCs w:val="24"/>
        </w:rPr>
      </w:pPr>
      <w:r w:rsidRPr="00A06A84">
        <w:rPr>
          <w:rFonts w:ascii="Arial Narrow" w:hAnsi="Arial Narrow" w:cstheme="minorHAnsi"/>
          <w:sz w:val="24"/>
          <w:szCs w:val="24"/>
        </w:rPr>
        <w:t>El derecho a la doble instancia está contemplado en el artículo 31 de la Constitución Política de Colombia en los siguientes términos:</w:t>
      </w:r>
    </w:p>
    <w:p w:rsidR="000B5946" w:rsidRPr="00A06A84" w:rsidRDefault="005D045E" w:rsidP="00A93016">
      <w:pPr>
        <w:ind w:left="708"/>
        <w:jc w:val="both"/>
        <w:rPr>
          <w:rFonts w:ascii="Arial Narrow" w:hAnsi="Arial Narrow" w:cstheme="minorHAnsi"/>
          <w:i/>
          <w:sz w:val="24"/>
          <w:szCs w:val="24"/>
        </w:rPr>
      </w:pPr>
      <w:r w:rsidRPr="00A06A84">
        <w:rPr>
          <w:rFonts w:ascii="Arial Narrow" w:hAnsi="Arial Narrow" w:cstheme="minorHAnsi"/>
          <w:b/>
          <w:i/>
          <w:sz w:val="24"/>
          <w:szCs w:val="24"/>
        </w:rPr>
        <w:t>“</w:t>
      </w:r>
      <w:r w:rsidR="000B5946" w:rsidRPr="00A06A84">
        <w:rPr>
          <w:rFonts w:ascii="Arial Narrow" w:hAnsi="Arial Narrow" w:cstheme="minorHAnsi"/>
          <w:b/>
          <w:i/>
          <w:sz w:val="24"/>
          <w:szCs w:val="24"/>
        </w:rPr>
        <w:t xml:space="preserve">Artículo 31. </w:t>
      </w:r>
      <w:r w:rsidR="000B5946" w:rsidRPr="00A06A84">
        <w:rPr>
          <w:rFonts w:ascii="Arial Narrow" w:hAnsi="Arial Narrow" w:cstheme="minorHAnsi"/>
          <w:i/>
          <w:sz w:val="24"/>
          <w:szCs w:val="24"/>
        </w:rPr>
        <w:t>Toda sentencia judicial podrá ser apelada o consultada, salvo las excepciones que consagre la ley.</w:t>
      </w:r>
    </w:p>
    <w:p w:rsidR="000B5946" w:rsidRPr="00A06A84" w:rsidRDefault="000B5946" w:rsidP="00A93016">
      <w:pPr>
        <w:ind w:left="708"/>
        <w:jc w:val="both"/>
        <w:rPr>
          <w:rFonts w:ascii="Arial Narrow" w:hAnsi="Arial Narrow" w:cstheme="minorHAnsi"/>
          <w:i/>
          <w:sz w:val="24"/>
          <w:szCs w:val="24"/>
        </w:rPr>
      </w:pPr>
      <w:r w:rsidRPr="00A06A84">
        <w:rPr>
          <w:rFonts w:ascii="Arial Narrow" w:hAnsi="Arial Narrow" w:cstheme="minorHAnsi"/>
          <w:i/>
          <w:sz w:val="24"/>
          <w:szCs w:val="24"/>
        </w:rPr>
        <w:t>El superior no podrá agravar la pena impuesta cuando el condenado sea apelante único.</w:t>
      </w:r>
      <w:r w:rsidR="005D045E" w:rsidRPr="00A06A84">
        <w:rPr>
          <w:rFonts w:ascii="Arial Narrow" w:hAnsi="Arial Narrow" w:cstheme="minorHAnsi"/>
          <w:i/>
          <w:sz w:val="24"/>
          <w:szCs w:val="24"/>
        </w:rPr>
        <w:t>”</w:t>
      </w:r>
    </w:p>
    <w:p w:rsidR="000B5946" w:rsidRPr="00A06A84" w:rsidRDefault="000B5946" w:rsidP="00A93016">
      <w:pPr>
        <w:jc w:val="both"/>
        <w:rPr>
          <w:rFonts w:ascii="Arial Narrow" w:hAnsi="Arial Narrow" w:cstheme="minorHAnsi"/>
          <w:sz w:val="24"/>
          <w:szCs w:val="24"/>
        </w:rPr>
      </w:pPr>
      <w:r w:rsidRPr="00A06A84">
        <w:rPr>
          <w:rFonts w:ascii="Arial Narrow" w:hAnsi="Arial Narrow" w:cstheme="minorHAnsi"/>
          <w:sz w:val="24"/>
          <w:szCs w:val="24"/>
        </w:rPr>
        <w:t>Sobre este derecho ha dicho la Corte Constitucional que la doble instancia encuentra sustento en el principio de legalidad e integridad en la aplicación del derecho, pues de él se deriva la posibilidad</w:t>
      </w:r>
      <w:r w:rsidR="00434C4E" w:rsidRPr="00A06A84">
        <w:rPr>
          <w:rFonts w:ascii="Arial Narrow" w:hAnsi="Arial Narrow" w:cstheme="minorHAnsi"/>
          <w:sz w:val="24"/>
          <w:szCs w:val="24"/>
        </w:rPr>
        <w:t xml:space="preserve"> de ampliar la deliberación judicial y</w:t>
      </w:r>
      <w:r w:rsidRPr="00A06A84">
        <w:rPr>
          <w:rFonts w:ascii="Arial Narrow" w:hAnsi="Arial Narrow" w:cstheme="minorHAnsi"/>
          <w:sz w:val="24"/>
          <w:szCs w:val="24"/>
        </w:rPr>
        <w:t xml:space="preserve"> de corregir los errores en que haya podido incurrir el juez de primera </w:t>
      </w:r>
      <w:r w:rsidRPr="00A06A84">
        <w:rPr>
          <w:rFonts w:ascii="Arial Narrow" w:hAnsi="Arial Narrow" w:cstheme="minorHAnsi"/>
          <w:sz w:val="24"/>
          <w:szCs w:val="24"/>
        </w:rPr>
        <w:lastRenderedPageBreak/>
        <w:t>instancia en un proceso judicial o administrativo. De igual forma, se constituye como una garantía pues permite controlar toda arbitrariedad que se pueda presentar dentro de un juicio.</w:t>
      </w:r>
      <w:r w:rsidRPr="00A06A84">
        <w:rPr>
          <w:rStyle w:val="Refdenotaalpie"/>
          <w:rFonts w:ascii="Arial Narrow" w:hAnsi="Arial Narrow" w:cstheme="minorHAnsi"/>
          <w:sz w:val="24"/>
          <w:szCs w:val="24"/>
        </w:rPr>
        <w:footnoteReference w:id="2"/>
      </w:r>
    </w:p>
    <w:p w:rsidR="00434C4E" w:rsidRPr="00A06A84" w:rsidRDefault="00434C4E" w:rsidP="00A93016">
      <w:pPr>
        <w:jc w:val="both"/>
        <w:rPr>
          <w:rFonts w:ascii="Arial Narrow" w:hAnsi="Arial Narrow" w:cstheme="minorHAnsi"/>
          <w:i/>
          <w:sz w:val="24"/>
          <w:szCs w:val="24"/>
        </w:rPr>
      </w:pPr>
      <w:r w:rsidRPr="00A06A84">
        <w:rPr>
          <w:rFonts w:ascii="Arial Narrow" w:hAnsi="Arial Narrow" w:cstheme="minorHAnsi"/>
          <w:sz w:val="24"/>
          <w:szCs w:val="24"/>
        </w:rPr>
        <w:t xml:space="preserve">En ese sentido </w:t>
      </w:r>
      <w:r w:rsidR="00E73878" w:rsidRPr="00A06A84">
        <w:rPr>
          <w:rFonts w:ascii="Arial Narrow" w:hAnsi="Arial Narrow" w:cstheme="minorHAnsi"/>
          <w:sz w:val="24"/>
          <w:szCs w:val="24"/>
        </w:rPr>
        <w:t xml:space="preserve">también </w:t>
      </w:r>
      <w:r w:rsidRPr="00A06A84">
        <w:rPr>
          <w:rFonts w:ascii="Arial Narrow" w:hAnsi="Arial Narrow" w:cstheme="minorHAnsi"/>
          <w:sz w:val="24"/>
          <w:szCs w:val="24"/>
        </w:rPr>
        <w:t>ha señalado</w:t>
      </w:r>
      <w:r w:rsidR="00E73878" w:rsidRPr="00A06A84">
        <w:rPr>
          <w:rFonts w:ascii="Arial Narrow" w:hAnsi="Arial Narrow" w:cstheme="minorHAnsi"/>
          <w:sz w:val="24"/>
          <w:szCs w:val="24"/>
        </w:rPr>
        <w:t xml:space="preserve"> el tribunal constitucional que la finalidad de la doble instancia </w:t>
      </w:r>
      <w:r w:rsidR="00E73878" w:rsidRPr="00A06A84">
        <w:rPr>
          <w:rFonts w:ascii="Arial Narrow" w:hAnsi="Arial Narrow" w:cstheme="minorHAnsi"/>
          <w:i/>
          <w:sz w:val="24"/>
          <w:szCs w:val="24"/>
        </w:rPr>
        <w:t>“</w:t>
      </w:r>
      <w:r w:rsidRPr="00A06A84">
        <w:rPr>
          <w:rFonts w:ascii="Arial Narrow" w:hAnsi="Arial Narrow" w:cstheme="minorHAnsi"/>
          <w:i/>
          <w:sz w:val="24"/>
          <w:szCs w:val="24"/>
        </w:rPr>
        <w:t>es permitir que la decisión adoptada por una autoridad judicial sea revisada por otro funcionario de la misma naturaleza y más alta jerarquía –lo que en principio es indicativo de mayor especialidad en la materia- con el fin de que decisiones contrarias a los intereses de las partes tengan una más amplia deliberación con propósitos de corrección. La doble instancia también está íntimamente relacionada con el principio de la “doble conformidad”, el cual surge del interés superior del Estado de evitar errores judiciales que sacrifiquen no sólo la libertad del ser humano, sino también importantes recursos públicos debido a fallos de la jurisdicción contenciosa que condenan al Estado bajo la doctrina del error jurisdiccional”</w:t>
      </w:r>
      <w:r w:rsidR="0014112D">
        <w:rPr>
          <w:rFonts w:ascii="Arial Narrow" w:hAnsi="Arial Narrow" w:cstheme="minorHAnsi"/>
          <w:i/>
          <w:sz w:val="24"/>
          <w:szCs w:val="24"/>
        </w:rPr>
        <w:t>.</w:t>
      </w:r>
      <w:r w:rsidRPr="00A06A84">
        <w:rPr>
          <w:rStyle w:val="Refdenotaalpie"/>
          <w:rFonts w:ascii="Arial Narrow" w:hAnsi="Arial Narrow" w:cstheme="minorHAnsi"/>
          <w:i/>
          <w:sz w:val="24"/>
          <w:szCs w:val="24"/>
        </w:rPr>
        <w:footnoteReference w:id="3"/>
      </w:r>
    </w:p>
    <w:p w:rsidR="000B5946" w:rsidRPr="00A06A84" w:rsidRDefault="00D76251" w:rsidP="00A93016">
      <w:pPr>
        <w:jc w:val="both"/>
        <w:rPr>
          <w:rFonts w:ascii="Arial Narrow" w:hAnsi="Arial Narrow" w:cstheme="minorHAnsi"/>
          <w:sz w:val="24"/>
          <w:szCs w:val="24"/>
        </w:rPr>
      </w:pPr>
      <w:r w:rsidRPr="00A06A84">
        <w:rPr>
          <w:rFonts w:ascii="Arial Narrow" w:hAnsi="Arial Narrow" w:cstheme="minorHAnsi"/>
          <w:sz w:val="24"/>
          <w:szCs w:val="24"/>
        </w:rPr>
        <w:t xml:space="preserve">Otro elemento muy importante de </w:t>
      </w:r>
      <w:r w:rsidR="00434C4E" w:rsidRPr="00A06A84">
        <w:rPr>
          <w:rFonts w:ascii="Arial Narrow" w:hAnsi="Arial Narrow" w:cstheme="minorHAnsi"/>
          <w:sz w:val="24"/>
          <w:szCs w:val="24"/>
        </w:rPr>
        <w:t>la doble instancia</w:t>
      </w:r>
      <w:r w:rsidRPr="00A06A84">
        <w:rPr>
          <w:rFonts w:ascii="Arial Narrow" w:hAnsi="Arial Narrow" w:cstheme="minorHAnsi"/>
          <w:sz w:val="24"/>
          <w:szCs w:val="24"/>
        </w:rPr>
        <w:t xml:space="preserve"> es su íntima relación con el derecho al acceso a la administración de justicia, pues este último se encuentra materializado en la existencia en el ordenamiento jurídico de una </w:t>
      </w:r>
      <w:r w:rsidR="00E73878" w:rsidRPr="00A06A84">
        <w:rPr>
          <w:rFonts w:ascii="Arial Narrow" w:hAnsi="Arial Narrow" w:cstheme="minorHAnsi"/>
          <w:sz w:val="24"/>
          <w:szCs w:val="24"/>
        </w:rPr>
        <w:t>catalogo amplio</w:t>
      </w:r>
      <w:r w:rsidRPr="00A06A84">
        <w:rPr>
          <w:rFonts w:ascii="Arial Narrow" w:hAnsi="Arial Narrow" w:cstheme="minorHAnsi"/>
          <w:sz w:val="24"/>
          <w:szCs w:val="24"/>
        </w:rPr>
        <w:t xml:space="preserve"> y suficiente de mecanismos judiciales para la efectiva resolución de conflictos, como es el recurso de apelación e impugnación de las decisiones judiciales.</w:t>
      </w:r>
      <w:r w:rsidRPr="00A06A84">
        <w:rPr>
          <w:rStyle w:val="Refdenotaalpie"/>
          <w:rFonts w:ascii="Arial Narrow" w:hAnsi="Arial Narrow" w:cstheme="minorHAnsi"/>
          <w:sz w:val="24"/>
          <w:szCs w:val="24"/>
        </w:rPr>
        <w:footnoteReference w:id="4"/>
      </w:r>
      <w:r w:rsidR="002327CE" w:rsidRPr="00A06A84">
        <w:rPr>
          <w:rFonts w:ascii="Arial Narrow" w:hAnsi="Arial Narrow" w:cstheme="minorHAnsi"/>
          <w:sz w:val="24"/>
          <w:szCs w:val="24"/>
        </w:rPr>
        <w:t xml:space="preserve"> Razón por la cual también se puede concluir que el derecho a la doble instan</w:t>
      </w:r>
      <w:r w:rsidR="00434C4E" w:rsidRPr="00A06A84">
        <w:rPr>
          <w:rFonts w:ascii="Arial Narrow" w:hAnsi="Arial Narrow" w:cstheme="minorHAnsi"/>
          <w:sz w:val="24"/>
          <w:szCs w:val="24"/>
        </w:rPr>
        <w:t xml:space="preserve">cia </w:t>
      </w:r>
      <w:r w:rsidR="00E73878" w:rsidRPr="00A06A84">
        <w:rPr>
          <w:rFonts w:ascii="Arial Narrow" w:hAnsi="Arial Narrow" w:cstheme="minorHAnsi"/>
          <w:sz w:val="24"/>
          <w:szCs w:val="24"/>
        </w:rPr>
        <w:t>igualmente</w:t>
      </w:r>
      <w:r w:rsidR="00434C4E" w:rsidRPr="00A06A84">
        <w:rPr>
          <w:rFonts w:ascii="Arial Narrow" w:hAnsi="Arial Narrow" w:cstheme="minorHAnsi"/>
          <w:sz w:val="24"/>
          <w:szCs w:val="24"/>
        </w:rPr>
        <w:t xml:space="preserve"> se constituye como u</w:t>
      </w:r>
      <w:r w:rsidR="002327CE" w:rsidRPr="00A06A84">
        <w:rPr>
          <w:rFonts w:ascii="Arial Narrow" w:hAnsi="Arial Narrow" w:cstheme="minorHAnsi"/>
          <w:sz w:val="24"/>
          <w:szCs w:val="24"/>
        </w:rPr>
        <w:t xml:space="preserve">n elemento </w:t>
      </w:r>
      <w:r w:rsidR="00434C4E" w:rsidRPr="00A06A84">
        <w:rPr>
          <w:rFonts w:ascii="Arial Narrow" w:hAnsi="Arial Narrow" w:cstheme="minorHAnsi"/>
          <w:sz w:val="24"/>
          <w:szCs w:val="24"/>
        </w:rPr>
        <w:t>propio del</w:t>
      </w:r>
      <w:r w:rsidR="002327CE" w:rsidRPr="00A06A84">
        <w:rPr>
          <w:rFonts w:ascii="Arial Narrow" w:hAnsi="Arial Narrow" w:cstheme="minorHAnsi"/>
          <w:sz w:val="24"/>
          <w:szCs w:val="24"/>
        </w:rPr>
        <w:t xml:space="preserve"> derecho de defensa</w:t>
      </w:r>
      <w:r w:rsidR="00434C4E" w:rsidRPr="00A06A84">
        <w:rPr>
          <w:rFonts w:ascii="Arial Narrow" w:hAnsi="Arial Narrow" w:cstheme="minorHAnsi"/>
          <w:sz w:val="24"/>
          <w:szCs w:val="24"/>
        </w:rPr>
        <w:t>, y por qué no, del debido proceso</w:t>
      </w:r>
      <w:r w:rsidR="002327CE" w:rsidRPr="00A06A84">
        <w:rPr>
          <w:rFonts w:ascii="Arial Narrow" w:hAnsi="Arial Narrow" w:cstheme="minorHAnsi"/>
          <w:sz w:val="24"/>
          <w:szCs w:val="24"/>
        </w:rPr>
        <w:t>.</w:t>
      </w:r>
    </w:p>
    <w:p w:rsidR="00D76251" w:rsidRPr="00A06A84" w:rsidRDefault="008B1095" w:rsidP="00A93016">
      <w:pPr>
        <w:jc w:val="both"/>
        <w:rPr>
          <w:rFonts w:ascii="Arial Narrow" w:hAnsi="Arial Narrow" w:cstheme="minorHAnsi"/>
          <w:sz w:val="24"/>
          <w:szCs w:val="24"/>
        </w:rPr>
      </w:pPr>
      <w:r w:rsidRPr="00A06A84">
        <w:rPr>
          <w:rFonts w:ascii="Arial Narrow" w:hAnsi="Arial Narrow" w:cstheme="minorHAnsi"/>
          <w:sz w:val="24"/>
          <w:szCs w:val="24"/>
        </w:rPr>
        <w:t>Adicionalmente</w:t>
      </w:r>
      <w:r w:rsidR="00E6632C" w:rsidRPr="00A06A84">
        <w:rPr>
          <w:rFonts w:ascii="Arial Narrow" w:hAnsi="Arial Narrow" w:cstheme="minorHAnsi"/>
          <w:sz w:val="24"/>
          <w:szCs w:val="24"/>
        </w:rPr>
        <w:t>,</w:t>
      </w:r>
      <w:r w:rsidR="00F05A42" w:rsidRPr="00A06A84">
        <w:rPr>
          <w:rFonts w:ascii="Arial Narrow" w:hAnsi="Arial Narrow" w:cstheme="minorHAnsi"/>
          <w:sz w:val="24"/>
          <w:szCs w:val="24"/>
        </w:rPr>
        <w:t xml:space="preserve"> se debe </w:t>
      </w:r>
      <w:r w:rsidR="00293B86" w:rsidRPr="00A06A84">
        <w:rPr>
          <w:rFonts w:ascii="Arial Narrow" w:hAnsi="Arial Narrow" w:cstheme="minorHAnsi"/>
          <w:sz w:val="24"/>
          <w:szCs w:val="24"/>
        </w:rPr>
        <w:t>advertir</w:t>
      </w:r>
      <w:r w:rsidRPr="00A06A84">
        <w:rPr>
          <w:rFonts w:ascii="Arial Narrow" w:hAnsi="Arial Narrow" w:cstheme="minorHAnsi"/>
          <w:sz w:val="24"/>
          <w:szCs w:val="24"/>
        </w:rPr>
        <w:t xml:space="preserve"> </w:t>
      </w:r>
      <w:r w:rsidR="00F05A42" w:rsidRPr="00A06A84">
        <w:rPr>
          <w:rFonts w:ascii="Arial Narrow" w:hAnsi="Arial Narrow" w:cstheme="minorHAnsi"/>
          <w:sz w:val="24"/>
          <w:szCs w:val="24"/>
        </w:rPr>
        <w:t xml:space="preserve">que </w:t>
      </w:r>
      <w:r w:rsidRPr="00A06A84">
        <w:rPr>
          <w:rFonts w:ascii="Arial Narrow" w:hAnsi="Arial Narrow" w:cstheme="minorHAnsi"/>
          <w:sz w:val="24"/>
          <w:szCs w:val="24"/>
        </w:rPr>
        <w:t>la doble instancia no solo ha sido un instituto</w:t>
      </w:r>
      <w:r w:rsidR="00293B86" w:rsidRPr="00A06A84">
        <w:rPr>
          <w:rFonts w:ascii="Arial Narrow" w:hAnsi="Arial Narrow" w:cstheme="minorHAnsi"/>
          <w:sz w:val="24"/>
          <w:szCs w:val="24"/>
        </w:rPr>
        <w:t xml:space="preserve"> jurídico</w:t>
      </w:r>
      <w:r w:rsidRPr="00A06A84">
        <w:rPr>
          <w:rFonts w:ascii="Arial Narrow" w:hAnsi="Arial Narrow" w:cstheme="minorHAnsi"/>
          <w:sz w:val="24"/>
          <w:szCs w:val="24"/>
        </w:rPr>
        <w:t xml:space="preserve"> desarrollado en nuestro ordenamiento constitucional, sino</w:t>
      </w:r>
      <w:r w:rsidR="00293B86" w:rsidRPr="00A06A84">
        <w:rPr>
          <w:rFonts w:ascii="Arial Narrow" w:hAnsi="Arial Narrow" w:cstheme="minorHAnsi"/>
          <w:sz w:val="24"/>
          <w:szCs w:val="24"/>
        </w:rPr>
        <w:t xml:space="preserve"> que también ha sido contemplado</w:t>
      </w:r>
      <w:r w:rsidRPr="00A06A84">
        <w:rPr>
          <w:rFonts w:ascii="Arial Narrow" w:hAnsi="Arial Narrow" w:cstheme="minorHAnsi"/>
          <w:sz w:val="24"/>
          <w:szCs w:val="24"/>
        </w:rPr>
        <w:t xml:space="preserve"> como una garantía judicial en el marco de la Convención Americana de Derechos Humanos de 1969  y del Pacto Internacional de Derechos Civiles y Políticos de 1966</w:t>
      </w:r>
      <w:r w:rsidR="001F3644" w:rsidRPr="00A06A84">
        <w:rPr>
          <w:rFonts w:ascii="Arial Narrow" w:hAnsi="Arial Narrow" w:cstheme="minorHAnsi"/>
          <w:sz w:val="24"/>
          <w:szCs w:val="24"/>
        </w:rPr>
        <w:t>, normas jurídicas que hacen parte integral de nuestro ordenamiento en virtud del artículo 93 de la Carta Fundamental que estatuye la figura del bloque de constitucionalidad.</w:t>
      </w:r>
    </w:p>
    <w:p w:rsidR="008B1095" w:rsidRPr="00A06A84" w:rsidRDefault="00562DC8" w:rsidP="00A93016">
      <w:pPr>
        <w:jc w:val="both"/>
        <w:rPr>
          <w:rFonts w:ascii="Arial Narrow" w:hAnsi="Arial Narrow" w:cstheme="minorHAnsi"/>
          <w:sz w:val="24"/>
          <w:szCs w:val="24"/>
        </w:rPr>
      </w:pPr>
      <w:r w:rsidRPr="00A06A84">
        <w:rPr>
          <w:rFonts w:ascii="Arial Narrow" w:hAnsi="Arial Narrow" w:cstheme="minorHAnsi"/>
          <w:sz w:val="24"/>
          <w:szCs w:val="24"/>
        </w:rPr>
        <w:t>Es así que</w:t>
      </w:r>
      <w:r w:rsidR="00E6632C" w:rsidRPr="00A06A84">
        <w:rPr>
          <w:rFonts w:ascii="Arial Narrow" w:hAnsi="Arial Narrow" w:cstheme="minorHAnsi"/>
          <w:sz w:val="24"/>
          <w:szCs w:val="24"/>
        </w:rPr>
        <w:t xml:space="preserve"> e</w:t>
      </w:r>
      <w:r w:rsidR="008B1095" w:rsidRPr="00A06A84">
        <w:rPr>
          <w:rFonts w:ascii="Arial Narrow" w:hAnsi="Arial Narrow" w:cstheme="minorHAnsi"/>
          <w:sz w:val="24"/>
          <w:szCs w:val="24"/>
        </w:rPr>
        <w:t>l</w:t>
      </w:r>
      <w:r w:rsidR="00565026" w:rsidRPr="00A06A84">
        <w:rPr>
          <w:rFonts w:ascii="Arial Narrow" w:hAnsi="Arial Narrow" w:cstheme="minorHAnsi"/>
          <w:sz w:val="24"/>
          <w:szCs w:val="24"/>
        </w:rPr>
        <w:t xml:space="preserve"> numeral 2° del</w:t>
      </w:r>
      <w:r w:rsidR="008B1095" w:rsidRPr="00A06A84">
        <w:rPr>
          <w:rFonts w:ascii="Arial Narrow" w:hAnsi="Arial Narrow" w:cstheme="minorHAnsi"/>
          <w:sz w:val="24"/>
          <w:szCs w:val="24"/>
        </w:rPr>
        <w:t xml:space="preserve"> artículo 8° del Pacto de San José de Costa Rica de 1969 señala</w:t>
      </w:r>
      <w:r w:rsidR="00565026" w:rsidRPr="00A06A84">
        <w:rPr>
          <w:rFonts w:ascii="Arial Narrow" w:hAnsi="Arial Narrow" w:cstheme="minorHAnsi"/>
          <w:sz w:val="24"/>
          <w:szCs w:val="24"/>
        </w:rPr>
        <w:t xml:space="preserve"> que d</w:t>
      </w:r>
      <w:r w:rsidRPr="00A06A84">
        <w:rPr>
          <w:rFonts w:ascii="Arial Narrow" w:hAnsi="Arial Narrow" w:cstheme="minorHAnsi"/>
          <w:sz w:val="24"/>
          <w:szCs w:val="24"/>
        </w:rPr>
        <w:t>urante un</w:t>
      </w:r>
      <w:r w:rsidR="008B1095" w:rsidRPr="00A06A84">
        <w:rPr>
          <w:rFonts w:ascii="Arial Narrow" w:hAnsi="Arial Narrow" w:cstheme="minorHAnsi"/>
          <w:sz w:val="24"/>
          <w:szCs w:val="24"/>
        </w:rPr>
        <w:t xml:space="preserve"> proceso toda persona tiene derecho de recurrir del fall</w:t>
      </w:r>
      <w:r w:rsidR="005849C8">
        <w:rPr>
          <w:rFonts w:ascii="Arial Narrow" w:hAnsi="Arial Narrow" w:cstheme="minorHAnsi"/>
          <w:sz w:val="24"/>
          <w:szCs w:val="24"/>
        </w:rPr>
        <w:t>o ante juez o tribunal superior</w:t>
      </w:r>
      <w:r w:rsidRPr="00A06A84">
        <w:rPr>
          <w:rFonts w:ascii="Arial Narrow" w:hAnsi="Arial Narrow" w:cstheme="minorHAnsi"/>
          <w:sz w:val="24"/>
          <w:szCs w:val="24"/>
        </w:rPr>
        <w:t xml:space="preserve">, mientras </w:t>
      </w:r>
      <w:r w:rsidR="008B1095" w:rsidRPr="00A06A84">
        <w:rPr>
          <w:rFonts w:ascii="Arial Narrow" w:hAnsi="Arial Narrow" w:cstheme="minorHAnsi"/>
          <w:sz w:val="24"/>
          <w:szCs w:val="24"/>
        </w:rPr>
        <w:t>e</w:t>
      </w:r>
      <w:r w:rsidR="00565026" w:rsidRPr="00A06A84">
        <w:rPr>
          <w:rFonts w:ascii="Arial Narrow" w:hAnsi="Arial Narrow" w:cstheme="minorHAnsi"/>
          <w:sz w:val="24"/>
          <w:szCs w:val="24"/>
        </w:rPr>
        <w:t>l numeral 5° del artículo 14</w:t>
      </w:r>
      <w:r w:rsidR="008B1095" w:rsidRPr="00A06A84">
        <w:rPr>
          <w:rFonts w:ascii="Arial Narrow" w:hAnsi="Arial Narrow" w:cstheme="minorHAnsi"/>
          <w:sz w:val="24"/>
          <w:szCs w:val="24"/>
        </w:rPr>
        <w:t>° del Pac</w:t>
      </w:r>
      <w:r w:rsidRPr="00A06A84">
        <w:rPr>
          <w:rFonts w:ascii="Arial Narrow" w:hAnsi="Arial Narrow" w:cstheme="minorHAnsi"/>
          <w:sz w:val="24"/>
          <w:szCs w:val="24"/>
        </w:rPr>
        <w:t>t</w:t>
      </w:r>
      <w:r w:rsidR="008B1095" w:rsidRPr="00A06A84">
        <w:rPr>
          <w:rFonts w:ascii="Arial Narrow" w:hAnsi="Arial Narrow" w:cstheme="minorHAnsi"/>
          <w:sz w:val="24"/>
          <w:szCs w:val="24"/>
        </w:rPr>
        <w:t xml:space="preserve">o Internacional de Derechos Civiles y Políticos </w:t>
      </w:r>
      <w:r w:rsidR="00565026" w:rsidRPr="00A06A84">
        <w:rPr>
          <w:rFonts w:ascii="Arial Narrow" w:hAnsi="Arial Narrow" w:cstheme="minorHAnsi"/>
          <w:sz w:val="24"/>
          <w:szCs w:val="24"/>
        </w:rPr>
        <w:t>de 1966 señala que toda persona declarada culpable de un delito tendrá derecho a que el fallo condenatorio y la pena que se le haya impuesto sean sometidos a un tribunal superior, conforme a lo prescrito por la ley.</w:t>
      </w:r>
    </w:p>
    <w:p w:rsidR="00F33B29" w:rsidRPr="005942DD" w:rsidRDefault="006D632C" w:rsidP="00A93016">
      <w:pPr>
        <w:jc w:val="both"/>
        <w:rPr>
          <w:rFonts w:ascii="Arial Narrow" w:hAnsi="Arial Narrow" w:cstheme="minorHAnsi"/>
          <w:sz w:val="24"/>
          <w:szCs w:val="24"/>
        </w:rPr>
      </w:pPr>
      <w:r w:rsidRPr="00A06A84">
        <w:rPr>
          <w:rFonts w:ascii="Arial Narrow" w:hAnsi="Arial Narrow" w:cstheme="minorHAnsi"/>
          <w:sz w:val="24"/>
          <w:szCs w:val="24"/>
        </w:rPr>
        <w:t>Ahora bien,</w:t>
      </w:r>
      <w:r w:rsidR="00627D2A" w:rsidRPr="00A06A84">
        <w:rPr>
          <w:rFonts w:ascii="Arial Narrow" w:hAnsi="Arial Narrow" w:cstheme="minorHAnsi"/>
          <w:sz w:val="24"/>
          <w:szCs w:val="24"/>
        </w:rPr>
        <w:t xml:space="preserve"> como se puede observar</w:t>
      </w:r>
      <w:r w:rsidR="00562DC8" w:rsidRPr="00A06A84">
        <w:rPr>
          <w:rFonts w:ascii="Arial Narrow" w:hAnsi="Arial Narrow" w:cstheme="minorHAnsi"/>
          <w:sz w:val="24"/>
          <w:szCs w:val="24"/>
        </w:rPr>
        <w:t xml:space="preserve"> la</w:t>
      </w:r>
      <w:r w:rsidR="00627D2A" w:rsidRPr="00A06A84">
        <w:rPr>
          <w:rFonts w:ascii="Arial Narrow" w:hAnsi="Arial Narrow" w:cstheme="minorHAnsi"/>
          <w:sz w:val="24"/>
          <w:szCs w:val="24"/>
        </w:rPr>
        <w:t xml:space="preserve"> doble instancia en el marco de los Derechos Humanos y de los Derechos Civiles y políticos ha sido una institución más bien propia de los procesos penales. Sin </w:t>
      </w:r>
      <w:r w:rsidR="00627D2A" w:rsidRPr="00A06A84">
        <w:rPr>
          <w:rFonts w:ascii="Arial Narrow" w:hAnsi="Arial Narrow" w:cstheme="minorHAnsi"/>
          <w:sz w:val="24"/>
          <w:szCs w:val="24"/>
        </w:rPr>
        <w:lastRenderedPageBreak/>
        <w:t>embargo, esto no obsta para que su razón de ser sea también extensiva a todos los procesos judiciales y administra</w:t>
      </w:r>
      <w:r w:rsidR="00562DC8" w:rsidRPr="00A06A84">
        <w:rPr>
          <w:rFonts w:ascii="Arial Narrow" w:hAnsi="Arial Narrow" w:cstheme="minorHAnsi"/>
          <w:sz w:val="24"/>
          <w:szCs w:val="24"/>
        </w:rPr>
        <w:t>tivos, como es el caso de los procesos contenciosos de nulidad de la elección de los gobernadores.</w:t>
      </w:r>
    </w:p>
    <w:p w:rsidR="008A23F5" w:rsidRPr="00A06A84" w:rsidRDefault="008A23F5" w:rsidP="00A93016">
      <w:pPr>
        <w:jc w:val="both"/>
        <w:rPr>
          <w:rFonts w:ascii="Arial Narrow" w:hAnsi="Arial Narrow" w:cstheme="minorHAnsi"/>
          <w:b/>
          <w:sz w:val="24"/>
          <w:szCs w:val="24"/>
        </w:rPr>
      </w:pPr>
      <w:r w:rsidRPr="00A06A84">
        <w:rPr>
          <w:rFonts w:ascii="Arial Narrow" w:hAnsi="Arial Narrow" w:cstheme="minorHAnsi"/>
          <w:b/>
          <w:sz w:val="24"/>
          <w:szCs w:val="24"/>
        </w:rPr>
        <w:t>Principios de razonabilidad y proporcionalidad</w:t>
      </w:r>
    </w:p>
    <w:p w:rsidR="008A23F5" w:rsidRPr="00A06A84" w:rsidRDefault="008A23F5" w:rsidP="00A93016">
      <w:pPr>
        <w:jc w:val="both"/>
        <w:rPr>
          <w:rFonts w:ascii="Arial Narrow" w:hAnsi="Arial Narrow" w:cstheme="minorHAnsi"/>
          <w:sz w:val="24"/>
          <w:szCs w:val="24"/>
        </w:rPr>
      </w:pPr>
      <w:r w:rsidRPr="00A06A84">
        <w:rPr>
          <w:rFonts w:ascii="Arial Narrow" w:hAnsi="Arial Narrow" w:cstheme="minorHAnsi"/>
          <w:sz w:val="24"/>
          <w:szCs w:val="24"/>
        </w:rPr>
        <w:t xml:space="preserve">El comentado artículo 31 de la Constitución Política de Colombia también ha contemplado la posibilidad </w:t>
      </w:r>
      <w:r w:rsidR="00F33B29" w:rsidRPr="00A06A84">
        <w:rPr>
          <w:rFonts w:ascii="Arial Narrow" w:hAnsi="Arial Narrow" w:cstheme="minorHAnsi"/>
          <w:sz w:val="24"/>
          <w:szCs w:val="24"/>
        </w:rPr>
        <w:t xml:space="preserve">de </w:t>
      </w:r>
      <w:r w:rsidRPr="00A06A84">
        <w:rPr>
          <w:rFonts w:ascii="Arial Narrow" w:hAnsi="Arial Narrow" w:cstheme="minorHAnsi"/>
          <w:sz w:val="24"/>
          <w:szCs w:val="24"/>
        </w:rPr>
        <w:t xml:space="preserve">que el legislador establezca algunos límites o excepciones al principio de doble instancia. Es por eso que en algunas circunstancias concretas la ley ha estatuido que los procesos judiciales sean de única instancia. En materia contencioso administrativa, por ejemplo, </w:t>
      </w:r>
      <w:r w:rsidR="00DE16C9" w:rsidRPr="00A06A84">
        <w:rPr>
          <w:rFonts w:ascii="Arial Narrow" w:hAnsi="Arial Narrow" w:cstheme="minorHAnsi"/>
          <w:sz w:val="24"/>
          <w:szCs w:val="24"/>
        </w:rPr>
        <w:t>la Ley 1437 de 2011 señala que los asuntos relativos a la nulidad de la elección del Pres</w:t>
      </w:r>
      <w:r w:rsidR="005849C8">
        <w:rPr>
          <w:rFonts w:ascii="Arial Narrow" w:hAnsi="Arial Narrow" w:cstheme="minorHAnsi"/>
          <w:sz w:val="24"/>
          <w:szCs w:val="24"/>
        </w:rPr>
        <w:t>idente, Vicepresidente, de los Senadores, R</w:t>
      </w:r>
      <w:r w:rsidR="00DE16C9" w:rsidRPr="00A06A84">
        <w:rPr>
          <w:rFonts w:ascii="Arial Narrow" w:hAnsi="Arial Narrow" w:cstheme="minorHAnsi"/>
          <w:sz w:val="24"/>
          <w:szCs w:val="24"/>
        </w:rPr>
        <w:t xml:space="preserve">epresentantes a la Cámara, representantes al Parlamento </w:t>
      </w:r>
      <w:r w:rsidR="0023504E" w:rsidRPr="00A06A84">
        <w:rPr>
          <w:rFonts w:ascii="Arial Narrow" w:hAnsi="Arial Narrow" w:cstheme="minorHAnsi"/>
          <w:sz w:val="24"/>
          <w:szCs w:val="24"/>
        </w:rPr>
        <w:t xml:space="preserve">Andino, entre otros, </w:t>
      </w:r>
      <w:r w:rsidR="00DE16C9" w:rsidRPr="00A06A84">
        <w:rPr>
          <w:rFonts w:ascii="Arial Narrow" w:hAnsi="Arial Narrow" w:cstheme="minorHAnsi"/>
          <w:sz w:val="24"/>
          <w:szCs w:val="24"/>
        </w:rPr>
        <w:t xml:space="preserve">sean de conocimiento del Consejo de </w:t>
      </w:r>
      <w:r w:rsidR="00F33B29" w:rsidRPr="00A06A84">
        <w:rPr>
          <w:rFonts w:ascii="Arial Narrow" w:hAnsi="Arial Narrow" w:cstheme="minorHAnsi"/>
          <w:sz w:val="24"/>
          <w:szCs w:val="24"/>
        </w:rPr>
        <w:t>estado en ú</w:t>
      </w:r>
      <w:r w:rsidR="00DE16C9" w:rsidRPr="00A06A84">
        <w:rPr>
          <w:rFonts w:ascii="Arial Narrow" w:hAnsi="Arial Narrow" w:cstheme="minorHAnsi"/>
          <w:sz w:val="24"/>
          <w:szCs w:val="24"/>
        </w:rPr>
        <w:t>nica instancia</w:t>
      </w:r>
      <w:r w:rsidR="00F33B29" w:rsidRPr="00A06A84">
        <w:rPr>
          <w:rFonts w:ascii="Arial Narrow" w:hAnsi="Arial Narrow" w:cstheme="minorHAnsi"/>
          <w:sz w:val="24"/>
          <w:szCs w:val="24"/>
        </w:rPr>
        <w:t>.</w:t>
      </w:r>
    </w:p>
    <w:p w:rsidR="00F33B29" w:rsidRPr="00A06A84" w:rsidRDefault="00F33B29" w:rsidP="00A93016">
      <w:pPr>
        <w:jc w:val="both"/>
        <w:rPr>
          <w:rFonts w:ascii="Arial Narrow" w:hAnsi="Arial Narrow" w:cstheme="minorHAnsi"/>
          <w:sz w:val="24"/>
          <w:szCs w:val="24"/>
        </w:rPr>
      </w:pPr>
      <w:r w:rsidRPr="00A06A84">
        <w:rPr>
          <w:rFonts w:ascii="Arial Narrow" w:hAnsi="Arial Narrow" w:cstheme="minorHAnsi"/>
          <w:sz w:val="24"/>
          <w:szCs w:val="24"/>
        </w:rPr>
        <w:t>Sin embargo, estos límites a los cuales ha sido autorizado el legislador en materia de doble instancia no pueden ser caprichosos, sino que deben responder a los principios de razonabilidad y proporcionalidad.</w:t>
      </w:r>
    </w:p>
    <w:p w:rsidR="00651652" w:rsidRPr="00A06A84" w:rsidRDefault="00F33B29" w:rsidP="00A93016">
      <w:pPr>
        <w:jc w:val="both"/>
        <w:rPr>
          <w:rFonts w:ascii="Arial Narrow" w:hAnsi="Arial Narrow" w:cstheme="minorHAnsi"/>
          <w:sz w:val="24"/>
          <w:szCs w:val="24"/>
        </w:rPr>
      </w:pPr>
      <w:r w:rsidRPr="00A06A84">
        <w:rPr>
          <w:rFonts w:ascii="Arial Narrow" w:hAnsi="Arial Narrow" w:cstheme="minorHAnsi"/>
          <w:sz w:val="24"/>
          <w:szCs w:val="24"/>
        </w:rPr>
        <w:t xml:space="preserve">Los principios de razonabilidad y proporcionalidad hacen referencia a la obligación de velar por la vigencia del contenido material de los distintos bienes jurídicos consagrados en la Constitución Política. De </w:t>
      </w:r>
      <w:r w:rsidR="0023504E" w:rsidRPr="00A06A84">
        <w:rPr>
          <w:rFonts w:ascii="Arial Narrow" w:hAnsi="Arial Narrow" w:cstheme="minorHAnsi"/>
          <w:sz w:val="24"/>
          <w:szCs w:val="24"/>
        </w:rPr>
        <w:t>ahí que</w:t>
      </w:r>
      <w:r w:rsidRPr="00A06A84">
        <w:rPr>
          <w:rFonts w:ascii="Arial Narrow" w:hAnsi="Arial Narrow" w:cstheme="minorHAnsi"/>
          <w:sz w:val="24"/>
          <w:szCs w:val="24"/>
        </w:rPr>
        <w:t xml:space="preserve"> toda limitación </w:t>
      </w:r>
      <w:r w:rsidR="0023504E" w:rsidRPr="00A06A84">
        <w:rPr>
          <w:rFonts w:ascii="Arial Narrow" w:hAnsi="Arial Narrow" w:cstheme="minorHAnsi"/>
          <w:sz w:val="24"/>
          <w:szCs w:val="24"/>
        </w:rPr>
        <w:t xml:space="preserve">a </w:t>
      </w:r>
      <w:r w:rsidRPr="00A06A84">
        <w:rPr>
          <w:rFonts w:ascii="Arial Narrow" w:hAnsi="Arial Narrow" w:cstheme="minorHAnsi"/>
          <w:sz w:val="24"/>
          <w:szCs w:val="24"/>
        </w:rPr>
        <w:t xml:space="preserve">una garantía contemplada constitucionalmente, como lo es la doble instancia, debe estar plenamente justificada a partir de un principio de razón suficiente vinculado al logro </w:t>
      </w:r>
      <w:r w:rsidR="008868E4" w:rsidRPr="00A06A84">
        <w:rPr>
          <w:rFonts w:ascii="Arial Narrow" w:hAnsi="Arial Narrow" w:cstheme="minorHAnsi"/>
          <w:sz w:val="24"/>
          <w:szCs w:val="24"/>
        </w:rPr>
        <w:t>de un fin constitucional válido</w:t>
      </w:r>
      <w:r w:rsidRPr="00A06A84">
        <w:rPr>
          <w:rStyle w:val="Refdenotaalpie"/>
          <w:rFonts w:ascii="Arial Narrow" w:hAnsi="Arial Narrow" w:cstheme="minorHAnsi"/>
          <w:sz w:val="24"/>
          <w:szCs w:val="24"/>
        </w:rPr>
        <w:footnoteReference w:id="5"/>
      </w:r>
      <w:r w:rsidR="008868E4" w:rsidRPr="00A06A84">
        <w:rPr>
          <w:rFonts w:ascii="Arial Narrow" w:hAnsi="Arial Narrow" w:cstheme="minorHAnsi"/>
          <w:sz w:val="24"/>
          <w:szCs w:val="24"/>
        </w:rPr>
        <w:t>.</w:t>
      </w:r>
    </w:p>
    <w:p w:rsidR="008868E4" w:rsidRPr="00A06A84" w:rsidRDefault="008868E4" w:rsidP="00A93016">
      <w:pPr>
        <w:jc w:val="both"/>
        <w:rPr>
          <w:rFonts w:ascii="Arial Narrow" w:hAnsi="Arial Narrow" w:cstheme="minorHAnsi"/>
          <w:b/>
          <w:sz w:val="24"/>
          <w:szCs w:val="24"/>
        </w:rPr>
      </w:pPr>
      <w:r w:rsidRPr="00A06A84">
        <w:rPr>
          <w:rFonts w:ascii="Arial Narrow" w:hAnsi="Arial Narrow" w:cstheme="minorHAnsi"/>
          <w:b/>
          <w:sz w:val="24"/>
          <w:szCs w:val="24"/>
        </w:rPr>
        <w:t>Principio de igualdad</w:t>
      </w:r>
    </w:p>
    <w:p w:rsidR="003A1DD3" w:rsidRPr="00A06A84" w:rsidRDefault="003A1DD3" w:rsidP="00A93016">
      <w:pPr>
        <w:jc w:val="both"/>
        <w:rPr>
          <w:rFonts w:ascii="Arial Narrow" w:hAnsi="Arial Narrow" w:cstheme="minorHAnsi"/>
          <w:sz w:val="24"/>
          <w:szCs w:val="24"/>
        </w:rPr>
      </w:pPr>
      <w:r w:rsidRPr="00A06A84">
        <w:rPr>
          <w:rFonts w:ascii="Arial Narrow" w:hAnsi="Arial Narrow" w:cstheme="minorHAnsi"/>
          <w:sz w:val="24"/>
          <w:szCs w:val="24"/>
        </w:rPr>
        <w:t>Las limitaciones al principio de doble instancia que fueron autorizadas por la Carta Fundamental al legislador colombiano, que como se ha dicho anteriormente no pueden ser caprichosas, además de deber observar los principios de razonabilidad y proporcionalidad, también deben observar</w:t>
      </w:r>
      <w:r w:rsidR="00995AF3" w:rsidRPr="00A06A84">
        <w:rPr>
          <w:rFonts w:ascii="Arial Narrow" w:hAnsi="Arial Narrow" w:cstheme="minorHAnsi"/>
          <w:sz w:val="24"/>
          <w:szCs w:val="24"/>
        </w:rPr>
        <w:t xml:space="preserve"> un principio no menos importante:</w:t>
      </w:r>
      <w:r w:rsidRPr="00A06A84">
        <w:rPr>
          <w:rFonts w:ascii="Arial Narrow" w:hAnsi="Arial Narrow" w:cstheme="minorHAnsi"/>
          <w:sz w:val="24"/>
          <w:szCs w:val="24"/>
        </w:rPr>
        <w:t xml:space="preserve"> el principio de igualdad</w:t>
      </w:r>
      <w:r w:rsidR="00510C79" w:rsidRPr="00A06A84">
        <w:rPr>
          <w:rFonts w:ascii="Arial Narrow" w:hAnsi="Arial Narrow" w:cstheme="minorHAnsi"/>
          <w:sz w:val="24"/>
          <w:szCs w:val="24"/>
        </w:rPr>
        <w:t>.</w:t>
      </w:r>
    </w:p>
    <w:p w:rsidR="00510C79" w:rsidRPr="00A06A84" w:rsidRDefault="00510C79" w:rsidP="00A93016">
      <w:pPr>
        <w:jc w:val="both"/>
        <w:rPr>
          <w:rFonts w:ascii="Arial Narrow" w:hAnsi="Arial Narrow" w:cstheme="minorHAnsi"/>
          <w:sz w:val="24"/>
          <w:szCs w:val="24"/>
        </w:rPr>
      </w:pPr>
      <w:r w:rsidRPr="00A06A84">
        <w:rPr>
          <w:rFonts w:ascii="Arial Narrow" w:hAnsi="Arial Narrow" w:cstheme="minorHAnsi"/>
          <w:sz w:val="24"/>
          <w:szCs w:val="24"/>
        </w:rPr>
        <w:t xml:space="preserve">De ahí que la Corte Constitucional en distintas providencias haya declarado la inexequibilidad de algunas normas que han limitado los recursos de apelación por ser </w:t>
      </w:r>
      <w:r w:rsidR="000A3208" w:rsidRPr="00A06A84">
        <w:rPr>
          <w:rFonts w:ascii="Arial Narrow" w:hAnsi="Arial Narrow" w:cstheme="minorHAnsi"/>
          <w:sz w:val="24"/>
          <w:szCs w:val="24"/>
        </w:rPr>
        <w:t>contrarias al</w:t>
      </w:r>
      <w:r w:rsidRPr="00A06A84">
        <w:rPr>
          <w:rFonts w:ascii="Arial Narrow" w:hAnsi="Arial Narrow" w:cstheme="minorHAnsi"/>
          <w:sz w:val="24"/>
          <w:szCs w:val="24"/>
        </w:rPr>
        <w:t xml:space="preserve"> principio de igualdad. Algunos de estos fallos son por ejemplo la sentencia C-345 de 1994 que declaró inexequible el artículo 2º del Decreto 597 de 1988, que excluía la apelación en </w:t>
      </w:r>
      <w:r w:rsidR="001540A6" w:rsidRPr="00A06A84">
        <w:rPr>
          <w:rFonts w:ascii="Arial Narrow" w:hAnsi="Arial Narrow" w:cstheme="minorHAnsi"/>
          <w:sz w:val="24"/>
          <w:szCs w:val="24"/>
        </w:rPr>
        <w:t>algunos</w:t>
      </w:r>
      <w:r w:rsidRPr="00A06A84">
        <w:rPr>
          <w:rFonts w:ascii="Arial Narrow" w:hAnsi="Arial Narrow" w:cstheme="minorHAnsi"/>
          <w:sz w:val="24"/>
          <w:szCs w:val="24"/>
        </w:rPr>
        <w:t xml:space="preserve"> procesos laborales administrativos en razón de la asignación mensual correspondiente al cargo, pues consideró que se trataba de un criterio irrazonable e injusto</w:t>
      </w:r>
      <w:r w:rsidR="001540A6" w:rsidRPr="00A06A84">
        <w:rPr>
          <w:rFonts w:ascii="Arial Narrow" w:hAnsi="Arial Narrow" w:cstheme="minorHAnsi"/>
          <w:sz w:val="24"/>
          <w:szCs w:val="24"/>
        </w:rPr>
        <w:t>;</w:t>
      </w:r>
      <w:r w:rsidRPr="00A06A84">
        <w:rPr>
          <w:rFonts w:ascii="Arial Narrow" w:hAnsi="Arial Narrow" w:cstheme="minorHAnsi"/>
          <w:sz w:val="24"/>
          <w:szCs w:val="24"/>
        </w:rPr>
        <w:t xml:space="preserve"> y la sentencia C-005 de 1996 que declaró inexequible el inciso 2º del artículo 6º de la Ley 14 de 1988, que excluía del recurso de súplica las sentencias de la Sección Quinta </w:t>
      </w:r>
      <w:r w:rsidRPr="00A06A84">
        <w:rPr>
          <w:rFonts w:ascii="Arial Narrow" w:hAnsi="Arial Narrow" w:cstheme="minorHAnsi"/>
          <w:sz w:val="24"/>
          <w:szCs w:val="24"/>
        </w:rPr>
        <w:lastRenderedPageBreak/>
        <w:t xml:space="preserve">del Consejo de Estado, mientras que en los procesos ante las otras secciones sí se </w:t>
      </w:r>
      <w:r w:rsidR="001540A6" w:rsidRPr="00A06A84">
        <w:rPr>
          <w:rFonts w:ascii="Arial Narrow" w:hAnsi="Arial Narrow" w:cstheme="minorHAnsi"/>
          <w:sz w:val="24"/>
          <w:szCs w:val="24"/>
        </w:rPr>
        <w:t>contemplaba</w:t>
      </w:r>
      <w:r w:rsidRPr="00A06A84">
        <w:rPr>
          <w:rFonts w:ascii="Arial Narrow" w:hAnsi="Arial Narrow" w:cstheme="minorHAnsi"/>
          <w:sz w:val="24"/>
          <w:szCs w:val="24"/>
        </w:rPr>
        <w:t xml:space="preserve"> tal recurso</w:t>
      </w:r>
      <w:r w:rsidR="001540A6" w:rsidRPr="00A06A84">
        <w:rPr>
          <w:rFonts w:ascii="Arial Narrow" w:hAnsi="Arial Narrow" w:cstheme="minorHAnsi"/>
          <w:sz w:val="24"/>
          <w:szCs w:val="24"/>
        </w:rPr>
        <w:t>.</w:t>
      </w:r>
    </w:p>
    <w:p w:rsidR="008868E4" w:rsidRPr="00A06A84" w:rsidRDefault="001540A6" w:rsidP="00A93016">
      <w:pPr>
        <w:jc w:val="both"/>
        <w:rPr>
          <w:rFonts w:ascii="Arial Narrow" w:hAnsi="Arial Narrow" w:cstheme="minorHAnsi"/>
          <w:sz w:val="24"/>
          <w:szCs w:val="24"/>
        </w:rPr>
      </w:pPr>
      <w:r w:rsidRPr="00A06A84">
        <w:rPr>
          <w:rFonts w:ascii="Arial Narrow" w:hAnsi="Arial Narrow" w:cstheme="minorHAnsi"/>
          <w:sz w:val="24"/>
          <w:szCs w:val="24"/>
        </w:rPr>
        <w:t>Cabe señalar que e</w:t>
      </w:r>
      <w:r w:rsidR="00F236BB" w:rsidRPr="00A06A84">
        <w:rPr>
          <w:rFonts w:ascii="Arial Narrow" w:hAnsi="Arial Narrow" w:cstheme="minorHAnsi"/>
          <w:sz w:val="24"/>
          <w:szCs w:val="24"/>
        </w:rPr>
        <w:t xml:space="preserve">l principio de igualdad contemplado por el artículo 13 Superior ha sido definido por la Honorable Corte Constitucional como </w:t>
      </w:r>
      <w:r w:rsidR="00D90DDB" w:rsidRPr="00A06A84">
        <w:rPr>
          <w:rFonts w:ascii="Arial Narrow" w:hAnsi="Arial Narrow" w:cstheme="minorHAnsi"/>
          <w:sz w:val="24"/>
          <w:szCs w:val="24"/>
        </w:rPr>
        <w:t xml:space="preserve">el mandamiento de dar igual tratamiento a supuestos de hecho equivalentes, siempre que no existan razones suficientes para otorgarles un tratamiento diferente, así como </w:t>
      </w:r>
      <w:r w:rsidRPr="00A06A84">
        <w:rPr>
          <w:rFonts w:ascii="Arial Narrow" w:hAnsi="Arial Narrow" w:cstheme="minorHAnsi"/>
          <w:sz w:val="24"/>
          <w:szCs w:val="24"/>
        </w:rPr>
        <w:t xml:space="preserve">de </w:t>
      </w:r>
      <w:r w:rsidR="00D90DDB" w:rsidRPr="00A06A84">
        <w:rPr>
          <w:rFonts w:ascii="Arial Narrow" w:hAnsi="Arial Narrow" w:cstheme="minorHAnsi"/>
          <w:sz w:val="24"/>
          <w:szCs w:val="24"/>
        </w:rPr>
        <w:t>dar tratamiento desigual a situaciones diferentes.</w:t>
      </w:r>
      <w:r w:rsidR="00D90DDB" w:rsidRPr="00A06A84">
        <w:rPr>
          <w:rStyle w:val="Refdenotaalpie"/>
          <w:rFonts w:ascii="Arial Narrow" w:hAnsi="Arial Narrow" w:cstheme="minorHAnsi"/>
          <w:sz w:val="24"/>
          <w:szCs w:val="24"/>
        </w:rPr>
        <w:footnoteReference w:id="6"/>
      </w:r>
    </w:p>
    <w:p w:rsidR="00D90DDB" w:rsidRPr="00A06A84" w:rsidRDefault="00CE6159" w:rsidP="00A93016">
      <w:pPr>
        <w:jc w:val="both"/>
        <w:rPr>
          <w:rFonts w:ascii="Arial Narrow" w:hAnsi="Arial Narrow" w:cstheme="minorHAnsi"/>
          <w:sz w:val="24"/>
          <w:szCs w:val="24"/>
        </w:rPr>
      </w:pPr>
      <w:r w:rsidRPr="00A06A84">
        <w:rPr>
          <w:rFonts w:ascii="Arial Narrow" w:hAnsi="Arial Narrow" w:cstheme="minorHAnsi"/>
          <w:sz w:val="24"/>
          <w:szCs w:val="24"/>
        </w:rPr>
        <w:t xml:space="preserve">Para el caso que nos interesa es indispensable estudiar si la única instancia en los procesos de nulidad de la elección de los gobernadores es contraria al principio de igualdad. Para esto se debe analizar la </w:t>
      </w:r>
      <w:r w:rsidR="001540A6" w:rsidRPr="00A06A84">
        <w:rPr>
          <w:rFonts w:ascii="Arial Narrow" w:hAnsi="Arial Narrow" w:cstheme="minorHAnsi"/>
          <w:sz w:val="24"/>
          <w:szCs w:val="24"/>
        </w:rPr>
        <w:t>fijación</w:t>
      </w:r>
      <w:r w:rsidRPr="00A06A84">
        <w:rPr>
          <w:rFonts w:ascii="Arial Narrow" w:hAnsi="Arial Narrow" w:cstheme="minorHAnsi"/>
          <w:sz w:val="24"/>
          <w:szCs w:val="24"/>
        </w:rPr>
        <w:t xml:space="preserve"> de la competencia </w:t>
      </w:r>
      <w:r w:rsidR="001540A6" w:rsidRPr="00A06A84">
        <w:rPr>
          <w:rFonts w:ascii="Arial Narrow" w:hAnsi="Arial Narrow" w:cstheme="minorHAnsi"/>
          <w:sz w:val="24"/>
          <w:szCs w:val="24"/>
        </w:rPr>
        <w:t xml:space="preserve">en procesos contra los </w:t>
      </w:r>
      <w:r w:rsidRPr="00A06A84">
        <w:rPr>
          <w:rFonts w:ascii="Arial Narrow" w:hAnsi="Arial Narrow" w:cstheme="minorHAnsi"/>
          <w:sz w:val="24"/>
          <w:szCs w:val="24"/>
        </w:rPr>
        <w:t>servidores públicos del Estado</w:t>
      </w:r>
      <w:r w:rsidR="001540A6" w:rsidRPr="00A06A84">
        <w:rPr>
          <w:rFonts w:ascii="Arial Narrow" w:hAnsi="Arial Narrow" w:cstheme="minorHAnsi"/>
          <w:sz w:val="24"/>
          <w:szCs w:val="24"/>
        </w:rPr>
        <w:t xml:space="preserve"> de similar naturaleza a los gobernadores</w:t>
      </w:r>
      <w:r w:rsidRPr="00A06A84">
        <w:rPr>
          <w:rFonts w:ascii="Arial Narrow" w:hAnsi="Arial Narrow" w:cstheme="minorHAnsi"/>
          <w:sz w:val="24"/>
          <w:szCs w:val="24"/>
        </w:rPr>
        <w:t xml:space="preserve"> de conformidad </w:t>
      </w:r>
      <w:r w:rsidR="001540A6" w:rsidRPr="00A06A84">
        <w:rPr>
          <w:rFonts w:ascii="Arial Narrow" w:hAnsi="Arial Narrow" w:cstheme="minorHAnsi"/>
          <w:sz w:val="24"/>
          <w:szCs w:val="24"/>
        </w:rPr>
        <w:t>con</w:t>
      </w:r>
      <w:r w:rsidRPr="00A06A84">
        <w:rPr>
          <w:rFonts w:ascii="Arial Narrow" w:hAnsi="Arial Narrow" w:cstheme="minorHAnsi"/>
          <w:sz w:val="24"/>
          <w:szCs w:val="24"/>
        </w:rPr>
        <w:t xml:space="preserve"> la Ley 1437 de 2011, normativa vigente en la actualidad.</w:t>
      </w:r>
    </w:p>
    <w:tbl>
      <w:tblPr>
        <w:tblStyle w:val="Tablaconcuadrcula"/>
        <w:tblW w:w="0" w:type="auto"/>
        <w:tblLook w:val="04A0" w:firstRow="1" w:lastRow="0" w:firstColumn="1" w:lastColumn="0" w:noHBand="0" w:noVBand="1"/>
      </w:tblPr>
      <w:tblGrid>
        <w:gridCol w:w="4416"/>
        <w:gridCol w:w="4412"/>
      </w:tblGrid>
      <w:tr w:rsidR="00CE6159" w:rsidRPr="00A06A84" w:rsidTr="002B096A">
        <w:tc>
          <w:tcPr>
            <w:tcW w:w="8978" w:type="dxa"/>
            <w:gridSpan w:val="2"/>
            <w:shd w:val="clear" w:color="auto" w:fill="8DB3E2" w:themeFill="text2" w:themeFillTint="66"/>
          </w:tcPr>
          <w:p w:rsidR="00CE6159" w:rsidRPr="00A06A84" w:rsidRDefault="00CE6159"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Procesos en única instancia en el Consejo de Estado</w:t>
            </w:r>
          </w:p>
        </w:tc>
      </w:tr>
      <w:tr w:rsidR="00CE6159" w:rsidRPr="00A06A84" w:rsidTr="00CE6159">
        <w:tc>
          <w:tcPr>
            <w:tcW w:w="4489" w:type="dxa"/>
          </w:tcPr>
          <w:p w:rsidR="00CE6159" w:rsidRPr="00A06A84" w:rsidRDefault="00CE6159"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Servidores públicos</w:t>
            </w:r>
          </w:p>
        </w:tc>
        <w:tc>
          <w:tcPr>
            <w:tcW w:w="4489" w:type="dxa"/>
          </w:tcPr>
          <w:p w:rsidR="00CE6159" w:rsidRPr="00A06A84" w:rsidRDefault="003950B0" w:rsidP="00A93016">
            <w:pPr>
              <w:spacing w:line="276" w:lineRule="auto"/>
              <w:jc w:val="center"/>
              <w:rPr>
                <w:rFonts w:ascii="Arial Narrow" w:hAnsi="Arial Narrow" w:cstheme="minorHAnsi"/>
                <w:sz w:val="24"/>
                <w:szCs w:val="24"/>
              </w:rPr>
            </w:pPr>
            <w:r w:rsidRPr="00A06A84">
              <w:rPr>
                <w:rFonts w:ascii="Arial Narrow" w:hAnsi="Arial Narrow" w:cstheme="minorHAnsi"/>
                <w:b/>
                <w:sz w:val="24"/>
                <w:szCs w:val="24"/>
              </w:rPr>
              <w:t>Fundamento jurídico</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Presidente de la República</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Vicepresidente de la República</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Senadores</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Representantes a la Cámara</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Representantes ante el Parlamento Andino</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CE6159" w:rsidRPr="00A06A84" w:rsidTr="00CE6159">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Alcalde Mayor de Bogotá</w:t>
            </w:r>
          </w:p>
        </w:tc>
        <w:tc>
          <w:tcPr>
            <w:tcW w:w="4489" w:type="dxa"/>
          </w:tcPr>
          <w:p w:rsidR="00CE6159"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Miembros junta directiva o  consejo directivo de las entidades públicas del orden nacional, de los entes autónomos del orden nacional y de las Comisiones de regulación.</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3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Procurador General de la Nación</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4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Contralor General de la República</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4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Fiscal General de la Nación</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4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 xml:space="preserve">Magistrados Altas Cortes </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4 Ley 1437 de 2011</w:t>
            </w:r>
          </w:p>
        </w:tc>
      </w:tr>
      <w:tr w:rsidR="003950B0" w:rsidRPr="00A06A84" w:rsidTr="00CE6159">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Gobernador</w:t>
            </w:r>
            <w:r w:rsidR="00B71583" w:rsidRPr="00A06A84">
              <w:rPr>
                <w:rFonts w:ascii="Arial Narrow" w:hAnsi="Arial Narrow" w:cstheme="minorHAnsi"/>
                <w:sz w:val="24"/>
                <w:szCs w:val="24"/>
              </w:rPr>
              <w:t>es</w:t>
            </w:r>
          </w:p>
        </w:tc>
        <w:tc>
          <w:tcPr>
            <w:tcW w:w="4489" w:type="dxa"/>
          </w:tcPr>
          <w:p w:rsidR="003950B0" w:rsidRPr="00A06A84" w:rsidRDefault="003950B0"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149, numeral 14 Ley 1437 de 2011 (Competencia residual)</w:t>
            </w:r>
          </w:p>
        </w:tc>
      </w:tr>
    </w:tbl>
    <w:p w:rsidR="00CE6159" w:rsidRPr="00A06A84" w:rsidRDefault="00CE6159" w:rsidP="00A93016">
      <w:pPr>
        <w:jc w:val="both"/>
        <w:rPr>
          <w:rFonts w:ascii="Arial Narrow" w:hAnsi="Arial Narrow" w:cstheme="minorHAnsi"/>
          <w:sz w:val="24"/>
          <w:szCs w:val="24"/>
        </w:rPr>
      </w:pPr>
    </w:p>
    <w:tbl>
      <w:tblPr>
        <w:tblStyle w:val="Tablaconcuadrcula"/>
        <w:tblW w:w="0" w:type="auto"/>
        <w:tblLook w:val="04A0" w:firstRow="1" w:lastRow="0" w:firstColumn="1" w:lastColumn="0" w:noHBand="0" w:noVBand="1"/>
      </w:tblPr>
      <w:tblGrid>
        <w:gridCol w:w="4414"/>
        <w:gridCol w:w="4414"/>
      </w:tblGrid>
      <w:tr w:rsidR="00B71583" w:rsidRPr="00A06A84" w:rsidTr="002B096A">
        <w:tc>
          <w:tcPr>
            <w:tcW w:w="8978" w:type="dxa"/>
            <w:gridSpan w:val="2"/>
            <w:shd w:val="clear" w:color="auto" w:fill="8DB3E2" w:themeFill="text2" w:themeFillTint="66"/>
          </w:tcPr>
          <w:p w:rsidR="00B71583" w:rsidRPr="00A06A84" w:rsidRDefault="00B71583"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Procesos en única instancia en los Tribunales Administrativos</w:t>
            </w:r>
          </w:p>
        </w:tc>
      </w:tr>
      <w:tr w:rsidR="00B71583" w:rsidRPr="00A06A84" w:rsidTr="00B22E8F">
        <w:tc>
          <w:tcPr>
            <w:tcW w:w="4489" w:type="dxa"/>
          </w:tcPr>
          <w:p w:rsidR="00B71583" w:rsidRPr="00A06A84" w:rsidRDefault="00B71583"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Servidores públicos</w:t>
            </w:r>
          </w:p>
        </w:tc>
        <w:tc>
          <w:tcPr>
            <w:tcW w:w="4489" w:type="dxa"/>
          </w:tcPr>
          <w:p w:rsidR="00B71583" w:rsidRPr="00A06A84" w:rsidRDefault="00B71583" w:rsidP="00A93016">
            <w:pPr>
              <w:spacing w:line="276" w:lineRule="auto"/>
              <w:jc w:val="center"/>
              <w:rPr>
                <w:rFonts w:ascii="Arial Narrow" w:hAnsi="Arial Narrow" w:cstheme="minorHAnsi"/>
                <w:sz w:val="24"/>
                <w:szCs w:val="24"/>
              </w:rPr>
            </w:pPr>
            <w:r w:rsidRPr="00A06A84">
              <w:rPr>
                <w:rFonts w:ascii="Arial Narrow" w:hAnsi="Arial Narrow" w:cstheme="minorHAnsi"/>
                <w:b/>
                <w:sz w:val="24"/>
                <w:szCs w:val="24"/>
              </w:rPr>
              <w:t>Fundamento jurídico</w:t>
            </w:r>
          </w:p>
        </w:tc>
      </w:tr>
      <w:tr w:rsidR="00B71583" w:rsidRPr="00A06A84" w:rsidTr="00B22E8F">
        <w:tc>
          <w:tcPr>
            <w:tcW w:w="4489" w:type="dxa"/>
          </w:tcPr>
          <w:p w:rsidR="00B71583" w:rsidRPr="00A06A84" w:rsidRDefault="00B71583"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lastRenderedPageBreak/>
              <w:t>Alcaldes</w:t>
            </w:r>
            <w:r w:rsidR="00722BCA" w:rsidRPr="00A06A84">
              <w:rPr>
                <w:rFonts w:ascii="Arial Narrow" w:hAnsi="Arial Narrow" w:cstheme="minorHAnsi"/>
                <w:sz w:val="24"/>
                <w:szCs w:val="24"/>
              </w:rPr>
              <w:t xml:space="preserve"> en</w:t>
            </w:r>
            <w:r w:rsidRPr="00A06A84">
              <w:rPr>
                <w:rFonts w:ascii="Arial Narrow" w:hAnsi="Arial Narrow" w:cstheme="minorHAnsi"/>
                <w:sz w:val="24"/>
                <w:szCs w:val="24"/>
              </w:rPr>
              <w:t xml:space="preserve"> municipios con menos de 70.000 habitantes no capitales de departamento</w:t>
            </w:r>
          </w:p>
        </w:tc>
        <w:tc>
          <w:tcPr>
            <w:tcW w:w="4489" w:type="dxa"/>
          </w:tcPr>
          <w:p w:rsidR="00B71583"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151, numeral 9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Concejales en municipios con menos de 70.000 habitantes no capitales de departamento</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151, numeral 9 Ley 1437 de 2011</w:t>
            </w:r>
          </w:p>
        </w:tc>
      </w:tr>
    </w:tbl>
    <w:p w:rsidR="00722BCA" w:rsidRPr="00A06A84" w:rsidRDefault="00722BCA" w:rsidP="00A93016">
      <w:pPr>
        <w:jc w:val="both"/>
        <w:rPr>
          <w:rFonts w:ascii="Arial Narrow" w:hAnsi="Arial Narrow" w:cstheme="minorHAnsi"/>
          <w:b/>
          <w:sz w:val="24"/>
          <w:szCs w:val="24"/>
        </w:rPr>
      </w:pPr>
    </w:p>
    <w:tbl>
      <w:tblPr>
        <w:tblStyle w:val="Tablaconcuadrcula"/>
        <w:tblW w:w="0" w:type="auto"/>
        <w:tblLook w:val="04A0" w:firstRow="1" w:lastRow="0" w:firstColumn="1" w:lastColumn="0" w:noHBand="0" w:noVBand="1"/>
      </w:tblPr>
      <w:tblGrid>
        <w:gridCol w:w="4418"/>
        <w:gridCol w:w="4410"/>
      </w:tblGrid>
      <w:tr w:rsidR="00722BCA" w:rsidRPr="00A06A84" w:rsidTr="002B096A">
        <w:tc>
          <w:tcPr>
            <w:tcW w:w="8978" w:type="dxa"/>
            <w:gridSpan w:val="2"/>
            <w:shd w:val="clear" w:color="auto" w:fill="8DB3E2" w:themeFill="text2" w:themeFillTint="66"/>
          </w:tcPr>
          <w:p w:rsidR="00722BCA" w:rsidRPr="00A06A84" w:rsidRDefault="00722BCA"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Procesos de doble instancia (primera de los Tribunales Administrativos, segunda del Consejo de Estado)</w:t>
            </w:r>
          </w:p>
        </w:tc>
      </w:tr>
      <w:tr w:rsidR="00722BCA" w:rsidRPr="00A06A84" w:rsidTr="00B22E8F">
        <w:tc>
          <w:tcPr>
            <w:tcW w:w="4489" w:type="dxa"/>
          </w:tcPr>
          <w:p w:rsidR="00722BCA" w:rsidRPr="00A06A84" w:rsidRDefault="00722BCA" w:rsidP="00A93016">
            <w:pPr>
              <w:spacing w:line="276" w:lineRule="auto"/>
              <w:jc w:val="center"/>
              <w:rPr>
                <w:rFonts w:ascii="Arial Narrow" w:hAnsi="Arial Narrow" w:cstheme="minorHAnsi"/>
                <w:b/>
                <w:sz w:val="24"/>
                <w:szCs w:val="24"/>
              </w:rPr>
            </w:pPr>
            <w:r w:rsidRPr="00A06A84">
              <w:rPr>
                <w:rFonts w:ascii="Arial Narrow" w:hAnsi="Arial Narrow" w:cstheme="minorHAnsi"/>
                <w:b/>
                <w:sz w:val="24"/>
                <w:szCs w:val="24"/>
              </w:rPr>
              <w:t>Servidores públicos</w:t>
            </w:r>
          </w:p>
        </w:tc>
        <w:tc>
          <w:tcPr>
            <w:tcW w:w="4489" w:type="dxa"/>
          </w:tcPr>
          <w:p w:rsidR="00722BCA" w:rsidRPr="00A06A84" w:rsidRDefault="00722BCA" w:rsidP="00A93016">
            <w:pPr>
              <w:spacing w:line="276" w:lineRule="auto"/>
              <w:jc w:val="center"/>
              <w:rPr>
                <w:rFonts w:ascii="Arial Narrow" w:hAnsi="Arial Narrow" w:cstheme="minorHAnsi"/>
                <w:sz w:val="24"/>
                <w:szCs w:val="24"/>
              </w:rPr>
            </w:pPr>
            <w:r w:rsidRPr="00A06A84">
              <w:rPr>
                <w:rFonts w:ascii="Arial Narrow" w:hAnsi="Arial Narrow" w:cstheme="minorHAnsi"/>
                <w:b/>
                <w:sz w:val="24"/>
                <w:szCs w:val="24"/>
              </w:rPr>
              <w:t>Fundamento jurídico</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Contralores departamentales</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Diputados Asamblea Departamental</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Concejales Distrito Capital</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Alcaldes en municipios con más de 70.000 habitantes o capitales de departamento.</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Personeros en municipios con más de 70.000 habitantes o capitales de departamento.</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r w:rsidR="00722BCA" w:rsidRPr="00A06A84" w:rsidTr="00B22E8F">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Contralores municipales en municipios con más de 70.000 habitantes o capitales de departamento.</w:t>
            </w:r>
          </w:p>
        </w:tc>
        <w:tc>
          <w:tcPr>
            <w:tcW w:w="4489" w:type="dxa"/>
          </w:tcPr>
          <w:p w:rsidR="00722BCA" w:rsidRPr="00A06A84" w:rsidRDefault="00722BCA" w:rsidP="00A93016">
            <w:pPr>
              <w:spacing w:line="276" w:lineRule="auto"/>
              <w:jc w:val="both"/>
              <w:rPr>
                <w:rFonts w:ascii="Arial Narrow" w:hAnsi="Arial Narrow" w:cstheme="minorHAnsi"/>
                <w:sz w:val="24"/>
                <w:szCs w:val="24"/>
              </w:rPr>
            </w:pPr>
            <w:r w:rsidRPr="00A06A84">
              <w:rPr>
                <w:rFonts w:ascii="Arial Narrow" w:hAnsi="Arial Narrow" w:cstheme="minorHAnsi"/>
                <w:sz w:val="24"/>
                <w:szCs w:val="24"/>
              </w:rPr>
              <w:t>Artículo 152, numeral 8 Ley 1437 de 2011</w:t>
            </w:r>
          </w:p>
        </w:tc>
      </w:tr>
    </w:tbl>
    <w:p w:rsidR="00722BCA" w:rsidRPr="00A06A84" w:rsidRDefault="00722BCA" w:rsidP="00A93016">
      <w:pPr>
        <w:jc w:val="both"/>
        <w:rPr>
          <w:rFonts w:ascii="Arial Narrow" w:hAnsi="Arial Narrow" w:cstheme="minorHAnsi"/>
          <w:b/>
          <w:sz w:val="24"/>
          <w:szCs w:val="24"/>
        </w:rPr>
      </w:pPr>
    </w:p>
    <w:p w:rsidR="003A1DD3" w:rsidRPr="00A06A84" w:rsidRDefault="00F73FD2" w:rsidP="00A93016">
      <w:pPr>
        <w:jc w:val="both"/>
        <w:rPr>
          <w:rFonts w:ascii="Arial Narrow" w:hAnsi="Arial Narrow" w:cstheme="minorHAnsi"/>
          <w:sz w:val="24"/>
          <w:szCs w:val="24"/>
        </w:rPr>
      </w:pPr>
      <w:r w:rsidRPr="00A06A84">
        <w:rPr>
          <w:rFonts w:ascii="Arial Narrow" w:hAnsi="Arial Narrow" w:cstheme="minorHAnsi"/>
          <w:sz w:val="24"/>
          <w:szCs w:val="24"/>
        </w:rPr>
        <w:t>Como se puede observar en las anteriores tablas, la competencia en única instancia por parte del Consejo de Estado se encuentra dirigida principalmente a los Altos Funcionarios del Estado conocidos como los “</w:t>
      </w:r>
      <w:r w:rsidR="00D270CF" w:rsidRPr="00A06A84">
        <w:rPr>
          <w:rFonts w:ascii="Arial Narrow" w:hAnsi="Arial Narrow" w:cstheme="minorHAnsi"/>
          <w:sz w:val="24"/>
          <w:szCs w:val="24"/>
        </w:rPr>
        <w:t>aforados</w:t>
      </w:r>
      <w:r w:rsidRPr="00A06A84">
        <w:rPr>
          <w:rFonts w:ascii="Arial Narrow" w:hAnsi="Arial Narrow" w:cstheme="minorHAnsi"/>
          <w:sz w:val="24"/>
          <w:szCs w:val="24"/>
        </w:rPr>
        <w:t>” y a otros funcionarios del orden nacional</w:t>
      </w:r>
      <w:r w:rsidR="00706C73" w:rsidRPr="00A06A84">
        <w:rPr>
          <w:rFonts w:ascii="Arial Narrow" w:hAnsi="Arial Narrow" w:cstheme="minorHAnsi"/>
          <w:sz w:val="24"/>
          <w:szCs w:val="24"/>
        </w:rPr>
        <w:t xml:space="preserve"> que están en</w:t>
      </w:r>
      <w:r w:rsidR="00D270CF" w:rsidRPr="00A06A84">
        <w:rPr>
          <w:rFonts w:ascii="Arial Narrow" w:hAnsi="Arial Narrow" w:cstheme="minorHAnsi"/>
          <w:sz w:val="24"/>
          <w:szCs w:val="24"/>
        </w:rPr>
        <w:t xml:space="preserve"> cabeza de las principales instituciones del Estado</w:t>
      </w:r>
      <w:r w:rsidRPr="00A06A84">
        <w:rPr>
          <w:rFonts w:ascii="Arial Narrow" w:hAnsi="Arial Narrow" w:cstheme="minorHAnsi"/>
          <w:sz w:val="24"/>
          <w:szCs w:val="24"/>
        </w:rPr>
        <w:t>. Igualmente se encuentra el Alcalde Mayor de Bogotá y los gobernadores. El primero por mandato explícito de la ley y el segundo por competencia residual resultado de la omisión legislativa que cometiera el Congreso de la Rep</w:t>
      </w:r>
      <w:r w:rsidR="006D32B8" w:rsidRPr="00A06A84">
        <w:rPr>
          <w:rFonts w:ascii="Arial Narrow" w:hAnsi="Arial Narrow" w:cstheme="minorHAnsi"/>
          <w:sz w:val="24"/>
          <w:szCs w:val="24"/>
        </w:rPr>
        <w:t>ública en la elaboración de la L</w:t>
      </w:r>
      <w:r w:rsidRPr="00A06A84">
        <w:rPr>
          <w:rFonts w:ascii="Arial Narrow" w:hAnsi="Arial Narrow" w:cstheme="minorHAnsi"/>
          <w:sz w:val="24"/>
          <w:szCs w:val="24"/>
        </w:rPr>
        <w:t>ey 1437 de 2011.</w:t>
      </w:r>
    </w:p>
    <w:p w:rsidR="00F73FD2" w:rsidRPr="00A06A84" w:rsidRDefault="00F73FD2" w:rsidP="00A93016">
      <w:pPr>
        <w:jc w:val="both"/>
        <w:rPr>
          <w:rFonts w:ascii="Arial Narrow" w:hAnsi="Arial Narrow" w:cstheme="minorHAnsi"/>
          <w:sz w:val="24"/>
          <w:szCs w:val="24"/>
        </w:rPr>
      </w:pPr>
      <w:r w:rsidRPr="00A06A84">
        <w:rPr>
          <w:rFonts w:ascii="Arial Narrow" w:hAnsi="Arial Narrow" w:cstheme="minorHAnsi"/>
          <w:sz w:val="24"/>
          <w:szCs w:val="24"/>
        </w:rPr>
        <w:t xml:space="preserve">Sobre la competencia de los Tribunales Administrativos en primera instancia y del Consejo de Estado en segunda instancia, se puede observar que </w:t>
      </w:r>
      <w:r w:rsidR="006D32B8" w:rsidRPr="00A06A84">
        <w:rPr>
          <w:rFonts w:ascii="Arial Narrow" w:hAnsi="Arial Narrow" w:cstheme="minorHAnsi"/>
          <w:sz w:val="24"/>
          <w:szCs w:val="24"/>
        </w:rPr>
        <w:t xml:space="preserve">se ubican los procesos en contra de la nulidad de la elección de </w:t>
      </w:r>
      <w:r w:rsidRPr="00A06A84">
        <w:rPr>
          <w:rFonts w:ascii="Arial Narrow" w:hAnsi="Arial Narrow" w:cstheme="minorHAnsi"/>
          <w:sz w:val="24"/>
          <w:szCs w:val="24"/>
        </w:rPr>
        <w:t xml:space="preserve">los servidores públicos de elección popular y los elegidos por corporaciones públicas en el orden territorial, salvo que se trate de municipios no capitales de departamento con un menos de setenta mil (70.000) habitantes, pues </w:t>
      </w:r>
      <w:r w:rsidR="006D32B8" w:rsidRPr="00A06A84">
        <w:rPr>
          <w:rFonts w:ascii="Arial Narrow" w:hAnsi="Arial Narrow" w:cstheme="minorHAnsi"/>
          <w:sz w:val="24"/>
          <w:szCs w:val="24"/>
        </w:rPr>
        <w:t xml:space="preserve">en estos casos </w:t>
      </w:r>
      <w:r w:rsidRPr="00A06A84">
        <w:rPr>
          <w:rFonts w:ascii="Arial Narrow" w:hAnsi="Arial Narrow" w:cstheme="minorHAnsi"/>
          <w:sz w:val="24"/>
          <w:szCs w:val="24"/>
        </w:rPr>
        <w:t>corresponderá a los Tribunales conocer de la nulidad de estos actos en única instancia.</w:t>
      </w:r>
    </w:p>
    <w:p w:rsidR="00706C73" w:rsidRPr="00A06A84" w:rsidRDefault="00706C73" w:rsidP="00A93016">
      <w:pPr>
        <w:jc w:val="both"/>
        <w:rPr>
          <w:rFonts w:ascii="Arial Narrow" w:hAnsi="Arial Narrow" w:cstheme="minorHAnsi"/>
          <w:sz w:val="24"/>
          <w:szCs w:val="24"/>
        </w:rPr>
      </w:pPr>
      <w:r w:rsidRPr="00A06A84">
        <w:rPr>
          <w:rFonts w:ascii="Arial Narrow" w:hAnsi="Arial Narrow" w:cstheme="minorHAnsi"/>
          <w:sz w:val="24"/>
          <w:szCs w:val="24"/>
        </w:rPr>
        <w:t xml:space="preserve">De estas circunstancias se puede inferir que la única competencia que ha sido asumida por el Consejo de Estado en única instancia en materia de servidores públicos de elección popular por la falta de norma especial es la relacionada con la nulidad de los actos de la elección de los gobernadores, </w:t>
      </w:r>
      <w:r w:rsidRPr="00A06A84">
        <w:rPr>
          <w:rFonts w:ascii="Arial Narrow" w:hAnsi="Arial Narrow" w:cstheme="minorHAnsi"/>
          <w:sz w:val="24"/>
          <w:szCs w:val="24"/>
        </w:rPr>
        <w:lastRenderedPageBreak/>
        <w:t>mientras en lo demás procesos en contra de la elección de servidores públicos la competencia se encuentra taxativamente señalada por la ley.</w:t>
      </w:r>
    </w:p>
    <w:p w:rsidR="00706C73" w:rsidRPr="00A06A84" w:rsidRDefault="00706C73" w:rsidP="00A93016">
      <w:pPr>
        <w:jc w:val="both"/>
        <w:rPr>
          <w:rFonts w:ascii="Arial Narrow" w:hAnsi="Arial Narrow" w:cstheme="minorHAnsi"/>
          <w:sz w:val="24"/>
          <w:szCs w:val="24"/>
        </w:rPr>
      </w:pPr>
      <w:r w:rsidRPr="00A06A84">
        <w:rPr>
          <w:rFonts w:ascii="Arial Narrow" w:hAnsi="Arial Narrow" w:cstheme="minorHAnsi"/>
          <w:sz w:val="24"/>
          <w:szCs w:val="24"/>
        </w:rPr>
        <w:t xml:space="preserve">También se puede inferir que </w:t>
      </w:r>
      <w:r w:rsidR="007652E0" w:rsidRPr="00A06A84">
        <w:rPr>
          <w:rFonts w:ascii="Arial Narrow" w:hAnsi="Arial Narrow" w:cstheme="minorHAnsi"/>
          <w:sz w:val="24"/>
          <w:szCs w:val="24"/>
        </w:rPr>
        <w:t>en razón a esta competencia residual en</w:t>
      </w:r>
      <w:r w:rsidR="0076480F" w:rsidRPr="00A06A84">
        <w:rPr>
          <w:rFonts w:ascii="Arial Narrow" w:hAnsi="Arial Narrow" w:cstheme="minorHAnsi"/>
          <w:sz w:val="24"/>
          <w:szCs w:val="24"/>
        </w:rPr>
        <w:t xml:space="preserve"> materia</w:t>
      </w:r>
      <w:r w:rsidR="007652E0" w:rsidRPr="00A06A84">
        <w:rPr>
          <w:rFonts w:ascii="Arial Narrow" w:hAnsi="Arial Narrow" w:cstheme="minorHAnsi"/>
          <w:sz w:val="24"/>
          <w:szCs w:val="24"/>
        </w:rPr>
        <w:t xml:space="preserve"> de nulidad electoral se ha dado a los gobernadores un tratamiento desigual respecto a servidores públicos que son </w:t>
      </w:r>
      <w:r w:rsidR="0076480F" w:rsidRPr="00A06A84">
        <w:rPr>
          <w:rFonts w:ascii="Arial Narrow" w:hAnsi="Arial Narrow" w:cstheme="minorHAnsi"/>
          <w:sz w:val="24"/>
          <w:szCs w:val="24"/>
        </w:rPr>
        <w:t>de similar naturaleza</w:t>
      </w:r>
      <w:r w:rsidR="007652E0" w:rsidRPr="00A06A84">
        <w:rPr>
          <w:rFonts w:ascii="Arial Narrow" w:hAnsi="Arial Narrow" w:cstheme="minorHAnsi"/>
          <w:sz w:val="24"/>
          <w:szCs w:val="24"/>
        </w:rPr>
        <w:t>,</w:t>
      </w:r>
      <w:r w:rsidR="0076480F" w:rsidRPr="00A06A84">
        <w:rPr>
          <w:rFonts w:ascii="Arial Narrow" w:hAnsi="Arial Narrow" w:cstheme="minorHAnsi"/>
          <w:sz w:val="24"/>
          <w:szCs w:val="24"/>
        </w:rPr>
        <w:t xml:space="preserve"> ya que se les ha equiparado a los funcionarios </w:t>
      </w:r>
      <w:r w:rsidR="007652E0" w:rsidRPr="00A06A84">
        <w:rPr>
          <w:rFonts w:ascii="Arial Narrow" w:hAnsi="Arial Narrow" w:cstheme="minorHAnsi"/>
          <w:sz w:val="24"/>
          <w:szCs w:val="24"/>
        </w:rPr>
        <w:t xml:space="preserve">de los que trata </w:t>
      </w:r>
      <w:r w:rsidR="0076480F" w:rsidRPr="00A06A84">
        <w:rPr>
          <w:rFonts w:ascii="Arial Narrow" w:hAnsi="Arial Narrow" w:cstheme="minorHAnsi"/>
          <w:sz w:val="24"/>
          <w:szCs w:val="24"/>
        </w:rPr>
        <w:t>el artícu</w:t>
      </w:r>
      <w:r w:rsidR="00D07E09" w:rsidRPr="00A06A84">
        <w:rPr>
          <w:rFonts w:ascii="Arial Narrow" w:hAnsi="Arial Narrow" w:cstheme="minorHAnsi"/>
          <w:sz w:val="24"/>
          <w:szCs w:val="24"/>
        </w:rPr>
        <w:t>lo 149 numerales 3° y 4° y no a</w:t>
      </w:r>
      <w:r w:rsidR="0076480F" w:rsidRPr="00A06A84">
        <w:rPr>
          <w:rFonts w:ascii="Arial Narrow" w:hAnsi="Arial Narrow" w:cstheme="minorHAnsi"/>
          <w:sz w:val="24"/>
          <w:szCs w:val="24"/>
        </w:rPr>
        <w:t xml:space="preserve"> los contemplados en el artículo 152 numeral, </w:t>
      </w:r>
      <w:r w:rsidR="007652E0" w:rsidRPr="00A06A84">
        <w:rPr>
          <w:rFonts w:ascii="Arial Narrow" w:hAnsi="Arial Narrow" w:cstheme="minorHAnsi"/>
          <w:sz w:val="24"/>
          <w:szCs w:val="24"/>
        </w:rPr>
        <w:t>pues</w:t>
      </w:r>
      <w:r w:rsidR="0076480F" w:rsidRPr="00A06A84">
        <w:rPr>
          <w:rFonts w:ascii="Arial Narrow" w:hAnsi="Arial Narrow" w:cstheme="minorHAnsi"/>
          <w:sz w:val="24"/>
          <w:szCs w:val="24"/>
        </w:rPr>
        <w:t xml:space="preserve"> se debe señalar que</w:t>
      </w:r>
      <w:r w:rsidR="007652E0" w:rsidRPr="00A06A84">
        <w:rPr>
          <w:rFonts w:ascii="Arial Narrow" w:hAnsi="Arial Narrow" w:cstheme="minorHAnsi"/>
          <w:sz w:val="24"/>
          <w:szCs w:val="24"/>
        </w:rPr>
        <w:t xml:space="preserve"> los gobernadores no ostentan la condición de aforados,</w:t>
      </w:r>
      <w:r w:rsidR="0076480F" w:rsidRPr="00A06A84">
        <w:rPr>
          <w:rFonts w:ascii="Arial Narrow" w:hAnsi="Arial Narrow" w:cstheme="minorHAnsi"/>
          <w:sz w:val="24"/>
          <w:szCs w:val="24"/>
        </w:rPr>
        <w:t xml:space="preserve"> ni son altos funcionarios del orden nacional, sino del orden territorial.</w:t>
      </w:r>
    </w:p>
    <w:p w:rsidR="00507AC4" w:rsidRDefault="007652E0" w:rsidP="00A93016">
      <w:pPr>
        <w:jc w:val="both"/>
        <w:rPr>
          <w:rFonts w:ascii="Arial Narrow" w:hAnsi="Arial Narrow" w:cstheme="minorHAnsi"/>
          <w:sz w:val="24"/>
          <w:szCs w:val="24"/>
        </w:rPr>
      </w:pPr>
      <w:r w:rsidRPr="00A06A84">
        <w:rPr>
          <w:rFonts w:ascii="Arial Narrow" w:hAnsi="Arial Narrow" w:cstheme="minorHAnsi"/>
          <w:sz w:val="24"/>
          <w:szCs w:val="24"/>
        </w:rPr>
        <w:t xml:space="preserve">El </w:t>
      </w:r>
      <w:r w:rsidR="003A6C5E" w:rsidRPr="00A06A84">
        <w:rPr>
          <w:rFonts w:ascii="Arial Narrow" w:hAnsi="Arial Narrow" w:cstheme="minorHAnsi"/>
          <w:sz w:val="24"/>
          <w:szCs w:val="24"/>
        </w:rPr>
        <w:t xml:space="preserve">otro servidor </w:t>
      </w:r>
      <w:r w:rsidRPr="00A06A84">
        <w:rPr>
          <w:rFonts w:ascii="Arial Narrow" w:hAnsi="Arial Narrow" w:cstheme="minorHAnsi"/>
          <w:sz w:val="24"/>
          <w:szCs w:val="24"/>
        </w:rPr>
        <w:t xml:space="preserve">que podría </w:t>
      </w:r>
      <w:r w:rsidR="003A6C5E" w:rsidRPr="00A06A84">
        <w:rPr>
          <w:rFonts w:ascii="Arial Narrow" w:hAnsi="Arial Narrow" w:cstheme="minorHAnsi"/>
          <w:sz w:val="24"/>
          <w:szCs w:val="24"/>
        </w:rPr>
        <w:t>ser destinatario de</w:t>
      </w:r>
      <w:r w:rsidRPr="00A06A84">
        <w:rPr>
          <w:rFonts w:ascii="Arial Narrow" w:hAnsi="Arial Narrow" w:cstheme="minorHAnsi"/>
          <w:sz w:val="24"/>
          <w:szCs w:val="24"/>
        </w:rPr>
        <w:t xml:space="preserve"> un trato desigual, pero esta vez en virtud de la voluntad expresa de la ley y no de una omisión legislativa</w:t>
      </w:r>
      <w:r w:rsidR="003A6C5E" w:rsidRPr="00A06A84">
        <w:rPr>
          <w:rFonts w:ascii="Arial Narrow" w:hAnsi="Arial Narrow" w:cstheme="minorHAnsi"/>
          <w:sz w:val="24"/>
          <w:szCs w:val="24"/>
        </w:rPr>
        <w:t>,</w:t>
      </w:r>
      <w:r w:rsidRPr="00A06A84">
        <w:rPr>
          <w:rFonts w:ascii="Arial Narrow" w:hAnsi="Arial Narrow" w:cstheme="minorHAnsi"/>
          <w:sz w:val="24"/>
          <w:szCs w:val="24"/>
        </w:rPr>
        <w:t xml:space="preserve"> es</w:t>
      </w:r>
      <w:r w:rsidR="003A6C5E" w:rsidRPr="00A06A84">
        <w:rPr>
          <w:rFonts w:ascii="Arial Narrow" w:hAnsi="Arial Narrow" w:cstheme="minorHAnsi"/>
          <w:sz w:val="24"/>
          <w:szCs w:val="24"/>
        </w:rPr>
        <w:t xml:space="preserve"> el</w:t>
      </w:r>
      <w:r w:rsidRPr="00A06A84">
        <w:rPr>
          <w:rFonts w:ascii="Arial Narrow" w:hAnsi="Arial Narrow" w:cstheme="minorHAnsi"/>
          <w:sz w:val="24"/>
          <w:szCs w:val="24"/>
        </w:rPr>
        <w:t xml:space="preserve"> Alcalde Mayor de Bogotá</w:t>
      </w:r>
      <w:r w:rsidR="003A6C5E" w:rsidRPr="00A06A84">
        <w:rPr>
          <w:rFonts w:ascii="Arial Narrow" w:hAnsi="Arial Narrow" w:cstheme="minorHAnsi"/>
          <w:sz w:val="24"/>
          <w:szCs w:val="24"/>
        </w:rPr>
        <w:t xml:space="preserve"> que se encuentre incurso en procesos contenciosos administrativos que pretendan la nulidad de su elección</w:t>
      </w:r>
      <w:r w:rsidRPr="00A06A84">
        <w:rPr>
          <w:rFonts w:ascii="Arial Narrow" w:hAnsi="Arial Narrow" w:cstheme="minorHAnsi"/>
          <w:sz w:val="24"/>
          <w:szCs w:val="24"/>
        </w:rPr>
        <w:t>. Pero como sobre este asunto el legislador ya se ha manifestado expresamente, es menester hacer el test de igualdad en el marco de un juicio de constitucionalidad o en otra iniciativa legislativa con una exposición de motivos con algunas particularidades</w:t>
      </w:r>
      <w:r w:rsidR="00126E37" w:rsidRPr="00A06A84">
        <w:rPr>
          <w:rFonts w:ascii="Arial Narrow" w:hAnsi="Arial Narrow" w:cstheme="minorHAnsi"/>
          <w:sz w:val="24"/>
          <w:szCs w:val="24"/>
        </w:rPr>
        <w:t xml:space="preserve"> distintas ya que </w:t>
      </w:r>
      <w:r w:rsidRPr="00A06A84">
        <w:rPr>
          <w:rFonts w:ascii="Arial Narrow" w:hAnsi="Arial Narrow" w:cstheme="minorHAnsi"/>
          <w:sz w:val="24"/>
          <w:szCs w:val="24"/>
        </w:rPr>
        <w:t>no es del todo equiparable el cargo de gobernador al de Alcalde Mayor, pues como se ha pronunciado coloquialmente, este último se puede catalogar como el segundo cargo de mayor importancia y dignidad en el país</w:t>
      </w:r>
      <w:r w:rsidR="00126E37" w:rsidRPr="00A06A84">
        <w:rPr>
          <w:rFonts w:ascii="Arial Narrow" w:hAnsi="Arial Narrow" w:cstheme="minorHAnsi"/>
          <w:sz w:val="24"/>
          <w:szCs w:val="24"/>
        </w:rPr>
        <w:t>, r</w:t>
      </w:r>
      <w:r w:rsidR="0012126D" w:rsidRPr="00A06A84">
        <w:rPr>
          <w:rFonts w:ascii="Arial Narrow" w:hAnsi="Arial Narrow" w:cstheme="minorHAnsi"/>
          <w:sz w:val="24"/>
          <w:szCs w:val="24"/>
        </w:rPr>
        <w:t xml:space="preserve">azón por la cual </w:t>
      </w:r>
      <w:r w:rsidR="00126E37" w:rsidRPr="00A06A84">
        <w:rPr>
          <w:rFonts w:ascii="Arial Narrow" w:hAnsi="Arial Narrow" w:cstheme="minorHAnsi"/>
          <w:sz w:val="24"/>
          <w:szCs w:val="24"/>
        </w:rPr>
        <w:t xml:space="preserve">la competencia del Consejo de Estado en única instancia </w:t>
      </w:r>
      <w:r w:rsidR="0012126D" w:rsidRPr="00A06A84">
        <w:rPr>
          <w:rFonts w:ascii="Arial Narrow" w:hAnsi="Arial Narrow" w:cstheme="minorHAnsi"/>
          <w:sz w:val="24"/>
          <w:szCs w:val="24"/>
        </w:rPr>
        <w:t>en</w:t>
      </w:r>
      <w:r w:rsidR="00126E37" w:rsidRPr="00A06A84">
        <w:rPr>
          <w:rFonts w:ascii="Arial Narrow" w:hAnsi="Arial Narrow" w:cstheme="minorHAnsi"/>
          <w:sz w:val="24"/>
          <w:szCs w:val="24"/>
        </w:rPr>
        <w:t xml:space="preserve"> los asuntos relacionados con la nulidad de su elección</w:t>
      </w:r>
      <w:r w:rsidR="0012126D" w:rsidRPr="00A06A84">
        <w:rPr>
          <w:rFonts w:ascii="Arial Narrow" w:hAnsi="Arial Narrow" w:cstheme="minorHAnsi"/>
          <w:sz w:val="24"/>
          <w:szCs w:val="24"/>
        </w:rPr>
        <w:t xml:space="preserve"> nada afecta el análisis sobre el principio de igualdad que atrae nuestra atención en el presente proyecto de ley.</w:t>
      </w:r>
    </w:p>
    <w:p w:rsidR="005942DD" w:rsidRPr="005942DD" w:rsidRDefault="005942DD" w:rsidP="00A93016">
      <w:pPr>
        <w:jc w:val="both"/>
        <w:rPr>
          <w:rFonts w:ascii="Arial Narrow" w:hAnsi="Arial Narrow" w:cstheme="minorHAnsi"/>
          <w:sz w:val="24"/>
          <w:szCs w:val="24"/>
        </w:rPr>
      </w:pPr>
    </w:p>
    <w:p w:rsidR="00A92A45" w:rsidRPr="00A06A84" w:rsidRDefault="00507AC4" w:rsidP="00A93016">
      <w:pPr>
        <w:jc w:val="both"/>
        <w:rPr>
          <w:rFonts w:ascii="Arial Narrow" w:hAnsi="Arial Narrow" w:cstheme="minorHAnsi"/>
          <w:b/>
          <w:sz w:val="24"/>
          <w:szCs w:val="24"/>
        </w:rPr>
      </w:pPr>
      <w:r w:rsidRPr="00A06A84">
        <w:rPr>
          <w:rFonts w:ascii="Arial Narrow" w:hAnsi="Arial Narrow" w:cstheme="minorHAnsi"/>
          <w:b/>
          <w:sz w:val="24"/>
          <w:szCs w:val="24"/>
        </w:rPr>
        <w:t>Tabla comparativa con las modificaciones propuestas por el proyecto de ley al artículo 152 de la Ley 1437 de 2011</w:t>
      </w:r>
    </w:p>
    <w:tbl>
      <w:tblPr>
        <w:tblStyle w:val="Tablaconcuadrcula"/>
        <w:tblW w:w="0" w:type="auto"/>
        <w:tblLook w:val="04A0" w:firstRow="1" w:lastRow="0" w:firstColumn="1" w:lastColumn="0" w:noHBand="0" w:noVBand="1"/>
      </w:tblPr>
      <w:tblGrid>
        <w:gridCol w:w="4414"/>
        <w:gridCol w:w="4414"/>
      </w:tblGrid>
      <w:tr w:rsidR="00507AC4" w:rsidRPr="00A06A84" w:rsidTr="00507AC4">
        <w:tc>
          <w:tcPr>
            <w:tcW w:w="4489" w:type="dxa"/>
            <w:shd w:val="clear" w:color="auto" w:fill="943634" w:themeFill="accent2" w:themeFillShade="BF"/>
          </w:tcPr>
          <w:p w:rsidR="00507AC4" w:rsidRPr="00A06A84" w:rsidRDefault="00507AC4" w:rsidP="00507AC4">
            <w:pPr>
              <w:jc w:val="center"/>
              <w:rPr>
                <w:rFonts w:ascii="Arial Narrow" w:hAnsi="Arial Narrow" w:cstheme="minorHAnsi"/>
                <w:b/>
                <w:sz w:val="24"/>
                <w:szCs w:val="24"/>
              </w:rPr>
            </w:pPr>
            <w:r w:rsidRPr="00A06A84">
              <w:rPr>
                <w:rFonts w:ascii="Arial Narrow" w:hAnsi="Arial Narrow" w:cstheme="minorHAnsi"/>
                <w:b/>
                <w:sz w:val="24"/>
                <w:szCs w:val="24"/>
              </w:rPr>
              <w:t>Norma actual</w:t>
            </w:r>
          </w:p>
        </w:tc>
        <w:tc>
          <w:tcPr>
            <w:tcW w:w="4489" w:type="dxa"/>
            <w:shd w:val="clear" w:color="auto" w:fill="943634" w:themeFill="accent2" w:themeFillShade="BF"/>
          </w:tcPr>
          <w:p w:rsidR="00507AC4" w:rsidRPr="00A06A84" w:rsidRDefault="00507AC4" w:rsidP="00507AC4">
            <w:pPr>
              <w:jc w:val="center"/>
              <w:rPr>
                <w:rFonts w:ascii="Arial Narrow" w:hAnsi="Arial Narrow" w:cstheme="minorHAnsi"/>
                <w:b/>
                <w:sz w:val="24"/>
                <w:szCs w:val="24"/>
              </w:rPr>
            </w:pPr>
            <w:r w:rsidRPr="00A06A84">
              <w:rPr>
                <w:rFonts w:ascii="Arial Narrow" w:hAnsi="Arial Narrow" w:cstheme="minorHAnsi"/>
                <w:b/>
                <w:sz w:val="24"/>
                <w:szCs w:val="24"/>
              </w:rPr>
              <w:t>Texto propuesto</w:t>
            </w:r>
          </w:p>
        </w:tc>
      </w:tr>
      <w:tr w:rsidR="00507AC4" w:rsidRPr="00A06A84" w:rsidTr="00507AC4">
        <w:tc>
          <w:tcPr>
            <w:tcW w:w="4489" w:type="dxa"/>
          </w:tcPr>
          <w:p w:rsidR="00507AC4" w:rsidRPr="00A06A84" w:rsidRDefault="00507AC4" w:rsidP="00507AC4">
            <w:pPr>
              <w:jc w:val="both"/>
              <w:rPr>
                <w:rFonts w:ascii="Arial Narrow" w:hAnsi="Arial Narrow" w:cstheme="minorHAnsi"/>
                <w:sz w:val="24"/>
                <w:szCs w:val="24"/>
              </w:rPr>
            </w:pPr>
            <w:r w:rsidRPr="00A06A84">
              <w:rPr>
                <w:rFonts w:ascii="Arial Narrow" w:hAnsi="Arial Narrow" w:cstheme="minorHAnsi"/>
                <w:b/>
                <w:bCs/>
                <w:sz w:val="24"/>
                <w:szCs w:val="24"/>
              </w:rPr>
              <w:t>ARTÍCULO 152. COMPETENCIA DE LOS TRIBUNALES ADMINISTRATIVOS EN PRIMERA INSTANCIA.</w:t>
            </w:r>
            <w:r w:rsidRPr="00A06A84">
              <w:rPr>
                <w:rFonts w:ascii="Arial Narrow" w:hAnsi="Arial Narrow" w:cstheme="minorHAnsi"/>
                <w:sz w:val="24"/>
                <w:szCs w:val="24"/>
              </w:rPr>
              <w:t> Los Tribunales Administrativos conocerán en primera instancia de los siguientes asuntos:</w:t>
            </w:r>
          </w:p>
          <w:p w:rsidR="0077224E" w:rsidRPr="00A06A84" w:rsidRDefault="0077224E" w:rsidP="00507AC4">
            <w:pPr>
              <w:jc w:val="both"/>
              <w:rPr>
                <w:rFonts w:ascii="Arial Narrow" w:hAnsi="Arial Narrow" w:cstheme="minorHAnsi"/>
                <w:b/>
                <w:sz w:val="24"/>
                <w:szCs w:val="24"/>
              </w:rPr>
            </w:pPr>
          </w:p>
          <w:p w:rsidR="0077224E" w:rsidRPr="00A06A84" w:rsidRDefault="0077224E" w:rsidP="00507AC4">
            <w:pPr>
              <w:jc w:val="both"/>
              <w:rPr>
                <w:rFonts w:ascii="Arial Narrow" w:hAnsi="Arial Narrow" w:cstheme="minorHAnsi"/>
                <w:sz w:val="24"/>
                <w:szCs w:val="24"/>
              </w:rPr>
            </w:pPr>
            <w:r w:rsidRPr="00A06A84">
              <w:rPr>
                <w:rFonts w:ascii="Arial Narrow" w:hAnsi="Arial Narrow" w:cstheme="minorHAnsi"/>
                <w:sz w:val="24"/>
                <w:szCs w:val="24"/>
              </w:rPr>
              <w:t>(..)</w:t>
            </w:r>
          </w:p>
          <w:p w:rsidR="0077224E" w:rsidRPr="00A06A84" w:rsidRDefault="0077224E" w:rsidP="00507AC4">
            <w:pPr>
              <w:jc w:val="both"/>
              <w:rPr>
                <w:rFonts w:ascii="Arial Narrow" w:hAnsi="Arial Narrow" w:cstheme="minorHAnsi"/>
                <w:b/>
                <w:sz w:val="24"/>
                <w:szCs w:val="24"/>
              </w:rPr>
            </w:pPr>
          </w:p>
          <w:p w:rsidR="00507AC4" w:rsidRPr="00A06A84" w:rsidRDefault="00507AC4" w:rsidP="00507AC4">
            <w:pPr>
              <w:jc w:val="both"/>
              <w:rPr>
                <w:rFonts w:ascii="Arial Narrow" w:hAnsi="Arial Narrow" w:cstheme="minorHAnsi"/>
                <w:sz w:val="24"/>
                <w:szCs w:val="24"/>
              </w:rPr>
            </w:pPr>
            <w:r w:rsidRPr="00A06A84">
              <w:rPr>
                <w:rFonts w:ascii="Arial Narrow" w:hAnsi="Arial Narrow" w:cstheme="minorHAnsi"/>
                <w:b/>
                <w:sz w:val="24"/>
                <w:szCs w:val="24"/>
              </w:rPr>
              <w:t>8.</w:t>
            </w:r>
            <w:r w:rsidRPr="00A06A84">
              <w:rPr>
                <w:rFonts w:ascii="Arial Narrow" w:hAnsi="Arial Narrow" w:cstheme="minorHAnsi"/>
                <w:sz w:val="24"/>
                <w:szCs w:val="24"/>
              </w:rPr>
              <w:t xml:space="preserve"> De la nulidad del acto de elección de contralor departamenta</w:t>
            </w:r>
            <w:r w:rsidR="00DB7469" w:rsidRPr="00A06A84">
              <w:rPr>
                <w:rFonts w:ascii="Arial Narrow" w:hAnsi="Arial Narrow" w:cstheme="minorHAnsi"/>
                <w:sz w:val="24"/>
                <w:szCs w:val="24"/>
              </w:rPr>
              <w:t>l</w:t>
            </w:r>
            <w:r w:rsidRPr="00A06A84">
              <w:rPr>
                <w:rFonts w:ascii="Arial Narrow" w:hAnsi="Arial Narrow" w:cstheme="minorHAnsi"/>
                <w:sz w:val="24"/>
                <w:szCs w:val="24"/>
              </w:rPr>
              <w:t xml:space="preserve">, de los diputados a las asambleas departamentales; de concejales del Distrito Capital de Bogotá; de los alcaldes, personeros, contralores municipales y miembros de </w:t>
            </w:r>
            <w:r w:rsidRPr="00A06A84">
              <w:rPr>
                <w:rFonts w:ascii="Arial Narrow" w:hAnsi="Arial Narrow" w:cstheme="minorHAnsi"/>
                <w:sz w:val="24"/>
                <w:szCs w:val="24"/>
              </w:rPr>
              <w:lastRenderedPageBreak/>
              <w:t>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507AC4" w:rsidRPr="00A06A84" w:rsidRDefault="00507AC4" w:rsidP="00507AC4">
            <w:pPr>
              <w:jc w:val="both"/>
              <w:rPr>
                <w:rFonts w:ascii="Arial Narrow" w:hAnsi="Arial Narrow" w:cstheme="minorHAnsi"/>
                <w:sz w:val="24"/>
                <w:szCs w:val="24"/>
              </w:rPr>
            </w:pPr>
          </w:p>
          <w:p w:rsidR="00507AC4" w:rsidRPr="00A06A84" w:rsidRDefault="00507AC4" w:rsidP="00A93016">
            <w:pPr>
              <w:jc w:val="both"/>
              <w:rPr>
                <w:rFonts w:ascii="Arial Narrow" w:hAnsi="Arial Narrow" w:cstheme="minorHAnsi"/>
                <w:b/>
                <w:sz w:val="24"/>
                <w:szCs w:val="24"/>
              </w:rPr>
            </w:pPr>
          </w:p>
        </w:tc>
        <w:tc>
          <w:tcPr>
            <w:tcW w:w="4489" w:type="dxa"/>
          </w:tcPr>
          <w:p w:rsidR="00507AC4" w:rsidRPr="00A06A84" w:rsidRDefault="00507AC4" w:rsidP="00507AC4">
            <w:pPr>
              <w:jc w:val="both"/>
              <w:rPr>
                <w:rFonts w:ascii="Arial Narrow" w:hAnsi="Arial Narrow" w:cstheme="minorHAnsi"/>
                <w:sz w:val="24"/>
                <w:szCs w:val="24"/>
              </w:rPr>
            </w:pPr>
            <w:r w:rsidRPr="00A06A84">
              <w:rPr>
                <w:rFonts w:ascii="Arial Narrow" w:hAnsi="Arial Narrow" w:cstheme="minorHAnsi"/>
                <w:b/>
                <w:bCs/>
                <w:sz w:val="24"/>
                <w:szCs w:val="24"/>
              </w:rPr>
              <w:lastRenderedPageBreak/>
              <w:t>ARTÍCULO 152. COMPETENCIA DE LOS TRIBUNALES ADMINISTRATIVOS EN PRIMERA INSTANCIA.</w:t>
            </w:r>
            <w:r w:rsidRPr="00A06A84">
              <w:rPr>
                <w:rFonts w:ascii="Arial Narrow" w:hAnsi="Arial Narrow" w:cstheme="minorHAnsi"/>
                <w:sz w:val="24"/>
                <w:szCs w:val="24"/>
              </w:rPr>
              <w:t> Los Tribunales Administrativos conocerán en primera instancia de los siguientes asuntos:</w:t>
            </w:r>
          </w:p>
          <w:p w:rsidR="0077224E" w:rsidRPr="00A06A84" w:rsidRDefault="0077224E" w:rsidP="00507AC4">
            <w:pPr>
              <w:jc w:val="both"/>
              <w:rPr>
                <w:rFonts w:ascii="Arial Narrow" w:hAnsi="Arial Narrow" w:cstheme="minorHAnsi"/>
                <w:b/>
                <w:sz w:val="24"/>
                <w:szCs w:val="24"/>
              </w:rPr>
            </w:pPr>
          </w:p>
          <w:p w:rsidR="0077224E" w:rsidRPr="00A06A84" w:rsidRDefault="0077224E" w:rsidP="00507AC4">
            <w:pPr>
              <w:jc w:val="both"/>
              <w:rPr>
                <w:rFonts w:ascii="Arial Narrow" w:hAnsi="Arial Narrow" w:cstheme="minorHAnsi"/>
                <w:sz w:val="24"/>
                <w:szCs w:val="24"/>
              </w:rPr>
            </w:pPr>
            <w:r w:rsidRPr="00A06A84">
              <w:rPr>
                <w:rFonts w:ascii="Arial Narrow" w:hAnsi="Arial Narrow" w:cstheme="minorHAnsi"/>
                <w:sz w:val="24"/>
                <w:szCs w:val="24"/>
              </w:rPr>
              <w:t>(…)</w:t>
            </w:r>
          </w:p>
          <w:p w:rsidR="0077224E" w:rsidRPr="00A06A84" w:rsidRDefault="0077224E" w:rsidP="00507AC4">
            <w:pPr>
              <w:jc w:val="both"/>
              <w:rPr>
                <w:rFonts w:ascii="Arial Narrow" w:hAnsi="Arial Narrow" w:cstheme="minorHAnsi"/>
                <w:b/>
                <w:sz w:val="24"/>
                <w:szCs w:val="24"/>
              </w:rPr>
            </w:pPr>
          </w:p>
          <w:p w:rsidR="00507AC4" w:rsidRPr="00A06A84" w:rsidRDefault="00507AC4" w:rsidP="00507AC4">
            <w:pPr>
              <w:jc w:val="both"/>
              <w:rPr>
                <w:rFonts w:ascii="Arial Narrow" w:hAnsi="Arial Narrow" w:cstheme="minorHAnsi"/>
                <w:sz w:val="24"/>
                <w:szCs w:val="24"/>
              </w:rPr>
            </w:pPr>
            <w:r w:rsidRPr="00A06A84">
              <w:rPr>
                <w:rFonts w:ascii="Arial Narrow" w:hAnsi="Arial Narrow" w:cstheme="minorHAnsi"/>
                <w:b/>
                <w:sz w:val="24"/>
                <w:szCs w:val="24"/>
              </w:rPr>
              <w:t>8.</w:t>
            </w:r>
            <w:r w:rsidRPr="00A06A84">
              <w:rPr>
                <w:rFonts w:ascii="Arial Narrow" w:hAnsi="Arial Narrow" w:cstheme="minorHAnsi"/>
                <w:sz w:val="24"/>
                <w:szCs w:val="24"/>
              </w:rPr>
              <w:t xml:space="preserve"> De la nulidad del acto de elección </w:t>
            </w:r>
            <w:r w:rsidRPr="00A06A84">
              <w:rPr>
                <w:rFonts w:ascii="Arial Narrow" w:hAnsi="Arial Narrow" w:cstheme="minorHAnsi"/>
                <w:b/>
                <w:sz w:val="24"/>
                <w:szCs w:val="24"/>
                <w:u w:val="single"/>
              </w:rPr>
              <w:t>de los gobernadores</w:t>
            </w:r>
            <w:r w:rsidRPr="00A06A84">
              <w:rPr>
                <w:rFonts w:ascii="Arial Narrow" w:hAnsi="Arial Narrow" w:cstheme="minorHAnsi"/>
                <w:sz w:val="24"/>
                <w:szCs w:val="24"/>
              </w:rPr>
              <w:t>, de lo</w:t>
            </w:r>
            <w:r w:rsidRPr="00A06A84">
              <w:rPr>
                <w:rFonts w:ascii="Arial Narrow" w:hAnsi="Arial Narrow" w:cstheme="minorHAnsi"/>
                <w:b/>
                <w:sz w:val="24"/>
                <w:szCs w:val="24"/>
                <w:u w:val="single"/>
              </w:rPr>
              <w:t>s</w:t>
            </w:r>
            <w:r w:rsidRPr="00A06A84">
              <w:rPr>
                <w:rFonts w:ascii="Arial Narrow" w:hAnsi="Arial Narrow" w:cstheme="minorHAnsi"/>
                <w:sz w:val="24"/>
                <w:szCs w:val="24"/>
              </w:rPr>
              <w:t xml:space="preserve"> contralor</w:t>
            </w:r>
            <w:r w:rsidRPr="00A06A84">
              <w:rPr>
                <w:rFonts w:ascii="Arial Narrow" w:hAnsi="Arial Narrow" w:cstheme="minorHAnsi"/>
                <w:b/>
                <w:sz w:val="24"/>
                <w:szCs w:val="24"/>
                <w:u w:val="single"/>
              </w:rPr>
              <w:t>e</w:t>
            </w:r>
            <w:r w:rsidRPr="00A06A84">
              <w:rPr>
                <w:rFonts w:ascii="Arial Narrow" w:hAnsi="Arial Narrow" w:cstheme="minorHAnsi"/>
                <w:sz w:val="24"/>
                <w:szCs w:val="24"/>
              </w:rPr>
              <w:t>s departamental</w:t>
            </w:r>
            <w:r w:rsidRPr="00A06A84">
              <w:rPr>
                <w:rFonts w:ascii="Arial Narrow" w:hAnsi="Arial Narrow" w:cstheme="minorHAnsi"/>
                <w:b/>
                <w:sz w:val="24"/>
                <w:szCs w:val="24"/>
                <w:u w:val="single"/>
              </w:rPr>
              <w:t>es</w:t>
            </w:r>
            <w:r w:rsidRPr="00A06A84">
              <w:rPr>
                <w:rFonts w:ascii="Arial Narrow" w:hAnsi="Arial Narrow" w:cstheme="minorHAnsi"/>
                <w:sz w:val="24"/>
                <w:szCs w:val="24"/>
              </w:rPr>
              <w:t xml:space="preserve">, de los diputados a las asambleas departamentales; de concejales del Distrito Capital de Bogotá; de los alcaldes, </w:t>
            </w:r>
            <w:r w:rsidRPr="00A06A84">
              <w:rPr>
                <w:rFonts w:ascii="Arial Narrow" w:hAnsi="Arial Narrow" w:cstheme="minorHAnsi"/>
                <w:sz w:val="24"/>
                <w:szCs w:val="24"/>
              </w:rPr>
              <w:lastRenderedPageBreak/>
              <w:t>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507AC4" w:rsidRPr="00A06A84" w:rsidRDefault="00507AC4" w:rsidP="0077224E">
            <w:pPr>
              <w:jc w:val="both"/>
              <w:rPr>
                <w:rFonts w:ascii="Arial Narrow" w:hAnsi="Arial Narrow" w:cstheme="minorHAnsi"/>
                <w:b/>
                <w:sz w:val="24"/>
                <w:szCs w:val="24"/>
              </w:rPr>
            </w:pPr>
          </w:p>
        </w:tc>
      </w:tr>
    </w:tbl>
    <w:p w:rsidR="00A06A84" w:rsidRPr="00A06A84" w:rsidRDefault="00A06A84" w:rsidP="00A93016">
      <w:pPr>
        <w:jc w:val="both"/>
        <w:rPr>
          <w:rFonts w:ascii="Arial Narrow" w:hAnsi="Arial Narrow" w:cstheme="minorHAnsi"/>
          <w:b/>
          <w:sz w:val="24"/>
          <w:szCs w:val="24"/>
        </w:rPr>
      </w:pPr>
    </w:p>
    <w:p w:rsidR="008868E4" w:rsidRPr="00A06A84" w:rsidRDefault="008868E4" w:rsidP="00A93016">
      <w:pPr>
        <w:jc w:val="both"/>
        <w:rPr>
          <w:rFonts w:ascii="Arial Narrow" w:hAnsi="Arial Narrow" w:cstheme="minorHAnsi"/>
          <w:b/>
          <w:sz w:val="24"/>
          <w:szCs w:val="24"/>
        </w:rPr>
      </w:pPr>
      <w:r w:rsidRPr="00A06A84">
        <w:rPr>
          <w:rFonts w:ascii="Arial Narrow" w:hAnsi="Arial Narrow" w:cstheme="minorHAnsi"/>
          <w:b/>
          <w:sz w:val="24"/>
          <w:szCs w:val="24"/>
        </w:rPr>
        <w:t>Conclusiones</w:t>
      </w:r>
    </w:p>
    <w:p w:rsidR="008868E4" w:rsidRPr="00A06A84" w:rsidRDefault="008868E4" w:rsidP="00A93016">
      <w:pPr>
        <w:jc w:val="both"/>
        <w:rPr>
          <w:rFonts w:ascii="Arial Narrow" w:hAnsi="Arial Narrow" w:cstheme="minorHAnsi"/>
          <w:sz w:val="24"/>
          <w:szCs w:val="24"/>
        </w:rPr>
      </w:pPr>
      <w:r w:rsidRPr="00A06A84">
        <w:rPr>
          <w:rFonts w:ascii="Arial Narrow" w:hAnsi="Arial Narrow" w:cstheme="minorHAnsi"/>
          <w:sz w:val="24"/>
          <w:szCs w:val="24"/>
        </w:rPr>
        <w:t>Como se ha explicado a lo largo de la exposición de motivos del presente proyecto de ley, el legislador ha sido revest</w:t>
      </w:r>
      <w:r w:rsidR="00D33B73" w:rsidRPr="00A06A84">
        <w:rPr>
          <w:rFonts w:ascii="Arial Narrow" w:hAnsi="Arial Narrow" w:cstheme="minorHAnsi"/>
          <w:sz w:val="24"/>
          <w:szCs w:val="24"/>
        </w:rPr>
        <w:t xml:space="preserve">ido por la Carta Política de una amplia </w:t>
      </w:r>
      <w:r w:rsidRPr="00A06A84">
        <w:rPr>
          <w:rFonts w:ascii="Arial Narrow" w:hAnsi="Arial Narrow" w:cstheme="minorHAnsi"/>
          <w:sz w:val="24"/>
          <w:szCs w:val="24"/>
        </w:rPr>
        <w:t>libertad de configuración en materia de procedimientos judiciales. De ahí que el Congreso de la República se encuentre autorizado a establecer entre distintos elementos la posibilidad de recurrir las decisiones adoptadas por las autoridades públicas mediante distintos tipos de recursos, como lo es el recurso de apelación.</w:t>
      </w:r>
    </w:p>
    <w:p w:rsidR="00651652" w:rsidRPr="00A06A84" w:rsidRDefault="008868E4" w:rsidP="00A93016">
      <w:pPr>
        <w:jc w:val="both"/>
        <w:rPr>
          <w:rFonts w:ascii="Arial Narrow" w:hAnsi="Arial Narrow" w:cstheme="minorHAnsi"/>
          <w:sz w:val="24"/>
          <w:szCs w:val="24"/>
        </w:rPr>
      </w:pPr>
      <w:r w:rsidRPr="00A06A84">
        <w:rPr>
          <w:rFonts w:ascii="Arial Narrow" w:hAnsi="Arial Narrow" w:cstheme="minorHAnsi"/>
          <w:sz w:val="24"/>
          <w:szCs w:val="24"/>
        </w:rPr>
        <w:t>Igualmente, se ha señalado que el artículo 31 de la Constitución Política de Colombia contempló la doble instancia como una garantía de carácter judicial vinculada al derecho al debido proceso y el derecho de defensa. Sin embargo, esa misma norma también estatuyó la posibilidad de que el legislador establezca límites a esa garantía mediante algunas excepciones. Excepciones que no pueden ser caprichosas sino que deben encontrar sustento en la misma carta Política a través de los principios de razonabilidad, proporcionalidad e igualdad.</w:t>
      </w:r>
    </w:p>
    <w:p w:rsidR="008868E4" w:rsidRPr="00A06A84" w:rsidRDefault="009B0DEC" w:rsidP="00A93016">
      <w:pPr>
        <w:jc w:val="both"/>
        <w:rPr>
          <w:rFonts w:ascii="Arial Narrow" w:hAnsi="Arial Narrow" w:cstheme="minorHAnsi"/>
          <w:sz w:val="24"/>
          <w:szCs w:val="24"/>
        </w:rPr>
      </w:pPr>
      <w:r w:rsidRPr="00A06A84">
        <w:rPr>
          <w:rFonts w:ascii="Arial Narrow" w:hAnsi="Arial Narrow" w:cstheme="minorHAnsi"/>
          <w:sz w:val="24"/>
          <w:szCs w:val="24"/>
        </w:rPr>
        <w:t xml:space="preserve">Ahora bien, después de haber realizado un análisis sobre la imposibilidad que existe hoy en día en el ordenamiento jurídico colombiano de poder impugnar las decisiones judiciales que deciden la nulidad de la elección de los gobernadores, se concluye que no existe ninguna razón </w:t>
      </w:r>
      <w:r w:rsidR="004A5936" w:rsidRPr="00A06A84">
        <w:rPr>
          <w:rFonts w:ascii="Arial Narrow" w:hAnsi="Arial Narrow" w:cstheme="minorHAnsi"/>
          <w:sz w:val="24"/>
          <w:szCs w:val="24"/>
        </w:rPr>
        <w:t>válida para limitar el principio de doble instancia en este tipo de procesos, pues como se vio anteriormente, la gran mayoría de funcionarios de un nivel similar al gobernador, como lo son el contralor departamental, los diputados, algunos alcaldes y algunos concejales, tienen contemplada esta garantía constitucional.</w:t>
      </w:r>
    </w:p>
    <w:p w:rsidR="00AF1149" w:rsidRPr="00A06A84" w:rsidRDefault="004A5936" w:rsidP="00A93016">
      <w:pPr>
        <w:jc w:val="both"/>
        <w:rPr>
          <w:rFonts w:ascii="Arial Narrow" w:hAnsi="Arial Narrow" w:cstheme="minorHAnsi"/>
          <w:sz w:val="24"/>
          <w:szCs w:val="24"/>
        </w:rPr>
      </w:pPr>
      <w:r w:rsidRPr="00A06A84">
        <w:rPr>
          <w:rFonts w:ascii="Arial Narrow" w:hAnsi="Arial Narrow" w:cstheme="minorHAnsi"/>
          <w:sz w:val="24"/>
          <w:szCs w:val="24"/>
        </w:rPr>
        <w:t xml:space="preserve">Por otro lado, se debe advertir que a diferencia del Presidente y Vicepresidente, de los senadores, representantes a la cámara y representantes ante el Parlamento Andino, del Alcalde Mayor de Bogotá, de los miembros de la junta directiva o consejo directivo de las entidades públicas del orden nacional, de los entes autónomos del orden nacional y de las comisiones de regulación, la aplicación hoy en día de la competencia en materia de nulidad electoral del Consejo de Estado en única instancia se ha </w:t>
      </w:r>
      <w:r w:rsidRPr="00A06A84">
        <w:rPr>
          <w:rFonts w:ascii="Arial Narrow" w:hAnsi="Arial Narrow" w:cstheme="minorHAnsi"/>
          <w:sz w:val="24"/>
          <w:szCs w:val="24"/>
        </w:rPr>
        <w:lastRenderedPageBreak/>
        <w:t xml:space="preserve">dado en virtud de la competencia residual de la que trata el numeral 14° del artículo 149 de la Ley 1437 de 2011 y no de la expresión </w:t>
      </w:r>
      <w:r w:rsidR="00D33B73" w:rsidRPr="00A06A84">
        <w:rPr>
          <w:rFonts w:ascii="Arial Narrow" w:hAnsi="Arial Narrow" w:cstheme="minorHAnsi"/>
          <w:sz w:val="24"/>
          <w:szCs w:val="24"/>
        </w:rPr>
        <w:t xml:space="preserve">explícita </w:t>
      </w:r>
      <w:r w:rsidRPr="00A06A84">
        <w:rPr>
          <w:rFonts w:ascii="Arial Narrow" w:hAnsi="Arial Narrow" w:cstheme="minorHAnsi"/>
          <w:sz w:val="24"/>
          <w:szCs w:val="24"/>
        </w:rPr>
        <w:t>de la voluntad del legislador, pues éste último omitió establecer expresamente la competencia de los procesos de nulidad de la elección en contra de los gobernadores.</w:t>
      </w:r>
    </w:p>
    <w:p w:rsidR="004A5936" w:rsidRPr="00A06A84" w:rsidRDefault="00AF1149" w:rsidP="00A93016">
      <w:pPr>
        <w:jc w:val="both"/>
        <w:rPr>
          <w:rFonts w:ascii="Arial Narrow" w:hAnsi="Arial Narrow" w:cstheme="minorHAnsi"/>
          <w:sz w:val="24"/>
          <w:szCs w:val="24"/>
        </w:rPr>
      </w:pPr>
      <w:r w:rsidRPr="00A06A84">
        <w:rPr>
          <w:rFonts w:ascii="Arial Narrow" w:hAnsi="Arial Narrow" w:cstheme="minorHAnsi"/>
          <w:sz w:val="24"/>
          <w:szCs w:val="24"/>
        </w:rPr>
        <w:t>Lo anterior, sumado</w:t>
      </w:r>
      <w:r w:rsidR="00171CF1" w:rsidRPr="00A06A84">
        <w:rPr>
          <w:rFonts w:ascii="Arial Narrow" w:hAnsi="Arial Narrow" w:cstheme="minorHAnsi"/>
          <w:sz w:val="24"/>
          <w:szCs w:val="24"/>
        </w:rPr>
        <w:t xml:space="preserve"> a que l</w:t>
      </w:r>
      <w:r w:rsidRPr="00A06A84">
        <w:rPr>
          <w:rFonts w:ascii="Arial Narrow" w:hAnsi="Arial Narrow" w:cstheme="minorHAnsi"/>
          <w:sz w:val="24"/>
          <w:szCs w:val="24"/>
        </w:rPr>
        <w:t xml:space="preserve">a naturaleza del gobernador dista más de la del presidente, Vicepresidente, senadores, representantes a la cámara, etc., que de la del contralor departamental, diputados a las asambleas departamentales, alcaldes y concejales en municipios con más de </w:t>
      </w:r>
      <w:r w:rsidR="00A06A84" w:rsidRPr="00A06A84">
        <w:rPr>
          <w:rFonts w:ascii="Arial Narrow" w:hAnsi="Arial Narrow" w:cstheme="minorHAnsi"/>
          <w:sz w:val="24"/>
          <w:szCs w:val="24"/>
        </w:rPr>
        <w:t>setenta mil (70.000) habitantes,</w:t>
      </w:r>
      <w:r w:rsidR="002431FC" w:rsidRPr="00A06A84">
        <w:rPr>
          <w:rFonts w:ascii="Arial Narrow" w:hAnsi="Arial Narrow" w:cstheme="minorHAnsi"/>
          <w:sz w:val="24"/>
          <w:szCs w:val="24"/>
        </w:rPr>
        <w:t xml:space="preserve"> y </w:t>
      </w:r>
      <w:r w:rsidR="00A06A84" w:rsidRPr="00A06A84">
        <w:rPr>
          <w:rFonts w:ascii="Arial Narrow" w:hAnsi="Arial Narrow" w:cstheme="minorHAnsi"/>
          <w:sz w:val="24"/>
          <w:szCs w:val="24"/>
        </w:rPr>
        <w:t>que,</w:t>
      </w:r>
      <w:r w:rsidR="002431FC" w:rsidRPr="00A06A84">
        <w:rPr>
          <w:rFonts w:ascii="Arial Narrow" w:hAnsi="Arial Narrow" w:cstheme="minorHAnsi"/>
          <w:sz w:val="24"/>
          <w:szCs w:val="24"/>
        </w:rPr>
        <w:t xml:space="preserve"> por lo tanto, la determinación de la competencia en discusión vía competencia residual del Consejo de Estado es manifiestamente contraria al principio de igualdad.</w:t>
      </w:r>
    </w:p>
    <w:p w:rsidR="00651652" w:rsidRPr="00A06A84" w:rsidRDefault="00AF1149" w:rsidP="00A93016">
      <w:pPr>
        <w:jc w:val="both"/>
        <w:rPr>
          <w:rFonts w:ascii="Arial Narrow" w:hAnsi="Arial Narrow" w:cstheme="minorHAnsi"/>
          <w:sz w:val="24"/>
          <w:szCs w:val="24"/>
        </w:rPr>
      </w:pPr>
      <w:r w:rsidRPr="00A06A84">
        <w:rPr>
          <w:rFonts w:ascii="Arial Narrow" w:hAnsi="Arial Narrow" w:cstheme="minorHAnsi"/>
          <w:sz w:val="24"/>
          <w:szCs w:val="24"/>
        </w:rPr>
        <w:t xml:space="preserve">Por todo lo anterior, se concluye que es necesaria </w:t>
      </w:r>
      <w:r w:rsidR="00A06A84" w:rsidRPr="00A06A84">
        <w:rPr>
          <w:rFonts w:ascii="Arial Narrow" w:hAnsi="Arial Narrow" w:cstheme="minorHAnsi"/>
          <w:sz w:val="24"/>
          <w:szCs w:val="24"/>
        </w:rPr>
        <w:t>una ley</w:t>
      </w:r>
      <w:r w:rsidRPr="00A06A84">
        <w:rPr>
          <w:rFonts w:ascii="Arial Narrow" w:hAnsi="Arial Narrow" w:cstheme="minorHAnsi"/>
          <w:sz w:val="24"/>
          <w:szCs w:val="24"/>
        </w:rPr>
        <w:t xml:space="preserve"> de la República que subsane la omisión legislativa que involuntariamente cometió el legislador en materia de competencia en los procesos de nulidad electoral de los gobernadores, mediante la modificación del numeral 8° del artículo 152 de la Ley 1437 de 2011 introduciendo la expresión </w:t>
      </w:r>
      <w:r w:rsidRPr="00A06A84">
        <w:rPr>
          <w:rFonts w:ascii="Arial Narrow" w:hAnsi="Arial Narrow" w:cstheme="minorHAnsi"/>
          <w:i/>
          <w:sz w:val="24"/>
          <w:szCs w:val="24"/>
        </w:rPr>
        <w:t>gobernadores</w:t>
      </w:r>
      <w:r w:rsidRPr="00A06A84">
        <w:rPr>
          <w:rFonts w:ascii="Arial Narrow" w:hAnsi="Arial Narrow" w:cstheme="minorHAnsi"/>
          <w:sz w:val="24"/>
          <w:szCs w:val="24"/>
        </w:rPr>
        <w:t xml:space="preserve"> en la literalidad de la norma.</w:t>
      </w:r>
    </w:p>
    <w:p w:rsidR="005942DD" w:rsidRDefault="005942DD" w:rsidP="00E725F3">
      <w:pPr>
        <w:jc w:val="both"/>
        <w:rPr>
          <w:rFonts w:ascii="Arial Narrow" w:hAnsi="Arial Narrow" w:cstheme="minorHAnsi"/>
          <w:sz w:val="24"/>
          <w:szCs w:val="24"/>
        </w:rPr>
      </w:pPr>
    </w:p>
    <w:p w:rsidR="00E725F3" w:rsidRPr="00A06A84" w:rsidRDefault="00E725F3" w:rsidP="00E725F3">
      <w:pPr>
        <w:jc w:val="both"/>
        <w:rPr>
          <w:rFonts w:ascii="Arial Narrow" w:hAnsi="Arial Narrow" w:cstheme="minorHAnsi"/>
          <w:sz w:val="24"/>
          <w:szCs w:val="24"/>
        </w:rPr>
      </w:pPr>
      <w:r w:rsidRPr="00A06A84">
        <w:rPr>
          <w:rFonts w:ascii="Arial Narrow" w:hAnsi="Arial Narrow" w:cstheme="minorHAnsi"/>
          <w:sz w:val="24"/>
          <w:szCs w:val="24"/>
        </w:rPr>
        <w:t>A consideración de los honorables congresistas,</w:t>
      </w:r>
    </w:p>
    <w:p w:rsidR="00E725F3" w:rsidRPr="00A06A84" w:rsidRDefault="00E725F3" w:rsidP="00E725F3">
      <w:pPr>
        <w:jc w:val="both"/>
        <w:rPr>
          <w:rFonts w:ascii="Arial Narrow" w:hAnsi="Arial Narrow" w:cstheme="minorHAnsi"/>
          <w:sz w:val="24"/>
          <w:szCs w:val="24"/>
        </w:rPr>
      </w:pPr>
    </w:p>
    <w:p w:rsidR="00E725F3" w:rsidRDefault="00E725F3" w:rsidP="00E725F3">
      <w:pPr>
        <w:jc w:val="both"/>
        <w:rPr>
          <w:rFonts w:ascii="Arial Narrow" w:hAnsi="Arial Narrow" w:cstheme="minorHAnsi"/>
          <w:sz w:val="24"/>
          <w:szCs w:val="24"/>
        </w:rPr>
      </w:pPr>
    </w:p>
    <w:p w:rsidR="005942DD" w:rsidRPr="00A06A84" w:rsidRDefault="005942DD" w:rsidP="00E725F3">
      <w:pPr>
        <w:jc w:val="both"/>
        <w:rPr>
          <w:rFonts w:ascii="Arial Narrow" w:hAnsi="Arial Narrow" w:cstheme="minorHAnsi"/>
          <w:sz w:val="24"/>
          <w:szCs w:val="24"/>
        </w:rPr>
      </w:pPr>
    </w:p>
    <w:p w:rsidR="00E725F3" w:rsidRPr="00A06A84" w:rsidRDefault="00E725F3" w:rsidP="00E725F3">
      <w:pPr>
        <w:jc w:val="both"/>
        <w:rPr>
          <w:rFonts w:ascii="Arial Narrow" w:hAnsi="Arial Narrow" w:cstheme="minorHAnsi"/>
          <w:sz w:val="24"/>
          <w:szCs w:val="24"/>
        </w:rPr>
      </w:pPr>
    </w:p>
    <w:p w:rsidR="00E725F3" w:rsidRPr="00A06A84" w:rsidRDefault="00E725F3" w:rsidP="00E725F3">
      <w:pPr>
        <w:spacing w:after="0"/>
        <w:jc w:val="center"/>
        <w:rPr>
          <w:rFonts w:ascii="Arial Narrow" w:hAnsi="Arial Narrow" w:cstheme="minorHAnsi"/>
          <w:b/>
          <w:sz w:val="24"/>
          <w:szCs w:val="24"/>
        </w:rPr>
      </w:pPr>
      <w:r w:rsidRPr="00A06A84">
        <w:rPr>
          <w:rFonts w:ascii="Arial Narrow" w:hAnsi="Arial Narrow" w:cstheme="minorHAnsi"/>
          <w:b/>
          <w:sz w:val="24"/>
          <w:szCs w:val="24"/>
        </w:rPr>
        <w:t>ELOY CHICHÍ QUINTERO ROMERO</w:t>
      </w:r>
    </w:p>
    <w:p w:rsidR="00E725F3" w:rsidRPr="00A06A84" w:rsidRDefault="00E725F3" w:rsidP="00E725F3">
      <w:pPr>
        <w:spacing w:after="0"/>
        <w:jc w:val="center"/>
        <w:rPr>
          <w:rFonts w:ascii="Arial Narrow" w:hAnsi="Arial Narrow" w:cstheme="minorHAnsi"/>
          <w:sz w:val="24"/>
          <w:szCs w:val="24"/>
        </w:rPr>
      </w:pPr>
      <w:r w:rsidRPr="00A06A84">
        <w:rPr>
          <w:rFonts w:ascii="Arial Narrow" w:hAnsi="Arial Narrow" w:cstheme="minorHAnsi"/>
          <w:sz w:val="24"/>
          <w:szCs w:val="24"/>
        </w:rPr>
        <w:t>Representante a la Cámara</w:t>
      </w:r>
    </w:p>
    <w:p w:rsidR="00E725F3" w:rsidRPr="00A06A84" w:rsidRDefault="00E725F3" w:rsidP="00E725F3">
      <w:pPr>
        <w:spacing w:after="0"/>
        <w:jc w:val="center"/>
        <w:rPr>
          <w:rFonts w:ascii="Arial Narrow" w:hAnsi="Arial Narrow" w:cstheme="minorHAnsi"/>
          <w:sz w:val="24"/>
          <w:szCs w:val="24"/>
        </w:rPr>
      </w:pPr>
      <w:r w:rsidRPr="00A06A84">
        <w:rPr>
          <w:rFonts w:ascii="Arial Narrow" w:hAnsi="Arial Narrow" w:cstheme="minorHAnsi"/>
          <w:sz w:val="24"/>
          <w:szCs w:val="24"/>
        </w:rPr>
        <w:t>Departamento del Cesar</w:t>
      </w:r>
    </w:p>
    <w:sectPr w:rsidR="00E725F3" w:rsidRPr="00A06A84" w:rsidSect="007E2A4C">
      <w:headerReference w:type="default" r:id="rId7"/>
      <w:footerReference w:type="default" r:id="rId8"/>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1E" w:rsidRDefault="00C9591E" w:rsidP="007E2A4C">
      <w:pPr>
        <w:spacing w:after="0" w:line="240" w:lineRule="auto"/>
      </w:pPr>
      <w:r>
        <w:separator/>
      </w:r>
    </w:p>
  </w:endnote>
  <w:endnote w:type="continuationSeparator" w:id="0">
    <w:p w:rsidR="00C9591E" w:rsidRDefault="00C9591E" w:rsidP="007E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406033"/>
      <w:docPartObj>
        <w:docPartGallery w:val="Page Numbers (Bottom of Page)"/>
        <w:docPartUnique/>
      </w:docPartObj>
    </w:sdtPr>
    <w:sdtEndPr/>
    <w:sdtContent>
      <w:p w:rsidR="00F2545F" w:rsidRDefault="00F2545F">
        <w:pPr>
          <w:pStyle w:val="Piedepgina"/>
          <w:jc w:val="right"/>
        </w:pPr>
        <w:r>
          <w:fldChar w:fldCharType="begin"/>
        </w:r>
        <w:r>
          <w:instrText>PAGE   \* MERGEFORMAT</w:instrText>
        </w:r>
        <w:r>
          <w:fldChar w:fldCharType="separate"/>
        </w:r>
        <w:r w:rsidR="00F45FB9" w:rsidRPr="00F45FB9">
          <w:rPr>
            <w:noProof/>
            <w:lang w:val="es-ES"/>
          </w:rPr>
          <w:t>3</w:t>
        </w:r>
        <w:r>
          <w:fldChar w:fldCharType="end"/>
        </w:r>
      </w:p>
    </w:sdtContent>
  </w:sdt>
  <w:p w:rsidR="002D7833" w:rsidRPr="002D7833" w:rsidRDefault="002D7833" w:rsidP="002D7833">
    <w:pPr>
      <w:pStyle w:val="Piedepgina"/>
      <w:jc w:val="center"/>
      <w:rPr>
        <w:rFonts w:ascii="Arial Narrow" w:eastAsia="Arial Unicode MS" w:hAnsi="Arial Narrow" w:cs="Arial"/>
        <w:b/>
        <w:color w:val="404040" w:themeColor="text1" w:themeTint="BF"/>
        <w:spacing w:val="60"/>
        <w:sz w:val="18"/>
        <w:szCs w:val="18"/>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1E" w:rsidRDefault="00C9591E" w:rsidP="007E2A4C">
      <w:pPr>
        <w:spacing w:after="0" w:line="240" w:lineRule="auto"/>
      </w:pPr>
      <w:r>
        <w:separator/>
      </w:r>
    </w:p>
  </w:footnote>
  <w:footnote w:type="continuationSeparator" w:id="0">
    <w:p w:rsidR="00C9591E" w:rsidRDefault="00C9591E" w:rsidP="007E2A4C">
      <w:pPr>
        <w:spacing w:after="0" w:line="240" w:lineRule="auto"/>
      </w:pPr>
      <w:r>
        <w:continuationSeparator/>
      </w:r>
    </w:p>
  </w:footnote>
  <w:footnote w:id="1">
    <w:p w:rsidR="00D03652" w:rsidRPr="0014112D" w:rsidRDefault="00D03652">
      <w:pPr>
        <w:pStyle w:val="Textonotapie"/>
        <w:rPr>
          <w:rFonts w:ascii="Arial Narrow" w:hAnsi="Arial Narrow"/>
        </w:rPr>
      </w:pPr>
      <w:r w:rsidRPr="0014112D">
        <w:rPr>
          <w:rStyle w:val="Refdenotaalpie"/>
          <w:rFonts w:ascii="Arial Narrow" w:hAnsi="Arial Narrow"/>
        </w:rPr>
        <w:footnoteRef/>
      </w:r>
      <w:r w:rsidRPr="0014112D">
        <w:rPr>
          <w:rFonts w:ascii="Arial Narrow" w:hAnsi="Arial Narrow"/>
        </w:rPr>
        <w:t xml:space="preserve"> Sentencia C-259 de 2015 de la Corte Constitucional.</w:t>
      </w:r>
    </w:p>
  </w:footnote>
  <w:footnote w:id="2">
    <w:p w:rsidR="000B5946" w:rsidRPr="0014112D" w:rsidRDefault="000B5946">
      <w:pPr>
        <w:pStyle w:val="Textonotapie"/>
        <w:rPr>
          <w:rFonts w:ascii="Arial Narrow" w:hAnsi="Arial Narrow"/>
        </w:rPr>
      </w:pPr>
      <w:r w:rsidRPr="0014112D">
        <w:rPr>
          <w:rStyle w:val="Refdenotaalpie"/>
          <w:rFonts w:ascii="Arial Narrow" w:hAnsi="Arial Narrow"/>
        </w:rPr>
        <w:footnoteRef/>
      </w:r>
      <w:r w:rsidRPr="0014112D">
        <w:rPr>
          <w:rFonts w:ascii="Arial Narrow" w:hAnsi="Arial Narrow"/>
        </w:rPr>
        <w:t xml:space="preserve"> Sentencia C-095 de 2003</w:t>
      </w:r>
      <w:r w:rsidR="00D76251" w:rsidRPr="0014112D">
        <w:rPr>
          <w:rFonts w:ascii="Arial Narrow" w:hAnsi="Arial Narrow"/>
        </w:rPr>
        <w:t xml:space="preserve"> de la Corte Constitucional.</w:t>
      </w:r>
    </w:p>
  </w:footnote>
  <w:footnote w:id="3">
    <w:p w:rsidR="00434C4E" w:rsidRPr="0014112D" w:rsidRDefault="00434C4E">
      <w:pPr>
        <w:pStyle w:val="Textonotapie"/>
        <w:rPr>
          <w:rFonts w:ascii="Arial Narrow" w:hAnsi="Arial Narrow"/>
        </w:rPr>
      </w:pPr>
      <w:r w:rsidRPr="0014112D">
        <w:rPr>
          <w:rStyle w:val="Refdenotaalpie"/>
          <w:rFonts w:ascii="Arial Narrow" w:hAnsi="Arial Narrow"/>
        </w:rPr>
        <w:footnoteRef/>
      </w:r>
      <w:r w:rsidRPr="0014112D">
        <w:rPr>
          <w:rFonts w:ascii="Arial Narrow" w:hAnsi="Arial Narrow"/>
        </w:rPr>
        <w:t xml:space="preserve"> Sentencia C-540 de 2011 de la Corte Constitucional.</w:t>
      </w:r>
    </w:p>
  </w:footnote>
  <w:footnote w:id="4">
    <w:p w:rsidR="00D76251" w:rsidRPr="0014112D" w:rsidRDefault="00D76251">
      <w:pPr>
        <w:pStyle w:val="Textonotapie"/>
        <w:rPr>
          <w:rFonts w:ascii="Arial Narrow" w:hAnsi="Arial Narrow"/>
        </w:rPr>
      </w:pPr>
      <w:r w:rsidRPr="0014112D">
        <w:rPr>
          <w:rStyle w:val="Refdenotaalpie"/>
          <w:rFonts w:ascii="Arial Narrow" w:hAnsi="Arial Narrow"/>
        </w:rPr>
        <w:footnoteRef/>
      </w:r>
      <w:r w:rsidRPr="0014112D">
        <w:rPr>
          <w:rFonts w:ascii="Arial Narrow" w:hAnsi="Arial Narrow"/>
        </w:rPr>
        <w:t xml:space="preserve"> </w:t>
      </w:r>
      <w:r w:rsidR="00F33B29" w:rsidRPr="0014112D">
        <w:rPr>
          <w:rFonts w:ascii="Arial Narrow" w:hAnsi="Arial Narrow"/>
        </w:rPr>
        <w:t>Sentencia</w:t>
      </w:r>
      <w:r w:rsidRPr="0014112D">
        <w:rPr>
          <w:rFonts w:ascii="Arial Narrow" w:hAnsi="Arial Narrow"/>
        </w:rPr>
        <w:t xml:space="preserve"> C-426 de 2002 de la Corte </w:t>
      </w:r>
      <w:r w:rsidR="00434C4E" w:rsidRPr="0014112D">
        <w:rPr>
          <w:rFonts w:ascii="Arial Narrow" w:hAnsi="Arial Narrow"/>
        </w:rPr>
        <w:t>Constitucional</w:t>
      </w:r>
      <w:r w:rsidRPr="0014112D">
        <w:rPr>
          <w:rFonts w:ascii="Arial Narrow" w:hAnsi="Arial Narrow"/>
        </w:rPr>
        <w:t>.</w:t>
      </w:r>
    </w:p>
  </w:footnote>
  <w:footnote w:id="5">
    <w:p w:rsidR="00F33B29" w:rsidRPr="0014112D" w:rsidRDefault="00F33B29">
      <w:pPr>
        <w:pStyle w:val="Textonotapie"/>
        <w:rPr>
          <w:rFonts w:ascii="Arial Narrow" w:hAnsi="Arial Narrow"/>
        </w:rPr>
      </w:pPr>
      <w:r w:rsidRPr="0014112D">
        <w:rPr>
          <w:rStyle w:val="Refdenotaalpie"/>
          <w:rFonts w:ascii="Arial Narrow" w:hAnsi="Arial Narrow"/>
        </w:rPr>
        <w:footnoteRef/>
      </w:r>
      <w:r w:rsidRPr="0014112D">
        <w:rPr>
          <w:rFonts w:ascii="Arial Narrow" w:hAnsi="Arial Narrow"/>
        </w:rPr>
        <w:t xml:space="preserve"> Sentencia C-095 de 2003 de la Corte Constitucional.</w:t>
      </w:r>
    </w:p>
  </w:footnote>
  <w:footnote w:id="6">
    <w:p w:rsidR="00D90DDB" w:rsidRDefault="00D90DDB">
      <w:pPr>
        <w:pStyle w:val="Textonotapie"/>
      </w:pPr>
      <w:r w:rsidRPr="0014112D">
        <w:rPr>
          <w:rStyle w:val="Refdenotaalpie"/>
          <w:rFonts w:ascii="Arial Narrow" w:hAnsi="Arial Narrow"/>
        </w:rPr>
        <w:footnoteRef/>
      </w:r>
      <w:r w:rsidRPr="0014112D">
        <w:rPr>
          <w:rFonts w:ascii="Arial Narrow" w:hAnsi="Arial Narrow"/>
        </w:rPr>
        <w:t xml:space="preserve"> Sentencia C-250 </w:t>
      </w:r>
      <w:r w:rsidR="0014112D" w:rsidRPr="0014112D">
        <w:rPr>
          <w:rFonts w:ascii="Arial Narrow" w:hAnsi="Arial Narrow"/>
        </w:rPr>
        <w:t>de 2012</w:t>
      </w:r>
      <w:r w:rsidRPr="0014112D">
        <w:rPr>
          <w:rFonts w:ascii="Arial Narrow" w:hAnsi="Arial Narrow"/>
        </w:rPr>
        <w:t xml:space="preserve"> de la Corte Constitucio</w:t>
      </w:r>
      <w:r>
        <w:t>nal</w:t>
      </w:r>
      <w:r w:rsidR="00CE6159">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4C" w:rsidRDefault="007E2A4C">
    <w:pPr>
      <w:pStyle w:val="Encabezado"/>
    </w:pPr>
    <w:r>
      <w:rPr>
        <w:noProof/>
        <w:lang w:eastAsia="es-CO"/>
      </w:rPr>
      <w:drawing>
        <wp:anchor distT="0" distB="0" distL="114300" distR="114300" simplePos="0" relativeHeight="251658240" behindDoc="1" locked="0" layoutInCell="1" allowOverlap="1" wp14:anchorId="3A81EDC5" wp14:editId="258B71D0">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rotWithShape="1">
                  <a:blip r:embed="rId1">
                    <a:extLst>
                      <a:ext uri="{28A0092B-C50C-407E-A947-70E740481C1C}">
                        <a14:useLocalDpi xmlns:a14="http://schemas.microsoft.com/office/drawing/2010/main" val="0"/>
                      </a:ext>
                    </a:extLst>
                  </a:blip>
                  <a:srcRect t="21925" b="23457"/>
                  <a:stretch/>
                </pic:blipFill>
                <pic:spPr bwMode="auto">
                  <a:xfrm>
                    <a:off x="0" y="0"/>
                    <a:ext cx="2784475" cy="88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2A4C" w:rsidRDefault="007E2A4C">
    <w:pPr>
      <w:pStyle w:val="Encabezado"/>
    </w:pPr>
  </w:p>
  <w:p w:rsidR="007E2A4C" w:rsidRDefault="007E2A4C">
    <w:pPr>
      <w:pStyle w:val="Encabezado"/>
    </w:pPr>
  </w:p>
  <w:p w:rsidR="007E2A4C" w:rsidRPr="007E2A4C" w:rsidRDefault="007E2A4C" w:rsidP="007E2A4C">
    <w:pPr>
      <w:pStyle w:val="Encabezado"/>
      <w:tabs>
        <w:tab w:val="clear" w:pos="4419"/>
        <w:tab w:val="clear" w:pos="8838"/>
        <w:tab w:val="left" w:pos="2177"/>
      </w:tabs>
      <w:rPr>
        <w:sz w:val="18"/>
        <w:szCs w:val="18"/>
      </w:rPr>
    </w:pPr>
    <w:r>
      <w:tab/>
    </w:r>
  </w:p>
  <w:p w:rsidR="007E2A4C" w:rsidRPr="002D7833" w:rsidRDefault="007E2A4C" w:rsidP="007E2A4C">
    <w:pPr>
      <w:pStyle w:val="Encabezado"/>
      <w:jc w:val="center"/>
      <w:rPr>
        <w:rFonts w:ascii="Arial Narrow" w:eastAsia="Arial Unicode MS" w:hAnsi="Arial Narrow" w:cs="Arial"/>
        <w:b/>
        <w:color w:val="404040" w:themeColor="text1" w:themeTint="BF"/>
        <w:spacing w:val="60"/>
        <w:sz w:val="18"/>
        <w:szCs w:val="18"/>
      </w:rPr>
    </w:pPr>
    <w:r w:rsidRPr="002D7833">
      <w:rPr>
        <w:rFonts w:ascii="Arial Narrow" w:eastAsia="Arial Unicode MS" w:hAnsi="Arial Narrow" w:cs="Arial"/>
        <w:b/>
        <w:color w:val="404040" w:themeColor="text1" w:themeTint="BF"/>
        <w:spacing w:val="60"/>
        <w:sz w:val="18"/>
        <w:szCs w:val="18"/>
      </w:rPr>
      <w:t>Eloy Chichí Quintero Romero</w:t>
    </w:r>
  </w:p>
  <w:p w:rsidR="007E2A4C" w:rsidRPr="002D7833" w:rsidRDefault="007E2A4C" w:rsidP="007E2A4C">
    <w:pPr>
      <w:pStyle w:val="Encabezado"/>
      <w:jc w:val="center"/>
      <w:rPr>
        <w:rFonts w:ascii="Arial Narrow" w:eastAsia="Arial Unicode MS" w:hAnsi="Arial Narrow" w:cs="Arial"/>
        <w:b/>
        <w:color w:val="404040" w:themeColor="text1" w:themeTint="BF"/>
        <w:spacing w:val="60"/>
        <w:sz w:val="18"/>
        <w:szCs w:val="18"/>
      </w:rPr>
    </w:pPr>
    <w:r w:rsidRPr="002D7833">
      <w:rPr>
        <w:rFonts w:ascii="Arial Narrow" w:eastAsia="Arial Unicode MS" w:hAnsi="Arial Narrow" w:cs="Arial"/>
        <w:b/>
        <w:color w:val="404040" w:themeColor="text1" w:themeTint="BF"/>
        <w:spacing w:val="60"/>
        <w:sz w:val="18"/>
        <w:szCs w:val="18"/>
      </w:rPr>
      <w:t>Representante a la Cámara</w:t>
    </w:r>
  </w:p>
  <w:p w:rsidR="007E2A4C" w:rsidRPr="007E2A4C" w:rsidRDefault="007E2A4C" w:rsidP="007E2A4C">
    <w:pPr>
      <w:pStyle w:val="Encabezado"/>
      <w:jc w:val="center"/>
      <w:rPr>
        <w:rFonts w:ascii="Arial" w:eastAsia="Arial Unicode MS" w:hAnsi="Arial" w:cs="Arial"/>
        <w:b/>
        <w:color w:val="404040" w:themeColor="text1" w:themeTint="BF"/>
        <w:spacing w:val="6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48"/>
    <w:rsid w:val="00005B47"/>
    <w:rsid w:val="00097380"/>
    <w:rsid w:val="000A3208"/>
    <w:rsid w:val="000B5946"/>
    <w:rsid w:val="000C0712"/>
    <w:rsid w:val="0012126D"/>
    <w:rsid w:val="00126E37"/>
    <w:rsid w:val="0014112D"/>
    <w:rsid w:val="001540A6"/>
    <w:rsid w:val="00171CF1"/>
    <w:rsid w:val="00176A47"/>
    <w:rsid w:val="00184DB1"/>
    <w:rsid w:val="001A1453"/>
    <w:rsid w:val="001F3644"/>
    <w:rsid w:val="002327CE"/>
    <w:rsid w:val="0023504E"/>
    <w:rsid w:val="002431FC"/>
    <w:rsid w:val="0024583D"/>
    <w:rsid w:val="00260C46"/>
    <w:rsid w:val="00266F1B"/>
    <w:rsid w:val="002931E7"/>
    <w:rsid w:val="00293B86"/>
    <w:rsid w:val="002B096A"/>
    <w:rsid w:val="002D4555"/>
    <w:rsid w:val="002D7833"/>
    <w:rsid w:val="00351516"/>
    <w:rsid w:val="003950B0"/>
    <w:rsid w:val="003A1DD3"/>
    <w:rsid w:val="003A6C5E"/>
    <w:rsid w:val="003B3BA3"/>
    <w:rsid w:val="00434C4E"/>
    <w:rsid w:val="00472167"/>
    <w:rsid w:val="004951A7"/>
    <w:rsid w:val="004A5936"/>
    <w:rsid w:val="004B37A6"/>
    <w:rsid w:val="004C7EF0"/>
    <w:rsid w:val="00507AC4"/>
    <w:rsid w:val="00510C79"/>
    <w:rsid w:val="00515F85"/>
    <w:rsid w:val="00562DC8"/>
    <w:rsid w:val="00565026"/>
    <w:rsid w:val="005849C8"/>
    <w:rsid w:val="005942DD"/>
    <w:rsid w:val="005D045E"/>
    <w:rsid w:val="005F75EC"/>
    <w:rsid w:val="00627D2A"/>
    <w:rsid w:val="00651652"/>
    <w:rsid w:val="006D32B8"/>
    <w:rsid w:val="006D632C"/>
    <w:rsid w:val="00706C73"/>
    <w:rsid w:val="0070785A"/>
    <w:rsid w:val="00722BCA"/>
    <w:rsid w:val="00763A92"/>
    <w:rsid w:val="0076480F"/>
    <w:rsid w:val="007652E0"/>
    <w:rsid w:val="0077224E"/>
    <w:rsid w:val="007E026E"/>
    <w:rsid w:val="007E2A4C"/>
    <w:rsid w:val="007F56B3"/>
    <w:rsid w:val="008210CE"/>
    <w:rsid w:val="00821FE4"/>
    <w:rsid w:val="00834F62"/>
    <w:rsid w:val="008868E4"/>
    <w:rsid w:val="008A23F5"/>
    <w:rsid w:val="008B1095"/>
    <w:rsid w:val="009479D6"/>
    <w:rsid w:val="00995AF3"/>
    <w:rsid w:val="009A142F"/>
    <w:rsid w:val="009B0DEC"/>
    <w:rsid w:val="00A06A84"/>
    <w:rsid w:val="00A92A45"/>
    <w:rsid w:val="00A93016"/>
    <w:rsid w:val="00AC3790"/>
    <w:rsid w:val="00AF1149"/>
    <w:rsid w:val="00B15171"/>
    <w:rsid w:val="00B162B2"/>
    <w:rsid w:val="00B54A77"/>
    <w:rsid w:val="00B71583"/>
    <w:rsid w:val="00B92132"/>
    <w:rsid w:val="00BA089B"/>
    <w:rsid w:val="00BC6048"/>
    <w:rsid w:val="00BE0688"/>
    <w:rsid w:val="00BE2273"/>
    <w:rsid w:val="00C12D95"/>
    <w:rsid w:val="00C7152B"/>
    <w:rsid w:val="00C9591E"/>
    <w:rsid w:val="00CB4ACD"/>
    <w:rsid w:val="00CE6159"/>
    <w:rsid w:val="00D03652"/>
    <w:rsid w:val="00D07E09"/>
    <w:rsid w:val="00D270CF"/>
    <w:rsid w:val="00D33B73"/>
    <w:rsid w:val="00D76251"/>
    <w:rsid w:val="00D90DDB"/>
    <w:rsid w:val="00DB7469"/>
    <w:rsid w:val="00DC0C30"/>
    <w:rsid w:val="00DD0AC2"/>
    <w:rsid w:val="00DE16C9"/>
    <w:rsid w:val="00DE4841"/>
    <w:rsid w:val="00E31ACE"/>
    <w:rsid w:val="00E4767E"/>
    <w:rsid w:val="00E6632C"/>
    <w:rsid w:val="00E725F3"/>
    <w:rsid w:val="00E73878"/>
    <w:rsid w:val="00E85807"/>
    <w:rsid w:val="00E90865"/>
    <w:rsid w:val="00EB7227"/>
    <w:rsid w:val="00ED45B2"/>
    <w:rsid w:val="00EE4067"/>
    <w:rsid w:val="00F05A42"/>
    <w:rsid w:val="00F15D0D"/>
    <w:rsid w:val="00F236BB"/>
    <w:rsid w:val="00F2545F"/>
    <w:rsid w:val="00F30456"/>
    <w:rsid w:val="00F33B29"/>
    <w:rsid w:val="00F44699"/>
    <w:rsid w:val="00F45FB9"/>
    <w:rsid w:val="00F47EC3"/>
    <w:rsid w:val="00F536F6"/>
    <w:rsid w:val="00F72239"/>
    <w:rsid w:val="00F73FD2"/>
    <w:rsid w:val="00F77E27"/>
    <w:rsid w:val="00F823D5"/>
    <w:rsid w:val="00FD5512"/>
    <w:rsid w:val="00FF2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DF26F8-8275-426E-82BE-380A77BF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3A92"/>
    <w:rPr>
      <w:color w:val="0000FF" w:themeColor="hyperlink"/>
      <w:u w:val="single"/>
    </w:rPr>
  </w:style>
  <w:style w:type="paragraph" w:styleId="Encabezado">
    <w:name w:val="header"/>
    <w:basedOn w:val="Normal"/>
    <w:link w:val="EncabezadoCar"/>
    <w:uiPriority w:val="99"/>
    <w:unhideWhenUsed/>
    <w:rsid w:val="007E2A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2A4C"/>
  </w:style>
  <w:style w:type="paragraph" w:styleId="Piedepgina">
    <w:name w:val="footer"/>
    <w:basedOn w:val="Normal"/>
    <w:link w:val="PiedepginaCar"/>
    <w:uiPriority w:val="99"/>
    <w:unhideWhenUsed/>
    <w:rsid w:val="007E2A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2A4C"/>
  </w:style>
  <w:style w:type="paragraph" w:styleId="Textodeglobo">
    <w:name w:val="Balloon Text"/>
    <w:basedOn w:val="Normal"/>
    <w:link w:val="TextodegloboCar"/>
    <w:uiPriority w:val="99"/>
    <w:semiHidden/>
    <w:unhideWhenUsed/>
    <w:rsid w:val="007E2A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4C"/>
    <w:rPr>
      <w:rFonts w:ascii="Tahoma" w:hAnsi="Tahoma" w:cs="Tahoma"/>
      <w:sz w:val="16"/>
      <w:szCs w:val="16"/>
    </w:rPr>
  </w:style>
  <w:style w:type="paragraph" w:styleId="NormalWeb">
    <w:name w:val="Normal (Web)"/>
    <w:basedOn w:val="Normal"/>
    <w:uiPriority w:val="99"/>
    <w:unhideWhenUsed/>
    <w:rsid w:val="00834F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34F62"/>
  </w:style>
  <w:style w:type="paragraph" w:styleId="Textonotapie">
    <w:name w:val="footnote text"/>
    <w:basedOn w:val="Normal"/>
    <w:link w:val="TextonotapieCar"/>
    <w:uiPriority w:val="99"/>
    <w:semiHidden/>
    <w:unhideWhenUsed/>
    <w:rsid w:val="00AC37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3790"/>
    <w:rPr>
      <w:sz w:val="20"/>
      <w:szCs w:val="20"/>
    </w:rPr>
  </w:style>
  <w:style w:type="character" w:styleId="Refdenotaalpie">
    <w:name w:val="footnote reference"/>
    <w:basedOn w:val="Fuentedeprrafopredeter"/>
    <w:uiPriority w:val="99"/>
    <w:semiHidden/>
    <w:unhideWhenUsed/>
    <w:rsid w:val="00AC3790"/>
    <w:rPr>
      <w:vertAlign w:val="superscript"/>
    </w:rPr>
  </w:style>
  <w:style w:type="character" w:styleId="Textoennegrita">
    <w:name w:val="Strong"/>
    <w:basedOn w:val="Fuentedeprrafopredeter"/>
    <w:uiPriority w:val="22"/>
    <w:qFormat/>
    <w:rsid w:val="007F56B3"/>
    <w:rPr>
      <w:b/>
      <w:bCs/>
    </w:rPr>
  </w:style>
  <w:style w:type="character" w:styleId="Hipervnculovisitado">
    <w:name w:val="FollowedHyperlink"/>
    <w:basedOn w:val="Fuentedeprrafopredeter"/>
    <w:uiPriority w:val="99"/>
    <w:semiHidden/>
    <w:unhideWhenUsed/>
    <w:rsid w:val="00E4767E"/>
    <w:rPr>
      <w:color w:val="800080" w:themeColor="followedHyperlink"/>
      <w:u w:val="single"/>
    </w:rPr>
  </w:style>
  <w:style w:type="table" w:styleId="Tablaconcuadrcula">
    <w:name w:val="Table Grid"/>
    <w:basedOn w:val="Tablanormal"/>
    <w:uiPriority w:val="59"/>
    <w:rsid w:val="00CE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6861">
      <w:bodyDiv w:val="1"/>
      <w:marLeft w:val="0"/>
      <w:marRight w:val="0"/>
      <w:marTop w:val="0"/>
      <w:marBottom w:val="0"/>
      <w:divBdr>
        <w:top w:val="none" w:sz="0" w:space="0" w:color="auto"/>
        <w:left w:val="none" w:sz="0" w:space="0" w:color="auto"/>
        <w:bottom w:val="none" w:sz="0" w:space="0" w:color="auto"/>
        <w:right w:val="none" w:sz="0" w:space="0" w:color="auto"/>
      </w:divBdr>
    </w:div>
    <w:div w:id="167140651">
      <w:bodyDiv w:val="1"/>
      <w:marLeft w:val="0"/>
      <w:marRight w:val="0"/>
      <w:marTop w:val="0"/>
      <w:marBottom w:val="0"/>
      <w:divBdr>
        <w:top w:val="none" w:sz="0" w:space="0" w:color="auto"/>
        <w:left w:val="none" w:sz="0" w:space="0" w:color="auto"/>
        <w:bottom w:val="none" w:sz="0" w:space="0" w:color="auto"/>
        <w:right w:val="none" w:sz="0" w:space="0" w:color="auto"/>
      </w:divBdr>
    </w:div>
    <w:div w:id="329068359">
      <w:bodyDiv w:val="1"/>
      <w:marLeft w:val="0"/>
      <w:marRight w:val="0"/>
      <w:marTop w:val="0"/>
      <w:marBottom w:val="0"/>
      <w:divBdr>
        <w:top w:val="none" w:sz="0" w:space="0" w:color="auto"/>
        <w:left w:val="none" w:sz="0" w:space="0" w:color="auto"/>
        <w:bottom w:val="none" w:sz="0" w:space="0" w:color="auto"/>
        <w:right w:val="none" w:sz="0" w:space="0" w:color="auto"/>
      </w:divBdr>
    </w:div>
    <w:div w:id="744883576">
      <w:bodyDiv w:val="1"/>
      <w:marLeft w:val="0"/>
      <w:marRight w:val="0"/>
      <w:marTop w:val="0"/>
      <w:marBottom w:val="0"/>
      <w:divBdr>
        <w:top w:val="none" w:sz="0" w:space="0" w:color="auto"/>
        <w:left w:val="none" w:sz="0" w:space="0" w:color="auto"/>
        <w:bottom w:val="none" w:sz="0" w:space="0" w:color="auto"/>
        <w:right w:val="none" w:sz="0" w:space="0" w:color="auto"/>
      </w:divBdr>
    </w:div>
    <w:div w:id="1207334320">
      <w:bodyDiv w:val="1"/>
      <w:marLeft w:val="0"/>
      <w:marRight w:val="0"/>
      <w:marTop w:val="0"/>
      <w:marBottom w:val="0"/>
      <w:divBdr>
        <w:top w:val="none" w:sz="0" w:space="0" w:color="auto"/>
        <w:left w:val="none" w:sz="0" w:space="0" w:color="auto"/>
        <w:bottom w:val="none" w:sz="0" w:space="0" w:color="auto"/>
        <w:right w:val="none" w:sz="0" w:space="0" w:color="auto"/>
      </w:divBdr>
    </w:div>
    <w:div w:id="1676689865">
      <w:bodyDiv w:val="1"/>
      <w:marLeft w:val="0"/>
      <w:marRight w:val="0"/>
      <w:marTop w:val="0"/>
      <w:marBottom w:val="0"/>
      <w:divBdr>
        <w:top w:val="none" w:sz="0" w:space="0" w:color="auto"/>
        <w:left w:val="none" w:sz="0" w:space="0" w:color="auto"/>
        <w:bottom w:val="none" w:sz="0" w:space="0" w:color="auto"/>
        <w:right w:val="none" w:sz="0" w:space="0" w:color="auto"/>
      </w:divBdr>
    </w:div>
    <w:div w:id="1798792712">
      <w:bodyDiv w:val="1"/>
      <w:marLeft w:val="0"/>
      <w:marRight w:val="0"/>
      <w:marTop w:val="0"/>
      <w:marBottom w:val="0"/>
      <w:divBdr>
        <w:top w:val="none" w:sz="0" w:space="0" w:color="auto"/>
        <w:left w:val="none" w:sz="0" w:space="0" w:color="auto"/>
        <w:bottom w:val="none" w:sz="0" w:space="0" w:color="auto"/>
        <w:right w:val="none" w:sz="0" w:space="0" w:color="auto"/>
      </w:divBdr>
    </w:div>
    <w:div w:id="20985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50CF-D730-4645-A592-A2F29701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4892</Words>
  <Characters>26910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heribertoescobar</dc:creator>
  <cp:lastModifiedBy>LUCIA LP. POSADA MESA</cp:lastModifiedBy>
  <cp:revision>2</cp:revision>
  <cp:lastPrinted>2018-08-01T19:29:00Z</cp:lastPrinted>
  <dcterms:created xsi:type="dcterms:W3CDTF">2018-08-02T00:08:00Z</dcterms:created>
  <dcterms:modified xsi:type="dcterms:W3CDTF">2018-08-02T00:08:00Z</dcterms:modified>
</cp:coreProperties>
</file>