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62C" w:rsidRPr="00FC55D1" w:rsidRDefault="006B462C" w:rsidP="001B6A57">
      <w:pPr>
        <w:spacing w:after="160"/>
        <w:jc w:val="right"/>
        <w:rPr>
          <w:rFonts w:ascii="Trebuchet MS" w:eastAsia="Trebuchet MS" w:hAnsi="Trebuchet MS" w:cs="Trebuchet MS"/>
          <w:sz w:val="24"/>
          <w:szCs w:val="24"/>
        </w:rPr>
      </w:pPr>
      <w:bookmarkStart w:id="0" w:name="_GoBack"/>
      <w:bookmarkEnd w:id="0"/>
    </w:p>
    <w:p w:rsidR="001B6A57" w:rsidRPr="00FC55D1" w:rsidRDefault="001B6A57" w:rsidP="001B6A57">
      <w:pPr>
        <w:spacing w:after="160"/>
        <w:jc w:val="right"/>
        <w:rPr>
          <w:rFonts w:ascii="Trebuchet MS" w:eastAsia="Trebuchet MS" w:hAnsi="Trebuchet MS" w:cs="Trebuchet MS"/>
          <w:sz w:val="24"/>
          <w:szCs w:val="24"/>
        </w:rPr>
      </w:pPr>
      <w:r w:rsidRPr="00FC55D1">
        <w:rPr>
          <w:rFonts w:ascii="Trebuchet MS" w:eastAsia="Trebuchet MS" w:hAnsi="Trebuchet MS" w:cs="Trebuchet MS"/>
          <w:sz w:val="24"/>
          <w:szCs w:val="24"/>
        </w:rPr>
        <w:t>Bogotá, 1</w:t>
      </w:r>
      <w:r w:rsidR="004D6E27">
        <w:rPr>
          <w:rFonts w:ascii="Trebuchet MS" w:eastAsia="Trebuchet MS" w:hAnsi="Trebuchet MS" w:cs="Trebuchet MS"/>
          <w:sz w:val="24"/>
          <w:szCs w:val="24"/>
        </w:rPr>
        <w:t>8</w:t>
      </w:r>
      <w:r w:rsidRPr="00FC55D1">
        <w:rPr>
          <w:rFonts w:ascii="Trebuchet MS" w:eastAsia="Trebuchet MS" w:hAnsi="Trebuchet MS" w:cs="Trebuchet MS"/>
          <w:sz w:val="24"/>
          <w:szCs w:val="24"/>
        </w:rPr>
        <w:t xml:space="preserve"> de agosto de 2021</w:t>
      </w:r>
    </w:p>
    <w:p w:rsidR="001B6A57" w:rsidRPr="00FC55D1" w:rsidRDefault="001B6A57" w:rsidP="001B6A57">
      <w:pPr>
        <w:spacing w:after="160"/>
        <w:jc w:val="both"/>
        <w:rPr>
          <w:rFonts w:ascii="Trebuchet MS" w:eastAsia="Trebuchet MS" w:hAnsi="Trebuchet MS" w:cs="Trebuchet MS"/>
          <w:sz w:val="24"/>
          <w:szCs w:val="24"/>
        </w:rPr>
      </w:pPr>
      <w:r w:rsidRPr="00FC55D1">
        <w:rPr>
          <w:rFonts w:ascii="Trebuchet MS" w:eastAsia="Trebuchet MS" w:hAnsi="Trebuchet MS" w:cs="Trebuchet MS"/>
          <w:sz w:val="24"/>
          <w:szCs w:val="24"/>
        </w:rPr>
        <w:t xml:space="preserve"> </w:t>
      </w:r>
    </w:p>
    <w:p w:rsidR="001B6A57" w:rsidRPr="00FC55D1" w:rsidRDefault="001B6A57" w:rsidP="001B6A57">
      <w:pPr>
        <w:jc w:val="both"/>
        <w:rPr>
          <w:rFonts w:ascii="Trebuchet MS" w:eastAsia="Trebuchet MS" w:hAnsi="Trebuchet MS" w:cs="Trebuchet MS"/>
          <w:sz w:val="24"/>
          <w:szCs w:val="24"/>
        </w:rPr>
      </w:pPr>
      <w:r w:rsidRPr="00FC55D1">
        <w:rPr>
          <w:rFonts w:ascii="Trebuchet MS" w:eastAsia="Trebuchet MS" w:hAnsi="Trebuchet MS" w:cs="Trebuchet MS"/>
          <w:sz w:val="24"/>
          <w:szCs w:val="24"/>
        </w:rPr>
        <w:t>Señor</w:t>
      </w:r>
    </w:p>
    <w:p w:rsidR="001B6A57" w:rsidRPr="00FC55D1" w:rsidRDefault="001B6A57" w:rsidP="001B6A57">
      <w:pPr>
        <w:jc w:val="both"/>
        <w:rPr>
          <w:rFonts w:ascii="Trebuchet MS" w:eastAsia="Trebuchet MS" w:hAnsi="Trebuchet MS" w:cs="Trebuchet MS"/>
          <w:b/>
          <w:sz w:val="24"/>
          <w:szCs w:val="24"/>
        </w:rPr>
      </w:pPr>
      <w:r w:rsidRPr="00FC55D1">
        <w:rPr>
          <w:rFonts w:ascii="Trebuchet MS" w:eastAsia="Trebuchet MS" w:hAnsi="Trebuchet MS" w:cs="Trebuchet MS"/>
          <w:b/>
          <w:sz w:val="24"/>
          <w:szCs w:val="24"/>
        </w:rPr>
        <w:t>JORGE HUMBERTO MANTILLA</w:t>
      </w:r>
    </w:p>
    <w:p w:rsidR="001B6A57" w:rsidRPr="00FC55D1" w:rsidRDefault="001B6A57" w:rsidP="001B6A57">
      <w:pPr>
        <w:jc w:val="both"/>
        <w:rPr>
          <w:rFonts w:ascii="Trebuchet MS" w:eastAsia="Trebuchet MS" w:hAnsi="Trebuchet MS" w:cs="Trebuchet MS"/>
          <w:sz w:val="24"/>
          <w:szCs w:val="24"/>
        </w:rPr>
      </w:pPr>
      <w:r w:rsidRPr="00FC55D1">
        <w:rPr>
          <w:rFonts w:ascii="Trebuchet MS" w:eastAsia="Trebuchet MS" w:hAnsi="Trebuchet MS" w:cs="Trebuchet MS"/>
          <w:sz w:val="24"/>
          <w:szCs w:val="24"/>
        </w:rPr>
        <w:t>Secretario General</w:t>
      </w:r>
    </w:p>
    <w:p w:rsidR="001B6A57" w:rsidRPr="00FC55D1" w:rsidRDefault="001B6A57" w:rsidP="001B6A57">
      <w:pPr>
        <w:jc w:val="both"/>
        <w:rPr>
          <w:rFonts w:ascii="Trebuchet MS" w:eastAsia="Trebuchet MS" w:hAnsi="Trebuchet MS" w:cs="Trebuchet MS"/>
          <w:sz w:val="24"/>
          <w:szCs w:val="24"/>
        </w:rPr>
      </w:pPr>
      <w:r w:rsidRPr="00FC55D1">
        <w:rPr>
          <w:rFonts w:ascii="Trebuchet MS" w:eastAsia="Trebuchet MS" w:hAnsi="Trebuchet MS" w:cs="Trebuchet MS"/>
          <w:sz w:val="24"/>
          <w:szCs w:val="24"/>
        </w:rPr>
        <w:t>Cámara De Representantes</w:t>
      </w:r>
    </w:p>
    <w:p w:rsidR="001B6A57" w:rsidRPr="00FC55D1" w:rsidRDefault="001B6A57" w:rsidP="001B6A57">
      <w:pPr>
        <w:jc w:val="both"/>
        <w:rPr>
          <w:rFonts w:ascii="Trebuchet MS" w:eastAsia="Trebuchet MS" w:hAnsi="Trebuchet MS" w:cs="Trebuchet MS"/>
          <w:sz w:val="24"/>
          <w:szCs w:val="24"/>
        </w:rPr>
      </w:pPr>
      <w:r w:rsidRPr="00FC55D1">
        <w:rPr>
          <w:rFonts w:ascii="Trebuchet MS" w:eastAsia="Trebuchet MS" w:hAnsi="Trebuchet MS" w:cs="Trebuchet MS"/>
          <w:sz w:val="24"/>
          <w:szCs w:val="24"/>
        </w:rPr>
        <w:t>Ciudad</w:t>
      </w:r>
    </w:p>
    <w:p w:rsidR="001B6A57" w:rsidRPr="00FC55D1" w:rsidRDefault="001B6A57" w:rsidP="001B6A57">
      <w:pPr>
        <w:spacing w:after="160"/>
        <w:jc w:val="both"/>
        <w:rPr>
          <w:rFonts w:ascii="Trebuchet MS" w:eastAsia="Trebuchet MS" w:hAnsi="Trebuchet MS" w:cs="Trebuchet MS"/>
          <w:sz w:val="24"/>
          <w:szCs w:val="24"/>
        </w:rPr>
      </w:pPr>
      <w:r w:rsidRPr="00FC55D1">
        <w:rPr>
          <w:rFonts w:ascii="Trebuchet MS" w:eastAsia="Trebuchet MS" w:hAnsi="Trebuchet MS" w:cs="Trebuchet MS"/>
          <w:sz w:val="24"/>
          <w:szCs w:val="24"/>
        </w:rPr>
        <w:t xml:space="preserve"> </w:t>
      </w:r>
    </w:p>
    <w:p w:rsidR="001B6A57" w:rsidRPr="00FC55D1" w:rsidRDefault="001B6A57" w:rsidP="001B6A57">
      <w:pPr>
        <w:spacing w:after="160"/>
        <w:jc w:val="right"/>
        <w:rPr>
          <w:rFonts w:ascii="Trebuchet MS" w:eastAsia="Trebuchet MS" w:hAnsi="Trebuchet MS" w:cs="Trebuchet MS"/>
          <w:sz w:val="24"/>
          <w:szCs w:val="24"/>
        </w:rPr>
      </w:pPr>
      <w:r w:rsidRPr="00FC55D1">
        <w:rPr>
          <w:rFonts w:ascii="Trebuchet MS" w:eastAsia="Trebuchet MS" w:hAnsi="Trebuchet MS" w:cs="Trebuchet MS"/>
          <w:b/>
          <w:sz w:val="24"/>
          <w:szCs w:val="24"/>
        </w:rPr>
        <w:t>Asunto:</w:t>
      </w:r>
      <w:r w:rsidRPr="00FC55D1">
        <w:rPr>
          <w:rFonts w:ascii="Trebuchet MS" w:eastAsia="Trebuchet MS" w:hAnsi="Trebuchet MS" w:cs="Trebuchet MS"/>
          <w:sz w:val="24"/>
          <w:szCs w:val="24"/>
        </w:rPr>
        <w:t xml:space="preserve"> Radicación de Proyecto del cual </w:t>
      </w:r>
      <w:r w:rsidRPr="00FC55D1">
        <w:rPr>
          <w:rFonts w:ascii="Trebuchet MS" w:eastAsia="Trebuchet MS" w:hAnsi="Trebuchet MS" w:cs="Trebuchet MS"/>
          <w:b/>
          <w:sz w:val="24"/>
          <w:szCs w:val="24"/>
        </w:rPr>
        <w:t>“</w:t>
      </w:r>
      <w:r w:rsidRPr="00FC55D1">
        <w:rPr>
          <w:rFonts w:ascii="Trebuchet MS" w:eastAsia="Trebuchet MS" w:hAnsi="Trebuchet MS" w:cs="Trebuchet MS"/>
          <w:sz w:val="24"/>
          <w:szCs w:val="24"/>
        </w:rPr>
        <w:t xml:space="preserve">Por medio del cual se incluye la imprescriptibilidad de los delitos contra </w:t>
      </w:r>
      <w:r w:rsidR="00C335CA" w:rsidRPr="00FC55D1">
        <w:rPr>
          <w:rFonts w:ascii="Trebuchet MS" w:eastAsia="Trebuchet MS" w:hAnsi="Trebuchet MS" w:cs="Trebuchet MS"/>
          <w:sz w:val="24"/>
          <w:szCs w:val="24"/>
        </w:rPr>
        <w:t>la administración pública en el Código Penal</w:t>
      </w:r>
      <w:r w:rsidRPr="00FC55D1">
        <w:rPr>
          <w:rFonts w:ascii="Trebuchet MS" w:eastAsia="Trebuchet MS" w:hAnsi="Trebuchet MS" w:cs="Trebuchet MS"/>
          <w:sz w:val="24"/>
          <w:szCs w:val="24"/>
        </w:rPr>
        <w:t>”</w:t>
      </w:r>
      <w:r w:rsidRPr="00FC55D1">
        <w:rPr>
          <w:rFonts w:ascii="Trebuchet MS" w:eastAsia="Trebuchet MS" w:hAnsi="Trebuchet MS" w:cs="Trebuchet MS"/>
          <w:b/>
          <w:sz w:val="24"/>
          <w:szCs w:val="24"/>
        </w:rPr>
        <w:t xml:space="preserve"> </w:t>
      </w:r>
    </w:p>
    <w:p w:rsidR="001B6A57" w:rsidRPr="00FC55D1" w:rsidRDefault="001B6A57" w:rsidP="001B6A57">
      <w:pPr>
        <w:spacing w:after="160"/>
        <w:jc w:val="both"/>
        <w:rPr>
          <w:rFonts w:ascii="Trebuchet MS" w:eastAsia="Trebuchet MS" w:hAnsi="Trebuchet MS" w:cs="Trebuchet MS"/>
          <w:sz w:val="24"/>
          <w:szCs w:val="24"/>
        </w:rPr>
      </w:pPr>
      <w:r w:rsidRPr="00FC55D1">
        <w:rPr>
          <w:rFonts w:ascii="Trebuchet MS" w:eastAsia="Trebuchet MS" w:hAnsi="Trebuchet MS" w:cs="Trebuchet MS"/>
          <w:sz w:val="24"/>
          <w:szCs w:val="24"/>
        </w:rPr>
        <w:t>Señor secretario,</w:t>
      </w:r>
    </w:p>
    <w:p w:rsidR="001B6A57" w:rsidRPr="00FC55D1" w:rsidRDefault="001B6A57" w:rsidP="001B6A57">
      <w:pPr>
        <w:spacing w:after="160"/>
        <w:jc w:val="both"/>
        <w:rPr>
          <w:rFonts w:ascii="Trebuchet MS" w:eastAsia="Trebuchet MS" w:hAnsi="Trebuchet MS" w:cs="Trebuchet MS"/>
          <w:sz w:val="24"/>
          <w:szCs w:val="24"/>
        </w:rPr>
      </w:pPr>
      <w:r w:rsidRPr="00FC55D1">
        <w:rPr>
          <w:rFonts w:ascii="Trebuchet MS" w:eastAsia="Trebuchet MS" w:hAnsi="Trebuchet MS" w:cs="Trebuchet MS"/>
          <w:sz w:val="24"/>
          <w:szCs w:val="24"/>
        </w:rPr>
        <w:t xml:space="preserve"> </w:t>
      </w:r>
    </w:p>
    <w:p w:rsidR="001B6A57" w:rsidRPr="00FC55D1" w:rsidRDefault="001B6A57" w:rsidP="001B6A57">
      <w:pPr>
        <w:spacing w:after="160"/>
        <w:jc w:val="both"/>
        <w:rPr>
          <w:rFonts w:ascii="Trebuchet MS" w:eastAsia="Trebuchet MS" w:hAnsi="Trebuchet MS" w:cs="Trebuchet MS"/>
          <w:sz w:val="24"/>
          <w:szCs w:val="24"/>
        </w:rPr>
      </w:pPr>
      <w:r w:rsidRPr="00FC55D1">
        <w:rPr>
          <w:rFonts w:ascii="Trebuchet MS" w:eastAsia="Trebuchet MS" w:hAnsi="Trebuchet MS" w:cs="Trebuchet MS"/>
          <w:sz w:val="24"/>
          <w:szCs w:val="24"/>
        </w:rPr>
        <w:t xml:space="preserve">De conformidad con el artículo 139 de la Ley 5 de 1992, presento ante su despacho Proyecto de Acto Legislativo </w:t>
      </w:r>
      <w:r w:rsidRPr="00FC55D1">
        <w:rPr>
          <w:rFonts w:ascii="Trebuchet MS" w:eastAsia="Trebuchet MS" w:hAnsi="Trebuchet MS" w:cs="Trebuchet MS"/>
          <w:b/>
          <w:sz w:val="24"/>
          <w:szCs w:val="24"/>
        </w:rPr>
        <w:t>“</w:t>
      </w:r>
      <w:r w:rsidRPr="00FC55D1">
        <w:rPr>
          <w:rFonts w:ascii="Trebuchet MS" w:eastAsia="Trebuchet MS" w:hAnsi="Trebuchet MS" w:cs="Trebuchet MS"/>
          <w:sz w:val="24"/>
          <w:szCs w:val="24"/>
        </w:rPr>
        <w:t xml:space="preserve">Por medio del cual se </w:t>
      </w:r>
      <w:r w:rsidR="00C335CA" w:rsidRPr="00FC55D1">
        <w:rPr>
          <w:rFonts w:ascii="Trebuchet MS" w:eastAsia="Trebuchet MS" w:hAnsi="Trebuchet MS" w:cs="Trebuchet MS"/>
          <w:sz w:val="24"/>
          <w:szCs w:val="24"/>
        </w:rPr>
        <w:t>incluye la imprescriptibilidad de los delitos contra la administración pública en el Código Penal</w:t>
      </w:r>
      <w:r w:rsidRPr="00FC55D1">
        <w:rPr>
          <w:rFonts w:ascii="Trebuchet MS" w:eastAsia="Trebuchet MS" w:hAnsi="Trebuchet MS" w:cs="Trebuchet MS"/>
          <w:sz w:val="24"/>
          <w:szCs w:val="24"/>
        </w:rPr>
        <w:t>”, para el trámite establecido en la Ley 5 de 1992.</w:t>
      </w:r>
    </w:p>
    <w:p w:rsidR="001B6A57" w:rsidRPr="00FC55D1" w:rsidRDefault="001B6A57" w:rsidP="001B6A57">
      <w:pPr>
        <w:spacing w:after="160"/>
        <w:jc w:val="both"/>
        <w:rPr>
          <w:rFonts w:ascii="Trebuchet MS" w:eastAsia="Trebuchet MS" w:hAnsi="Trebuchet MS" w:cs="Trebuchet MS"/>
          <w:sz w:val="24"/>
          <w:szCs w:val="24"/>
        </w:rPr>
      </w:pPr>
      <w:r w:rsidRPr="00FC55D1">
        <w:rPr>
          <w:rFonts w:ascii="Trebuchet MS" w:eastAsia="Trebuchet MS" w:hAnsi="Trebuchet MS" w:cs="Trebuchet MS"/>
          <w:sz w:val="24"/>
          <w:szCs w:val="24"/>
        </w:rPr>
        <w:t>Cordialmente,</w:t>
      </w:r>
    </w:p>
    <w:p w:rsidR="001B6A57" w:rsidRDefault="001B6A57" w:rsidP="001B6A57">
      <w:pPr>
        <w:spacing w:line="360" w:lineRule="auto"/>
        <w:rPr>
          <w:rFonts w:ascii="Trebuchet MS" w:eastAsia="Trebuchet MS" w:hAnsi="Trebuchet MS" w:cs="Trebuchet MS"/>
          <w:b/>
        </w:rPr>
      </w:pPr>
    </w:p>
    <w:p w:rsidR="004D6E27" w:rsidRDefault="004D6E27" w:rsidP="001B6A57">
      <w:pPr>
        <w:spacing w:line="360" w:lineRule="auto"/>
        <w:rPr>
          <w:rFonts w:ascii="Trebuchet MS" w:eastAsia="Trebuchet MS" w:hAnsi="Trebuchet MS" w:cs="Trebuchet MS"/>
          <w:b/>
        </w:rPr>
      </w:pPr>
    </w:p>
    <w:p w:rsidR="004D6E27" w:rsidRDefault="004D6E27" w:rsidP="001B6A57">
      <w:pPr>
        <w:spacing w:line="360" w:lineRule="auto"/>
        <w:rPr>
          <w:rFonts w:ascii="Trebuchet MS" w:eastAsia="Trebuchet MS" w:hAnsi="Trebuchet MS" w:cs="Trebuchet MS"/>
          <w:b/>
        </w:rPr>
      </w:pPr>
    </w:p>
    <w:p w:rsidR="004D6E27" w:rsidRPr="00FC55D1" w:rsidRDefault="004D6E27" w:rsidP="004D6E27">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sidRPr="00FC55D1">
        <w:rPr>
          <w:rFonts w:ascii="Trebuchet MS" w:eastAsia="Trebuchet MS" w:hAnsi="Trebuchet MS" w:cs="Trebuchet MS"/>
          <w:sz w:val="24"/>
          <w:szCs w:val="24"/>
        </w:rPr>
        <w:t xml:space="preserve">David Racero </w:t>
      </w:r>
      <w:proofErr w:type="spellStart"/>
      <w:r w:rsidRPr="00FC55D1">
        <w:rPr>
          <w:rFonts w:ascii="Trebuchet MS" w:eastAsia="Trebuchet MS" w:hAnsi="Trebuchet MS" w:cs="Trebuchet MS"/>
          <w:sz w:val="24"/>
          <w:szCs w:val="24"/>
        </w:rPr>
        <w:t>Mayorca</w:t>
      </w:r>
      <w:proofErr w:type="spellEnd"/>
    </w:p>
    <w:p w:rsidR="004D6E27" w:rsidRPr="00FC55D1" w:rsidRDefault="004D6E27" w:rsidP="004D6E27">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sidRPr="00FC55D1">
        <w:rPr>
          <w:rFonts w:ascii="Trebuchet MS" w:eastAsia="Trebuchet MS" w:hAnsi="Trebuchet MS" w:cs="Trebuchet MS"/>
          <w:sz w:val="24"/>
          <w:szCs w:val="24"/>
        </w:rPr>
        <w:t>Representante a la Cámara por Bogotá</w:t>
      </w:r>
    </w:p>
    <w:p w:rsidR="004D6E27" w:rsidRDefault="004D6E27" w:rsidP="001B6A57">
      <w:pPr>
        <w:spacing w:line="360" w:lineRule="auto"/>
        <w:rPr>
          <w:rFonts w:ascii="Trebuchet MS" w:eastAsia="Trebuchet MS" w:hAnsi="Trebuchet MS" w:cs="Trebuchet MS"/>
          <w:b/>
        </w:rPr>
      </w:pPr>
    </w:p>
    <w:p w:rsidR="004D6E27" w:rsidRDefault="004D6E27" w:rsidP="001B6A57">
      <w:pPr>
        <w:spacing w:line="360" w:lineRule="auto"/>
        <w:rPr>
          <w:rFonts w:ascii="Trebuchet MS" w:eastAsia="Trebuchet MS" w:hAnsi="Trebuchet MS" w:cs="Trebuchet MS"/>
          <w:b/>
        </w:rPr>
      </w:pPr>
    </w:p>
    <w:p w:rsidR="004D6E27" w:rsidRDefault="004D6E27" w:rsidP="001B6A57">
      <w:pPr>
        <w:spacing w:line="360" w:lineRule="auto"/>
        <w:rPr>
          <w:rFonts w:ascii="Trebuchet MS" w:eastAsia="Trebuchet MS" w:hAnsi="Trebuchet MS" w:cs="Trebuchet MS"/>
          <w:b/>
        </w:rPr>
      </w:pPr>
    </w:p>
    <w:p w:rsidR="004D6E27" w:rsidRDefault="004D6E27" w:rsidP="001B6A57">
      <w:pPr>
        <w:spacing w:line="360" w:lineRule="auto"/>
        <w:rPr>
          <w:rFonts w:ascii="Trebuchet MS" w:eastAsia="Trebuchet MS" w:hAnsi="Trebuchet MS" w:cs="Trebuchet MS"/>
          <w:b/>
        </w:rPr>
      </w:pPr>
    </w:p>
    <w:p w:rsidR="004D6E27" w:rsidRPr="00FC55D1" w:rsidRDefault="004D6E27" w:rsidP="001B6A57">
      <w:pPr>
        <w:spacing w:line="360" w:lineRule="auto"/>
        <w:rPr>
          <w:rFonts w:ascii="Trebuchet MS" w:eastAsia="Trebuchet MS" w:hAnsi="Trebuchet MS" w:cs="Trebuchet MS"/>
          <w:b/>
        </w:rPr>
      </w:pPr>
    </w:p>
    <w:p w:rsidR="001B6A57" w:rsidRPr="00FC55D1" w:rsidRDefault="00C335CA" w:rsidP="001B6A57">
      <w:pPr>
        <w:spacing w:line="360" w:lineRule="auto"/>
        <w:jc w:val="center"/>
        <w:rPr>
          <w:rFonts w:ascii="Trebuchet MS" w:eastAsia="Trebuchet MS" w:hAnsi="Trebuchet MS" w:cs="Trebuchet MS"/>
          <w:b/>
        </w:rPr>
      </w:pPr>
      <w:r w:rsidRPr="00FC55D1">
        <w:rPr>
          <w:rFonts w:ascii="Trebuchet MS" w:eastAsia="Trebuchet MS" w:hAnsi="Trebuchet MS" w:cs="Trebuchet MS"/>
          <w:b/>
        </w:rPr>
        <w:lastRenderedPageBreak/>
        <w:t>PROYECTO DE LEY</w:t>
      </w:r>
    </w:p>
    <w:p w:rsidR="001B6A57" w:rsidRPr="00FC55D1" w:rsidRDefault="001B6A57" w:rsidP="001B6A57">
      <w:pPr>
        <w:spacing w:line="360" w:lineRule="auto"/>
        <w:jc w:val="center"/>
        <w:rPr>
          <w:rFonts w:ascii="Trebuchet MS" w:eastAsia="Trebuchet MS" w:hAnsi="Trebuchet MS" w:cs="Trebuchet MS"/>
          <w:b/>
          <w:i/>
        </w:rPr>
      </w:pPr>
      <w:r w:rsidRPr="00FC55D1">
        <w:rPr>
          <w:rFonts w:ascii="Trebuchet MS" w:eastAsia="Trebuchet MS" w:hAnsi="Trebuchet MS" w:cs="Trebuchet MS"/>
          <w:b/>
          <w:i/>
        </w:rPr>
        <w:t xml:space="preserve"> </w:t>
      </w:r>
    </w:p>
    <w:p w:rsidR="001B6A57" w:rsidRPr="00FC55D1" w:rsidRDefault="006A417E" w:rsidP="001B6A57">
      <w:pPr>
        <w:spacing w:line="360" w:lineRule="auto"/>
        <w:jc w:val="center"/>
        <w:rPr>
          <w:rFonts w:ascii="Trebuchet MS" w:eastAsia="Trebuchet MS" w:hAnsi="Trebuchet MS" w:cs="Trebuchet MS"/>
          <w:b/>
          <w:i/>
        </w:rPr>
      </w:pPr>
      <w:r w:rsidRPr="00FC55D1">
        <w:rPr>
          <w:rFonts w:ascii="Trebuchet MS" w:eastAsia="Trebuchet MS" w:hAnsi="Trebuchet MS" w:cs="Trebuchet MS"/>
          <w:b/>
          <w:i/>
        </w:rPr>
        <w:t>“</w:t>
      </w:r>
      <w:r w:rsidR="00C335CA" w:rsidRPr="00FC55D1">
        <w:rPr>
          <w:rFonts w:ascii="Trebuchet MS" w:eastAsia="Trebuchet MS" w:hAnsi="Trebuchet MS" w:cs="Trebuchet MS"/>
          <w:b/>
          <w:i/>
        </w:rPr>
        <w:t>POR MEDIO DEL CUAL SE INCLUYE LA IMPRESCRIPTIBILIDAD DE LOS DELITOS CONTRA LA ADMINISTRACIÓN PÚBLICA EN EL CÓDIGO PENAL</w:t>
      </w:r>
      <w:r w:rsidRPr="00FC55D1">
        <w:rPr>
          <w:rFonts w:ascii="Trebuchet MS" w:eastAsia="Trebuchet MS" w:hAnsi="Trebuchet MS" w:cs="Trebuchet MS"/>
          <w:b/>
          <w:i/>
        </w:rPr>
        <w:t>”</w:t>
      </w:r>
    </w:p>
    <w:p w:rsidR="00C335CA" w:rsidRPr="00FC55D1" w:rsidRDefault="00C335CA" w:rsidP="001B6A57">
      <w:pPr>
        <w:spacing w:line="360" w:lineRule="auto"/>
        <w:jc w:val="center"/>
        <w:rPr>
          <w:rFonts w:ascii="Trebuchet MS" w:eastAsia="Trebuchet MS" w:hAnsi="Trebuchet MS" w:cs="Trebuchet MS"/>
          <w:b/>
        </w:rPr>
      </w:pPr>
    </w:p>
    <w:p w:rsidR="001B6A57" w:rsidRPr="00FC55D1" w:rsidRDefault="001B6A57" w:rsidP="001B6A57">
      <w:pPr>
        <w:spacing w:line="360" w:lineRule="auto"/>
        <w:jc w:val="both"/>
        <w:rPr>
          <w:rFonts w:ascii="Trebuchet MS" w:eastAsia="Trebuchet MS" w:hAnsi="Trebuchet MS" w:cs="Trebuchet MS"/>
        </w:rPr>
      </w:pPr>
      <w:r w:rsidRPr="00FC55D1">
        <w:rPr>
          <w:rFonts w:ascii="Trebuchet MS" w:eastAsia="Trebuchet MS" w:hAnsi="Trebuchet MS" w:cs="Trebuchet MS"/>
          <w:b/>
        </w:rPr>
        <w:t xml:space="preserve">Artículo 1. </w:t>
      </w:r>
      <w:r w:rsidR="00945365" w:rsidRPr="00FC55D1">
        <w:rPr>
          <w:rFonts w:ascii="Trebuchet MS" w:eastAsia="Trebuchet MS" w:hAnsi="Trebuchet MS" w:cs="Trebuchet MS"/>
          <w:lang w:val="es-CO"/>
        </w:rPr>
        <w:t xml:space="preserve">Modifíquese el inciso </w:t>
      </w:r>
      <w:r w:rsidR="006A417E" w:rsidRPr="00FC55D1">
        <w:rPr>
          <w:rFonts w:ascii="Trebuchet MS" w:eastAsia="Trebuchet MS" w:hAnsi="Trebuchet MS" w:cs="Trebuchet MS"/>
          <w:lang w:val="es-CO"/>
        </w:rPr>
        <w:t>sexto</w:t>
      </w:r>
      <w:r w:rsidR="00945365" w:rsidRPr="00FC55D1">
        <w:rPr>
          <w:rFonts w:ascii="Trebuchet MS" w:eastAsia="Trebuchet MS" w:hAnsi="Trebuchet MS" w:cs="Trebuchet MS"/>
          <w:lang w:val="es-CO"/>
        </w:rPr>
        <w:t xml:space="preserve"> del ar</w:t>
      </w:r>
      <w:r w:rsidR="006A417E" w:rsidRPr="00FC55D1">
        <w:rPr>
          <w:rFonts w:ascii="Trebuchet MS" w:eastAsia="Trebuchet MS" w:hAnsi="Trebuchet MS" w:cs="Trebuchet MS"/>
          <w:lang w:val="es-CO"/>
        </w:rPr>
        <w:t>tículo 83 de la Ley 599 de 2000</w:t>
      </w:r>
      <w:r w:rsidR="00945365" w:rsidRPr="00FC55D1">
        <w:rPr>
          <w:rFonts w:ascii="Trebuchet MS" w:eastAsia="Trebuchet MS" w:hAnsi="Trebuchet MS" w:cs="Trebuchet MS"/>
          <w:lang w:val="es-CO"/>
        </w:rPr>
        <w:t>, el cual quedará así</w:t>
      </w:r>
      <w:r w:rsidR="006A417E" w:rsidRPr="00FC55D1">
        <w:rPr>
          <w:rFonts w:ascii="Trebuchet MS" w:eastAsia="Trebuchet MS" w:hAnsi="Trebuchet MS" w:cs="Trebuchet MS"/>
          <w:lang w:val="es-CO"/>
        </w:rPr>
        <w:t>:</w:t>
      </w:r>
    </w:p>
    <w:p w:rsidR="001B6A57" w:rsidRPr="00FC55D1" w:rsidRDefault="001B6A57" w:rsidP="001B6A57">
      <w:pPr>
        <w:spacing w:line="360" w:lineRule="auto"/>
        <w:jc w:val="both"/>
        <w:rPr>
          <w:rFonts w:ascii="Trebuchet MS" w:eastAsia="Trebuchet MS" w:hAnsi="Trebuchet MS" w:cs="Trebuchet MS"/>
        </w:rPr>
      </w:pPr>
      <w:r w:rsidRPr="00FC55D1">
        <w:rPr>
          <w:rFonts w:ascii="Trebuchet MS" w:eastAsia="Trebuchet MS" w:hAnsi="Trebuchet MS" w:cs="Trebuchet MS"/>
        </w:rPr>
        <w:t xml:space="preserve"> </w:t>
      </w:r>
    </w:p>
    <w:p w:rsidR="001B6A57" w:rsidRPr="00FC55D1" w:rsidRDefault="006A417E" w:rsidP="001B6A57">
      <w:pPr>
        <w:spacing w:line="360" w:lineRule="auto"/>
        <w:jc w:val="both"/>
        <w:rPr>
          <w:rFonts w:ascii="Trebuchet MS" w:eastAsia="Trebuchet MS" w:hAnsi="Trebuchet MS" w:cs="Trebuchet MS"/>
        </w:rPr>
      </w:pPr>
      <w:r w:rsidRPr="00FC55D1">
        <w:rPr>
          <w:rFonts w:ascii="Trebuchet MS" w:eastAsia="Trebuchet MS" w:hAnsi="Trebuchet MS" w:cs="Trebuchet MS"/>
          <w:bCs/>
        </w:rPr>
        <w:t>“Cuanto se trate de delitos contra la administración pública cometidos por servidores públicos, particulares que ejerzan funciones públicas en forma permanente o transitoria y por quienes obren como agentes retenedores o recaudadores, la acción penal será imprescriptible”.</w:t>
      </w:r>
    </w:p>
    <w:p w:rsidR="001B6A57" w:rsidRPr="00FC55D1" w:rsidRDefault="001B6A57" w:rsidP="001B6A57">
      <w:pPr>
        <w:spacing w:line="360" w:lineRule="auto"/>
        <w:jc w:val="both"/>
        <w:rPr>
          <w:rFonts w:ascii="Trebuchet MS" w:eastAsia="Trebuchet MS" w:hAnsi="Trebuchet MS" w:cs="Trebuchet MS"/>
        </w:rPr>
      </w:pPr>
    </w:p>
    <w:p w:rsidR="001B6A57" w:rsidRPr="00FC55D1" w:rsidRDefault="001B6A57" w:rsidP="006A417E">
      <w:pPr>
        <w:spacing w:after="160" w:line="360" w:lineRule="auto"/>
        <w:jc w:val="both"/>
        <w:rPr>
          <w:rFonts w:ascii="Trebuchet MS" w:eastAsia="Trebuchet MS" w:hAnsi="Trebuchet MS" w:cs="Trebuchet MS"/>
        </w:rPr>
      </w:pPr>
      <w:r w:rsidRPr="00FC55D1">
        <w:rPr>
          <w:rFonts w:ascii="Trebuchet MS" w:hAnsi="Trebuchet MS"/>
          <w:b/>
        </w:rPr>
        <w:t>ARTÍCULO 2.</w:t>
      </w:r>
      <w:r w:rsidRPr="00FC55D1">
        <w:rPr>
          <w:rFonts w:ascii="Trebuchet MS" w:eastAsia="Trebuchet MS" w:hAnsi="Trebuchet MS" w:cs="Trebuchet MS"/>
        </w:rPr>
        <w:t xml:space="preserve"> Vigencia y derogatorias. </w:t>
      </w:r>
      <w:r w:rsidR="00945365" w:rsidRPr="00FC55D1">
        <w:rPr>
          <w:rFonts w:ascii="Trebuchet MS" w:eastAsia="Trebuchet MS" w:hAnsi="Trebuchet MS" w:cs="Trebuchet MS"/>
        </w:rPr>
        <w:t xml:space="preserve">La presente </w:t>
      </w:r>
      <w:r w:rsidR="006A417E" w:rsidRPr="00FC55D1">
        <w:rPr>
          <w:rFonts w:ascii="Trebuchet MS" w:eastAsia="Trebuchet MS" w:hAnsi="Trebuchet MS" w:cs="Trebuchet MS"/>
        </w:rPr>
        <w:t>ley rige</w:t>
      </w:r>
      <w:r w:rsidRPr="00FC55D1">
        <w:rPr>
          <w:rFonts w:ascii="Trebuchet MS" w:eastAsia="Trebuchet MS" w:hAnsi="Trebuchet MS" w:cs="Trebuchet MS"/>
        </w:rPr>
        <w:t xml:space="preserve"> a partir de su promulgación y deroga todas las disposiciones contrarias.</w:t>
      </w:r>
    </w:p>
    <w:p w:rsidR="006A417E" w:rsidRDefault="006A417E" w:rsidP="006A417E">
      <w:pPr>
        <w:spacing w:after="160" w:line="360" w:lineRule="auto"/>
        <w:jc w:val="both"/>
        <w:rPr>
          <w:rFonts w:ascii="Trebuchet MS" w:eastAsia="Trebuchet MS" w:hAnsi="Trebuchet MS" w:cs="Trebuchet MS"/>
        </w:rPr>
      </w:pPr>
    </w:p>
    <w:p w:rsidR="004D6E27" w:rsidRDefault="004D6E27" w:rsidP="006A417E">
      <w:pPr>
        <w:spacing w:after="160" w:line="360" w:lineRule="auto"/>
        <w:jc w:val="both"/>
        <w:rPr>
          <w:rFonts w:ascii="Trebuchet MS" w:eastAsia="Trebuchet MS" w:hAnsi="Trebuchet MS" w:cs="Trebuchet MS"/>
        </w:rPr>
      </w:pPr>
    </w:p>
    <w:p w:rsidR="004D6E27" w:rsidRDefault="004D6E27" w:rsidP="006A417E">
      <w:pPr>
        <w:spacing w:after="160" w:line="360" w:lineRule="auto"/>
        <w:jc w:val="both"/>
        <w:rPr>
          <w:rFonts w:ascii="Trebuchet MS" w:eastAsia="Trebuchet MS" w:hAnsi="Trebuchet MS" w:cs="Trebuchet MS"/>
        </w:rPr>
      </w:pPr>
    </w:p>
    <w:p w:rsidR="004D6E27" w:rsidRPr="00FC55D1" w:rsidRDefault="004D6E27" w:rsidP="004D6E27">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sidRPr="00FC55D1">
        <w:rPr>
          <w:rFonts w:ascii="Trebuchet MS" w:eastAsia="Trebuchet MS" w:hAnsi="Trebuchet MS" w:cs="Trebuchet MS"/>
          <w:sz w:val="24"/>
          <w:szCs w:val="24"/>
        </w:rPr>
        <w:t xml:space="preserve">David Racero </w:t>
      </w:r>
      <w:proofErr w:type="spellStart"/>
      <w:r w:rsidRPr="00FC55D1">
        <w:rPr>
          <w:rFonts w:ascii="Trebuchet MS" w:eastAsia="Trebuchet MS" w:hAnsi="Trebuchet MS" w:cs="Trebuchet MS"/>
          <w:sz w:val="24"/>
          <w:szCs w:val="24"/>
        </w:rPr>
        <w:t>Mayorca</w:t>
      </w:r>
      <w:proofErr w:type="spellEnd"/>
    </w:p>
    <w:p w:rsidR="004D6E27" w:rsidRPr="00FC55D1" w:rsidRDefault="004D6E27" w:rsidP="004D6E27">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sidRPr="00FC55D1">
        <w:rPr>
          <w:rFonts w:ascii="Trebuchet MS" w:eastAsia="Trebuchet MS" w:hAnsi="Trebuchet MS" w:cs="Trebuchet MS"/>
          <w:sz w:val="24"/>
          <w:szCs w:val="24"/>
        </w:rPr>
        <w:t>Representante a la Cámara por Bogotá</w:t>
      </w:r>
    </w:p>
    <w:p w:rsidR="004D6E27" w:rsidRDefault="004D6E27" w:rsidP="006A417E">
      <w:pPr>
        <w:spacing w:after="160" w:line="360" w:lineRule="auto"/>
        <w:jc w:val="both"/>
        <w:rPr>
          <w:rFonts w:ascii="Trebuchet MS" w:eastAsia="Trebuchet MS" w:hAnsi="Trebuchet MS" w:cs="Trebuchet MS"/>
        </w:rPr>
      </w:pPr>
    </w:p>
    <w:p w:rsidR="004D6E27" w:rsidRDefault="004D6E27" w:rsidP="006A417E">
      <w:pPr>
        <w:spacing w:after="160" w:line="360" w:lineRule="auto"/>
        <w:jc w:val="both"/>
        <w:rPr>
          <w:rFonts w:ascii="Trebuchet MS" w:eastAsia="Trebuchet MS" w:hAnsi="Trebuchet MS" w:cs="Trebuchet MS"/>
        </w:rPr>
      </w:pPr>
    </w:p>
    <w:p w:rsidR="004D6E27" w:rsidRDefault="004D6E27" w:rsidP="006A417E">
      <w:pPr>
        <w:spacing w:after="160" w:line="360" w:lineRule="auto"/>
        <w:jc w:val="both"/>
        <w:rPr>
          <w:rFonts w:ascii="Trebuchet MS" w:eastAsia="Trebuchet MS" w:hAnsi="Trebuchet MS" w:cs="Trebuchet MS"/>
        </w:rPr>
      </w:pPr>
    </w:p>
    <w:p w:rsidR="004D6E27" w:rsidRDefault="004D6E27" w:rsidP="006A417E">
      <w:pPr>
        <w:spacing w:after="160" w:line="360" w:lineRule="auto"/>
        <w:jc w:val="both"/>
        <w:rPr>
          <w:rFonts w:ascii="Trebuchet MS" w:eastAsia="Trebuchet MS" w:hAnsi="Trebuchet MS" w:cs="Trebuchet MS"/>
        </w:rPr>
      </w:pPr>
    </w:p>
    <w:p w:rsidR="004D6E27" w:rsidRPr="00FC55D1" w:rsidRDefault="004D6E27" w:rsidP="006A417E">
      <w:pPr>
        <w:spacing w:after="160" w:line="360" w:lineRule="auto"/>
        <w:jc w:val="both"/>
        <w:rPr>
          <w:rFonts w:ascii="Trebuchet MS" w:eastAsia="Trebuchet MS" w:hAnsi="Trebuchet MS" w:cs="Trebuchet MS"/>
        </w:rPr>
      </w:pPr>
    </w:p>
    <w:p w:rsidR="001B6A57" w:rsidRPr="00FC55D1" w:rsidRDefault="001B6A57" w:rsidP="001B6A57">
      <w:pPr>
        <w:spacing w:after="160"/>
        <w:jc w:val="both"/>
        <w:rPr>
          <w:rFonts w:ascii="Trebuchet MS" w:eastAsia="Trebuchet MS" w:hAnsi="Trebuchet MS" w:cs="Trebuchet MS"/>
          <w:b/>
        </w:rPr>
      </w:pPr>
    </w:p>
    <w:p w:rsidR="001B6A57" w:rsidRPr="00FC55D1" w:rsidRDefault="001B6A57" w:rsidP="001B6A57">
      <w:pPr>
        <w:spacing w:line="360" w:lineRule="auto"/>
        <w:jc w:val="center"/>
        <w:rPr>
          <w:rFonts w:ascii="Trebuchet MS" w:eastAsia="Trebuchet MS" w:hAnsi="Trebuchet MS" w:cs="Trebuchet MS"/>
          <w:b/>
        </w:rPr>
      </w:pPr>
      <w:r w:rsidRPr="00FC55D1">
        <w:rPr>
          <w:rFonts w:ascii="Trebuchet MS" w:eastAsia="Trebuchet MS" w:hAnsi="Trebuchet MS" w:cs="Trebuchet MS"/>
          <w:b/>
        </w:rPr>
        <w:lastRenderedPageBreak/>
        <w:t>EXPOSICIÓN DE MOTIVOS</w:t>
      </w:r>
    </w:p>
    <w:p w:rsidR="001B6A57" w:rsidRPr="00FC55D1" w:rsidRDefault="001B6A57" w:rsidP="001B6A57">
      <w:pPr>
        <w:spacing w:line="360" w:lineRule="auto"/>
        <w:jc w:val="center"/>
        <w:rPr>
          <w:rFonts w:ascii="Trebuchet MS" w:eastAsia="Trebuchet MS" w:hAnsi="Trebuchet MS" w:cs="Trebuchet MS"/>
          <w:b/>
        </w:rPr>
      </w:pPr>
      <w:r w:rsidRPr="00FC55D1">
        <w:rPr>
          <w:rFonts w:ascii="Trebuchet MS" w:eastAsia="Trebuchet MS" w:hAnsi="Trebuchet MS" w:cs="Trebuchet MS"/>
          <w:b/>
        </w:rPr>
        <w:t xml:space="preserve"> </w:t>
      </w:r>
    </w:p>
    <w:p w:rsidR="001B6A57" w:rsidRPr="00FC55D1" w:rsidRDefault="001B6A57" w:rsidP="001B6A57">
      <w:pPr>
        <w:spacing w:line="360" w:lineRule="auto"/>
        <w:jc w:val="both"/>
        <w:rPr>
          <w:rFonts w:ascii="Trebuchet MS" w:eastAsia="Trebuchet MS" w:hAnsi="Trebuchet MS" w:cs="Trebuchet MS"/>
          <w:b/>
          <w:i/>
        </w:rPr>
      </w:pPr>
      <w:r w:rsidRPr="00FC55D1">
        <w:rPr>
          <w:rFonts w:ascii="Trebuchet MS" w:eastAsia="Trebuchet MS" w:hAnsi="Trebuchet MS" w:cs="Trebuchet MS"/>
          <w:b/>
          <w:i/>
        </w:rPr>
        <w:t>Objetivo</w:t>
      </w:r>
    </w:p>
    <w:p w:rsidR="001B6A57" w:rsidRPr="00FC55D1" w:rsidRDefault="001B6A57" w:rsidP="001B6A57">
      <w:pPr>
        <w:spacing w:line="360" w:lineRule="auto"/>
        <w:jc w:val="both"/>
        <w:rPr>
          <w:rFonts w:ascii="Trebuchet MS" w:eastAsia="Trebuchet MS" w:hAnsi="Trebuchet MS" w:cs="Trebuchet MS"/>
          <w:b/>
          <w:i/>
        </w:rPr>
      </w:pPr>
      <w:r w:rsidRPr="00FC55D1">
        <w:rPr>
          <w:rFonts w:ascii="Trebuchet MS" w:eastAsia="Trebuchet MS" w:hAnsi="Trebuchet MS" w:cs="Trebuchet MS"/>
          <w:b/>
          <w:i/>
        </w:rPr>
        <w:t xml:space="preserve"> </w:t>
      </w:r>
    </w:p>
    <w:p w:rsidR="001B6A57" w:rsidRPr="00FC55D1" w:rsidRDefault="001B6A57" w:rsidP="00453F07">
      <w:pPr>
        <w:spacing w:line="360" w:lineRule="auto"/>
        <w:jc w:val="both"/>
        <w:rPr>
          <w:rFonts w:ascii="Trebuchet MS" w:eastAsia="Trebuchet MS" w:hAnsi="Trebuchet MS" w:cs="Trebuchet MS"/>
        </w:rPr>
      </w:pPr>
      <w:r w:rsidRPr="00FC55D1">
        <w:rPr>
          <w:rFonts w:ascii="Trebuchet MS" w:eastAsia="Trebuchet MS" w:hAnsi="Trebuchet MS" w:cs="Trebuchet MS"/>
        </w:rPr>
        <w:t xml:space="preserve">El presente </w:t>
      </w:r>
      <w:r w:rsidR="00D677E9" w:rsidRPr="00FC55D1">
        <w:rPr>
          <w:rFonts w:ascii="Trebuchet MS" w:eastAsia="Trebuchet MS" w:hAnsi="Trebuchet MS" w:cs="Trebuchet MS"/>
        </w:rPr>
        <w:t>Proyecto de Ley</w:t>
      </w:r>
      <w:r w:rsidRPr="00FC55D1">
        <w:rPr>
          <w:rFonts w:ascii="Trebuchet MS" w:eastAsia="Trebuchet MS" w:hAnsi="Trebuchet MS" w:cs="Trebuchet MS"/>
        </w:rPr>
        <w:t xml:space="preserve"> tiene como </w:t>
      </w:r>
      <w:r w:rsidR="00B856F1" w:rsidRPr="00FC55D1">
        <w:rPr>
          <w:rFonts w:ascii="Trebuchet MS" w:eastAsia="Trebuchet MS" w:hAnsi="Trebuchet MS" w:cs="Trebuchet MS"/>
        </w:rPr>
        <w:t xml:space="preserve">propósito </w:t>
      </w:r>
      <w:r w:rsidR="00453F07" w:rsidRPr="00FC55D1">
        <w:rPr>
          <w:rFonts w:ascii="Trebuchet MS" w:eastAsia="Trebuchet MS" w:hAnsi="Trebuchet MS" w:cs="Trebuchet MS"/>
        </w:rPr>
        <w:t xml:space="preserve">establecer la imprescriptibilidad de la acción penal en </w:t>
      </w:r>
      <w:r w:rsidR="00FC55D1" w:rsidRPr="00FC55D1">
        <w:rPr>
          <w:rFonts w:ascii="Trebuchet MS" w:eastAsia="Trebuchet MS" w:hAnsi="Trebuchet MS" w:cs="Trebuchet MS"/>
        </w:rPr>
        <w:t>los delitos</w:t>
      </w:r>
      <w:r w:rsidR="00453F07" w:rsidRPr="00FC55D1">
        <w:rPr>
          <w:rFonts w:ascii="Trebuchet MS" w:eastAsia="Trebuchet MS" w:hAnsi="Trebuchet MS" w:cs="Trebuchet MS"/>
        </w:rPr>
        <w:t xml:space="preserve"> </w:t>
      </w:r>
      <w:r w:rsidR="00FC55D1" w:rsidRPr="00FC55D1">
        <w:rPr>
          <w:rFonts w:ascii="Trebuchet MS" w:eastAsia="Trebuchet MS" w:hAnsi="Trebuchet MS" w:cs="Trebuchet MS"/>
        </w:rPr>
        <w:t xml:space="preserve">que se comentan </w:t>
      </w:r>
      <w:r w:rsidR="00453F07" w:rsidRPr="00FC55D1">
        <w:rPr>
          <w:rFonts w:ascii="Trebuchet MS" w:eastAsia="Trebuchet MS" w:hAnsi="Trebuchet MS" w:cs="Trebuchet MS"/>
        </w:rPr>
        <w:t xml:space="preserve">contra la administración pública. </w:t>
      </w:r>
    </w:p>
    <w:p w:rsidR="001B6A57" w:rsidRPr="00FC55D1" w:rsidRDefault="001B6A57" w:rsidP="001B6A57">
      <w:pPr>
        <w:spacing w:line="360" w:lineRule="auto"/>
        <w:jc w:val="both"/>
        <w:rPr>
          <w:rFonts w:ascii="Trebuchet MS" w:eastAsia="Trebuchet MS" w:hAnsi="Trebuchet MS" w:cs="Trebuchet MS"/>
        </w:rPr>
      </w:pPr>
    </w:p>
    <w:p w:rsidR="00453F07" w:rsidRPr="00FC55D1" w:rsidRDefault="00453F07" w:rsidP="001B6A57">
      <w:pPr>
        <w:spacing w:line="360" w:lineRule="auto"/>
        <w:jc w:val="both"/>
        <w:rPr>
          <w:rFonts w:ascii="Trebuchet MS" w:eastAsia="Trebuchet MS" w:hAnsi="Trebuchet MS" w:cs="Trebuchet MS"/>
        </w:rPr>
      </w:pPr>
      <w:bookmarkStart w:id="1" w:name="_Hlk79144400"/>
      <w:r w:rsidRPr="00FC55D1">
        <w:rPr>
          <w:rFonts w:ascii="Trebuchet MS" w:eastAsia="Trebuchet MS" w:hAnsi="Trebuchet MS" w:cs="Trebuchet MS"/>
        </w:rPr>
        <w:t xml:space="preserve">Lo anterior, con la finalidad de evitar que </w:t>
      </w:r>
      <w:r w:rsidR="00F52E50" w:rsidRPr="00FC55D1">
        <w:rPr>
          <w:rFonts w:ascii="Trebuchet MS" w:eastAsia="Trebuchet MS" w:hAnsi="Trebuchet MS" w:cs="Trebuchet MS"/>
        </w:rPr>
        <w:t>las redes</w:t>
      </w:r>
      <w:r w:rsidRPr="00FC55D1">
        <w:rPr>
          <w:rFonts w:ascii="Trebuchet MS" w:eastAsia="Trebuchet MS" w:hAnsi="Trebuchet MS" w:cs="Trebuchet MS"/>
        </w:rPr>
        <w:t xml:space="preserve"> de corrupción que azotan y han azotado al </w:t>
      </w:r>
      <w:r w:rsidR="007247C0" w:rsidRPr="00FC55D1">
        <w:rPr>
          <w:rFonts w:ascii="Trebuchet MS" w:eastAsia="Trebuchet MS" w:hAnsi="Trebuchet MS" w:cs="Trebuchet MS"/>
        </w:rPr>
        <w:t>país, no</w:t>
      </w:r>
      <w:r w:rsidR="00F52E50" w:rsidRPr="00FC55D1">
        <w:rPr>
          <w:rFonts w:ascii="Trebuchet MS" w:eastAsia="Trebuchet MS" w:hAnsi="Trebuchet MS" w:cs="Trebuchet MS"/>
        </w:rPr>
        <w:t xml:space="preserve"> puedan investigarse como consecuencia del paso del tiempo y </w:t>
      </w:r>
      <w:r w:rsidR="00FC55D1" w:rsidRPr="00FC55D1">
        <w:rPr>
          <w:rFonts w:ascii="Trebuchet MS" w:eastAsia="Trebuchet MS" w:hAnsi="Trebuchet MS" w:cs="Trebuchet MS"/>
        </w:rPr>
        <w:t xml:space="preserve">así, </w:t>
      </w:r>
      <w:r w:rsidR="007247C0" w:rsidRPr="00FC55D1">
        <w:rPr>
          <w:rFonts w:ascii="Trebuchet MS" w:eastAsia="Trebuchet MS" w:hAnsi="Trebuchet MS" w:cs="Trebuchet MS"/>
        </w:rPr>
        <w:t>evitar la</w:t>
      </w:r>
      <w:r w:rsidR="00F52E50" w:rsidRPr="00FC55D1">
        <w:rPr>
          <w:rFonts w:ascii="Trebuchet MS" w:eastAsia="Trebuchet MS" w:hAnsi="Trebuchet MS" w:cs="Trebuchet MS"/>
        </w:rPr>
        <w:t xml:space="preserve"> impunidad.</w:t>
      </w:r>
      <w:r w:rsidR="00BA7AD5" w:rsidRPr="00FC55D1">
        <w:rPr>
          <w:rFonts w:ascii="Trebuchet MS" w:eastAsia="Trebuchet MS" w:hAnsi="Trebuchet MS" w:cs="Trebuchet MS"/>
        </w:rPr>
        <w:t xml:space="preserve"> Esta medida facilitaría la labor investigativa de la Fiscalía General de la Nación y de la Corte Suprema de Justicia. Asimismo</w:t>
      </w:r>
      <w:r w:rsidR="00F52E50" w:rsidRPr="00FC55D1">
        <w:rPr>
          <w:rFonts w:ascii="Trebuchet MS" w:eastAsia="Trebuchet MS" w:hAnsi="Trebuchet MS" w:cs="Trebuchet MS"/>
        </w:rPr>
        <w:t>, se busca que</w:t>
      </w:r>
      <w:r w:rsidR="00BA7AD5" w:rsidRPr="00FC55D1">
        <w:rPr>
          <w:rFonts w:ascii="Trebuchet MS" w:eastAsia="Trebuchet MS" w:hAnsi="Trebuchet MS" w:cs="Trebuchet MS"/>
        </w:rPr>
        <w:t>,</w:t>
      </w:r>
      <w:r w:rsidR="00F52E50" w:rsidRPr="00FC55D1">
        <w:rPr>
          <w:rFonts w:ascii="Trebuchet MS" w:eastAsia="Trebuchet MS" w:hAnsi="Trebuchet MS" w:cs="Trebuchet MS"/>
        </w:rPr>
        <w:t xml:space="preserve"> como consecuencia de esas investigaciones</w:t>
      </w:r>
      <w:r w:rsidR="00BA7AD5" w:rsidRPr="00FC55D1">
        <w:rPr>
          <w:rFonts w:ascii="Trebuchet MS" w:eastAsia="Trebuchet MS" w:hAnsi="Trebuchet MS" w:cs="Trebuchet MS"/>
        </w:rPr>
        <w:t>,</w:t>
      </w:r>
      <w:r w:rsidR="00F52E50" w:rsidRPr="00FC55D1">
        <w:rPr>
          <w:rFonts w:ascii="Trebuchet MS" w:eastAsia="Trebuchet MS" w:hAnsi="Trebuchet MS" w:cs="Trebuchet MS"/>
        </w:rPr>
        <w:t xml:space="preserve"> en cuanto se determinen los responsables se puedan recuperar los dineros públicos que fueron </w:t>
      </w:r>
      <w:r w:rsidR="00BA7AD5" w:rsidRPr="00FC55D1">
        <w:rPr>
          <w:rFonts w:ascii="Trebuchet MS" w:eastAsia="Trebuchet MS" w:hAnsi="Trebuchet MS" w:cs="Trebuchet MS"/>
        </w:rPr>
        <w:t>malversados</w:t>
      </w:r>
      <w:r w:rsidR="00F52E50" w:rsidRPr="00FC55D1">
        <w:rPr>
          <w:rFonts w:ascii="Trebuchet MS" w:eastAsia="Trebuchet MS" w:hAnsi="Trebuchet MS" w:cs="Trebuchet MS"/>
        </w:rPr>
        <w:t xml:space="preserve">. </w:t>
      </w:r>
    </w:p>
    <w:p w:rsidR="00F52E50" w:rsidRPr="00FC55D1" w:rsidRDefault="00F52E50" w:rsidP="001B6A57">
      <w:pPr>
        <w:spacing w:line="360" w:lineRule="auto"/>
        <w:jc w:val="both"/>
        <w:rPr>
          <w:rFonts w:ascii="Trebuchet MS" w:eastAsia="Trebuchet MS" w:hAnsi="Trebuchet MS" w:cs="Trebuchet MS"/>
        </w:rPr>
      </w:pPr>
    </w:p>
    <w:bookmarkEnd w:id="1"/>
    <w:p w:rsidR="001B6A57" w:rsidRPr="00FC55D1" w:rsidRDefault="007D4606" w:rsidP="001B6A57">
      <w:pPr>
        <w:spacing w:line="360" w:lineRule="auto"/>
        <w:jc w:val="both"/>
        <w:rPr>
          <w:rFonts w:ascii="Trebuchet MS" w:eastAsia="Trebuchet MS" w:hAnsi="Trebuchet MS" w:cs="Trebuchet MS"/>
          <w:b/>
          <w:i/>
        </w:rPr>
      </w:pPr>
      <w:r w:rsidRPr="00FC55D1">
        <w:rPr>
          <w:rFonts w:ascii="Trebuchet MS" w:eastAsia="Trebuchet MS" w:hAnsi="Trebuchet MS" w:cs="Trebuchet MS"/>
          <w:b/>
          <w:i/>
        </w:rPr>
        <w:t>J</w:t>
      </w:r>
      <w:r w:rsidR="001B6A57" w:rsidRPr="00FC55D1">
        <w:rPr>
          <w:rFonts w:ascii="Trebuchet MS" w:eastAsia="Trebuchet MS" w:hAnsi="Trebuchet MS" w:cs="Trebuchet MS"/>
          <w:b/>
          <w:i/>
        </w:rPr>
        <w:t xml:space="preserve">ustificación </w:t>
      </w:r>
    </w:p>
    <w:p w:rsidR="00BA7AD5" w:rsidRPr="00FC55D1" w:rsidRDefault="00BA7AD5" w:rsidP="001B6A57">
      <w:pPr>
        <w:spacing w:line="360" w:lineRule="auto"/>
        <w:jc w:val="both"/>
        <w:rPr>
          <w:rFonts w:ascii="Trebuchet MS" w:eastAsia="Trebuchet MS" w:hAnsi="Trebuchet MS" w:cs="Trebuchet MS"/>
          <w:b/>
          <w:i/>
        </w:rPr>
      </w:pPr>
    </w:p>
    <w:p w:rsidR="009322A6" w:rsidRPr="00FC55D1" w:rsidRDefault="009322A6" w:rsidP="009322A6">
      <w:pPr>
        <w:spacing w:line="360" w:lineRule="auto"/>
        <w:jc w:val="both"/>
        <w:rPr>
          <w:rFonts w:ascii="Trebuchet MS" w:eastAsia="Trebuchet MS" w:hAnsi="Trebuchet MS" w:cs="Trebuchet MS"/>
        </w:rPr>
      </w:pPr>
      <w:r w:rsidRPr="00FC55D1">
        <w:rPr>
          <w:rFonts w:ascii="Trebuchet MS" w:eastAsia="Trebuchet MS" w:hAnsi="Trebuchet MS" w:cs="Trebuchet MS"/>
        </w:rPr>
        <w:t>La corrupción en Colombia afecta el desarrollo del país y tiene incidencia directa en el nivel de desigualdad social. Si bien es cierto, es una práctica presente a nivel mundial, tal y como lo señaló Kofi Annan, afecta en mayor medida a los países en desarrollo. En sus palabras:</w:t>
      </w:r>
    </w:p>
    <w:p w:rsidR="009322A6" w:rsidRPr="00FC55D1" w:rsidRDefault="009322A6" w:rsidP="009322A6">
      <w:pPr>
        <w:spacing w:line="360" w:lineRule="auto"/>
        <w:jc w:val="both"/>
        <w:rPr>
          <w:rFonts w:ascii="Trebuchet MS" w:eastAsia="Trebuchet MS" w:hAnsi="Trebuchet MS" w:cs="Trebuchet MS"/>
        </w:rPr>
      </w:pPr>
    </w:p>
    <w:p w:rsidR="009322A6" w:rsidRPr="00FC55D1" w:rsidRDefault="009322A6" w:rsidP="009322A6">
      <w:pPr>
        <w:spacing w:line="360" w:lineRule="auto"/>
        <w:jc w:val="both"/>
        <w:rPr>
          <w:rFonts w:ascii="Trebuchet MS" w:eastAsia="Trebuchet MS" w:hAnsi="Trebuchet MS" w:cs="Trebuchet MS"/>
          <w:i/>
        </w:rPr>
      </w:pPr>
      <w:r w:rsidRPr="00FC55D1">
        <w:rPr>
          <w:rFonts w:ascii="Trebuchet MS" w:eastAsia="Trebuchet MS" w:hAnsi="Trebuchet MS" w:cs="Trebuchet MS"/>
          <w:i/>
        </w:rPr>
        <w:t xml:space="preserve">“La corrupción es una plaga insidiosa que tiene un amplio espectro de consecuencias corrosivas para la sociedad. Socava la democracia y el estado de derecho, da pie a violaciones de los derechos humanos, distorsiona los mercados, menoscaba la calidad de vida y permite el florecimiento de la delincuencia organizada, el terrorismo y otras amenazas a la seguridad humana. Este fenómeno maligno se da en todos los países —grandes y pequeños, ricos y pobres— pero sus efectos son especialmente devastadores en el mundo en desarrollo. La corrupción afecta infinitamente más a los pobres porque desvía los fondos destinados al desarrollo, socava la capacidad de los gobiernos de ofrecer </w:t>
      </w:r>
      <w:r w:rsidRPr="00FC55D1">
        <w:rPr>
          <w:rFonts w:ascii="Trebuchet MS" w:eastAsia="Trebuchet MS" w:hAnsi="Trebuchet MS" w:cs="Trebuchet MS"/>
          <w:i/>
        </w:rPr>
        <w:lastRenderedPageBreak/>
        <w:t>servicios básicos, alimenta la desigualdad y la injusticia y desalienta la inversión y las ayudas extranjeras. La corrupción es un factor clave del bajo rendimiento y un obstáculo muy importante para el alivio de la pobreza y el desarrollo”</w:t>
      </w:r>
      <w:r w:rsidRPr="00FC55D1">
        <w:rPr>
          <w:rStyle w:val="Refdenotaalpie"/>
          <w:rFonts w:ascii="Trebuchet MS" w:eastAsia="Trebuchet MS" w:hAnsi="Trebuchet MS" w:cs="Trebuchet MS"/>
          <w:i/>
        </w:rPr>
        <w:footnoteReference w:id="1"/>
      </w:r>
      <w:r w:rsidRPr="00FC55D1">
        <w:rPr>
          <w:rFonts w:ascii="Trebuchet MS" w:eastAsia="Trebuchet MS" w:hAnsi="Trebuchet MS" w:cs="Trebuchet MS"/>
          <w:i/>
        </w:rPr>
        <w:t>.</w:t>
      </w:r>
    </w:p>
    <w:p w:rsidR="009322A6" w:rsidRPr="00FC55D1" w:rsidRDefault="009322A6" w:rsidP="009322A6">
      <w:pPr>
        <w:spacing w:line="360" w:lineRule="auto"/>
        <w:jc w:val="both"/>
        <w:rPr>
          <w:rFonts w:ascii="Trebuchet MS" w:eastAsia="Trebuchet MS" w:hAnsi="Trebuchet MS" w:cs="Trebuchet MS"/>
        </w:rPr>
      </w:pPr>
    </w:p>
    <w:p w:rsidR="001803C3" w:rsidRPr="00FC55D1" w:rsidRDefault="001803C3" w:rsidP="009322A6">
      <w:pPr>
        <w:spacing w:line="360" w:lineRule="auto"/>
        <w:jc w:val="both"/>
        <w:rPr>
          <w:rFonts w:ascii="Trebuchet MS" w:eastAsia="Trebuchet MS" w:hAnsi="Trebuchet MS" w:cs="Trebuchet MS"/>
        </w:rPr>
      </w:pPr>
      <w:r w:rsidRPr="00FC55D1">
        <w:rPr>
          <w:rFonts w:ascii="Trebuchet MS" w:eastAsia="Trebuchet MS" w:hAnsi="Trebuchet MS" w:cs="Trebuchet MS"/>
        </w:rPr>
        <w:t>La Convención Interamericana contra la corrupción, establece como actos de corrupción los siguientes comportamientos:</w:t>
      </w:r>
    </w:p>
    <w:p w:rsidR="001803C3" w:rsidRPr="00FC55D1" w:rsidRDefault="001803C3" w:rsidP="009322A6">
      <w:pPr>
        <w:spacing w:line="360" w:lineRule="auto"/>
        <w:jc w:val="both"/>
        <w:rPr>
          <w:rFonts w:ascii="Trebuchet MS" w:eastAsia="Trebuchet MS" w:hAnsi="Trebuchet MS" w:cs="Trebuchet MS"/>
        </w:rPr>
      </w:pPr>
    </w:p>
    <w:p w:rsidR="00C534EA" w:rsidRPr="00FC55D1" w:rsidRDefault="00C534EA" w:rsidP="001803C3">
      <w:pPr>
        <w:spacing w:line="360" w:lineRule="auto"/>
        <w:jc w:val="both"/>
        <w:rPr>
          <w:rFonts w:ascii="Trebuchet MS" w:hAnsi="Trebuchet MS"/>
          <w:i/>
        </w:rPr>
      </w:pPr>
      <w:r w:rsidRPr="00FC55D1">
        <w:rPr>
          <w:rFonts w:ascii="Trebuchet MS" w:hAnsi="Trebuchet MS"/>
          <w:i/>
        </w:rPr>
        <w:t>“</w:t>
      </w:r>
      <w:r w:rsidR="001803C3" w:rsidRPr="00FC55D1">
        <w:rPr>
          <w:rFonts w:ascii="Trebuchet MS" w:hAnsi="Trebuchet MS"/>
          <w:i/>
        </w:rPr>
        <w:t xml:space="preserve">a. 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 </w:t>
      </w:r>
    </w:p>
    <w:p w:rsidR="00C534EA" w:rsidRPr="00FC55D1" w:rsidRDefault="001803C3" w:rsidP="001803C3">
      <w:pPr>
        <w:spacing w:line="360" w:lineRule="auto"/>
        <w:jc w:val="both"/>
        <w:rPr>
          <w:rFonts w:ascii="Trebuchet MS" w:hAnsi="Trebuchet MS"/>
          <w:i/>
        </w:rPr>
      </w:pPr>
      <w:r w:rsidRPr="00FC55D1">
        <w:rPr>
          <w:rFonts w:ascii="Trebuchet MS" w:hAnsi="Trebuchet MS"/>
          <w:i/>
        </w:rPr>
        <w:t>b. El ofrecimiento o el otorgamiento, directa o indirectamente, a un funcionario público o a una persona que ejerza funciones públicas, de cualquier objeto de valor pecuniario u otros beneficios como dádivas, favores, promesas o ventajas para ese funcionario público o para otra persona o entidad a cambio de la realización u omisión de cualquier acto en el ejercicio de sus funciones públicas;</w:t>
      </w:r>
    </w:p>
    <w:p w:rsidR="001803C3" w:rsidRPr="00FC55D1" w:rsidRDefault="001803C3" w:rsidP="001803C3">
      <w:pPr>
        <w:spacing w:line="360" w:lineRule="auto"/>
        <w:jc w:val="both"/>
        <w:rPr>
          <w:rFonts w:ascii="Trebuchet MS" w:eastAsia="Trebuchet MS" w:hAnsi="Trebuchet MS" w:cs="Trebuchet MS"/>
          <w:i/>
        </w:rPr>
      </w:pPr>
      <w:r w:rsidRPr="00FC55D1">
        <w:rPr>
          <w:rFonts w:ascii="Trebuchet MS" w:hAnsi="Trebuchet MS"/>
          <w:i/>
        </w:rPr>
        <w:t xml:space="preserve"> c. La realización por parte de un funcionario público o una persona que ejerza funciones públicas de cualquier acto u omisión en el ejercicio de sus funciones, con el fin de obtener ilícitamente beneficios para sí mismo o para un tercero; d. El aprovechamiento doloso u ocultación de bienes provenientes de cualesquiera de los actos a los que se refiere el presente artículo; y e. La participación como autor, </w:t>
      </w:r>
      <w:proofErr w:type="spellStart"/>
      <w:r w:rsidRPr="00FC55D1">
        <w:rPr>
          <w:rFonts w:ascii="Trebuchet MS" w:hAnsi="Trebuchet MS"/>
          <w:i/>
        </w:rPr>
        <w:t>co</w:t>
      </w:r>
      <w:proofErr w:type="spellEnd"/>
      <w:r w:rsidRPr="00FC55D1">
        <w:rPr>
          <w:rFonts w:ascii="Trebuchet MS" w:hAnsi="Trebuchet MS"/>
          <w:i/>
        </w:rPr>
        <w:t>-autor, instigador, cómplice, encubridor o en cualquier otra forma en la comisión, tentativa de comisión, asociación o confabulación para la comisión de cualquiera de los actos a los que se refiere el presente artículo</w:t>
      </w:r>
      <w:r w:rsidR="00C534EA" w:rsidRPr="00FC55D1">
        <w:rPr>
          <w:rFonts w:ascii="Trebuchet MS" w:hAnsi="Trebuchet MS"/>
          <w:i/>
        </w:rPr>
        <w:t>”</w:t>
      </w:r>
      <w:r w:rsidRPr="00FC55D1">
        <w:rPr>
          <w:rFonts w:ascii="Trebuchet MS" w:hAnsi="Trebuchet MS"/>
          <w:i/>
        </w:rPr>
        <w:t>.</w:t>
      </w:r>
    </w:p>
    <w:p w:rsidR="001803C3" w:rsidRPr="00FC55D1" w:rsidRDefault="001803C3" w:rsidP="009322A6">
      <w:pPr>
        <w:spacing w:line="360" w:lineRule="auto"/>
        <w:jc w:val="both"/>
        <w:rPr>
          <w:rFonts w:ascii="Trebuchet MS" w:eastAsia="Trebuchet MS" w:hAnsi="Trebuchet MS" w:cs="Trebuchet MS"/>
        </w:rPr>
      </w:pPr>
    </w:p>
    <w:p w:rsidR="001B6A57" w:rsidRPr="00FC55D1" w:rsidRDefault="009322A6" w:rsidP="001B6A57">
      <w:pPr>
        <w:spacing w:line="360" w:lineRule="auto"/>
        <w:jc w:val="both"/>
        <w:rPr>
          <w:rFonts w:ascii="Trebuchet MS" w:eastAsia="Trebuchet MS" w:hAnsi="Trebuchet MS" w:cs="Trebuchet MS"/>
        </w:rPr>
      </w:pPr>
      <w:r w:rsidRPr="00FC55D1">
        <w:rPr>
          <w:rFonts w:ascii="Trebuchet MS" w:eastAsia="Trebuchet MS" w:hAnsi="Trebuchet MS" w:cs="Trebuchet MS"/>
        </w:rPr>
        <w:t>En Colombia, un país en vía de desarrollo</w:t>
      </w:r>
      <w:r w:rsidR="00FC55D1" w:rsidRPr="00FC55D1">
        <w:rPr>
          <w:rFonts w:ascii="Trebuchet MS" w:eastAsia="Trebuchet MS" w:hAnsi="Trebuchet MS" w:cs="Trebuchet MS"/>
        </w:rPr>
        <w:t>,</w:t>
      </w:r>
      <w:r w:rsidRPr="00FC55D1">
        <w:rPr>
          <w:rFonts w:ascii="Trebuchet MS" w:eastAsia="Trebuchet MS" w:hAnsi="Trebuchet MS" w:cs="Trebuchet MS"/>
        </w:rPr>
        <w:t xml:space="preserve"> este fenómeno</w:t>
      </w:r>
      <w:r w:rsidR="00FC55D1" w:rsidRPr="00FC55D1">
        <w:rPr>
          <w:rFonts w:ascii="Trebuchet MS" w:eastAsia="Trebuchet MS" w:hAnsi="Trebuchet MS" w:cs="Trebuchet MS"/>
        </w:rPr>
        <w:t>,</w:t>
      </w:r>
      <w:r w:rsidRPr="00FC55D1">
        <w:rPr>
          <w:rFonts w:ascii="Trebuchet MS" w:eastAsia="Trebuchet MS" w:hAnsi="Trebuchet MS" w:cs="Trebuchet MS"/>
        </w:rPr>
        <w:t xml:space="preserve"> año tras año</w:t>
      </w:r>
      <w:r w:rsidR="00FC55D1" w:rsidRPr="00FC55D1">
        <w:rPr>
          <w:rFonts w:ascii="Trebuchet MS" w:eastAsia="Trebuchet MS" w:hAnsi="Trebuchet MS" w:cs="Trebuchet MS"/>
        </w:rPr>
        <w:t>,</w:t>
      </w:r>
      <w:r w:rsidRPr="00FC55D1">
        <w:rPr>
          <w:rFonts w:ascii="Trebuchet MS" w:eastAsia="Trebuchet MS" w:hAnsi="Trebuchet MS" w:cs="Trebuchet MS"/>
        </w:rPr>
        <w:t xml:space="preserve"> en lugar de decrecer, aumenta. </w:t>
      </w:r>
      <w:r w:rsidR="00BA7AD5" w:rsidRPr="00FC55D1">
        <w:rPr>
          <w:rFonts w:ascii="Trebuchet MS" w:eastAsia="Trebuchet MS" w:hAnsi="Trebuchet MS" w:cs="Trebuchet MS"/>
        </w:rPr>
        <w:t>Según el Índice de Percepción de la Corrupción 2020 de Transparencia Internacional, Colombia obtuvo una cali</w:t>
      </w:r>
      <w:r w:rsidR="00C70E8C" w:rsidRPr="00FC55D1">
        <w:rPr>
          <w:rFonts w:ascii="Trebuchet MS" w:eastAsia="Trebuchet MS" w:hAnsi="Trebuchet MS" w:cs="Trebuchet MS"/>
        </w:rPr>
        <w:t>ficación de 39 puntos sobre 100</w:t>
      </w:r>
      <w:r w:rsidR="00BA7AD5" w:rsidRPr="00FC55D1">
        <w:rPr>
          <w:rFonts w:ascii="Trebuchet MS" w:eastAsia="Trebuchet MS" w:hAnsi="Trebuchet MS" w:cs="Trebuchet MS"/>
        </w:rPr>
        <w:t>, y ocupa la posición 92 entre 180 países evaluado</w:t>
      </w:r>
      <w:r w:rsidR="00C70E8C" w:rsidRPr="00FC55D1">
        <w:rPr>
          <w:rFonts w:ascii="Trebuchet MS" w:eastAsia="Trebuchet MS" w:hAnsi="Trebuchet MS" w:cs="Trebuchet MS"/>
        </w:rPr>
        <w:t>s, donde 0 significa corrupción muy elevada y 100, ausencia de corrupción. Asimismo, en este último informe se indicó que Colombia “</w:t>
      </w:r>
      <w:r w:rsidR="00C70E8C" w:rsidRPr="00FC55D1">
        <w:rPr>
          <w:rFonts w:ascii="Trebuchet MS" w:eastAsia="Trebuchet MS" w:hAnsi="Trebuchet MS" w:cs="Trebuchet MS"/>
          <w:i/>
        </w:rPr>
        <w:t>no logra una variación significativa en la calificación, que entre 2012 y 2020 ha estado entre los 36 y los 39 puntos</w:t>
      </w:r>
      <w:r w:rsidR="00C70E8C" w:rsidRPr="00FC55D1">
        <w:rPr>
          <w:rFonts w:ascii="Trebuchet MS" w:eastAsia="Trebuchet MS" w:hAnsi="Trebuchet MS" w:cs="Trebuchet MS"/>
        </w:rPr>
        <w:t>”</w:t>
      </w:r>
      <w:r w:rsidR="00C70E8C" w:rsidRPr="00FC55D1">
        <w:rPr>
          <w:rStyle w:val="Refdenotaalpie"/>
          <w:rFonts w:ascii="Trebuchet MS" w:eastAsia="Trebuchet MS" w:hAnsi="Trebuchet MS" w:cs="Trebuchet MS"/>
        </w:rPr>
        <w:footnoteReference w:id="2"/>
      </w:r>
      <w:r w:rsidR="00C70E8C" w:rsidRPr="00FC55D1">
        <w:rPr>
          <w:rFonts w:ascii="Trebuchet MS" w:eastAsia="Trebuchet MS" w:hAnsi="Trebuchet MS" w:cs="Trebuchet MS"/>
        </w:rPr>
        <w:t xml:space="preserve">. En el mismo informe se indicó que en la región, Colombia solo está por encima de Brasil y </w:t>
      </w:r>
      <w:r w:rsidR="00336CB0" w:rsidRPr="00FC55D1">
        <w:rPr>
          <w:rFonts w:ascii="Trebuchet MS" w:eastAsia="Trebuchet MS" w:hAnsi="Trebuchet MS" w:cs="Trebuchet MS"/>
        </w:rPr>
        <w:t>Perú</w:t>
      </w:r>
      <w:r w:rsidR="00C70E8C" w:rsidRPr="00FC55D1">
        <w:rPr>
          <w:rFonts w:ascii="Trebuchet MS" w:eastAsia="Trebuchet MS" w:hAnsi="Trebuchet MS" w:cs="Trebuchet MS"/>
        </w:rPr>
        <w:t xml:space="preserve"> y que “</w:t>
      </w:r>
      <w:r w:rsidR="00C70E8C" w:rsidRPr="00FC55D1">
        <w:rPr>
          <w:rFonts w:ascii="Trebuchet MS" w:eastAsia="Trebuchet MS" w:hAnsi="Trebuchet MS" w:cs="Trebuchet MS"/>
          <w:i/>
        </w:rPr>
        <w:t>Entre los países que hacen parte de la OCDE, Colombia ocupa el penúltimo puesto entre 37 países, superando únicamente a México</w:t>
      </w:r>
      <w:r w:rsidR="00C70E8C" w:rsidRPr="00FC55D1">
        <w:rPr>
          <w:rFonts w:ascii="Trebuchet MS" w:eastAsia="Trebuchet MS" w:hAnsi="Trebuchet MS" w:cs="Trebuchet MS"/>
        </w:rPr>
        <w:t>”.</w:t>
      </w:r>
    </w:p>
    <w:p w:rsidR="00C70E8C" w:rsidRPr="00FC55D1" w:rsidRDefault="00C70E8C" w:rsidP="001B6A57">
      <w:pPr>
        <w:spacing w:line="360" w:lineRule="auto"/>
        <w:jc w:val="both"/>
        <w:rPr>
          <w:rFonts w:ascii="Trebuchet MS" w:eastAsia="Trebuchet MS" w:hAnsi="Trebuchet MS" w:cs="Trebuchet MS"/>
        </w:rPr>
      </w:pPr>
    </w:p>
    <w:p w:rsidR="00C70E8C" w:rsidRDefault="00C70E8C" w:rsidP="001B6A57">
      <w:pPr>
        <w:spacing w:line="360" w:lineRule="auto"/>
        <w:jc w:val="both"/>
        <w:rPr>
          <w:rFonts w:ascii="Trebuchet MS" w:eastAsia="Trebuchet MS" w:hAnsi="Trebuchet MS" w:cs="Trebuchet MS"/>
        </w:rPr>
      </w:pPr>
      <w:r w:rsidRPr="00FC55D1">
        <w:rPr>
          <w:rFonts w:ascii="Trebuchet MS" w:eastAsia="Trebuchet MS" w:hAnsi="Trebuchet MS" w:cs="Trebuchet MS"/>
        </w:rPr>
        <w:t>Sobre estos resultados, el Director de Transparencia por Colombia manifestó que “</w:t>
      </w:r>
      <w:r w:rsidRPr="00FC55D1">
        <w:rPr>
          <w:rFonts w:ascii="Trebuchet MS" w:eastAsia="Trebuchet MS" w:hAnsi="Trebuchet MS" w:cs="Trebuchet MS"/>
          <w:i/>
        </w:rPr>
        <w:t>Estamos cerca de cumplir una década en ese estancamiento. Avanzar en esta calificación dependerá de cómo el país aborde retos históricos que facilitan la corrupción, pero también de nuestra capacidad para proteger los recursos públicos en coyunturas tan difíciles como la pandemia”</w:t>
      </w:r>
      <w:r w:rsidR="00336CB0" w:rsidRPr="00FC55D1">
        <w:rPr>
          <w:rStyle w:val="Refdenotaalpie"/>
          <w:rFonts w:ascii="Trebuchet MS" w:eastAsia="Trebuchet MS" w:hAnsi="Trebuchet MS" w:cs="Trebuchet MS"/>
          <w:i/>
        </w:rPr>
        <w:footnoteReference w:id="3"/>
      </w:r>
      <w:r w:rsidRPr="00FC55D1">
        <w:rPr>
          <w:rFonts w:ascii="Trebuchet MS" w:eastAsia="Trebuchet MS" w:hAnsi="Trebuchet MS" w:cs="Trebuchet MS"/>
        </w:rPr>
        <w:t>.</w:t>
      </w:r>
    </w:p>
    <w:p w:rsidR="007247C0" w:rsidRDefault="007247C0" w:rsidP="001B6A57">
      <w:pPr>
        <w:spacing w:line="360" w:lineRule="auto"/>
        <w:jc w:val="both"/>
        <w:rPr>
          <w:rFonts w:ascii="Trebuchet MS" w:eastAsia="Trebuchet MS" w:hAnsi="Trebuchet MS" w:cs="Trebuchet MS"/>
        </w:rPr>
      </w:pPr>
    </w:p>
    <w:p w:rsidR="007247C0" w:rsidRDefault="007247C0" w:rsidP="001B6A57">
      <w:pPr>
        <w:spacing w:line="360" w:lineRule="auto"/>
        <w:jc w:val="both"/>
        <w:rPr>
          <w:rFonts w:ascii="Trebuchet MS" w:eastAsia="Trebuchet MS" w:hAnsi="Trebuchet MS" w:cs="Trebuchet MS"/>
        </w:rPr>
      </w:pPr>
      <w:r>
        <w:rPr>
          <w:rFonts w:ascii="Trebuchet MS" w:eastAsia="Trebuchet MS" w:hAnsi="Trebuchet MS" w:cs="Trebuchet MS"/>
        </w:rPr>
        <w:t xml:space="preserve">A título ilustrativo, vale la pena traer a colación algunos de los grandes escándalos de corrupción en Colombia, los cuales dan cuenta de la magnitud del problema en pérdida de recursos públicos. Veamos: </w:t>
      </w:r>
    </w:p>
    <w:p w:rsidR="00D26E3A" w:rsidRDefault="00D26E3A" w:rsidP="001B6A57">
      <w:pPr>
        <w:spacing w:line="360" w:lineRule="auto"/>
        <w:jc w:val="both"/>
        <w:rPr>
          <w:rFonts w:ascii="Trebuchet MS" w:eastAsia="Trebuchet MS" w:hAnsi="Trebuchet MS" w:cs="Trebuchet MS"/>
        </w:rPr>
      </w:pPr>
    </w:p>
    <w:p w:rsidR="00D26E3A" w:rsidRPr="00FC55D1" w:rsidRDefault="00D26E3A" w:rsidP="001B6A57">
      <w:pPr>
        <w:spacing w:line="360" w:lineRule="auto"/>
        <w:jc w:val="both"/>
        <w:rPr>
          <w:rFonts w:ascii="Trebuchet MS" w:eastAsia="Trebuchet MS" w:hAnsi="Trebuchet MS" w:cs="Trebuchet MS"/>
        </w:rPr>
      </w:pPr>
      <w:r>
        <w:rPr>
          <w:noProof/>
          <w:lang w:val="es-CO" w:eastAsia="es-CO"/>
        </w:rPr>
        <w:lastRenderedPageBreak/>
        <w:drawing>
          <wp:inline distT="0" distB="0" distL="0" distR="0" wp14:anchorId="4002C6EF" wp14:editId="7E9AA696">
            <wp:extent cx="3752850" cy="4953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2850" cy="4953000"/>
                    </a:xfrm>
                    <a:prstGeom prst="rect">
                      <a:avLst/>
                    </a:prstGeom>
                  </pic:spPr>
                </pic:pic>
              </a:graphicData>
            </a:graphic>
          </wp:inline>
        </w:drawing>
      </w:r>
    </w:p>
    <w:p w:rsidR="00111CEB" w:rsidRPr="00FC55D1" w:rsidRDefault="00111CEB" w:rsidP="001B6A57">
      <w:pPr>
        <w:spacing w:line="360" w:lineRule="auto"/>
        <w:jc w:val="both"/>
        <w:rPr>
          <w:rFonts w:ascii="Trebuchet MS" w:eastAsia="Trebuchet MS" w:hAnsi="Trebuchet MS" w:cs="Trebuchet MS"/>
        </w:rPr>
      </w:pPr>
    </w:p>
    <w:p w:rsidR="00BA7AD5" w:rsidRPr="00FC55D1" w:rsidRDefault="00D26E3A" w:rsidP="00111CEB">
      <w:pPr>
        <w:spacing w:line="360" w:lineRule="auto"/>
        <w:jc w:val="both"/>
        <w:rPr>
          <w:rFonts w:ascii="Trebuchet MS" w:eastAsia="Trebuchet MS" w:hAnsi="Trebuchet MS" w:cs="Trebuchet MS"/>
          <w:i/>
        </w:rPr>
      </w:pPr>
      <w:r>
        <w:rPr>
          <w:rFonts w:ascii="Trebuchet MS" w:eastAsia="Trebuchet MS" w:hAnsi="Trebuchet MS" w:cs="Trebuchet MS"/>
        </w:rPr>
        <w:t xml:space="preserve">En esta línea, </w:t>
      </w:r>
      <w:r w:rsidR="00111CEB" w:rsidRPr="00FC55D1">
        <w:rPr>
          <w:rFonts w:ascii="Trebuchet MS" w:eastAsia="Trebuchet MS" w:hAnsi="Trebuchet MS" w:cs="Trebuchet MS"/>
        </w:rPr>
        <w:t>el Contralor General de la República</w:t>
      </w:r>
      <w:r>
        <w:rPr>
          <w:rFonts w:ascii="Trebuchet MS" w:eastAsia="Trebuchet MS" w:hAnsi="Trebuchet MS" w:cs="Trebuchet MS"/>
        </w:rPr>
        <w:t xml:space="preserve"> de manera reiterada ha advertido sobre la magnitud del problema de la corrupción. El 20 de marzo de 2021</w:t>
      </w:r>
      <w:r w:rsidR="00111CEB" w:rsidRPr="00FC55D1">
        <w:rPr>
          <w:rFonts w:ascii="Trebuchet MS" w:eastAsia="Trebuchet MS" w:hAnsi="Trebuchet MS" w:cs="Trebuchet MS"/>
        </w:rPr>
        <w:t xml:space="preserve">, </w:t>
      </w:r>
      <w:r>
        <w:rPr>
          <w:rFonts w:ascii="Trebuchet MS" w:eastAsia="Trebuchet MS" w:hAnsi="Trebuchet MS" w:cs="Trebuchet MS"/>
        </w:rPr>
        <w:t xml:space="preserve">en una entrevista al diario El Tiempo </w:t>
      </w:r>
      <w:r w:rsidR="00111CEB" w:rsidRPr="00FC55D1">
        <w:rPr>
          <w:rFonts w:ascii="Trebuchet MS" w:eastAsia="Trebuchet MS" w:hAnsi="Trebuchet MS" w:cs="Trebuchet MS"/>
        </w:rPr>
        <w:t xml:space="preserve">frente a la pregunta de </w:t>
      </w:r>
      <w:r w:rsidR="00111CEB" w:rsidRPr="00FC55D1">
        <w:rPr>
          <w:rFonts w:ascii="Trebuchet MS" w:eastAsia="Trebuchet MS" w:hAnsi="Trebuchet MS" w:cs="Trebuchet MS"/>
          <w:i/>
        </w:rPr>
        <w:t xml:space="preserve">“¿Cuánta plata se pierde por corrupción?, </w:t>
      </w:r>
      <w:r w:rsidR="00111CEB" w:rsidRPr="00FC55D1">
        <w:rPr>
          <w:rFonts w:ascii="Trebuchet MS" w:eastAsia="Trebuchet MS" w:hAnsi="Trebuchet MS" w:cs="Trebuchet MS"/>
        </w:rPr>
        <w:t>indicó</w:t>
      </w:r>
      <w:r>
        <w:rPr>
          <w:rFonts w:ascii="Trebuchet MS" w:eastAsia="Trebuchet MS" w:hAnsi="Trebuchet MS" w:cs="Trebuchet MS"/>
        </w:rPr>
        <w:t>:</w:t>
      </w:r>
      <w:r w:rsidR="00111CEB" w:rsidRPr="00FC55D1">
        <w:rPr>
          <w:rFonts w:ascii="Trebuchet MS" w:eastAsia="Trebuchet MS" w:hAnsi="Trebuchet MS" w:cs="Trebuchet MS"/>
        </w:rPr>
        <w:t xml:space="preserve"> </w:t>
      </w:r>
      <w:r w:rsidR="00111CEB" w:rsidRPr="00FC55D1">
        <w:rPr>
          <w:rFonts w:ascii="Trebuchet MS" w:eastAsia="Trebuchet MS" w:hAnsi="Trebuchet MS" w:cs="Trebuchet MS"/>
          <w:i/>
        </w:rPr>
        <w:t xml:space="preserve">“Yo podría mencionar una cifra llamativa para un titular, pero prefiero establecer unas referencias para que la opinión se haga una idea clara sobre la dimensión de ese lastre social. Además de los 23,1 billones que encontramos refundidos entre obras inconclusas </w:t>
      </w:r>
      <w:r w:rsidR="00111CEB" w:rsidRPr="00FC55D1">
        <w:rPr>
          <w:rFonts w:ascii="Trebuchet MS" w:eastAsia="Trebuchet MS" w:hAnsi="Trebuchet MS" w:cs="Trebuchet MS"/>
          <w:i/>
        </w:rPr>
        <w:lastRenderedPageBreak/>
        <w:t>y elefantes blancos, dinero que nos serviría para financiar siete veces el Plan Nacional de Vacunación”</w:t>
      </w:r>
      <w:r w:rsidR="009106D6" w:rsidRPr="00FC55D1">
        <w:rPr>
          <w:rStyle w:val="Refdenotaalpie"/>
          <w:rFonts w:ascii="Trebuchet MS" w:eastAsia="Trebuchet MS" w:hAnsi="Trebuchet MS" w:cs="Trebuchet MS"/>
          <w:i/>
        </w:rPr>
        <w:footnoteReference w:id="4"/>
      </w:r>
      <w:r w:rsidR="00111CEB" w:rsidRPr="00FC55D1">
        <w:rPr>
          <w:rFonts w:ascii="Trebuchet MS" w:eastAsia="Trebuchet MS" w:hAnsi="Trebuchet MS" w:cs="Trebuchet MS"/>
          <w:i/>
        </w:rPr>
        <w:t>.</w:t>
      </w:r>
    </w:p>
    <w:p w:rsidR="00111CEB" w:rsidRPr="00FC55D1" w:rsidRDefault="00111CEB" w:rsidP="00111CEB">
      <w:pPr>
        <w:spacing w:line="360" w:lineRule="auto"/>
        <w:jc w:val="both"/>
        <w:rPr>
          <w:rFonts w:ascii="Trebuchet MS" w:eastAsia="Trebuchet MS" w:hAnsi="Trebuchet MS" w:cs="Trebuchet MS"/>
          <w:i/>
        </w:rPr>
      </w:pPr>
    </w:p>
    <w:p w:rsidR="00111CEB" w:rsidRPr="00FC55D1" w:rsidRDefault="00111CEB" w:rsidP="00111CEB">
      <w:pPr>
        <w:spacing w:line="360" w:lineRule="auto"/>
        <w:jc w:val="both"/>
        <w:rPr>
          <w:rFonts w:ascii="Trebuchet MS" w:eastAsia="Trebuchet MS" w:hAnsi="Trebuchet MS" w:cs="Trebuchet MS"/>
        </w:rPr>
      </w:pPr>
      <w:r w:rsidRPr="00FC55D1">
        <w:rPr>
          <w:rFonts w:ascii="Trebuchet MS" w:eastAsia="Trebuchet MS" w:hAnsi="Trebuchet MS" w:cs="Trebuchet MS"/>
        </w:rPr>
        <w:t xml:space="preserve">Como se puede ver, </w:t>
      </w:r>
      <w:r w:rsidR="009106D6" w:rsidRPr="00FC55D1">
        <w:rPr>
          <w:rFonts w:ascii="Trebuchet MS" w:eastAsia="Trebuchet MS" w:hAnsi="Trebuchet MS" w:cs="Trebuchet MS"/>
        </w:rPr>
        <w:t xml:space="preserve">el fenómeno de la corrupción en Colombia </w:t>
      </w:r>
      <w:r w:rsidR="00683B4D" w:rsidRPr="00FC55D1">
        <w:rPr>
          <w:rFonts w:ascii="Trebuchet MS" w:eastAsia="Trebuchet MS" w:hAnsi="Trebuchet MS" w:cs="Trebuchet MS"/>
        </w:rPr>
        <w:t>afecta su desarrollo político, social y económico. Por lo anterior, se requiere promover funcionarios íntegros</w:t>
      </w:r>
      <w:r w:rsidR="007D4606" w:rsidRPr="00FC55D1">
        <w:rPr>
          <w:rFonts w:ascii="Trebuchet MS" w:eastAsia="Trebuchet MS" w:hAnsi="Trebuchet MS" w:cs="Trebuchet MS"/>
        </w:rPr>
        <w:t xml:space="preserve"> y un estado transparente, que adopte medidas que desincentiven y ayuden a combatir la corrupción. </w:t>
      </w:r>
    </w:p>
    <w:p w:rsidR="009322A6" w:rsidRPr="00FC55D1" w:rsidRDefault="009322A6" w:rsidP="00111CEB">
      <w:pPr>
        <w:spacing w:line="360" w:lineRule="auto"/>
        <w:jc w:val="both"/>
        <w:rPr>
          <w:rFonts w:ascii="Trebuchet MS" w:eastAsia="Trebuchet MS" w:hAnsi="Trebuchet MS" w:cs="Trebuchet MS"/>
        </w:rPr>
      </w:pPr>
    </w:p>
    <w:p w:rsidR="007D4606" w:rsidRPr="00FC55D1" w:rsidRDefault="007D4606" w:rsidP="00111CEB">
      <w:pPr>
        <w:spacing w:line="360" w:lineRule="auto"/>
        <w:jc w:val="both"/>
        <w:rPr>
          <w:rFonts w:ascii="Trebuchet MS" w:eastAsia="Trebuchet MS" w:hAnsi="Trebuchet MS" w:cs="Trebuchet MS"/>
          <w:b/>
          <w:i/>
        </w:rPr>
      </w:pPr>
      <w:r w:rsidRPr="00FC55D1">
        <w:rPr>
          <w:rFonts w:ascii="Trebuchet MS" w:eastAsia="Trebuchet MS" w:hAnsi="Trebuchet MS" w:cs="Trebuchet MS"/>
          <w:b/>
          <w:i/>
        </w:rPr>
        <w:t>Marco normativo</w:t>
      </w:r>
    </w:p>
    <w:p w:rsidR="003708C6" w:rsidRPr="00FC55D1" w:rsidRDefault="003708C6" w:rsidP="00111CEB">
      <w:pPr>
        <w:spacing w:line="360" w:lineRule="auto"/>
        <w:jc w:val="both"/>
        <w:rPr>
          <w:rFonts w:ascii="Trebuchet MS" w:eastAsia="Trebuchet MS" w:hAnsi="Trebuchet MS" w:cs="Trebuchet MS"/>
          <w:b/>
        </w:rPr>
      </w:pPr>
    </w:p>
    <w:p w:rsidR="003708C6" w:rsidRPr="00FC55D1" w:rsidRDefault="003708C6" w:rsidP="00AF08FE">
      <w:pPr>
        <w:spacing w:line="360" w:lineRule="auto"/>
        <w:jc w:val="both"/>
        <w:rPr>
          <w:rFonts w:ascii="Trebuchet MS" w:eastAsia="Trebuchet MS" w:hAnsi="Trebuchet MS" w:cs="Trebuchet MS"/>
        </w:rPr>
      </w:pPr>
      <w:r w:rsidRPr="00FC55D1">
        <w:rPr>
          <w:rFonts w:ascii="Trebuchet MS" w:eastAsia="Trebuchet MS" w:hAnsi="Trebuchet MS" w:cs="Trebuchet MS"/>
        </w:rPr>
        <w:t xml:space="preserve">El artículo 2 de la Constitución Política establece </w:t>
      </w:r>
      <w:r w:rsidR="007919F3" w:rsidRPr="00FC55D1">
        <w:rPr>
          <w:rFonts w:ascii="Trebuchet MS" w:eastAsia="Trebuchet MS" w:hAnsi="Trebuchet MS" w:cs="Trebuchet MS"/>
        </w:rPr>
        <w:t>que son</w:t>
      </w:r>
      <w:r w:rsidRPr="00FC55D1">
        <w:rPr>
          <w:rFonts w:ascii="Trebuchet MS" w:eastAsia="Trebuchet MS" w:hAnsi="Trebuchet MS" w:cs="Trebuchet MS"/>
        </w:rPr>
        <w:t xml:space="preserve"> fines esenciales del Estado,</w:t>
      </w:r>
      <w:r w:rsidR="007919F3" w:rsidRPr="00FC55D1">
        <w:rPr>
          <w:rFonts w:ascii="Trebuchet MS" w:hAnsi="Trebuchet MS"/>
          <w:color w:val="4B4949"/>
          <w:sz w:val="18"/>
          <w:szCs w:val="18"/>
        </w:rPr>
        <w:t xml:space="preserve"> </w:t>
      </w:r>
      <w:r w:rsidR="007919F3" w:rsidRPr="00FC55D1">
        <w:rPr>
          <w:rFonts w:ascii="Trebuchet MS" w:hAnsi="Trebuchet MS"/>
          <w:i/>
          <w:color w:val="4B4949"/>
          <w:sz w:val="18"/>
          <w:szCs w:val="18"/>
        </w:rPr>
        <w:t>“</w:t>
      </w:r>
      <w:r w:rsidR="007919F3" w:rsidRPr="00FC55D1">
        <w:rPr>
          <w:rFonts w:ascii="Trebuchet MS" w:eastAsia="Trebuchet MS" w:hAnsi="Trebuchet MS" w:cs="Trebuchet MS"/>
          <w:i/>
        </w:rPr>
        <w:t>servir a la comunidad, promover la prosperidad general y garantizar la efectividad de los principios, derechos y deberes consagrados en la Constitución”.</w:t>
      </w:r>
      <w:r w:rsidR="00AF08FE" w:rsidRPr="00FC55D1">
        <w:rPr>
          <w:rFonts w:ascii="Trebuchet MS" w:eastAsia="Trebuchet MS" w:hAnsi="Trebuchet MS" w:cs="Trebuchet MS"/>
        </w:rPr>
        <w:t xml:space="preserve"> Por su parte, el artículo 366 de la Constitución indica que “</w:t>
      </w:r>
      <w:r w:rsidR="00AF08FE" w:rsidRPr="00FC55D1">
        <w:rPr>
          <w:rFonts w:ascii="Trebuchet MS" w:eastAsia="Trebuchet MS" w:hAnsi="Trebuchet MS" w:cs="Trebuchet MS"/>
          <w:i/>
        </w:rPr>
        <w:t>El bienestar general y el mejoramiento de la calidad de vida de la población son finalidades sociales del Estado. Será objetivo fundamental de su actividad la solución de las necesidades insatisfechas de salud, de educación, de saneamiento ambiental y de agua potable</w:t>
      </w:r>
      <w:r w:rsidR="00AF08FE" w:rsidRPr="00FC55D1">
        <w:rPr>
          <w:rFonts w:ascii="Trebuchet MS" w:eastAsia="Trebuchet MS" w:hAnsi="Trebuchet MS" w:cs="Trebuchet MS"/>
        </w:rPr>
        <w:t>”.</w:t>
      </w:r>
    </w:p>
    <w:p w:rsidR="00C2564D" w:rsidRPr="00FC55D1" w:rsidRDefault="00C2564D" w:rsidP="00AF08FE">
      <w:pPr>
        <w:spacing w:line="360" w:lineRule="auto"/>
        <w:jc w:val="both"/>
        <w:rPr>
          <w:rFonts w:ascii="Trebuchet MS" w:eastAsia="Trebuchet MS" w:hAnsi="Trebuchet MS" w:cs="Trebuchet MS"/>
        </w:rPr>
      </w:pPr>
    </w:p>
    <w:p w:rsidR="00C2564D" w:rsidRPr="00FC55D1" w:rsidRDefault="001803C3" w:rsidP="00AF08FE">
      <w:pPr>
        <w:spacing w:line="360" w:lineRule="auto"/>
        <w:jc w:val="both"/>
        <w:rPr>
          <w:rFonts w:ascii="Trebuchet MS" w:eastAsia="Trebuchet MS" w:hAnsi="Trebuchet MS" w:cs="Trebuchet MS"/>
        </w:rPr>
      </w:pPr>
      <w:r w:rsidRPr="00FC55D1">
        <w:rPr>
          <w:rFonts w:ascii="Trebuchet MS" w:eastAsia="Trebuchet MS" w:hAnsi="Trebuchet MS" w:cs="Trebuchet MS"/>
        </w:rPr>
        <w:t>Con el fin de dar cumplimiento a estos fines constitucionales, e</w:t>
      </w:r>
      <w:r w:rsidR="00804E42" w:rsidRPr="00FC55D1">
        <w:rPr>
          <w:rFonts w:ascii="Trebuchet MS" w:eastAsia="Trebuchet MS" w:hAnsi="Trebuchet MS" w:cs="Trebuchet MS"/>
        </w:rPr>
        <w:t>n los diversos estatutos de contratación –incluyendo Ley 80 y 1150- se han establecido medidas como inhabilidades, incompatibilidades, conflictos de intereses y procedimiento</w:t>
      </w:r>
      <w:r w:rsidRPr="00FC55D1">
        <w:rPr>
          <w:rFonts w:ascii="Trebuchet MS" w:eastAsia="Trebuchet MS" w:hAnsi="Trebuchet MS" w:cs="Trebuchet MS"/>
        </w:rPr>
        <w:t>s</w:t>
      </w:r>
      <w:r w:rsidR="00804E42" w:rsidRPr="00FC55D1">
        <w:rPr>
          <w:rFonts w:ascii="Trebuchet MS" w:eastAsia="Trebuchet MS" w:hAnsi="Trebuchet MS" w:cs="Trebuchet MS"/>
        </w:rPr>
        <w:t xml:space="preserve"> que buscan garantizar la transparencia en la ejecución de recursos públicos. En materia penal, con la Ley 1474 de 2011 se excluyeron de beneficios, tales como subrogados penales o mecanismos sustitutivos de la pena privativa de libertad, a los delitos en contra de la administración pública relacionados con corrupción. Asimismo, en dicha ley se incluyeron medidas disciplinarias que ayuden a combatir este flagelo. </w:t>
      </w:r>
    </w:p>
    <w:p w:rsidR="00804E42" w:rsidRPr="00FC55D1" w:rsidRDefault="00804E42" w:rsidP="00AF08FE">
      <w:pPr>
        <w:spacing w:line="360" w:lineRule="auto"/>
        <w:jc w:val="both"/>
        <w:rPr>
          <w:rFonts w:ascii="Trebuchet MS" w:eastAsia="Trebuchet MS" w:hAnsi="Trebuchet MS" w:cs="Trebuchet MS"/>
        </w:rPr>
      </w:pPr>
    </w:p>
    <w:p w:rsidR="001B6A57" w:rsidRPr="00FC55D1" w:rsidRDefault="00804E42" w:rsidP="00C534EA">
      <w:pPr>
        <w:spacing w:line="360" w:lineRule="auto"/>
        <w:jc w:val="both"/>
        <w:rPr>
          <w:rFonts w:ascii="Trebuchet MS" w:eastAsia="Trebuchet MS" w:hAnsi="Trebuchet MS" w:cs="Trebuchet MS"/>
        </w:rPr>
      </w:pPr>
      <w:r w:rsidRPr="00FC55D1">
        <w:rPr>
          <w:rFonts w:ascii="Trebuchet MS" w:eastAsia="Trebuchet MS" w:hAnsi="Trebuchet MS" w:cs="Trebuchet MS"/>
        </w:rPr>
        <w:lastRenderedPageBreak/>
        <w:t>En el nivel internacional, en la Convención Internacional Contra la Corrupción</w:t>
      </w:r>
      <w:r w:rsidR="001803C3" w:rsidRPr="00FC55D1">
        <w:rPr>
          <w:rFonts w:ascii="Trebuchet MS" w:eastAsia="Trebuchet MS" w:hAnsi="Trebuchet MS" w:cs="Trebuchet MS"/>
        </w:rPr>
        <w:t xml:space="preserve"> se establecieron medidas preventivas, se adicionaron unos delitos y se estableció que los estados partes deberían adoptar las medidas necesarias para incluir dichos delitos en la legislación interna. </w:t>
      </w:r>
      <w:r w:rsidR="00C534EA" w:rsidRPr="00FC55D1">
        <w:rPr>
          <w:rFonts w:ascii="Trebuchet MS" w:eastAsia="Trebuchet MS" w:hAnsi="Trebuchet MS" w:cs="Trebuchet MS"/>
        </w:rPr>
        <w:t>Por su parte, en la Convención de las Naciones Unidas Contra la Corrupción se indicó que “</w:t>
      </w:r>
      <w:r w:rsidR="00C534EA" w:rsidRPr="00FC55D1">
        <w:rPr>
          <w:rFonts w:ascii="Trebuchet MS" w:eastAsia="Trebuchet MS" w:hAnsi="Trebuchet MS" w:cs="Trebuchet MS"/>
          <w:i/>
        </w:rPr>
        <w:t>cada Estado Parte, de conformidad con los principios fundamentales de su derecho interno, adoptará medidas para eliminar las consecuencias de los actos de corrupción</w:t>
      </w:r>
      <w:r w:rsidR="00EE19FC" w:rsidRPr="00FC55D1">
        <w:rPr>
          <w:rFonts w:ascii="Trebuchet MS" w:eastAsia="Trebuchet MS" w:hAnsi="Trebuchet MS" w:cs="Trebuchet MS"/>
        </w:rPr>
        <w:t xml:space="preserve">” y en el artículo 29 se indicó que cada Estado parte, debería incluir plazos de prescripción amplios para dar inicio a la acción penal. </w:t>
      </w:r>
    </w:p>
    <w:p w:rsidR="006D757F" w:rsidRDefault="006D757F" w:rsidP="001B6A57">
      <w:pPr>
        <w:spacing w:line="360" w:lineRule="auto"/>
        <w:jc w:val="both"/>
        <w:rPr>
          <w:rFonts w:ascii="Trebuchet MS" w:eastAsia="Trebuchet MS" w:hAnsi="Trebuchet MS" w:cs="Trebuchet MS"/>
          <w:i/>
        </w:rPr>
      </w:pPr>
    </w:p>
    <w:p w:rsidR="00D26E3A" w:rsidRPr="00FC55D1" w:rsidRDefault="00D26E3A" w:rsidP="00D26E3A">
      <w:pPr>
        <w:spacing w:line="360" w:lineRule="auto"/>
        <w:jc w:val="both"/>
        <w:rPr>
          <w:rFonts w:ascii="Trebuchet MS" w:eastAsia="Trebuchet MS" w:hAnsi="Trebuchet MS" w:cs="Trebuchet MS"/>
          <w:b/>
          <w:i/>
        </w:rPr>
      </w:pPr>
      <w:r w:rsidRPr="00FC55D1">
        <w:rPr>
          <w:rFonts w:ascii="Trebuchet MS" w:eastAsia="Trebuchet MS" w:hAnsi="Trebuchet MS" w:cs="Trebuchet MS"/>
          <w:b/>
          <w:i/>
        </w:rPr>
        <w:t>Experiencias internacionales</w:t>
      </w:r>
    </w:p>
    <w:p w:rsidR="00D26E3A" w:rsidRPr="00FC55D1" w:rsidRDefault="00D26E3A" w:rsidP="00D26E3A">
      <w:pPr>
        <w:spacing w:line="360" w:lineRule="auto"/>
        <w:jc w:val="both"/>
        <w:rPr>
          <w:rFonts w:ascii="Trebuchet MS" w:eastAsia="Trebuchet MS" w:hAnsi="Trebuchet MS" w:cs="Trebuchet MS"/>
        </w:rPr>
      </w:pPr>
    </w:p>
    <w:p w:rsidR="00D26E3A" w:rsidRPr="00FC55D1" w:rsidRDefault="00D26E3A" w:rsidP="00D26E3A">
      <w:pPr>
        <w:spacing w:line="360" w:lineRule="auto"/>
        <w:jc w:val="both"/>
        <w:rPr>
          <w:rFonts w:ascii="Trebuchet MS" w:eastAsia="Trebuchet MS" w:hAnsi="Trebuchet MS" w:cs="Trebuchet MS"/>
        </w:rPr>
      </w:pPr>
      <w:r w:rsidRPr="00FC55D1">
        <w:rPr>
          <w:rFonts w:ascii="Trebuchet MS" w:eastAsia="Trebuchet MS" w:hAnsi="Trebuchet MS" w:cs="Trebuchet MS"/>
        </w:rPr>
        <w:t>En Puerto Rico, el Código Penal –Ley – establece que no prescribe el delito de malversación de fondos públicos y todos los delitos cometidos por funcionarios o empleados públicos, cometidos en el desempeño de la función pública. El artículo 88 indica “</w:t>
      </w:r>
      <w:r w:rsidRPr="00FC55D1">
        <w:rPr>
          <w:rFonts w:ascii="Trebuchet MS" w:eastAsia="Trebuchet MS" w:hAnsi="Trebuchet MS" w:cs="Trebuchet MS"/>
          <w:i/>
        </w:rPr>
        <w:t xml:space="preserve">En los siguientes delitos la acción penal no prescribe: genocidio, crimen de lesa humanidad, asesinato, secuestro, </w:t>
      </w:r>
      <w:r w:rsidRPr="00FC55D1">
        <w:rPr>
          <w:rFonts w:ascii="Trebuchet MS" w:eastAsia="Trebuchet MS" w:hAnsi="Trebuchet MS" w:cs="Trebuchet MS"/>
          <w:b/>
          <w:i/>
        </w:rPr>
        <w:t>malversación de fondos públicos</w:t>
      </w:r>
      <w:r w:rsidRPr="00FC55D1">
        <w:rPr>
          <w:rFonts w:ascii="Trebuchet MS" w:eastAsia="Trebuchet MS" w:hAnsi="Trebuchet MS" w:cs="Trebuchet MS"/>
          <w:i/>
        </w:rPr>
        <w:t xml:space="preserve">, falsificación de documentos públicos, </w:t>
      </w:r>
      <w:r w:rsidRPr="00FC55D1">
        <w:rPr>
          <w:rFonts w:ascii="Trebuchet MS" w:eastAsia="Trebuchet MS" w:hAnsi="Trebuchet MS" w:cs="Trebuchet MS"/>
          <w:b/>
          <w:i/>
        </w:rPr>
        <w:t>todo delito grave tipificado en este Código o en ley especial cometido por un funcionario o empleado público en el desempeño de la función pública</w:t>
      </w:r>
      <w:r w:rsidRPr="00FC55D1">
        <w:rPr>
          <w:rFonts w:ascii="Trebuchet MS" w:eastAsia="Trebuchet MS" w:hAnsi="Trebuchet MS" w:cs="Trebuchet MS"/>
          <w:i/>
        </w:rPr>
        <w:t>”</w:t>
      </w:r>
      <w:r w:rsidRPr="00FC55D1">
        <w:rPr>
          <w:rFonts w:ascii="Trebuchet MS" w:eastAsia="Trebuchet MS" w:hAnsi="Trebuchet MS" w:cs="Trebuchet MS"/>
        </w:rPr>
        <w:t>.</w:t>
      </w:r>
    </w:p>
    <w:p w:rsidR="00D26E3A" w:rsidRPr="00FC55D1" w:rsidRDefault="00D26E3A" w:rsidP="00D26E3A">
      <w:pPr>
        <w:spacing w:line="360" w:lineRule="auto"/>
        <w:jc w:val="both"/>
        <w:rPr>
          <w:rFonts w:ascii="Trebuchet MS" w:eastAsia="Trebuchet MS" w:hAnsi="Trebuchet MS" w:cs="Trebuchet MS"/>
        </w:rPr>
      </w:pPr>
    </w:p>
    <w:p w:rsidR="00D26E3A" w:rsidRPr="00FC55D1" w:rsidRDefault="00D26E3A" w:rsidP="00D26E3A">
      <w:pPr>
        <w:spacing w:line="360" w:lineRule="auto"/>
        <w:jc w:val="both"/>
        <w:rPr>
          <w:rFonts w:ascii="Trebuchet MS" w:eastAsia="Trebuchet MS" w:hAnsi="Trebuchet MS" w:cs="Trebuchet MS"/>
          <w:i/>
        </w:rPr>
      </w:pPr>
      <w:r w:rsidRPr="00FC55D1">
        <w:rPr>
          <w:rFonts w:ascii="Trebuchet MS" w:eastAsia="Trebuchet MS" w:hAnsi="Trebuchet MS" w:cs="Trebuchet MS"/>
        </w:rPr>
        <w:t>En Ecuador, el artículo 233 de la Constitución Política establece que ciertos delitos contra la administración pública serán imprescriptibles: “</w:t>
      </w:r>
      <w:r w:rsidRPr="00FC55D1">
        <w:rPr>
          <w:rFonts w:ascii="Trebuchet MS" w:eastAsia="Trebuchet MS" w:hAnsi="Trebuchet MS" w:cs="Trebuchet MS"/>
          <w:i/>
        </w:rPr>
        <w:t xml:space="preserve">Ninguna servidora ni servidor público estará exento de responsabilidades por los actos realizados en el ejercicio de sus funciones, o por sus omisiones, y serán responsables administrativa, civil y penalmente por el manejo y administración de fondos, bienes o recursos públicos. </w:t>
      </w:r>
      <w:r w:rsidRPr="00FC55D1">
        <w:rPr>
          <w:rFonts w:ascii="Trebuchet MS" w:eastAsia="Trebuchet MS" w:hAnsi="Trebuchet MS" w:cs="Trebuchet MS"/>
          <w:b/>
          <w:i/>
        </w:rPr>
        <w:t>Las servidoras o servidores públicos y los delegados o representantes a los cuerpos colegiados de las instituciones del Estado, estarán sujetos a las sanciones establecidas por delitos de peculado, cohecho, concusión y enriquecimiento ilícito. La acción para perseguirlos y las penas correspondientes serán imprescriptibles y, en estos casos, los juicios se iniciarán y continuarán incluso en ausencia de las personas acusadas</w:t>
      </w:r>
      <w:r w:rsidRPr="00FC55D1">
        <w:rPr>
          <w:rFonts w:ascii="Trebuchet MS" w:eastAsia="Trebuchet MS" w:hAnsi="Trebuchet MS" w:cs="Trebuchet MS"/>
          <w:i/>
        </w:rPr>
        <w:t xml:space="preserve">. Estas normas </w:t>
      </w:r>
      <w:r w:rsidRPr="00FC55D1">
        <w:rPr>
          <w:rFonts w:ascii="Trebuchet MS" w:eastAsia="Trebuchet MS" w:hAnsi="Trebuchet MS" w:cs="Trebuchet MS"/>
          <w:i/>
        </w:rPr>
        <w:lastRenderedPageBreak/>
        <w:t>también se aplicarán a quienes participen en estos delitos, aun cuando no tengan las calidades antes señaladas”.</w:t>
      </w:r>
    </w:p>
    <w:p w:rsidR="00D26E3A" w:rsidRPr="00FC55D1" w:rsidRDefault="00D26E3A" w:rsidP="00D26E3A">
      <w:pPr>
        <w:spacing w:line="360" w:lineRule="auto"/>
        <w:jc w:val="both"/>
        <w:rPr>
          <w:rFonts w:ascii="Trebuchet MS" w:eastAsia="Trebuchet MS" w:hAnsi="Trebuchet MS" w:cs="Trebuchet MS"/>
          <w:i/>
        </w:rPr>
      </w:pPr>
    </w:p>
    <w:p w:rsidR="00D26E3A" w:rsidRPr="00FC55D1" w:rsidRDefault="00D26E3A" w:rsidP="00D26E3A">
      <w:pPr>
        <w:spacing w:line="360" w:lineRule="auto"/>
        <w:jc w:val="both"/>
        <w:rPr>
          <w:rFonts w:ascii="Trebuchet MS" w:eastAsia="Trebuchet MS" w:hAnsi="Trebuchet MS" w:cs="Trebuchet MS"/>
        </w:rPr>
      </w:pPr>
      <w:r w:rsidRPr="00FC55D1">
        <w:rPr>
          <w:rFonts w:ascii="Trebuchet MS" w:eastAsia="Trebuchet MS" w:hAnsi="Trebuchet MS" w:cs="Trebuchet MS"/>
        </w:rPr>
        <w:t>En Bolivia, el artículo 112 de la Constitución Política establece que “</w:t>
      </w:r>
      <w:r w:rsidRPr="00FC55D1">
        <w:rPr>
          <w:rFonts w:ascii="Trebuchet MS" w:eastAsia="Trebuchet MS" w:hAnsi="Trebuchet MS" w:cs="Trebuchet MS"/>
          <w:b/>
          <w:i/>
        </w:rPr>
        <w:t>Los delitos cometidos por servidores públicos que atenten contra el patrimonio del Estado y causen grave daño económico, son imprescriptibles y no admiten régimen de inmunidad</w:t>
      </w:r>
      <w:r w:rsidRPr="00FC55D1">
        <w:rPr>
          <w:rFonts w:ascii="Trebuchet MS" w:eastAsia="Trebuchet MS" w:hAnsi="Trebuchet MS" w:cs="Trebuchet MS"/>
        </w:rPr>
        <w:t>”.</w:t>
      </w:r>
    </w:p>
    <w:p w:rsidR="00D26E3A" w:rsidRPr="00FC55D1" w:rsidRDefault="00D26E3A" w:rsidP="00D26E3A">
      <w:pPr>
        <w:spacing w:line="360" w:lineRule="auto"/>
        <w:jc w:val="both"/>
        <w:rPr>
          <w:rFonts w:ascii="Trebuchet MS" w:eastAsia="Trebuchet MS" w:hAnsi="Trebuchet MS" w:cs="Trebuchet MS"/>
        </w:rPr>
      </w:pPr>
    </w:p>
    <w:p w:rsidR="00D26E3A" w:rsidRPr="00FC55D1" w:rsidRDefault="00D26E3A" w:rsidP="00D26E3A">
      <w:pPr>
        <w:spacing w:line="360" w:lineRule="auto"/>
        <w:jc w:val="both"/>
        <w:rPr>
          <w:rFonts w:ascii="Trebuchet MS" w:eastAsia="Trebuchet MS" w:hAnsi="Trebuchet MS" w:cs="Trebuchet MS"/>
          <w:b/>
        </w:rPr>
      </w:pPr>
      <w:r w:rsidRPr="00FC55D1">
        <w:rPr>
          <w:rFonts w:ascii="Trebuchet MS" w:eastAsia="Trebuchet MS" w:hAnsi="Trebuchet MS" w:cs="Trebuchet MS"/>
        </w:rPr>
        <w:t>En Perú, el artículo 41 de la Constitución Política señala que “</w:t>
      </w:r>
      <w:r w:rsidRPr="00FC55D1">
        <w:rPr>
          <w:rFonts w:ascii="Trebuchet MS" w:eastAsia="Trebuchet MS" w:hAnsi="Trebuchet MS" w:cs="Trebuchet MS"/>
          <w:i/>
        </w:rPr>
        <w:t xml:space="preserve">El plazo de prescripción de la acción penal se duplica en caso de los delitos cometidos contra la Administración Pública o el patrimonio del Estado, tanto para los funcionarios o servidores públicos como para los particulares. </w:t>
      </w:r>
      <w:r w:rsidRPr="00FC55D1">
        <w:rPr>
          <w:rFonts w:ascii="Trebuchet MS" w:eastAsia="Trebuchet MS" w:hAnsi="Trebuchet MS" w:cs="Trebuchet MS"/>
          <w:b/>
          <w:i/>
        </w:rPr>
        <w:t>La acción penal es imprescriptible en los supuestos más graves, conforme al principio de legalidad</w:t>
      </w:r>
      <w:r w:rsidRPr="00FC55D1">
        <w:rPr>
          <w:rFonts w:ascii="Trebuchet MS" w:eastAsia="Trebuchet MS" w:hAnsi="Trebuchet MS" w:cs="Trebuchet MS"/>
          <w:b/>
        </w:rPr>
        <w:t>”.</w:t>
      </w:r>
    </w:p>
    <w:p w:rsidR="00D26E3A" w:rsidRPr="00FC55D1" w:rsidRDefault="00D26E3A" w:rsidP="00D26E3A">
      <w:pPr>
        <w:spacing w:line="360" w:lineRule="auto"/>
        <w:jc w:val="both"/>
        <w:rPr>
          <w:rFonts w:ascii="Trebuchet MS" w:eastAsia="Trebuchet MS" w:hAnsi="Trebuchet MS" w:cs="Trebuchet MS"/>
        </w:rPr>
      </w:pPr>
    </w:p>
    <w:p w:rsidR="00D26E3A" w:rsidRPr="00FC55D1" w:rsidRDefault="00D26E3A" w:rsidP="00D26E3A">
      <w:pPr>
        <w:spacing w:line="360" w:lineRule="auto"/>
        <w:jc w:val="both"/>
        <w:rPr>
          <w:rFonts w:ascii="Trebuchet MS" w:eastAsia="Trebuchet MS" w:hAnsi="Trebuchet MS" w:cs="Trebuchet MS"/>
        </w:rPr>
      </w:pPr>
      <w:r w:rsidRPr="00FC55D1">
        <w:rPr>
          <w:rFonts w:ascii="Trebuchet MS" w:eastAsia="Trebuchet MS" w:hAnsi="Trebuchet MS" w:cs="Trebuchet MS"/>
        </w:rPr>
        <w:t>En Argentina, el Código Penal – Ley 11.179– señala que “</w:t>
      </w:r>
      <w:r w:rsidRPr="00FC55D1">
        <w:rPr>
          <w:rFonts w:ascii="Trebuchet MS" w:eastAsia="Trebuchet MS" w:hAnsi="Trebuchet MS" w:cs="Trebuchet MS"/>
          <w:i/>
        </w:rPr>
        <w:t>La prescripción también se suspende en los casos de delitos cometidos en el ejercicio de la función pública, para todos los que hubiesen participado, mientras cualquiera de ellos se encuentre desempeñando un cargo público</w:t>
      </w:r>
      <w:r w:rsidRPr="00FC55D1">
        <w:rPr>
          <w:rFonts w:ascii="Trebuchet MS" w:eastAsia="Trebuchet MS" w:hAnsi="Trebuchet MS" w:cs="Trebuchet MS"/>
        </w:rPr>
        <w:t>”.</w:t>
      </w:r>
    </w:p>
    <w:p w:rsidR="00D26E3A" w:rsidRPr="00FC55D1" w:rsidRDefault="00D26E3A" w:rsidP="001B6A57">
      <w:pPr>
        <w:spacing w:line="360" w:lineRule="auto"/>
        <w:jc w:val="both"/>
        <w:rPr>
          <w:rFonts w:ascii="Trebuchet MS" w:eastAsia="Trebuchet MS" w:hAnsi="Trebuchet MS" w:cs="Trebuchet MS"/>
          <w:i/>
        </w:rPr>
      </w:pPr>
    </w:p>
    <w:p w:rsidR="001B6A57" w:rsidRPr="00FC55D1" w:rsidRDefault="001B6A57" w:rsidP="001B6A57">
      <w:pPr>
        <w:spacing w:line="360" w:lineRule="auto"/>
        <w:jc w:val="both"/>
        <w:rPr>
          <w:rFonts w:ascii="Trebuchet MS" w:eastAsia="Trebuchet MS" w:hAnsi="Trebuchet MS" w:cs="Trebuchet MS"/>
          <w:b/>
          <w:i/>
        </w:rPr>
      </w:pPr>
      <w:r w:rsidRPr="00FC55D1">
        <w:rPr>
          <w:rFonts w:ascii="Trebuchet MS" w:eastAsia="Trebuchet MS" w:hAnsi="Trebuchet MS" w:cs="Trebuchet MS"/>
          <w:b/>
          <w:i/>
        </w:rPr>
        <w:t xml:space="preserve">Antecedentes legislativos </w:t>
      </w:r>
      <w:r w:rsidR="003C7C4F" w:rsidRPr="00FC55D1">
        <w:rPr>
          <w:rFonts w:ascii="Trebuchet MS" w:eastAsia="Trebuchet MS" w:hAnsi="Trebuchet MS" w:cs="Trebuchet MS"/>
          <w:b/>
          <w:i/>
        </w:rPr>
        <w:t>y viabilidad</w:t>
      </w:r>
      <w:r w:rsidR="00C534EA" w:rsidRPr="00FC55D1">
        <w:rPr>
          <w:rFonts w:ascii="Trebuchet MS" w:eastAsia="Trebuchet MS" w:hAnsi="Trebuchet MS" w:cs="Trebuchet MS"/>
          <w:b/>
          <w:i/>
        </w:rPr>
        <w:t xml:space="preserve"> jurídica del</w:t>
      </w:r>
      <w:r w:rsidR="003C7C4F" w:rsidRPr="00FC55D1">
        <w:rPr>
          <w:rFonts w:ascii="Trebuchet MS" w:eastAsia="Trebuchet MS" w:hAnsi="Trebuchet MS" w:cs="Trebuchet MS"/>
          <w:b/>
          <w:i/>
        </w:rPr>
        <w:t xml:space="preserve"> Proyecto</w:t>
      </w:r>
    </w:p>
    <w:p w:rsidR="003C7C4F" w:rsidRPr="00FC55D1" w:rsidRDefault="003C7C4F" w:rsidP="001B6A57">
      <w:pPr>
        <w:spacing w:line="360" w:lineRule="auto"/>
        <w:jc w:val="both"/>
        <w:rPr>
          <w:rFonts w:ascii="Trebuchet MS" w:eastAsia="Trebuchet MS" w:hAnsi="Trebuchet MS" w:cs="Trebuchet MS"/>
          <w:b/>
          <w:i/>
        </w:rPr>
      </w:pPr>
    </w:p>
    <w:p w:rsidR="00C534EA" w:rsidRPr="00FC55D1" w:rsidRDefault="00C534EA" w:rsidP="00C534EA">
      <w:pPr>
        <w:spacing w:line="360" w:lineRule="auto"/>
        <w:jc w:val="both"/>
        <w:rPr>
          <w:rFonts w:ascii="Trebuchet MS" w:eastAsia="Trebuchet MS" w:hAnsi="Trebuchet MS" w:cs="Trebuchet MS"/>
        </w:rPr>
      </w:pPr>
      <w:r w:rsidRPr="00FC55D1">
        <w:rPr>
          <w:rFonts w:ascii="Trebuchet MS" w:eastAsia="Trebuchet MS" w:hAnsi="Trebuchet MS" w:cs="Trebuchet MS"/>
        </w:rPr>
        <w:t>En 2018, el Gobierno Nacional, en cabeza del Ministerio del Interior y de Justicia, presentó el Acto Legislativo 012, mediante el cual buscaba adicionar un artículo a la Constitución que estipulara que los delitos contra la administración pública serán imprescriptibles.</w:t>
      </w:r>
    </w:p>
    <w:p w:rsidR="00C534EA" w:rsidRPr="00FC55D1" w:rsidRDefault="00C534EA" w:rsidP="001B6A57">
      <w:pPr>
        <w:spacing w:line="360" w:lineRule="auto"/>
        <w:jc w:val="both"/>
        <w:rPr>
          <w:rFonts w:ascii="Trebuchet MS" w:eastAsia="Trebuchet MS" w:hAnsi="Trebuchet MS" w:cs="Trebuchet MS"/>
        </w:rPr>
      </w:pPr>
    </w:p>
    <w:p w:rsidR="003C7C4F" w:rsidRPr="00FC55D1" w:rsidRDefault="002B4124" w:rsidP="001B6A57">
      <w:pPr>
        <w:spacing w:line="360" w:lineRule="auto"/>
        <w:jc w:val="both"/>
        <w:rPr>
          <w:rFonts w:ascii="Trebuchet MS" w:eastAsia="Trebuchet MS" w:hAnsi="Trebuchet MS" w:cs="Trebuchet MS"/>
        </w:rPr>
      </w:pPr>
      <w:r w:rsidRPr="00FC55D1">
        <w:rPr>
          <w:rFonts w:ascii="Trebuchet MS" w:eastAsia="Trebuchet MS" w:hAnsi="Trebuchet MS" w:cs="Trebuchet MS"/>
        </w:rPr>
        <w:lastRenderedPageBreak/>
        <w:t>El Consejo Superior de Política Criminal, en un estudio sobre la viabilidad d</w:t>
      </w:r>
      <w:r w:rsidR="00C534EA" w:rsidRPr="00FC55D1">
        <w:rPr>
          <w:rFonts w:ascii="Trebuchet MS" w:eastAsia="Trebuchet MS" w:hAnsi="Trebuchet MS" w:cs="Trebuchet MS"/>
        </w:rPr>
        <w:t xml:space="preserve">e dicho </w:t>
      </w:r>
      <w:r w:rsidRPr="00FC55D1">
        <w:rPr>
          <w:rFonts w:ascii="Trebuchet MS" w:eastAsia="Trebuchet MS" w:hAnsi="Trebuchet MS" w:cs="Trebuchet MS"/>
        </w:rPr>
        <w:t xml:space="preserve"> Acto legislativo, hizo las siguientes consideraciones</w:t>
      </w:r>
      <w:r w:rsidR="00C534EA" w:rsidRPr="00FC55D1">
        <w:rPr>
          <w:rFonts w:ascii="Trebuchet MS" w:eastAsia="Trebuchet MS" w:hAnsi="Trebuchet MS" w:cs="Trebuchet MS"/>
        </w:rPr>
        <w:t xml:space="preserve">, las cuales </w:t>
      </w:r>
      <w:r w:rsidRPr="00FC55D1">
        <w:rPr>
          <w:rFonts w:ascii="Trebuchet MS" w:eastAsia="Trebuchet MS" w:hAnsi="Trebuchet MS" w:cs="Trebuchet MS"/>
        </w:rPr>
        <w:t xml:space="preserve"> resultan aplicables al Proyecto que nos ocupa</w:t>
      </w:r>
      <w:r w:rsidR="00C70E8C" w:rsidRPr="00FC55D1">
        <w:rPr>
          <w:rStyle w:val="Refdenotaalpie"/>
          <w:rFonts w:ascii="Trebuchet MS" w:eastAsia="Trebuchet MS" w:hAnsi="Trebuchet MS" w:cs="Trebuchet MS"/>
        </w:rPr>
        <w:footnoteReference w:id="5"/>
      </w:r>
      <w:r w:rsidRPr="00FC55D1">
        <w:rPr>
          <w:rFonts w:ascii="Trebuchet MS" w:eastAsia="Trebuchet MS" w:hAnsi="Trebuchet MS" w:cs="Trebuchet MS"/>
        </w:rPr>
        <w:t>:</w:t>
      </w:r>
    </w:p>
    <w:p w:rsidR="00C534EA" w:rsidRPr="00FC55D1" w:rsidRDefault="00C534EA" w:rsidP="001B6A57">
      <w:pPr>
        <w:spacing w:line="360" w:lineRule="auto"/>
        <w:jc w:val="both"/>
        <w:rPr>
          <w:rFonts w:ascii="Trebuchet MS" w:eastAsia="Trebuchet MS" w:hAnsi="Trebuchet MS" w:cs="Trebuchet MS"/>
        </w:rPr>
      </w:pPr>
    </w:p>
    <w:p w:rsidR="002B4124" w:rsidRPr="00FC55D1" w:rsidRDefault="002B4124" w:rsidP="002B4124">
      <w:pPr>
        <w:pStyle w:val="Prrafodelista"/>
        <w:numPr>
          <w:ilvl w:val="0"/>
          <w:numId w:val="2"/>
        </w:numPr>
        <w:spacing w:line="360" w:lineRule="auto"/>
        <w:jc w:val="both"/>
        <w:rPr>
          <w:rFonts w:ascii="Trebuchet MS" w:eastAsia="Trebuchet MS" w:hAnsi="Trebuchet MS" w:cs="Trebuchet MS"/>
        </w:rPr>
      </w:pPr>
      <w:r w:rsidRPr="00FC55D1">
        <w:rPr>
          <w:rFonts w:ascii="Trebuchet MS" w:eastAsia="Trebuchet MS" w:hAnsi="Trebuchet MS" w:cs="Trebuchet MS"/>
        </w:rPr>
        <w:t xml:space="preserve">Es una medida contra la corrupción que </w:t>
      </w:r>
      <w:r w:rsidR="00CB4342" w:rsidRPr="00FC55D1">
        <w:rPr>
          <w:rFonts w:ascii="Trebuchet MS" w:eastAsia="Trebuchet MS" w:hAnsi="Trebuchet MS" w:cs="Trebuchet MS"/>
        </w:rPr>
        <w:t>envía un mensaje importante al país, en el sentido de que nadie podrá beneficiarse de la prescripción para evitar sanciones por delitos en contra de la administración pública, desincentivando su comisión y facilitando la facultad persecutora de la Fiscalía General de la Nación y de la Corte Suprema de Justicia.</w:t>
      </w:r>
    </w:p>
    <w:p w:rsidR="00CB4342" w:rsidRPr="00FC55D1" w:rsidRDefault="00CB4342" w:rsidP="002B4124">
      <w:pPr>
        <w:pStyle w:val="Prrafodelista"/>
        <w:numPr>
          <w:ilvl w:val="0"/>
          <w:numId w:val="2"/>
        </w:numPr>
        <w:spacing w:line="360" w:lineRule="auto"/>
        <w:jc w:val="both"/>
        <w:rPr>
          <w:rFonts w:ascii="Trebuchet MS" w:eastAsia="Trebuchet MS" w:hAnsi="Trebuchet MS" w:cs="Trebuchet MS"/>
          <w:i/>
        </w:rPr>
      </w:pPr>
      <w:r w:rsidRPr="00FC55D1">
        <w:rPr>
          <w:rFonts w:ascii="Trebuchet MS" w:eastAsia="Trebuchet MS" w:hAnsi="Trebuchet MS" w:cs="Trebuchet MS"/>
        </w:rPr>
        <w:t xml:space="preserve">Es una medida justificada porque muchos delitos de corrupción se cometen por </w:t>
      </w:r>
      <w:r w:rsidRPr="00FC55D1">
        <w:rPr>
          <w:rFonts w:ascii="Trebuchet MS" w:eastAsia="Trebuchet MS" w:hAnsi="Trebuchet MS" w:cs="Trebuchet MS"/>
          <w:i/>
        </w:rPr>
        <w:t>“</w:t>
      </w:r>
      <w:r w:rsidR="00A726B4" w:rsidRPr="00FC55D1">
        <w:rPr>
          <w:rFonts w:ascii="Trebuchet MS" w:eastAsia="Trebuchet MS" w:hAnsi="Trebuchet MS" w:cs="Trebuchet MS"/>
          <w:i/>
        </w:rPr>
        <w:t>organizaciones criminales estructuradas, produciendo un efecto de “cartelización”, las cuales han permeado la administración de justicia e impiden su judicialización oportuna”.</w:t>
      </w:r>
    </w:p>
    <w:p w:rsidR="00EE19FC" w:rsidRPr="00FC55D1" w:rsidRDefault="00EE19FC" w:rsidP="001B6A57">
      <w:pPr>
        <w:spacing w:line="360" w:lineRule="auto"/>
        <w:jc w:val="both"/>
        <w:rPr>
          <w:rFonts w:ascii="Trebuchet MS" w:eastAsia="Trebuchet MS" w:hAnsi="Trebuchet MS" w:cs="Trebuchet MS"/>
        </w:rPr>
      </w:pPr>
    </w:p>
    <w:p w:rsidR="001B6A57" w:rsidRPr="00FC55D1" w:rsidRDefault="00EE19FC" w:rsidP="001B6A57">
      <w:pPr>
        <w:spacing w:line="360" w:lineRule="auto"/>
        <w:jc w:val="both"/>
        <w:rPr>
          <w:rFonts w:ascii="Trebuchet MS" w:eastAsia="Trebuchet MS" w:hAnsi="Trebuchet MS" w:cs="Trebuchet MS"/>
          <w:i/>
        </w:rPr>
      </w:pPr>
      <w:r w:rsidRPr="00FC55D1">
        <w:rPr>
          <w:rFonts w:ascii="Trebuchet MS" w:eastAsia="Trebuchet MS" w:hAnsi="Trebuchet MS" w:cs="Trebuchet MS"/>
        </w:rPr>
        <w:t>Adicionalmente, en nuestra legislación ya se contempla la imprescriptibilidad de ciertos tipos penales para los delitos de; lesa humanidad, crímenes de guerra, y delitos sexuales contra niños, niñas y adolescentes. Sobre los efectos de la prescripción en materia penal, la Corte Constitucional ha indicado que “</w:t>
      </w:r>
      <w:r w:rsidRPr="00FC55D1">
        <w:rPr>
          <w:rFonts w:ascii="Trebuchet MS" w:eastAsia="Trebuchet MS" w:hAnsi="Trebuchet MS" w:cs="Trebuchet MS"/>
          <w:i/>
        </w:rPr>
        <w:t xml:space="preserve">es un instituto jurídico liberador, en virtud del cual por el transcurso del tiempo se extingue la acción o cesa el derecho del Estado a imponer una sanción”. Esta figura se materializa cuando, quienes tienen a su cargo el ejercicio de la acción penal, dejan vencer el plazo señalado por el Legislador para ejercerla, sin haber adelantado las gestiones necesarias para determinar la responsabilidad del presunto infractor de la ley penal, lo cual implica la perdida de </w:t>
      </w:r>
      <w:r w:rsidRPr="00FC55D1">
        <w:rPr>
          <w:rFonts w:ascii="Trebuchet MS" w:eastAsia="Trebuchet MS" w:hAnsi="Trebuchet MS" w:cs="Trebuchet MS"/>
          <w:i/>
        </w:rPr>
        <w:lastRenderedPageBreak/>
        <w:t>potestad de la autoridad judicial competente para continuar con una investigación en contra de la persona beneficiada con la prescripción”</w:t>
      </w:r>
      <w:r w:rsidRPr="00FC55D1">
        <w:rPr>
          <w:rStyle w:val="Refdenotaalpie"/>
          <w:rFonts w:ascii="Trebuchet MS" w:eastAsia="Trebuchet MS" w:hAnsi="Trebuchet MS" w:cs="Trebuchet MS"/>
          <w:i/>
        </w:rPr>
        <w:footnoteReference w:id="6"/>
      </w:r>
      <w:r w:rsidRPr="00FC55D1">
        <w:rPr>
          <w:rFonts w:ascii="Trebuchet MS" w:eastAsia="Trebuchet MS" w:hAnsi="Trebuchet MS" w:cs="Trebuchet MS"/>
          <w:i/>
        </w:rPr>
        <w:t>.</w:t>
      </w:r>
    </w:p>
    <w:p w:rsidR="004F4EF2" w:rsidRPr="00FC55D1" w:rsidRDefault="004F4EF2" w:rsidP="001B6A57">
      <w:pPr>
        <w:spacing w:line="360" w:lineRule="auto"/>
        <w:jc w:val="both"/>
        <w:rPr>
          <w:rFonts w:ascii="Trebuchet MS" w:eastAsia="Trebuchet MS" w:hAnsi="Trebuchet MS" w:cs="Trebuchet MS"/>
          <w:i/>
        </w:rPr>
      </w:pPr>
    </w:p>
    <w:p w:rsidR="004F4EF2" w:rsidRPr="00FC55D1" w:rsidRDefault="004F4EF2" w:rsidP="001B6A57">
      <w:pPr>
        <w:spacing w:line="360" w:lineRule="auto"/>
        <w:jc w:val="both"/>
        <w:rPr>
          <w:rFonts w:ascii="Trebuchet MS" w:eastAsia="Trebuchet MS" w:hAnsi="Trebuchet MS" w:cs="Trebuchet MS"/>
        </w:rPr>
      </w:pPr>
      <w:r w:rsidRPr="00FC55D1">
        <w:rPr>
          <w:rFonts w:ascii="Trebuchet MS" w:eastAsia="Trebuchet MS" w:hAnsi="Trebuchet MS" w:cs="Trebuchet MS"/>
        </w:rPr>
        <w:t>En concordancia con lo establecido por la Corte Constitucional, con la presente ley se busca que el Estado no pierda la potestad de investigación en contra de personas involucradas en delitos c</w:t>
      </w:r>
      <w:r w:rsidR="00D26E3A">
        <w:rPr>
          <w:rFonts w:ascii="Trebuchet MS" w:eastAsia="Trebuchet MS" w:hAnsi="Trebuchet MS" w:cs="Trebuchet MS"/>
        </w:rPr>
        <w:t xml:space="preserve">ontra la administración pública </w:t>
      </w:r>
      <w:r w:rsidR="00D26E3A" w:rsidRPr="00FC55D1">
        <w:rPr>
          <w:rFonts w:ascii="Trebuchet MS" w:eastAsia="Trebuchet MS" w:hAnsi="Trebuchet MS" w:cs="Trebuchet MS"/>
        </w:rPr>
        <w:t>por</w:t>
      </w:r>
      <w:r w:rsidRPr="00FC55D1">
        <w:rPr>
          <w:rFonts w:ascii="Trebuchet MS" w:eastAsia="Trebuchet MS" w:hAnsi="Trebuchet MS" w:cs="Trebuchet MS"/>
        </w:rPr>
        <w:t xml:space="preserve"> </w:t>
      </w:r>
      <w:proofErr w:type="gramStart"/>
      <w:r w:rsidRPr="00FC55D1">
        <w:rPr>
          <w:rFonts w:ascii="Trebuchet MS" w:eastAsia="Trebuchet MS" w:hAnsi="Trebuchet MS" w:cs="Trebuchet MS"/>
        </w:rPr>
        <w:t>el  paso</w:t>
      </w:r>
      <w:proofErr w:type="gramEnd"/>
      <w:r w:rsidRPr="00FC55D1">
        <w:rPr>
          <w:rFonts w:ascii="Trebuchet MS" w:eastAsia="Trebuchet MS" w:hAnsi="Trebuchet MS" w:cs="Trebuchet MS"/>
        </w:rPr>
        <w:t xml:space="preserve"> del tiempo, sino que, por el contrario, busca que, por</w:t>
      </w:r>
      <w:r w:rsidR="00D26E3A">
        <w:rPr>
          <w:rFonts w:ascii="Trebuchet MS" w:eastAsia="Trebuchet MS" w:hAnsi="Trebuchet MS" w:cs="Trebuchet MS"/>
        </w:rPr>
        <w:t xml:space="preserve"> la gravedad de estos delitos, los responsables</w:t>
      </w:r>
      <w:r w:rsidRPr="00FC55D1">
        <w:rPr>
          <w:rFonts w:ascii="Trebuchet MS" w:eastAsia="Trebuchet MS" w:hAnsi="Trebuchet MS" w:cs="Trebuchet MS"/>
        </w:rPr>
        <w:t xml:space="preserve"> puedan responder en cualquier momento. </w:t>
      </w:r>
    </w:p>
    <w:p w:rsidR="00FC55D1" w:rsidRDefault="00FC55D1" w:rsidP="001B6A57">
      <w:pPr>
        <w:spacing w:line="360" w:lineRule="auto"/>
        <w:jc w:val="both"/>
        <w:rPr>
          <w:rFonts w:ascii="Trebuchet MS" w:eastAsia="Trebuchet MS" w:hAnsi="Trebuchet MS" w:cs="Trebuchet MS"/>
        </w:rPr>
      </w:pPr>
    </w:p>
    <w:p w:rsidR="004D6E27" w:rsidRDefault="004D6E27" w:rsidP="001B6A57">
      <w:pPr>
        <w:spacing w:line="360" w:lineRule="auto"/>
        <w:jc w:val="both"/>
        <w:rPr>
          <w:rFonts w:ascii="Trebuchet MS" w:eastAsia="Trebuchet MS" w:hAnsi="Trebuchet MS" w:cs="Trebuchet MS"/>
        </w:rPr>
      </w:pPr>
    </w:p>
    <w:p w:rsidR="004D6E27" w:rsidRPr="00FC55D1" w:rsidRDefault="004D6E27" w:rsidP="001B6A57">
      <w:pPr>
        <w:spacing w:line="360" w:lineRule="auto"/>
        <w:jc w:val="both"/>
        <w:rPr>
          <w:rFonts w:ascii="Trebuchet MS" w:eastAsia="Trebuchet MS" w:hAnsi="Trebuchet MS" w:cs="Trebuchet MS"/>
        </w:rPr>
      </w:pPr>
    </w:p>
    <w:p w:rsidR="00683B4D" w:rsidRPr="004D6E27" w:rsidRDefault="00683B4D" w:rsidP="00537B59">
      <w:pPr>
        <w:spacing w:line="360" w:lineRule="auto"/>
        <w:jc w:val="both"/>
        <w:rPr>
          <w:rFonts w:ascii="Trebuchet MS" w:eastAsia="Trebuchet MS" w:hAnsi="Trebuchet MS" w:cs="Trebuchet MS"/>
          <w:b/>
          <w:i/>
        </w:rPr>
      </w:pPr>
    </w:p>
    <w:p w:rsidR="004D6E27" w:rsidRPr="004D6E27" w:rsidRDefault="004D6E27" w:rsidP="004D6E27">
      <w:pPr>
        <w:widowControl w:val="0"/>
        <w:pBdr>
          <w:top w:val="nil"/>
          <w:left w:val="nil"/>
          <w:bottom w:val="nil"/>
          <w:right w:val="nil"/>
          <w:between w:val="nil"/>
        </w:pBdr>
        <w:spacing w:line="240" w:lineRule="auto"/>
        <w:jc w:val="center"/>
        <w:rPr>
          <w:rFonts w:ascii="Trebuchet MS" w:eastAsia="Trebuchet MS" w:hAnsi="Trebuchet MS" w:cs="Trebuchet MS"/>
          <w:b/>
          <w:sz w:val="24"/>
          <w:szCs w:val="24"/>
        </w:rPr>
      </w:pPr>
      <w:r w:rsidRPr="004D6E27">
        <w:rPr>
          <w:rFonts w:ascii="Trebuchet MS" w:eastAsia="Trebuchet MS" w:hAnsi="Trebuchet MS" w:cs="Trebuchet MS"/>
          <w:b/>
          <w:sz w:val="24"/>
          <w:szCs w:val="24"/>
        </w:rPr>
        <w:t xml:space="preserve">David Racero </w:t>
      </w:r>
      <w:proofErr w:type="spellStart"/>
      <w:r w:rsidRPr="004D6E27">
        <w:rPr>
          <w:rFonts w:ascii="Trebuchet MS" w:eastAsia="Trebuchet MS" w:hAnsi="Trebuchet MS" w:cs="Trebuchet MS"/>
          <w:b/>
          <w:sz w:val="24"/>
          <w:szCs w:val="24"/>
        </w:rPr>
        <w:t>Mayorca</w:t>
      </w:r>
      <w:proofErr w:type="spellEnd"/>
    </w:p>
    <w:p w:rsidR="004D6E27" w:rsidRPr="00FC55D1" w:rsidRDefault="004D6E27" w:rsidP="004D6E27">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sidRPr="00FC55D1">
        <w:rPr>
          <w:rFonts w:ascii="Trebuchet MS" w:eastAsia="Trebuchet MS" w:hAnsi="Trebuchet MS" w:cs="Trebuchet MS"/>
          <w:sz w:val="24"/>
          <w:szCs w:val="24"/>
        </w:rPr>
        <w:t>Representante a la Cámara por Bogotá</w:t>
      </w:r>
    </w:p>
    <w:p w:rsidR="006D757F" w:rsidRPr="00FC55D1" w:rsidRDefault="006D757F" w:rsidP="001B6A57">
      <w:pPr>
        <w:spacing w:line="360" w:lineRule="auto"/>
        <w:jc w:val="both"/>
        <w:rPr>
          <w:rFonts w:ascii="Trebuchet MS" w:eastAsia="Trebuchet MS" w:hAnsi="Trebuchet MS" w:cs="Trebuchet MS"/>
        </w:rPr>
      </w:pPr>
    </w:p>
    <w:p w:rsidR="001B6A57" w:rsidRPr="00FC55D1" w:rsidRDefault="001B6A57" w:rsidP="001B6A57">
      <w:pPr>
        <w:spacing w:after="160"/>
        <w:jc w:val="both"/>
        <w:rPr>
          <w:rFonts w:ascii="Trebuchet MS" w:eastAsia="Trebuchet MS" w:hAnsi="Trebuchet MS" w:cs="Trebuchet MS"/>
          <w:sz w:val="24"/>
          <w:szCs w:val="24"/>
        </w:rPr>
      </w:pPr>
    </w:p>
    <w:sectPr w:rsidR="001B6A57" w:rsidRPr="00FC55D1">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89" w:rsidRDefault="00527C89" w:rsidP="001B6A57">
      <w:pPr>
        <w:spacing w:line="240" w:lineRule="auto"/>
      </w:pPr>
      <w:r>
        <w:separator/>
      </w:r>
    </w:p>
  </w:endnote>
  <w:endnote w:type="continuationSeparator" w:id="0">
    <w:p w:rsidR="00527C89" w:rsidRDefault="00527C89" w:rsidP="001B6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A7" w:rsidRDefault="00527C89">
    <w:pPr>
      <w:pBdr>
        <w:top w:val="nil"/>
        <w:left w:val="nil"/>
        <w:bottom w:val="nil"/>
        <w:right w:val="nil"/>
        <w:between w:val="nil"/>
      </w:pBdr>
      <w:tabs>
        <w:tab w:val="center" w:pos="4419"/>
        <w:tab w:val="right" w:pos="8838"/>
      </w:tabs>
      <w:spacing w:line="240" w:lineRule="auto"/>
      <w:rPr>
        <w:color w:val="000000"/>
      </w:rPr>
    </w:pPr>
  </w:p>
  <w:p w:rsidR="008567A7" w:rsidRDefault="00D47039">
    <w:pPr>
      <w:pBdr>
        <w:top w:val="nil"/>
        <w:left w:val="nil"/>
        <w:bottom w:val="nil"/>
        <w:right w:val="nil"/>
        <w:between w:val="nil"/>
      </w:pBdr>
      <w:tabs>
        <w:tab w:val="center" w:pos="4419"/>
        <w:tab w:val="right" w:pos="8838"/>
      </w:tabs>
      <w:spacing w:line="240" w:lineRule="auto"/>
      <w:rPr>
        <w:color w:val="000000"/>
      </w:rPr>
    </w:pPr>
    <w:r>
      <w:rPr>
        <w:noProof/>
        <w:color w:val="000000"/>
        <w:lang w:val="es-CO" w:eastAsia="es-CO"/>
      </w:rPr>
      <w:drawing>
        <wp:inline distT="0" distB="0" distL="0" distR="0" wp14:anchorId="11C60E14" wp14:editId="7616C2F8">
          <wp:extent cx="6482220" cy="237293"/>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t="30190" b="30116"/>
                  <a:stretch>
                    <a:fillRect/>
                  </a:stretch>
                </pic:blipFill>
                <pic:spPr>
                  <a:xfrm>
                    <a:off x="0" y="0"/>
                    <a:ext cx="6482220" cy="237293"/>
                  </a:xfrm>
                  <a:prstGeom prst="rect">
                    <a:avLst/>
                  </a:prstGeom>
                  <a:ln/>
                </pic:spPr>
              </pic:pic>
            </a:graphicData>
          </a:graphic>
        </wp:inline>
      </w:drawing>
    </w:r>
  </w:p>
  <w:p w:rsidR="008567A7" w:rsidRDefault="00D47039">
    <w:pPr>
      <w:pBdr>
        <w:top w:val="nil"/>
        <w:left w:val="nil"/>
        <w:bottom w:val="nil"/>
        <w:right w:val="nil"/>
        <w:between w:val="nil"/>
      </w:pBdr>
      <w:tabs>
        <w:tab w:val="center" w:pos="4419"/>
        <w:tab w:val="right" w:pos="8838"/>
      </w:tabs>
      <w:spacing w:line="240" w:lineRule="auto"/>
      <w:rPr>
        <w:color w:val="000000"/>
      </w:rPr>
    </w:pPr>
    <w:r>
      <w:rPr>
        <w:noProof/>
        <w:color w:val="000000"/>
        <w:lang w:val="es-CO" w:eastAsia="es-CO"/>
      </w:rPr>
      <w:drawing>
        <wp:inline distT="0" distB="0" distL="0" distR="0" wp14:anchorId="62429CA7" wp14:editId="3080968C">
          <wp:extent cx="5707862" cy="634684"/>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t="27473"/>
                  <a:stretch>
                    <a:fillRect/>
                  </a:stretch>
                </pic:blipFill>
                <pic:spPr>
                  <a:xfrm>
                    <a:off x="0" y="0"/>
                    <a:ext cx="5707862" cy="63468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89" w:rsidRDefault="00527C89" w:rsidP="001B6A57">
      <w:pPr>
        <w:spacing w:line="240" w:lineRule="auto"/>
      </w:pPr>
      <w:r>
        <w:separator/>
      </w:r>
    </w:p>
  </w:footnote>
  <w:footnote w:type="continuationSeparator" w:id="0">
    <w:p w:rsidR="00527C89" w:rsidRDefault="00527C89" w:rsidP="001B6A57">
      <w:pPr>
        <w:spacing w:line="240" w:lineRule="auto"/>
      </w:pPr>
      <w:r>
        <w:continuationSeparator/>
      </w:r>
    </w:p>
  </w:footnote>
  <w:footnote w:id="1">
    <w:p w:rsidR="009322A6" w:rsidRPr="009322A6" w:rsidRDefault="009322A6">
      <w:pPr>
        <w:pStyle w:val="Textonotapie"/>
        <w:rPr>
          <w:lang w:val="es-CO"/>
        </w:rPr>
      </w:pPr>
      <w:r>
        <w:rPr>
          <w:rStyle w:val="Refdenotaalpie"/>
        </w:rPr>
        <w:footnoteRef/>
      </w:r>
      <w:r>
        <w:t xml:space="preserve"> </w:t>
      </w:r>
      <w:r>
        <w:rPr>
          <w:lang w:val="es-CO"/>
        </w:rPr>
        <w:t xml:space="preserve">Naciones Unidas. Oficina Contra la Droga y el Delito. Convención de las Naciones Unidas Contra la Corrupción”. New York. 2003. Disponible en: </w:t>
      </w:r>
      <w:hyperlink r:id="rId1" w:history="1">
        <w:r w:rsidRPr="00DC354D">
          <w:rPr>
            <w:rStyle w:val="Hipervnculo"/>
            <w:lang w:val="es-CO"/>
          </w:rPr>
          <w:t>https://www.unodc.org/documents/mexicoandcentralamerica/publications/Corrupcion/Convencion_de_las_NU_contra_la_Corrupcion.pdf</w:t>
        </w:r>
      </w:hyperlink>
      <w:r>
        <w:rPr>
          <w:lang w:val="es-CO"/>
        </w:rPr>
        <w:t xml:space="preserve"> </w:t>
      </w:r>
    </w:p>
  </w:footnote>
  <w:footnote w:id="2">
    <w:p w:rsidR="00C70E8C" w:rsidRPr="00EB440E" w:rsidRDefault="00C70E8C">
      <w:pPr>
        <w:pStyle w:val="Textonotapie"/>
        <w:rPr>
          <w:lang w:val="es-CO"/>
        </w:rPr>
      </w:pPr>
      <w:r>
        <w:rPr>
          <w:rStyle w:val="Refdenotaalpie"/>
        </w:rPr>
        <w:footnoteRef/>
      </w:r>
      <w:r w:rsidR="00EB440E" w:rsidRPr="009322A6">
        <w:rPr>
          <w:lang w:val="es-CO"/>
        </w:rPr>
        <w:t xml:space="preserve"> </w:t>
      </w:r>
      <w:proofErr w:type="spellStart"/>
      <w:r w:rsidR="00EB440E" w:rsidRPr="009322A6">
        <w:rPr>
          <w:lang w:val="es-CO"/>
        </w:rPr>
        <w:t>Transparency</w:t>
      </w:r>
      <w:proofErr w:type="spellEnd"/>
      <w:r w:rsidR="00EB440E" w:rsidRPr="009322A6">
        <w:rPr>
          <w:lang w:val="es-CO"/>
        </w:rPr>
        <w:t xml:space="preserve"> International. </w:t>
      </w:r>
      <w:r w:rsidR="00EB440E" w:rsidRPr="00EB440E">
        <w:rPr>
          <w:lang w:val="es-CO"/>
        </w:rPr>
        <w:t>Índice de Percepci</w:t>
      </w:r>
      <w:r w:rsidR="00EB440E">
        <w:rPr>
          <w:lang w:val="es-CO"/>
        </w:rPr>
        <w:t>ón de la Corrupción 2020.</w:t>
      </w:r>
      <w:r w:rsidRPr="00EB440E">
        <w:rPr>
          <w:lang w:val="es-CO"/>
        </w:rPr>
        <w:t xml:space="preserve"> </w:t>
      </w:r>
      <w:r w:rsidR="00336CB0">
        <w:rPr>
          <w:lang w:val="es-CO"/>
        </w:rPr>
        <w:t xml:space="preserve">Disponible en: </w:t>
      </w:r>
      <w:hyperlink r:id="rId2" w:history="1">
        <w:r w:rsidR="00336CB0" w:rsidRPr="00DC354D">
          <w:rPr>
            <w:rStyle w:val="Hipervnculo"/>
            <w:lang w:val="es-CO"/>
          </w:rPr>
          <w:t>https://transparenciacolombia.org.co/2021/01/28/indice-de-percepcion-de-la-corrupcion-2020/</w:t>
        </w:r>
      </w:hyperlink>
      <w:r w:rsidR="00336CB0">
        <w:rPr>
          <w:lang w:val="es-CO"/>
        </w:rPr>
        <w:t xml:space="preserve"> </w:t>
      </w:r>
    </w:p>
  </w:footnote>
  <w:footnote w:id="3">
    <w:p w:rsidR="00336CB0" w:rsidRPr="00336CB0" w:rsidRDefault="00336CB0" w:rsidP="00336CB0">
      <w:pPr>
        <w:pStyle w:val="Textonotapie"/>
      </w:pPr>
      <w:r>
        <w:rPr>
          <w:rStyle w:val="Refdenotaalpie"/>
        </w:rPr>
        <w:footnoteRef/>
      </w:r>
      <w:r>
        <w:t xml:space="preserve"> Transparencia por Colombia. Colombia no logra avances significativos en percepción de corrupción. Comunicado de Prensa 001-2021. Disponible en: </w:t>
      </w:r>
      <w:hyperlink r:id="rId3" w:history="1">
        <w:r w:rsidRPr="00DC354D">
          <w:rPr>
            <w:rStyle w:val="Hipervnculo"/>
          </w:rPr>
          <w:t>https://transparenciacolombia.org.co/2021/01/28/colombia-no-logra-avances-significativos-en-percepcion-de-corrupcion/</w:t>
        </w:r>
      </w:hyperlink>
      <w:r>
        <w:t xml:space="preserve"> </w:t>
      </w:r>
    </w:p>
  </w:footnote>
  <w:footnote w:id="4">
    <w:p w:rsidR="009106D6" w:rsidRPr="009106D6" w:rsidRDefault="009106D6">
      <w:pPr>
        <w:pStyle w:val="Textonotapie"/>
      </w:pPr>
      <w:r>
        <w:rPr>
          <w:rStyle w:val="Refdenotaalpie"/>
        </w:rPr>
        <w:footnoteRef/>
      </w:r>
      <w:r>
        <w:t xml:space="preserve"> Contraloría General de la República. </w:t>
      </w:r>
      <w:hyperlink r:id="rId4" w:history="1">
        <w:r w:rsidRPr="00DC354D">
          <w:rPr>
            <w:rStyle w:val="Hipervnculo"/>
          </w:rPr>
          <w:t>https://n9.cl/1jil5</w:t>
        </w:r>
      </w:hyperlink>
      <w:r>
        <w:t xml:space="preserve"> </w:t>
      </w:r>
    </w:p>
  </w:footnote>
  <w:footnote w:id="5">
    <w:p w:rsidR="00C70E8C" w:rsidRDefault="00C70E8C" w:rsidP="00C70E8C">
      <w:pPr>
        <w:pStyle w:val="Textonotapie"/>
      </w:pPr>
      <w:r>
        <w:rPr>
          <w:rStyle w:val="Refdenotaalpie"/>
        </w:rPr>
        <w:footnoteRef/>
      </w:r>
      <w:r>
        <w:t xml:space="preserve">  Consejo Superior de Política Criminal. “Estudio del Consejo Superior de Política Criminal al Proyecto de Acto Legislativo número 012 de 2018 Senado “Por el cual se adiciona un artículo a</w:t>
      </w:r>
    </w:p>
    <w:p w:rsidR="00C70E8C" w:rsidRPr="00C70E8C" w:rsidRDefault="00C70E8C" w:rsidP="00C70E8C">
      <w:pPr>
        <w:pStyle w:val="Textonotapie"/>
        <w:rPr>
          <w:lang w:val="es-CO"/>
        </w:rPr>
      </w:pPr>
      <w:r>
        <w:t xml:space="preserve">la Constitución Política”. Ministerio de Justicia. Disponible en: </w:t>
      </w:r>
      <w:hyperlink r:id="rId5" w:history="1">
        <w:r w:rsidRPr="00DC354D">
          <w:rPr>
            <w:rStyle w:val="Hipervnculo"/>
          </w:rPr>
          <w:t>https://www.minjusticia.gov.co/programas-co/politica-criminal/Conceptos/19_CSPC_Concepto_PAL_012_de_2018_Senado_Imprescriptibilidad_delitos_Administraci%C3%B3n_P%C3%BAblica.pdf</w:t>
        </w:r>
      </w:hyperlink>
      <w:r>
        <w:t xml:space="preserve"> </w:t>
      </w:r>
    </w:p>
  </w:footnote>
  <w:footnote w:id="6">
    <w:p w:rsidR="00EE19FC" w:rsidRPr="00EE19FC" w:rsidRDefault="00EE19FC">
      <w:pPr>
        <w:pStyle w:val="Textonotapie"/>
        <w:rPr>
          <w:lang w:val="es-CO"/>
        </w:rPr>
      </w:pPr>
      <w:r>
        <w:rPr>
          <w:rStyle w:val="Refdenotaalpie"/>
        </w:rPr>
        <w:footnoteRef/>
      </w:r>
      <w:r>
        <w:t xml:space="preserve"> </w:t>
      </w:r>
      <w:r w:rsidRPr="00EE19FC">
        <w:t xml:space="preserve">Corte Constitucional, </w:t>
      </w:r>
      <w:r>
        <w:t xml:space="preserve">Sentencia </w:t>
      </w:r>
      <w:r w:rsidRPr="00EE19FC">
        <w:t>T- 281 de 2014, MP. Mauricio González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A7" w:rsidRDefault="00D47039">
    <w:pPr>
      <w:pBdr>
        <w:top w:val="nil"/>
        <w:left w:val="nil"/>
        <w:bottom w:val="nil"/>
        <w:right w:val="nil"/>
        <w:between w:val="nil"/>
      </w:pBdr>
      <w:tabs>
        <w:tab w:val="center" w:pos="4419"/>
        <w:tab w:val="right" w:pos="8838"/>
      </w:tabs>
      <w:spacing w:line="240" w:lineRule="auto"/>
      <w:jc w:val="right"/>
      <w:rPr>
        <w:color w:val="000000"/>
      </w:rPr>
    </w:pPr>
    <w:r>
      <w:rPr>
        <w:color w:val="000000"/>
      </w:rPr>
      <w:t xml:space="preserve">                                                          </w:t>
    </w:r>
    <w:r>
      <w:rPr>
        <w:noProof/>
        <w:color w:val="000000"/>
        <w:lang w:val="es-CO" w:eastAsia="es-CO"/>
      </w:rPr>
      <w:drawing>
        <wp:inline distT="0" distB="0" distL="0" distR="0" wp14:anchorId="68E60E37" wp14:editId="5CBC3B3B">
          <wp:extent cx="1797093" cy="586881"/>
          <wp:effectExtent l="0" t="0" r="0" b="0"/>
          <wp:docPr id="5" name="image5.png" descr="Resultado de imagen de CAMARA DE REPRESENTANTES"/>
          <wp:cNvGraphicFramePr/>
          <a:graphic xmlns:a="http://schemas.openxmlformats.org/drawingml/2006/main">
            <a:graphicData uri="http://schemas.openxmlformats.org/drawingml/2006/picture">
              <pic:pic xmlns:pic="http://schemas.openxmlformats.org/drawingml/2006/picture">
                <pic:nvPicPr>
                  <pic:cNvPr id="0" name="image5.png" descr="Resultado de imagen de CAMARA DE REPRESENTANTES"/>
                  <pic:cNvPicPr preferRelativeResize="0"/>
                </pic:nvPicPr>
                <pic:blipFill>
                  <a:blip r:embed="rId1"/>
                  <a:srcRect l="6789" t="15912" r="9518" b="16664"/>
                  <a:stretch>
                    <a:fillRect/>
                  </a:stretch>
                </pic:blipFill>
                <pic:spPr>
                  <a:xfrm>
                    <a:off x="0" y="0"/>
                    <a:ext cx="1797093" cy="586881"/>
                  </a:xfrm>
                  <a:prstGeom prst="rect">
                    <a:avLst/>
                  </a:prstGeom>
                  <a:ln/>
                </pic:spPr>
              </pic:pic>
            </a:graphicData>
          </a:graphic>
        </wp:inline>
      </w:drawing>
    </w:r>
    <w:r>
      <w:rPr>
        <w:color w:val="000000"/>
      </w:rPr>
      <w:t xml:space="preserve">                                     </w:t>
    </w:r>
    <w:r>
      <w:rPr>
        <w:noProof/>
        <w:lang w:val="es-CO" w:eastAsia="es-CO"/>
      </w:rPr>
      <w:drawing>
        <wp:anchor distT="0" distB="0" distL="114300" distR="114300" simplePos="0" relativeHeight="251659264" behindDoc="0" locked="0" layoutInCell="1" hidden="0" allowOverlap="1" wp14:anchorId="3C392BD0" wp14:editId="78529B2F">
          <wp:simplePos x="0" y="0"/>
          <wp:positionH relativeFrom="column">
            <wp:posOffset>1</wp:posOffset>
          </wp:positionH>
          <wp:positionV relativeFrom="paragraph">
            <wp:posOffset>140970</wp:posOffset>
          </wp:positionV>
          <wp:extent cx="438150" cy="438150"/>
          <wp:effectExtent l="0" t="0" r="0" b="0"/>
          <wp:wrapSquare wrapText="bothSides" distT="0" distB="0" distL="114300" distR="1143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438150" cy="438150"/>
                  </a:xfrm>
                  <a:prstGeom prst="rect">
                    <a:avLst/>
                  </a:prstGeom>
                  <a:ln/>
                </pic:spPr>
              </pic:pic>
            </a:graphicData>
          </a:graphic>
        </wp:anchor>
      </w:drawing>
    </w:r>
    <w:r>
      <w:rPr>
        <w:noProof/>
        <w:lang w:val="es-CO" w:eastAsia="es-CO"/>
      </w:rPr>
      <w:drawing>
        <wp:anchor distT="0" distB="0" distL="114300" distR="114300" simplePos="0" relativeHeight="251660288" behindDoc="0" locked="0" layoutInCell="1" hidden="0" allowOverlap="1" wp14:anchorId="14184500" wp14:editId="021BCC46">
          <wp:simplePos x="0" y="0"/>
          <wp:positionH relativeFrom="column">
            <wp:posOffset>558165</wp:posOffset>
          </wp:positionH>
          <wp:positionV relativeFrom="paragraph">
            <wp:posOffset>207645</wp:posOffset>
          </wp:positionV>
          <wp:extent cx="1628775" cy="434008"/>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628775" cy="434008"/>
                  </a:xfrm>
                  <a:prstGeom prst="rect">
                    <a:avLst/>
                  </a:prstGeom>
                  <a:ln/>
                </pic:spPr>
              </pic:pic>
            </a:graphicData>
          </a:graphic>
        </wp:anchor>
      </w:drawing>
    </w:r>
    <w:r>
      <w:rPr>
        <w:noProof/>
        <w:lang w:val="es-CO" w:eastAsia="es-CO"/>
      </w:rPr>
      <w:drawing>
        <wp:anchor distT="0" distB="0" distL="114300" distR="114300" simplePos="0" relativeHeight="251661312" behindDoc="0" locked="0" layoutInCell="1" hidden="0" allowOverlap="1" wp14:anchorId="7F78408A" wp14:editId="4350E74B">
          <wp:simplePos x="0" y="0"/>
          <wp:positionH relativeFrom="column">
            <wp:posOffset>2310765</wp:posOffset>
          </wp:positionH>
          <wp:positionV relativeFrom="paragraph">
            <wp:posOffset>226695</wp:posOffset>
          </wp:positionV>
          <wp:extent cx="762000" cy="389363"/>
          <wp:effectExtent l="0" t="0" r="0" b="0"/>
          <wp:wrapSquare wrapText="bothSides" distT="0" distB="0" distL="114300" distR="11430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
                  <a:srcRect/>
                  <a:stretch>
                    <a:fillRect/>
                  </a:stretch>
                </pic:blipFill>
                <pic:spPr>
                  <a:xfrm>
                    <a:off x="0" y="0"/>
                    <a:ext cx="762000" cy="389363"/>
                  </a:xfrm>
                  <a:prstGeom prst="rect">
                    <a:avLst/>
                  </a:prstGeom>
                  <a:ln/>
                </pic:spPr>
              </pic:pic>
            </a:graphicData>
          </a:graphic>
        </wp:anchor>
      </w:drawing>
    </w:r>
  </w:p>
  <w:p w:rsidR="008567A7" w:rsidRDefault="00527C89">
    <w:pPr>
      <w:pBdr>
        <w:top w:val="nil"/>
        <w:left w:val="nil"/>
        <w:bottom w:val="nil"/>
        <w:right w:val="nil"/>
        <w:between w:val="nil"/>
      </w:pBdr>
      <w:tabs>
        <w:tab w:val="center" w:pos="4419"/>
        <w:tab w:val="right" w:pos="8838"/>
      </w:tabs>
      <w:spacing w:line="240" w:lineRule="auto"/>
      <w:jc w:val="center"/>
      <w:rPr>
        <w:color w:val="000000"/>
        <w:u w:val="single"/>
      </w:rPr>
    </w:pPr>
  </w:p>
  <w:p w:rsidR="008567A7" w:rsidRDefault="00527C89">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E2668"/>
    <w:multiLevelType w:val="hybridMultilevel"/>
    <w:tmpl w:val="1EAC1A54"/>
    <w:lvl w:ilvl="0" w:tplc="038C5F6C">
      <w:numFmt w:val="bullet"/>
      <w:lvlText w:val="-"/>
      <w:lvlJc w:val="left"/>
      <w:pPr>
        <w:ind w:left="720" w:hanging="360"/>
      </w:pPr>
      <w:rPr>
        <w:rFonts w:ascii="Trebuchet MS" w:eastAsia="Trebuchet MS" w:hAnsi="Trebuchet MS" w:cs="Trebuchet M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533046"/>
    <w:multiLevelType w:val="hybridMultilevel"/>
    <w:tmpl w:val="9978380C"/>
    <w:lvl w:ilvl="0" w:tplc="58647582">
      <w:numFmt w:val="bullet"/>
      <w:lvlText w:val="-"/>
      <w:lvlJc w:val="left"/>
      <w:pPr>
        <w:ind w:left="720" w:hanging="360"/>
      </w:pPr>
      <w:rPr>
        <w:rFonts w:ascii="Trebuchet MS" w:eastAsia="Trebuchet MS" w:hAnsi="Trebuchet MS" w:cs="Trebuchet M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57"/>
    <w:rsid w:val="000463D7"/>
    <w:rsid w:val="00074128"/>
    <w:rsid w:val="000919A0"/>
    <w:rsid w:val="000919A9"/>
    <w:rsid w:val="000924FC"/>
    <w:rsid w:val="00093114"/>
    <w:rsid w:val="000A1797"/>
    <w:rsid w:val="000A6AD1"/>
    <w:rsid w:val="00111CEB"/>
    <w:rsid w:val="00147D85"/>
    <w:rsid w:val="00153731"/>
    <w:rsid w:val="001803C3"/>
    <w:rsid w:val="00182C4F"/>
    <w:rsid w:val="00187EC4"/>
    <w:rsid w:val="001A7BEA"/>
    <w:rsid w:val="001B6A57"/>
    <w:rsid w:val="001D1439"/>
    <w:rsid w:val="001E63B1"/>
    <w:rsid w:val="001E777F"/>
    <w:rsid w:val="001F2031"/>
    <w:rsid w:val="00205D25"/>
    <w:rsid w:val="0021795C"/>
    <w:rsid w:val="002210CF"/>
    <w:rsid w:val="00225241"/>
    <w:rsid w:val="002877E1"/>
    <w:rsid w:val="00291BF9"/>
    <w:rsid w:val="002B4124"/>
    <w:rsid w:val="002D2101"/>
    <w:rsid w:val="002E3618"/>
    <w:rsid w:val="003257C2"/>
    <w:rsid w:val="003341AA"/>
    <w:rsid w:val="00336CB0"/>
    <w:rsid w:val="00343F58"/>
    <w:rsid w:val="003708C6"/>
    <w:rsid w:val="00393755"/>
    <w:rsid w:val="003945D3"/>
    <w:rsid w:val="00397CC6"/>
    <w:rsid w:val="003C7414"/>
    <w:rsid w:val="003C7C4F"/>
    <w:rsid w:val="003D65EA"/>
    <w:rsid w:val="003E3547"/>
    <w:rsid w:val="00406241"/>
    <w:rsid w:val="00453F07"/>
    <w:rsid w:val="00454572"/>
    <w:rsid w:val="004567C9"/>
    <w:rsid w:val="00490FE4"/>
    <w:rsid w:val="004975A4"/>
    <w:rsid w:val="004A60C6"/>
    <w:rsid w:val="004D6E27"/>
    <w:rsid w:val="004F4EF2"/>
    <w:rsid w:val="005013CC"/>
    <w:rsid w:val="0050296E"/>
    <w:rsid w:val="005057A7"/>
    <w:rsid w:val="00527321"/>
    <w:rsid w:val="00527C89"/>
    <w:rsid w:val="00537B59"/>
    <w:rsid w:val="0055244B"/>
    <w:rsid w:val="00563D07"/>
    <w:rsid w:val="005A773D"/>
    <w:rsid w:val="005C110B"/>
    <w:rsid w:val="005D7E13"/>
    <w:rsid w:val="00603353"/>
    <w:rsid w:val="006211B9"/>
    <w:rsid w:val="00642B1E"/>
    <w:rsid w:val="00676E9A"/>
    <w:rsid w:val="00683B4D"/>
    <w:rsid w:val="0068649B"/>
    <w:rsid w:val="006A417E"/>
    <w:rsid w:val="006B462C"/>
    <w:rsid w:val="006D757F"/>
    <w:rsid w:val="006E7542"/>
    <w:rsid w:val="00700E33"/>
    <w:rsid w:val="007247C0"/>
    <w:rsid w:val="00735A49"/>
    <w:rsid w:val="007919F3"/>
    <w:rsid w:val="007A5D0D"/>
    <w:rsid w:val="007D4606"/>
    <w:rsid w:val="00804E42"/>
    <w:rsid w:val="0082341C"/>
    <w:rsid w:val="00824BB0"/>
    <w:rsid w:val="008A6407"/>
    <w:rsid w:val="008E2917"/>
    <w:rsid w:val="008F6440"/>
    <w:rsid w:val="00906297"/>
    <w:rsid w:val="009106D6"/>
    <w:rsid w:val="00912E18"/>
    <w:rsid w:val="009322A6"/>
    <w:rsid w:val="00945365"/>
    <w:rsid w:val="009B15F6"/>
    <w:rsid w:val="009B2B44"/>
    <w:rsid w:val="009E6FB3"/>
    <w:rsid w:val="00A462C6"/>
    <w:rsid w:val="00A726B4"/>
    <w:rsid w:val="00AA77D3"/>
    <w:rsid w:val="00AB1DAF"/>
    <w:rsid w:val="00AC7D59"/>
    <w:rsid w:val="00AD7817"/>
    <w:rsid w:val="00AF08FE"/>
    <w:rsid w:val="00B62450"/>
    <w:rsid w:val="00B649AF"/>
    <w:rsid w:val="00B702BB"/>
    <w:rsid w:val="00B740CE"/>
    <w:rsid w:val="00B856F1"/>
    <w:rsid w:val="00BA2ADF"/>
    <w:rsid w:val="00BA7AD5"/>
    <w:rsid w:val="00BE544D"/>
    <w:rsid w:val="00BE7C43"/>
    <w:rsid w:val="00C06E8E"/>
    <w:rsid w:val="00C11D92"/>
    <w:rsid w:val="00C2564D"/>
    <w:rsid w:val="00C257BA"/>
    <w:rsid w:val="00C335CA"/>
    <w:rsid w:val="00C534EA"/>
    <w:rsid w:val="00C54B89"/>
    <w:rsid w:val="00C5699F"/>
    <w:rsid w:val="00C70E8C"/>
    <w:rsid w:val="00C826D7"/>
    <w:rsid w:val="00C86802"/>
    <w:rsid w:val="00C95883"/>
    <w:rsid w:val="00CB4342"/>
    <w:rsid w:val="00D161B3"/>
    <w:rsid w:val="00D26E3A"/>
    <w:rsid w:val="00D47039"/>
    <w:rsid w:val="00D51BC5"/>
    <w:rsid w:val="00D677E9"/>
    <w:rsid w:val="00D94F0B"/>
    <w:rsid w:val="00DF787D"/>
    <w:rsid w:val="00E1359F"/>
    <w:rsid w:val="00E345A7"/>
    <w:rsid w:val="00E7509D"/>
    <w:rsid w:val="00EA7B0E"/>
    <w:rsid w:val="00EB440E"/>
    <w:rsid w:val="00EC186C"/>
    <w:rsid w:val="00EE19FC"/>
    <w:rsid w:val="00F00899"/>
    <w:rsid w:val="00F24434"/>
    <w:rsid w:val="00F4160C"/>
    <w:rsid w:val="00F52E50"/>
    <w:rsid w:val="00F52FFA"/>
    <w:rsid w:val="00F55E82"/>
    <w:rsid w:val="00F83874"/>
    <w:rsid w:val="00F93561"/>
    <w:rsid w:val="00FB5DDF"/>
    <w:rsid w:val="00FC497A"/>
    <w:rsid w:val="00FC5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0A6C"/>
  <w15:chartTrackingRefBased/>
  <w15:docId w15:val="{1439A491-FE5B-4A4B-82EE-E5C1D843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A57"/>
    <w:pPr>
      <w:spacing w:after="0" w:line="276" w:lineRule="auto"/>
    </w:pPr>
    <w:rPr>
      <w:rFonts w:ascii="Arial" w:eastAsia="Arial" w:hAnsi="Arial" w:cs="Arial"/>
      <w:lang w:va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B6A57"/>
    <w:pPr>
      <w:spacing w:line="240" w:lineRule="auto"/>
    </w:pPr>
    <w:rPr>
      <w:rFonts w:eastAsiaTheme="minorEastAsia"/>
      <w:sz w:val="20"/>
      <w:szCs w:val="20"/>
      <w:lang w:val="es-ES_tradnl" w:eastAsia="es-ES"/>
    </w:rPr>
  </w:style>
  <w:style w:type="character" w:customStyle="1" w:styleId="TextonotapieCar">
    <w:name w:val="Texto nota pie Car"/>
    <w:basedOn w:val="Fuentedeprrafopredeter"/>
    <w:link w:val="Textonotapie"/>
    <w:uiPriority w:val="99"/>
    <w:semiHidden/>
    <w:rsid w:val="001B6A57"/>
    <w:rPr>
      <w:rFonts w:ascii="Arial" w:eastAsiaTheme="minorEastAsia" w:hAnsi="Arial" w:cs="Arial"/>
      <w:sz w:val="20"/>
      <w:szCs w:val="20"/>
      <w:lang w:val="es-ES_tradnl" w:eastAsia="es-ES"/>
    </w:rPr>
  </w:style>
  <w:style w:type="character" w:styleId="Refdenotaalpie">
    <w:name w:val="footnote reference"/>
    <w:basedOn w:val="Fuentedeprrafopredeter"/>
    <w:uiPriority w:val="99"/>
    <w:semiHidden/>
    <w:unhideWhenUsed/>
    <w:rsid w:val="001B6A57"/>
    <w:rPr>
      <w:vertAlign w:val="superscript"/>
    </w:rPr>
  </w:style>
  <w:style w:type="character" w:styleId="Hipervnculo">
    <w:name w:val="Hyperlink"/>
    <w:basedOn w:val="Fuentedeprrafopredeter"/>
    <w:uiPriority w:val="99"/>
    <w:unhideWhenUsed/>
    <w:rsid w:val="001B6A57"/>
    <w:rPr>
      <w:color w:val="0563C1" w:themeColor="hyperlink"/>
      <w:u w:val="single"/>
    </w:rPr>
  </w:style>
  <w:style w:type="paragraph" w:styleId="Prrafodelista">
    <w:name w:val="List Paragraph"/>
    <w:basedOn w:val="Normal"/>
    <w:uiPriority w:val="34"/>
    <w:qFormat/>
    <w:rsid w:val="001B6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iacolombia.org.co/2021/01/28/colombia-no-logra-avances-significativos-en-percepcion-de-corrupcion/" TargetMode="External"/><Relationship Id="rId2" Type="http://schemas.openxmlformats.org/officeDocument/2006/relationships/hyperlink" Target="https://transparenciacolombia.org.co/2021/01/28/indice-de-percepcion-de-la-corrupcion-2020/" TargetMode="External"/><Relationship Id="rId1" Type="http://schemas.openxmlformats.org/officeDocument/2006/relationships/hyperlink" Target="https://www.unodc.org/documents/mexicoandcentralamerica/publications/Corrupcion/Convencion_de_las_NU_contra_la_Corrupcion.pdf" TargetMode="External"/><Relationship Id="rId5" Type="http://schemas.openxmlformats.org/officeDocument/2006/relationships/hyperlink" Target="https://www.minjusticia.gov.co/programas-co/politica-criminal/Conceptos/19_CSPC_Concepto_PAL_012_de_2018_Senado_Imprescriptibilidad_delitos_Administraci%C3%B3n_P%C3%BAblica.pdf" TargetMode="External"/><Relationship Id="rId4" Type="http://schemas.openxmlformats.org/officeDocument/2006/relationships/hyperlink" Target="https://n9.cl/1jil5"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202E-E946-48FB-AB27-CF6C40D2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11</Pages>
  <Words>2159</Words>
  <Characters>11877</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Nancy.Apraez</dc:creator>
  <cp:keywords/>
  <dc:description/>
  <cp:lastModifiedBy>Nancy.Apraez</cp:lastModifiedBy>
  <cp:revision>11</cp:revision>
  <dcterms:created xsi:type="dcterms:W3CDTF">2021-08-11T14:11:00Z</dcterms:created>
  <dcterms:modified xsi:type="dcterms:W3CDTF">2021-08-18T17:44:00Z</dcterms:modified>
</cp:coreProperties>
</file>