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Bogotá, D.C., marzo de 2023</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Honorable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DAVID RICARDO RACERO MAYORCA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Presidente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Cámara de Representantes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hanging="708"/>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Bogotá DC.</w:t>
      </w:r>
      <w:r w:rsidDel="00000000" w:rsidR="00000000" w:rsidRPr="00000000">
        <w:rPr>
          <w:rtl w:val="0"/>
        </w:rPr>
      </w:r>
    </w:p>
    <w:p w:rsidR="00000000" w:rsidDel="00000000" w:rsidP="00000000" w:rsidRDefault="00000000" w:rsidRPr="00000000" w14:paraId="00000008">
      <w:pPr>
        <w:spacing w:line="276" w:lineRule="auto"/>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Referencia: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Radicación del Proyecto de Ley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 ejercicio de la facultad prevista en el artículo 140 numeral 1º de la Ley 5ª de 1992, presentamos a consideración del Congreso de la República el proyecto de Ley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con el fin de surtir el respectivo trámite legislativo. Por tal motivo, anexamos el original en formato PDF con firmas y dos copias, en formato PDF sin firmas, y formato Word sin firmas.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 este sentido, se presenta a consideración el presente Proyecto de Ley, para iniciar el trámite correspondiente y cumplir con las exigencias dictadas por la Ley y la Constitución. Por tal motivo, adjuntamos vía correo electrónico en formato PDF y Word para que se dé cumplimiento a lo reglado en la Ley 5 de 1992.</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Cordialmente,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DIÓGENES QUINTERO AMAYA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Representante a la Cámara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Catatumbo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spacing w:line="276" w:lineRule="auto"/>
        <w:jc w:val="both"/>
        <w:rPr>
          <w:rFonts w:ascii="Arial Narrow" w:cs="Arial Narrow" w:eastAsia="Arial Narrow" w:hAnsi="Arial Narrow"/>
          <w:sz w:val="24"/>
          <w:szCs w:val="24"/>
        </w:rPr>
      </w:pPr>
      <w:r w:rsidDel="00000000" w:rsidR="00000000" w:rsidRPr="00000000">
        <w:rPr>
          <w:rtl w:val="0"/>
        </w:rPr>
      </w:r>
    </w:p>
    <w:tbl>
      <w:tblPr>
        <w:tblStyle w:val="Table1"/>
        <w:tblW w:w="882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4"/>
        <w:gridCol w:w="4414"/>
        <w:tblGridChange w:id="0">
          <w:tblGrid>
            <w:gridCol w:w="4414"/>
            <w:gridCol w:w="4414"/>
          </w:tblGrid>
        </w:tblGridChange>
      </w:tblGrid>
      <w:tr>
        <w:trPr>
          <w:cantSplit w:val="0"/>
          <w:tblHeader w:val="0"/>
        </w:trPr>
        <w:tc>
          <w:tcPr>
            <w:vAlign w:val="bottom"/>
          </w:tcPr>
          <w:p w:rsidR="00000000" w:rsidDel="00000000" w:rsidP="00000000" w:rsidRDefault="00000000" w:rsidRPr="00000000" w14:paraId="0000001D">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E">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F">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0">
            <w:pPr>
              <w:spacing w:line="276" w:lineRule="auto"/>
              <w:jc w:val="center"/>
              <w:rPr>
                <w:rFonts w:ascii="Arial Narrow" w:cs="Arial Narrow" w:eastAsia="Arial Narrow" w:hAnsi="Arial Narrow"/>
                <w:sz w:val="24"/>
                <w:szCs w:val="24"/>
              </w:rPr>
            </w:pPr>
            <w:r w:rsidDel="00000000" w:rsidR="00000000" w:rsidRPr="00000000">
              <w:rPr>
                <w:rtl w:val="0"/>
              </w:rPr>
            </w:r>
          </w:p>
        </w:tc>
        <w:tc>
          <w:tcPr>
            <w:vAlign w:val="bottom"/>
          </w:tcPr>
          <w:p w:rsidR="00000000" w:rsidDel="00000000" w:rsidP="00000000" w:rsidRDefault="00000000" w:rsidRPr="00000000" w14:paraId="00000021">
            <w:pPr>
              <w:spacing w:line="276" w:lineRule="auto"/>
              <w:jc w:val="center"/>
              <w:rPr>
                <w:rFonts w:ascii="Arial Narrow" w:cs="Arial Narrow" w:eastAsia="Arial Narrow" w:hAnsi="Arial Narrow"/>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22">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3">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4">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5">
            <w:pPr>
              <w:spacing w:line="276" w:lineRule="auto"/>
              <w:jc w:val="center"/>
              <w:rPr>
                <w:rFonts w:ascii="Arial Narrow" w:cs="Arial Narrow" w:eastAsia="Arial Narrow" w:hAnsi="Arial Narrow"/>
                <w:sz w:val="24"/>
                <w:szCs w:val="24"/>
              </w:rPr>
            </w:pPr>
            <w:r w:rsidDel="00000000" w:rsidR="00000000" w:rsidRPr="00000000">
              <w:rPr>
                <w:rtl w:val="0"/>
              </w:rPr>
            </w:r>
          </w:p>
        </w:tc>
        <w:tc>
          <w:tcPr>
            <w:vAlign w:val="bottom"/>
          </w:tcPr>
          <w:p w:rsidR="00000000" w:rsidDel="00000000" w:rsidP="00000000" w:rsidRDefault="00000000" w:rsidRPr="00000000" w14:paraId="00000026">
            <w:pPr>
              <w:spacing w:line="276" w:lineRule="auto"/>
              <w:jc w:val="center"/>
              <w:rPr>
                <w:rFonts w:ascii="Arial Narrow" w:cs="Arial Narrow" w:eastAsia="Arial Narrow" w:hAnsi="Arial Narrow"/>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27">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8">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9">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A">
            <w:pPr>
              <w:spacing w:line="276" w:lineRule="auto"/>
              <w:jc w:val="center"/>
              <w:rPr>
                <w:rFonts w:ascii="Arial Narrow" w:cs="Arial Narrow" w:eastAsia="Arial Narrow" w:hAnsi="Arial Narrow"/>
                <w:sz w:val="24"/>
                <w:szCs w:val="24"/>
              </w:rPr>
            </w:pPr>
            <w:r w:rsidDel="00000000" w:rsidR="00000000" w:rsidRPr="00000000">
              <w:rPr>
                <w:rtl w:val="0"/>
              </w:rPr>
            </w:r>
          </w:p>
        </w:tc>
        <w:tc>
          <w:tcPr>
            <w:vAlign w:val="bottom"/>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30">
            <w:pPr>
              <w:spacing w:line="276" w:lineRule="auto"/>
              <w:jc w:val="center"/>
              <w:rPr>
                <w:rFonts w:ascii="Arial Narrow" w:cs="Arial Narrow" w:eastAsia="Arial Narrow" w:hAnsi="Arial Narrow"/>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31">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2">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3">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4">
            <w:pPr>
              <w:spacing w:line="276" w:lineRule="auto"/>
              <w:jc w:val="center"/>
              <w:rPr>
                <w:rFonts w:ascii="Arial Narrow" w:cs="Arial Narrow" w:eastAsia="Arial Narrow" w:hAnsi="Arial Narrow"/>
                <w:sz w:val="24"/>
                <w:szCs w:val="24"/>
              </w:rPr>
            </w:pPr>
            <w:r w:rsidDel="00000000" w:rsidR="00000000" w:rsidRPr="00000000">
              <w:rPr>
                <w:rtl w:val="0"/>
              </w:rPr>
            </w:r>
          </w:p>
        </w:tc>
        <w:tc>
          <w:tcPr>
            <w:vAlign w:val="bottom"/>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3F">
            <w:pPr>
              <w:spacing w:line="276" w:lineRule="auto"/>
              <w:jc w:val="center"/>
              <w:rPr>
                <w:rFonts w:ascii="Arial Narrow" w:cs="Arial Narrow" w:eastAsia="Arial Narrow" w:hAnsi="Arial Narrow"/>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5">
      <w:pPr>
        <w:spacing w:line="276" w:lineRule="auto"/>
        <w:jc w:val="both"/>
        <w:rPr>
          <w:rFonts w:ascii="Arial Narrow" w:cs="Arial Narrow" w:eastAsia="Arial Narrow" w:hAnsi="Arial Narrow"/>
          <w:sz w:val="24"/>
          <w:szCs w:val="24"/>
        </w:rPr>
        <w:sectPr>
          <w:headerReference r:id="rId6" w:type="default"/>
          <w:footerReference r:id="rId7" w:type="default"/>
          <w:pgSz w:h="15840" w:w="12240"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46">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7">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PROYECTO DE LEY NO. ________________de 2023 </w:t>
      </w:r>
    </w:p>
    <w:p w:rsidR="00000000" w:rsidDel="00000000" w:rsidP="00000000" w:rsidRDefault="00000000" w:rsidRPr="00000000" w14:paraId="00000048">
      <w:pPr>
        <w:spacing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p>
    <w:p w:rsidR="00000000" w:rsidDel="00000000" w:rsidP="00000000" w:rsidRDefault="00000000" w:rsidRPr="00000000" w14:paraId="00000049">
      <w:pPr>
        <w:tabs>
          <w:tab w:val="center" w:leader="none" w:pos="4419"/>
          <w:tab w:val="left" w:leader="none" w:pos="6540"/>
        </w:tabs>
        <w:spacing w:line="276"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ab/>
      </w:r>
    </w:p>
    <w:p w:rsidR="00000000" w:rsidDel="00000000" w:rsidP="00000000" w:rsidRDefault="00000000" w:rsidRPr="00000000" w14:paraId="0000004A">
      <w:pPr>
        <w:tabs>
          <w:tab w:val="center" w:leader="none" w:pos="4419"/>
          <w:tab w:val="left" w:leader="none" w:pos="6540"/>
        </w:tabs>
        <w:spacing w:line="276" w:lineRule="auto"/>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B">
      <w:pPr>
        <w:tabs>
          <w:tab w:val="center" w:leader="none" w:pos="4419"/>
          <w:tab w:val="left" w:leader="none" w:pos="6540"/>
        </w:tabs>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EL CONGRESO DE COLOMBIA</w:t>
      </w:r>
    </w:p>
    <w:p w:rsidR="00000000" w:rsidDel="00000000" w:rsidP="00000000" w:rsidRDefault="00000000" w:rsidRPr="00000000" w14:paraId="0000004C">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DECRETA:</w:t>
      </w:r>
    </w:p>
    <w:p w:rsidR="00000000" w:rsidDel="00000000" w:rsidP="00000000" w:rsidRDefault="00000000" w:rsidRPr="00000000" w14:paraId="0000004D">
      <w:pPr>
        <w:spacing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E">
      <w:pPr>
        <w:spacing w:line="276"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4F">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 </w:t>
      </w:r>
      <w:r w:rsidDel="00000000" w:rsidR="00000000" w:rsidRPr="00000000">
        <w:rPr>
          <w:rFonts w:ascii="Arial Narrow" w:cs="Arial Narrow" w:eastAsia="Arial Narrow" w:hAnsi="Arial Narrow"/>
          <w:i w:val="1"/>
          <w:sz w:val="24"/>
          <w:szCs w:val="24"/>
          <w:rtl w:val="0"/>
        </w:rPr>
        <w:t xml:space="preserve">Objeto</w:t>
      </w:r>
      <w:r w:rsidDel="00000000" w:rsidR="00000000" w:rsidRPr="00000000">
        <w:rPr>
          <w:rFonts w:ascii="Arial Narrow" w:cs="Arial Narrow" w:eastAsia="Arial Narrow" w:hAnsi="Arial Narrow"/>
          <w:b w:val="1"/>
          <w:sz w:val="24"/>
          <w:szCs w:val="24"/>
          <w:rtl w:val="0"/>
        </w:rPr>
        <w:t xml:space="preserve">.</w:t>
      </w:r>
      <w:r w:rsidDel="00000000" w:rsidR="00000000" w:rsidRPr="00000000">
        <w:rPr>
          <w:rFonts w:ascii="Arial Narrow" w:cs="Arial Narrow" w:eastAsia="Arial Narrow" w:hAnsi="Arial Narrow"/>
          <w:sz w:val="24"/>
          <w:szCs w:val="24"/>
          <w:rtl w:val="0"/>
        </w:rPr>
        <w:t xml:space="preserve"> La presente ley tiene por objeto establecer las medidas de un tratamiento penal diferenciado, transitorio y condicionado para los cultivadores de plantaciones de uso ilícito que, previa verificación de requisitos, se vinculen a cualquiera de los programas que integran el Plan Nacional de Sustitución de Cultivos Ilícitos PNIS o cualquier otro programada estatal destinado a la sustitución de cultivos de uso ilícito. </w:t>
      </w:r>
    </w:p>
    <w:p w:rsidR="00000000" w:rsidDel="00000000" w:rsidP="00000000" w:rsidRDefault="00000000" w:rsidRPr="00000000" w14:paraId="00000050">
      <w:pPr>
        <w:spacing w:line="276" w:lineRule="auto"/>
        <w:jc w:val="both"/>
        <w:rPr>
          <w:rFonts w:ascii="Arial Narrow" w:cs="Arial Narrow" w:eastAsia="Arial Narrow" w:hAnsi="Arial Narrow"/>
          <w:sz w:val="24"/>
          <w:szCs w:val="24"/>
        </w:rPr>
      </w:pPr>
      <w:bookmarkStart w:colFirst="0" w:colLast="0" w:name="_gjdgxs" w:id="0"/>
      <w:bookmarkEnd w:id="0"/>
      <w:r w:rsidDel="00000000" w:rsidR="00000000" w:rsidRPr="00000000">
        <w:rPr>
          <w:rFonts w:ascii="Arial Narrow" w:cs="Arial Narrow" w:eastAsia="Arial Narrow" w:hAnsi="Arial Narrow"/>
          <w:b w:val="1"/>
          <w:sz w:val="24"/>
          <w:szCs w:val="24"/>
          <w:rtl w:val="0"/>
        </w:rPr>
        <w:t xml:space="preserve">ARTÍCULO 2.</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i w:val="1"/>
          <w:sz w:val="24"/>
          <w:szCs w:val="24"/>
          <w:rtl w:val="0"/>
        </w:rPr>
        <w:t xml:space="preserve">Tratamiento penal diferenciado. </w:t>
      </w:r>
      <w:r w:rsidDel="00000000" w:rsidR="00000000" w:rsidRPr="00000000">
        <w:rPr>
          <w:rFonts w:ascii="Arial Narrow" w:cs="Arial Narrow" w:eastAsia="Arial Narrow" w:hAnsi="Arial Narrow"/>
          <w:sz w:val="24"/>
          <w:szCs w:val="24"/>
          <w:rtl w:val="0"/>
        </w:rPr>
        <w:t xml:space="preserve">El tratamiento penal diferenciado consistirá en la renuncia, por parte de la autoridad competente, al ejercicio de la acción penal o su extinción, según sea el caso, así como la extinción de la pena o de la acción de extinción de dominio por la conductas tipificadas en el artículo 375 de la Ley 599 de 2000, por única vez, y con previa verificación del acogimiento a los programas del Nacional de Sustitución de Cultivos Ilícitos PNIS o cualquier otro programada estatal destinado a la sustitución de cultivos de uso ilícito. </w:t>
      </w:r>
    </w:p>
    <w:p w:rsidR="00000000" w:rsidDel="00000000" w:rsidP="00000000" w:rsidRDefault="00000000" w:rsidRPr="00000000" w14:paraId="00000051">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partir de la entrada en vigencia de la presente ley, los posibles beneficiarios tendrán el término de un (1) año para vincularse a los diferentes programas del Nacional de Sustitución de Cultivos Ilícitos PNIS o cualquier otro programada estatal destinado a la sustitución de cultivos de uso ilícito.</w:t>
      </w:r>
    </w:p>
    <w:p w:rsidR="00000000" w:rsidDel="00000000" w:rsidP="00000000" w:rsidRDefault="00000000" w:rsidRPr="00000000" w14:paraId="00000052">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3. </w:t>
      </w:r>
      <w:r w:rsidDel="00000000" w:rsidR="00000000" w:rsidRPr="00000000">
        <w:rPr>
          <w:rFonts w:ascii="Arial Narrow" w:cs="Arial Narrow" w:eastAsia="Arial Narrow" w:hAnsi="Arial Narrow"/>
          <w:i w:val="1"/>
          <w:sz w:val="24"/>
          <w:szCs w:val="24"/>
          <w:rtl w:val="0"/>
        </w:rPr>
        <w:t xml:space="preserve">Modificación al Código Penal. </w:t>
      </w:r>
      <w:r w:rsidDel="00000000" w:rsidR="00000000" w:rsidRPr="00000000">
        <w:rPr>
          <w:rFonts w:ascii="Arial Narrow" w:cs="Arial Narrow" w:eastAsia="Arial Narrow" w:hAnsi="Arial Narrow"/>
          <w:sz w:val="24"/>
          <w:szCs w:val="24"/>
          <w:rtl w:val="0"/>
        </w:rPr>
        <w:t xml:space="preserve">Modifíquese el artículo 375 de la Ley 599 de 2000, el cual quedará así: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708"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Artículo 375. </w:t>
      </w: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Conservación o financiación de plantaciones</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que sin permiso de autoridad competente cultive, conserve o financie plantaciones de las que se puedan producir cocaína, marihuana, morfina y heroína, o cualquiera otra droga que produzca dependencia, en áreas cuyo tamaño sea superior al delimitado por El Consejo Nacional de Estupefacientes, o quien haga sus veces, incurrirá en pena de nueve (9) a quince (15) años de prisión y multa de dos mil (2.000) a cinco mil (5.000) salarios mínimos legales mensuales vigentes.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708"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Las sanciones previstas en este artículo no aplicarán para el uso médico y científico del cannabis siempre y cuando se tengan las licencias otorgadas, ya sea por el Ministerio de Salud y Protección Social o el Ministerio de Justicia y del Derecho, según sus competencias.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708"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Tampoco incurrirán en las penas previstas en el presente artículo los pequeños cultivadores incluidos en el Programa Nacional de Sustitución de Cultivos Ilícitos mientras esté vigente su vinculación al Programa y por el término que dure su proceso en el mismo.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0"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ARTÍCULO 4.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Consejo Nacional de Estupefacientes.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Para los fines del artículo 375 del Código Penal, el Consejo Nacional de Estupefacientes expedirá anualmente acto administrativo mediante el cual dispondrá el área máxima de cultivo permitida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0"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ARTÍCULO 5</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Solicitud de Beneficios.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 el año siguiente a la expedición de la presente Ley, las personas condenadas por el delito descrito en el artículo 375 de la Ley 599 de 2000 podrán solicitar por única vez la extinción de la sanción penal, el juez competente la decretará al constatar:</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68" w:line="276" w:lineRule="auto"/>
        <w:ind w:left="720" w:right="39"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Que el solicitante se encuentre inscrito en el Programa Nacional Integral de Sustitución de Cultivos Ilícitos o cualquier otra estrategia de sustitución de cultivos de uso ilícito que el gobierno nacional defina,</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68" w:line="276" w:lineRule="auto"/>
        <w:ind w:left="720" w:right="39"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Que el área cultivada por la cual se dictó la condena original sea igual o menor a la determinada por el Consejo Nacional de Estupefacientes,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68" w:line="276" w:lineRule="auto"/>
        <w:ind w:left="720" w:right="39"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Que la persona presente ante el director del Programa Nacional Integral de Sustitución de Cultivos Ilícitos, o quien haga sus veces, un acta de compromiso según la cual renuncie irrevocablemente a cultivar o mantener las plantaciones de uso ilícito,</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68" w:line="276" w:lineRule="auto"/>
        <w:ind w:left="720" w:right="39"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Que la persona no sea agente del Estado o miembro de un grupo al margen de la Ley según la categorización hecha por el Gobierno Nacional.</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68" w:line="276" w:lineRule="auto"/>
        <w:ind w:left="720" w:right="39"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Que la persona no esté siendo procesada por el mismo delito en la Jurisdicción Especial para la Paz.</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0"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Asimismo, las personas sujetas a un proceso penal por el delito referido en el inciso primero del presente artículo podrán solicitar por única vez la extinción de la acción penal a la fiscalía tras acreditar los mismos requisitos aquí exigidos a los condenados para la solicitud de la extinción de la sanción.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0"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Parágrafo 1.</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Para la concesión de ambos beneficios se procederá según lo establecido en la Ley.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0"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Parágrafo 2.</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Para la suscripción del acta referida en el numeral 3 del presente artículo, el interesado informará al Ministerio Público o a la Fiscalía General de la Nación de su voluntad personalmente o por medio de apoderado. El Ministerio Público o la Fiscalía General de la Nación, comunicará a su vez la intención del procesado o condenado a la dirección del PNIS y facilitará lo necesario para la culminación del trámite.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0"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ARTÍCULO 6.</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Priorización.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Los jueces competentes priorizarán las solicitudes de extinción de sanción o de acción penal referidas en la presente Ley cuando hayan sido presentadas por madres cabeza de hogar o personas en situación de vulnerabilidad.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0"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ARTÍCULO 7.</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Exclusión de Beneficios.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Las personas que, habiéndose acogido a los beneficios de la presente Ley, incurran nuevamente en la comisión de la conducta punible del artículo 375 de la Ley 599 de 2000, no podrán gozar nuevamente de ellos y serán juzgados según las normas generales de procedimiento penal.</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8" w:line="276" w:lineRule="auto"/>
        <w:ind w:left="0" w:right="3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Tampoco podrán acceder a estos beneficios aquellas personas que, siendo condenadas por el delito del artículo 375 de la Ley 599 de 2000, hayan completado su condena.</w:t>
      </w:r>
    </w:p>
    <w:p w:rsidR="00000000" w:rsidDel="00000000" w:rsidP="00000000" w:rsidRDefault="00000000" w:rsidRPr="00000000" w14:paraId="00000063">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8. </w:t>
      </w:r>
      <w:r w:rsidDel="00000000" w:rsidR="00000000" w:rsidRPr="00000000">
        <w:rPr>
          <w:rFonts w:ascii="Arial Narrow" w:cs="Arial Narrow" w:eastAsia="Arial Narrow" w:hAnsi="Arial Narrow"/>
          <w:i w:val="1"/>
          <w:sz w:val="24"/>
          <w:szCs w:val="24"/>
          <w:rtl w:val="0"/>
        </w:rPr>
        <w:t xml:space="preserve">Conexidad.</w:t>
      </w:r>
      <w:r w:rsidDel="00000000" w:rsidR="00000000" w:rsidRPr="00000000">
        <w:rPr>
          <w:rFonts w:ascii="Arial Narrow" w:cs="Arial Narrow" w:eastAsia="Arial Narrow" w:hAnsi="Arial Narrow"/>
          <w:sz w:val="24"/>
          <w:szCs w:val="24"/>
          <w:rtl w:val="0"/>
        </w:rPr>
        <w:t xml:space="preserve"> Las personas procesadas por los delitos contemplados en los artículos 376, 377 y 382 de la Ley 599 de 2000 podrán acogerse a los beneficios referidos en la presente Ley cuando se decrete la conexidad con el delito del que trata el artículo 375 del Código Penal; su defensa, por única vez y para los fines de este articulado, podrá solicitar la conexidad en cualquier etapa procesal en que se halle la litis.</w:t>
      </w:r>
    </w:p>
    <w:p w:rsidR="00000000" w:rsidDel="00000000" w:rsidP="00000000" w:rsidRDefault="00000000" w:rsidRPr="00000000" w14:paraId="00000064">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 personas que hayan sido condenadas por la conducta delictiva descrita en el artículo 375 del Código Penal en concurso con los delitos de los artículos 376, 377 o 382 podrán solicitar la declaratoria de conexidad extemporánea al Juez de Ejecución de Penas y Medidas de Seguridad para gozar de los beneficios de la presente Ley, para lo cual, el Juez de Ejecución de Penas ordenará remitir el expediente al juez de conocimiento para que éste último decida sobre la solicitud mediante auto.</w:t>
      </w:r>
    </w:p>
    <w:p w:rsidR="00000000" w:rsidDel="00000000" w:rsidP="00000000" w:rsidRDefault="00000000" w:rsidRPr="00000000" w14:paraId="00000065">
      <w:pPr>
        <w:spacing w:line="276"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En ambos casos, de ser declarada la conexidad, el juez correspondiente podrá conceder los beneficios del trato penal diferenciado según lo dispuesto en el artículo 5 precedente.</w:t>
      </w:r>
      <w:r w:rsidDel="00000000" w:rsidR="00000000" w:rsidRPr="00000000">
        <w:rPr>
          <w:rtl w:val="0"/>
        </w:rPr>
      </w:r>
    </w:p>
    <w:p w:rsidR="00000000" w:rsidDel="00000000" w:rsidP="00000000" w:rsidRDefault="00000000" w:rsidRPr="00000000" w14:paraId="00000066">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9.</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i w:val="1"/>
          <w:sz w:val="24"/>
          <w:szCs w:val="24"/>
          <w:rtl w:val="0"/>
        </w:rPr>
        <w:t xml:space="preserve">Concursos</w:t>
      </w:r>
      <w:r w:rsidDel="00000000" w:rsidR="00000000" w:rsidRPr="00000000">
        <w:rPr>
          <w:rFonts w:ascii="Arial Narrow" w:cs="Arial Narrow" w:eastAsia="Arial Narrow" w:hAnsi="Arial Narrow"/>
          <w:sz w:val="24"/>
          <w:szCs w:val="24"/>
          <w:rtl w:val="0"/>
        </w:rPr>
        <w:t xml:space="preserve">. El tratamiento penal diferenciado no será aplicable cuando el solicitante no le haya sido decretada la conexidad de acuerdo con el artículo anterior y esté siendo procesado o haya sido condenado por el delito del artículo 375 de la Ley 599 de 2000, inciso 1°, en concurso con otros delitos, salvo el delito de destinación ilícita de inmuebles del artículo 377.</w:t>
      </w:r>
    </w:p>
    <w:p w:rsidR="00000000" w:rsidDel="00000000" w:rsidP="00000000" w:rsidRDefault="00000000" w:rsidRPr="00000000" w14:paraId="00000067">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10.</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i w:val="1"/>
          <w:sz w:val="24"/>
          <w:szCs w:val="24"/>
          <w:rtl w:val="0"/>
        </w:rPr>
        <w:t xml:space="preserve">Efectos sobre los bienes. </w:t>
      </w:r>
      <w:r w:rsidDel="00000000" w:rsidR="00000000" w:rsidRPr="00000000">
        <w:rPr>
          <w:rFonts w:ascii="Arial Narrow" w:cs="Arial Narrow" w:eastAsia="Arial Narrow" w:hAnsi="Arial Narrow"/>
          <w:sz w:val="24"/>
          <w:szCs w:val="24"/>
          <w:rtl w:val="0"/>
        </w:rPr>
        <w:t xml:space="preserve">Las medidas cautelares existentes sobre los bienes afectados por el delito serán suspendidas o levantadas por las autoridades competentes, según sea el caso. Asimismo, serán suspendidos o terminados los procesos de extinción de dominio adelantados contra quienes resulten favorecidos con la renuncia al ejercicio de la acción penal</w:t>
      </w:r>
    </w:p>
    <w:p w:rsidR="00000000" w:rsidDel="00000000" w:rsidP="00000000" w:rsidRDefault="00000000" w:rsidRPr="00000000" w14:paraId="00000068">
      <w:pPr>
        <w:spacing w:line="276" w:lineRule="auto"/>
        <w:jc w:val="both"/>
        <w:rPr>
          <w:rFonts w:ascii="Arial Narrow" w:cs="Arial Narrow" w:eastAsia="Arial Narrow" w:hAnsi="Arial Narrow"/>
          <w:color w:val="ff0000"/>
          <w:sz w:val="24"/>
          <w:szCs w:val="24"/>
        </w:rPr>
      </w:pPr>
      <w:r w:rsidDel="00000000" w:rsidR="00000000" w:rsidRPr="00000000">
        <w:rPr>
          <w:rFonts w:ascii="Arial Narrow" w:cs="Arial Narrow" w:eastAsia="Arial Narrow" w:hAnsi="Arial Narrow"/>
          <w:sz w:val="24"/>
          <w:szCs w:val="24"/>
          <w:rtl w:val="0"/>
        </w:rPr>
        <w:t xml:space="preserve">Los bienes referidos en el inciso anterior serán devueltos a los beneficiarios del tratamiento penal diferenciado, siempre y cuando demuestre su relación jurídica con el bien.</w:t>
      </w:r>
      <w:r w:rsidDel="00000000" w:rsidR="00000000" w:rsidRPr="00000000">
        <w:rPr>
          <w:rtl w:val="0"/>
        </w:rPr>
      </w:r>
    </w:p>
    <w:p w:rsidR="00000000" w:rsidDel="00000000" w:rsidP="00000000" w:rsidRDefault="00000000" w:rsidRPr="00000000" w14:paraId="00000069">
      <w:pPr>
        <w:spacing w:line="276"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ARTÍCULO 11.</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i w:val="1"/>
          <w:sz w:val="24"/>
          <w:szCs w:val="24"/>
          <w:rtl w:val="0"/>
        </w:rPr>
        <w:t xml:space="preserve">Vigencia. </w:t>
      </w:r>
      <w:r w:rsidDel="00000000" w:rsidR="00000000" w:rsidRPr="00000000">
        <w:rPr>
          <w:rFonts w:ascii="Arial Narrow" w:cs="Arial Narrow" w:eastAsia="Arial Narrow" w:hAnsi="Arial Narrow"/>
          <w:sz w:val="24"/>
          <w:szCs w:val="24"/>
          <w:rtl w:val="0"/>
        </w:rPr>
        <w:t xml:space="preserve">La presente ley rige a partir de su promulgación y deroga todas las disposiciones que le sean expresamente contrarias.</w:t>
      </w:r>
    </w:p>
    <w:p w:rsidR="00000000" w:rsidDel="00000000" w:rsidP="00000000" w:rsidRDefault="00000000" w:rsidRPr="00000000" w14:paraId="0000006A">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B">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C">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D">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DIÓGENES QUINTERO AMAYA</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Representante a la Cámara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Catatumbo</w:t>
      </w:r>
    </w:p>
    <w:p w:rsidR="00000000" w:rsidDel="00000000" w:rsidP="00000000" w:rsidRDefault="00000000" w:rsidRPr="00000000" w14:paraId="00000071">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2">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3">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74">
      <w:pPr>
        <w:spacing w:line="276" w:lineRule="auto"/>
        <w:jc w:val="both"/>
        <w:rPr>
          <w:rFonts w:ascii="Arial Narrow" w:cs="Arial Narrow" w:eastAsia="Arial Narrow" w:hAnsi="Arial Narrow"/>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5">
      <w:pPr>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EXPOSICIÓN DE MOTIVOS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0" w:line="259"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02"/>
        </w:tabs>
        <w:spacing w:after="0" w:before="0" w:line="240" w:lineRule="auto"/>
        <w:ind w:left="902" w:right="0" w:hanging="361"/>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Objetivo.</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194"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194"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La presente ley tiene por objeto crear mecanismos sociales y administrativos para reconocer un tratamiento penal diferencial, transitorio y condicionado, a las personas afectadas por la problemática de cultivo de plantaciones de uso ilícito en el país, con el fin de aportar elementos para la consolidación y sostenibilidad de la Paz en el período de postconflicto. En esa dirección, se crean herramientas que ofrecen alternativas dirigidas a reducir la judicialización, limitar el uso del encarcelamiento como retribución penal y disminuir el tiempo efectivo de privación de libertad de los procesados o condenados por los delitos tipificados en el artículo 375 de la Ley 599 de 2000.</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1" w:line="276" w:lineRule="auto"/>
        <w:ind w:left="0" w:right="202"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anterior, responde a la adopción de una política criminal en materia de drogas dirigida no a la judicialización como medida primigenia, sino al perfeccionamiento de políticas que aporten al desarrollo económico y social del país, particularmente, de las comunidades afectadas por el fenómeno de los cultivos de uso ilícito.</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1" w:line="276" w:lineRule="auto"/>
        <w:ind w:left="182" w:right="202"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1"/>
        <w:numPr>
          <w:ilvl w:val="0"/>
          <w:numId w:val="2"/>
        </w:numPr>
        <w:tabs>
          <w:tab w:val="left" w:leader="none" w:pos="430"/>
        </w:tabs>
        <w:ind w:left="429" w:hanging="248"/>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Contextualización del proyecto de ley.</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79"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Acuerdo Final logrado entre las FARC- EP y el Gobierno Nacional, refleja la intención de las partes de encontrar una solución al problema de las drogas ilícitas a partir de los componentes básicos de la sustitución y erradicación de cultivos ilícitos, la prevención del consumo de sustancias sicoactivas y la lucha contra el narcotráfico y el lavado de activos. Para contribuir con el propósito de la sustitución y erradicación de cultivos ilícitos, en el acuerdo se pactó un tratamiento penal diferencial para pequeños cultivadores en aras de contribuir a la transformación económica y social de los territorios afectados por la problemática de las drogas ilícitas e intensificar la lucha contra los actores u organizaciones dedicadas al narcotráfico.</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0" w:line="276" w:lineRule="auto"/>
        <w:ind w:left="0" w:right="194"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lo reconoce el Acuerdo Final, la persistencia del problema de las drogas ilícitas, está ligada a la existencia de condiciones de pobreza y marginalidad, debilidades de la política estatal y la existencia de organizaciones criminales dedicadas al narcotráfico, que a su vez inciden en formas específicas de violencia que han atravesado, alimentado y financiado el conflicto armado interno. Aunque la política de lucha contra las drogas ejecutada en los últimos 30 años refleja algunos avances para enfrentar la problemática de las drogas ilícitas, como el desmantelamiento de bandas dedicadas al narcotráfico en toda su cadena (cultivo, producción, distribución y comercialización) y la erradicación considerable de hectáreas de plantaciones de uso ilícito; el fenómeno de las drogas ilícitas persiste en diferentes regiones del país. Esto demuestra que la política no ha logrado los resultados esperados.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9" w:line="276" w:lineRule="auto"/>
        <w:ind w:left="0" w:right="198"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 tono con la dificultad planteada, la presente ley pretende reorientar los esfuerzos de la política de lucha contra las drogas que venía implementándose hasta antes del Acuerdo Final, con el fin de adoptar medidas legislativas urgentes que respondan coherentemente a lo acordado entre el Gobierno Nacional y las FARC EP, de manera que se garantice la sostenibilidad del Acuerdo Final y se logré un tratamiento penal razonable y proporcionado para los pequeños cultivadores de plantaciones de uso ilícito. Para tales efectos, el sub-punto 4.1.3.4. del Acuerdo Final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(Solución al problema de las drogas ilícitas)</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señala lo siguiente:</w:t>
      </w:r>
    </w:p>
    <w:p w:rsidR="00000000" w:rsidDel="00000000" w:rsidP="00000000" w:rsidRDefault="00000000" w:rsidRPr="00000000" w14:paraId="00000080">
      <w:pPr>
        <w:spacing w:before="141" w:line="276" w:lineRule="auto"/>
        <w:ind w:left="748" w:right="1098" w:firstLine="0"/>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“En el marco del fin del conflicto y en razón de su contribución a la construcción de la paz y al uso más efectivo de los recursos judiciales contra las organizaciones criminales vinculadas al narcotráfico y a partir de una visión integral de la solución definitiva al problema de los cultivos de uso ilícito, que tiene un origen multicausal, incluyendo causas de orden social y con el fin de facilitar la puesta en marcha del PNIS, el Gobierno se compromete a tramitar los ajustes normativos necesarios que permitan renunciar de manera transitoria al ejercicio de la acción penal o proceder con la extinción de la sanción penal contra los pequeños agricultores y agricultoras que estén o hayan estado vinculados con el cultivo de cultivos de uso ilícito cuando, dentro del término de 1 año, contado a partir de la entrada en vigencia de la nueva norma, manifiesten formalmente ante las autoridades competentes, su decisión de renunciar a cultivar o mantener los cultivos de uso ilícito. El Gobierno Nacional garantizará durante este año el despliegue del PNIS en todas las zonas con cultivos de uso ilícito para que se puedan celebrar los acuerdos con las comunidades e iniciará su implementación efectiva. El ajuste normativo deberá reglamentar los criterios para identificar quienes son los pequeños agricultores y agricultoras de cultivos de uso ilícito. La manifestación voluntaria de renuncia al cultivo de uso ilícito y a la permanencia en dicha actividad, podrá darse de manera individual, o en el marco de acuerdos de sustitución con las comunidades. Este tratamiento podrá ser revocado por reincidencia en las conductas asociadas a cualquier eslabón de la cadena de producción de los cultivos de uso ilícito y sus derivados. Se dará prioridad en la implementación a los programas de sustitución de cultivos de uso ilícito”.</w:t>
      </w:r>
    </w:p>
    <w:p w:rsidR="00000000" w:rsidDel="00000000" w:rsidP="00000000" w:rsidRDefault="00000000" w:rsidRPr="00000000" w14:paraId="00000081">
      <w:pPr>
        <w:spacing w:before="138" w:line="278.00000000000006" w:lineRule="auto"/>
        <w:ind w:right="214"/>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su vez, el sub-punto 6.1.9. </w:t>
      </w:r>
      <w:r w:rsidDel="00000000" w:rsidR="00000000" w:rsidRPr="00000000">
        <w:rPr>
          <w:rFonts w:ascii="Arial Narrow" w:cs="Arial Narrow" w:eastAsia="Arial Narrow" w:hAnsi="Arial Narrow"/>
          <w:b w:val="1"/>
          <w:sz w:val="24"/>
          <w:szCs w:val="24"/>
          <w:rtl w:val="0"/>
        </w:rPr>
        <w:t xml:space="preserve">(Prioridades para la implementación normativa)</w:t>
      </w:r>
      <w:r w:rsidDel="00000000" w:rsidR="00000000" w:rsidRPr="00000000">
        <w:rPr>
          <w:rFonts w:ascii="Arial Narrow" w:cs="Arial Narrow" w:eastAsia="Arial Narrow" w:hAnsi="Arial Narrow"/>
          <w:sz w:val="24"/>
          <w:szCs w:val="24"/>
          <w:rtl w:val="0"/>
        </w:rPr>
        <w:t xml:space="preserve">, supone garantizar lo siguiente:</w:t>
      </w:r>
    </w:p>
    <w:p w:rsidR="00000000" w:rsidDel="00000000" w:rsidP="00000000" w:rsidRDefault="00000000" w:rsidRPr="00000000" w14:paraId="00000082">
      <w:pPr>
        <w:spacing w:line="276" w:lineRule="auto"/>
        <w:ind w:left="748" w:right="1098" w:firstLine="0"/>
        <w:jc w:val="both"/>
        <w:rPr>
          <w:rFonts w:ascii="Arial Narrow" w:cs="Arial Narrow" w:eastAsia="Arial Narrow" w:hAnsi="Arial Narrow"/>
          <w:i w:val="1"/>
          <w:sz w:val="24"/>
          <w:szCs w:val="24"/>
        </w:rPr>
        <w:sectPr>
          <w:type w:val="nextPage"/>
          <w:pgSz w:h="15840" w:w="12240" w:orient="portrait"/>
          <w:pgMar w:bottom="1360" w:top="1880" w:left="1520" w:right="1500" w:header="708" w:footer="1166"/>
        </w:sectPr>
      </w:pPr>
      <w:r w:rsidDel="00000000" w:rsidR="00000000" w:rsidRPr="00000000">
        <w:rPr>
          <w:rFonts w:ascii="Arial Narrow" w:cs="Arial Narrow" w:eastAsia="Arial Narrow" w:hAnsi="Arial Narrow"/>
          <w:i w:val="1"/>
          <w:sz w:val="24"/>
          <w:szCs w:val="24"/>
          <w:rtl w:val="0"/>
        </w:rPr>
        <w:t xml:space="preserve">“El Acuerdo Final se incorporará conforme a las normas constitucionales. De forma prioritaria y urgente se tramitarán los siguientes proyectos normativos conforme al procedimiento establecido en el Acto Legislativo 1 de 2016 o mediante otro Acto legislativo en caso de que el anterior procedimiento no estuviera vigente: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 w:line="259" w:lineRule="auto"/>
        <w:ind w:left="0" w:right="0" w:firstLine="0"/>
        <w:jc w:val="left"/>
        <w:rPr>
          <w:rFonts w:ascii="Arial Narrow" w:cs="Arial Narrow" w:eastAsia="Arial Narrow" w:hAnsi="Arial Narrow"/>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spacing w:line="276" w:lineRule="auto"/>
        <w:ind w:left="748" w:right="1097" w:firstLine="0"/>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“Ley de tratamiento penal diferenciado para delitos relacionados con los cultivos de uso ilícito, cuando los condenados o procesados sean campesinos no pertenecientes a organizaciones criminales,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0" w:line="259"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Así mismo, el artículo 5 transitorio del Acto Legislativo 01 de 2017, señaló lo siguiente:</w:t>
      </w:r>
    </w:p>
    <w:p w:rsidR="00000000" w:rsidDel="00000000" w:rsidP="00000000" w:rsidRDefault="00000000" w:rsidRPr="00000000" w14:paraId="00000088">
      <w:pPr>
        <w:spacing w:before="177" w:line="276" w:lineRule="auto"/>
        <w:ind w:left="748" w:right="1099" w:firstLine="0"/>
        <w:jc w:val="both"/>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 La ley reglamentará el tratamiento penal diferenciado a que se refiere el numeral 4.1.3.4. del Acuerdo Final en lo relativo a la erradicación voluntaria de cultivos ilícitos, y determinará, conforme a lo establecido en el Acuerdo Final, en qué casos y bajo qué circunstancias corresponde a la jurisdicción ordinaria la investigación y juzgamiento de los delitos de conservación y financiamiento de plantaciones (artículo 375 del Código Penal), tráfico, fabricación o porte de estupefacientes (artículo 376 del Código Penal) y destinación ilícita de muebles o inmuebles (artículo 377 del Código Penal) cometidos por las personas respecto de quienes la JEP tendría competencia”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9" w:line="276" w:lineRule="auto"/>
        <w:ind w:left="0" w:right="196"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Atendiendo lo anterior, el acto legislativo incorpora a la Constitución Política una nueva renuncia al ejercicio de la acción penal, a la extinción de la acción penal y extinción de la sanción penal, de acuerdo a lo previsto en el punto 4.1.3.4. del Acuerdo Final de la Habana. Dicho punto contempla dos condiciones particulares para el tratamiento penal diferencial: (i). La suscripción de un compromiso de renuncia a cultivar o mantener los cultivos de uso ilícito; y (ii). Acogerse al Programa de Sustitución de Plantaciones de Uso Ilícito que adopte el Gobierno Nacional.</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 desarrollo de lo anterior, la presente ley reglamentará el artículo 5 transitorio del Acto Legislativo 01 de 2017, con el fin de permitir que la renuncia a la acción penal, la extinción de la acción penal y la extinción de la sanción penal prevista en el punto 4.1.3.4. del Acuerdo Final, pueda aplicarse a las expresiones de criminalidad ordinaria enunciadas en dicho acto legislativo relacionada con las plantaciones de cultivos de uso ilícito, que por su influencia y conexión con el conflicto armado interno y la relación con la actividad que el grupo armado al margen de la ley desarrollaba en determinado territorio, se incluyeron en el marco de la política y justicia transicional del Estado.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5" w:firstLine="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38" w:line="276" w:lineRule="auto"/>
        <w:ind w:left="902" w:right="195"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Programa Nacional de Sustitución de Cultivos</w:t>
      </w:r>
    </w:p>
    <w:p w:rsidR="00000000" w:rsidDel="00000000" w:rsidP="00000000" w:rsidRDefault="00000000" w:rsidRPr="00000000" w14:paraId="0000008D">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El Decreto – Ley 896 de 2017 crea el Programa Nacional Integral de Sustitución de Cultivos de Uso Ilícito (PNIS), a cargo de la Dirección para la Sustitución de Cultivos Ilícitos adscrita a la Alta Consejería Presidencial para el Posconflicto del Departamento Administrativo de la Presidencia de la República. La Dirección desarrollará las funciones relacionadas con el Programa en coordinación con las autoridades del orden nacional y territorial, y la participación de las comunidades. El objeto del PNIS es promover la sustitución voluntaria de cultivos de uso ilícito, a través del desarrollo de programas y proyectos para contribuir a la superación de condiciones de pobreza y marginalidad de las familias campesinas que derivan su subsistencia de los cultivos de uso ilícito.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equipo de seguimiento integral a los programas de Desarrollo Alternativo de UNODC realiza el monitoreo y la verificación del PNIS con el objetivo de evidenciar el cumplimiento de los compromisos que las familias cultivadoras asumen y constatar los avances en la ejecución de los componentes acordados entre el Gobierno de Colombia y las comunidades.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proceso de monitoreo y verificación de UNODC comprende cuatro misiones durante toda la implementación del programa. En la primera misión se realiza la caracterización de los cultivos ilícitos a los beneficiarios inscritos como cultivadores (línea base); en la segunda misión se verifica la erradicación voluntaria de los lotes comprometidos; en la tercera misión (seguimiento) se verifica el cumplimiento de los compromisos suscritos en el acuerdo individual y se evidencian los avances en la implementación de los componentes del PAI (Plan de Atención Inmediata) familiar; y en la cuarta misión se obtiene la información para la elaboración de la línea final que permite evaluar los resultados y la efectividad de la intervención.</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Sin embargo, el PNIS ha presentado fallas en su implementación que hacen pertinente tomar medidas tendientes a reformarlo. Según la Fundación Ideas para la Paz: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PNIS debería pasar de un programa enfocado en las familias a ser una plataforma para generar oportunidades en las áreas con presencia de cultivos ilícitos, que logre articular las diferentes acciones del Estado en las zonas donde opera. El Programa no debe continuar operando como una camisa de talla única, sino que debe adaptarse a las condiciones locales.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38" w:line="276" w:lineRule="auto"/>
        <w:ind w:left="902" w:right="195"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La inclusión de los pequeños cultivadores en el marco de la Justicia transicional y de la competencia de la justicia ordinaria para conocer del delito de cultivos ilícitos.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0" w:line="276" w:lineRule="auto"/>
        <w:ind w:left="0" w:right="197"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artículo 66 transitorio de la Constitución Política estableció los instrumentos de justicia transicional que puede implementar el Estado colombiano con la finalidad de “facilitar la terminación del conflicto armado interno y el logro de la paz estable y duradera”, para lo cual el constituyente derivado autoriza la expedición de una ley estatutaria que otorgue un “tratamiento diferenciado para los distintos grupos armados al margen de la ley que hayan sido parte en el conflicto armado interno y también para los agentes del Estado, en relación con su participación en el mismo”.</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0" w:line="276" w:lineRule="auto"/>
        <w:ind w:left="0" w:right="197"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Esta regulación superior, sin embargo, no previó la aplicación de instrumentos de justicia transicional para personas no pertenecientes a los grupos armados al margen de la ley y que tampoco sean agentes del Estado, que hayan podido cometer infracciones a la ley penal como consecuencia del conflicto armado interno o compelidas por la violencia implícita del mismo que los haya conducido a la comisión de actos delictivos.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0" w:line="276" w:lineRule="auto"/>
        <w:ind w:left="0" w:right="197"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 el inciso 4 del artículo transitorio 66, se estableció la figura de la “renuncia condicionada a la persecución judicial penal de todos los casos no seleccionados” por la Fiscalía General de la Nación, figura que tampoco se refiere a personas que no perteneciendo a los grupos armados al margen de la ley hubiesen cometido delitos en el marco del conflicto armado interno.</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0" w:line="276" w:lineRule="auto"/>
        <w:ind w:left="0" w:right="197"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 esta forma, en el diseño constitucional de la política transicional y, en particular, en los instrumentos de justicia transicional que se consagran en la Constitución, quedó un vacío respecto de la situación de los particulares que por virtud del conflicto armado contribuyeron involuntariamente con las fuentes de alimentación o financiación del mismo, o se sometieron a las condiciones que las estructuras ilegales establecían mediante el poder de facto, para garantizar el ejercicio de algunos derechos fundamentales a los habitantes de la regiones que tenían bajo su control.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0" w:line="276" w:lineRule="auto"/>
        <w:ind w:left="0" w:right="197"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 la situación, por ejemplo, de los pequeños cultivadores de coca, cannabis o amapola, que ejercían esta actividad como único medio adecuado de subsistencia en la región en donde operaban los actores ilegales, y no con el fin de alimentar y financiar el conflicto armado.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Así las cosas, el vacío constitucional del artículo 66 transitorio, lo llena el artículo 5 transitorio del Acto Legislativo 01 de 2017, permitiendo que los pequeños cultivadores examinados en el Acuerdo Final para la terminación del conflicto y la consolidación de una Paz estable y duradera, sean favorecidos con mecanismos de justicia transicional para abandonar las actividades ilegales y reincorporarse a la economía lícita del país.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9"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referido artículo 5 transitorio del Acto Legislativo 01 de 2017 advierte la necesidad de diferenciar en qué casos y bajo qué circunstancias corresponde a la jurisdicción ordinaria investigar y juzgar la conducta delictiva cometida por los pequeños cultivadores.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9"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Como se referencia en el enunciado artículo, la Jurisdicción Especial para la Paz conocerá de manera preferente y de forma exclusiva de las conductas delictivas cometidas, por causa, con ocasión o en relación directa o indirecta con el marco del conflicto armado, para los combatientes de los grupos armados al margen de la ley que hayan suscrito con el Gobierno Nacional un Acuerdo de Paz, Agentes del Estado y Terceros no pertenecientes a organizaciones o grupos armados. De acuerdo con la anterior disposición, la Jurisdicción Especial para la Paz tendría competencia para conocer del delito de conservación y financiación de plantaciones cuando es cometido por los sujetos allí definidos y bajo circunstancias especiales, como lo es el ánimo de alimentar o financiar el conflicto armado.</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2" w:line="276" w:lineRule="auto"/>
        <w:ind w:left="0" w:right="196"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Frente a la situación de los pequeños cultivadores que reglamenta la presente ley, es decir, aquellos que cometieron el delito de conservación y financiación de plantaciones como consecuencia del conflicto interno o compelidos por la violencia implícita del mismo o por las condiciones que las estructuras ilegales establecían mediante el poder de facto para garantizar el ejercicio de algunos derechos fundamentales a los habitantes de la regiones que tenían bajo su control o que cultivaban plantaciones de uso ilícito como único medio adecuado de subsistencia en la región en donde operaban los actores ilegales, y que por ende contribuyeron involuntariamente a la financiación y alimentación del conflicto; no tendría competencia la Jurisdicción Especial para Paz</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42" w:line="276" w:lineRule="auto"/>
        <w:ind w:left="0" w:right="196"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Además, no debe perderse de vista que la Jurisdicción especial para la Paz consagra otros elementos que impedirían el ejercicio de su competencia para conocer de la conducta de los pequeños cultivadores, por cuanto no podrían cumplir las siguientes condiciones: (i) la dejación de las armas; (ii) el reconocimiento de responsabilidad; (iii) la contribución al esclarecimiento de la verdad y a la reparación integral de las víctimas; (iv) la liberación de los secuestrados, y (v) la desvinculación de los menores de edad reclutados ilícitamente que se encuentren en poder de los grupos armados al margen de la ley.</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8" w:line="276" w:lineRule="auto"/>
        <w:ind w:left="0" w:right="195"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Así los cosas, la conducta de conservación y financiación de plantaciones de uso ilícito cuando es cometida por el pequeño cultivador que cobija la presente ley, estará sometida a la competencia de la justicia ordinaria en el marco de la renuncia al ejercicio de la acción penal, a la extinción de la acción penal y extinción de la sanción penal incorporada en la Constitución Política a través del artículo 5 del acto legislativo 01 de 2017.</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9" w:line="276" w:lineRule="auto"/>
        <w:ind w:left="0" w:right="193"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 conclusión del presente capítulo, la presente ley, con el fin de garantizar la sostenibilidad del Acuerdo Final en cuanto a la exigencia del punto 4 de lograr una solución al problema de las drogas ilícitas, pretende encontrar una solución al problema de los cultivos ilícitos dentro del marco de una política dirigida a la solución conjunta e integral que atienda las causas y consecuencias de dicho fenómeno y que permita el perfeccionamiento de estrategias que aporten al desarrollo económico y social de las poblaciones afectadas por los cultivos de uso ilícito.</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9" w:line="276" w:lineRule="auto"/>
        <w:ind w:left="0" w:right="193"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9" w:line="276" w:lineRule="auto"/>
        <w:ind w:left="0" w:right="193"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 usted, respetuosamente: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9" w:line="276" w:lineRule="auto"/>
        <w:ind w:left="0" w:right="193"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9" w:line="276" w:lineRule="auto"/>
        <w:ind w:left="0" w:right="193"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spacing w:line="276"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DIÓGENES QUINTERO AMAYA</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Representante a la Cámara</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Catatumbo</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82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14"/>
        <w:gridCol w:w="4414"/>
        <w:tblGridChange w:id="0">
          <w:tblGrid>
            <w:gridCol w:w="4414"/>
            <w:gridCol w:w="4414"/>
          </w:tblGrid>
        </w:tblGridChange>
      </w:tblGrid>
      <w:tr>
        <w:trPr>
          <w:cantSplit w:val="0"/>
          <w:tblHeader w:val="0"/>
        </w:trPr>
        <w:tc>
          <w:tcPr>
            <w:vAlign w:val="bottom"/>
          </w:tcPr>
          <w:p w:rsidR="00000000" w:rsidDel="00000000" w:rsidP="00000000" w:rsidRDefault="00000000" w:rsidRPr="00000000" w14:paraId="000000A9">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A">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B">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C">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AD">
            <w:pPr>
              <w:spacing w:line="276" w:lineRule="auto"/>
              <w:jc w:val="center"/>
              <w:rPr>
                <w:rFonts w:ascii="Arial Narrow" w:cs="Arial Narrow" w:eastAsia="Arial Narrow" w:hAnsi="Arial Narrow"/>
                <w:sz w:val="24"/>
                <w:szCs w:val="24"/>
              </w:rPr>
            </w:pPr>
            <w:r w:rsidDel="00000000" w:rsidR="00000000" w:rsidRPr="00000000">
              <w:rPr>
                <w:rtl w:val="0"/>
              </w:rPr>
            </w:r>
          </w:p>
        </w:tc>
        <w:tc>
          <w:tcPr>
            <w:vAlign w:val="bottom"/>
          </w:tcPr>
          <w:p w:rsidR="00000000" w:rsidDel="00000000" w:rsidP="00000000" w:rsidRDefault="00000000" w:rsidRPr="00000000" w14:paraId="000000AE">
            <w:pPr>
              <w:spacing w:line="276" w:lineRule="auto"/>
              <w:jc w:val="center"/>
              <w:rPr>
                <w:rFonts w:ascii="Arial Narrow" w:cs="Arial Narrow" w:eastAsia="Arial Narrow" w:hAnsi="Arial Narrow"/>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AF">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0">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1">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2">
            <w:pPr>
              <w:spacing w:line="276" w:lineRule="auto"/>
              <w:jc w:val="center"/>
              <w:rPr>
                <w:rFonts w:ascii="Arial Narrow" w:cs="Arial Narrow" w:eastAsia="Arial Narrow" w:hAnsi="Arial Narrow"/>
                <w:sz w:val="24"/>
                <w:szCs w:val="24"/>
              </w:rPr>
            </w:pPr>
            <w:r w:rsidDel="00000000" w:rsidR="00000000" w:rsidRPr="00000000">
              <w:rPr>
                <w:rtl w:val="0"/>
              </w:rPr>
            </w:r>
          </w:p>
        </w:tc>
        <w:tc>
          <w:tcPr>
            <w:vAlign w:val="bottom"/>
          </w:tcPr>
          <w:p w:rsidR="00000000" w:rsidDel="00000000" w:rsidP="00000000" w:rsidRDefault="00000000" w:rsidRPr="00000000" w14:paraId="000000B3">
            <w:pPr>
              <w:spacing w:line="276" w:lineRule="auto"/>
              <w:jc w:val="center"/>
              <w:rPr>
                <w:rFonts w:ascii="Arial Narrow" w:cs="Arial Narrow" w:eastAsia="Arial Narrow" w:hAnsi="Arial Narrow"/>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B4">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5">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6">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7">
            <w:pPr>
              <w:spacing w:line="276" w:lineRule="auto"/>
              <w:jc w:val="center"/>
              <w:rPr>
                <w:rFonts w:ascii="Arial Narrow" w:cs="Arial Narrow" w:eastAsia="Arial Narrow" w:hAnsi="Arial Narrow"/>
                <w:sz w:val="24"/>
                <w:szCs w:val="24"/>
              </w:rPr>
            </w:pPr>
            <w:r w:rsidDel="00000000" w:rsidR="00000000" w:rsidRPr="00000000">
              <w:rPr>
                <w:rtl w:val="0"/>
              </w:rPr>
            </w:r>
          </w:p>
        </w:tc>
        <w:tc>
          <w:tcPr>
            <w:vAlign w:val="bottom"/>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BD">
            <w:pPr>
              <w:spacing w:line="276" w:lineRule="auto"/>
              <w:jc w:val="center"/>
              <w:rPr>
                <w:rFonts w:ascii="Arial Narrow" w:cs="Arial Narrow" w:eastAsia="Arial Narrow" w:hAnsi="Arial Narrow"/>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BE">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BF">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C0">
            <w:pPr>
              <w:spacing w:line="276"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C1">
            <w:pPr>
              <w:spacing w:line="276" w:lineRule="auto"/>
              <w:jc w:val="center"/>
              <w:rPr>
                <w:rFonts w:ascii="Arial Narrow" w:cs="Arial Narrow" w:eastAsia="Arial Narrow" w:hAnsi="Arial Narrow"/>
                <w:sz w:val="24"/>
                <w:szCs w:val="24"/>
              </w:rPr>
            </w:pPr>
            <w:r w:rsidDel="00000000" w:rsidR="00000000" w:rsidRPr="00000000">
              <w:rPr>
                <w:rtl w:val="0"/>
              </w:rPr>
            </w:r>
          </w:p>
        </w:tc>
        <w:tc>
          <w:tcPr>
            <w:vAlign w:val="bottom"/>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CC">
            <w:pPr>
              <w:spacing w:line="276" w:lineRule="auto"/>
              <w:jc w:val="center"/>
              <w:rPr>
                <w:rFonts w:ascii="Arial Narrow" w:cs="Arial Narrow" w:eastAsia="Arial Narrow" w:hAnsi="Arial Narrow"/>
                <w:sz w:val="24"/>
                <w:szCs w:val="24"/>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39" w:line="276" w:lineRule="auto"/>
        <w:ind w:left="0" w:right="193"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Arial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1023930</wp:posOffset>
          </wp:positionH>
          <wp:positionV relativeFrom="paragraph">
            <wp:posOffset>-240029</wp:posOffset>
          </wp:positionV>
          <wp:extent cx="1404000" cy="666000"/>
          <wp:effectExtent b="0" l="0" r="0" t="0"/>
          <wp:wrapNone/>
          <wp:docPr descr="Logotipo&#10;&#10;Descripción generada automáticamente" id="1" name="image1.png"/>
          <a:graphic>
            <a:graphicData uri="http://schemas.openxmlformats.org/drawingml/2006/picture">
              <pic:pic>
                <pic:nvPicPr>
                  <pic:cNvPr descr="Logotipo&#10;&#10;Descripción generada automáticamente" id="0" name="image1.png"/>
                  <pic:cNvPicPr preferRelativeResize="0"/>
                </pic:nvPicPr>
                <pic:blipFill>
                  <a:blip r:embed="rId1"/>
                  <a:srcRect b="26000" l="0" r="0" t="26400"/>
                  <a:stretch>
                    <a:fillRect/>
                  </a:stretch>
                </pic:blipFill>
                <pic:spPr>
                  <a:xfrm>
                    <a:off x="0" y="0"/>
                    <a:ext cx="1404000" cy="666000"/>
                  </a:xfrm>
                  <a:prstGeom prst="rect"/>
                  <a:ln/>
                </pic:spPr>
              </pic:pic>
            </a:graphicData>
          </a:graphic>
        </wp:anchor>
      </w:drawing>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902" w:hanging="360"/>
      </w:pPr>
      <w:rPr/>
    </w:lvl>
    <w:lvl w:ilvl="1">
      <w:start w:val="1"/>
      <w:numFmt w:val="decimal"/>
      <w:lvlText w:val="%1.%2."/>
      <w:lvlJc w:val="left"/>
      <w:pPr>
        <w:ind w:left="182" w:hanging="535"/>
      </w:pPr>
      <w:rPr>
        <w:rFonts w:ascii="Arial" w:cs="Arial" w:eastAsia="Arial" w:hAnsi="Arial"/>
        <w:b w:val="1"/>
        <w:i w:val="0"/>
        <w:sz w:val="22"/>
        <w:szCs w:val="22"/>
      </w:rPr>
    </w:lvl>
    <w:lvl w:ilvl="2">
      <w:start w:val="0"/>
      <w:numFmt w:val="bullet"/>
      <w:lvlText w:val="•"/>
      <w:lvlJc w:val="left"/>
      <w:pPr>
        <w:ind w:left="1824" w:hanging="535"/>
      </w:pPr>
      <w:rPr/>
    </w:lvl>
    <w:lvl w:ilvl="3">
      <w:start w:val="0"/>
      <w:numFmt w:val="bullet"/>
      <w:lvlText w:val="•"/>
      <w:lvlJc w:val="left"/>
      <w:pPr>
        <w:ind w:left="2748" w:hanging="535"/>
      </w:pPr>
      <w:rPr/>
    </w:lvl>
    <w:lvl w:ilvl="4">
      <w:start w:val="0"/>
      <w:numFmt w:val="bullet"/>
      <w:lvlText w:val="•"/>
      <w:lvlJc w:val="left"/>
      <w:pPr>
        <w:ind w:left="3673" w:hanging="535"/>
      </w:pPr>
      <w:rPr/>
    </w:lvl>
    <w:lvl w:ilvl="5">
      <w:start w:val="0"/>
      <w:numFmt w:val="bullet"/>
      <w:lvlText w:val="•"/>
      <w:lvlJc w:val="left"/>
      <w:pPr>
        <w:ind w:left="4597" w:hanging="535"/>
      </w:pPr>
      <w:rPr/>
    </w:lvl>
    <w:lvl w:ilvl="6">
      <w:start w:val="0"/>
      <w:numFmt w:val="bullet"/>
      <w:lvlText w:val="•"/>
      <w:lvlJc w:val="left"/>
      <w:pPr>
        <w:ind w:left="5522" w:hanging="535"/>
      </w:pPr>
      <w:rPr/>
    </w:lvl>
    <w:lvl w:ilvl="7">
      <w:start w:val="0"/>
      <w:numFmt w:val="bullet"/>
      <w:lvlText w:val="•"/>
      <w:lvlJc w:val="left"/>
      <w:pPr>
        <w:ind w:left="6446" w:hanging="535"/>
      </w:pPr>
      <w:rPr/>
    </w:lvl>
    <w:lvl w:ilvl="8">
      <w:start w:val="0"/>
      <w:numFmt w:val="bullet"/>
      <w:lvlText w:val="•"/>
      <w:lvlJc w:val="left"/>
      <w:pPr>
        <w:ind w:left="7371" w:hanging="53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182"/>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