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theme/themeOverride33.xml" ContentType="application/vnd.openxmlformats-officedocument.themeOverride+xml"/>
  <Override PartName="/word/charts/chart34.xml" ContentType="application/vnd.openxmlformats-officedocument.drawingml.chart+xml"/>
  <Override PartName="/word/theme/themeOverride34.xml" ContentType="application/vnd.openxmlformats-officedocument.themeOverride+xml"/>
  <Override PartName="/word/charts/chart35.xml" ContentType="application/vnd.openxmlformats-officedocument.drawingml.chart+xml"/>
  <Override PartName="/word/theme/themeOverride3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254D" w14:textId="77777777" w:rsidR="00655DDF" w:rsidRDefault="00655DDF">
      <w:pPr>
        <w:jc w:val="right"/>
        <w:rPr>
          <w:rFonts w:ascii="Bookman Old Style" w:eastAsia="Bookman Old Style" w:hAnsi="Bookman Old Style" w:cs="Bookman Old Style"/>
          <w:b/>
          <w:sz w:val="22"/>
          <w:szCs w:val="22"/>
        </w:rPr>
      </w:pPr>
    </w:p>
    <w:p w14:paraId="780BFE78" w14:textId="77777777" w:rsidR="00655DDF" w:rsidRDefault="00655DDF">
      <w:pPr>
        <w:jc w:val="right"/>
        <w:rPr>
          <w:rFonts w:ascii="Bookman Old Style" w:eastAsia="Bookman Old Style" w:hAnsi="Bookman Old Style" w:cs="Bookman Old Style"/>
          <w:b/>
          <w:sz w:val="22"/>
          <w:szCs w:val="22"/>
        </w:rPr>
      </w:pPr>
    </w:p>
    <w:p w14:paraId="7F2E3967" w14:textId="77777777" w:rsidR="00655DDF" w:rsidRDefault="00000000">
      <w:pPr>
        <w:jc w:val="right"/>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Bogotá D.C., 20 de julio de 2023</w:t>
      </w:r>
    </w:p>
    <w:p w14:paraId="2B5D0F58" w14:textId="77777777" w:rsidR="00655DDF"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p w14:paraId="2C225E3D" w14:textId="77777777" w:rsidR="00655DDF" w:rsidRDefault="00655DDF">
      <w:pPr>
        <w:rPr>
          <w:rFonts w:ascii="Bookman Old Style" w:eastAsia="Bookman Old Style" w:hAnsi="Bookman Old Style" w:cs="Bookman Old Style"/>
          <w:sz w:val="22"/>
          <w:szCs w:val="22"/>
        </w:rPr>
      </w:pPr>
    </w:p>
    <w:p w14:paraId="3D8617A3" w14:textId="77777777" w:rsidR="00655DDF" w:rsidRDefault="00655DDF">
      <w:pPr>
        <w:rPr>
          <w:rFonts w:ascii="Bookman Old Style" w:eastAsia="Bookman Old Style" w:hAnsi="Bookman Old Style" w:cs="Bookman Old Style"/>
          <w:sz w:val="22"/>
          <w:szCs w:val="22"/>
        </w:rPr>
      </w:pPr>
    </w:p>
    <w:p w14:paraId="5C459B02" w14:textId="77777777" w:rsidR="00655DDF"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Doctor</w:t>
      </w:r>
    </w:p>
    <w:p w14:paraId="755890E9" w14:textId="77777777" w:rsidR="00655DDF"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JAIME LUIS LACOUTURE PEÑALOZA</w:t>
      </w:r>
    </w:p>
    <w:p w14:paraId="61BC3E24" w14:textId="77777777" w:rsidR="00655DDF"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Secretario General</w:t>
      </w:r>
    </w:p>
    <w:p w14:paraId="0DA8E2E4" w14:textId="77777777" w:rsidR="00655DDF"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Cámara de Representantes</w:t>
      </w:r>
    </w:p>
    <w:p w14:paraId="23150951" w14:textId="77777777" w:rsidR="00655DDF"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Ciudad</w:t>
      </w:r>
      <w:r>
        <w:rPr>
          <w:rFonts w:ascii="Bookman Old Style" w:eastAsia="Bookman Old Style" w:hAnsi="Bookman Old Style" w:cs="Bookman Old Style"/>
          <w:b/>
          <w:sz w:val="22"/>
          <w:szCs w:val="22"/>
        </w:rPr>
        <w:t xml:space="preserve"> </w:t>
      </w:r>
    </w:p>
    <w:p w14:paraId="79131CA6" w14:textId="77777777" w:rsidR="00655DDF"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p w14:paraId="6D3EFD4B" w14:textId="77777777" w:rsidR="00655DDF" w:rsidRDefault="00655DDF">
      <w:pPr>
        <w:jc w:val="right"/>
        <w:rPr>
          <w:rFonts w:ascii="Bookman Old Style" w:eastAsia="Bookman Old Style" w:hAnsi="Bookman Old Style" w:cs="Bookman Old Style"/>
          <w:b/>
          <w:sz w:val="22"/>
          <w:szCs w:val="22"/>
        </w:rPr>
      </w:pPr>
    </w:p>
    <w:p w14:paraId="24882327" w14:textId="77777777" w:rsidR="00655DDF" w:rsidRDefault="00655DDF">
      <w:pPr>
        <w:jc w:val="right"/>
        <w:rPr>
          <w:rFonts w:ascii="Bookman Old Style" w:eastAsia="Bookman Old Style" w:hAnsi="Bookman Old Style" w:cs="Bookman Old Style"/>
          <w:b/>
          <w:sz w:val="22"/>
          <w:szCs w:val="22"/>
        </w:rPr>
      </w:pPr>
    </w:p>
    <w:p w14:paraId="15B96138" w14:textId="77777777" w:rsidR="00655DDF" w:rsidRDefault="00000000">
      <w:pPr>
        <w:jc w:val="right"/>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REF: RADICACIÓN PROYECTO DE LEY</w:t>
      </w:r>
    </w:p>
    <w:p w14:paraId="03D350DA" w14:textId="77777777" w:rsidR="00655DDF" w:rsidRDefault="00000000">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p w14:paraId="5CD174D0" w14:textId="77777777" w:rsidR="00655DDF" w:rsidRDefault="00655DDF">
      <w:pPr>
        <w:jc w:val="both"/>
        <w:rPr>
          <w:rFonts w:ascii="Bookman Old Style" w:eastAsia="Bookman Old Style" w:hAnsi="Bookman Old Style" w:cs="Bookman Old Style"/>
          <w:sz w:val="22"/>
          <w:szCs w:val="22"/>
        </w:rPr>
      </w:pPr>
    </w:p>
    <w:p w14:paraId="6A7B438D" w14:textId="77777777" w:rsidR="00655DDF"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 xml:space="preserve">En nuestra condición de miembro del Congreso de la República y en uso del derecho consagrado en el artículo 150 de la Constitución Política de Colombia, por su digno conducto nos permitimos poner a consideración de la Honorable Cámara de Representantes el siguiente proyecto de ley </w:t>
      </w:r>
      <w:r>
        <w:rPr>
          <w:rFonts w:ascii="Bookman Old Style" w:eastAsia="Bookman Old Style" w:hAnsi="Bookman Old Style" w:cs="Bookman Old Style"/>
          <w:i/>
          <w:sz w:val="22"/>
          <w:szCs w:val="22"/>
        </w:rPr>
        <w:t xml:space="preserve">“Por medio de la cual se expiden normas tendientes a la protección, tenencia responsable de los animales domésticos de compañía y se dictan otras disposiciones” </w:t>
      </w:r>
      <w:r>
        <w:rPr>
          <w:rFonts w:ascii="Bookman Old Style" w:eastAsia="Bookman Old Style" w:hAnsi="Bookman Old Style" w:cs="Bookman Old Style"/>
          <w:b/>
          <w:sz w:val="22"/>
          <w:szCs w:val="22"/>
        </w:rPr>
        <w:t>(Animales de compañía)</w:t>
      </w:r>
    </w:p>
    <w:p w14:paraId="15DB58F5" w14:textId="77777777" w:rsidR="00655DDF" w:rsidRDefault="00655DDF">
      <w:pPr>
        <w:jc w:val="both"/>
        <w:rPr>
          <w:rFonts w:ascii="Bookman Old Style" w:eastAsia="Bookman Old Style" w:hAnsi="Bookman Old Style" w:cs="Bookman Old Style"/>
          <w:sz w:val="22"/>
          <w:szCs w:val="22"/>
        </w:rPr>
      </w:pPr>
    </w:p>
    <w:p w14:paraId="1AF07597" w14:textId="3C905C21" w:rsidR="00655DDF" w:rsidRDefault="00655DDF">
      <w:pPr>
        <w:jc w:val="both"/>
        <w:rPr>
          <w:rFonts w:ascii="Bookman Old Style" w:eastAsia="Bookman Old Style" w:hAnsi="Bookman Old Style" w:cs="Bookman Old Style"/>
          <w:sz w:val="22"/>
          <w:szCs w:val="22"/>
        </w:rPr>
      </w:pPr>
    </w:p>
    <w:p w14:paraId="15DBD961" w14:textId="1F216C22"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Cordialmente,</w:t>
      </w:r>
    </w:p>
    <w:p w14:paraId="2E2F2892" w14:textId="77777777" w:rsidR="00655DDF" w:rsidRDefault="00655DDF">
      <w:pPr>
        <w:jc w:val="both"/>
        <w:rPr>
          <w:rFonts w:ascii="Bookman Old Style" w:eastAsia="Bookman Old Style" w:hAnsi="Bookman Old Style" w:cs="Bookman Old Style"/>
          <w:sz w:val="22"/>
          <w:szCs w:val="22"/>
        </w:rPr>
      </w:pPr>
    </w:p>
    <w:p w14:paraId="623423B5" w14:textId="33E65EEF" w:rsidR="00655DDF" w:rsidRDefault="00655DDF">
      <w:pPr>
        <w:jc w:val="both"/>
        <w:rPr>
          <w:rFonts w:ascii="Bookman Old Style" w:eastAsia="Bookman Old Style" w:hAnsi="Bookman Old Style" w:cs="Bookman Old Style"/>
          <w:sz w:val="22"/>
          <w:szCs w:val="22"/>
        </w:rPr>
      </w:pPr>
    </w:p>
    <w:p w14:paraId="054AB937" w14:textId="77777777" w:rsidR="00655DDF" w:rsidRDefault="00655DDF">
      <w:pPr>
        <w:jc w:val="both"/>
        <w:rPr>
          <w:rFonts w:ascii="Bookman Old Style" w:eastAsia="Bookman Old Style" w:hAnsi="Bookman Old Style" w:cs="Bookman Old Style"/>
          <w:sz w:val="22"/>
          <w:szCs w:val="22"/>
        </w:rPr>
      </w:pPr>
    </w:p>
    <w:p w14:paraId="1EB01A05" w14:textId="77777777" w:rsidR="00655DDF" w:rsidRDefault="00655DDF">
      <w:pPr>
        <w:jc w:val="both"/>
        <w:rPr>
          <w:rFonts w:ascii="Bookman Old Style" w:eastAsia="Bookman Old Style" w:hAnsi="Bookman Old Style" w:cs="Bookman Old Style"/>
          <w:sz w:val="22"/>
          <w:szCs w:val="22"/>
        </w:rPr>
      </w:pPr>
    </w:p>
    <w:p w14:paraId="64E2FDA4"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JUAN CARLOS LOZADA VARGAS</w:t>
      </w:r>
    </w:p>
    <w:p w14:paraId="732975E2"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Bogotá</w:t>
      </w:r>
    </w:p>
    <w:p w14:paraId="79D89FBA" w14:textId="252BA6D1" w:rsidR="00655DDF" w:rsidRPr="006B53E3" w:rsidRDefault="00000000" w:rsidP="006B53E3">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Partido Liberal Colombiano</w:t>
      </w:r>
      <w:r>
        <w:br w:type="page"/>
      </w:r>
      <w:r>
        <w:rPr>
          <w:rFonts w:ascii="Bookman Old Style" w:eastAsia="Bookman Old Style" w:hAnsi="Bookman Old Style" w:cs="Bookman Old Style"/>
          <w:b/>
          <w:sz w:val="22"/>
          <w:szCs w:val="22"/>
        </w:rPr>
        <w:lastRenderedPageBreak/>
        <w:t>PROYECTO DE LEY ____ 2023</w:t>
      </w:r>
    </w:p>
    <w:p w14:paraId="0674AE17" w14:textId="77777777" w:rsidR="00655DDF" w:rsidRDefault="00655DDF">
      <w:pPr>
        <w:jc w:val="center"/>
        <w:rPr>
          <w:rFonts w:ascii="Bookman Old Style" w:eastAsia="Bookman Old Style" w:hAnsi="Bookman Old Style" w:cs="Bookman Old Style"/>
          <w:b/>
          <w:sz w:val="22"/>
          <w:szCs w:val="22"/>
          <w:highlight w:val="white"/>
        </w:rPr>
      </w:pPr>
    </w:p>
    <w:p w14:paraId="45476413" w14:textId="77777777" w:rsidR="00655DDF" w:rsidRDefault="00000000">
      <w:pPr>
        <w:jc w:val="center"/>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“Por medio de la cual se expiden normas tendientes a la protección, tenencia responsable de los animales domésticos, domésticos de compañía y se dictan otras disposiciones”</w:t>
      </w:r>
    </w:p>
    <w:p w14:paraId="5ED6FDD3" w14:textId="77777777" w:rsidR="00655DDF" w:rsidRDefault="00655DDF">
      <w:pPr>
        <w:jc w:val="center"/>
        <w:rPr>
          <w:rFonts w:ascii="Bookman Old Style" w:eastAsia="Bookman Old Style" w:hAnsi="Bookman Old Style" w:cs="Bookman Old Style"/>
          <w:b/>
          <w:sz w:val="22"/>
          <w:szCs w:val="22"/>
          <w:highlight w:val="white"/>
        </w:rPr>
      </w:pPr>
    </w:p>
    <w:p w14:paraId="78D46815" w14:textId="77777777" w:rsidR="00655DDF" w:rsidRDefault="00000000">
      <w:pPr>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EL CONGRESO DE COLOMBIA </w:t>
      </w:r>
    </w:p>
    <w:p w14:paraId="07A9E512" w14:textId="77777777" w:rsidR="00655DDF" w:rsidRDefault="00655DDF">
      <w:pPr>
        <w:jc w:val="center"/>
        <w:rPr>
          <w:rFonts w:ascii="Bookman Old Style" w:eastAsia="Bookman Old Style" w:hAnsi="Bookman Old Style" w:cs="Bookman Old Style"/>
          <w:b/>
          <w:color w:val="000000"/>
          <w:sz w:val="22"/>
          <w:szCs w:val="22"/>
        </w:rPr>
      </w:pPr>
    </w:p>
    <w:p w14:paraId="1BC5852F" w14:textId="77777777" w:rsidR="00655DDF" w:rsidRDefault="00000000">
      <w:pPr>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DECRETA:</w:t>
      </w:r>
    </w:p>
    <w:p w14:paraId="039324E9" w14:textId="77777777" w:rsidR="00655DDF" w:rsidRDefault="00655DDF">
      <w:pPr>
        <w:jc w:val="center"/>
        <w:rPr>
          <w:rFonts w:ascii="Bookman Old Style" w:eastAsia="Bookman Old Style" w:hAnsi="Bookman Old Style" w:cs="Bookman Old Style"/>
          <w:b/>
          <w:sz w:val="22"/>
          <w:szCs w:val="22"/>
        </w:rPr>
      </w:pPr>
    </w:p>
    <w:p w14:paraId="3EFBA109" w14:textId="77777777" w:rsidR="00655DDF" w:rsidRDefault="00655DDF">
      <w:pPr>
        <w:rPr>
          <w:rFonts w:ascii="Bookman Old Style" w:eastAsia="Bookman Old Style" w:hAnsi="Bookman Old Style" w:cs="Bookman Old Style"/>
          <w:b/>
          <w:sz w:val="22"/>
          <w:szCs w:val="22"/>
        </w:rPr>
      </w:pPr>
    </w:p>
    <w:p w14:paraId="565DBE6B" w14:textId="77777777" w:rsidR="00655DDF" w:rsidRDefault="00655DDF">
      <w:pPr>
        <w:jc w:val="center"/>
        <w:rPr>
          <w:rFonts w:ascii="Bookman Old Style" w:eastAsia="Bookman Old Style" w:hAnsi="Bookman Old Style" w:cs="Bookman Old Style"/>
          <w:b/>
          <w:sz w:val="22"/>
          <w:szCs w:val="22"/>
        </w:rPr>
      </w:pPr>
    </w:p>
    <w:p w14:paraId="655EFB24" w14:textId="77777777" w:rsidR="00655DDF" w:rsidRDefault="00000000">
      <w:pPr>
        <w:ind w:left="28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w:t>
      </w:r>
    </w:p>
    <w:p w14:paraId="07D57FFB" w14:textId="77777777" w:rsidR="00655DDF" w:rsidRDefault="00000000">
      <w:pPr>
        <w:ind w:left="28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DISPOSICIONES GENERALES</w:t>
      </w:r>
    </w:p>
    <w:p w14:paraId="249B62E1" w14:textId="77777777" w:rsidR="00655DDF" w:rsidRDefault="00655DDF">
      <w:pPr>
        <w:ind w:left="283"/>
        <w:jc w:val="both"/>
        <w:rPr>
          <w:rFonts w:ascii="Bookman Old Style" w:eastAsia="Bookman Old Style" w:hAnsi="Bookman Old Style" w:cs="Bookman Old Style"/>
          <w:b/>
          <w:sz w:val="22"/>
          <w:szCs w:val="22"/>
        </w:rPr>
      </w:pPr>
    </w:p>
    <w:p w14:paraId="782D0908" w14:textId="77777777" w:rsidR="00655DDF" w:rsidRDefault="00655DDF">
      <w:pPr>
        <w:jc w:val="both"/>
        <w:rPr>
          <w:rFonts w:ascii="Bookman Old Style" w:eastAsia="Bookman Old Style" w:hAnsi="Bookman Old Style" w:cs="Bookman Old Style"/>
          <w:b/>
          <w:sz w:val="22"/>
          <w:szCs w:val="22"/>
        </w:rPr>
      </w:pPr>
    </w:p>
    <w:p w14:paraId="72C07A0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w:t>
      </w:r>
      <w:r>
        <w:rPr>
          <w:rFonts w:ascii="Bookman Old Style" w:eastAsia="Bookman Old Style" w:hAnsi="Bookman Old Style" w:cs="Bookman Old Style"/>
          <w:sz w:val="22"/>
          <w:szCs w:val="22"/>
        </w:rPr>
        <w:t> </w:t>
      </w:r>
      <w:r>
        <w:rPr>
          <w:rFonts w:ascii="Bookman Old Style" w:eastAsia="Bookman Old Style" w:hAnsi="Bookman Old Style" w:cs="Bookman Old Style"/>
          <w:b/>
          <w:sz w:val="22"/>
          <w:szCs w:val="22"/>
        </w:rPr>
        <w:t>1º</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b/>
          <w:sz w:val="22"/>
          <w:szCs w:val="22"/>
        </w:rPr>
        <w:t xml:space="preserve">OBJETO. </w:t>
      </w:r>
      <w:r>
        <w:rPr>
          <w:rFonts w:ascii="Bookman Old Style" w:eastAsia="Bookman Old Style" w:hAnsi="Bookman Old Style" w:cs="Bookman Old Style"/>
          <w:sz w:val="22"/>
          <w:szCs w:val="22"/>
        </w:rPr>
        <w:t xml:space="preserve">La presente ley tiene por objeto regular la tenencia de animales domésticos y particularmente de los animales domésticos de compañía, con la finalidad de establecer parámetros de bienestar, tenencia responsable, convivencia y protección. También pretende actualizar el procedimiento administrativo sancionatorio por maltrato animal contemplado en la Ley 84 de 1989 y asignar competencias en materia de protección y bienestar animal. </w:t>
      </w:r>
    </w:p>
    <w:p w14:paraId="5D17588E" w14:textId="77777777" w:rsidR="00655DDF" w:rsidRDefault="00655DDF">
      <w:pPr>
        <w:jc w:val="both"/>
        <w:rPr>
          <w:rFonts w:ascii="Bookman Old Style" w:eastAsia="Bookman Old Style" w:hAnsi="Bookman Old Style" w:cs="Bookman Old Style"/>
          <w:sz w:val="22"/>
          <w:szCs w:val="22"/>
        </w:rPr>
      </w:pPr>
    </w:p>
    <w:p w14:paraId="63AD27F6" w14:textId="77777777" w:rsidR="00655DDF"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ARTÍCULO 2º. DEFINICIONES.</w:t>
      </w:r>
      <w:r>
        <w:rPr>
          <w:rFonts w:ascii="Bookman Old Style" w:eastAsia="Bookman Old Style" w:hAnsi="Bookman Old Style" w:cs="Bookman Old Style"/>
          <w:sz w:val="22"/>
          <w:szCs w:val="22"/>
        </w:rPr>
        <w:t xml:space="preserve"> Para efectos de la adecuada y correcta interpretación de la presente ley, se adoptan las siguientes definiciones:</w:t>
      </w:r>
    </w:p>
    <w:p w14:paraId="04E2E32F" w14:textId="77777777" w:rsidR="00655DDF" w:rsidRDefault="00655DDF">
      <w:pPr>
        <w:jc w:val="both"/>
        <w:rPr>
          <w:rFonts w:ascii="Bookman Old Style" w:eastAsia="Bookman Old Style" w:hAnsi="Bookman Old Style" w:cs="Bookman Old Style"/>
          <w:b/>
          <w:sz w:val="22"/>
          <w:szCs w:val="22"/>
        </w:rPr>
      </w:pPr>
    </w:p>
    <w:p w14:paraId="0F323B3F"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Animales Domésticos</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sz w:val="22"/>
          <w:szCs w:val="22"/>
        </w:rPr>
        <w:t>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14:paraId="1517AA12" w14:textId="77777777" w:rsidR="00655DDF" w:rsidRDefault="00655DDF">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7E42145"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Animales Domésticos de Compañía</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sz w:val="22"/>
          <w:szCs w:val="22"/>
        </w:rPr>
        <w:t>son aquellos que, dentro del contexto de cultura local, han convivido tradicionalmente con los seres humanos y se crían con propósitos específicamente afectivos, sin que prevalezca interés de aprovechamiento físico o económico.</w:t>
      </w:r>
    </w:p>
    <w:p w14:paraId="15DD3EC4" w14:textId="77777777" w:rsidR="00655DDF" w:rsidRDefault="00655DDF">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63BDB1DA"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Animales Ferales</w:t>
      </w:r>
      <w:r>
        <w:rPr>
          <w:rFonts w:ascii="Bookman Old Style" w:eastAsia="Bookman Old Style" w:hAnsi="Bookman Old Style" w:cs="Bookman Old Style"/>
          <w:color w:val="000000"/>
          <w:sz w:val="22"/>
          <w:szCs w:val="22"/>
        </w:rPr>
        <w:t>: Individuos o grupos de individuos de especies de animales domésticos que, como resultado voluntario o involuntario del ser humano, se establecen en el medio natural y se ven forzados a recuperar y fortalecer rasgos comportamentales, e incluso rasgos fenotípicos, de sus ancestros evolutivos con el fin de asegurar su supervivencia.</w:t>
      </w:r>
    </w:p>
    <w:p w14:paraId="7F5CF16D" w14:textId="77777777" w:rsidR="00655DDF" w:rsidRDefault="00655DDF">
      <w:pPr>
        <w:pBdr>
          <w:top w:val="nil"/>
          <w:left w:val="nil"/>
          <w:bottom w:val="nil"/>
          <w:right w:val="nil"/>
          <w:between w:val="nil"/>
        </w:pBdr>
        <w:ind w:left="720"/>
        <w:rPr>
          <w:rFonts w:ascii="Bookman Old Style" w:eastAsia="Bookman Old Style" w:hAnsi="Bookman Old Style" w:cs="Bookman Old Style"/>
          <w:color w:val="000000"/>
          <w:sz w:val="22"/>
          <w:szCs w:val="22"/>
          <w:u w:val="single"/>
        </w:rPr>
      </w:pPr>
    </w:p>
    <w:p w14:paraId="2BA6DEC1"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Atención veterinaria</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sz w:val="22"/>
          <w:szCs w:val="22"/>
        </w:rPr>
        <w:t xml:space="preserve">Provisión de cuidados médicos veterinarios para la prevención, diagnóstico, tratamiento o cura de las enfermedades de los </w:t>
      </w:r>
      <w:r>
        <w:rPr>
          <w:rFonts w:ascii="Bookman Old Style" w:eastAsia="Bookman Old Style" w:hAnsi="Bookman Old Style" w:cs="Bookman Old Style"/>
          <w:sz w:val="22"/>
          <w:szCs w:val="22"/>
        </w:rPr>
        <w:lastRenderedPageBreak/>
        <w:t>animales realizados y/o prescritos por un médico veterinario con matrícula profesional vigente.</w:t>
      </w:r>
    </w:p>
    <w:p w14:paraId="3BBC6B34"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669829B"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Bienestar</w:t>
      </w:r>
      <w:r>
        <w:rPr>
          <w:rFonts w:ascii="Bookman Old Style" w:eastAsia="Bookman Old Style" w:hAnsi="Bookman Old Style" w:cs="Bookman Old Style"/>
          <w:color w:val="000000"/>
          <w:sz w:val="22"/>
          <w:szCs w:val="22"/>
        </w:rPr>
        <w:t>: Estado físico y mental fluctuante de un animal, en relación con las condiciones en las que nace, vive y muere, que le permite expresar formas innatas de comportamiento alejadas de estados desagradables de dolor, miedo o estrés. El bienestar puede ser determinado a través de evidencias científicas.</w:t>
      </w:r>
    </w:p>
    <w:p w14:paraId="58C4508B"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E52D556"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Dolor</w:t>
      </w:r>
      <w:r>
        <w:rPr>
          <w:rFonts w:ascii="Bookman Old Style" w:eastAsia="Bookman Old Style" w:hAnsi="Bookman Old Style" w:cs="Bookman Old Style"/>
          <w:color w:val="000000"/>
          <w:sz w:val="22"/>
          <w:szCs w:val="22"/>
        </w:rPr>
        <w:t>: Designa una experiencia sensorial y emocional desagradable, asociada con daños, potenciales o reales, en los tejidos. Puede desencadenar reacciones de defensa, evasión o angustia y modificar los rasgos de comportamiento de ciertas especies, incluyendo el comportamiento social.</w:t>
      </w:r>
    </w:p>
    <w:p w14:paraId="4ACF3336" w14:textId="77777777" w:rsidR="00655DDF" w:rsidRDefault="00655DDF">
      <w:pPr>
        <w:jc w:val="both"/>
        <w:rPr>
          <w:rFonts w:ascii="Bookman Old Style" w:eastAsia="Bookman Old Style" w:hAnsi="Bookman Old Style" w:cs="Bookman Old Style"/>
          <w:sz w:val="22"/>
          <w:szCs w:val="22"/>
        </w:rPr>
      </w:pPr>
    </w:p>
    <w:p w14:paraId="09EC78E9"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Estrés</w:t>
      </w:r>
      <w:r>
        <w:rPr>
          <w:rFonts w:ascii="Bookman Old Style" w:eastAsia="Bookman Old Style" w:hAnsi="Bookman Old Style" w:cs="Bookman Old Style"/>
          <w:color w:val="000000"/>
          <w:sz w:val="22"/>
          <w:szCs w:val="22"/>
        </w:rPr>
        <w:t>: Conjunto de alteraciones bioquímicas, fisiológicas y conductuales que se producen en un animal como respuesta negativa a cambios en el ambiente o a situaciones que requieren adaptabilidad y que de forma análoga a la angustia y el dolor, su cronicidad podría considerarse como patológica y contraria a la vida.</w:t>
      </w:r>
    </w:p>
    <w:p w14:paraId="4FE73166"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35EFD14"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 xml:space="preserve">Eutanasia: </w:t>
      </w:r>
      <w:r>
        <w:rPr>
          <w:rFonts w:ascii="Bookman Old Style" w:eastAsia="Bookman Old Style" w:hAnsi="Bookman Old Style" w:cs="Bookman Old Style"/>
          <w:color w:val="000000"/>
          <w:sz w:val="22"/>
          <w:szCs w:val="22"/>
        </w:rPr>
        <w:t>alternativa terapéutica o medida sanitaria establecida por un médico veterinario o médico veterinario zootecnista, que consiste en interrumpir la vida de un animal en forma humanitaria, sin ocasionarle dolor ni angustia en el proceso.</w:t>
      </w:r>
    </w:p>
    <w:p w14:paraId="1E1FDF1B" w14:textId="77777777" w:rsidR="00655DDF" w:rsidRDefault="00655DDF">
      <w:pPr>
        <w:jc w:val="both"/>
        <w:rPr>
          <w:rFonts w:ascii="Bookman Old Style" w:eastAsia="Bookman Old Style" w:hAnsi="Bookman Old Style" w:cs="Bookman Old Style"/>
          <w:color w:val="000000"/>
          <w:sz w:val="22"/>
          <w:szCs w:val="22"/>
          <w:u w:val="single"/>
        </w:rPr>
      </w:pPr>
    </w:p>
    <w:p w14:paraId="47BEC56E"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Necesidades vitales</w:t>
      </w:r>
      <w:r>
        <w:rPr>
          <w:rFonts w:ascii="Bookman Old Style" w:eastAsia="Bookman Old Style" w:hAnsi="Bookman Old Style" w:cs="Bookman Old Style"/>
          <w:color w:val="000000"/>
          <w:sz w:val="22"/>
          <w:szCs w:val="22"/>
        </w:rPr>
        <w:t xml:space="preserve">: Condiciones indispensables fisiológicas y comportamentales establecidas por la biología de cada una de las especies animales, que deben ser satisfechas para garantizar su sobrevivencia.  </w:t>
      </w:r>
    </w:p>
    <w:p w14:paraId="7CA8F6C2" w14:textId="77777777" w:rsidR="00655DDF" w:rsidRDefault="00655DDF">
      <w:pPr>
        <w:jc w:val="both"/>
        <w:rPr>
          <w:rFonts w:ascii="Bookman Old Style" w:eastAsia="Bookman Old Style" w:hAnsi="Bookman Old Style" w:cs="Bookman Old Style"/>
          <w:sz w:val="22"/>
          <w:szCs w:val="22"/>
        </w:rPr>
      </w:pPr>
    </w:p>
    <w:p w14:paraId="790F5C98"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Negligencia</w:t>
      </w:r>
      <w:r>
        <w:rPr>
          <w:rFonts w:ascii="Bookman Old Style" w:eastAsia="Bookman Old Style" w:hAnsi="Bookman Old Style" w:cs="Bookman Old Style"/>
          <w:color w:val="000000"/>
          <w:sz w:val="22"/>
          <w:szCs w:val="22"/>
        </w:rPr>
        <w:t>: Descuido o falta de cuidado, impericia u omisión de la persona que tiene el deber de bienestar, cuidado y protección del animal que deriva en daños físicos o emocionales a un animal.</w:t>
      </w:r>
    </w:p>
    <w:p w14:paraId="5D60379E" w14:textId="77777777" w:rsidR="00655DDF" w:rsidRDefault="00655DDF">
      <w:pPr>
        <w:jc w:val="both"/>
        <w:rPr>
          <w:rFonts w:ascii="Bookman Old Style" w:eastAsia="Bookman Old Style" w:hAnsi="Bookman Old Style" w:cs="Bookman Old Style"/>
          <w:sz w:val="22"/>
          <w:szCs w:val="22"/>
        </w:rPr>
      </w:pPr>
    </w:p>
    <w:p w14:paraId="4F4280BD"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551B26B"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Protección</w:t>
      </w:r>
      <w:r>
        <w:rPr>
          <w:rFonts w:ascii="Bookman Old Style" w:eastAsia="Bookman Old Style" w:hAnsi="Bookman Old Style" w:cs="Bookman Old Style"/>
          <w:color w:val="000000"/>
          <w:sz w:val="22"/>
          <w:szCs w:val="22"/>
        </w:rPr>
        <w:t>: Conjunto de acciones tendientes a prevenir, eliminar, mitigar o apaciguar el sufrimiento, maltrato, crueldad, abandono o dolor, causados a los animales, directa o indirectamente, por el ser humano.</w:t>
      </w:r>
    </w:p>
    <w:p w14:paraId="6A3691F4" w14:textId="77777777" w:rsidR="00655DDF" w:rsidRDefault="00655DDF">
      <w:pPr>
        <w:jc w:val="both"/>
        <w:rPr>
          <w:rFonts w:ascii="Bookman Old Style" w:eastAsia="Bookman Old Style" w:hAnsi="Bookman Old Style" w:cs="Bookman Old Style"/>
          <w:color w:val="000000"/>
          <w:sz w:val="22"/>
          <w:szCs w:val="22"/>
          <w:u w:val="single"/>
        </w:rPr>
      </w:pPr>
    </w:p>
    <w:p w14:paraId="4A8A2ABC" w14:textId="77777777" w:rsidR="00655DDF" w:rsidRDefault="00000000">
      <w:pPr>
        <w:numPr>
          <w:ilvl w:val="1"/>
          <w:numId w:val="1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 xml:space="preserve">Vínculo Afectivo </w:t>
      </w:r>
      <w:proofErr w:type="spellStart"/>
      <w:r>
        <w:rPr>
          <w:rFonts w:ascii="Bookman Old Style" w:eastAsia="Bookman Old Style" w:hAnsi="Bookman Old Style" w:cs="Bookman Old Style"/>
          <w:color w:val="000000"/>
          <w:sz w:val="22"/>
          <w:szCs w:val="22"/>
          <w:u w:val="single"/>
        </w:rPr>
        <w:t>Interespecie</w:t>
      </w:r>
      <w:proofErr w:type="spellEnd"/>
      <w:r>
        <w:rPr>
          <w:rFonts w:ascii="Bookman Old Style" w:eastAsia="Bookman Old Style" w:hAnsi="Bookman Old Style" w:cs="Bookman Old Style"/>
          <w:color w:val="000000"/>
          <w:sz w:val="22"/>
          <w:szCs w:val="22"/>
          <w:u w:val="single"/>
        </w:rPr>
        <w:t>:</w:t>
      </w:r>
      <w:r>
        <w:rPr>
          <w:rFonts w:ascii="Bookman Old Style" w:eastAsia="Bookman Old Style" w:hAnsi="Bookman Old Style" w:cs="Bookman Old Style"/>
          <w:color w:val="000000"/>
          <w:sz w:val="22"/>
          <w:szCs w:val="22"/>
        </w:rPr>
        <w:t xml:space="preserve"> Es el vínculo afectivo o emocional, permanente y satisfactorio que surge entre una persona y un animal producto de la convivencia, protección, atención y cuidado mutuo que se manifiesta en comportamientos de seguridad, cariño y confianza. </w:t>
      </w:r>
    </w:p>
    <w:p w14:paraId="31965A1F" w14:textId="77777777" w:rsidR="00655DDF" w:rsidRDefault="00655DDF">
      <w:pPr>
        <w:jc w:val="both"/>
        <w:rPr>
          <w:rFonts w:ascii="Bookman Old Style" w:eastAsia="Bookman Old Style" w:hAnsi="Bookman Old Style" w:cs="Bookman Old Style"/>
          <w:b/>
          <w:sz w:val="22"/>
          <w:szCs w:val="22"/>
        </w:rPr>
      </w:pPr>
    </w:p>
    <w:p w14:paraId="700C1959" w14:textId="77777777" w:rsidR="00655DDF" w:rsidRDefault="00655DDF">
      <w:pPr>
        <w:jc w:val="both"/>
        <w:rPr>
          <w:rFonts w:ascii="Bookman Old Style" w:eastAsia="Bookman Old Style" w:hAnsi="Bookman Old Style" w:cs="Bookman Old Style"/>
          <w:b/>
          <w:sz w:val="22"/>
          <w:szCs w:val="22"/>
        </w:rPr>
      </w:pPr>
    </w:p>
    <w:p w14:paraId="1B354D1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ARTÍCULO 3º. </w:t>
      </w:r>
      <w:r>
        <w:rPr>
          <w:rFonts w:ascii="Bookman Old Style" w:eastAsia="Bookman Old Style" w:hAnsi="Bookman Old Style" w:cs="Bookman Old Style"/>
          <w:sz w:val="22"/>
          <w:szCs w:val="22"/>
        </w:rPr>
        <w:t>Los animales domésticos serán responsabilidad exclusiva de su propietario, quien deberá garantizar su bienestar desde el nacimiento o el momento de su adquisición, hasta el fallecimiento o la enajenación.</w:t>
      </w:r>
    </w:p>
    <w:p w14:paraId="66DC2D05" w14:textId="77777777" w:rsidR="00655DDF" w:rsidRDefault="00655DDF">
      <w:pPr>
        <w:jc w:val="both"/>
        <w:rPr>
          <w:rFonts w:ascii="Bookman Old Style" w:eastAsia="Bookman Old Style" w:hAnsi="Bookman Old Style" w:cs="Bookman Old Style"/>
          <w:sz w:val="22"/>
          <w:szCs w:val="22"/>
        </w:rPr>
      </w:pPr>
    </w:p>
    <w:p w14:paraId="27B810B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el caso de los animales domésticos en situación de calle, las autoridades nacionales y/o locales, según las competencias determinadas en la ley, deberán adoptar las medidas necesarias para garantizar su cuidado y protección hasta su adopción o fallecimiento. </w:t>
      </w:r>
    </w:p>
    <w:p w14:paraId="5B6594D8" w14:textId="77777777" w:rsidR="00655DDF" w:rsidRDefault="00655DDF">
      <w:pPr>
        <w:jc w:val="both"/>
        <w:rPr>
          <w:rFonts w:ascii="Bookman Old Style" w:eastAsia="Bookman Old Style" w:hAnsi="Bookman Old Style" w:cs="Bookman Old Style"/>
          <w:sz w:val="22"/>
          <w:szCs w:val="22"/>
        </w:rPr>
      </w:pPr>
    </w:p>
    <w:p w14:paraId="630BF8E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Cuando se trate de animales abandonados o perdidos, dichas autoridades podrán prestarle refugio y atención transitoria. Una vez ubicado el propietario, el Estado cobrará los gastos de manutención correspondientes, sin perjuicio de la imposición de las sanciones a las que haya lugar por el abandono, cuando así sea el caso. Cuando no sea posible ubicar al propietario, el animal podrá ser entregado en adopción.</w:t>
      </w:r>
    </w:p>
    <w:p w14:paraId="5D59DA30" w14:textId="77777777" w:rsidR="00655DDF" w:rsidRDefault="00655DDF">
      <w:pPr>
        <w:jc w:val="both"/>
        <w:rPr>
          <w:rFonts w:ascii="Bookman Old Style" w:eastAsia="Bookman Old Style" w:hAnsi="Bookman Old Style" w:cs="Bookman Old Style"/>
          <w:sz w:val="22"/>
          <w:szCs w:val="22"/>
        </w:rPr>
      </w:pPr>
    </w:p>
    <w:p w14:paraId="5B145CD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4º. </w:t>
      </w:r>
      <w:r>
        <w:rPr>
          <w:rFonts w:ascii="Bookman Old Style" w:eastAsia="Bookman Old Style" w:hAnsi="Bookman Old Style" w:cs="Bookman Old Style"/>
          <w:sz w:val="22"/>
          <w:szCs w:val="22"/>
        </w:rPr>
        <w:t>Se entenderá como propietario de un animal doméstico toda persona, natural o jurídica que haya adquirido un animal a título gratuito u oneroso, con el fin de convivir con él, criarlo, reproducirlo, comercializarlo, usarlo con fines de trabajo o con fines de producción.</w:t>
      </w:r>
    </w:p>
    <w:p w14:paraId="3739C805" w14:textId="77777777" w:rsidR="00655DDF" w:rsidRDefault="00655DDF">
      <w:pPr>
        <w:jc w:val="both"/>
        <w:rPr>
          <w:rFonts w:ascii="Bookman Old Style" w:eastAsia="Bookman Old Style" w:hAnsi="Bookman Old Style" w:cs="Bookman Old Style"/>
          <w:sz w:val="22"/>
          <w:szCs w:val="22"/>
        </w:rPr>
      </w:pPr>
    </w:p>
    <w:p w14:paraId="3EBB389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el caso de las personas jurídicas, los representantes legales, los socios y los administradores responderán en calidad de propietarios de forma solidaria.</w:t>
      </w:r>
    </w:p>
    <w:p w14:paraId="2F76CB5A" w14:textId="77777777" w:rsidR="00655DDF" w:rsidRDefault="00655DDF">
      <w:pPr>
        <w:jc w:val="both"/>
        <w:rPr>
          <w:rFonts w:ascii="Bookman Old Style" w:eastAsia="Bookman Old Style" w:hAnsi="Bookman Old Style" w:cs="Bookman Old Style"/>
          <w:sz w:val="22"/>
          <w:szCs w:val="22"/>
        </w:rPr>
      </w:pPr>
    </w:p>
    <w:p w14:paraId="7B64150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5º. </w:t>
      </w:r>
      <w:r>
        <w:rPr>
          <w:rFonts w:ascii="Bookman Old Style" w:eastAsia="Bookman Old Style" w:hAnsi="Bookman Old Style" w:cs="Bookman Old Style"/>
          <w:sz w:val="22"/>
          <w:szCs w:val="22"/>
        </w:rPr>
        <w:t>No se reputarán como animales domésticos los animales silvestres, ni siquiera cuando hayan nacido o se hayan criado en cautiverio, ni cuando estén habituados a la presencia o se encuentren bajo cuidado humano.</w:t>
      </w:r>
    </w:p>
    <w:p w14:paraId="4986DB59" w14:textId="77777777" w:rsidR="00655DDF" w:rsidRDefault="00655DDF">
      <w:pPr>
        <w:jc w:val="both"/>
        <w:rPr>
          <w:rFonts w:ascii="Bookman Old Style" w:eastAsia="Bookman Old Style" w:hAnsi="Bookman Old Style" w:cs="Bookman Old Style"/>
          <w:b/>
          <w:sz w:val="22"/>
          <w:szCs w:val="22"/>
        </w:rPr>
      </w:pPr>
    </w:p>
    <w:p w14:paraId="5599B54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6º. </w:t>
      </w:r>
      <w:r>
        <w:rPr>
          <w:rFonts w:ascii="Bookman Old Style" w:eastAsia="Bookman Old Style" w:hAnsi="Bookman Old Style" w:cs="Bookman Old Style"/>
          <w:sz w:val="22"/>
          <w:szCs w:val="22"/>
        </w:rPr>
        <w:t>Son deberes de los propietarios de animales domésticos, entre otros:</w:t>
      </w:r>
    </w:p>
    <w:p w14:paraId="04CC5DBB"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F3488DB"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Mantener el animal en condiciones locativas apropiadas en cuanto a movilidad, luminosidad, aireación, seguridad, aseo e higiene;</w:t>
      </w:r>
    </w:p>
    <w:p w14:paraId="0D72FCB3"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Suministrarle bebida, alimento en cantidad y calidad suficientes, así como medicinas, inmunobiológicos y los cuidados necesarios para asegurar su salud, bienestar y evitarles daño o enfermedad o muerte.</w:t>
      </w:r>
    </w:p>
    <w:p w14:paraId="0F5508EA"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Suministrarle abrigo apropiado contra la intemperie, cuando su especie y las condiciones climáticas así lo requieran.</w:t>
      </w:r>
    </w:p>
    <w:p w14:paraId="4C43C117"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Propiciar momentos y espacios de ejercicio, socialización, recreación y descanso de conformidad con las necesidades de la especie y particulares del animal.</w:t>
      </w:r>
    </w:p>
    <w:p w14:paraId="5E535F27"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Asumir los costos de la manutención del animal durante toda su vida.</w:t>
      </w:r>
    </w:p>
    <w:p w14:paraId="3F76462A"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No dejarlo transitar libremente fuera de su lugar de domicilio, residencia, o lugar de paso sin supervisión.</w:t>
      </w:r>
    </w:p>
    <w:p w14:paraId="376EA1C9"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 Garantizar que le sean practicados los chequeos veterinarios pertinentes y, de existir para la especie, mantener el esquema de desparasitación y vacunación al día. </w:t>
      </w:r>
    </w:p>
    <w:p w14:paraId="2A415E68" w14:textId="77777777" w:rsidR="00655DDF" w:rsidRDefault="00000000">
      <w:pPr>
        <w:numPr>
          <w:ilvl w:val="1"/>
          <w:numId w:val="16"/>
        </w:numPr>
        <w:pBdr>
          <w:top w:val="nil"/>
          <w:left w:val="nil"/>
          <w:bottom w:val="nil"/>
          <w:right w:val="nil"/>
          <w:between w:val="nil"/>
        </w:pBdr>
        <w:ind w:hanging="436"/>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Garantizar la vigilancia del animal que en ningún caso podrá permanecer más de 24 horas solo.</w:t>
      </w:r>
    </w:p>
    <w:p w14:paraId="28CF9313" w14:textId="77777777" w:rsidR="00655DDF" w:rsidRDefault="00655DDF">
      <w:pPr>
        <w:jc w:val="both"/>
        <w:rPr>
          <w:rFonts w:ascii="Bookman Old Style" w:eastAsia="Bookman Old Style" w:hAnsi="Bookman Old Style" w:cs="Bookman Old Style"/>
          <w:b/>
          <w:sz w:val="22"/>
          <w:szCs w:val="22"/>
        </w:rPr>
      </w:pPr>
    </w:p>
    <w:p w14:paraId="3E4A0AD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7º. </w:t>
      </w:r>
      <w:r>
        <w:rPr>
          <w:rFonts w:ascii="Bookman Old Style" w:eastAsia="Bookman Old Style" w:hAnsi="Bookman Old Style" w:cs="Bookman Old Style"/>
          <w:sz w:val="22"/>
          <w:szCs w:val="22"/>
        </w:rPr>
        <w:t>Los propietarios responderán económicamente por el bienestar del animal, así como por las afectaciones que este le pueda causar a terceros o a otros animales.</w:t>
      </w:r>
    </w:p>
    <w:p w14:paraId="398E596F" w14:textId="77777777" w:rsidR="00655DDF" w:rsidRDefault="00655DDF">
      <w:pPr>
        <w:rPr>
          <w:rFonts w:ascii="Bookman Old Style" w:eastAsia="Bookman Old Style" w:hAnsi="Bookman Old Style" w:cs="Bookman Old Style"/>
          <w:b/>
          <w:sz w:val="22"/>
          <w:szCs w:val="22"/>
        </w:rPr>
      </w:pPr>
    </w:p>
    <w:p w14:paraId="2509B8D0"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II</w:t>
      </w:r>
    </w:p>
    <w:p w14:paraId="0103D3F7"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LOS ANIMALES DE COMPAÑÍA</w:t>
      </w:r>
    </w:p>
    <w:p w14:paraId="0AE75A63" w14:textId="77777777" w:rsidR="00655DDF" w:rsidRDefault="00655DDF">
      <w:pPr>
        <w:jc w:val="both"/>
        <w:rPr>
          <w:rFonts w:ascii="Bookman Old Style" w:eastAsia="Bookman Old Style" w:hAnsi="Bookman Old Style" w:cs="Bookman Old Style"/>
          <w:b/>
          <w:sz w:val="22"/>
          <w:szCs w:val="22"/>
        </w:rPr>
      </w:pPr>
    </w:p>
    <w:p w14:paraId="68834F8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8º</w:t>
      </w:r>
      <w:r>
        <w:rPr>
          <w:rFonts w:ascii="Bookman Old Style" w:eastAsia="Bookman Old Style" w:hAnsi="Bookman Old Style" w:cs="Bookman Old Style"/>
          <w:sz w:val="22"/>
          <w:szCs w:val="22"/>
        </w:rPr>
        <w:t>. Solo se entenderán como animales de compañía aquellos que, siendo domésticos, conviven con los seres humanos por fines principalmente afectivos. Estos animales no son usados con fines de trabajar, no son aprovechados económicamente, ni son usados para fines alimenticios. Lo anterior sin perjuicio de acciones ocasionales que puedan estar relacionadas con las actividades enunciadas.</w:t>
      </w:r>
    </w:p>
    <w:p w14:paraId="108E9891" w14:textId="77777777" w:rsidR="00655DDF" w:rsidRDefault="00655DDF">
      <w:pPr>
        <w:jc w:val="both"/>
        <w:rPr>
          <w:rFonts w:ascii="Bookman Old Style" w:eastAsia="Bookman Old Style" w:hAnsi="Bookman Old Style" w:cs="Bookman Old Style"/>
          <w:sz w:val="22"/>
          <w:szCs w:val="22"/>
        </w:rPr>
      </w:pPr>
    </w:p>
    <w:p w14:paraId="497FBC7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9º. </w:t>
      </w:r>
      <w:r>
        <w:rPr>
          <w:rFonts w:ascii="Bookman Old Style" w:eastAsia="Bookman Old Style" w:hAnsi="Bookman Old Style" w:cs="Bookman Old Style"/>
          <w:sz w:val="22"/>
          <w:szCs w:val="22"/>
        </w:rPr>
        <w:t xml:space="preserve">A los animales domésticos de compañía se les garantizará la satisfacción de sus necesidades vitales y que la duración de su vida </w:t>
      </w:r>
      <w:r>
        <w:rPr>
          <w:rFonts w:ascii="Bookman Old Style" w:eastAsia="Bookman Old Style" w:hAnsi="Bookman Old Style" w:cs="Bookman Old Style"/>
          <w:color w:val="000000"/>
          <w:sz w:val="22"/>
          <w:szCs w:val="22"/>
        </w:rPr>
        <w:t>se encuentre determinada únicamente por criterios de bienestar animal o riesgo epidemiológico.</w:t>
      </w:r>
      <w:r>
        <w:rPr>
          <w:rFonts w:ascii="Bookman Old Style" w:eastAsia="Bookman Old Style" w:hAnsi="Bookman Old Style" w:cs="Bookman Old Style"/>
          <w:sz w:val="22"/>
          <w:szCs w:val="22"/>
        </w:rPr>
        <w:t xml:space="preserve"> </w:t>
      </w:r>
    </w:p>
    <w:p w14:paraId="446E914D" w14:textId="77777777" w:rsidR="00655DDF" w:rsidRDefault="00655DDF">
      <w:pPr>
        <w:jc w:val="both"/>
        <w:rPr>
          <w:rFonts w:ascii="Bookman Old Style" w:eastAsia="Bookman Old Style" w:hAnsi="Bookman Old Style" w:cs="Bookman Old Style"/>
          <w:b/>
          <w:sz w:val="22"/>
          <w:szCs w:val="22"/>
        </w:rPr>
      </w:pPr>
    </w:p>
    <w:p w14:paraId="60C90FE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10º.</w:t>
      </w:r>
      <w:r>
        <w:rPr>
          <w:rFonts w:ascii="Bookman Old Style" w:eastAsia="Bookman Old Style" w:hAnsi="Bookman Old Style" w:cs="Bookman Old Style"/>
          <w:sz w:val="22"/>
          <w:szCs w:val="22"/>
        </w:rPr>
        <w:t xml:space="preserve"> El vínculo afectivo entre los animales domésticos de compañía y su propietario será protegido por las autoridades a través de sus decisiones, siempre y cuando pueda ser demostrado. Se procurará en todo caso el mayor bienestar para el animal.</w:t>
      </w:r>
    </w:p>
    <w:p w14:paraId="1C744ECA" w14:textId="77777777" w:rsidR="00655DDF" w:rsidRDefault="00655DDF">
      <w:pPr>
        <w:jc w:val="both"/>
        <w:rPr>
          <w:rFonts w:ascii="Bookman Old Style" w:eastAsia="Bookman Old Style" w:hAnsi="Bookman Old Style" w:cs="Bookman Old Style"/>
          <w:sz w:val="22"/>
          <w:szCs w:val="22"/>
        </w:rPr>
      </w:pPr>
    </w:p>
    <w:p w14:paraId="34FF598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11</w:t>
      </w:r>
      <w:r>
        <w:rPr>
          <w:rFonts w:ascii="Bookman Old Style" w:eastAsia="Bookman Old Style" w:hAnsi="Bookman Old Style" w:cs="Bookman Old Style"/>
          <w:b/>
          <w:sz w:val="22"/>
          <w:szCs w:val="22"/>
          <w:vertAlign w:val="superscript"/>
        </w:rPr>
        <w:t>O</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 xml:space="preserve">En ningún caso se reputarán animales de compañía animales silvestres o exóticos. La tenencia de estos animales está prohibida por la ley, salvo en los casos regulados por las normas ambientales y concordantes respecto a zoocriaderos, zoológicos, santuarios o instituciones similares. </w:t>
      </w:r>
    </w:p>
    <w:p w14:paraId="43194D3B" w14:textId="77777777" w:rsidR="00655DDF" w:rsidRDefault="00655DDF">
      <w:pPr>
        <w:jc w:val="both"/>
        <w:rPr>
          <w:rFonts w:ascii="Bookman Old Style" w:eastAsia="Bookman Old Style" w:hAnsi="Bookman Old Style" w:cs="Bookman Old Style"/>
          <w:sz w:val="22"/>
          <w:szCs w:val="22"/>
        </w:rPr>
      </w:pPr>
    </w:p>
    <w:p w14:paraId="3CB4A01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 Ministerio de Ambiente y Desarrollo Sostenible expedirá, en el marco del desarrollo de la Política Pública de Bienestar Animal, un listado de los animales que, de conformidad con la definición de este Código, serán considerados animales domésticos de compañía en el territorio nacional. </w:t>
      </w:r>
    </w:p>
    <w:p w14:paraId="786E22B0" w14:textId="77777777" w:rsidR="00655DDF" w:rsidRDefault="00655DDF">
      <w:pPr>
        <w:jc w:val="both"/>
        <w:rPr>
          <w:rFonts w:ascii="Bookman Old Style" w:eastAsia="Bookman Old Style" w:hAnsi="Bookman Old Style" w:cs="Bookman Old Style"/>
          <w:sz w:val="22"/>
          <w:szCs w:val="22"/>
        </w:rPr>
      </w:pPr>
    </w:p>
    <w:p w14:paraId="3435AAB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dicho listado deberá contemplarse la tenencia de las especies de animales exóticos que han ingresado al país en calidad de animales domésticos de compañía y deberá expedirse una reglamentación sobre el particular para evitar que se siga desarrollando esta práctica. Esto, con la finalidad de proteger la fauna silvestre nativa y los ecosistemas nativos.</w:t>
      </w:r>
    </w:p>
    <w:p w14:paraId="09E2A378" w14:textId="77777777" w:rsidR="00655DDF" w:rsidRDefault="00655DDF">
      <w:pPr>
        <w:jc w:val="both"/>
        <w:rPr>
          <w:rFonts w:ascii="Bookman Old Style" w:eastAsia="Bookman Old Style" w:hAnsi="Bookman Old Style" w:cs="Bookman Old Style"/>
          <w:sz w:val="22"/>
          <w:szCs w:val="22"/>
        </w:rPr>
      </w:pPr>
    </w:p>
    <w:p w14:paraId="56A5F18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 xml:space="preserve">Este listado deberá actualizarse cada dos años teniendo en cuenta criterios de salud pública, bienestar animal y eventuales afectaciones ecosistémicas. </w:t>
      </w:r>
    </w:p>
    <w:p w14:paraId="372FDE6D" w14:textId="77777777" w:rsidR="00655DDF" w:rsidRDefault="00655DDF">
      <w:pPr>
        <w:jc w:val="both"/>
        <w:rPr>
          <w:rFonts w:ascii="Bookman Old Style" w:eastAsia="Bookman Old Style" w:hAnsi="Bookman Old Style" w:cs="Bookman Old Style"/>
          <w:sz w:val="22"/>
          <w:szCs w:val="22"/>
        </w:rPr>
      </w:pPr>
    </w:p>
    <w:p w14:paraId="4274C44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 desconocimiento del presente artículo dará lugar a las sanciones penales y administrativas a las que haya lugar, de conformidad con la Ley 599 de 2000 y las demás normas aplicables. </w:t>
      </w:r>
    </w:p>
    <w:p w14:paraId="149AB8FA" w14:textId="77777777" w:rsidR="00655DDF" w:rsidRDefault="00655DDF">
      <w:pPr>
        <w:jc w:val="both"/>
        <w:rPr>
          <w:rFonts w:ascii="Bookman Old Style" w:eastAsia="Bookman Old Style" w:hAnsi="Bookman Old Style" w:cs="Bookman Old Style"/>
          <w:sz w:val="22"/>
          <w:szCs w:val="22"/>
        </w:rPr>
      </w:pPr>
    </w:p>
    <w:p w14:paraId="0EB718DA" w14:textId="77777777" w:rsidR="00655DDF" w:rsidRDefault="00655DDF">
      <w:pPr>
        <w:jc w:val="both"/>
        <w:rPr>
          <w:rFonts w:ascii="Bookman Old Style" w:eastAsia="Bookman Old Style" w:hAnsi="Bookman Old Style" w:cs="Bookman Old Style"/>
          <w:b/>
          <w:sz w:val="22"/>
          <w:szCs w:val="22"/>
        </w:rPr>
      </w:pPr>
    </w:p>
    <w:p w14:paraId="2141285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12º. </w:t>
      </w:r>
      <w:r>
        <w:rPr>
          <w:rFonts w:ascii="Bookman Old Style" w:eastAsia="Bookman Old Style" w:hAnsi="Bookman Old Style" w:cs="Bookman Old Style"/>
          <w:sz w:val="22"/>
          <w:szCs w:val="22"/>
        </w:rPr>
        <w:t>Para el caso de las aves de vuelo de ornato y canora,</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el Ministerio de Ambiente y Desarrollo Sostenible dictará, en un término no superior a seis (6) meses contados a partir de la expedición de la presente ley, las normas para la regulación y organización de la cría, reproducción y comercialización de estos animales en su calidad de animales de compañía. También dictará los protocolos sobre tenencia responsable.</w:t>
      </w:r>
    </w:p>
    <w:p w14:paraId="5BB5F7A2" w14:textId="77777777" w:rsidR="00655DDF" w:rsidRDefault="00655DDF">
      <w:pPr>
        <w:jc w:val="both"/>
        <w:rPr>
          <w:rFonts w:ascii="Bookman Old Style" w:eastAsia="Bookman Old Style" w:hAnsi="Bookman Old Style" w:cs="Bookman Old Style"/>
          <w:sz w:val="22"/>
          <w:szCs w:val="22"/>
        </w:rPr>
      </w:pPr>
    </w:p>
    <w:p w14:paraId="6EE9F41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todo caso, la reglamentación deberá contemplar un registro de los propietarios de estas aves con el fin de vigilar y gestionar la tenencia responsable. </w:t>
      </w:r>
    </w:p>
    <w:p w14:paraId="2046FCD1" w14:textId="77777777" w:rsidR="00655DDF" w:rsidRDefault="00655DDF">
      <w:pPr>
        <w:rPr>
          <w:rFonts w:ascii="Bookman Old Style" w:eastAsia="Bookman Old Style" w:hAnsi="Bookman Old Style" w:cs="Bookman Old Style"/>
          <w:b/>
          <w:sz w:val="22"/>
          <w:szCs w:val="22"/>
        </w:rPr>
      </w:pPr>
    </w:p>
    <w:p w14:paraId="5E5D9033" w14:textId="77777777" w:rsidR="00655DDF" w:rsidRDefault="00655DDF">
      <w:pPr>
        <w:rPr>
          <w:rFonts w:ascii="Bookman Old Style" w:eastAsia="Bookman Old Style" w:hAnsi="Bookman Old Style" w:cs="Bookman Old Style"/>
          <w:b/>
          <w:sz w:val="22"/>
          <w:szCs w:val="22"/>
        </w:rPr>
      </w:pPr>
    </w:p>
    <w:p w14:paraId="4671F029" w14:textId="77777777" w:rsidR="00655DDF" w:rsidRDefault="00655DDF">
      <w:pPr>
        <w:jc w:val="center"/>
        <w:rPr>
          <w:rFonts w:ascii="Bookman Old Style" w:eastAsia="Bookman Old Style" w:hAnsi="Bookman Old Style" w:cs="Bookman Old Style"/>
          <w:b/>
          <w:sz w:val="22"/>
          <w:szCs w:val="22"/>
        </w:rPr>
      </w:pPr>
    </w:p>
    <w:p w14:paraId="1C17237F"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V</w:t>
      </w:r>
    </w:p>
    <w:p w14:paraId="3EB9875E"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DE LA REPRODUCCIÓN, CRÍA, COMERCIALIZACIÓN Y TENENCIA </w:t>
      </w:r>
    </w:p>
    <w:p w14:paraId="6E8AFEE2"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ANIMALES DE COMPAÑÍA</w:t>
      </w:r>
    </w:p>
    <w:p w14:paraId="656106DB" w14:textId="77777777" w:rsidR="00655DDF" w:rsidRDefault="00655DDF">
      <w:pPr>
        <w:jc w:val="both"/>
        <w:rPr>
          <w:rFonts w:ascii="Bookman Old Style" w:eastAsia="Bookman Old Style" w:hAnsi="Bookman Old Style" w:cs="Bookman Old Style"/>
          <w:sz w:val="22"/>
          <w:szCs w:val="22"/>
        </w:rPr>
      </w:pPr>
    </w:p>
    <w:p w14:paraId="5650E8D5" w14:textId="77777777" w:rsidR="00655DDF" w:rsidRDefault="00655DDF">
      <w:pPr>
        <w:jc w:val="both"/>
        <w:rPr>
          <w:rFonts w:ascii="Bookman Old Style" w:eastAsia="Bookman Old Style" w:hAnsi="Bookman Old Style" w:cs="Bookman Old Style"/>
          <w:b/>
          <w:sz w:val="22"/>
          <w:szCs w:val="22"/>
        </w:rPr>
      </w:pPr>
    </w:p>
    <w:p w14:paraId="79011515" w14:textId="77777777" w:rsidR="00655DDF" w:rsidRDefault="00000000">
      <w:pPr>
        <w:jc w:val="both"/>
        <w:rPr>
          <w:rFonts w:ascii="Bookman Old Style" w:eastAsia="Bookman Old Style" w:hAnsi="Bookman Old Style" w:cs="Bookman Old Style"/>
          <w:b/>
          <w:strike/>
          <w:sz w:val="22"/>
          <w:szCs w:val="22"/>
          <w:u w:val="single"/>
        </w:rPr>
      </w:pPr>
      <w:r>
        <w:rPr>
          <w:rFonts w:ascii="Bookman Old Style" w:eastAsia="Bookman Old Style" w:hAnsi="Bookman Old Style" w:cs="Bookman Old Style"/>
          <w:b/>
          <w:sz w:val="22"/>
          <w:szCs w:val="22"/>
        </w:rPr>
        <w:t xml:space="preserve">ARTÍCULO 13º. </w:t>
      </w:r>
      <w:r>
        <w:rPr>
          <w:rFonts w:ascii="Bookman Old Style" w:eastAsia="Bookman Old Style" w:hAnsi="Bookman Old Style" w:cs="Bookman Old Style"/>
          <w:sz w:val="22"/>
          <w:szCs w:val="22"/>
        </w:rPr>
        <w:t>Solo se permitirá la reproducción, cría o comercialización de animales de compañía a personas jurídicas debidamente autorizadas para tal fin por parte de la alcaldía, previo concepto favorable de las Juntas Defensoras de Animales. Lo anterior, sin perjuicio de las normas de salubridad, las disposiciones del Plan de Ordenamiento Territorial y demás normas para el funcionamiento de estos establecimientos.</w:t>
      </w:r>
    </w:p>
    <w:p w14:paraId="3992C170" w14:textId="77777777" w:rsidR="00655DDF" w:rsidRDefault="00655DDF">
      <w:pPr>
        <w:jc w:val="both"/>
        <w:rPr>
          <w:rFonts w:ascii="Bookman Old Style" w:eastAsia="Bookman Old Style" w:hAnsi="Bookman Old Style" w:cs="Bookman Old Style"/>
          <w:sz w:val="22"/>
          <w:szCs w:val="22"/>
        </w:rPr>
      </w:pPr>
    </w:p>
    <w:p w14:paraId="4E13B47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ningún caso se permitirá la reproducción, cría o comercialización de animales de compañía por parte de personas naturales o personas jurídicas que no tengan permiso para hacerlo. </w:t>
      </w:r>
    </w:p>
    <w:p w14:paraId="64FE02DA" w14:textId="77777777" w:rsidR="00655DDF" w:rsidRDefault="00655DDF">
      <w:pPr>
        <w:jc w:val="both"/>
        <w:rPr>
          <w:rFonts w:ascii="Bookman Old Style" w:eastAsia="Bookman Old Style" w:hAnsi="Bookman Old Style" w:cs="Bookman Old Style"/>
          <w:sz w:val="22"/>
          <w:szCs w:val="22"/>
        </w:rPr>
      </w:pPr>
    </w:p>
    <w:p w14:paraId="7FC0610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Se prohibirá la reproducción de animales de compañía por parte de los propietarios o tenedores que no cumplan con los requisitos establecidos en el presente capítulo. </w:t>
      </w:r>
    </w:p>
    <w:p w14:paraId="1258133B" w14:textId="77777777" w:rsidR="00655DDF" w:rsidRDefault="00655DDF">
      <w:pPr>
        <w:jc w:val="both"/>
        <w:rPr>
          <w:rFonts w:ascii="Bookman Old Style" w:eastAsia="Bookman Old Style" w:hAnsi="Bookman Old Style" w:cs="Bookman Old Style"/>
          <w:sz w:val="22"/>
          <w:szCs w:val="22"/>
        </w:rPr>
      </w:pPr>
    </w:p>
    <w:p w14:paraId="57E67A4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propietarios deberán mantener a sus animales debidamente esterilizados, a excepción de aquellos animales que, en razón a su edad o por condiciones de salud, no deban ser sometidos a dicho procedimiento por indicación veterinaria.</w:t>
      </w:r>
    </w:p>
    <w:p w14:paraId="3FEEBAD5" w14:textId="77777777" w:rsidR="00655DDF" w:rsidRDefault="00655DDF">
      <w:pPr>
        <w:jc w:val="both"/>
        <w:rPr>
          <w:rFonts w:ascii="Bookman Old Style" w:eastAsia="Bookman Old Style" w:hAnsi="Bookman Old Style" w:cs="Bookman Old Style"/>
          <w:sz w:val="22"/>
          <w:szCs w:val="22"/>
        </w:rPr>
      </w:pPr>
    </w:p>
    <w:p w14:paraId="4482559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1. </w:t>
      </w:r>
      <w:r>
        <w:rPr>
          <w:rFonts w:ascii="Bookman Old Style" w:eastAsia="Bookman Old Style" w:hAnsi="Bookman Old Style" w:cs="Bookman Old Style"/>
          <w:sz w:val="22"/>
          <w:szCs w:val="22"/>
        </w:rPr>
        <w:t xml:space="preserve">Con la entrada en vigencia de la presente Ley queda prohibida la comercialización y aprovechamiento económico de las crías de animales de </w:t>
      </w:r>
      <w:r>
        <w:rPr>
          <w:rFonts w:ascii="Bookman Old Style" w:eastAsia="Bookman Old Style" w:hAnsi="Bookman Old Style" w:cs="Bookman Old Style"/>
          <w:sz w:val="22"/>
          <w:szCs w:val="22"/>
        </w:rPr>
        <w:lastRenderedPageBreak/>
        <w:t xml:space="preserve">compañía por parte de los propietarios que no cumplan con los permisos y requisitos de este capítulo, so pena de incurrir en una sanción. </w:t>
      </w:r>
    </w:p>
    <w:p w14:paraId="571993DC" w14:textId="77777777" w:rsidR="00655DDF" w:rsidRDefault="00655DDF">
      <w:pPr>
        <w:jc w:val="both"/>
        <w:rPr>
          <w:rFonts w:ascii="Bookman Old Style" w:eastAsia="Bookman Old Style" w:hAnsi="Bookman Old Style" w:cs="Bookman Old Style"/>
          <w:sz w:val="22"/>
          <w:szCs w:val="22"/>
        </w:rPr>
      </w:pPr>
    </w:p>
    <w:p w14:paraId="0B4A464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2. </w:t>
      </w:r>
      <w:r>
        <w:rPr>
          <w:rFonts w:ascii="Bookman Old Style" w:eastAsia="Bookman Old Style" w:hAnsi="Bookman Old Style" w:cs="Bookman Old Style"/>
          <w:sz w:val="22"/>
          <w:szCs w:val="22"/>
        </w:rPr>
        <w:t xml:space="preserve">Las personas naturales que reproduzcan, críen o comercialicen con animales, tendrán un término de seis (6) meses, contados a partir de la entrada en vigencia de la presente ley, para constituirse como personas jurídicas y dar cumplimiento a los requisitos de la misma. En caso de incumplimiento los animales podrán ser aprehendidos de forma definitiva y se impondrá una sanción en los términos de la presente Ley.  </w:t>
      </w:r>
    </w:p>
    <w:p w14:paraId="3B75CB3C" w14:textId="77777777" w:rsidR="00655DDF" w:rsidRDefault="00655DDF">
      <w:pPr>
        <w:jc w:val="both"/>
        <w:rPr>
          <w:rFonts w:ascii="Bookman Old Style" w:eastAsia="Bookman Old Style" w:hAnsi="Bookman Old Style" w:cs="Bookman Old Style"/>
          <w:b/>
          <w:sz w:val="22"/>
          <w:szCs w:val="22"/>
        </w:rPr>
      </w:pPr>
    </w:p>
    <w:p w14:paraId="3102894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14º. </w:t>
      </w:r>
      <w:r>
        <w:rPr>
          <w:rFonts w:ascii="Bookman Old Style" w:eastAsia="Bookman Old Style" w:hAnsi="Bookman Old Style" w:cs="Bookman Old Style"/>
          <w:sz w:val="22"/>
          <w:szCs w:val="22"/>
        </w:rPr>
        <w:t xml:space="preserve">Las personas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14:paraId="495A13E8" w14:textId="77777777" w:rsidR="00655DDF" w:rsidRDefault="00655DDF">
      <w:pPr>
        <w:jc w:val="both"/>
        <w:rPr>
          <w:rFonts w:ascii="Bookman Old Style" w:eastAsia="Bookman Old Style" w:hAnsi="Bookman Old Style" w:cs="Bookman Old Style"/>
          <w:sz w:val="22"/>
          <w:szCs w:val="22"/>
        </w:rPr>
      </w:pPr>
    </w:p>
    <w:p w14:paraId="1FBA895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Ministerio de Salud y Protección Social, en un término no superior a seis (6) meses contados a partir de la expedición de la presente Ley,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14:paraId="5232C0B1" w14:textId="77777777" w:rsidR="00655DDF" w:rsidRDefault="00655DDF">
      <w:pPr>
        <w:jc w:val="both"/>
        <w:rPr>
          <w:rFonts w:ascii="Bookman Old Style" w:eastAsia="Bookman Old Style" w:hAnsi="Bookman Old Style" w:cs="Bookman Old Style"/>
          <w:sz w:val="22"/>
          <w:szCs w:val="22"/>
        </w:rPr>
      </w:pPr>
    </w:p>
    <w:p w14:paraId="00171F1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15º. </w:t>
      </w:r>
      <w:r>
        <w:rPr>
          <w:rFonts w:ascii="Bookman Old Style" w:eastAsia="Bookman Old Style" w:hAnsi="Bookman Old Style" w:cs="Bookman Old Style"/>
          <w:sz w:val="22"/>
          <w:szCs w:val="22"/>
        </w:rPr>
        <w:t xml:space="preserve">La persona jurídica que requiera la autorización para la reproducción, cría o comercialización de animales de compañía, 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14:paraId="12109890" w14:textId="77777777" w:rsidR="00655DDF" w:rsidRDefault="00655DDF">
      <w:pPr>
        <w:jc w:val="both"/>
        <w:rPr>
          <w:rFonts w:ascii="Bookman Old Style" w:eastAsia="Bookman Old Style" w:hAnsi="Bookman Old Style" w:cs="Bookman Old Style"/>
          <w:sz w:val="22"/>
          <w:szCs w:val="22"/>
        </w:rPr>
      </w:pPr>
    </w:p>
    <w:p w14:paraId="21B992A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Así mismo, deberán indicarse las razas de los animales que tendrá bajo su cuidado, el plan sanitario, el plan de reproducción, que deberá contener la frecuencia de las montas o inseminaciones, las edades de descanso de los reproductores y los métodos de reproducción a emplear.</w:t>
      </w:r>
    </w:p>
    <w:p w14:paraId="673CA71E" w14:textId="77777777" w:rsidR="00655DDF" w:rsidRDefault="00655DDF">
      <w:pPr>
        <w:jc w:val="both"/>
        <w:rPr>
          <w:rFonts w:ascii="Bookman Old Style" w:eastAsia="Bookman Old Style" w:hAnsi="Bookman Old Style" w:cs="Bookman Old Style"/>
          <w:sz w:val="22"/>
          <w:szCs w:val="22"/>
        </w:rPr>
      </w:pPr>
    </w:p>
    <w:p w14:paraId="1CE4216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También se deberá indicar el mecanismo de trazabilidad, que deberá ser preferiblemente electrónica, de los animales, la forma en la que se llevará el registro de las enajenaciones, fallecimientos, los controles veterinarios y demás actividades que deberán registrarse en ejercicio de la actividad que se pretende desarrollar.</w:t>
      </w:r>
    </w:p>
    <w:p w14:paraId="76E11838" w14:textId="77777777" w:rsidR="00655DDF" w:rsidRDefault="00655DDF">
      <w:pPr>
        <w:jc w:val="both"/>
        <w:rPr>
          <w:rFonts w:ascii="Bookman Old Style" w:eastAsia="Bookman Old Style" w:hAnsi="Bookman Old Style" w:cs="Bookman Old Style"/>
          <w:sz w:val="22"/>
          <w:szCs w:val="22"/>
        </w:rPr>
      </w:pPr>
    </w:p>
    <w:p w14:paraId="346B0CF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Previo a la autorización, la Junta Defensora de Animales, verificará las instalaciones referidas para garantizar que sean adecuadas para cuidar del número de animales señalados en la propuesta.</w:t>
      </w:r>
    </w:p>
    <w:p w14:paraId="09DD1382" w14:textId="77777777" w:rsidR="00655DDF" w:rsidRDefault="00655DDF">
      <w:pPr>
        <w:jc w:val="both"/>
        <w:rPr>
          <w:rFonts w:ascii="Bookman Old Style" w:eastAsia="Bookman Old Style" w:hAnsi="Bookman Old Style" w:cs="Bookman Old Style"/>
          <w:sz w:val="22"/>
          <w:szCs w:val="22"/>
        </w:rPr>
      </w:pPr>
    </w:p>
    <w:p w14:paraId="0142296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 xml:space="preserve">En caso que el espacio no sea apropiado, el Alcalde podrá negar el permiso o modificar la cantidad de animales autorizados. </w:t>
      </w:r>
    </w:p>
    <w:p w14:paraId="623B6A0C" w14:textId="77777777" w:rsidR="00655DDF" w:rsidRDefault="00655DDF">
      <w:pPr>
        <w:jc w:val="both"/>
        <w:rPr>
          <w:rFonts w:ascii="Bookman Old Style" w:eastAsia="Bookman Old Style" w:hAnsi="Bookman Old Style" w:cs="Bookman Old Style"/>
          <w:sz w:val="22"/>
          <w:szCs w:val="22"/>
        </w:rPr>
      </w:pPr>
    </w:p>
    <w:p w14:paraId="1C60447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1. </w:t>
      </w:r>
      <w:r>
        <w:rPr>
          <w:rFonts w:ascii="Bookman Old Style" w:eastAsia="Bookman Old Style" w:hAnsi="Bookman Old Style" w:cs="Bookman Old Style"/>
          <w:sz w:val="22"/>
          <w:szCs w:val="22"/>
        </w:rPr>
        <w:t xml:space="preserve">Cualquier ciudadano podrá presentar denuncia ante la alcaldía cuando se incumplan cualquiera de los requisitos señalados en los artículos anteriores o las condiciones señaladas en la autorización otorgada. </w:t>
      </w:r>
    </w:p>
    <w:p w14:paraId="342EB8E9" w14:textId="77777777" w:rsidR="00655DDF" w:rsidRDefault="00655DDF">
      <w:pPr>
        <w:jc w:val="both"/>
        <w:rPr>
          <w:rFonts w:ascii="Bookman Old Style" w:eastAsia="Bookman Old Style" w:hAnsi="Bookman Old Style" w:cs="Bookman Old Style"/>
          <w:sz w:val="22"/>
          <w:szCs w:val="22"/>
        </w:rPr>
      </w:pPr>
    </w:p>
    <w:p w14:paraId="7F7880E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2. </w:t>
      </w:r>
      <w:r>
        <w:rPr>
          <w:rFonts w:ascii="Bookman Old Style" w:eastAsia="Bookman Old Style" w:hAnsi="Bookman Old Style" w:cs="Bookman Old Style"/>
          <w:sz w:val="22"/>
          <w:szCs w:val="22"/>
        </w:rPr>
        <w:t>En cada municipio o distrito se realizarán semestralmente visitas de oficio, a través de los inspectores de policía, a las instalaciones de las personas jurídicas cuyo objeto sea reproducir, criar o comercializar animales de compañía, con el fin de verificar el cumplimiento de las disposiciones de este capítulo y, en general, de esta Ley. De evidenciarse el incumplimiento, se impondrán las sanciones a las que haya lugar.</w:t>
      </w:r>
    </w:p>
    <w:p w14:paraId="4CF6424F" w14:textId="77777777" w:rsidR="00655DDF" w:rsidRDefault="00655DDF">
      <w:pPr>
        <w:jc w:val="both"/>
        <w:rPr>
          <w:rFonts w:ascii="Bookman Old Style" w:eastAsia="Bookman Old Style" w:hAnsi="Bookman Old Style" w:cs="Bookman Old Style"/>
          <w:sz w:val="22"/>
          <w:szCs w:val="22"/>
        </w:rPr>
      </w:pPr>
    </w:p>
    <w:p w14:paraId="1E5ABE7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16</w:t>
      </w:r>
      <w:r>
        <w:rPr>
          <w:rFonts w:ascii="Bookman Old Style" w:eastAsia="Bookman Old Style" w:hAnsi="Bookman Old Style" w:cs="Bookman Old Style"/>
          <w:b/>
          <w:sz w:val="22"/>
          <w:szCs w:val="22"/>
          <w:vertAlign w:val="superscript"/>
        </w:rPr>
        <w:t>O</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Cuando la persona jurídica que pretenda reproducir, criar o comercializar animales de compañía se encuentre afiliada a una asociación o club dedicado al cuidado de las razas caninas que cuente con personería jurídica y sea reconocida a nivel nacional o en el municipio correspondiente, podrá certificar el cumplimiento de los requisitos a los que se refiere este capítulo ante dicha asociación o club.</w:t>
      </w:r>
    </w:p>
    <w:p w14:paraId="1A49DF68" w14:textId="77777777" w:rsidR="00655DDF" w:rsidRDefault="00655DDF">
      <w:pPr>
        <w:jc w:val="both"/>
        <w:rPr>
          <w:rFonts w:ascii="Bookman Old Style" w:eastAsia="Bookman Old Style" w:hAnsi="Bookman Old Style" w:cs="Bookman Old Style"/>
          <w:sz w:val="22"/>
          <w:szCs w:val="22"/>
        </w:rPr>
      </w:pPr>
    </w:p>
    <w:p w14:paraId="1F0C5C2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ese caso, la asociación o club certificará, a su vez, el cumplimiento de los requisitos por parte de la persona jurídica, ante la alcaldía municipal o distrital correspondiente.</w:t>
      </w:r>
    </w:p>
    <w:p w14:paraId="3837B63B" w14:textId="77777777" w:rsidR="00655DDF" w:rsidRDefault="00655DDF">
      <w:pPr>
        <w:jc w:val="both"/>
        <w:rPr>
          <w:rFonts w:ascii="Bookman Old Style" w:eastAsia="Bookman Old Style" w:hAnsi="Bookman Old Style" w:cs="Bookman Old Style"/>
          <w:sz w:val="22"/>
          <w:szCs w:val="22"/>
        </w:rPr>
      </w:pPr>
    </w:p>
    <w:p w14:paraId="4C56D78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caso de que se demuestre un incumplimiento a las disposiciones de esta ley, podrá existir responsabilidad solidaria entre la persona jurídica que pretenda reproducir, criar o comercializar animales de compañía y el club o asociación que certificó el cumplimiento de los requisitos, omitiendo el incumplimiento de alguno de los mismos.</w:t>
      </w:r>
    </w:p>
    <w:p w14:paraId="3A96B3E0" w14:textId="77777777" w:rsidR="00655DDF" w:rsidRDefault="00655DDF">
      <w:pPr>
        <w:jc w:val="both"/>
        <w:rPr>
          <w:rFonts w:ascii="Bookman Old Style" w:eastAsia="Bookman Old Style" w:hAnsi="Bookman Old Style" w:cs="Bookman Old Style"/>
          <w:b/>
          <w:sz w:val="22"/>
          <w:szCs w:val="22"/>
        </w:rPr>
      </w:pPr>
    </w:p>
    <w:p w14:paraId="427F78C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17º. </w:t>
      </w:r>
      <w:r>
        <w:rPr>
          <w:rFonts w:ascii="Bookman Old Style" w:eastAsia="Bookman Old Style" w:hAnsi="Bookman Old Style" w:cs="Bookman Old Style"/>
          <w:sz w:val="22"/>
          <w:szCs w:val="22"/>
        </w:rPr>
        <w:t>La autorización de reproducción, cría o comercialización de animales de compañía tendrá un costo que será determinado por la alcaldía municipal. En todo caso, los dineros recaudados por este concepto deberán invertirse en el desarrollo de los planes de bienestar animal a cargo de las Juntas Defensoras de Animales o en los Centros de Protección y Bienestar Animal del municipio.</w:t>
      </w:r>
    </w:p>
    <w:p w14:paraId="2F4A6E46" w14:textId="77777777" w:rsidR="00655DDF" w:rsidRDefault="00655DDF">
      <w:pPr>
        <w:jc w:val="both"/>
        <w:rPr>
          <w:rFonts w:ascii="Bookman Old Style" w:eastAsia="Bookman Old Style" w:hAnsi="Bookman Old Style" w:cs="Bookman Old Style"/>
          <w:b/>
          <w:sz w:val="22"/>
          <w:szCs w:val="22"/>
        </w:rPr>
      </w:pPr>
    </w:p>
    <w:p w14:paraId="55753B6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18º. </w:t>
      </w:r>
      <w:r>
        <w:rPr>
          <w:rFonts w:ascii="Bookman Old Style" w:eastAsia="Bookman Old Style" w:hAnsi="Bookman Old Style" w:cs="Bookman Old Style"/>
          <w:sz w:val="22"/>
          <w:szCs w:val="22"/>
        </w:rPr>
        <w:t>Las autorizaciones</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de reproducción, cría o comercialización de animales de compañía serán</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renovadas anualmente por los interesados en seguir desarrollando la actividad, previa certificación del cumplimiento de estas normas y de las demás aplicables para el desarrollo de este tipo de actividades.</w:t>
      </w:r>
    </w:p>
    <w:p w14:paraId="0D76008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p>
    <w:p w14:paraId="02FEB71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19º. </w:t>
      </w:r>
      <w:r>
        <w:rPr>
          <w:rFonts w:ascii="Bookman Old Style" w:eastAsia="Bookman Old Style" w:hAnsi="Bookman Old Style" w:cs="Bookman Old Style"/>
          <w:sz w:val="22"/>
          <w:szCs w:val="22"/>
        </w:rPr>
        <w:t xml:space="preserve">Deberán garantizarse las revisiones veterinarias periódicas a los animales que se encuentren bajo la custodia las personas a las que se refiere el presente capítulo. Estos chequeos deberán realizarse como mínimo de forma </w:t>
      </w:r>
      <w:r>
        <w:rPr>
          <w:rFonts w:ascii="Bookman Old Style" w:eastAsia="Bookman Old Style" w:hAnsi="Bookman Old Style" w:cs="Bookman Old Style"/>
          <w:sz w:val="22"/>
          <w:szCs w:val="22"/>
        </w:rPr>
        <w:lastRenderedPageBreak/>
        <w:t>bimestral y en todos los casos deberá guardarse un registro digital con las conclusiones del profesional veterinario respecto de cada uno de los animales, el cual podrá ser exigido por las autoridades en cualquier momento.</w:t>
      </w:r>
    </w:p>
    <w:p w14:paraId="00C215B2" w14:textId="77777777" w:rsidR="00655DDF" w:rsidRDefault="00655DDF">
      <w:pPr>
        <w:jc w:val="both"/>
        <w:rPr>
          <w:rFonts w:ascii="Bookman Old Style" w:eastAsia="Bookman Old Style" w:hAnsi="Bookman Old Style" w:cs="Bookman Old Style"/>
          <w:b/>
          <w:sz w:val="22"/>
          <w:szCs w:val="22"/>
        </w:rPr>
      </w:pPr>
    </w:p>
    <w:p w14:paraId="30C6ED3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Cuando el animal sea enajenado deberá entregarse con su historia clínica completa, así como con los soportes de vacunación, desparasitación y todo tratamiento veterinario al que haya sido sometido, de lo cual quedará constancia.</w:t>
      </w:r>
    </w:p>
    <w:p w14:paraId="5A870D25" w14:textId="77777777" w:rsidR="00655DDF" w:rsidRDefault="00655DDF">
      <w:pPr>
        <w:jc w:val="both"/>
        <w:rPr>
          <w:rFonts w:ascii="Bookman Old Style" w:eastAsia="Bookman Old Style" w:hAnsi="Bookman Old Style" w:cs="Bookman Old Style"/>
          <w:b/>
          <w:sz w:val="22"/>
          <w:szCs w:val="22"/>
        </w:rPr>
      </w:pPr>
    </w:p>
    <w:p w14:paraId="0A103E0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20º. </w:t>
      </w:r>
      <w:r>
        <w:rPr>
          <w:rFonts w:ascii="Bookman Old Style" w:eastAsia="Bookman Old Style" w:hAnsi="Bookman Old Style" w:cs="Bookman Old Style"/>
          <w:sz w:val="22"/>
          <w:szCs w:val="22"/>
        </w:rPr>
        <w:t xml:space="preserve">La utilización de dispositivos, herramientas, sistemas o implementos destinados a garantizar la monta, inseminación o apareamiento efectivo de los animales deberá tener en cuenta el principio de bienestar animal. </w:t>
      </w:r>
    </w:p>
    <w:p w14:paraId="2C294AFF" w14:textId="77777777" w:rsidR="00655DDF" w:rsidRDefault="00655DDF">
      <w:pPr>
        <w:jc w:val="both"/>
        <w:rPr>
          <w:rFonts w:ascii="Bookman Old Style" w:eastAsia="Bookman Old Style" w:hAnsi="Bookman Old Style" w:cs="Bookman Old Style"/>
          <w:sz w:val="22"/>
          <w:szCs w:val="22"/>
        </w:rPr>
      </w:pPr>
    </w:p>
    <w:p w14:paraId="472EDD0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ningún caso se permitirá el empleo de dispositivos, herramientas, sistemas o implementos que puedan causar lesiones o maltrato a los animales.</w:t>
      </w:r>
    </w:p>
    <w:p w14:paraId="6BE2E8FA" w14:textId="77777777" w:rsidR="00655DDF" w:rsidRDefault="00655DDF">
      <w:pPr>
        <w:jc w:val="both"/>
        <w:rPr>
          <w:rFonts w:ascii="Bookman Old Style" w:eastAsia="Bookman Old Style" w:hAnsi="Bookman Old Style" w:cs="Bookman Old Style"/>
          <w:b/>
          <w:sz w:val="22"/>
          <w:szCs w:val="22"/>
        </w:rPr>
      </w:pPr>
    </w:p>
    <w:p w14:paraId="7B10B3E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Esta disposición será aplicable para los procesos de monta, inseminación o apareamiento de todos los animales domésticos. </w:t>
      </w:r>
    </w:p>
    <w:p w14:paraId="4AD3AE11" w14:textId="77777777" w:rsidR="00655DDF" w:rsidRDefault="00655DDF">
      <w:pPr>
        <w:jc w:val="both"/>
        <w:rPr>
          <w:rFonts w:ascii="Bookman Old Style" w:eastAsia="Bookman Old Style" w:hAnsi="Bookman Old Style" w:cs="Bookman Old Style"/>
          <w:b/>
          <w:sz w:val="22"/>
          <w:szCs w:val="22"/>
        </w:rPr>
      </w:pPr>
    </w:p>
    <w:p w14:paraId="35C99EB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21º. </w:t>
      </w:r>
      <w:r>
        <w:rPr>
          <w:rFonts w:ascii="Bookman Old Style" w:eastAsia="Bookman Old Style" w:hAnsi="Bookman Old Style" w:cs="Bookman Old Style"/>
          <w:sz w:val="22"/>
          <w:szCs w:val="22"/>
        </w:rPr>
        <w:t>Los animales usados para la reproducción no podrán ser explotados abusivamente con la finalidad de obtener un mayor número de camadas o crías. Para este particular, deberán garantizarse chequeos veterinarios periódicos de los que deberá quedar un registro electrónico.</w:t>
      </w:r>
    </w:p>
    <w:p w14:paraId="12DA9279" w14:textId="77777777" w:rsidR="00655DDF" w:rsidRDefault="00655DDF">
      <w:pPr>
        <w:jc w:val="both"/>
        <w:rPr>
          <w:rFonts w:ascii="Bookman Old Style" w:eastAsia="Bookman Old Style" w:hAnsi="Bookman Old Style" w:cs="Bookman Old Style"/>
          <w:sz w:val="22"/>
          <w:szCs w:val="22"/>
        </w:rPr>
      </w:pPr>
    </w:p>
    <w:p w14:paraId="6631E41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estos chequeos se determinará la cantidad de fecundaciones recomendadas para cada espécimen, el periodo en que pueden realizarse, así como el periodo reproductivo del animal. Las recomendaciones, que deberán provenir de un médico veterinario o médico veterinario zootecnista, serán de obligatoria observancia.</w:t>
      </w:r>
    </w:p>
    <w:p w14:paraId="2307AEFB" w14:textId="77777777" w:rsidR="00655DDF" w:rsidRDefault="00655DDF">
      <w:pPr>
        <w:jc w:val="both"/>
        <w:rPr>
          <w:rFonts w:ascii="Bookman Old Style" w:eastAsia="Bookman Old Style" w:hAnsi="Bookman Old Style" w:cs="Bookman Old Style"/>
          <w:sz w:val="22"/>
          <w:szCs w:val="22"/>
        </w:rPr>
      </w:pPr>
    </w:p>
    <w:p w14:paraId="78D0933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w:t>
      </w:r>
      <w:r>
        <w:rPr>
          <w:rFonts w:ascii="Bookman Old Style" w:eastAsia="Bookman Old Style" w:hAnsi="Bookman Old Style" w:cs="Bookman Old Style"/>
          <w:sz w:val="22"/>
          <w:szCs w:val="22"/>
        </w:rPr>
        <w:t xml:space="preserve">Dentro del marco del Sistema Nacional de Protección y Bienestar Animal se expedirá un protocolo relativo al máximo de camadas y a la cantidad de apareamientos que podrá tener una hembra, con el fin de garantizar su bienestar.  El protocolo discriminará cada una de las especies de animales de compañía. Este protocolo deberá expedirse en el término de seis (6) meses contados desde la entrada en vigencia de la presente Ley. </w:t>
      </w:r>
    </w:p>
    <w:p w14:paraId="74ADBD56" w14:textId="77777777" w:rsidR="00655DDF" w:rsidRDefault="00655DDF">
      <w:pPr>
        <w:jc w:val="both"/>
        <w:rPr>
          <w:rFonts w:ascii="Bookman Old Style" w:eastAsia="Bookman Old Style" w:hAnsi="Bookman Old Style" w:cs="Bookman Old Style"/>
          <w:sz w:val="22"/>
          <w:szCs w:val="22"/>
        </w:rPr>
      </w:pPr>
    </w:p>
    <w:p w14:paraId="48458A3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Una vez se cumpla el ciclo reproductivo, las hembras deberán esterilizarse.</w:t>
      </w:r>
    </w:p>
    <w:p w14:paraId="2ED3870B" w14:textId="77777777" w:rsidR="00655DDF" w:rsidRDefault="00655DDF">
      <w:pPr>
        <w:jc w:val="both"/>
        <w:rPr>
          <w:rFonts w:ascii="Bookman Old Style" w:eastAsia="Bookman Old Style" w:hAnsi="Bookman Old Style" w:cs="Bookman Old Style"/>
          <w:b/>
          <w:sz w:val="22"/>
          <w:szCs w:val="22"/>
        </w:rPr>
      </w:pPr>
    </w:p>
    <w:p w14:paraId="03F0738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22º. </w:t>
      </w:r>
      <w:r>
        <w:rPr>
          <w:rFonts w:ascii="Bookman Old Style" w:eastAsia="Bookman Old Style" w:hAnsi="Bookman Old Style" w:cs="Bookman Old Style"/>
          <w:sz w:val="22"/>
          <w:szCs w:val="22"/>
        </w:rPr>
        <w:t xml:space="preserve">Cumplido el periodo máximo de reproducción del animal o cuando por enfermedad, vejez, o recomendación veterinaria no pueda continuarse con el mismo, será responsabilidad de la persona jurídica que la usó para fines reproductivos, a través de sus representantes, hacerse cargo de sus cuidados y bienestar hasta su fallecimiento o eventual enajenación. Para el efecto deberá dar cabal cumplimiento a los deberes que le asisten en calidad de propietario, de conformidad con esta Ley.  </w:t>
      </w:r>
    </w:p>
    <w:p w14:paraId="3A8D0DA3" w14:textId="77777777" w:rsidR="00655DDF" w:rsidRDefault="00655DDF">
      <w:pPr>
        <w:jc w:val="both"/>
        <w:rPr>
          <w:rFonts w:ascii="Bookman Old Style" w:eastAsia="Bookman Old Style" w:hAnsi="Bookman Old Style" w:cs="Bookman Old Style"/>
          <w:sz w:val="22"/>
          <w:szCs w:val="22"/>
        </w:rPr>
      </w:pPr>
    </w:p>
    <w:p w14:paraId="5050E8E6" w14:textId="77777777" w:rsidR="00655DDF"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sz w:val="22"/>
          <w:szCs w:val="22"/>
        </w:rPr>
        <w:lastRenderedPageBreak/>
        <w:t xml:space="preserve">ARTÍCULO 23º. </w:t>
      </w:r>
      <w:r>
        <w:rPr>
          <w:rFonts w:ascii="Bookman Old Style" w:eastAsia="Bookman Old Style" w:hAnsi="Bookman Old Style" w:cs="Bookman Old Style"/>
          <w:sz w:val="22"/>
          <w:szCs w:val="22"/>
        </w:rPr>
        <w:t xml:space="preserve">En ningún caso podrán sacrificarse animales por no cumplir los estándares de la raza, presentar discapacidades, enfermedades o malformaciones genéticas </w:t>
      </w:r>
      <w:r>
        <w:rPr>
          <w:rFonts w:ascii="Bookman Old Style" w:eastAsia="Bookman Old Style" w:hAnsi="Bookman Old Style" w:cs="Bookman Old Style"/>
          <w:color w:val="000000"/>
          <w:sz w:val="22"/>
          <w:szCs w:val="22"/>
        </w:rPr>
        <w:t>o cualquier otro aspecto que no implique de manera específica un compromiso importante sobre su bienestar o un riesgo inminente para la salud pública.</w:t>
      </w:r>
      <w:r>
        <w:rPr>
          <w:rFonts w:ascii="Bookman Old Style" w:eastAsia="Bookman Old Style" w:hAnsi="Bookman Old Style" w:cs="Bookman Old Style"/>
          <w:b/>
          <w:color w:val="000000"/>
          <w:sz w:val="22"/>
          <w:szCs w:val="22"/>
        </w:rPr>
        <w:t xml:space="preserve"> </w:t>
      </w:r>
      <w:r>
        <w:rPr>
          <w:rFonts w:ascii="Bookman Old Style" w:eastAsia="Bookman Old Style" w:hAnsi="Bookman Old Style" w:cs="Bookman Old Style"/>
          <w:sz w:val="22"/>
          <w:szCs w:val="22"/>
        </w:rPr>
        <w:t xml:space="preserve">Tampoco podrá haber sacrificio en razón a que los animales no se puedan reproducir o por haber llegado a la edad de vejez. </w:t>
      </w:r>
    </w:p>
    <w:p w14:paraId="4B03B2B8" w14:textId="77777777" w:rsidR="00655DDF" w:rsidRDefault="00655DDF">
      <w:pPr>
        <w:jc w:val="both"/>
        <w:rPr>
          <w:rFonts w:ascii="Bookman Old Style" w:eastAsia="Bookman Old Style" w:hAnsi="Bookman Old Style" w:cs="Bookman Old Style"/>
          <w:sz w:val="22"/>
          <w:szCs w:val="22"/>
        </w:rPr>
      </w:pPr>
    </w:p>
    <w:p w14:paraId="67EC1DA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persona jurídica o natural propietaria del animal deberá garantizar las necesidades básicas del mismo cuando presente alguna de las situaciones descritas en el inciso anterior, así como el suministro de las ayudas que requiera, mientras permanezcan bajo su cuidado. </w:t>
      </w:r>
    </w:p>
    <w:p w14:paraId="683A5D37" w14:textId="77777777" w:rsidR="00655DDF" w:rsidRDefault="00655DDF">
      <w:pPr>
        <w:jc w:val="both"/>
        <w:rPr>
          <w:rFonts w:ascii="Bookman Old Style" w:eastAsia="Bookman Old Style" w:hAnsi="Bookman Old Style" w:cs="Bookman Old Style"/>
          <w:sz w:val="22"/>
          <w:szCs w:val="22"/>
        </w:rPr>
      </w:pPr>
    </w:p>
    <w:p w14:paraId="2217071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Solo habrá lugar al sacrificio por motivos medico veterinarios y en razón a un dictamen de un médico veterinario o médico veterinario zootecnista previo sobre el tema.</w:t>
      </w:r>
    </w:p>
    <w:p w14:paraId="687887E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Toda eutanasia practicada deberá quedar registrada en la historia clínica junto con el dictamen veterinario que precedió la muerte del animal.</w:t>
      </w:r>
    </w:p>
    <w:p w14:paraId="730179E2" w14:textId="77777777" w:rsidR="00655DDF" w:rsidRDefault="00655DDF">
      <w:pPr>
        <w:jc w:val="both"/>
        <w:rPr>
          <w:rFonts w:ascii="Bookman Old Style" w:eastAsia="Bookman Old Style" w:hAnsi="Bookman Old Style" w:cs="Bookman Old Style"/>
          <w:sz w:val="22"/>
          <w:szCs w:val="22"/>
        </w:rPr>
      </w:pPr>
    </w:p>
    <w:p w14:paraId="1AADC75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Esta disposición será aplicable para todos los sitios de reproducción, cría o comercialización de animales domésticos. </w:t>
      </w:r>
    </w:p>
    <w:p w14:paraId="17C43DC7" w14:textId="77777777" w:rsidR="00655DDF" w:rsidRDefault="00655DDF">
      <w:pPr>
        <w:jc w:val="both"/>
        <w:rPr>
          <w:rFonts w:ascii="Bookman Old Style" w:eastAsia="Bookman Old Style" w:hAnsi="Bookman Old Style" w:cs="Bookman Old Style"/>
          <w:sz w:val="22"/>
          <w:szCs w:val="22"/>
        </w:rPr>
      </w:pPr>
    </w:p>
    <w:p w14:paraId="5E82BC7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24º. </w:t>
      </w:r>
      <w:r>
        <w:rPr>
          <w:rFonts w:ascii="Bookman Old Style" w:eastAsia="Bookman Old Style" w:hAnsi="Bookman Old Style" w:cs="Bookman Old Style"/>
          <w:sz w:val="22"/>
          <w:szCs w:val="22"/>
        </w:rPr>
        <w:t>Cuando se trate de establecimientos de comercio o de cualquier tipo de instalaciones en las que se pretenda comercializar con animales de compañía, estos solo podrán ser exhibidos por cortos periodos de tiempo en instalaciones donde les sea permitido el movimiento, la acomodación, el descanso, la ventilación, protección contra el clima, el suministro de agua y alimento.</w:t>
      </w:r>
    </w:p>
    <w:p w14:paraId="58859592" w14:textId="77777777" w:rsidR="00655DDF" w:rsidRDefault="00655DDF">
      <w:pPr>
        <w:jc w:val="both"/>
        <w:rPr>
          <w:rFonts w:ascii="Bookman Old Style" w:eastAsia="Bookman Old Style" w:hAnsi="Bookman Old Style" w:cs="Bookman Old Style"/>
          <w:sz w:val="22"/>
          <w:szCs w:val="22"/>
        </w:rPr>
      </w:pPr>
    </w:p>
    <w:p w14:paraId="17C7E88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Los establecimientos podrán valerse de herramientas físicas o electrónicas para exponer a los animales que tienen disponibles para la venta y así evitar su exposición física. </w:t>
      </w:r>
    </w:p>
    <w:p w14:paraId="6B30E28D" w14:textId="77777777" w:rsidR="00655DDF" w:rsidRDefault="00655DDF">
      <w:pPr>
        <w:jc w:val="both"/>
        <w:rPr>
          <w:rFonts w:ascii="Bookman Old Style" w:eastAsia="Bookman Old Style" w:hAnsi="Bookman Old Style" w:cs="Bookman Old Style"/>
          <w:sz w:val="22"/>
          <w:szCs w:val="22"/>
        </w:rPr>
      </w:pPr>
    </w:p>
    <w:p w14:paraId="4D70350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25º. </w:t>
      </w:r>
      <w:r>
        <w:rPr>
          <w:rFonts w:ascii="Bookman Old Style" w:eastAsia="Bookman Old Style" w:hAnsi="Bookman Old Style" w:cs="Bookman Old Style"/>
          <w:sz w:val="22"/>
          <w:szCs w:val="22"/>
        </w:rPr>
        <w:t>Queda prohibida la comercialización de animales de compañía en lugares no autorizados de conformidad con lo dispuesto en este Código o en vía o espacio público en todo el territorio nacional.</w:t>
      </w:r>
    </w:p>
    <w:p w14:paraId="64B04143" w14:textId="77777777" w:rsidR="00655DDF" w:rsidRDefault="00655DDF">
      <w:pPr>
        <w:jc w:val="both"/>
        <w:rPr>
          <w:rFonts w:ascii="Bookman Old Style" w:eastAsia="Bookman Old Style" w:hAnsi="Bookman Old Style" w:cs="Bookman Old Style"/>
          <w:sz w:val="22"/>
          <w:szCs w:val="22"/>
        </w:rPr>
      </w:pPr>
    </w:p>
    <w:p w14:paraId="58C485C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Podrán realizarse jornadas de adopción en vía o espacio público y en cualquier establecimiento siempre y cuando se garantice el bienestar de los animales y no exista una contraprestación económica. </w:t>
      </w:r>
    </w:p>
    <w:p w14:paraId="064BEB7F" w14:textId="77777777" w:rsidR="00655DDF" w:rsidRDefault="00655DDF">
      <w:pPr>
        <w:jc w:val="both"/>
        <w:rPr>
          <w:rFonts w:ascii="Bookman Old Style" w:eastAsia="Bookman Old Style" w:hAnsi="Bookman Old Style" w:cs="Bookman Old Style"/>
          <w:sz w:val="22"/>
          <w:szCs w:val="22"/>
        </w:rPr>
      </w:pPr>
    </w:p>
    <w:p w14:paraId="29962B5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el caso de las jornadas de adopción en vía o espacio público, se requerirá autorización de la autoridad competente. </w:t>
      </w:r>
    </w:p>
    <w:p w14:paraId="0108CDDF" w14:textId="77777777" w:rsidR="00655DDF" w:rsidRDefault="00655DDF">
      <w:pPr>
        <w:jc w:val="both"/>
        <w:rPr>
          <w:rFonts w:ascii="Bookman Old Style" w:eastAsia="Bookman Old Style" w:hAnsi="Bookman Old Style" w:cs="Bookman Old Style"/>
          <w:sz w:val="22"/>
          <w:szCs w:val="22"/>
        </w:rPr>
      </w:pPr>
    </w:p>
    <w:p w14:paraId="49CE98C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26º. </w:t>
      </w:r>
      <w:r>
        <w:rPr>
          <w:rFonts w:ascii="Bookman Old Style" w:eastAsia="Bookman Old Style" w:hAnsi="Bookman Old Style" w:cs="Bookman Old Style"/>
          <w:sz w:val="22"/>
          <w:szCs w:val="22"/>
        </w:rPr>
        <w:t>En el caso de los perros y los gatos solo podrán ser comercializados después de los tres (3) meses de vida y deberán entregarse con el microchip de identificación y con el esquema de salud que proceda según la especie.</w:t>
      </w:r>
    </w:p>
    <w:p w14:paraId="15C745E3" w14:textId="77777777" w:rsidR="00655DDF" w:rsidRDefault="00655DDF">
      <w:pPr>
        <w:jc w:val="both"/>
        <w:rPr>
          <w:rFonts w:ascii="Bookman Old Style" w:eastAsia="Bookman Old Style" w:hAnsi="Bookman Old Style" w:cs="Bookman Old Style"/>
          <w:sz w:val="22"/>
          <w:szCs w:val="22"/>
        </w:rPr>
      </w:pPr>
    </w:p>
    <w:p w14:paraId="18D0DAA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Para otras especies de animales de compañía, el Ministerio de Ambiente y Desarrollo Sostenible, en el marco del Sistema Nacional de Protección y Bienestar Animal, deberá determinar los protocolos para garantizar su reproducción y comercialización responsable.</w:t>
      </w:r>
    </w:p>
    <w:p w14:paraId="1F5FF8B4" w14:textId="77777777" w:rsidR="00655DDF" w:rsidRDefault="00655DDF">
      <w:pPr>
        <w:jc w:val="both"/>
        <w:rPr>
          <w:rFonts w:ascii="Bookman Old Style" w:eastAsia="Bookman Old Style" w:hAnsi="Bookman Old Style" w:cs="Bookman Old Style"/>
          <w:sz w:val="22"/>
          <w:szCs w:val="22"/>
        </w:rPr>
      </w:pPr>
    </w:p>
    <w:p w14:paraId="3FD4DD4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1. </w:t>
      </w:r>
      <w:r>
        <w:rPr>
          <w:rFonts w:ascii="Bookman Old Style" w:eastAsia="Bookman Old Style" w:hAnsi="Bookman Old Style" w:cs="Bookman Old Style"/>
          <w:sz w:val="22"/>
          <w:szCs w:val="22"/>
        </w:rPr>
        <w:t>En principio todos los animales que sean comercializados deberán entregarse esterilizados. En el caso de los cachorros que, en razón a su edad y por recomendación veterinaria aún no puedan ser esterilizados o de los animales que no puedan ser sometidos a este procedimiento por cuestiones de salud, previo diagnóstico de un médico veterinario, deberá entregarse la constancia de dicho profesional al momento de la venta</w:t>
      </w:r>
    </w:p>
    <w:p w14:paraId="643A6028" w14:textId="77777777" w:rsidR="00655DDF" w:rsidRDefault="00655DDF">
      <w:pPr>
        <w:jc w:val="both"/>
        <w:rPr>
          <w:rFonts w:ascii="Bookman Old Style" w:eastAsia="Bookman Old Style" w:hAnsi="Bookman Old Style" w:cs="Bookman Old Style"/>
          <w:sz w:val="22"/>
          <w:szCs w:val="22"/>
        </w:rPr>
      </w:pPr>
    </w:p>
    <w:p w14:paraId="2E87DD8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todo caso, los propietarios de animales que no se entreguen esterilizados deberán cumplir con el deber de practicar la cirugía en el momento indicado o, en caso de que no sea posible, deberán abstenerse de reproducir a los animales, so pena de ser sancionados de conformidad con lo previsto en la presente Ley.</w:t>
      </w:r>
    </w:p>
    <w:p w14:paraId="2D4AA60A" w14:textId="77777777" w:rsidR="00655DDF" w:rsidRDefault="00655DDF">
      <w:pPr>
        <w:jc w:val="both"/>
        <w:rPr>
          <w:rFonts w:ascii="Bookman Old Style" w:eastAsia="Bookman Old Style" w:hAnsi="Bookman Old Style" w:cs="Bookman Old Style"/>
          <w:sz w:val="22"/>
          <w:szCs w:val="22"/>
        </w:rPr>
      </w:pPr>
    </w:p>
    <w:p w14:paraId="23D09C3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 2.</w:t>
      </w:r>
      <w:r>
        <w:rPr>
          <w:rFonts w:ascii="Bookman Old Style" w:eastAsia="Bookman Old Style" w:hAnsi="Bookman Old Style" w:cs="Bookman Old Style"/>
          <w:sz w:val="22"/>
          <w:szCs w:val="22"/>
        </w:rPr>
        <w:t xml:space="preserve"> En el caso de los animales que se vendan a personas jurídicas que reproduzcan, críen o comercialicen animales con fines de reproducción, no deberá cumplirse con la obligación de esterilización, pero deberá llevarse un registro de la venta, previa verificación de que el comprador ostente las autorizaciones y licencias a las que hace referencia este capítulo.</w:t>
      </w:r>
    </w:p>
    <w:p w14:paraId="15067208" w14:textId="77777777" w:rsidR="00655DDF" w:rsidRDefault="00655DDF">
      <w:pPr>
        <w:jc w:val="both"/>
        <w:rPr>
          <w:rFonts w:ascii="Bookman Old Style" w:eastAsia="Bookman Old Style" w:hAnsi="Bookman Old Style" w:cs="Bookman Old Style"/>
          <w:sz w:val="22"/>
          <w:szCs w:val="22"/>
        </w:rPr>
      </w:pPr>
    </w:p>
    <w:p w14:paraId="3351544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27º. </w:t>
      </w:r>
      <w:r>
        <w:rPr>
          <w:rFonts w:ascii="Bookman Old Style" w:eastAsia="Bookman Old Style" w:hAnsi="Bookman Old Style" w:cs="Bookman Old Style"/>
          <w:sz w:val="22"/>
          <w:szCs w:val="22"/>
        </w:rPr>
        <w:t xml:space="preserve">Cuando se trate de procesos de adopción, los costos de implantación del microchip, así como los de la esterilización y el esquema de salud estarán a cargo del adoptante, salvo que las partes acuerden algo diferente. </w:t>
      </w:r>
    </w:p>
    <w:p w14:paraId="521B0A8C" w14:textId="77777777" w:rsidR="00655DDF" w:rsidRDefault="00655DDF">
      <w:pPr>
        <w:jc w:val="both"/>
        <w:rPr>
          <w:rFonts w:ascii="Bookman Old Style" w:eastAsia="Bookman Old Style" w:hAnsi="Bookman Old Style" w:cs="Bookman Old Style"/>
          <w:b/>
          <w:sz w:val="22"/>
          <w:szCs w:val="22"/>
        </w:rPr>
      </w:pPr>
    </w:p>
    <w:p w14:paraId="7270862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28º. </w:t>
      </w:r>
      <w:r>
        <w:rPr>
          <w:rFonts w:ascii="Bookman Old Style" w:eastAsia="Bookman Old Style" w:hAnsi="Bookman Old Style" w:cs="Bookman Old Style"/>
          <w:sz w:val="22"/>
          <w:szCs w:val="22"/>
        </w:rPr>
        <w:t>Previo a la enajenación de un animal de compañía, las personas naturales y jurídicas de las que trata este capítulo, así como las fundaciones, asociaciones o entidades protectoras de animales que entreguen animales en adopción, deberán acreditar los siguientes requisitos:</w:t>
      </w:r>
    </w:p>
    <w:p w14:paraId="61D6A80E" w14:textId="77777777" w:rsidR="00655DDF" w:rsidRDefault="00655DDF">
      <w:pPr>
        <w:jc w:val="both"/>
        <w:rPr>
          <w:rFonts w:ascii="Bookman Old Style" w:eastAsia="Bookman Old Style" w:hAnsi="Bookman Old Style" w:cs="Bookman Old Style"/>
          <w:sz w:val="22"/>
          <w:szCs w:val="22"/>
        </w:rPr>
      </w:pPr>
    </w:p>
    <w:p w14:paraId="02FA1BE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28.1. Capacitar a</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 xml:space="preserve">los futuros propietarios en las disposiciones de la presente ley, así como en los requerimientos específicos de la especie y del espécimen adquirido. </w:t>
      </w:r>
    </w:p>
    <w:p w14:paraId="500CEEDE"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B3489D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28.2. Diligenciar un formulario en el que se registrarán los datos del comprador y se evaluará su idoneidad para recibir el animal que pretende adquirir. </w:t>
      </w:r>
    </w:p>
    <w:p w14:paraId="49993A73" w14:textId="77777777" w:rsidR="00655DDF" w:rsidRDefault="00655DDF">
      <w:pPr>
        <w:ind w:left="720"/>
        <w:jc w:val="both"/>
        <w:rPr>
          <w:rFonts w:ascii="Bookman Old Style" w:eastAsia="Bookman Old Style" w:hAnsi="Bookman Old Style" w:cs="Bookman Old Style"/>
          <w:sz w:val="22"/>
          <w:szCs w:val="22"/>
        </w:rPr>
      </w:pPr>
    </w:p>
    <w:p w14:paraId="166427D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Sin el cumplimiento de estos requisitos no se podrá entregar el animal. </w:t>
      </w:r>
    </w:p>
    <w:p w14:paraId="1B5949AF" w14:textId="77777777" w:rsidR="00655DDF" w:rsidRDefault="00655DDF">
      <w:pPr>
        <w:jc w:val="both"/>
        <w:rPr>
          <w:rFonts w:ascii="Bookman Old Style" w:eastAsia="Bookman Old Style" w:hAnsi="Bookman Old Style" w:cs="Bookman Old Style"/>
          <w:sz w:val="22"/>
          <w:szCs w:val="22"/>
        </w:rPr>
      </w:pPr>
    </w:p>
    <w:p w14:paraId="4B6C8B9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 la capacitación y del formulario deberán conservarse evidencias electrónicas que podrán ser exigidas en cualquier momento por las autoridades competentes y, de no existir, habrá lugar a las sanciones correspondientes.</w:t>
      </w:r>
    </w:p>
    <w:p w14:paraId="1E34624C" w14:textId="77777777" w:rsidR="00655DDF" w:rsidRDefault="00655DDF">
      <w:pPr>
        <w:jc w:val="both"/>
        <w:rPr>
          <w:rFonts w:ascii="Bookman Old Style" w:eastAsia="Bookman Old Style" w:hAnsi="Bookman Old Style" w:cs="Bookman Old Style"/>
          <w:sz w:val="22"/>
          <w:szCs w:val="22"/>
        </w:rPr>
      </w:pPr>
    </w:p>
    <w:p w14:paraId="5AABBEC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PARÁGRAFO. </w:t>
      </w:r>
      <w:r>
        <w:rPr>
          <w:rFonts w:ascii="Bookman Old Style" w:eastAsia="Bookman Old Style" w:hAnsi="Bookman Old Style" w:cs="Bookman Old Style"/>
          <w:sz w:val="22"/>
          <w:szCs w:val="22"/>
        </w:rPr>
        <w:t xml:space="preserve">Esta disposición también aplicará para  los centros de protección y bienestar animal y para cualquier persona natural o jurídica que promueva adopciones de animales de compañía.  </w:t>
      </w:r>
    </w:p>
    <w:p w14:paraId="09C37300" w14:textId="77777777" w:rsidR="00655DDF" w:rsidRDefault="00655DDF">
      <w:pPr>
        <w:jc w:val="both"/>
        <w:rPr>
          <w:rFonts w:ascii="Bookman Old Style" w:eastAsia="Bookman Old Style" w:hAnsi="Bookman Old Style" w:cs="Bookman Old Style"/>
          <w:sz w:val="22"/>
          <w:szCs w:val="22"/>
        </w:rPr>
      </w:pPr>
    </w:p>
    <w:p w14:paraId="2A1F872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29º. </w:t>
      </w:r>
      <w:r>
        <w:rPr>
          <w:rFonts w:ascii="Bookman Old Style" w:eastAsia="Bookman Old Style" w:hAnsi="Bookman Old Style" w:cs="Bookman Old Style"/>
          <w:sz w:val="22"/>
          <w:szCs w:val="22"/>
        </w:rPr>
        <w:t>Todas las personas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14:paraId="1690362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p>
    <w:p w14:paraId="3579B03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 Ministerio de Salud y Protección Social regulará lo relativo a este asunto dentro de los seis (6) meses siguientes a la entrada en vigencia de este Código. </w:t>
      </w:r>
    </w:p>
    <w:p w14:paraId="1868E241" w14:textId="77777777" w:rsidR="00655DDF" w:rsidRDefault="00655DDF">
      <w:pPr>
        <w:jc w:val="both"/>
        <w:rPr>
          <w:rFonts w:ascii="Bookman Old Style" w:eastAsia="Bookman Old Style" w:hAnsi="Bookman Old Style" w:cs="Bookman Old Style"/>
          <w:sz w:val="22"/>
          <w:szCs w:val="22"/>
        </w:rPr>
      </w:pPr>
    </w:p>
    <w:p w14:paraId="0ABC8FA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incumplimiento de esta obligación dará lugar a al cierre definitivo del establecimiento y al decomiso de los animales, sin perjuicio de las demás sanciones previstas en esta ley.</w:t>
      </w:r>
    </w:p>
    <w:p w14:paraId="7EE01B23" w14:textId="77777777" w:rsidR="00655DDF" w:rsidRDefault="00655DDF">
      <w:pPr>
        <w:jc w:val="both"/>
        <w:rPr>
          <w:rFonts w:ascii="Bookman Old Style" w:eastAsia="Bookman Old Style" w:hAnsi="Bookman Old Style" w:cs="Bookman Old Style"/>
          <w:b/>
          <w:sz w:val="22"/>
          <w:szCs w:val="22"/>
        </w:rPr>
      </w:pPr>
    </w:p>
    <w:p w14:paraId="767DF84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30º. </w:t>
      </w:r>
      <w:r>
        <w:rPr>
          <w:rFonts w:ascii="Bookman Old Style" w:eastAsia="Bookman Old Style" w:hAnsi="Bookman Old Style" w:cs="Bookman Old Style"/>
          <w:sz w:val="22"/>
          <w:szCs w:val="22"/>
        </w:rPr>
        <w:t>Las personas que desarrollen las actividades a las que hace referencia este capítulo tendrán un término de seis (6) meses, desde la entrada en vigencia de la presente Ley, para dar cumplimiento a estas disposiciones. En lo que respecta a la póliza de la que trata el artículo anterior, este término empezará a contar desde la regulación que realice el Ministerio de Salud y Protección Social sobre la materia.</w:t>
      </w:r>
    </w:p>
    <w:p w14:paraId="59AA076B" w14:textId="77777777" w:rsidR="00655DDF" w:rsidRDefault="00655DDF">
      <w:pPr>
        <w:rPr>
          <w:rFonts w:ascii="Bookman Old Style" w:eastAsia="Bookman Old Style" w:hAnsi="Bookman Old Style" w:cs="Bookman Old Style"/>
          <w:b/>
          <w:sz w:val="22"/>
          <w:szCs w:val="22"/>
        </w:rPr>
      </w:pPr>
    </w:p>
    <w:p w14:paraId="6AEB6F0E" w14:textId="77777777" w:rsidR="00655DDF" w:rsidRDefault="00655DDF">
      <w:pPr>
        <w:ind w:left="283"/>
        <w:jc w:val="center"/>
        <w:rPr>
          <w:rFonts w:ascii="Bookman Old Style" w:eastAsia="Bookman Old Style" w:hAnsi="Bookman Old Style" w:cs="Bookman Old Style"/>
          <w:b/>
          <w:sz w:val="22"/>
          <w:szCs w:val="22"/>
        </w:rPr>
      </w:pPr>
    </w:p>
    <w:p w14:paraId="65106E76"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VII</w:t>
      </w:r>
    </w:p>
    <w:p w14:paraId="426A80CE"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COMPETENCIAS ADMINISTRATIVAS EN MATERIA DE PROTECCIÓN Y BIENESTAR ANIMAL</w:t>
      </w:r>
    </w:p>
    <w:p w14:paraId="0ADC33CF" w14:textId="77777777" w:rsidR="00655DDF" w:rsidRDefault="00655DDF">
      <w:pPr>
        <w:jc w:val="both"/>
        <w:rPr>
          <w:rFonts w:ascii="Bookman Old Style" w:eastAsia="Bookman Old Style" w:hAnsi="Bookman Old Style" w:cs="Bookman Old Style"/>
          <w:b/>
          <w:sz w:val="22"/>
          <w:szCs w:val="22"/>
        </w:rPr>
      </w:pPr>
    </w:p>
    <w:p w14:paraId="3CBC3EED" w14:textId="77777777" w:rsidR="00655DDF" w:rsidRDefault="00655DDF">
      <w:pPr>
        <w:jc w:val="both"/>
        <w:rPr>
          <w:rFonts w:ascii="Bookman Old Style" w:eastAsia="Bookman Old Style" w:hAnsi="Bookman Old Style" w:cs="Bookman Old Style"/>
          <w:b/>
          <w:sz w:val="22"/>
          <w:szCs w:val="22"/>
        </w:rPr>
      </w:pPr>
    </w:p>
    <w:p w14:paraId="1CC6E2D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31º. </w:t>
      </w:r>
      <w:r>
        <w:rPr>
          <w:rFonts w:ascii="Bookman Old Style" w:eastAsia="Bookman Old Style" w:hAnsi="Bookman Old Style" w:cs="Bookman Old Style"/>
          <w:sz w:val="22"/>
          <w:szCs w:val="22"/>
        </w:rPr>
        <w:t>Los gobernadores y alcaldes en virtud de los principios de coordinación, concurrencia y subsidiariedad, serán los encargados de adoptar la política pública de protección y bienestar animal a nivel departamental, municipal o distrital, la cual deberá, acatar los parámetros fijados en la política pública nacional.</w:t>
      </w:r>
    </w:p>
    <w:p w14:paraId="14F821CD" w14:textId="77777777" w:rsidR="00655DDF" w:rsidRDefault="00655DDF">
      <w:pPr>
        <w:jc w:val="both"/>
        <w:rPr>
          <w:rFonts w:ascii="Bookman Old Style" w:eastAsia="Bookman Old Style" w:hAnsi="Bookman Old Style" w:cs="Bookman Old Style"/>
          <w:sz w:val="22"/>
          <w:szCs w:val="22"/>
        </w:rPr>
      </w:pPr>
    </w:p>
    <w:p w14:paraId="0E357FF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32º. </w:t>
      </w:r>
      <w:r>
        <w:rPr>
          <w:rFonts w:ascii="Bookman Old Style" w:eastAsia="Bookman Old Style" w:hAnsi="Bookman Old Style" w:cs="Bookman Old Style"/>
          <w:sz w:val="22"/>
          <w:szCs w:val="22"/>
        </w:rPr>
        <w:t>Los alcaldes son la máxima autoridad administrativa en materia de protección y bienestar animal dentro de su jurisdicción y para ello tendrán las siguientes competencias:</w:t>
      </w:r>
    </w:p>
    <w:p w14:paraId="357A7C3F" w14:textId="77777777" w:rsidR="00655DDF" w:rsidRDefault="00655DDF">
      <w:pPr>
        <w:jc w:val="both"/>
        <w:rPr>
          <w:rFonts w:ascii="Bookman Old Style" w:eastAsia="Bookman Old Style" w:hAnsi="Bookman Old Style" w:cs="Bookman Old Style"/>
          <w:sz w:val="22"/>
          <w:szCs w:val="22"/>
        </w:rPr>
      </w:pPr>
    </w:p>
    <w:p w14:paraId="36FD571A"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Presidir las Juntas Defensoras de Animales a través del secretario del despacho que destinen para tal fin.</w:t>
      </w:r>
    </w:p>
    <w:p w14:paraId="30034E99"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Adoptar la política nacional de protección y bienestar animal, desarrollando las actividades relacionadas de bienestar y protección animal.</w:t>
      </w:r>
    </w:p>
    <w:p w14:paraId="09EB085F"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Reglamentar las actividades relacionadas de bienestar y protección animal.</w:t>
      </w:r>
    </w:p>
    <w:p w14:paraId="18ACCE40"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Implementar un registro digital, municipal o distrital, con la finalidad de mantener un censo de perros y gatos, en su calidad de animales de compañía o en situación de calle.</w:t>
      </w:r>
    </w:p>
    <w:p w14:paraId="38712765"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Otorgar los permisos para el desarrollo de espectáculos con animales, de conformidad con las disposiciones de esta ley.</w:t>
      </w:r>
    </w:p>
    <w:p w14:paraId="680125BB"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Velar por el cumplimiento de las normas de protección y bienestar animal.</w:t>
      </w:r>
    </w:p>
    <w:p w14:paraId="0F11612F"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Conocer y sancionar todos los actos crueles contra los animales y las conductas tipificadas en las leyes de protección y bienestar animal, sin perjuicio de las competencias de las autoridades nacionales frente a asuntos relacionados.</w:t>
      </w:r>
    </w:p>
    <w:p w14:paraId="28CA1148" w14:textId="77777777" w:rsidR="00655DDF" w:rsidRDefault="00000000">
      <w:pPr>
        <w:numPr>
          <w:ilvl w:val="1"/>
          <w:numId w:val="23"/>
        </w:numPr>
        <w:pBdr>
          <w:top w:val="nil"/>
          <w:left w:val="nil"/>
          <w:bottom w:val="nil"/>
          <w:right w:val="nil"/>
          <w:between w:val="nil"/>
        </w:pBdr>
        <w:ind w:left="70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Desarrollar proyectos de inversión destinados al apalancamiento y desarrollo de la política pública de protección y bienestar animal en la presentación del plan de desarrollo.</w:t>
      </w:r>
    </w:p>
    <w:p w14:paraId="6B05BC63" w14:textId="77777777" w:rsidR="00655DDF" w:rsidRDefault="00655DDF">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56191BD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33º. </w:t>
      </w:r>
      <w:r>
        <w:rPr>
          <w:rFonts w:ascii="Bookman Old Style" w:eastAsia="Bookman Old Style" w:hAnsi="Bookman Old Style" w:cs="Bookman Old Style"/>
          <w:sz w:val="22"/>
          <w:szCs w:val="22"/>
        </w:rPr>
        <w:t xml:space="preserve">El registro al que se refiere el numeral 32.4 del artículo anterior, deberá implementarse dentro del año siguiente a la entrada en vigencia de este Código y, como mínimo, contendrá la siguiente información: </w:t>
      </w:r>
    </w:p>
    <w:p w14:paraId="1C4F283C" w14:textId="77777777" w:rsidR="00655DDF" w:rsidRDefault="00655DDF">
      <w:pPr>
        <w:jc w:val="both"/>
        <w:rPr>
          <w:rFonts w:ascii="Bookman Old Style" w:eastAsia="Bookman Old Style" w:hAnsi="Bookman Old Style" w:cs="Bookman Old Style"/>
          <w:sz w:val="22"/>
          <w:szCs w:val="22"/>
        </w:rPr>
      </w:pPr>
    </w:p>
    <w:p w14:paraId="23C740B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33.1. Identificación del propietario.</w:t>
      </w:r>
    </w:p>
    <w:p w14:paraId="2E09974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33.2. Especie a la que pertenece el animal </w:t>
      </w:r>
    </w:p>
    <w:p w14:paraId="40FE260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33.3. identificación del animal,</w:t>
      </w:r>
    </w:p>
    <w:p w14:paraId="71050E0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33.4. Fecha de nacimiento del animal.</w:t>
      </w:r>
    </w:p>
    <w:p w14:paraId="69F8846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33.5. Vacunas realizadas y fecha.</w:t>
      </w:r>
    </w:p>
    <w:p w14:paraId="7DFB428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33.6. Sexo del animal.</w:t>
      </w:r>
    </w:p>
    <w:p w14:paraId="2B34CF60" w14:textId="77777777" w:rsidR="00655DDF"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33.7. Una descripción que contemple las características fenotípicas del ejemplar que hagan posible su identificación.</w:t>
      </w:r>
    </w:p>
    <w:p w14:paraId="2404598A" w14:textId="77777777" w:rsidR="00655DDF"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33.8. En el caso de los perros de manejo especial, el lugar habitual de residencia del animal, con la especificación de si está destinado a convivir con los seres humanos o si será destinado a la guarda, protección u otra tarea específica.</w:t>
      </w:r>
    </w:p>
    <w:p w14:paraId="55EBB76F" w14:textId="77777777" w:rsidR="00655DDF" w:rsidRDefault="00655DDF">
      <w:pPr>
        <w:jc w:val="both"/>
        <w:rPr>
          <w:rFonts w:ascii="Bookman Old Style" w:eastAsia="Bookman Old Style" w:hAnsi="Bookman Old Style" w:cs="Bookman Old Style"/>
          <w:sz w:val="22"/>
          <w:szCs w:val="22"/>
        </w:rPr>
      </w:pPr>
    </w:p>
    <w:p w14:paraId="4EE8EEEC" w14:textId="77777777" w:rsidR="00655DDF" w:rsidRDefault="00655DDF">
      <w:pPr>
        <w:jc w:val="both"/>
        <w:rPr>
          <w:rFonts w:ascii="Bookman Old Style" w:eastAsia="Bookman Old Style" w:hAnsi="Bookman Old Style" w:cs="Bookman Old Style"/>
          <w:sz w:val="22"/>
          <w:szCs w:val="22"/>
        </w:rPr>
      </w:pPr>
    </w:p>
    <w:p w14:paraId="5922A62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14:paraId="214D1EE1" w14:textId="77777777" w:rsidR="00655DDF" w:rsidRDefault="00655DDF">
      <w:pPr>
        <w:jc w:val="center"/>
        <w:rPr>
          <w:rFonts w:ascii="Bookman Old Style" w:eastAsia="Bookman Old Style" w:hAnsi="Bookman Old Style" w:cs="Bookman Old Style"/>
          <w:sz w:val="22"/>
          <w:szCs w:val="22"/>
        </w:rPr>
      </w:pPr>
    </w:p>
    <w:p w14:paraId="26A6691E" w14:textId="77777777" w:rsidR="00655DDF" w:rsidRDefault="00000000">
      <w:pPr>
        <w:numPr>
          <w:ilvl w:val="0"/>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Datos de identificación, que en el caso de las personas jurídicas deberá contener el NIT, domicilio, Rut y nombre del representante legal y su identificación,</w:t>
      </w:r>
    </w:p>
    <w:p w14:paraId="591B7365" w14:textId="77777777" w:rsidR="00655DDF" w:rsidRDefault="00000000">
      <w:pPr>
        <w:numPr>
          <w:ilvl w:val="0"/>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Especies y razas de los animales reproducidos, criados, comercializados o de los animales a cargo, en el caso de las fundaciones.</w:t>
      </w:r>
    </w:p>
    <w:p w14:paraId="0D26DF2F" w14:textId="77777777" w:rsidR="00655DDF" w:rsidRDefault="00000000">
      <w:pPr>
        <w:numPr>
          <w:ilvl w:val="0"/>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Cantidad máxima de animales, de conformidad con la autorización otorgada en el caso de las personas dedicadas a reproducción, cría y comercialización.</w:t>
      </w:r>
    </w:p>
    <w:p w14:paraId="274CBA5C" w14:textId="77777777" w:rsidR="00655DDF" w:rsidRDefault="00000000">
      <w:pPr>
        <w:numPr>
          <w:ilvl w:val="0"/>
          <w:numId w:val="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Cupo máximo de animales en el caso de las fundaciones, asociaciones y sociedades dedicadas al rescate, rehabilitación y adopción.</w:t>
      </w:r>
    </w:p>
    <w:p w14:paraId="45961C4F" w14:textId="77777777" w:rsidR="00655DDF" w:rsidRDefault="00655DDF">
      <w:pPr>
        <w:jc w:val="both"/>
        <w:rPr>
          <w:rFonts w:ascii="Bookman Old Style" w:eastAsia="Bookman Old Style" w:hAnsi="Bookman Old Style" w:cs="Bookman Old Style"/>
          <w:sz w:val="22"/>
          <w:szCs w:val="22"/>
        </w:rPr>
      </w:pPr>
    </w:p>
    <w:p w14:paraId="2AC8E81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PARÁGRAFO 1. </w:t>
      </w:r>
      <w:r>
        <w:rPr>
          <w:rFonts w:ascii="Bookman Old Style" w:eastAsia="Bookman Old Style" w:hAnsi="Bookman Old Style" w:cs="Bookman Old Style"/>
          <w:sz w:val="22"/>
          <w:szCs w:val="22"/>
        </w:rPr>
        <w:t xml:space="preserve">Los alcaldes podrán determinar si el registro se extiende a otras especies de animales de compañía, así como si es procedente documentar información adicional a la que se refiere este artículo. </w:t>
      </w:r>
    </w:p>
    <w:p w14:paraId="787C17E3" w14:textId="77777777" w:rsidR="00655DDF" w:rsidRDefault="00655DDF">
      <w:pPr>
        <w:jc w:val="both"/>
        <w:rPr>
          <w:rFonts w:ascii="Bookman Old Style" w:eastAsia="Bookman Old Style" w:hAnsi="Bookman Old Style" w:cs="Bookman Old Style"/>
          <w:sz w:val="22"/>
          <w:szCs w:val="22"/>
        </w:rPr>
      </w:pPr>
    </w:p>
    <w:p w14:paraId="4BAD4A6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2. </w:t>
      </w:r>
      <w:r>
        <w:rPr>
          <w:rFonts w:ascii="Bookman Old Style" w:eastAsia="Bookman Old Style" w:hAnsi="Bookman Old Style" w:cs="Bookman Old Style"/>
          <w:sz w:val="22"/>
          <w:szCs w:val="22"/>
        </w:rPr>
        <w:t xml:space="preserve">El registro deberá actualizarse anualmente, sin perjuicio de que los particulares puedan actualizar continua y voluntariamente la información que en él se consagra. </w:t>
      </w:r>
    </w:p>
    <w:p w14:paraId="520B9998" w14:textId="77777777" w:rsidR="00655DDF" w:rsidRDefault="00655DDF">
      <w:pPr>
        <w:jc w:val="both"/>
        <w:rPr>
          <w:rFonts w:ascii="Bookman Old Style" w:eastAsia="Bookman Old Style" w:hAnsi="Bookman Old Style" w:cs="Bookman Old Style"/>
          <w:sz w:val="22"/>
          <w:szCs w:val="22"/>
        </w:rPr>
      </w:pPr>
    </w:p>
    <w:p w14:paraId="2210500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34º. </w:t>
      </w:r>
      <w:r>
        <w:rPr>
          <w:rFonts w:ascii="Bookman Old Style" w:eastAsia="Bookman Old Style" w:hAnsi="Bookman Old Style" w:cs="Bookman Old Style"/>
          <w:sz w:val="22"/>
          <w:szCs w:val="22"/>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14:paraId="66DC223E" w14:textId="77777777" w:rsidR="00655DDF" w:rsidRDefault="00655DDF">
      <w:pPr>
        <w:jc w:val="both"/>
        <w:rPr>
          <w:rFonts w:ascii="Bookman Old Style" w:eastAsia="Bookman Old Style" w:hAnsi="Bookman Old Style" w:cs="Bookman Old Style"/>
          <w:sz w:val="22"/>
          <w:szCs w:val="22"/>
        </w:rPr>
      </w:pPr>
    </w:p>
    <w:p w14:paraId="261A99B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35º. </w:t>
      </w:r>
      <w:r>
        <w:rPr>
          <w:rFonts w:ascii="Bookman Old Style" w:eastAsia="Bookman Old Style" w:hAnsi="Bookman Old Style" w:cs="Bookman Old Style"/>
          <w:sz w:val="22"/>
          <w:szCs w:val="22"/>
        </w:rPr>
        <w:t xml:space="preserve">La información recaudada a través del registro, servirá como base para la implementación, promoción y ejecución de la política pública de protección y bienestar animal en el ámbito local. </w:t>
      </w:r>
    </w:p>
    <w:p w14:paraId="6587B840" w14:textId="77777777" w:rsidR="00655DDF" w:rsidRDefault="00655DDF">
      <w:pPr>
        <w:jc w:val="both"/>
        <w:rPr>
          <w:rFonts w:ascii="Bookman Old Style" w:eastAsia="Bookman Old Style" w:hAnsi="Bookman Old Style" w:cs="Bookman Old Style"/>
          <w:sz w:val="22"/>
          <w:szCs w:val="22"/>
        </w:rPr>
      </w:pPr>
    </w:p>
    <w:p w14:paraId="22B466F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Anualmente el alcalde presentará un informe con los datos recaudados, el cual será de pública consulta y, además, será remitido al Consejo Nacional de Protección y Bienestar Animal, para lo pertinente. </w:t>
      </w:r>
    </w:p>
    <w:p w14:paraId="7DDFB56C" w14:textId="77777777" w:rsidR="00655DDF" w:rsidRDefault="00655DDF">
      <w:pPr>
        <w:jc w:val="both"/>
        <w:rPr>
          <w:rFonts w:ascii="Bookman Old Style" w:eastAsia="Bookman Old Style" w:hAnsi="Bookman Old Style" w:cs="Bookman Old Style"/>
          <w:b/>
          <w:sz w:val="22"/>
          <w:szCs w:val="22"/>
        </w:rPr>
      </w:pPr>
    </w:p>
    <w:p w14:paraId="0A3FF550" w14:textId="77777777" w:rsidR="00655DDF"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ARTÍCULO 36º. </w:t>
      </w:r>
      <w:r>
        <w:rPr>
          <w:rFonts w:ascii="Bookman Old Style" w:eastAsia="Bookman Old Style" w:hAnsi="Bookman Old Style" w:cs="Bookman Old Style"/>
          <w:sz w:val="22"/>
          <w:szCs w:val="22"/>
        </w:rPr>
        <w:t>Las Asambleas Departamentales y</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los Concejos Municipales o Distritales, según el caso, deberán verificar al momento de discutir y aprobar el correspondiente plan de desarrollo, la inclusión de programas y proyectos relacionados con la protección y el bienestar animal.</w:t>
      </w:r>
    </w:p>
    <w:p w14:paraId="52B2A1F4" w14:textId="77777777" w:rsidR="00655DDF" w:rsidRDefault="00655DDF">
      <w:pPr>
        <w:jc w:val="both"/>
        <w:rPr>
          <w:rFonts w:ascii="Bookman Old Style" w:eastAsia="Bookman Old Style" w:hAnsi="Bookman Old Style" w:cs="Bookman Old Style"/>
          <w:b/>
          <w:sz w:val="22"/>
          <w:szCs w:val="22"/>
        </w:rPr>
      </w:pPr>
    </w:p>
    <w:p w14:paraId="29FBE7B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37º. </w:t>
      </w:r>
      <w:r>
        <w:rPr>
          <w:rFonts w:ascii="Bookman Old Style" w:eastAsia="Bookman Old Style" w:hAnsi="Bookman Old Style" w:cs="Bookman Old Style"/>
          <w:sz w:val="22"/>
          <w:szCs w:val="22"/>
        </w:rPr>
        <w:t>En los municipios, distritos, distritos especiales y en el Distrito Capital, operará una Junta Defensora de Animales -JDA, que acompañará la implementación de la política pública sobre protección y bienestar animal dentro de su jurisdicción.</w:t>
      </w:r>
    </w:p>
    <w:p w14:paraId="3FF4CAF8" w14:textId="77777777" w:rsidR="00655DDF" w:rsidRDefault="00655DDF">
      <w:pPr>
        <w:jc w:val="both"/>
        <w:rPr>
          <w:rFonts w:ascii="Bookman Old Style" w:eastAsia="Bookman Old Style" w:hAnsi="Bookman Old Style" w:cs="Bookman Old Style"/>
          <w:sz w:val="22"/>
          <w:szCs w:val="22"/>
        </w:rPr>
      </w:pPr>
    </w:p>
    <w:p w14:paraId="2D1B591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También realizará el seguimiento y evaluación al cumplimiento de las leyes, decretos y acuerdos vigentes en materia de protección y bienestar animal y cumplirá las funciones dispuestas por esta ley.</w:t>
      </w:r>
    </w:p>
    <w:p w14:paraId="0D36C99D" w14:textId="77777777" w:rsidR="00655DDF" w:rsidRDefault="00655DDF">
      <w:pPr>
        <w:jc w:val="both"/>
        <w:rPr>
          <w:rFonts w:ascii="Bookman Old Style" w:eastAsia="Bookman Old Style" w:hAnsi="Bookman Old Style" w:cs="Bookman Old Style"/>
          <w:b/>
          <w:sz w:val="22"/>
          <w:szCs w:val="22"/>
        </w:rPr>
      </w:pPr>
    </w:p>
    <w:p w14:paraId="09E14D3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38º.</w:t>
      </w:r>
      <w:r>
        <w:rPr>
          <w:rFonts w:ascii="Bookman Old Style" w:eastAsia="Bookman Old Style" w:hAnsi="Bookman Old Style" w:cs="Bookman Old Style"/>
          <w:sz w:val="22"/>
          <w:szCs w:val="22"/>
        </w:rPr>
        <w:t xml:space="preserve"> Dentro de los doce (12) meses siguientes a la expedición de la presente ley, los municipios, distritos, distritos especiales y el Distrito Capital, conformarán la respectiva Junta Defensora de Animales -JDA, la cual estará integrada de la siguiente manera:</w:t>
      </w:r>
    </w:p>
    <w:p w14:paraId="235C5E99" w14:textId="77777777" w:rsidR="00655DDF" w:rsidRDefault="00655DDF">
      <w:pPr>
        <w:jc w:val="both"/>
        <w:rPr>
          <w:rFonts w:ascii="Bookman Old Style" w:eastAsia="Bookman Old Style" w:hAnsi="Bookman Old Style" w:cs="Bookman Old Style"/>
          <w:sz w:val="22"/>
          <w:szCs w:val="22"/>
        </w:rPr>
      </w:pPr>
    </w:p>
    <w:p w14:paraId="29A5D3B9" w14:textId="77777777" w:rsidR="00655DDF" w:rsidRDefault="00000000">
      <w:pPr>
        <w:numPr>
          <w:ilvl w:val="0"/>
          <w:numId w:val="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Un Secretario del Despacho, designado por el Alcalde, quien la presidirá.</w:t>
      </w:r>
    </w:p>
    <w:p w14:paraId="59B82644" w14:textId="77777777" w:rsidR="00655DDF" w:rsidRDefault="00000000">
      <w:pPr>
        <w:numPr>
          <w:ilvl w:val="0"/>
          <w:numId w:val="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Un delegado del gobernador, en el caso de los municipios.</w:t>
      </w:r>
    </w:p>
    <w:p w14:paraId="08A0D22D" w14:textId="77777777" w:rsidR="00655DDF" w:rsidRDefault="00000000">
      <w:pPr>
        <w:numPr>
          <w:ilvl w:val="0"/>
          <w:numId w:val="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Un delegado del Concejo Municipal o Distrital, designado por la Mesa Directiva.</w:t>
      </w:r>
    </w:p>
    <w:p w14:paraId="1CABC92A" w14:textId="77777777" w:rsidR="00655DDF" w:rsidRDefault="00000000">
      <w:pPr>
        <w:numPr>
          <w:ilvl w:val="0"/>
          <w:numId w:val="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Un Inspector de Policía, designado por el Alcalde.</w:t>
      </w:r>
    </w:p>
    <w:p w14:paraId="0551084F" w14:textId="77777777" w:rsidR="00655DDF" w:rsidRDefault="00000000">
      <w:pPr>
        <w:numPr>
          <w:ilvl w:val="0"/>
          <w:numId w:val="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Un delegado de la autoridad ambiental territorial.</w:t>
      </w:r>
    </w:p>
    <w:p w14:paraId="10B86D15" w14:textId="77777777" w:rsidR="00655DDF" w:rsidRDefault="00000000">
      <w:pPr>
        <w:numPr>
          <w:ilvl w:val="0"/>
          <w:numId w:val="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]Hasta tres representantes de las fundaciones, asociaciones o sociedades defensoras de animales o de las entidades de la sociedad civil que desarrollen funciones similares domiciliadas dentro del municipio o distrito.</w:t>
      </w:r>
    </w:p>
    <w:p w14:paraId="0E3D82D1" w14:textId="77777777" w:rsidR="00655DDF" w:rsidRDefault="00000000">
      <w:pPr>
        <w:numPr>
          <w:ilvl w:val="0"/>
          <w:numId w:val="9"/>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Hasta tres representantes de un gremio veterinario que tenga representación en el municipio o distrito.</w:t>
      </w:r>
    </w:p>
    <w:p w14:paraId="68D04AA3"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9CC50B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miembros de las juntas defensoras de animales ejercerán los cargos ad honorem.</w:t>
      </w:r>
    </w:p>
    <w:p w14:paraId="4E406B58" w14:textId="77777777" w:rsidR="00655DDF" w:rsidRDefault="00655DDF">
      <w:pPr>
        <w:jc w:val="both"/>
        <w:rPr>
          <w:rFonts w:ascii="Bookman Old Style" w:eastAsia="Bookman Old Style" w:hAnsi="Bookman Old Style" w:cs="Bookman Old Style"/>
          <w:sz w:val="22"/>
          <w:szCs w:val="22"/>
        </w:rPr>
      </w:pPr>
    </w:p>
    <w:p w14:paraId="1862EF0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1. </w:t>
      </w:r>
      <w:r>
        <w:rPr>
          <w:rFonts w:ascii="Bookman Old Style" w:eastAsia="Bookman Old Style" w:hAnsi="Bookman Old Style" w:cs="Bookman Old Style"/>
          <w:sz w:val="22"/>
          <w:szCs w:val="22"/>
        </w:rPr>
        <w:t>Las Juntas Defensoras de Animales no tendrán personería jurídica.</w:t>
      </w:r>
    </w:p>
    <w:p w14:paraId="2678B424" w14:textId="77777777" w:rsidR="00655DDF" w:rsidRDefault="00655DDF">
      <w:pPr>
        <w:jc w:val="both"/>
        <w:rPr>
          <w:rFonts w:ascii="Bookman Old Style" w:eastAsia="Bookman Old Style" w:hAnsi="Bookman Old Style" w:cs="Bookman Old Style"/>
          <w:sz w:val="22"/>
          <w:szCs w:val="22"/>
        </w:rPr>
      </w:pPr>
    </w:p>
    <w:p w14:paraId="7FA37F5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2. </w:t>
      </w:r>
      <w:r>
        <w:rPr>
          <w:rFonts w:ascii="Bookman Old Style" w:eastAsia="Bookman Old Style" w:hAnsi="Bookman Old Style" w:cs="Bookman Old Style"/>
          <w:sz w:val="22"/>
          <w:szCs w:val="22"/>
        </w:rPr>
        <w:t>El Alcalde tendrá un plazo de tres (3) meses para reglamentar el procedimiento para la designación de los representantes de las</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fundaciones, asociaciones o sociedades defensoras de animales o de las entidades de la sociedad civil que desarrollen funciones similares, dentro de su jurisdicción, el cual, en todo caso, deberá surtirse mediante una convocatoria pública.</w:t>
      </w:r>
    </w:p>
    <w:p w14:paraId="3E588079" w14:textId="77777777" w:rsidR="00655DDF" w:rsidRDefault="00655DDF">
      <w:pPr>
        <w:jc w:val="both"/>
        <w:rPr>
          <w:rFonts w:ascii="Bookman Old Style" w:eastAsia="Bookman Old Style" w:hAnsi="Bookman Old Style" w:cs="Bookman Old Style"/>
          <w:sz w:val="22"/>
          <w:szCs w:val="22"/>
        </w:rPr>
      </w:pPr>
    </w:p>
    <w:p w14:paraId="64457C6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3. </w:t>
      </w:r>
      <w:r>
        <w:rPr>
          <w:rFonts w:ascii="Bookman Old Style" w:eastAsia="Bookman Old Style" w:hAnsi="Bookman Old Style" w:cs="Bookman Old Style"/>
          <w:sz w:val="22"/>
          <w:szCs w:val="22"/>
        </w:rPr>
        <w:t>El incumplimiento de lo previsto en este artículo será causal de mala conducta y dará lugar a sanción disciplinaria en contra del Alcalde.</w:t>
      </w:r>
    </w:p>
    <w:p w14:paraId="58C211BF" w14:textId="77777777" w:rsidR="00655DDF" w:rsidRDefault="00655DDF">
      <w:pPr>
        <w:jc w:val="both"/>
        <w:rPr>
          <w:rFonts w:ascii="Bookman Old Style" w:eastAsia="Bookman Old Style" w:hAnsi="Bookman Old Style" w:cs="Bookman Old Style"/>
          <w:sz w:val="22"/>
          <w:szCs w:val="22"/>
        </w:rPr>
      </w:pPr>
    </w:p>
    <w:p w14:paraId="282FAB2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39º. </w:t>
      </w:r>
      <w:r>
        <w:rPr>
          <w:rFonts w:ascii="Bookman Old Style" w:eastAsia="Bookman Old Style" w:hAnsi="Bookman Old Style" w:cs="Bookman Old Style"/>
          <w:sz w:val="22"/>
          <w:szCs w:val="22"/>
        </w:rPr>
        <w:t>Serán funciones de las Juntas Defensoras de Animales las siguientes:</w:t>
      </w:r>
    </w:p>
    <w:p w14:paraId="47C68835" w14:textId="77777777" w:rsidR="00655DDF" w:rsidRDefault="00655DDF">
      <w:pPr>
        <w:rPr>
          <w:rFonts w:ascii="Bookman Old Style" w:eastAsia="Bookman Old Style" w:hAnsi="Bookman Old Style" w:cs="Bookman Old Style"/>
          <w:sz w:val="22"/>
          <w:szCs w:val="22"/>
        </w:rPr>
      </w:pPr>
    </w:p>
    <w:p w14:paraId="26642F33"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Promover y vigilar la implementación de la política pública distrital o municipal sobre protección y bienestar animal.</w:t>
      </w:r>
    </w:p>
    <w:p w14:paraId="6C73781D"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Promover acciones para la protección y bienestar de los animales y verificar el cumplimiento de las normas vigentes en esta materia</w:t>
      </w:r>
    </w:p>
    <w:p w14:paraId="24D3E068"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Acompañar la implementación de la política pública sobre protección y bienestar animal dentro de su jurisdicción. </w:t>
      </w:r>
    </w:p>
    <w:p w14:paraId="6F54B099"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Adelantar el seguimiento y la recopilación de las acciones y actividades adelantadas en el municipio o distrito sobre protección y bienestar animal. </w:t>
      </w:r>
    </w:p>
    <w:p w14:paraId="1F07CDFA"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14:paraId="0975B4FC"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Gestionar el desarrollo de campañas educativas para funcionarios públicos municipales o distritales que tengan competencias relacionadas con la protección y el bienestar animal o que, en razón a su oficio, deban interactuar con animales.</w:t>
      </w:r>
    </w:p>
    <w:p w14:paraId="03ACCDC4"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Acompañar a las diferentes entidades para garantizar la implementación del presente Código y de las demás disposiciones que se relacionen con la materia.</w:t>
      </w:r>
    </w:p>
    <w:p w14:paraId="175E7DBF"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14:paraId="1F0ABBF1"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Apoyar la labor de los Centro de Protección y Bienestar Animal.</w:t>
      </w:r>
    </w:p>
    <w:p w14:paraId="79D8BED3"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14:paraId="0B1DA04A"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Emitir concepto previo para el trámite de solicitudes, autorizaciones y permisos requeridos por personas jurídicas o naturales dentro de su jurisdicción frente a los requisitos establecidos en esta ley. </w:t>
      </w:r>
    </w:p>
    <w:p w14:paraId="0A9ADF1F" w14:textId="77777777" w:rsidR="00655DDF" w:rsidRDefault="00000000">
      <w:pPr>
        <w:numPr>
          <w:ilvl w:val="1"/>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Dictarse su propio reglamento interno y seleccionar la entidad que ejercerá la secretaría técnica.</w:t>
      </w:r>
    </w:p>
    <w:p w14:paraId="726E707D" w14:textId="77777777" w:rsidR="00655DDF" w:rsidRDefault="00655DDF">
      <w:pPr>
        <w:jc w:val="both"/>
        <w:rPr>
          <w:rFonts w:ascii="Bookman Old Style" w:eastAsia="Bookman Old Style" w:hAnsi="Bookman Old Style" w:cs="Bookman Old Style"/>
          <w:sz w:val="22"/>
          <w:szCs w:val="22"/>
        </w:rPr>
      </w:pPr>
    </w:p>
    <w:p w14:paraId="11DE6F8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Las Juntas Defensoras de Animales -JDA, deberán reunirse mínimo cada cuatro meses al año en las instalaciones destinadas por la alcaldía para el cumplimiento de sus funciones y para realizar la evaluación de la implementación de las disposiciones de esta ley.</w:t>
      </w:r>
    </w:p>
    <w:p w14:paraId="1D68B10F" w14:textId="77777777" w:rsidR="00655DDF" w:rsidRDefault="00655DDF">
      <w:pPr>
        <w:jc w:val="both"/>
        <w:rPr>
          <w:rFonts w:ascii="Bookman Old Style" w:eastAsia="Bookman Old Style" w:hAnsi="Bookman Old Style" w:cs="Bookman Old Style"/>
          <w:sz w:val="22"/>
          <w:szCs w:val="22"/>
        </w:rPr>
      </w:pPr>
    </w:p>
    <w:p w14:paraId="545D565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 las reuniones se levantarán actas que deberán ser conservadas para su consulta y seguimiento. Para tal efecto, la Junta nombrará a un secretario entre sus miembros. </w:t>
      </w:r>
    </w:p>
    <w:p w14:paraId="1BC5B21B" w14:textId="77777777" w:rsidR="00655DDF" w:rsidRDefault="00655DDF">
      <w:pPr>
        <w:jc w:val="both"/>
        <w:rPr>
          <w:rFonts w:ascii="Bookman Old Style" w:eastAsia="Bookman Old Style" w:hAnsi="Bookman Old Style" w:cs="Bookman Old Style"/>
          <w:sz w:val="22"/>
          <w:szCs w:val="22"/>
        </w:rPr>
      </w:pPr>
    </w:p>
    <w:p w14:paraId="0A4E644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Para el cumplimiento de los fines del Estado y el objeto de la presente ley, las Juntas Defensoras de Animales -JDA, contarán con la colaboración armónica de las demás autoridades nacionales, departamentales y municipales. </w:t>
      </w:r>
    </w:p>
    <w:p w14:paraId="7C694FDA" w14:textId="77777777" w:rsidR="00655DDF" w:rsidRDefault="00655DDF">
      <w:pPr>
        <w:jc w:val="both"/>
        <w:rPr>
          <w:rFonts w:ascii="Bookman Old Style" w:eastAsia="Bookman Old Style" w:hAnsi="Bookman Old Style" w:cs="Bookman Old Style"/>
          <w:b/>
          <w:sz w:val="22"/>
          <w:szCs w:val="22"/>
        </w:rPr>
      </w:pPr>
    </w:p>
    <w:p w14:paraId="6F29658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40º. </w:t>
      </w:r>
      <w:r>
        <w:rPr>
          <w:rFonts w:ascii="Bookman Old Style" w:eastAsia="Bookman Old Style" w:hAnsi="Bookman Old Style" w:cs="Bookman Old Style"/>
          <w:sz w:val="22"/>
          <w:szCs w:val="22"/>
        </w:rPr>
        <w:t>Las Juntas Defensoras de Animales -JDA podrán convocar a la comunidad para que presente propuestas relacionadas con la protección y el bienestar animal a nivel local.</w:t>
      </w:r>
    </w:p>
    <w:p w14:paraId="22285471" w14:textId="77777777" w:rsidR="00655DDF" w:rsidRDefault="00655DDF">
      <w:pPr>
        <w:jc w:val="both"/>
        <w:rPr>
          <w:rFonts w:ascii="Bookman Old Style" w:eastAsia="Bookman Old Style" w:hAnsi="Bookman Old Style" w:cs="Bookman Old Style"/>
          <w:sz w:val="22"/>
          <w:szCs w:val="22"/>
        </w:rPr>
      </w:pPr>
    </w:p>
    <w:p w14:paraId="003C44A7" w14:textId="77777777" w:rsidR="00655DDF" w:rsidRDefault="00655DDF">
      <w:pPr>
        <w:jc w:val="both"/>
        <w:rPr>
          <w:rFonts w:ascii="Bookman Old Style" w:eastAsia="Bookman Old Style" w:hAnsi="Bookman Old Style" w:cs="Bookman Old Style"/>
          <w:sz w:val="22"/>
          <w:szCs w:val="22"/>
        </w:rPr>
      </w:pPr>
    </w:p>
    <w:p w14:paraId="232266BA"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V</w:t>
      </w:r>
    </w:p>
    <w:p w14:paraId="79CBBFEA"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LOS CENTROS DE PROTECCIÓN Y BIENESTAR ANIMAL</w:t>
      </w:r>
    </w:p>
    <w:p w14:paraId="188E7423" w14:textId="77777777" w:rsidR="00655DDF" w:rsidRDefault="00655DDF">
      <w:pPr>
        <w:jc w:val="both"/>
        <w:rPr>
          <w:rFonts w:ascii="Bookman Old Style" w:eastAsia="Bookman Old Style" w:hAnsi="Bookman Old Style" w:cs="Bookman Old Style"/>
          <w:b/>
          <w:sz w:val="22"/>
          <w:szCs w:val="22"/>
        </w:rPr>
      </w:pPr>
    </w:p>
    <w:p w14:paraId="2C0A2D6B" w14:textId="77777777" w:rsidR="00655DDF" w:rsidRDefault="00655DDF">
      <w:pPr>
        <w:jc w:val="both"/>
        <w:rPr>
          <w:rFonts w:ascii="Bookman Old Style" w:eastAsia="Bookman Old Style" w:hAnsi="Bookman Old Style" w:cs="Bookman Old Style"/>
          <w:b/>
          <w:sz w:val="22"/>
          <w:szCs w:val="22"/>
        </w:rPr>
      </w:pPr>
    </w:p>
    <w:p w14:paraId="1D7D3F6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41º. </w:t>
      </w:r>
      <w:r>
        <w:rPr>
          <w:rFonts w:ascii="Bookman Old Style" w:eastAsia="Bookman Old Style" w:hAnsi="Bookman Old Style" w:cs="Bookman Old Style"/>
          <w:sz w:val="22"/>
          <w:szCs w:val="22"/>
        </w:rPr>
        <w:t>En todos los municipios y distritos del país operará un Centro de Protección y Bienestar Animal -CPBA dedicado al rescate, recuperación, rehabilitación y cuidado de los animales domésticos maltratados, decomisados, abandonados o en situación de calle.</w:t>
      </w:r>
    </w:p>
    <w:p w14:paraId="68F56073" w14:textId="77777777" w:rsidR="00655DDF" w:rsidRDefault="00655DDF">
      <w:pPr>
        <w:jc w:val="both"/>
        <w:rPr>
          <w:rFonts w:ascii="Bookman Old Style" w:eastAsia="Bookman Old Style" w:hAnsi="Bookman Old Style" w:cs="Bookman Old Style"/>
          <w:sz w:val="22"/>
          <w:szCs w:val="22"/>
        </w:rPr>
      </w:pPr>
    </w:p>
    <w:p w14:paraId="2882116B" w14:textId="77777777" w:rsidR="00655DDF" w:rsidRDefault="00000000">
      <w:pPr>
        <w:jc w:val="both"/>
      </w:pPr>
      <w:r>
        <w:rPr>
          <w:rFonts w:ascii="Bookman Old Style" w:eastAsia="Bookman Old Style" w:hAnsi="Bookman Old Style" w:cs="Bookman Old Style"/>
          <w:sz w:val="22"/>
          <w:szCs w:val="22"/>
        </w:rPr>
        <w:t>Los municipios de cuarta, quinta y sexta categoría podrán asociarse o las Gobernaciones podrán crear Centros que tengan jurisdicción y competencia dentro de todo el departamento, para garantizar la prestación de este servicio.</w:t>
      </w:r>
    </w:p>
    <w:p w14:paraId="20E2F018" w14:textId="77777777" w:rsidR="00655DDF" w:rsidRDefault="00655DDF">
      <w:pPr>
        <w:jc w:val="both"/>
        <w:rPr>
          <w:rFonts w:ascii="Bookman Old Style" w:eastAsia="Bookman Old Style" w:hAnsi="Bookman Old Style" w:cs="Bookman Old Style"/>
          <w:sz w:val="22"/>
          <w:szCs w:val="22"/>
        </w:rPr>
      </w:pPr>
    </w:p>
    <w:p w14:paraId="3D21815D" w14:textId="77777777" w:rsidR="00655DDF" w:rsidRDefault="00655DDF">
      <w:pPr>
        <w:jc w:val="both"/>
        <w:rPr>
          <w:rFonts w:ascii="Bookman Old Style" w:eastAsia="Bookman Old Style" w:hAnsi="Bookman Old Style" w:cs="Bookman Old Style"/>
          <w:sz w:val="22"/>
          <w:szCs w:val="22"/>
        </w:rPr>
      </w:pPr>
    </w:p>
    <w:p w14:paraId="496CB2E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42º.</w:t>
      </w:r>
      <w:r>
        <w:rPr>
          <w:rFonts w:ascii="Bookman Old Style" w:eastAsia="Bookman Old Style" w:hAnsi="Bookman Old Style" w:cs="Bookman Old Style"/>
          <w:sz w:val="22"/>
          <w:szCs w:val="22"/>
        </w:rPr>
        <w:t xml:space="preserve"> Los Centros de Protección y Bienestar Animal –CPBA, también desarrollarán el control de enfermedades zoonóticas de animales domésticos, incluyendo las observaciones de animales por mordedura. Para tal efecto, se dispondrá de instalaciones tendientes al aislamiento, control y observación de los animales domésticos infectados o sospechosos de portar este tipo de enfermedades </w:t>
      </w:r>
    </w:p>
    <w:p w14:paraId="6A188496" w14:textId="77777777" w:rsidR="00655DDF" w:rsidRDefault="00655DDF">
      <w:pPr>
        <w:jc w:val="both"/>
        <w:rPr>
          <w:rFonts w:ascii="Bookman Old Style" w:eastAsia="Bookman Old Style" w:hAnsi="Bookman Old Style" w:cs="Bookman Old Style"/>
          <w:sz w:val="22"/>
          <w:szCs w:val="22"/>
        </w:rPr>
      </w:pPr>
    </w:p>
    <w:p w14:paraId="49A3569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este fin, se apoyará a los Centros de Protección y Bienestar Animal – CPBA con el traslado de los recursos necesarios que posean los centros de Zoonosis o Coso Municipales para el cumplimiento de la función encomendada. </w:t>
      </w:r>
    </w:p>
    <w:p w14:paraId="1A3CDDFB" w14:textId="77777777" w:rsidR="00655DDF" w:rsidRDefault="00655DDF">
      <w:pPr>
        <w:jc w:val="both"/>
        <w:rPr>
          <w:rFonts w:ascii="Bookman Old Style" w:eastAsia="Bookman Old Style" w:hAnsi="Bookman Old Style" w:cs="Bookman Old Style"/>
          <w:sz w:val="22"/>
          <w:szCs w:val="22"/>
        </w:rPr>
      </w:pPr>
    </w:p>
    <w:p w14:paraId="2C1CAFD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Las demás funciones de zoonosis seguirán rigiéndose por lo dispuesto en la Ley 9 de 1979 y el Decreto 780 de 2016, o las normas que los modifiquen o deroguen.</w:t>
      </w:r>
    </w:p>
    <w:p w14:paraId="639293C9" w14:textId="77777777" w:rsidR="00655DDF" w:rsidRDefault="00655DDF">
      <w:pPr>
        <w:jc w:val="both"/>
        <w:rPr>
          <w:rFonts w:ascii="Bookman Old Style" w:eastAsia="Bookman Old Style" w:hAnsi="Bookman Old Style" w:cs="Bookman Old Style"/>
          <w:sz w:val="22"/>
          <w:szCs w:val="22"/>
        </w:rPr>
      </w:pPr>
    </w:p>
    <w:p w14:paraId="093C6735" w14:textId="77777777" w:rsidR="00655DDF" w:rsidRDefault="00655DDF">
      <w:pPr>
        <w:jc w:val="both"/>
        <w:rPr>
          <w:rFonts w:ascii="Bookman Old Style" w:eastAsia="Bookman Old Style" w:hAnsi="Bookman Old Style" w:cs="Bookman Old Style"/>
          <w:sz w:val="22"/>
          <w:szCs w:val="22"/>
        </w:rPr>
      </w:pPr>
    </w:p>
    <w:p w14:paraId="6D4FFFE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43º.</w:t>
      </w:r>
      <w:r>
        <w:rPr>
          <w:rFonts w:ascii="Bookman Old Style" w:eastAsia="Bookman Old Style" w:hAnsi="Bookman Old Style" w:cs="Bookman Old Style"/>
          <w:sz w:val="22"/>
          <w:szCs w:val="22"/>
        </w:rPr>
        <w:t xml:space="preserve"> Los Centros de Protección y Bienestar Animal en los municipios o distritos, deberán adecuar sus instalaciones y operaciones para que realicen las funciones de control en zoonosis en animales domésticos, de conformidad con el artículo anterior. Para tal efecto, se otorgará el término de un (1) año contado desde la entrada en vigencia de la presente ley.</w:t>
      </w:r>
    </w:p>
    <w:p w14:paraId="3119C5E5" w14:textId="77777777" w:rsidR="00655DDF" w:rsidRDefault="00655DDF">
      <w:pPr>
        <w:jc w:val="both"/>
        <w:rPr>
          <w:rFonts w:ascii="Bookman Old Style" w:eastAsia="Bookman Old Style" w:hAnsi="Bookman Old Style" w:cs="Bookman Old Style"/>
          <w:sz w:val="22"/>
          <w:szCs w:val="22"/>
        </w:rPr>
      </w:pPr>
    </w:p>
    <w:p w14:paraId="44C9AED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los distritos y municipios de primera y segunda categoría que no cuenten con Centros de Protección y Bienestar Animal y con un Centro de Zoonosis o un Coso Municipal, tendrán un (1) año contado desde la entrada en vigencia la presente ley para la construcción y adecuación de los mismos.</w:t>
      </w:r>
    </w:p>
    <w:p w14:paraId="08456758" w14:textId="77777777" w:rsidR="00655DDF" w:rsidRDefault="00655DDF">
      <w:pPr>
        <w:jc w:val="both"/>
        <w:rPr>
          <w:rFonts w:ascii="Bookman Old Style" w:eastAsia="Bookman Old Style" w:hAnsi="Bookman Old Style" w:cs="Bookman Old Style"/>
          <w:sz w:val="22"/>
          <w:szCs w:val="22"/>
        </w:rPr>
      </w:pPr>
    </w:p>
    <w:p w14:paraId="699A4A6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municipios de categorías distintas a primera y segunda que no tengan constituido un Centro de Protección y Bienestar Animal o un Centro de Zoonosis o un Coso Municipal y no cuenten con los recursos para desarrollarlo, podrán acudir a las distintas figuras de asociación para la creación de Centros Regionales de Protección y Bienestar Animal -CRPBA con los municipios circunvecinos, quienes tendrán la obligatoriedad de brindar el apoyo necesario para este fin.</w:t>
      </w:r>
    </w:p>
    <w:p w14:paraId="5F250411" w14:textId="77777777" w:rsidR="00655DDF" w:rsidRDefault="00655DDF">
      <w:pPr>
        <w:jc w:val="both"/>
        <w:rPr>
          <w:rFonts w:ascii="Bookman Old Style" w:eastAsia="Bookman Old Style" w:hAnsi="Bookman Old Style" w:cs="Bookman Old Style"/>
          <w:b/>
          <w:sz w:val="22"/>
          <w:szCs w:val="22"/>
        </w:rPr>
      </w:pPr>
    </w:p>
    <w:p w14:paraId="2A19F84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1. </w:t>
      </w:r>
      <w:r>
        <w:rPr>
          <w:rFonts w:ascii="Bookman Old Style" w:eastAsia="Bookman Old Style" w:hAnsi="Bookman Old Style" w:cs="Bookman Old Style"/>
          <w:sz w:val="22"/>
          <w:szCs w:val="22"/>
        </w:rPr>
        <w:t xml:space="preserve">Una vez constituidos los centros de bienestar animal, estos deberán ser financiados con recursos propios de la entidad territorial y su operación estará bajo su responsabilidad. </w:t>
      </w:r>
    </w:p>
    <w:p w14:paraId="4156E8E1" w14:textId="77777777" w:rsidR="00655DDF" w:rsidRDefault="00655DDF">
      <w:pPr>
        <w:jc w:val="both"/>
        <w:rPr>
          <w:rFonts w:ascii="Bookman Old Style" w:eastAsia="Bookman Old Style" w:hAnsi="Bookman Old Style" w:cs="Bookman Old Style"/>
          <w:b/>
          <w:sz w:val="22"/>
          <w:szCs w:val="22"/>
        </w:rPr>
      </w:pPr>
    </w:p>
    <w:p w14:paraId="3E30C9D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44º. </w:t>
      </w:r>
      <w:r>
        <w:rPr>
          <w:rFonts w:ascii="Bookman Old Style" w:eastAsia="Bookman Old Style" w:hAnsi="Bookman Old Style" w:cs="Bookman Old Style"/>
          <w:sz w:val="22"/>
          <w:szCs w:val="22"/>
        </w:rPr>
        <w:t>Los Centros Regionales de Protección y Bienestar Animal -CRPBA, recibirán el apoyo de las Juntas Defensoras de Animales de cada uno de los municipios que los integren.</w:t>
      </w:r>
    </w:p>
    <w:p w14:paraId="70BC2F98" w14:textId="77777777" w:rsidR="00655DDF" w:rsidRDefault="00655DDF">
      <w:pPr>
        <w:jc w:val="both"/>
        <w:rPr>
          <w:rFonts w:ascii="Bookman Old Style" w:eastAsia="Bookman Old Style" w:hAnsi="Bookman Old Style" w:cs="Bookman Old Style"/>
          <w:b/>
          <w:sz w:val="22"/>
          <w:szCs w:val="22"/>
        </w:rPr>
      </w:pPr>
    </w:p>
    <w:p w14:paraId="7E7AC90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45º. </w:t>
      </w:r>
      <w:r>
        <w:rPr>
          <w:rFonts w:ascii="Bookman Old Style" w:eastAsia="Bookman Old Style" w:hAnsi="Bookman Old Style" w:cs="Bookman Old Style"/>
          <w:sz w:val="22"/>
          <w:szCs w:val="22"/>
        </w:rPr>
        <w:t>Los Centros de Protección y Bienestar Animal tendrán como objeto el rescate, recuperación, rehabilitación y adopción de animales domésticos en situación de calle, maltrato o abandono, así como la prevención y control de enfermedades zoonóticas.</w:t>
      </w:r>
    </w:p>
    <w:p w14:paraId="477F50FC" w14:textId="77777777" w:rsidR="00655DDF" w:rsidRDefault="00655DDF">
      <w:pPr>
        <w:jc w:val="both"/>
        <w:rPr>
          <w:rFonts w:ascii="Bookman Old Style" w:eastAsia="Bookman Old Style" w:hAnsi="Bookman Old Style" w:cs="Bookman Old Style"/>
          <w:b/>
          <w:sz w:val="22"/>
          <w:szCs w:val="22"/>
        </w:rPr>
      </w:pPr>
    </w:p>
    <w:p w14:paraId="7A52B0F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46º. </w:t>
      </w:r>
      <w:r>
        <w:rPr>
          <w:rFonts w:ascii="Bookman Old Style" w:eastAsia="Bookman Old Style" w:hAnsi="Bookman Old Style" w:cs="Bookman Old Style"/>
          <w:sz w:val="22"/>
          <w:szCs w:val="22"/>
        </w:rPr>
        <w:t>Serán funciones de los Centros de Protección y Bienestar Animal:</w:t>
      </w:r>
    </w:p>
    <w:p w14:paraId="515C7A6E" w14:textId="77777777" w:rsidR="00655DDF" w:rsidRDefault="00655DDF">
      <w:pPr>
        <w:jc w:val="both"/>
        <w:rPr>
          <w:rFonts w:ascii="Bookman Old Style" w:eastAsia="Bookman Old Style" w:hAnsi="Bookman Old Style" w:cs="Bookman Old Style"/>
          <w:b/>
          <w:sz w:val="22"/>
          <w:szCs w:val="22"/>
        </w:rPr>
      </w:pPr>
    </w:p>
    <w:p w14:paraId="63D1A15B"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protección de animales domésticos en situación de calle, maltrato o abandono.</w:t>
      </w:r>
    </w:p>
    <w:p w14:paraId="7C280043"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cuidado y custodia de los animales domésticos aprehendidos, retenidos o rescatados.</w:t>
      </w:r>
    </w:p>
    <w:p w14:paraId="259F133C"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recuperación, rehabilitación y cuidado de los animales domésticos o ferales heridos o maltratados que lleguen a sus instalaciones.</w:t>
      </w:r>
    </w:p>
    <w:p w14:paraId="62B1B93D"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esterilización de todos los animales que lleguen a sus instalaciones.</w:t>
      </w:r>
    </w:p>
    <w:p w14:paraId="571C4E32"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realización de jornadas de esterilización y vacunación en el municipio o distrito en el que operen. </w:t>
      </w:r>
    </w:p>
    <w:p w14:paraId="73F0C9B9"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ejecución de las políticas de bienestar y protección animal nacionales y territoriales.</w:t>
      </w:r>
    </w:p>
    <w:p w14:paraId="7777BE2E"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realización de jornadas de atención veterinaria en poblaciones vulnerables en el municipio o distrito en el que operen.</w:t>
      </w:r>
    </w:p>
    <w:p w14:paraId="47C7F434"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prevención, diagnóstico, vigilancia y control de las zoonosis en animales domésticos.</w:t>
      </w:r>
    </w:p>
    <w:p w14:paraId="5CF054B7"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Brindar el apoyo jurídico, operativo, psicológico y logístico en la realización de acciones para eliminar la crueldad y el maltrato animal.</w:t>
      </w:r>
    </w:p>
    <w:p w14:paraId="0AEEEAEB"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Promover y educar a la comunidad en el ejercicio de acciones judiciales y administrativas y mecanismos de participación ciudadana para defender los derechos de los animales.</w:t>
      </w:r>
    </w:p>
    <w:p w14:paraId="0AB6E535"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Apoyar desde la medicina veterinaria las acciones en la investigación de los delitos, los hechos dañinos y actos de crueldad cometidos en contra de los animales.</w:t>
      </w:r>
    </w:p>
    <w:p w14:paraId="2583DFB2"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Ordenar a la Policía Nacional la aprehensión o decomiso preventivo en los casos en que se presuma la ocurrencia de actos de crueldad animal.</w:t>
      </w:r>
    </w:p>
    <w:p w14:paraId="4F298768"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Ejercer en su jurisdicción como máxima autoridad en temas de bienestar y protección animal.</w:t>
      </w:r>
    </w:p>
    <w:p w14:paraId="073C6F29" w14:textId="77777777" w:rsidR="00655DDF" w:rsidRDefault="00000000">
      <w:pPr>
        <w:numPr>
          <w:ilvl w:val="1"/>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Conocer, dar trámite y decidir el recurso de apelación en los procesos sancionatorios de bienestar y protección animal en su jurisdicción.</w:t>
      </w:r>
    </w:p>
    <w:p w14:paraId="34812B39" w14:textId="77777777" w:rsidR="00655DDF" w:rsidRDefault="00655DDF">
      <w:pPr>
        <w:jc w:val="both"/>
        <w:rPr>
          <w:rFonts w:ascii="Bookman Old Style" w:eastAsia="Bookman Old Style" w:hAnsi="Bookman Old Style" w:cs="Bookman Old Style"/>
          <w:sz w:val="22"/>
          <w:szCs w:val="22"/>
        </w:rPr>
      </w:pPr>
    </w:p>
    <w:p w14:paraId="5A63ED7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efectos del cumplimiento de lo dispuesto en el numeral 46.4, 46.5 y 46.7, los Centros de Protección y Bienestar Animal podrán celebrar convenios con instituciones educativas que cuenten con una facultad de medicina veterinaria, con el fin de que dichos programas adelanten las jornadas respectivas de esterilización y atención veterinaria en sus instalaciones. Le prestación de este servicio podrá darse por estudiantes de las facultades, siempre y cuando se realicen bajo la vigilancia y acompañamiento de médicos veterinarios o médicos veterinarios zootecnistas y se acaten todas las disposiciones en materia sanitaria. </w:t>
      </w:r>
    </w:p>
    <w:p w14:paraId="4698E9AF" w14:textId="77777777" w:rsidR="00655DDF" w:rsidRDefault="00655DDF">
      <w:pPr>
        <w:jc w:val="both"/>
        <w:rPr>
          <w:rFonts w:ascii="Bookman Old Style" w:eastAsia="Bookman Old Style" w:hAnsi="Bookman Old Style" w:cs="Bookman Old Style"/>
          <w:sz w:val="22"/>
          <w:szCs w:val="22"/>
        </w:rPr>
      </w:pPr>
    </w:p>
    <w:p w14:paraId="7349AC0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estos casos, el convenio dispondrá que las facultades se encargarán de implementar los cuidados pre y </w:t>
      </w:r>
      <w:proofErr w:type="spellStart"/>
      <w:r>
        <w:rPr>
          <w:rFonts w:ascii="Bookman Old Style" w:eastAsia="Bookman Old Style" w:hAnsi="Bookman Old Style" w:cs="Bookman Old Style"/>
          <w:sz w:val="22"/>
          <w:szCs w:val="22"/>
        </w:rPr>
        <w:t>pos</w:t>
      </w:r>
      <w:proofErr w:type="spellEnd"/>
      <w:r>
        <w:rPr>
          <w:rFonts w:ascii="Bookman Old Style" w:eastAsia="Bookman Old Style" w:hAnsi="Bookman Old Style" w:cs="Bookman Old Style"/>
          <w:sz w:val="22"/>
          <w:szCs w:val="22"/>
        </w:rPr>
        <w:t xml:space="preserve"> quirúrgicos de los animales que sean atendidos.</w:t>
      </w:r>
    </w:p>
    <w:p w14:paraId="6C5A4184"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D905A3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ARTÍCULO 47º. </w:t>
      </w:r>
      <w:r>
        <w:rPr>
          <w:rFonts w:ascii="Bookman Old Style" w:eastAsia="Bookman Old Style" w:hAnsi="Bookman Old Style" w:cs="Bookman Old Style"/>
          <w:sz w:val="22"/>
          <w:szCs w:val="22"/>
        </w:rPr>
        <w:t xml:space="preserve">Los Centros de Protección y Bienestar Animal -CPBA estarán a cargo del alcalde, dentro de su jurisdicción. Cuando estos sean de carácter regional, expedirán una reglamentación conjunta en su acto de creación. </w:t>
      </w:r>
    </w:p>
    <w:p w14:paraId="05E1D42A" w14:textId="77777777" w:rsidR="00655DDF" w:rsidRDefault="00655DDF">
      <w:pPr>
        <w:jc w:val="both"/>
        <w:rPr>
          <w:rFonts w:ascii="Bookman Old Style" w:eastAsia="Bookman Old Style" w:hAnsi="Bookman Old Style" w:cs="Bookman Old Style"/>
          <w:b/>
          <w:sz w:val="22"/>
          <w:szCs w:val="22"/>
        </w:rPr>
      </w:pPr>
    </w:p>
    <w:p w14:paraId="4394FD1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48º. </w:t>
      </w:r>
      <w:r>
        <w:rPr>
          <w:rFonts w:ascii="Bookman Old Style" w:eastAsia="Bookman Old Style" w:hAnsi="Bookman Old Style" w:cs="Bookman Old Style"/>
          <w:sz w:val="22"/>
          <w:szCs w:val="22"/>
        </w:rPr>
        <w:t>En todo caso, el equipo que haga parte de los Centros de Protección y Bienestar Animal – CPBA, deberá estar capacitado para la atención de todos los animales domésticos y sus instalaciones deberán ajustarse a las necesidades de las diferentes especies que puedan recibir en desarrollo de sus funciones.</w:t>
      </w:r>
    </w:p>
    <w:p w14:paraId="45BF21AB" w14:textId="77777777" w:rsidR="00655DDF" w:rsidRDefault="00655DDF">
      <w:pPr>
        <w:jc w:val="both"/>
        <w:rPr>
          <w:rFonts w:ascii="Bookman Old Style" w:eastAsia="Bookman Old Style" w:hAnsi="Bookman Old Style" w:cs="Bookman Old Style"/>
          <w:sz w:val="22"/>
          <w:szCs w:val="22"/>
        </w:rPr>
      </w:pPr>
    </w:p>
    <w:p w14:paraId="507B78A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Centros de Protección y Bienestar Animal deberán contar con médicos veterinarios o médicos veterinarios zootecnistas o estudiantes universitarios de veterinaria que estén cursando último semestre que ejercerán bajó la guía de los profesionales, para la realización de los procedimientos o tratamientos que estos requieran. Estos profesionales podrán además proporcionar los conceptos, informes técnicos o periciales para el desarrollo de la investigación de los delitos, los hechos dañinos y actos de crueldad cometidos en contra de los animales.</w:t>
      </w:r>
    </w:p>
    <w:p w14:paraId="2BD1AA11" w14:textId="77777777" w:rsidR="00655DDF" w:rsidRDefault="00655DDF">
      <w:pPr>
        <w:jc w:val="both"/>
        <w:rPr>
          <w:rFonts w:ascii="Bookman Old Style" w:eastAsia="Bookman Old Style" w:hAnsi="Bookman Old Style" w:cs="Bookman Old Style"/>
          <w:b/>
          <w:sz w:val="22"/>
          <w:szCs w:val="22"/>
        </w:rPr>
      </w:pPr>
    </w:p>
    <w:p w14:paraId="2576158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49º.</w:t>
      </w:r>
      <w:r>
        <w:rPr>
          <w:rFonts w:ascii="Bookman Old Style" w:eastAsia="Bookman Old Style" w:hAnsi="Bookman Old Style" w:cs="Bookman Old Style"/>
          <w:sz w:val="22"/>
          <w:szCs w:val="22"/>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14:paraId="3E23F312" w14:textId="77777777" w:rsidR="00655DDF" w:rsidRDefault="00655DDF">
      <w:pPr>
        <w:jc w:val="both"/>
        <w:rPr>
          <w:rFonts w:ascii="Bookman Old Style" w:eastAsia="Bookman Old Style" w:hAnsi="Bookman Old Style" w:cs="Bookman Old Style"/>
          <w:sz w:val="22"/>
          <w:szCs w:val="22"/>
        </w:rPr>
      </w:pPr>
    </w:p>
    <w:p w14:paraId="0430C10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p w14:paraId="5D69C198" w14:textId="77777777" w:rsidR="00655DDF" w:rsidRDefault="00655DDF">
      <w:pPr>
        <w:jc w:val="both"/>
        <w:rPr>
          <w:rFonts w:ascii="Bookman Old Style" w:eastAsia="Bookman Old Style" w:hAnsi="Bookman Old Style" w:cs="Bookman Old Style"/>
          <w:b/>
          <w:sz w:val="22"/>
          <w:szCs w:val="22"/>
        </w:rPr>
      </w:pPr>
    </w:p>
    <w:p w14:paraId="3D34C9D2" w14:textId="77777777" w:rsidR="00655DDF" w:rsidRDefault="00655DDF">
      <w:pPr>
        <w:jc w:val="both"/>
        <w:rPr>
          <w:rFonts w:ascii="Bookman Old Style" w:eastAsia="Bookman Old Style" w:hAnsi="Bookman Old Style" w:cs="Bookman Old Style"/>
          <w:b/>
          <w:sz w:val="22"/>
          <w:szCs w:val="22"/>
        </w:rPr>
      </w:pPr>
    </w:p>
    <w:p w14:paraId="2D2F62D2" w14:textId="77777777" w:rsidR="00655DDF" w:rsidRDefault="00655DDF">
      <w:pPr>
        <w:jc w:val="center"/>
        <w:rPr>
          <w:rFonts w:ascii="Bookman Old Style" w:eastAsia="Bookman Old Style" w:hAnsi="Bookman Old Style" w:cs="Bookman Old Style"/>
          <w:b/>
          <w:sz w:val="22"/>
          <w:szCs w:val="22"/>
        </w:rPr>
      </w:pPr>
    </w:p>
    <w:p w14:paraId="0DEECA7D" w14:textId="77777777" w:rsidR="00655DDF" w:rsidRDefault="00655DDF">
      <w:pPr>
        <w:jc w:val="center"/>
        <w:rPr>
          <w:rFonts w:ascii="Bookman Old Style" w:eastAsia="Bookman Old Style" w:hAnsi="Bookman Old Style" w:cs="Bookman Old Style"/>
          <w:b/>
          <w:sz w:val="22"/>
          <w:szCs w:val="22"/>
        </w:rPr>
      </w:pPr>
    </w:p>
    <w:p w14:paraId="1CDAD9BB" w14:textId="77777777" w:rsidR="00655DDF" w:rsidRDefault="00655DDF">
      <w:pPr>
        <w:jc w:val="center"/>
        <w:rPr>
          <w:rFonts w:ascii="Bookman Old Style" w:eastAsia="Bookman Old Style" w:hAnsi="Bookman Old Style" w:cs="Bookman Old Style"/>
          <w:b/>
          <w:sz w:val="22"/>
          <w:szCs w:val="22"/>
        </w:rPr>
      </w:pPr>
    </w:p>
    <w:p w14:paraId="12DF96E1"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VIII</w:t>
      </w:r>
    </w:p>
    <w:p w14:paraId="26ABF534"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DEL PROCEDIMIENTO SANCIONATORIO</w:t>
      </w:r>
    </w:p>
    <w:p w14:paraId="2DEA9FF6" w14:textId="77777777" w:rsidR="00655DDF" w:rsidRDefault="00655DDF">
      <w:pPr>
        <w:jc w:val="both"/>
        <w:rPr>
          <w:rFonts w:ascii="Bookman Old Style" w:eastAsia="Bookman Old Style" w:hAnsi="Bookman Old Style" w:cs="Bookman Old Style"/>
          <w:b/>
          <w:sz w:val="22"/>
          <w:szCs w:val="22"/>
        </w:rPr>
      </w:pPr>
    </w:p>
    <w:p w14:paraId="1D077291" w14:textId="77777777" w:rsidR="00655DDF" w:rsidRDefault="00655DDF">
      <w:pPr>
        <w:jc w:val="both"/>
        <w:rPr>
          <w:rFonts w:ascii="Bookman Old Style" w:eastAsia="Bookman Old Style" w:hAnsi="Bookman Old Style" w:cs="Bookman Old Style"/>
          <w:b/>
          <w:sz w:val="22"/>
          <w:szCs w:val="22"/>
        </w:rPr>
      </w:pPr>
    </w:p>
    <w:p w14:paraId="41C2E21E"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w:t>
      </w:r>
    </w:p>
    <w:p w14:paraId="6C6970A3"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DISPOSICIONES GENERALES.</w:t>
      </w:r>
    </w:p>
    <w:p w14:paraId="241311F5" w14:textId="77777777" w:rsidR="00655DDF" w:rsidRDefault="00655DDF">
      <w:pPr>
        <w:jc w:val="both"/>
        <w:rPr>
          <w:rFonts w:ascii="Bookman Old Style" w:eastAsia="Bookman Old Style" w:hAnsi="Bookman Old Style" w:cs="Bookman Old Style"/>
          <w:b/>
          <w:sz w:val="22"/>
          <w:szCs w:val="22"/>
        </w:rPr>
      </w:pPr>
    </w:p>
    <w:p w14:paraId="0AA4975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50º.</w:t>
      </w:r>
      <w:r>
        <w:rPr>
          <w:rFonts w:ascii="Bookman Old Style" w:eastAsia="Bookman Old Style" w:hAnsi="Bookman Old Style" w:cs="Bookman Old Style"/>
          <w:sz w:val="22"/>
          <w:szCs w:val="22"/>
        </w:rPr>
        <w:t xml:space="preserve"> El Estado es el titular de la potestad investigativa y sancionatoria en materia de protección y bienestar animal y la ejerce, sin perjuicio de las competencias legales de otras autoridades, a través de la Fiscalía General de la Nación, las Corporaciones Autónomas Regionales, las de Desarrollo Sostenible, las </w:t>
      </w:r>
      <w:r>
        <w:rPr>
          <w:rFonts w:ascii="Bookman Old Style" w:eastAsia="Bookman Old Style" w:hAnsi="Bookman Old Style" w:cs="Bookman Old Style"/>
          <w:sz w:val="22"/>
          <w:szCs w:val="22"/>
        </w:rPr>
        <w:lastRenderedPageBreak/>
        <w:t>Unidades Ambientales de los Grandes Centros Urbanos, los Establecimientos Públicos Ambientales, las Alcaldías Distritales y Municipales, la Policía Nacional y las demás autoridades a las que hace referencia esta ley, así como las normas que lo complementen o desarrollen.</w:t>
      </w:r>
    </w:p>
    <w:p w14:paraId="674E5B9D" w14:textId="77777777" w:rsidR="00655DDF" w:rsidRDefault="00655DDF">
      <w:pPr>
        <w:jc w:val="both"/>
        <w:rPr>
          <w:rFonts w:ascii="Bookman Old Style" w:eastAsia="Bookman Old Style" w:hAnsi="Bookman Old Style" w:cs="Bookman Old Style"/>
          <w:b/>
          <w:sz w:val="22"/>
          <w:szCs w:val="22"/>
        </w:rPr>
      </w:pPr>
    </w:p>
    <w:p w14:paraId="441D77A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51º.</w:t>
      </w:r>
      <w:r>
        <w:rPr>
          <w:rFonts w:ascii="Bookman Old Style" w:eastAsia="Bookman Old Style" w:hAnsi="Bookman Old Style" w:cs="Bookman Old Style"/>
          <w:sz w:val="22"/>
          <w:szCs w:val="22"/>
        </w:rPr>
        <w:t xml:space="preserve"> Son aplicables al procedimiento administrativo sancionatorio en materia de protección y bienestar animal, los principios constitucionales y legales que rigen las actuaciones administrativas.</w:t>
      </w:r>
    </w:p>
    <w:p w14:paraId="3984A899" w14:textId="77777777" w:rsidR="00655DDF" w:rsidRDefault="00655DDF">
      <w:pPr>
        <w:jc w:val="both"/>
        <w:rPr>
          <w:rFonts w:ascii="Bookman Old Style" w:eastAsia="Bookman Old Style" w:hAnsi="Bookman Old Style" w:cs="Bookman Old Style"/>
          <w:b/>
          <w:sz w:val="22"/>
          <w:szCs w:val="22"/>
        </w:rPr>
      </w:pPr>
    </w:p>
    <w:p w14:paraId="3144C86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52º</w:t>
      </w:r>
      <w:r>
        <w:rPr>
          <w:rFonts w:ascii="Bookman Old Style" w:eastAsia="Bookman Old Style" w:hAnsi="Bookman Old Style" w:cs="Bookman Old Style"/>
          <w:sz w:val="22"/>
          <w:szCs w:val="22"/>
        </w:rPr>
        <w:t>. Las sanciones administrativas en materia de protección y bienestar animal tienen una función preventiva, correctiva y retributiva, para garantizar la efectividad de los principios y fines previstos en la Constitución, la ley y en las reglamentaciones.</w:t>
      </w:r>
    </w:p>
    <w:p w14:paraId="36C80010" w14:textId="77777777" w:rsidR="00655DDF" w:rsidRDefault="00655DDF">
      <w:pPr>
        <w:jc w:val="both"/>
        <w:rPr>
          <w:rFonts w:ascii="Bookman Old Style" w:eastAsia="Bookman Old Style" w:hAnsi="Bookman Old Style" w:cs="Bookman Old Style"/>
          <w:b/>
          <w:sz w:val="22"/>
          <w:szCs w:val="22"/>
        </w:rPr>
      </w:pPr>
    </w:p>
    <w:p w14:paraId="31B742F3" w14:textId="77777777" w:rsidR="00655DDF" w:rsidRDefault="00655DDF">
      <w:pPr>
        <w:jc w:val="both"/>
        <w:rPr>
          <w:rFonts w:ascii="Bookman Old Style" w:eastAsia="Bookman Old Style" w:hAnsi="Bookman Old Style" w:cs="Bookman Old Style"/>
          <w:b/>
          <w:sz w:val="22"/>
          <w:szCs w:val="22"/>
        </w:rPr>
      </w:pPr>
    </w:p>
    <w:p w14:paraId="5E9035A6"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CAPITULO II</w:t>
      </w:r>
    </w:p>
    <w:p w14:paraId="5D67052F"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APREHENSIÓN O DECOMISO PREVENTIVO</w:t>
      </w:r>
    </w:p>
    <w:p w14:paraId="543EBAC8" w14:textId="77777777" w:rsidR="00655DDF" w:rsidRDefault="00655DDF">
      <w:pPr>
        <w:jc w:val="center"/>
        <w:rPr>
          <w:rFonts w:ascii="Bookman Old Style" w:eastAsia="Bookman Old Style" w:hAnsi="Bookman Old Style" w:cs="Bookman Old Style"/>
          <w:b/>
          <w:sz w:val="22"/>
          <w:szCs w:val="22"/>
        </w:rPr>
      </w:pPr>
    </w:p>
    <w:p w14:paraId="05907B47" w14:textId="77777777" w:rsidR="00655DDF" w:rsidRDefault="00655DDF">
      <w:pPr>
        <w:jc w:val="both"/>
        <w:rPr>
          <w:rFonts w:ascii="Bookman Old Style" w:eastAsia="Bookman Old Style" w:hAnsi="Bookman Old Style" w:cs="Bookman Old Style"/>
          <w:b/>
          <w:sz w:val="22"/>
          <w:szCs w:val="22"/>
        </w:rPr>
      </w:pPr>
    </w:p>
    <w:p w14:paraId="12D6067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53º.</w:t>
      </w:r>
      <w:r>
        <w:rPr>
          <w:rFonts w:ascii="Bookman Old Style" w:eastAsia="Bookman Old Style" w:hAnsi="Bookman Old Style" w:cs="Bookman Old Style"/>
          <w:sz w:val="22"/>
          <w:szCs w:val="22"/>
        </w:rPr>
        <w:t xml:space="preserve"> Previo a la imposición de una sanción procederá el decomiso o aprehensión preventiva de un animal que se encuentre en riesgo, que haya sido objeto de tratos crueles o al que no se le estén satisfaciendo sus necesidades de conformidad con lo previsto en esta ley y demás normas de protección y bienestar animal, siempre que esta circunstancia no le genere mayor afectación.</w:t>
      </w:r>
    </w:p>
    <w:p w14:paraId="37C3F65A" w14:textId="77777777" w:rsidR="00655DDF" w:rsidRDefault="00655DDF">
      <w:pPr>
        <w:jc w:val="both"/>
        <w:rPr>
          <w:rFonts w:ascii="Bookman Old Style" w:eastAsia="Bookman Old Style" w:hAnsi="Bookman Old Style" w:cs="Bookman Old Style"/>
          <w:sz w:val="22"/>
          <w:szCs w:val="22"/>
        </w:rPr>
      </w:pPr>
    </w:p>
    <w:p w14:paraId="73CEA7B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aprehensión preventiva será realizada por la Policía Nacional. Para el efecto, se podrá aplicar el procedimiento previsto en el artículo 163 de la Ley 1801 de 2016, respectivo al ingreso a inmueble sin orden escrita, siempre y cuando exista un grave riesgo a la vida o a la salud del animal que se pretende proteger. </w:t>
      </w:r>
    </w:p>
    <w:p w14:paraId="5A05338E" w14:textId="77777777" w:rsidR="00655DDF" w:rsidRDefault="00655DDF">
      <w:pPr>
        <w:jc w:val="both"/>
        <w:rPr>
          <w:rFonts w:ascii="Bookman Old Style" w:eastAsia="Bookman Old Style" w:hAnsi="Bookman Old Style" w:cs="Bookman Old Style"/>
          <w:sz w:val="22"/>
          <w:szCs w:val="22"/>
        </w:rPr>
      </w:pPr>
    </w:p>
    <w:p w14:paraId="1497B63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 la procedencia del decomiso o aprehensión preventiva deberá realizarse una verificación de las condiciones del animal para efectos de determinar, de forma preliminar, si su vida, salud o bienestar están en riesgo y si procede la medida. De ser así, el animal será decomisado o aprehendido y remitido a un Centro de Protección y Bienestar Animal, a un Centro de Atención y Valoración -CAV o a un Centro de Atención, Valoración y Rehabilitación -CAVR de Animales Silvestres, según sea el caso.</w:t>
      </w:r>
    </w:p>
    <w:p w14:paraId="1B36177A" w14:textId="77777777" w:rsidR="00655DDF" w:rsidRDefault="00655DDF">
      <w:pPr>
        <w:jc w:val="both"/>
        <w:rPr>
          <w:rFonts w:ascii="Bookman Old Style" w:eastAsia="Bookman Old Style" w:hAnsi="Bookman Old Style" w:cs="Bookman Old Style"/>
          <w:sz w:val="22"/>
          <w:szCs w:val="22"/>
        </w:rPr>
      </w:pPr>
    </w:p>
    <w:p w14:paraId="052F5F5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También habrá lugar al decomiso cuando medie solicitud de autoridad competente.</w:t>
      </w:r>
    </w:p>
    <w:p w14:paraId="0569530B" w14:textId="77777777" w:rsidR="00655DDF" w:rsidRDefault="00655DDF">
      <w:pPr>
        <w:jc w:val="both"/>
        <w:rPr>
          <w:rFonts w:ascii="Bookman Old Style" w:eastAsia="Bookman Old Style" w:hAnsi="Bookman Old Style" w:cs="Bookman Old Style"/>
          <w:b/>
          <w:sz w:val="22"/>
          <w:szCs w:val="22"/>
        </w:rPr>
      </w:pPr>
    </w:p>
    <w:p w14:paraId="34A3769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54º. </w:t>
      </w:r>
      <w:r>
        <w:rPr>
          <w:rFonts w:ascii="Bookman Old Style" w:eastAsia="Bookman Old Style" w:hAnsi="Bookman Old Style" w:cs="Bookman Old Style"/>
          <w:sz w:val="22"/>
          <w:szCs w:val="22"/>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14:paraId="7E0904B2" w14:textId="77777777" w:rsidR="00655DDF" w:rsidRDefault="00655DDF">
      <w:pPr>
        <w:jc w:val="both"/>
        <w:rPr>
          <w:rFonts w:ascii="Bookman Old Style" w:eastAsia="Bookman Old Style" w:hAnsi="Bookman Old Style" w:cs="Bookman Old Style"/>
          <w:sz w:val="22"/>
          <w:szCs w:val="22"/>
        </w:rPr>
      </w:pPr>
    </w:p>
    <w:p w14:paraId="3B06275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Si el animal, doméstico o silvestre, se encuentra en un estado que comprometa gravemente su vida, deberán realizarse las maniobras o procedimientos de estabilización correspondientes.</w:t>
      </w:r>
    </w:p>
    <w:p w14:paraId="761EEB45" w14:textId="77777777" w:rsidR="00655DDF" w:rsidRDefault="00655DDF">
      <w:pPr>
        <w:jc w:val="both"/>
        <w:rPr>
          <w:rFonts w:ascii="Bookman Old Style" w:eastAsia="Bookman Old Style" w:hAnsi="Bookman Old Style" w:cs="Bookman Old Style"/>
          <w:sz w:val="22"/>
          <w:szCs w:val="22"/>
        </w:rPr>
      </w:pPr>
    </w:p>
    <w:p w14:paraId="1B34B3A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55º. </w:t>
      </w:r>
      <w:r>
        <w:rPr>
          <w:rFonts w:ascii="Bookman Old Style" w:eastAsia="Bookman Old Style" w:hAnsi="Bookman Old Style" w:cs="Bookman Old Style"/>
          <w:sz w:val="22"/>
          <w:szCs w:val="22"/>
        </w:rPr>
        <w:t>El decomiso o aprehensión preventiva no implicará la imposición de una sanción y tendrá como finalidad prevenir, impedir o evitar la continuación de la ocurrencia de un hecho, la realización de una actividad o la existencia de una situación que atente contra la vida, salud e integridad del animal.</w:t>
      </w:r>
    </w:p>
    <w:p w14:paraId="4FDCAB44" w14:textId="77777777" w:rsidR="00655DDF" w:rsidRDefault="00655DDF">
      <w:pPr>
        <w:jc w:val="both"/>
        <w:rPr>
          <w:rFonts w:ascii="Bookman Old Style" w:eastAsia="Bookman Old Style" w:hAnsi="Bookman Old Style" w:cs="Bookman Old Style"/>
          <w:sz w:val="22"/>
          <w:szCs w:val="22"/>
        </w:rPr>
      </w:pPr>
    </w:p>
    <w:p w14:paraId="5FA31FE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Cuando en el decomiso o aprehensión del animal no medie denuncia ante las autoridades competentes, se tendrá un término de 8 días para presentar la respectiva denuncia o informe policivo. Vencido el término sin la presentación de la denuncia o informe policivo, se procederá a regresar al animal a su propietario. </w:t>
      </w:r>
    </w:p>
    <w:p w14:paraId="100ABBDB" w14:textId="77777777" w:rsidR="00655DDF" w:rsidRDefault="00655DDF">
      <w:pPr>
        <w:jc w:val="both"/>
        <w:rPr>
          <w:rFonts w:ascii="Bookman Old Style" w:eastAsia="Bookman Old Style" w:hAnsi="Bookman Old Style" w:cs="Bookman Old Style"/>
          <w:sz w:val="22"/>
          <w:szCs w:val="22"/>
        </w:rPr>
      </w:pPr>
    </w:p>
    <w:p w14:paraId="06D56E1E" w14:textId="77777777" w:rsidR="00655DDF" w:rsidRDefault="00655DDF">
      <w:pPr>
        <w:jc w:val="both"/>
        <w:rPr>
          <w:rFonts w:ascii="Bookman Old Style" w:eastAsia="Bookman Old Style" w:hAnsi="Bookman Old Style" w:cs="Bookman Old Style"/>
          <w:sz w:val="22"/>
          <w:szCs w:val="22"/>
        </w:rPr>
      </w:pPr>
    </w:p>
    <w:p w14:paraId="44EE392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56º. </w:t>
      </w:r>
      <w:r>
        <w:rPr>
          <w:rFonts w:ascii="Bookman Old Style" w:eastAsia="Bookman Old Style" w:hAnsi="Bookman Old Style" w:cs="Bookman Old Style"/>
          <w:sz w:val="22"/>
          <w:szCs w:val="22"/>
        </w:rPr>
        <w:t>En caso que el Centro de Protección y Bienestar Animal -CPBA o el Centro de Atención, Valoración y Rehabilitación de Animales Silvestres -CAVR del lugar donde se decomisa o aprehende el animal no esté en capacidad de recibirlo, podrá remitirse, previa verificación del registro o autorización de funcionamiento, a un hogar de paso, una de las instalaciones de las que trata la Resolución No. 2064 de 2010 del Ministerio de Ambiente y Desarrollo Sostenible o la norma que la modifique, o a fundación, asociación, organización no gubernamental o entidad de la sociedad civil dedicada al rescate, recuperación y rehabilitación de animales.</w:t>
      </w:r>
    </w:p>
    <w:p w14:paraId="02139F95" w14:textId="77777777" w:rsidR="00655DDF" w:rsidRDefault="00655DDF">
      <w:pPr>
        <w:jc w:val="both"/>
        <w:rPr>
          <w:rFonts w:ascii="Bookman Old Style" w:eastAsia="Bookman Old Style" w:hAnsi="Bookman Old Style" w:cs="Bookman Old Style"/>
          <w:sz w:val="22"/>
          <w:szCs w:val="22"/>
        </w:rPr>
      </w:pPr>
    </w:p>
    <w:p w14:paraId="45DDC7C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57º. </w:t>
      </w:r>
      <w:r>
        <w:rPr>
          <w:rFonts w:ascii="Bookman Old Style" w:eastAsia="Bookman Old Style" w:hAnsi="Bookman Old Style" w:cs="Bookman Old Style"/>
          <w:sz w:val="22"/>
          <w:szCs w:val="22"/>
        </w:rPr>
        <w:t>En cualquier caso, los Centros de Protección y Bienestar Animal-CPBA, los Centros de Atención, Valoración y Rehabilitación de Animales Silvestres –CAVR, o las asociaciones, organizaciones no gubernamentales o entidades de la sociedad civil dedicadas al rescate, recuperación y rehabilitación de animales, serán responsables por la vida e integridad del animal que permanezca bajo su cuidado.</w:t>
      </w:r>
    </w:p>
    <w:p w14:paraId="684532E5" w14:textId="77777777" w:rsidR="00655DDF" w:rsidRDefault="00655DDF">
      <w:pPr>
        <w:jc w:val="both"/>
        <w:rPr>
          <w:rFonts w:ascii="Bookman Old Style" w:eastAsia="Bookman Old Style" w:hAnsi="Bookman Old Style" w:cs="Bookman Old Style"/>
          <w:b/>
          <w:sz w:val="22"/>
          <w:szCs w:val="22"/>
        </w:rPr>
      </w:pPr>
    </w:p>
    <w:p w14:paraId="41BE6EB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58º. </w:t>
      </w:r>
      <w:r>
        <w:rPr>
          <w:rFonts w:ascii="Bookman Old Style" w:eastAsia="Bookman Old Style" w:hAnsi="Bookman Old Style" w:cs="Bookman Old Style"/>
          <w:sz w:val="22"/>
          <w:szCs w:val="22"/>
        </w:rPr>
        <w:t>Cuando se trate de animales domésticos, el propietario deberá asumir sus gastos de alimentación y manutención mientras se desarrolla la investigación. En caso de que no lo haga el Centro de Protección y Bienestar Animal, o a la institución que lo tenga bajo su cuidado, quedará habilitado a los 15 días contados a partir de la recepción del animal para que inicie el proceso de adopción.</w:t>
      </w:r>
    </w:p>
    <w:p w14:paraId="41AAD938" w14:textId="77777777" w:rsidR="00655DDF" w:rsidRDefault="00655DDF">
      <w:pPr>
        <w:jc w:val="both"/>
        <w:rPr>
          <w:rFonts w:ascii="Bookman Old Style" w:eastAsia="Bookman Old Style" w:hAnsi="Bookman Old Style" w:cs="Bookman Old Style"/>
          <w:b/>
          <w:sz w:val="22"/>
          <w:szCs w:val="22"/>
        </w:rPr>
      </w:pPr>
    </w:p>
    <w:p w14:paraId="525C18A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59º. </w:t>
      </w:r>
      <w:r>
        <w:rPr>
          <w:rFonts w:ascii="Bookman Old Style" w:eastAsia="Bookman Old Style" w:hAnsi="Bookman Old Style" w:cs="Bookman Old Style"/>
          <w:sz w:val="22"/>
          <w:szCs w:val="22"/>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p w14:paraId="322A9A4E" w14:textId="77777777" w:rsidR="00655DDF" w:rsidRDefault="00655DDF">
      <w:pPr>
        <w:jc w:val="both"/>
        <w:rPr>
          <w:rFonts w:ascii="Bookman Old Style" w:eastAsia="Bookman Old Style" w:hAnsi="Bookman Old Style" w:cs="Bookman Old Style"/>
          <w:sz w:val="22"/>
          <w:szCs w:val="22"/>
        </w:rPr>
      </w:pPr>
    </w:p>
    <w:p w14:paraId="276E81CC"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III</w:t>
      </w:r>
    </w:p>
    <w:p w14:paraId="55763252"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LAS INFRACCIONES EN MATERIA DE </w:t>
      </w:r>
    </w:p>
    <w:p w14:paraId="32754B02"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PROTECCIÓN Y BIENESTAR ANIMAL</w:t>
      </w:r>
    </w:p>
    <w:p w14:paraId="58CB4FAF" w14:textId="77777777" w:rsidR="00655DDF" w:rsidRDefault="00655DDF">
      <w:pPr>
        <w:jc w:val="both"/>
        <w:rPr>
          <w:rFonts w:ascii="Bookman Old Style" w:eastAsia="Bookman Old Style" w:hAnsi="Bookman Old Style" w:cs="Bookman Old Style"/>
          <w:b/>
          <w:sz w:val="22"/>
          <w:szCs w:val="22"/>
        </w:rPr>
      </w:pPr>
    </w:p>
    <w:p w14:paraId="0ABCE31D" w14:textId="77777777" w:rsidR="00655DDF" w:rsidRDefault="00655DDF">
      <w:pPr>
        <w:jc w:val="both"/>
        <w:rPr>
          <w:rFonts w:ascii="Bookman Old Style" w:eastAsia="Bookman Old Style" w:hAnsi="Bookman Old Style" w:cs="Bookman Old Style"/>
          <w:b/>
          <w:sz w:val="22"/>
          <w:szCs w:val="22"/>
        </w:rPr>
      </w:pPr>
    </w:p>
    <w:p w14:paraId="0B6190A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60º. </w:t>
      </w:r>
      <w:r>
        <w:rPr>
          <w:rFonts w:ascii="Bookman Old Style" w:eastAsia="Bookman Old Style" w:hAnsi="Bookman Old Style" w:cs="Bookman Old Style"/>
          <w:sz w:val="22"/>
          <w:szCs w:val="22"/>
        </w:rPr>
        <w:t>Se considera infracción en materia de protección y bienestar animal toda acción u omisión que constituya violación de las normas contenidas en esta Ley, en la Ley 84 de 1989, en la Ley 1774 de 2016 y en las demás disposiciones relativas a protección y bienestar animal vigentes que contemplen infracciones relacionadas con esta materia.</w:t>
      </w:r>
    </w:p>
    <w:p w14:paraId="38F7043A" w14:textId="77777777" w:rsidR="00655DDF" w:rsidRDefault="00655DDF">
      <w:pPr>
        <w:jc w:val="both"/>
        <w:rPr>
          <w:rFonts w:ascii="Bookman Old Style" w:eastAsia="Bookman Old Style" w:hAnsi="Bookman Old Style" w:cs="Bookman Old Style"/>
          <w:b/>
          <w:sz w:val="22"/>
          <w:szCs w:val="22"/>
        </w:rPr>
      </w:pPr>
    </w:p>
    <w:p w14:paraId="7769E95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61º.</w:t>
      </w:r>
      <w:r>
        <w:rPr>
          <w:rFonts w:ascii="Bookman Old Style" w:eastAsia="Bookman Old Style" w:hAnsi="Bookman Old Style" w:cs="Bookman Old Style"/>
          <w:sz w:val="22"/>
          <w:szCs w:val="22"/>
        </w:rPr>
        <w:t xml:space="preserve"> Son eximentes de responsabilidad:</w:t>
      </w:r>
    </w:p>
    <w:p w14:paraId="35292790" w14:textId="77777777" w:rsidR="00655DDF" w:rsidRDefault="00655DDF">
      <w:pPr>
        <w:jc w:val="both"/>
        <w:rPr>
          <w:rFonts w:ascii="Bookman Old Style" w:eastAsia="Bookman Old Style" w:hAnsi="Bookman Old Style" w:cs="Bookman Old Style"/>
          <w:b/>
          <w:sz w:val="22"/>
          <w:szCs w:val="22"/>
        </w:rPr>
      </w:pPr>
    </w:p>
    <w:p w14:paraId="06DF964F" w14:textId="77777777" w:rsidR="00655DDF" w:rsidRDefault="00000000">
      <w:pPr>
        <w:numPr>
          <w:ilvl w:val="1"/>
          <w:numId w:val="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Los eventos de fuerza mayor o caso fortuito</w:t>
      </w:r>
    </w:p>
    <w:p w14:paraId="4A9603C1" w14:textId="77777777" w:rsidR="00655DDF" w:rsidRDefault="00000000">
      <w:pPr>
        <w:numPr>
          <w:ilvl w:val="1"/>
          <w:numId w:val="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Cuando se obre en legítima defensa actual o inminente, propia o de un tercero</w:t>
      </w:r>
    </w:p>
    <w:p w14:paraId="781ADFA6" w14:textId="77777777" w:rsidR="00655DDF" w:rsidRDefault="00000000">
      <w:pPr>
        <w:numPr>
          <w:ilvl w:val="1"/>
          <w:numId w:val="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Cuando razonablemente se obre en estado de necesidad o peligro inminente</w:t>
      </w:r>
    </w:p>
    <w:p w14:paraId="3A02C9A8" w14:textId="77777777" w:rsidR="00655DDF" w:rsidRDefault="00000000">
      <w:pPr>
        <w:numPr>
          <w:ilvl w:val="1"/>
          <w:numId w:val="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hecho de un tercero</w:t>
      </w:r>
    </w:p>
    <w:p w14:paraId="17FF1085" w14:textId="77777777" w:rsidR="00655DDF" w:rsidRDefault="00000000">
      <w:pPr>
        <w:numPr>
          <w:ilvl w:val="1"/>
          <w:numId w:val="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cumplimiento de un deber legal</w:t>
      </w:r>
    </w:p>
    <w:p w14:paraId="2F2973AB" w14:textId="77777777" w:rsidR="00655DDF" w:rsidRDefault="00000000">
      <w:pPr>
        <w:numPr>
          <w:ilvl w:val="1"/>
          <w:numId w:val="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cumplimiento de orden legítima de autoridad competente.</w:t>
      </w:r>
    </w:p>
    <w:p w14:paraId="6447272F" w14:textId="77777777" w:rsidR="00655DDF" w:rsidRDefault="00655DDF">
      <w:pPr>
        <w:jc w:val="both"/>
        <w:rPr>
          <w:rFonts w:ascii="Bookman Old Style" w:eastAsia="Bookman Old Style" w:hAnsi="Bookman Old Style" w:cs="Bookman Old Style"/>
          <w:sz w:val="22"/>
          <w:szCs w:val="22"/>
        </w:rPr>
      </w:pPr>
    </w:p>
    <w:p w14:paraId="18B71B8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62º.</w:t>
      </w:r>
      <w:r>
        <w:rPr>
          <w:rFonts w:ascii="Bookman Old Style" w:eastAsia="Bookman Old Style" w:hAnsi="Bookman Old Style" w:cs="Bookman Old Style"/>
          <w:sz w:val="22"/>
          <w:szCs w:val="22"/>
        </w:rPr>
        <w:t xml:space="preserve"> Son causales de cesación del procedimiento las siguientes:</w:t>
      </w:r>
    </w:p>
    <w:p w14:paraId="43A7E1A2" w14:textId="77777777" w:rsidR="00655DDF" w:rsidRDefault="00655DDF">
      <w:pPr>
        <w:jc w:val="both"/>
        <w:rPr>
          <w:rFonts w:ascii="Bookman Old Style" w:eastAsia="Bookman Old Style" w:hAnsi="Bookman Old Style" w:cs="Bookman Old Style"/>
          <w:sz w:val="22"/>
          <w:szCs w:val="22"/>
        </w:rPr>
      </w:pPr>
    </w:p>
    <w:p w14:paraId="1A87EAA8" w14:textId="77777777" w:rsidR="00655DDF" w:rsidRDefault="00000000">
      <w:pPr>
        <w:numPr>
          <w:ilvl w:val="1"/>
          <w:numId w:val="1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muerte del investigado en el caso de las personas naturales</w:t>
      </w:r>
    </w:p>
    <w:p w14:paraId="6B41EA99" w14:textId="77777777" w:rsidR="00655DDF" w:rsidRDefault="00000000">
      <w:pPr>
        <w:numPr>
          <w:ilvl w:val="1"/>
          <w:numId w:val="1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inexistencia del hecho</w:t>
      </w:r>
    </w:p>
    <w:p w14:paraId="5AD1D8EE" w14:textId="77777777" w:rsidR="00655DDF" w:rsidRDefault="00000000">
      <w:pPr>
        <w:numPr>
          <w:ilvl w:val="1"/>
          <w:numId w:val="1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Que la conducta investigada no sea atribuible al presunto infractor</w:t>
      </w:r>
    </w:p>
    <w:p w14:paraId="3F7C0B23" w14:textId="77777777" w:rsidR="00655DDF" w:rsidRDefault="00000000">
      <w:pPr>
        <w:numPr>
          <w:ilvl w:val="1"/>
          <w:numId w:val="1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Que la actividad esté legalmente amparada o autorizada.</w:t>
      </w:r>
    </w:p>
    <w:p w14:paraId="14C40E0A"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05B64A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Las causales consagradas en los numerales 62.1 y 62.3 operan sin perjuicio de continuar el procedimiento frente a los otros investigados si los hubiere.</w:t>
      </w:r>
    </w:p>
    <w:p w14:paraId="0D325941" w14:textId="77777777" w:rsidR="00655DDF" w:rsidRDefault="00655DDF">
      <w:pPr>
        <w:jc w:val="both"/>
        <w:rPr>
          <w:rFonts w:ascii="Bookman Old Style" w:eastAsia="Bookman Old Style" w:hAnsi="Bookman Old Style" w:cs="Bookman Old Style"/>
          <w:b/>
          <w:sz w:val="22"/>
          <w:szCs w:val="22"/>
        </w:rPr>
      </w:pPr>
    </w:p>
    <w:p w14:paraId="5F96D79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63º</w:t>
      </w:r>
      <w:r>
        <w:rPr>
          <w:rFonts w:ascii="Bookman Old Style" w:eastAsia="Bookman Old Style" w:hAnsi="Bookman Old Style" w:cs="Bookman Old Style"/>
          <w:sz w:val="22"/>
          <w:szCs w:val="22"/>
        </w:rPr>
        <w:t xml:space="preserve">. La acción sancionatoria en materia de protección y bienestar animal caduca a los cinco (5) años de haber sucedido el hecho u omisión generadora de la infracción. </w:t>
      </w:r>
    </w:p>
    <w:p w14:paraId="38DAD3C4" w14:textId="77777777" w:rsidR="00655DDF" w:rsidRDefault="00655DDF">
      <w:pPr>
        <w:jc w:val="both"/>
        <w:rPr>
          <w:rFonts w:ascii="Bookman Old Style" w:eastAsia="Bookman Old Style" w:hAnsi="Bookman Old Style" w:cs="Bookman Old Style"/>
          <w:sz w:val="22"/>
          <w:szCs w:val="22"/>
        </w:rPr>
      </w:pPr>
    </w:p>
    <w:p w14:paraId="3DFADA5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Si se trata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14:paraId="5B97617F" w14:textId="77777777" w:rsidR="00655DDF" w:rsidRDefault="00655DDF">
      <w:pPr>
        <w:jc w:val="both"/>
        <w:rPr>
          <w:rFonts w:ascii="Bookman Old Style" w:eastAsia="Bookman Old Style" w:hAnsi="Bookman Old Style" w:cs="Bookman Old Style"/>
          <w:sz w:val="22"/>
          <w:szCs w:val="22"/>
        </w:rPr>
      </w:pPr>
    </w:p>
    <w:p w14:paraId="598424D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64º</w:t>
      </w:r>
      <w:r>
        <w:rPr>
          <w:rFonts w:ascii="Bookman Old Style" w:eastAsia="Bookman Old Style" w:hAnsi="Bookman Old Style" w:cs="Bookman Old Style"/>
          <w:sz w:val="22"/>
          <w:szCs w:val="22"/>
        </w:rPr>
        <w:t>. Las sanciones impuestas y no ejecutadas perderán fuerza ejecutoria en los términos del artículo 91 de la Ley 1437 de 2011 o las normas que la sustituyan, modifiquen o deroguen.</w:t>
      </w:r>
    </w:p>
    <w:p w14:paraId="3D856468" w14:textId="77777777" w:rsidR="00655DDF" w:rsidRDefault="00655DDF">
      <w:pPr>
        <w:jc w:val="center"/>
        <w:rPr>
          <w:rFonts w:ascii="Bookman Old Style" w:eastAsia="Bookman Old Style" w:hAnsi="Bookman Old Style" w:cs="Bookman Old Style"/>
          <w:b/>
          <w:sz w:val="22"/>
          <w:szCs w:val="22"/>
        </w:rPr>
      </w:pPr>
    </w:p>
    <w:p w14:paraId="4169B4A3" w14:textId="77777777" w:rsidR="00655DDF" w:rsidRDefault="00655DDF">
      <w:pPr>
        <w:jc w:val="center"/>
        <w:rPr>
          <w:rFonts w:ascii="Bookman Old Style" w:eastAsia="Bookman Old Style" w:hAnsi="Bookman Old Style" w:cs="Bookman Old Style"/>
          <w:b/>
          <w:sz w:val="22"/>
          <w:szCs w:val="22"/>
        </w:rPr>
      </w:pPr>
    </w:p>
    <w:p w14:paraId="0F43964D"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IV</w:t>
      </w:r>
    </w:p>
    <w:p w14:paraId="2EE9CD95"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PROCEDIMIENTO ADMINISTRATIVO SANCIONATORIO</w:t>
      </w:r>
    </w:p>
    <w:p w14:paraId="5A809D27" w14:textId="77777777" w:rsidR="00655DDF"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 xml:space="preserve"> </w:t>
      </w:r>
    </w:p>
    <w:p w14:paraId="1319BAB6" w14:textId="77777777" w:rsidR="00655DDF" w:rsidRDefault="00655DDF">
      <w:pPr>
        <w:jc w:val="both"/>
        <w:rPr>
          <w:rFonts w:ascii="Bookman Old Style" w:eastAsia="Bookman Old Style" w:hAnsi="Bookman Old Style" w:cs="Bookman Old Style"/>
          <w:b/>
          <w:sz w:val="22"/>
          <w:szCs w:val="22"/>
        </w:rPr>
      </w:pPr>
    </w:p>
    <w:p w14:paraId="5D1C8DE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65º. </w:t>
      </w:r>
      <w:r>
        <w:rPr>
          <w:rFonts w:ascii="Bookman Old Style" w:eastAsia="Bookman Old Style" w:hAnsi="Bookman Old Style" w:cs="Bookman Old Style"/>
          <w:sz w:val="22"/>
          <w:szCs w:val="22"/>
        </w:rPr>
        <w:t>El procedimiento administrativo sancionatorio en materia de protección y bienestar animal estará en cabeza de los alcaldes, quienes se regirán por lo previsto en esta y, en lo no previsto, por las disposiciones de la Ley 1437 de 2011.</w:t>
      </w:r>
    </w:p>
    <w:p w14:paraId="2B7D33E2" w14:textId="77777777" w:rsidR="00655DDF" w:rsidRDefault="00655DDF">
      <w:pPr>
        <w:jc w:val="both"/>
        <w:rPr>
          <w:rFonts w:ascii="Bookman Old Style" w:eastAsia="Bookman Old Style" w:hAnsi="Bookman Old Style" w:cs="Bookman Old Style"/>
          <w:sz w:val="22"/>
          <w:szCs w:val="22"/>
        </w:rPr>
      </w:pPr>
    </w:p>
    <w:p w14:paraId="7D3C31D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virtud de la delegación, este procedimiento podrá ser adelantado por el inspector de policía que habilite el alcalde para tal fin. </w:t>
      </w:r>
    </w:p>
    <w:p w14:paraId="09506BDC" w14:textId="77777777" w:rsidR="00655DDF" w:rsidRDefault="00655DDF">
      <w:pPr>
        <w:jc w:val="both"/>
        <w:rPr>
          <w:rFonts w:ascii="Bookman Old Style" w:eastAsia="Bookman Old Style" w:hAnsi="Bookman Old Style" w:cs="Bookman Old Style"/>
          <w:sz w:val="22"/>
          <w:szCs w:val="22"/>
        </w:rPr>
      </w:pPr>
    </w:p>
    <w:p w14:paraId="6D46824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Para todos los efectos se entenderá que en el caso de la isla de San Andrés las competencias y funciones que este Código adjudica a los alcaldes, serán desarrolladas por el Gobernador de la Isla. </w:t>
      </w:r>
    </w:p>
    <w:p w14:paraId="4501CAB2" w14:textId="77777777" w:rsidR="00655DDF" w:rsidRDefault="00655DDF">
      <w:pPr>
        <w:jc w:val="both"/>
        <w:rPr>
          <w:rFonts w:ascii="Bookman Old Style" w:eastAsia="Bookman Old Style" w:hAnsi="Bookman Old Style" w:cs="Bookman Old Style"/>
          <w:b/>
          <w:sz w:val="22"/>
          <w:szCs w:val="22"/>
        </w:rPr>
      </w:pPr>
    </w:p>
    <w:p w14:paraId="70C9D8C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66º. </w:t>
      </w:r>
      <w:r>
        <w:rPr>
          <w:rFonts w:ascii="Bookman Old Style" w:eastAsia="Bookman Old Style" w:hAnsi="Bookman Old Style" w:cs="Bookman Old Style"/>
          <w:sz w:val="22"/>
          <w:szCs w:val="22"/>
        </w:rPr>
        <w:t>El procedimiento sancionatorio se adelantará de oficio o a petición de parte.</w:t>
      </w:r>
    </w:p>
    <w:p w14:paraId="0A8DC9B2" w14:textId="77777777" w:rsidR="00655DDF" w:rsidRDefault="00655DDF">
      <w:pPr>
        <w:jc w:val="both"/>
        <w:rPr>
          <w:rFonts w:ascii="Bookman Old Style" w:eastAsia="Bookman Old Style" w:hAnsi="Bookman Old Style" w:cs="Bookman Old Style"/>
          <w:sz w:val="22"/>
          <w:szCs w:val="22"/>
        </w:rPr>
      </w:pPr>
    </w:p>
    <w:p w14:paraId="7C7F7A1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la presentación de denuncias por parte de la ciudadanía, las alcaldías dispondrán de un servicio de correspondencia electrónico y una línea telefónica, los cuales deberán ser de público conocimiento. </w:t>
      </w:r>
    </w:p>
    <w:p w14:paraId="417CC38A" w14:textId="77777777" w:rsidR="00655DDF" w:rsidRDefault="00655DDF">
      <w:pPr>
        <w:jc w:val="both"/>
        <w:rPr>
          <w:rFonts w:ascii="Bookman Old Style" w:eastAsia="Bookman Old Style" w:hAnsi="Bookman Old Style" w:cs="Bookman Old Style"/>
          <w:sz w:val="22"/>
          <w:szCs w:val="22"/>
        </w:rPr>
      </w:pPr>
    </w:p>
    <w:p w14:paraId="6A665B8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w:t>
      </w:r>
      <w:r>
        <w:rPr>
          <w:rFonts w:ascii="Bookman Old Style" w:eastAsia="Bookman Old Style" w:hAnsi="Bookman Old Style" w:cs="Bookman Old Style"/>
          <w:sz w:val="22"/>
          <w:szCs w:val="22"/>
        </w:rPr>
        <w:t>Las alcaldías y distritos podrán articularse con la Policía Nacional para crear una sola línea de atención para la presentación de denuncias.</w:t>
      </w:r>
    </w:p>
    <w:p w14:paraId="73D20E13" w14:textId="77777777" w:rsidR="00655DDF" w:rsidRDefault="00655DDF">
      <w:pPr>
        <w:jc w:val="both"/>
        <w:rPr>
          <w:rFonts w:ascii="Bookman Old Style" w:eastAsia="Bookman Old Style" w:hAnsi="Bookman Old Style" w:cs="Bookman Old Style"/>
          <w:b/>
          <w:sz w:val="22"/>
          <w:szCs w:val="22"/>
        </w:rPr>
      </w:pPr>
    </w:p>
    <w:p w14:paraId="5C72EC6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67º. </w:t>
      </w:r>
      <w:r>
        <w:rPr>
          <w:rFonts w:ascii="Bookman Old Style" w:eastAsia="Bookman Old Style" w:hAnsi="Bookman Old Style" w:cs="Bookman Old Style"/>
          <w:sz w:val="22"/>
          <w:szCs w:val="22"/>
        </w:rPr>
        <w:t xml:space="preserve">Habiendo recibido la denuncia, el alcalde, o su delegado, solicitará verificación inmediata de las condiciones del animal por parte del Centro de Bienestar Animal o la Policía Nacional y el médico veterinario para, de ser procedente, adelantar el proceso de aprehensión o decomiso preventivo, si es que no se ha realizado previamente. </w:t>
      </w:r>
    </w:p>
    <w:p w14:paraId="3FE43536" w14:textId="77777777" w:rsidR="00655DDF" w:rsidRDefault="00655DDF">
      <w:pPr>
        <w:jc w:val="both"/>
        <w:rPr>
          <w:rFonts w:ascii="Bookman Old Style" w:eastAsia="Bookman Old Style" w:hAnsi="Bookman Old Style" w:cs="Bookman Old Style"/>
          <w:sz w:val="22"/>
          <w:szCs w:val="22"/>
        </w:rPr>
      </w:pPr>
    </w:p>
    <w:p w14:paraId="30DA33E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Cuando la conducta sea constitutiva de delito, falta disciplinaria o de otro tipo de infracción, se dará traslado inmediato a las autoridades competentes.</w:t>
      </w:r>
    </w:p>
    <w:p w14:paraId="3E0521B8" w14:textId="77777777" w:rsidR="00655DDF" w:rsidRDefault="00655DDF">
      <w:pPr>
        <w:jc w:val="both"/>
        <w:rPr>
          <w:rFonts w:ascii="Bookman Old Style" w:eastAsia="Bookman Old Style" w:hAnsi="Bookman Old Style" w:cs="Bookman Old Style"/>
          <w:b/>
          <w:sz w:val="22"/>
          <w:szCs w:val="22"/>
        </w:rPr>
      </w:pPr>
    </w:p>
    <w:p w14:paraId="65EB67A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w:t>
      </w:r>
      <w:r>
        <w:rPr>
          <w:rFonts w:ascii="Bookman Old Style" w:eastAsia="Bookman Old Style" w:hAnsi="Bookman Old Style" w:cs="Bookman Old Style"/>
          <w:sz w:val="22"/>
          <w:szCs w:val="22"/>
        </w:rPr>
        <w:t xml:space="preserve">La omisión de lo previsto en este artículo será causal de mala conducta para el servidor público. </w:t>
      </w:r>
    </w:p>
    <w:p w14:paraId="12F493BE" w14:textId="77777777" w:rsidR="00655DDF" w:rsidRDefault="00655DDF">
      <w:pPr>
        <w:jc w:val="both"/>
        <w:rPr>
          <w:rFonts w:ascii="Bookman Old Style" w:eastAsia="Bookman Old Style" w:hAnsi="Bookman Old Style" w:cs="Bookman Old Style"/>
          <w:sz w:val="22"/>
          <w:szCs w:val="22"/>
        </w:rPr>
      </w:pPr>
    </w:p>
    <w:p w14:paraId="4BD48F3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68º. </w:t>
      </w:r>
      <w:r>
        <w:rPr>
          <w:rFonts w:ascii="Bookman Old Style" w:eastAsia="Bookman Old Style" w:hAnsi="Bookman Old Style" w:cs="Bookman Old Style"/>
          <w:sz w:val="22"/>
          <w:szCs w:val="22"/>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14:paraId="34878E8B" w14:textId="77777777" w:rsidR="00655DDF" w:rsidRDefault="00655DDF">
      <w:pPr>
        <w:jc w:val="both"/>
        <w:rPr>
          <w:rFonts w:ascii="Bookman Old Style" w:eastAsia="Bookman Old Style" w:hAnsi="Bookman Old Style" w:cs="Bookman Old Style"/>
          <w:sz w:val="22"/>
          <w:szCs w:val="22"/>
        </w:rPr>
      </w:pPr>
    </w:p>
    <w:p w14:paraId="4F74489B" w14:textId="77777777" w:rsidR="00655DDF" w:rsidRDefault="00000000">
      <w:pPr>
        <w:pBdr>
          <w:top w:val="nil"/>
          <w:left w:val="nil"/>
          <w:bottom w:val="nil"/>
          <w:right w:val="nil"/>
          <w:between w:val="nil"/>
        </w:pBdr>
        <w:spacing w:after="16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alcalde o su delegado, posterior a la verificación de su competencia para conocer del asunto y como resultado de averiguaciones preliminares, establezca que existen méritos para adelantar un procedimiento sancionatorio, expedirá acto </w:t>
      </w:r>
      <w:r>
        <w:rPr>
          <w:rFonts w:ascii="Bookman Old Style" w:eastAsia="Bookman Old Style" w:hAnsi="Bookman Old Style" w:cs="Bookman Old Style"/>
          <w:color w:val="000000"/>
          <w:sz w:val="22"/>
          <w:szCs w:val="22"/>
        </w:rPr>
        <w:lastRenderedPageBreak/>
        <w:t xml:space="preserve">administrativo mediante el cual se convoqué a audiencia pública, este se notificará de manera personal al presunto infractor y quejoso. </w:t>
      </w:r>
    </w:p>
    <w:p w14:paraId="3B12418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audiencia pública se celebrará dentro un término improrrogable de diez (10) días a la notificación del auto.</w:t>
      </w:r>
    </w:p>
    <w:p w14:paraId="4669462A" w14:textId="77777777" w:rsidR="00655DDF" w:rsidRDefault="00655DDF">
      <w:pPr>
        <w:jc w:val="both"/>
        <w:rPr>
          <w:rFonts w:ascii="Bookman Old Style" w:eastAsia="Bookman Old Style" w:hAnsi="Bookman Old Style" w:cs="Bookman Old Style"/>
          <w:b/>
          <w:sz w:val="22"/>
          <w:szCs w:val="22"/>
        </w:rPr>
      </w:pPr>
    </w:p>
    <w:p w14:paraId="4FB59CD6"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ARTÍCULO 69º. </w:t>
      </w:r>
      <w:r>
        <w:rPr>
          <w:rFonts w:ascii="Bookman Old Style" w:eastAsia="Bookman Old Style" w:hAnsi="Bookman Old Style" w:cs="Bookman Old Style"/>
          <w:color w:val="000000"/>
          <w:sz w:val="22"/>
          <w:szCs w:val="22"/>
        </w:rPr>
        <w:t>La audiencia pública se realizará en el despacho del alcalde o su delegado. Esta se surtirá mediante los siguientes pasos: </w:t>
      </w:r>
    </w:p>
    <w:p w14:paraId="054EA6F2"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67464A"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 Argumentos.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14:paraId="56005D72"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70DD313"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b) Invitación a conciliar. Cuando fuese procedente la autoridad invitará a conciliar a las partes, que en todo caso deberán adoptar medidas para garantizar la protección y el bienestar del animal.</w:t>
      </w:r>
    </w:p>
    <w:p w14:paraId="186778FD"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49949C4"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caso que el procedimiento se haya adelantado de oficio, no tendrá lugar esta etapa;</w:t>
      </w:r>
    </w:p>
    <w:p w14:paraId="17AFC576"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D3710DD"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 Pruebas. Si el presunto infractor o el quejoso solicitan la práctica de pruebas adicionales, pertinentes y conducentes, y si la autoridad las considera viables o las requiere, las decretará y se practicarán en un término máximo de cinco (5) días. </w:t>
      </w:r>
    </w:p>
    <w:p w14:paraId="548ED5AF"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6A88DE5"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Igualmente, la autoridad podrá decretar de oficio las pruebas que requiera y dispondrá que se practiquen dentro del mismo término. La audiencia se reanudará al día siguiente al del vencimiento de la práctica de pruebas. </w:t>
      </w:r>
    </w:p>
    <w:p w14:paraId="0B582C36"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0A4D8ED"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14:paraId="5F22D69C"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69008B2"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 Decisión. Agotada la etapa probatoria, si la decisión no se ha tomado de plano, la autoridad valorará las pruebas, dictará la decisión e impondrá la sanción, si hay lugar a ello, sustentando su fallo con los respectivos fundamentos normativos y hechos conducentes demostrados. La decisión quedará notificada en estrados. </w:t>
      </w:r>
    </w:p>
    <w:p w14:paraId="6EAA6F53"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B7DBB1D"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ARTÍCULO 70º. </w:t>
      </w:r>
      <w:r>
        <w:rPr>
          <w:rFonts w:ascii="Bookman Old Style" w:eastAsia="Bookman Old Style" w:hAnsi="Bookman Old Style" w:cs="Bookman Old Style"/>
          <w:color w:val="000000"/>
          <w:sz w:val="22"/>
          <w:szCs w:val="22"/>
        </w:rPr>
        <w:t>Contra la decisión proferida por la autoridad solo procede el recurso de reposición, el cual se solicitará, concederá y sustentará dentro de la misma audiencia. El recurso de reposición se resolverá inmediatamente.</w:t>
      </w:r>
    </w:p>
    <w:p w14:paraId="41801A08" w14:textId="77777777" w:rsidR="00655DDF" w:rsidRDefault="00655DDF">
      <w:pPr>
        <w:jc w:val="both"/>
        <w:rPr>
          <w:rFonts w:ascii="Bookman Old Style" w:eastAsia="Bookman Old Style" w:hAnsi="Bookman Old Style" w:cs="Bookman Old Style"/>
          <w:sz w:val="22"/>
          <w:szCs w:val="22"/>
        </w:rPr>
      </w:pPr>
    </w:p>
    <w:p w14:paraId="6A737E38" w14:textId="77777777" w:rsidR="00655DDF"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ARTÍCULO 71º. </w:t>
      </w:r>
      <w:r>
        <w:rPr>
          <w:rFonts w:ascii="Bookman Old Style" w:eastAsia="Bookman Old Style" w:hAnsi="Bookman Old Style" w:cs="Bookman Old Style"/>
          <w:color w:val="000000"/>
          <w:sz w:val="22"/>
          <w:szCs w:val="22"/>
        </w:rPr>
        <w:t xml:space="preserve">Una vez ejecutoriada la decisión, esta se cumplirá en un término máximo de diez (10) días, so pena de incurrir en intereses moratorios liquidados al máximo legal permitido. </w:t>
      </w:r>
    </w:p>
    <w:p w14:paraId="6BBE17F6" w14:textId="77777777" w:rsidR="00655DDF" w:rsidRDefault="00655DDF">
      <w:pPr>
        <w:jc w:val="both"/>
        <w:rPr>
          <w:rFonts w:ascii="Bookman Old Style" w:eastAsia="Bookman Old Style" w:hAnsi="Bookman Old Style" w:cs="Bookman Old Style"/>
          <w:b/>
          <w:sz w:val="22"/>
          <w:szCs w:val="22"/>
        </w:rPr>
      </w:pPr>
    </w:p>
    <w:p w14:paraId="76AA2E9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72º.</w:t>
      </w:r>
      <w:r>
        <w:rPr>
          <w:rFonts w:ascii="Bookman Old Style" w:eastAsia="Bookman Old Style" w:hAnsi="Bookman Old Style" w:cs="Bookman Old Style"/>
          <w:sz w:val="22"/>
          <w:szCs w:val="22"/>
        </w:rPr>
        <w:t xml:space="preserve"> Cuando aparezca plenamente demostrada alguna de las causales que eximen de responsabilidad, cesará el procedimiento y así será declarado mediante acto administrativo motivado, el cual será notificado al investigado.</w:t>
      </w:r>
    </w:p>
    <w:p w14:paraId="79CABBE8" w14:textId="77777777" w:rsidR="00655DDF" w:rsidRDefault="00655DDF">
      <w:pPr>
        <w:jc w:val="both"/>
        <w:rPr>
          <w:rFonts w:ascii="Bookman Old Style" w:eastAsia="Bookman Old Style" w:hAnsi="Bookman Old Style" w:cs="Bookman Old Style"/>
          <w:sz w:val="22"/>
          <w:szCs w:val="22"/>
        </w:rPr>
      </w:pPr>
    </w:p>
    <w:p w14:paraId="7197BE1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cesación de procedimiento solo puede declararse antes del auto de formulación de cargos, excepto en el caso de fallecimiento del infractor. </w:t>
      </w:r>
    </w:p>
    <w:p w14:paraId="65659B6D" w14:textId="77777777" w:rsidR="00655DDF" w:rsidRDefault="00655DDF">
      <w:pPr>
        <w:jc w:val="both"/>
        <w:rPr>
          <w:rFonts w:ascii="Bookman Old Style" w:eastAsia="Bookman Old Style" w:hAnsi="Bookman Old Style" w:cs="Bookman Old Style"/>
          <w:sz w:val="22"/>
          <w:szCs w:val="22"/>
        </w:rPr>
      </w:pPr>
    </w:p>
    <w:p w14:paraId="0608A1A8"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V</w:t>
      </w:r>
    </w:p>
    <w:p w14:paraId="142E6394"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SANCIONES</w:t>
      </w:r>
    </w:p>
    <w:p w14:paraId="52AEEB6C" w14:textId="77777777" w:rsidR="00655DDF" w:rsidRDefault="00655DDF">
      <w:pPr>
        <w:jc w:val="both"/>
        <w:rPr>
          <w:rFonts w:ascii="Bookman Old Style" w:eastAsia="Bookman Old Style" w:hAnsi="Bookman Old Style" w:cs="Bookman Old Style"/>
          <w:b/>
          <w:sz w:val="22"/>
          <w:szCs w:val="22"/>
        </w:rPr>
      </w:pPr>
    </w:p>
    <w:p w14:paraId="1B8A7317" w14:textId="77777777" w:rsidR="00655DDF" w:rsidRDefault="00655DDF">
      <w:pPr>
        <w:jc w:val="both"/>
        <w:rPr>
          <w:rFonts w:ascii="Bookman Old Style" w:eastAsia="Bookman Old Style" w:hAnsi="Bookman Old Style" w:cs="Bookman Old Style"/>
          <w:b/>
          <w:sz w:val="22"/>
          <w:szCs w:val="22"/>
        </w:rPr>
      </w:pPr>
    </w:p>
    <w:p w14:paraId="296DFF9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73º. </w:t>
      </w:r>
      <w:r>
        <w:rPr>
          <w:rFonts w:ascii="Bookman Old Style" w:eastAsia="Bookman Old Style" w:hAnsi="Bookman Old Style" w:cs="Bookman Old Style"/>
          <w:sz w:val="22"/>
          <w:szCs w:val="22"/>
        </w:rPr>
        <w:t>El incumplimiento de las disposiciones en materia de protección y bienestar animal dará lugar a la iniciación del procedimiento administrativo sancionatorio en materia de protección y bienestar animal y, en caso de encontrar probada la responsabilidad, se impondrán las penas de multa determinadas en la ley.</w:t>
      </w:r>
    </w:p>
    <w:p w14:paraId="7BF218B7" w14:textId="77777777" w:rsidR="00655DDF" w:rsidRDefault="00655DDF">
      <w:pPr>
        <w:jc w:val="both"/>
        <w:rPr>
          <w:rFonts w:ascii="Bookman Old Style" w:eastAsia="Bookman Old Style" w:hAnsi="Bookman Old Style" w:cs="Bookman Old Style"/>
          <w:b/>
          <w:sz w:val="22"/>
          <w:szCs w:val="22"/>
        </w:rPr>
      </w:pPr>
    </w:p>
    <w:p w14:paraId="11AB29C8" w14:textId="77777777" w:rsidR="00655DDF" w:rsidRDefault="00655DDF">
      <w:pPr>
        <w:jc w:val="both"/>
        <w:rPr>
          <w:rFonts w:ascii="Bookman Old Style" w:eastAsia="Bookman Old Style" w:hAnsi="Bookman Old Style" w:cs="Bookman Old Style"/>
          <w:sz w:val="22"/>
          <w:szCs w:val="22"/>
        </w:rPr>
      </w:pPr>
    </w:p>
    <w:p w14:paraId="6E6E968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74º.</w:t>
      </w:r>
      <w:r>
        <w:rPr>
          <w:rFonts w:ascii="Bookman Old Style" w:eastAsia="Bookman Old Style" w:hAnsi="Bookman Old Style" w:cs="Bookman Old Style"/>
          <w:sz w:val="22"/>
          <w:szCs w:val="22"/>
        </w:rPr>
        <w:t xml:space="preserve"> Para efectos de actualizar las sanciones en materia de protección y bienestar animal establecidas en la Ley 84 de 1989, modifíquese el artículo de dicha norma el cual quedará así:</w:t>
      </w:r>
    </w:p>
    <w:p w14:paraId="23918DB7" w14:textId="77777777" w:rsidR="00655DDF" w:rsidRDefault="00655DDF">
      <w:pPr>
        <w:jc w:val="both"/>
        <w:rPr>
          <w:rFonts w:ascii="Bookman Old Style" w:eastAsia="Bookman Old Style" w:hAnsi="Bookman Old Style" w:cs="Bookman Old Style"/>
          <w:sz w:val="22"/>
          <w:szCs w:val="22"/>
        </w:rPr>
      </w:pPr>
    </w:p>
    <w:p w14:paraId="21F662B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14:paraId="04352FDE" w14:textId="77777777" w:rsidR="00655DDF" w:rsidRDefault="00655DDF">
      <w:pPr>
        <w:jc w:val="both"/>
        <w:rPr>
          <w:rFonts w:ascii="Bookman Old Style" w:eastAsia="Bookman Old Style" w:hAnsi="Bookman Old Style" w:cs="Bookman Old Style"/>
          <w:sz w:val="22"/>
          <w:szCs w:val="22"/>
        </w:rPr>
      </w:pPr>
    </w:p>
    <w:p w14:paraId="077A0C0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 presumen hechos dañinos y actos de crueldad para con los animales los siguientes:</w:t>
      </w:r>
    </w:p>
    <w:p w14:paraId="702C1ABE" w14:textId="77777777" w:rsidR="00655DDF" w:rsidRDefault="00655DDF">
      <w:pPr>
        <w:jc w:val="both"/>
        <w:rPr>
          <w:rFonts w:ascii="Bookman Old Style" w:eastAsia="Bookman Old Style" w:hAnsi="Bookman Old Style" w:cs="Bookman Old Style"/>
          <w:sz w:val="22"/>
          <w:szCs w:val="22"/>
        </w:rPr>
      </w:pPr>
    </w:p>
    <w:p w14:paraId="670ADFAF"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Herir o lesionar a un animal por golpe, arrastre, quemadura, cortada o punzada o con arma de fuego;</w:t>
      </w:r>
    </w:p>
    <w:p w14:paraId="273435BC"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Causar la muerte innecesaria o daño a un animal;</w:t>
      </w:r>
    </w:p>
    <w:p w14:paraId="18FE3C20"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Remover, destruir, mutilar o alterar cualquier miembro, órgano o apéndice de un animal vivo, sin que medie razón técnica, científica o zooprofiláctica;</w:t>
      </w:r>
    </w:p>
    <w:p w14:paraId="6C554E65"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Causar la muerte de un animal con procedimientos que prolonguen su agonía o que originen, angustia, sufrimiento o dolor. </w:t>
      </w:r>
    </w:p>
    <w:p w14:paraId="1FAD706E"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Promover, propiciar, manejar conducir o asistir a cualquier clase de competición, juego, exhibición, concurso, lucha, combate donde se enfrenten dos o más animales o estos con humanos;</w:t>
      </w:r>
    </w:p>
    <w:p w14:paraId="5BBEE97A"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Convertir en espectáculo público o privado, el maltrato, la tortura o la muerte de animales adiestrados o sin adiestrar;</w:t>
      </w:r>
    </w:p>
    <w:p w14:paraId="460FCC0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Usar animales vivos para entrenamiento fines exclusivos de entretenimiento de los seres humanos o para probar o incrementar la agresividad o la pericia de otros animales;</w:t>
      </w:r>
    </w:p>
    <w:p w14:paraId="6713192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14:paraId="62B913F5"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Usar animales cautivos como blanco de tiro, con objetos susceptibles de causarles daño o muerte o con armas de cualquier clase;</w:t>
      </w:r>
    </w:p>
    <w:p w14:paraId="713F8494"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Toda privación de aire, rayos solares, alimento, agua, movimiento, espacio suficiente para el desarrollo normal de su comportamiento, abrigo, higiene o aseo, tratándose de animal cautivo, bajo cuidado humano, doméstico o no, siempre y cuando no correspondan a los requerimientos de la especie o del espécimen;</w:t>
      </w:r>
    </w:p>
    <w:p w14:paraId="2CCE152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Pelar, despellejar, descamar, mutilar o desplumar animales vivos o entregarlos vivos a la alimentación de otros;</w:t>
      </w:r>
    </w:p>
    <w:p w14:paraId="790E6EE1"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Abandonar sustancias venenosas, perjudiciales o elementos potencialmente peligrosos para la salud, en cualquier forma o tipo de presentación, en lugares accesibles a animales o envenenar o intoxicar a un animal, usando para ello cualquiera de estas sustancias.</w:t>
      </w:r>
    </w:p>
    <w:p w14:paraId="39C0954A"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Recargar de trabajo a un animal a tal punto que, como consecuencia del exceso o esfuerzo superior a su capacidad o resistencia, se le cause agotamiento, extenuación manifiesta o muerte;</w:t>
      </w:r>
    </w:p>
    <w:p w14:paraId="2C2C12C6"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Usar mallas camufladas para la captura de aves o emplear explosivos o venenos para la captura de peces. La utilización de mallas camufladas para la captura de aves será permitida únicamente con fines científicos, </w:t>
      </w:r>
      <w:proofErr w:type="spellStart"/>
      <w:r>
        <w:rPr>
          <w:rFonts w:ascii="Bookman Old Style" w:eastAsia="Bookman Old Style" w:hAnsi="Bookman Old Style" w:cs="Bookman Old Style"/>
          <w:color w:val="000000"/>
          <w:sz w:val="22"/>
          <w:szCs w:val="22"/>
        </w:rPr>
        <w:t>zooprofilácticos</w:t>
      </w:r>
      <w:proofErr w:type="spellEnd"/>
      <w:r>
        <w:rPr>
          <w:rFonts w:ascii="Bookman Old Style" w:eastAsia="Bookman Old Style" w:hAnsi="Bookman Old Style" w:cs="Bookman Old Style"/>
          <w:color w:val="000000"/>
          <w:sz w:val="22"/>
          <w:szCs w:val="22"/>
        </w:rPr>
        <w:t xml:space="preserve"> o veterinarios y con previa autorización de la autoridad ambiental competente. En este último caso la autoridad ambiental deberá evaluar el repetido uso de determinadas especies y la afectación que esta circunstancia pueda causar a su población</w:t>
      </w:r>
    </w:p>
    <w:p w14:paraId="31D8F612"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Sepultar vivo a un animal;</w:t>
      </w:r>
    </w:p>
    <w:p w14:paraId="6B64D69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Confinar uno o más animales en condiciones tales que les produzca asfixia;</w:t>
      </w:r>
    </w:p>
    <w:p w14:paraId="16897F0E"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Ahogar a un animal;</w:t>
      </w:r>
    </w:p>
    <w:p w14:paraId="33DBFCE6"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Hacer con bisturí, aguja o cualquier otro medio susceptible de causar daño o sufrimiento prácticas de destreza manual con animales vivos en lugares o por personas que no estén debidamente autorizadas para ello o practicar la vivisección;</w:t>
      </w:r>
    </w:p>
    <w:p w14:paraId="1981E1F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Estimular o suprimir el sistema nervioso central o alterar el comportamiento del animal con medios químicos, físicos o quirúrgicos, para fines competitivos, de exhibición o utilización en espectáculo público o privado y en general aplicarles fármacos sin perseguir fines terapéuticos;</w:t>
      </w:r>
    </w:p>
    <w:p w14:paraId="26C6957A"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Utilizar animales vivos en la elaboración de escenas cinematográficas o audiovisuales destinadas a la exhibición pública o privada, en las que se cause daño o muerte al animal con procedimientos crueles o susceptibles que promuevan la crueldad contra los mismos;</w:t>
      </w:r>
    </w:p>
    <w:p w14:paraId="2B612D82"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Dejar expósito o abandonar a su suerte a un animal sano o dejar de suministrarle todo lo que humanitariamente se le pueda proveer;</w:t>
      </w:r>
    </w:p>
    <w:p w14:paraId="4A1B92F1"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Realizar experimentos con animales vivos, salvo en los casos regulados por este Código;</w:t>
      </w:r>
    </w:p>
    <w:p w14:paraId="1EE102AA"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Abandonar a sus propios medios animales utilizados en experimentos;</w:t>
      </w:r>
    </w:p>
    <w:p w14:paraId="393008CD"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14:paraId="02CE8089"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Lastimar o arrollar un animal intencionalmente o matarlo por simple perversidad o diversión;</w:t>
      </w:r>
    </w:p>
    <w:p w14:paraId="4725B600"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No dar muerte rápida, libre de sufrimiento prolongado, a todo animal cuyo exterminio sea necesario para consumo o no; </w:t>
      </w:r>
    </w:p>
    <w:p w14:paraId="0CC3FA9E"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Azotar, golpear o castigar de cualquier forma a un animal caído o en estado de indefensión;</w:t>
      </w:r>
    </w:p>
    <w:p w14:paraId="557236FF"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Conducir animales, por cualquier medio de locomoción, colocados de cabeza, o con las manos o patas atadas, o caídos y pisoteados por los otros o de cualquier otra forma que les produzca sufrimiento; </w:t>
      </w:r>
    </w:p>
    <w:p w14:paraId="19B4A5F0"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14:paraId="424E9EBC"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Encerrar en corral o en otro lugar, animales en número tal que no les sea posible moverse libremente;</w:t>
      </w:r>
    </w:p>
    <w:p w14:paraId="5D2C7520"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Tatuar animales con fines ajenos a su identificación o pintarlos con fines estéticos; </w:t>
      </w:r>
    </w:p>
    <w:p w14:paraId="0D963CDF"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Tener animales domésticos destinados a la venta en locales que no reúnan las autorizaciones, ni las condiciones de higiene, comodidad y bienestar animal previstas en este Código;</w:t>
      </w:r>
    </w:p>
    <w:p w14:paraId="57A9EE3C"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Acceder carnalmente a un animal o penetrar en sus órganos sexuales, por la vía anal o por cualquier orificio de su cuerpo, con extremidad humana u objeto;</w:t>
      </w:r>
    </w:p>
    <w:p w14:paraId="2D25489E"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Realizar o incentivar actos de zoofilia, bestialismo o </w:t>
      </w:r>
      <w:proofErr w:type="spellStart"/>
      <w:r>
        <w:rPr>
          <w:rFonts w:ascii="Bookman Old Style" w:eastAsia="Bookman Old Style" w:hAnsi="Bookman Old Style" w:cs="Bookman Old Style"/>
          <w:color w:val="000000"/>
          <w:sz w:val="22"/>
          <w:szCs w:val="22"/>
        </w:rPr>
        <w:t>zooerastia</w:t>
      </w:r>
      <w:proofErr w:type="spellEnd"/>
      <w:r>
        <w:rPr>
          <w:rFonts w:ascii="Bookman Old Style" w:eastAsia="Bookman Old Style" w:hAnsi="Bookman Old Style" w:cs="Bookman Old Style"/>
          <w:color w:val="000000"/>
          <w:sz w:val="22"/>
          <w:szCs w:val="22"/>
        </w:rPr>
        <w:t>;</w:t>
      </w:r>
    </w:p>
    <w:p w14:paraId="0A5FA08E"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Usar a un animal para la comisión de acciones delictivas o intimidatorias;</w:t>
      </w:r>
    </w:p>
    <w:p w14:paraId="119F222F"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Lesionar a un animal por medio de agentes químicos (álcalis o ácidos) sustancias análogas o corrosivas, agua caliente, fuego o similares;</w:t>
      </w:r>
    </w:p>
    <w:p w14:paraId="20EF1A33"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Usar animales vivos como accesorios o para la elaboración de accesorios o cualquier tipo de objeto;</w:t>
      </w:r>
    </w:p>
    <w:p w14:paraId="0FCCE80D"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uso de ácidos corrosivos, bases cáusticas, estricnina, </w:t>
      </w:r>
      <w:proofErr w:type="spellStart"/>
      <w:r>
        <w:rPr>
          <w:rFonts w:ascii="Bookman Old Style" w:eastAsia="Bookman Old Style" w:hAnsi="Bookman Old Style" w:cs="Bookman Old Style"/>
          <w:color w:val="000000"/>
          <w:sz w:val="22"/>
          <w:szCs w:val="22"/>
        </w:rPr>
        <w:t>warferina</w:t>
      </w:r>
      <w:proofErr w:type="spellEnd"/>
      <w:r>
        <w:rPr>
          <w:rFonts w:ascii="Bookman Old Style" w:eastAsia="Bookman Old Style" w:hAnsi="Bookman Old Style" w:cs="Bookman Old Style"/>
          <w:color w:val="000000"/>
          <w:sz w:val="22"/>
          <w:szCs w:val="22"/>
        </w:rPr>
        <w:t>, cianuro, arsénico o cualquier sustancia tóxica para producir la muerte de un animal;</w:t>
      </w:r>
    </w:p>
    <w:p w14:paraId="42EF062D"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Lanzar o impactar a un animal;</w:t>
      </w:r>
    </w:p>
    <w:p w14:paraId="66CCC2D0"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Instrumentalizar a un animal para facilitar o consumar fines ruines, delictivos o actividades ilícitas;</w:t>
      </w:r>
    </w:p>
    <w:p w14:paraId="585A96EE"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Realizar procedimientos quirúrgicos, realizar consultas, diagnosticar, formular sin haber recibido el título de médico veterinario o médico veterinario zootecnista ni tener la matrícula vigente;  </w:t>
      </w:r>
    </w:p>
    <w:p w14:paraId="265CFB7C"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El uso de anabólicos o de cualquier otra alternativa que pretenda acrecentar la producción de productos animales o sus derivados;</w:t>
      </w:r>
    </w:p>
    <w:p w14:paraId="58288169"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dopaje de los animales, salvo cuando se realice con fines veterinarios o previa autorización de un veterinario; </w:t>
      </w:r>
    </w:p>
    <w:p w14:paraId="24F9904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Atar o arrastrar un animal a cualquier vehículo motor o mecánico en marcha;</w:t>
      </w:r>
    </w:p>
    <w:p w14:paraId="1520ECA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Mantener o confinar un animal dentro de un vehículo motor por un periodo de tiempo que ponga en peligro su salud y bienestar;</w:t>
      </w:r>
    </w:p>
    <w:p w14:paraId="2B239BFC"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Mantener confinado en espacio reducido y/o sin ventilación un animal de manera que afecte sus comportamientos naturales;</w:t>
      </w:r>
    </w:p>
    <w:p w14:paraId="1023D9CF"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No proveer adecuado refugio a un animal por parte de su propietario o tenedor que lo proteja de las inclemencias del clima ya sea del sol directo, la lluvia, calor o frío o impedirle al animal resguardarse;</w:t>
      </w:r>
    </w:p>
    <w:p w14:paraId="4A6783B6"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No proveer sombra a un animal cuando la luz solar ocasione afectaciones en su salud, ni permitir que el animal pueda por sus propios medios protegerse del sol; </w:t>
      </w:r>
    </w:p>
    <w:p w14:paraId="0034A8B9"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No proveer comida adecuada en calidad y cantidad requeridas según su especie y agua fresca y limpia a disposición por parte de su propietario o tenedor;</w:t>
      </w:r>
    </w:p>
    <w:p w14:paraId="7F397F3E"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Recargar de trabajo, generar una carga superior a la capacidad de cualquier animal o superar el horario de trabajo permitido;</w:t>
      </w:r>
    </w:p>
    <w:p w14:paraId="5BD37D03"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Obligar a los animales a trabajos excesivos o superiores a sus fuerzas o a todo acto que dé por resultado sufrimiento para obtener de ellos esfuerzos que, razonablemente, no se les pueden exigir sino con castigos;</w:t>
      </w:r>
    </w:p>
    <w:p w14:paraId="5B6FBE2B"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Inocular, inyectar, introducir o penetrar sustancia alguna sin anestésico a/o en cualquier órgano de un animal vivo por propósito que no obedezca a un procedimiento quirúrgico, médico veterinario, terapéutico o curativo, o a un procedimiento de experimentación según lo dispuesto en este Código;</w:t>
      </w:r>
    </w:p>
    <w:p w14:paraId="68DF6EE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Despescuezar animales vivos;</w:t>
      </w:r>
    </w:p>
    <w:p w14:paraId="5EAE9AB6"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Perseguir, aturdir, acosar, acorralar o cazar animales mediante el uso de explosivos, medios motorizados, mecánicos o utilizar otros animales para el efecto;</w:t>
      </w:r>
    </w:p>
    <w:p w14:paraId="6B722F8D"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Transportar animales en las bodegas o similares de vehículos de transporte público o particular privándolos de ventilación, alimento, bebida y de los medios necesarios para garantizar un transporte seguro.</w:t>
      </w:r>
    </w:p>
    <w:p w14:paraId="16972298"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Darse a la fuga sin auxiliar, ni socorrer a un animal que ha sufrido atropellamiento o esté herido y peligre la vida del animal</w:t>
      </w:r>
    </w:p>
    <w:p w14:paraId="3F16EA20"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propietario de un animal que se niegue a prestarle asistencia cuando este se encuentre peligro manifiesto.</w:t>
      </w:r>
    </w:p>
    <w:p w14:paraId="6D209D59"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Permitir a un animal doméstico de compañía divagar fuera del lugar de residencia del propietario o tenedor sin supervisión por parte de este.</w:t>
      </w:r>
    </w:p>
    <w:p w14:paraId="1741435D"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Incitar a comportamiento violentos o agresivos por parte del animal por cualquier medio, pero en especial si se utilizan tratos crueles con ello. Lo anterior no aplica para animales que son entrenados para la seguridad o defensa siempre que sea hecho por personal calificado para el entrenamiento y se usen métodos que no ocasionen sufrimiento o angustia en el animal,</w:t>
      </w:r>
    </w:p>
    <w:p w14:paraId="3DC20D25" w14:textId="77777777" w:rsidR="00655DDF" w:rsidRDefault="00000000">
      <w:pPr>
        <w:numPr>
          <w:ilvl w:val="1"/>
          <w:numId w:val="1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Los demás que causen sufrimiento, dolor, miedo, falta de asistencia, abandono, descuido y que se encuentren tipificadas en la ley;</w:t>
      </w:r>
    </w:p>
    <w:p w14:paraId="587F0D6C"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D32BEEE" w14:textId="77777777" w:rsidR="00655DDF" w:rsidRDefault="00655DDF">
      <w:pPr>
        <w:jc w:val="both"/>
        <w:rPr>
          <w:rFonts w:ascii="Bookman Old Style" w:eastAsia="Bookman Old Style" w:hAnsi="Bookman Old Style" w:cs="Bookman Old Style"/>
          <w:sz w:val="22"/>
          <w:szCs w:val="22"/>
        </w:rPr>
      </w:pPr>
    </w:p>
    <w:p w14:paraId="3ED36A0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 1.</w:t>
      </w:r>
      <w:r>
        <w:rPr>
          <w:rFonts w:ascii="Bookman Old Style" w:eastAsia="Bookman Old Style" w:hAnsi="Bookman Old Style" w:cs="Bookman Old Style"/>
          <w:sz w:val="22"/>
          <w:szCs w:val="22"/>
        </w:rPr>
        <w:t xml:space="preserve"> También se entenderá como acto cruel y será sancionada la erradicación de animales invertebrados con alta relevancia ecosistémica.</w:t>
      </w:r>
    </w:p>
    <w:p w14:paraId="4F969562" w14:textId="77777777" w:rsidR="00655DDF" w:rsidRDefault="00655DDF">
      <w:pPr>
        <w:jc w:val="both"/>
        <w:rPr>
          <w:rFonts w:ascii="Bookman Old Style" w:eastAsia="Bookman Old Style" w:hAnsi="Bookman Old Style" w:cs="Bookman Old Style"/>
          <w:b/>
          <w:sz w:val="22"/>
          <w:szCs w:val="22"/>
        </w:rPr>
      </w:pPr>
    </w:p>
    <w:p w14:paraId="5EEDB574"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 2.</w:t>
      </w:r>
      <w:r>
        <w:rPr>
          <w:rFonts w:ascii="Bookman Old Style" w:eastAsia="Bookman Old Style" w:hAnsi="Bookman Old Style" w:cs="Bookman Old Style"/>
          <w:sz w:val="22"/>
          <w:szCs w:val="22"/>
        </w:rPr>
        <w:t xml:space="preserve"> Lo dispuesto en el numeral 74.5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14:paraId="60570FB6" w14:textId="77777777" w:rsidR="00655DDF" w:rsidRDefault="00655DDF">
      <w:pPr>
        <w:jc w:val="both"/>
        <w:rPr>
          <w:rFonts w:ascii="Bookman Old Style" w:eastAsia="Bookman Old Style" w:hAnsi="Bookman Old Style" w:cs="Bookman Old Style"/>
          <w:sz w:val="22"/>
          <w:szCs w:val="22"/>
        </w:rPr>
      </w:pPr>
    </w:p>
    <w:p w14:paraId="07029A87" w14:textId="77777777" w:rsidR="00655DDF" w:rsidRDefault="00000000">
      <w:pPr>
        <w:pBdr>
          <w:top w:val="nil"/>
          <w:left w:val="nil"/>
          <w:bottom w:val="nil"/>
          <w:right w:val="nil"/>
          <w:between w:val="nil"/>
        </w:pBdr>
        <w:ind w:right="137"/>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3. </w:t>
      </w:r>
      <w:r>
        <w:rPr>
          <w:rFonts w:ascii="Bookman Old Style" w:eastAsia="Bookman Old Style" w:hAnsi="Bookman Old Style" w:cs="Bookman Old Style"/>
          <w:sz w:val="22"/>
          <w:szCs w:val="22"/>
        </w:rPr>
        <w:t>Lo dispuesto en los numerales 74.10 y 74.52 no aplicará para los animales que lo requieran para el desarrollo de un procedimiento quirúrgico, caso en el cual la privación deberá estar avalada por un médico veterinario o médico veterinario zootecnista.</w:t>
      </w:r>
    </w:p>
    <w:p w14:paraId="09EEE59E" w14:textId="77777777" w:rsidR="00655DDF" w:rsidRDefault="00655DDF">
      <w:pPr>
        <w:jc w:val="both"/>
        <w:rPr>
          <w:rFonts w:ascii="Bookman Old Style" w:eastAsia="Bookman Old Style" w:hAnsi="Bookman Old Style" w:cs="Bookman Old Style"/>
          <w:b/>
          <w:sz w:val="22"/>
          <w:szCs w:val="22"/>
        </w:rPr>
      </w:pPr>
    </w:p>
    <w:p w14:paraId="2CEB973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4. </w:t>
      </w:r>
      <w:r>
        <w:rPr>
          <w:rFonts w:ascii="Bookman Old Style" w:eastAsia="Bookman Old Style" w:hAnsi="Bookman Old Style" w:cs="Bookman Old Style"/>
          <w:sz w:val="22"/>
          <w:szCs w:val="22"/>
        </w:rPr>
        <w:t xml:space="preserve">Lo dispuesto en el numeral 74.11 no aplicará en los casos en que se adelanten procesos de rehabilitación de animales silvestres que requieran, para el éxito de dichos procesos, el suministro de animales vivos para su alimentación. </w:t>
      </w:r>
    </w:p>
    <w:p w14:paraId="651426DD" w14:textId="77777777" w:rsidR="00655DDF" w:rsidRDefault="00655DDF">
      <w:pPr>
        <w:jc w:val="both"/>
        <w:rPr>
          <w:rFonts w:ascii="Bookman Old Style" w:eastAsia="Bookman Old Style" w:hAnsi="Bookman Old Style" w:cs="Bookman Old Style"/>
          <w:sz w:val="22"/>
          <w:szCs w:val="22"/>
        </w:rPr>
      </w:pPr>
    </w:p>
    <w:p w14:paraId="5123D3F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Tampoco aplicará para la alimentación de anfibios o de otros ejemplares de especies de animales silvestres que los requieran para su bienestar, de conformidad con un concepto biológico emitido por la autoridad ambiental competente. </w:t>
      </w:r>
    </w:p>
    <w:p w14:paraId="6688535F" w14:textId="77777777" w:rsidR="00655DDF" w:rsidRDefault="00655DDF">
      <w:pPr>
        <w:jc w:val="both"/>
        <w:rPr>
          <w:rFonts w:ascii="Bookman Old Style" w:eastAsia="Bookman Old Style" w:hAnsi="Bookman Old Style" w:cs="Bookman Old Style"/>
          <w:sz w:val="22"/>
          <w:szCs w:val="22"/>
        </w:rPr>
      </w:pPr>
    </w:p>
    <w:p w14:paraId="16F341C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 anterior, siempre y cuando esta actividad sea desarrollada bajo la recomendación y el direccionamiento de biólogos o profesionales afines y no sea convertido en espectáculo público.</w:t>
      </w:r>
    </w:p>
    <w:p w14:paraId="0D2F0FBE" w14:textId="77777777" w:rsidR="00655DDF" w:rsidRDefault="00655DDF">
      <w:pPr>
        <w:jc w:val="both"/>
        <w:rPr>
          <w:rFonts w:ascii="Bookman Old Style" w:eastAsia="Bookman Old Style" w:hAnsi="Bookman Old Style" w:cs="Bookman Old Style"/>
          <w:b/>
          <w:sz w:val="22"/>
          <w:szCs w:val="22"/>
        </w:rPr>
      </w:pPr>
    </w:p>
    <w:p w14:paraId="617B921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5. </w:t>
      </w:r>
      <w:r>
        <w:rPr>
          <w:rFonts w:ascii="Bookman Old Style" w:eastAsia="Bookman Old Style" w:hAnsi="Bookman Old Style" w:cs="Bookman Old Style"/>
          <w:sz w:val="22"/>
          <w:szCs w:val="22"/>
        </w:rPr>
        <w:t>Las prácticas veterinarias, como la toma de temperatura, enemas o similares no se entenderán como tratos crueles en los términos del numeral 76.33, siempre y cuando se realicen bajo los preceptos éticos y técnicos que el procedimiento requiera.</w:t>
      </w:r>
    </w:p>
    <w:p w14:paraId="5CA03A52" w14:textId="77777777" w:rsidR="00655DDF" w:rsidRDefault="00655DDF">
      <w:pPr>
        <w:jc w:val="both"/>
        <w:rPr>
          <w:rFonts w:ascii="Bookman Old Style" w:eastAsia="Bookman Old Style" w:hAnsi="Bookman Old Style" w:cs="Bookman Old Style"/>
          <w:b/>
          <w:sz w:val="22"/>
          <w:szCs w:val="22"/>
        </w:rPr>
      </w:pPr>
    </w:p>
    <w:p w14:paraId="09EA3DF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6. </w:t>
      </w:r>
      <w:r>
        <w:rPr>
          <w:rFonts w:ascii="Bookman Old Style" w:eastAsia="Bookman Old Style" w:hAnsi="Bookman Old Style" w:cs="Bookman Old Style"/>
          <w:sz w:val="22"/>
          <w:szCs w:val="22"/>
        </w:rPr>
        <w:t>Quedan exceptuados de lo dispuesto en los numerales 74.1, 74.2, 74.3 y 74.17,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las normas que regulen dichas actividades.</w:t>
      </w:r>
    </w:p>
    <w:p w14:paraId="7A5744CD" w14:textId="77777777" w:rsidR="00655DDF" w:rsidRDefault="00655DDF">
      <w:pPr>
        <w:jc w:val="both"/>
        <w:rPr>
          <w:rFonts w:ascii="Bookman Old Style" w:eastAsia="Bookman Old Style" w:hAnsi="Bookman Old Style" w:cs="Bookman Old Style"/>
          <w:sz w:val="22"/>
          <w:szCs w:val="22"/>
        </w:rPr>
      </w:pPr>
    </w:p>
    <w:p w14:paraId="00F76F27"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7. </w:t>
      </w:r>
      <w:r>
        <w:rPr>
          <w:rFonts w:ascii="Bookman Old Style" w:eastAsia="Bookman Old Style" w:hAnsi="Bookman Old Style" w:cs="Bookman Old Style"/>
          <w:sz w:val="22"/>
          <w:szCs w:val="22"/>
        </w:rPr>
        <w:t xml:space="preserve">Quedan exceptuados de lo expuesto en los numerales 74.5, 74.6 y 74.7, en aquellos municipios donde exista tradición ininterrumpida, es decir, donde anualmente se realicen actividades de rejoneo, coleo, corridas de toros, </w:t>
      </w:r>
      <w:r>
        <w:rPr>
          <w:rFonts w:ascii="Bookman Old Style" w:eastAsia="Bookman Old Style" w:hAnsi="Bookman Old Style" w:cs="Bookman Old Style"/>
          <w:sz w:val="22"/>
          <w:szCs w:val="22"/>
        </w:rPr>
        <w:lastRenderedPageBreak/>
        <w:t>novilladas, corralejas, becerradas y tientas, así como riñas de gallos y los procedimientos utilizados en estos espectáculos.</w:t>
      </w:r>
    </w:p>
    <w:p w14:paraId="2F6FD641" w14:textId="77777777" w:rsidR="00655DDF" w:rsidRDefault="00655DDF">
      <w:pPr>
        <w:jc w:val="both"/>
        <w:rPr>
          <w:rFonts w:ascii="Bookman Old Style" w:eastAsia="Bookman Old Style" w:hAnsi="Bookman Old Style" w:cs="Bookman Old Style"/>
          <w:sz w:val="22"/>
          <w:szCs w:val="22"/>
        </w:rPr>
      </w:pPr>
    </w:p>
    <w:p w14:paraId="707B401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Esta excepción solo aplicará para la actividad que cumpla con los requisitos descritos en el inciso anterior y no tendrá lugar para los eventos que se realicen de forma ocasional en municipios donde no se pueda demostrar la tradición. Tampoco para actividades distintas a las que se enmarquen como tradición ininterrumpida, ni tendrá lugar en aquellos municipios donde se interrumpa la tradición. </w:t>
      </w:r>
    </w:p>
    <w:p w14:paraId="4356E52C" w14:textId="77777777" w:rsidR="00655DDF" w:rsidRDefault="00655DDF">
      <w:pPr>
        <w:jc w:val="both"/>
        <w:rPr>
          <w:rFonts w:ascii="Bookman Old Style" w:eastAsia="Bookman Old Style" w:hAnsi="Bookman Old Style" w:cs="Bookman Old Style"/>
          <w:sz w:val="22"/>
          <w:szCs w:val="22"/>
        </w:rPr>
      </w:pPr>
    </w:p>
    <w:p w14:paraId="77A2A239" w14:textId="77777777" w:rsidR="00655DDF" w:rsidRDefault="00000000">
      <w:pPr>
        <w:jc w:val="both"/>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En ningún caso se podrán invertir recursos públicos para este tipo de espectáculos y, en caso de que una ley especial prohíba alguno de ellos, se entenderá contemplado dentro de los actos de maltrato animal señalados por esta ley.</w:t>
      </w:r>
    </w:p>
    <w:p w14:paraId="35364B5C" w14:textId="77777777" w:rsidR="00655DDF" w:rsidRDefault="00655DDF">
      <w:pPr>
        <w:jc w:val="both"/>
        <w:rPr>
          <w:rFonts w:ascii="Bookman Old Style" w:eastAsia="Bookman Old Style" w:hAnsi="Bookman Old Style" w:cs="Bookman Old Style"/>
          <w:b/>
          <w:sz w:val="22"/>
          <w:szCs w:val="22"/>
        </w:rPr>
      </w:pPr>
    </w:p>
    <w:p w14:paraId="7EF5DC6A"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75º</w:t>
      </w:r>
      <w:r>
        <w:rPr>
          <w:rFonts w:ascii="Bookman Old Style" w:eastAsia="Bookman Old Style" w:hAnsi="Bookman Old Style" w:cs="Bookman Old Style"/>
          <w:sz w:val="22"/>
          <w:szCs w:val="22"/>
        </w:rPr>
        <w:t xml:space="preserve">. Se exceptúa de lo dispuesto en el artículo anterior, la muerte de plagas domésticas o agropecuarias, mediante el empleo de plaguicidas o productos químicos o similares autorizados por el Ministerio de Agricultura y Desarrollo Rural o las autoridades sanitarias competentes. </w:t>
      </w:r>
    </w:p>
    <w:p w14:paraId="3915C01A" w14:textId="77777777" w:rsidR="00655DDF" w:rsidRDefault="00655DDF">
      <w:pPr>
        <w:jc w:val="both"/>
        <w:rPr>
          <w:rFonts w:ascii="Bookman Old Style" w:eastAsia="Bookman Old Style" w:hAnsi="Bookman Old Style" w:cs="Bookman Old Style"/>
          <w:sz w:val="22"/>
          <w:szCs w:val="22"/>
        </w:rPr>
      </w:pPr>
    </w:p>
    <w:p w14:paraId="12776703"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 la erradicación de animales sintientes que se constituyan en plagas, deberán utilizarse métodos que no prolonguen innecesariamente su sufrimiento. Quedan prohibidas, en todos los casos, las trampas de pegamento para mamíferos y, en general, el uso de trampas que le generen al animal</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un sufrimiento prolongado y en las que muera por inanición, asfixia o desmembramiento.</w:t>
      </w:r>
    </w:p>
    <w:p w14:paraId="09B78F19" w14:textId="77777777" w:rsidR="00655DDF" w:rsidRDefault="00655DDF">
      <w:pPr>
        <w:jc w:val="both"/>
        <w:rPr>
          <w:rFonts w:ascii="Bookman Old Style" w:eastAsia="Bookman Old Style" w:hAnsi="Bookman Old Style" w:cs="Bookman Old Style"/>
          <w:sz w:val="22"/>
          <w:szCs w:val="22"/>
        </w:rPr>
      </w:pPr>
    </w:p>
    <w:p w14:paraId="61F95D9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todo caso, la erradicación de la plaga, cualquiera que ella sea, no debe generar afectaciones significativas o causar la muerte a otras poblaciones de animales, vertebrados o invertebrados, distintos a la plaga que se pretende erradicar. Tampoco deberán causarse afectaciones ambientales o ecosistémicas. En todo caso, deberá tenerse en cuenta lo dispuesto en este Código frente a la protección de animales invertebrados de alta relevancia ecosistémica los cuales no podrán ser declarados como plaga. </w:t>
      </w:r>
    </w:p>
    <w:p w14:paraId="36893E55" w14:textId="77777777" w:rsidR="00655DDF" w:rsidRDefault="00655DDF">
      <w:pPr>
        <w:jc w:val="both"/>
        <w:rPr>
          <w:rFonts w:ascii="Bookman Old Style" w:eastAsia="Bookman Old Style" w:hAnsi="Bookman Old Style" w:cs="Bookman Old Style"/>
          <w:sz w:val="22"/>
          <w:szCs w:val="22"/>
        </w:rPr>
      </w:pPr>
    </w:p>
    <w:p w14:paraId="4A2904BE" w14:textId="77777777" w:rsidR="00655DDF" w:rsidRDefault="00655DDF">
      <w:pPr>
        <w:jc w:val="both"/>
        <w:rPr>
          <w:rFonts w:ascii="Bookman Old Style" w:eastAsia="Bookman Old Style" w:hAnsi="Bookman Old Style" w:cs="Bookman Old Style"/>
          <w:sz w:val="22"/>
          <w:szCs w:val="22"/>
        </w:rPr>
      </w:pPr>
    </w:p>
    <w:p w14:paraId="22A7B9E7" w14:textId="77777777" w:rsidR="00655DDF"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sz w:val="22"/>
          <w:szCs w:val="22"/>
        </w:rPr>
        <w:t>ARTÍCULO 76º.</w:t>
      </w:r>
      <w:r>
        <w:rPr>
          <w:rFonts w:ascii="Bookman Old Style" w:eastAsia="Bookman Old Style" w:hAnsi="Bookman Old Style" w:cs="Bookman Old Style"/>
          <w:sz w:val="22"/>
          <w:szCs w:val="22"/>
        </w:rPr>
        <w:t xml:space="preserve"> Los actos dañinos de crueldad descritos en el artículo 75 de la presente ley serán sancionados </w:t>
      </w:r>
      <w:r>
        <w:rPr>
          <w:rFonts w:ascii="Bookman Old Style" w:eastAsia="Bookman Old Style" w:hAnsi="Bookman Old Style" w:cs="Bookman Old Style"/>
          <w:color w:val="000000"/>
          <w:sz w:val="22"/>
          <w:szCs w:val="22"/>
        </w:rPr>
        <w:t>con multa que oscilará entre los cuarenta (40) y los cuatrocientos (400) salarios mínimos legales mensuales vigentes.</w:t>
      </w:r>
    </w:p>
    <w:p w14:paraId="17939455" w14:textId="77777777" w:rsidR="00655DDF" w:rsidRDefault="00655DDF">
      <w:pPr>
        <w:jc w:val="both"/>
        <w:rPr>
          <w:rFonts w:ascii="Bookman Old Style" w:eastAsia="Bookman Old Style" w:hAnsi="Bookman Old Style" w:cs="Bookman Old Style"/>
          <w:color w:val="000000"/>
          <w:sz w:val="22"/>
          <w:szCs w:val="22"/>
        </w:rPr>
      </w:pPr>
    </w:p>
    <w:p w14:paraId="13AE4A5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 xml:space="preserve">ARTÍCULO 77º. </w:t>
      </w:r>
      <w:r>
        <w:rPr>
          <w:rFonts w:ascii="Bookman Old Style" w:eastAsia="Bookman Old Style" w:hAnsi="Bookman Old Style" w:cs="Bookman Old Style"/>
          <w:color w:val="000000"/>
          <w:sz w:val="22"/>
          <w:szCs w:val="22"/>
        </w:rPr>
        <w:t>La sanción de la que trata e</w:t>
      </w:r>
      <w:r>
        <w:rPr>
          <w:rFonts w:ascii="Bookman Old Style" w:eastAsia="Bookman Old Style" w:hAnsi="Bookman Old Style" w:cs="Bookman Old Style"/>
          <w:sz w:val="22"/>
          <w:szCs w:val="22"/>
        </w:rPr>
        <w:t>l</w:t>
      </w:r>
      <w:r>
        <w:rPr>
          <w:rFonts w:ascii="Bookman Old Style" w:eastAsia="Bookman Old Style" w:hAnsi="Bookman Old Style" w:cs="Bookman Old Style"/>
          <w:color w:val="000000"/>
          <w:sz w:val="22"/>
          <w:szCs w:val="22"/>
        </w:rPr>
        <w:t xml:space="preserve"> artículo anterior se impondrá de conformidad con el procedimiento establecido en la presente ley. Para determinar el quantum de la multa </w:t>
      </w:r>
      <w:r>
        <w:rPr>
          <w:rFonts w:ascii="Bookman Old Style" w:eastAsia="Bookman Old Style" w:hAnsi="Bookman Old Style" w:cs="Bookman Old Style"/>
          <w:sz w:val="22"/>
          <w:szCs w:val="22"/>
        </w:rPr>
        <w:t>el Alcalde, o su delegado dividirá el ámbito de movilidad previsto en la ley en tercios: uno mínimo, uno medio y uno máximo de la siguiente forma:</w:t>
      </w:r>
    </w:p>
    <w:p w14:paraId="206592D7" w14:textId="77777777" w:rsidR="00655DDF" w:rsidRDefault="00655DDF">
      <w:pPr>
        <w:jc w:val="both"/>
        <w:rPr>
          <w:rFonts w:ascii="Bookman Old Style" w:eastAsia="Bookman Old Style" w:hAnsi="Bookman Old Style" w:cs="Bookman Old Style"/>
          <w:sz w:val="22"/>
          <w:szCs w:val="22"/>
        </w:rPr>
      </w:pPr>
    </w:p>
    <w:p w14:paraId="73BF0949" w14:textId="77777777" w:rsidR="00655DDF" w:rsidRDefault="00000000">
      <w:pPr>
        <w:numPr>
          <w:ilvl w:val="0"/>
          <w:numId w:val="2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tercio mínimo </w:t>
      </w:r>
      <w:r>
        <w:rPr>
          <w:rFonts w:ascii="Bookman Old Style" w:eastAsia="Bookman Old Style" w:hAnsi="Bookman Old Style" w:cs="Bookman Old Style"/>
          <w:sz w:val="22"/>
          <w:szCs w:val="22"/>
        </w:rPr>
        <w:t>sólo</w:t>
      </w:r>
      <w:r>
        <w:rPr>
          <w:rFonts w:ascii="Bookman Old Style" w:eastAsia="Bookman Old Style" w:hAnsi="Bookman Old Style" w:cs="Bookman Old Style"/>
          <w:color w:val="000000"/>
          <w:sz w:val="22"/>
          <w:szCs w:val="22"/>
        </w:rPr>
        <w:t xml:space="preserve"> tendrá lugar cuando no existan circunstancias atenuantes ni agravantes o cuando concurran únicamente circunstancias atenuantes. </w:t>
      </w:r>
    </w:p>
    <w:p w14:paraId="02D424CB" w14:textId="77777777" w:rsidR="00655DDF" w:rsidRDefault="00655DDF">
      <w:pPr>
        <w:jc w:val="both"/>
        <w:rPr>
          <w:rFonts w:ascii="Bookman Old Style" w:eastAsia="Bookman Old Style" w:hAnsi="Bookman Old Style" w:cs="Bookman Old Style"/>
          <w:sz w:val="22"/>
          <w:szCs w:val="22"/>
        </w:rPr>
      </w:pPr>
    </w:p>
    <w:p w14:paraId="1F94292F" w14:textId="77777777" w:rsidR="00655DDF" w:rsidRDefault="00000000">
      <w:pPr>
        <w:numPr>
          <w:ilvl w:val="0"/>
          <w:numId w:val="2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Dentro del tercio medio se ubicarán aquellas conductas en los que existan circunstancias atenuantes y agravantes.</w:t>
      </w:r>
    </w:p>
    <w:p w14:paraId="11FCB4B7" w14:textId="77777777" w:rsidR="00655DDF" w:rsidRDefault="00655DDF">
      <w:pPr>
        <w:jc w:val="both"/>
        <w:rPr>
          <w:rFonts w:ascii="Bookman Old Style" w:eastAsia="Bookman Old Style" w:hAnsi="Bookman Old Style" w:cs="Bookman Old Style"/>
          <w:sz w:val="22"/>
          <w:szCs w:val="22"/>
        </w:rPr>
      </w:pPr>
    </w:p>
    <w:p w14:paraId="26AD8349" w14:textId="77777777" w:rsidR="00655DDF" w:rsidRDefault="00000000">
      <w:pPr>
        <w:numPr>
          <w:ilvl w:val="0"/>
          <w:numId w:val="2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Dentro del tercio máximo se ubicarán aquellas en las que concurran únicamente circunstancias agravantes.</w:t>
      </w:r>
    </w:p>
    <w:p w14:paraId="699240D6" w14:textId="77777777" w:rsidR="00655DDF" w:rsidRDefault="00655DDF">
      <w:pPr>
        <w:jc w:val="both"/>
        <w:rPr>
          <w:rFonts w:ascii="Bookman Old Style" w:eastAsia="Bookman Old Style" w:hAnsi="Bookman Old Style" w:cs="Bookman Old Style"/>
          <w:sz w:val="22"/>
          <w:szCs w:val="22"/>
        </w:rPr>
      </w:pPr>
    </w:p>
    <w:p w14:paraId="2ACE5039" w14:textId="77777777" w:rsidR="00655DDF" w:rsidRDefault="00000000">
      <w:pPr>
        <w:numPr>
          <w:ilvl w:val="0"/>
          <w:numId w:val="20"/>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p w14:paraId="47E8658F" w14:textId="77777777" w:rsidR="00655DDF" w:rsidRDefault="00655DDF">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398D0A66"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2D4B0A9"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78º.</w:t>
      </w:r>
      <w:r>
        <w:rPr>
          <w:rFonts w:ascii="Bookman Old Style" w:eastAsia="Bookman Old Style" w:hAnsi="Bookman Old Style" w:cs="Bookman Old Style"/>
          <w:sz w:val="22"/>
          <w:szCs w:val="22"/>
        </w:rPr>
        <w:t xml:space="preserve"> Son circunstancias atenuantes en materia de protección y bienestar animal las siguientes:</w:t>
      </w:r>
    </w:p>
    <w:p w14:paraId="648A39C8" w14:textId="77777777" w:rsidR="00655DDF" w:rsidRDefault="00655DDF">
      <w:pPr>
        <w:jc w:val="both"/>
        <w:rPr>
          <w:rFonts w:ascii="Bookman Old Style" w:eastAsia="Bookman Old Style" w:hAnsi="Bookman Old Style" w:cs="Bookman Old Style"/>
          <w:sz w:val="22"/>
          <w:szCs w:val="22"/>
        </w:rPr>
      </w:pPr>
    </w:p>
    <w:p w14:paraId="25D78733"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Reparar voluntariamente el daño ocasionado al animal, aunque no sea en forma total;</w:t>
      </w:r>
    </w:p>
    <w:p w14:paraId="586A6553"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Procurar voluntariamente después de cometida la conducta anular o disminuir sus consecuencias;</w:t>
      </w:r>
    </w:p>
    <w:p w14:paraId="04BE0B08"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Cuando la infracción sea cometida sin dolo o culpa grave, siempre y cuando se demuestre que se realizaron todas las acciones tendientes a auxiliar al animal o resarcir o mitigar el daño;</w:t>
      </w:r>
    </w:p>
    <w:p w14:paraId="09B9D846"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influencia de apremiantes circunstancias personales o familiares siempre y cuando se demuestre que se hayan adoptado las medidas necesarias para procurar el bienestar del animal;</w:t>
      </w:r>
    </w:p>
    <w:p w14:paraId="39AAA8E8"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Obrar con la finalidad de proteger a otro ser humano o a otro animal;</w:t>
      </w:r>
    </w:p>
    <w:p w14:paraId="631E9DF4"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Obrar en estado de emoción, pasión excusable o temor intenso que se pueda diagnosticar;</w:t>
      </w:r>
    </w:p>
    <w:p w14:paraId="289E7308"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Presentarse voluntariamente a las autoridades después de haber cometido la conducta sancionable o evitar la injusta sindicación de terceros;</w:t>
      </w:r>
    </w:p>
    <w:p w14:paraId="61AFC821"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Las condiciones de inferioridad psíquica determinadas por la edad o por circunstancias orgánicas, en cuanto hayan influido en la ejecución de la conducta;</w:t>
      </w:r>
    </w:p>
    <w:p w14:paraId="2F9D8C1B" w14:textId="77777777" w:rsidR="00655DDF" w:rsidRDefault="00000000">
      <w:pPr>
        <w:numPr>
          <w:ilvl w:val="1"/>
          <w:numId w:val="14"/>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Cualquier circunstancia de análoga significación a las anteriores.</w:t>
      </w:r>
    </w:p>
    <w:p w14:paraId="4A14B3C9" w14:textId="77777777" w:rsidR="00655DDF" w:rsidRDefault="00655DDF">
      <w:pPr>
        <w:jc w:val="both"/>
        <w:rPr>
          <w:rFonts w:ascii="Bookman Old Style" w:eastAsia="Bookman Old Style" w:hAnsi="Bookman Old Style" w:cs="Bookman Old Style"/>
          <w:sz w:val="22"/>
          <w:szCs w:val="22"/>
        </w:rPr>
      </w:pPr>
    </w:p>
    <w:p w14:paraId="174206E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79º</w:t>
      </w:r>
      <w:r>
        <w:rPr>
          <w:rFonts w:ascii="Bookman Old Style" w:eastAsia="Bookman Old Style" w:hAnsi="Bookman Old Style" w:cs="Bookman Old Style"/>
          <w:sz w:val="22"/>
          <w:szCs w:val="22"/>
        </w:rPr>
        <w:t>. Son circunstancias agravantes en materia de protección y bienestar animal las siguientes:</w:t>
      </w:r>
    </w:p>
    <w:p w14:paraId="5B0FA070" w14:textId="77777777" w:rsidR="00655DDF" w:rsidRDefault="00655DDF">
      <w:pPr>
        <w:jc w:val="both"/>
        <w:rPr>
          <w:rFonts w:ascii="Bookman Old Style" w:eastAsia="Bookman Old Style" w:hAnsi="Bookman Old Style" w:cs="Bookman Old Style"/>
          <w:sz w:val="22"/>
          <w:szCs w:val="22"/>
        </w:rPr>
      </w:pPr>
    </w:p>
    <w:p w14:paraId="018ABE56"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Ejecutar la conducta por motivo abyecto, fútil o mediante precio, recompensa o promesa remuneratoria;</w:t>
      </w:r>
    </w:p>
    <w:p w14:paraId="42B48DF5"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Emplear medios de cuyo uso pueda resultar peligro común;</w:t>
      </w:r>
    </w:p>
    <w:p w14:paraId="23B6C9FF"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Aprovechar circunstancias de tiempo, modo o lugar que dificulten la defensa del animal;</w:t>
      </w:r>
    </w:p>
    <w:p w14:paraId="36700059"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Hacer más nocivas las consecuencias de la conducta;</w:t>
      </w:r>
    </w:p>
    <w:p w14:paraId="01CA1F77"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Ostentar la calidad de propietario o tenedor del animal;</w:t>
      </w:r>
    </w:p>
    <w:p w14:paraId="4225D67F"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Reincidencia;</w:t>
      </w:r>
    </w:p>
    <w:p w14:paraId="40A29DCE"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Que la infracción genere daño a más de un animal, a su hábitat, al medio ambiente, a los recursos naturales o a la salud humana;</w:t>
      </w:r>
    </w:p>
    <w:p w14:paraId="398CC63F"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Rehuir la responsabilidad o atribuirla a otros;</w:t>
      </w:r>
    </w:p>
    <w:p w14:paraId="689E33A1"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Infringir varias disposiciones legales con la misma conducta;</w:t>
      </w:r>
    </w:p>
    <w:p w14:paraId="182F920A"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Atentar contra animales declarados en alguna categoría de amenaza o en peligro de extinción o sobre los cuales exista veda, restricción o prohibición;</w:t>
      </w:r>
    </w:p>
    <w:p w14:paraId="74024858"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Obtener provecho económico para sí o un tercero;</w:t>
      </w:r>
    </w:p>
    <w:p w14:paraId="169E5973"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Obstaculizar la acción de las autoridades;</w:t>
      </w:r>
    </w:p>
    <w:p w14:paraId="53DA3F75"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Evitar el decomiso o la aprehensión preventiva;</w:t>
      </w:r>
    </w:p>
    <w:p w14:paraId="76C14B8F"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Que la infracción sea grave en relación con el valor de la especie afectada, el cual se determina por sus funciones en el ecosistema, por sus características particulares;</w:t>
      </w:r>
    </w:p>
    <w:p w14:paraId="707CA7E7"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Producir un daño grave o irreversible a la salud del animal o causarle la muerte;</w:t>
      </w:r>
    </w:p>
    <w:p w14:paraId="79424BF7"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Cuando la conducta se cometa por quien ejerza autoridad o jurisdicción; </w:t>
      </w:r>
    </w:p>
    <w:p w14:paraId="7F693717"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Cuando para la realización de la conducta se hubieren utilizado explosivos, venenos u otros instrumentos o artes de similar eficacia destructiva;</w:t>
      </w:r>
    </w:p>
    <w:p w14:paraId="02737102"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Realizar la acción con alto grado de crueldad, sevicia o ensañamiento;</w:t>
      </w:r>
    </w:p>
    <w:p w14:paraId="21C312C0" w14:textId="77777777" w:rsidR="00655DDF" w:rsidRDefault="00000000">
      <w:pPr>
        <w:numPr>
          <w:ilvl w:val="1"/>
          <w:numId w:val="17"/>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Usar elementos, herramientas o medios que produzcan estrés o intensa agonía al animal.</w:t>
      </w:r>
    </w:p>
    <w:p w14:paraId="53B30BFE" w14:textId="77777777" w:rsidR="00655DDF" w:rsidRDefault="00655DDF">
      <w:pPr>
        <w:pBdr>
          <w:top w:val="nil"/>
          <w:left w:val="nil"/>
          <w:bottom w:val="nil"/>
          <w:right w:val="nil"/>
          <w:between w:val="nil"/>
        </w:pBdr>
        <w:jc w:val="both"/>
        <w:rPr>
          <w:rFonts w:ascii="Bookman Old Style" w:eastAsia="Bookman Old Style" w:hAnsi="Bookman Old Style" w:cs="Bookman Old Style"/>
          <w:sz w:val="22"/>
          <w:szCs w:val="22"/>
        </w:rPr>
      </w:pPr>
    </w:p>
    <w:p w14:paraId="16E0019E" w14:textId="5FC66946" w:rsidR="000565E9"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80º</w:t>
      </w:r>
      <w:r>
        <w:rPr>
          <w:rFonts w:ascii="Bookman Old Style" w:eastAsia="Bookman Old Style" w:hAnsi="Bookman Old Style" w:cs="Bookman Old Style"/>
          <w:sz w:val="22"/>
          <w:szCs w:val="22"/>
        </w:rPr>
        <w:t xml:space="preserve">. La presente ley rige a partir de su promulgación y modifica y deroga las disposiciones que le sean contrarias, particularmente aquellas contenidas en la Ley 84 de 1989 relativas a los temas que se modifican a través de esta ley. </w:t>
      </w:r>
    </w:p>
    <w:p w14:paraId="59C17BE5" w14:textId="02FE9A0F" w:rsidR="000565E9" w:rsidRDefault="000565E9">
      <w:pPr>
        <w:rPr>
          <w:rFonts w:ascii="Bookman Old Style" w:eastAsia="Bookman Old Style" w:hAnsi="Bookman Old Style" w:cs="Bookman Old Style"/>
          <w:sz w:val="22"/>
          <w:szCs w:val="22"/>
        </w:rPr>
      </w:pPr>
    </w:p>
    <w:p w14:paraId="60EC3535" w14:textId="5AA4A367" w:rsidR="009D437C" w:rsidRDefault="009D437C">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Cordialmente,</w:t>
      </w:r>
    </w:p>
    <w:p w14:paraId="7D04A7AE" w14:textId="77777777" w:rsidR="009D437C" w:rsidRDefault="009D437C">
      <w:pPr>
        <w:rPr>
          <w:rFonts w:ascii="Bookman Old Style" w:eastAsia="Bookman Old Style" w:hAnsi="Bookman Old Style" w:cs="Bookman Old Style"/>
          <w:sz w:val="22"/>
          <w:szCs w:val="22"/>
        </w:rPr>
      </w:pPr>
    </w:p>
    <w:p w14:paraId="728C22DC" w14:textId="16AB6516" w:rsidR="009D437C" w:rsidRDefault="009D437C">
      <w:pPr>
        <w:rPr>
          <w:rFonts w:ascii="Bookman Old Style" w:eastAsia="Bookman Old Style" w:hAnsi="Bookman Old Style" w:cs="Bookman Old Style"/>
          <w:sz w:val="22"/>
          <w:szCs w:val="22"/>
        </w:rPr>
      </w:pPr>
    </w:p>
    <w:p w14:paraId="6EBAD562" w14:textId="77777777" w:rsidR="000565E9" w:rsidRDefault="000565E9" w:rsidP="000565E9">
      <w:pPr>
        <w:jc w:val="center"/>
        <w:rPr>
          <w:rFonts w:ascii="Bookman Old Style" w:eastAsia="Bookman Old Style" w:hAnsi="Bookman Old Style" w:cs="Bookman Old Style"/>
          <w:sz w:val="22"/>
          <w:szCs w:val="22"/>
        </w:rPr>
      </w:pPr>
    </w:p>
    <w:p w14:paraId="1098FE99" w14:textId="77777777" w:rsidR="000565E9" w:rsidRDefault="000565E9" w:rsidP="000565E9">
      <w:pPr>
        <w:ind w:right="120"/>
        <w:jc w:val="center"/>
        <w:rPr>
          <w:rFonts w:ascii="Bookman Old Style" w:eastAsia="Bookman Old Style" w:hAnsi="Bookman Old Style" w:cs="Bookman Old Style"/>
          <w:sz w:val="22"/>
          <w:szCs w:val="22"/>
        </w:rPr>
      </w:pPr>
    </w:p>
    <w:p w14:paraId="586BFFEF" w14:textId="77777777" w:rsidR="000565E9" w:rsidRDefault="000565E9" w:rsidP="000565E9">
      <w:pPr>
        <w:ind w:right="120"/>
        <w:jc w:val="center"/>
        <w:rPr>
          <w:rFonts w:ascii="Bookman Old Style" w:eastAsia="Bookman Old Style" w:hAnsi="Bookman Old Style" w:cs="Bookman Old Style"/>
          <w:sz w:val="22"/>
          <w:szCs w:val="22"/>
        </w:rPr>
      </w:pPr>
    </w:p>
    <w:p w14:paraId="42CE5B20" w14:textId="77777777" w:rsidR="009D437C" w:rsidRDefault="009D437C" w:rsidP="000565E9">
      <w:pPr>
        <w:ind w:right="120"/>
        <w:jc w:val="center"/>
        <w:rPr>
          <w:rFonts w:ascii="Bookman Old Style" w:eastAsia="Bookman Old Style" w:hAnsi="Bookman Old Style" w:cs="Bookman Old Style"/>
          <w:sz w:val="22"/>
          <w:szCs w:val="22"/>
        </w:rPr>
      </w:pPr>
    </w:p>
    <w:p w14:paraId="41904706" w14:textId="77777777" w:rsidR="009D437C" w:rsidRDefault="009D437C" w:rsidP="000565E9">
      <w:pPr>
        <w:ind w:right="120"/>
        <w:jc w:val="center"/>
        <w:rPr>
          <w:rFonts w:ascii="Bookman Old Style" w:eastAsia="Bookman Old Style" w:hAnsi="Bookman Old Style" w:cs="Bookman Old Style"/>
          <w:sz w:val="22"/>
          <w:szCs w:val="22"/>
        </w:rPr>
      </w:pPr>
    </w:p>
    <w:p w14:paraId="6FE62B78" w14:textId="77777777" w:rsidR="009D437C" w:rsidRDefault="009D437C" w:rsidP="000565E9">
      <w:pPr>
        <w:ind w:right="120"/>
        <w:jc w:val="center"/>
        <w:rPr>
          <w:rFonts w:ascii="Bookman Old Style" w:eastAsia="Bookman Old Style" w:hAnsi="Bookman Old Style" w:cs="Bookman Old Style"/>
          <w:sz w:val="22"/>
          <w:szCs w:val="22"/>
        </w:rPr>
      </w:pPr>
    </w:p>
    <w:p w14:paraId="2B5B0B3E" w14:textId="0466F1B8" w:rsidR="009D437C" w:rsidRPr="00D92618" w:rsidRDefault="009D437C" w:rsidP="009D437C">
      <w:pPr>
        <w:pStyle w:val="Sinespaciado"/>
        <w:tabs>
          <w:tab w:val="left" w:pos="8055"/>
        </w:tabs>
        <w:jc w:val="center"/>
        <w:rPr>
          <w:rFonts w:ascii="Bookman Old Style" w:hAnsi="Bookman Old Style" w:cs="Arial"/>
          <w:b/>
        </w:rPr>
      </w:pPr>
      <w:r w:rsidRPr="00D92618">
        <w:rPr>
          <w:rFonts w:ascii="Bookman Old Style" w:hAnsi="Bookman Old Style" w:cs="Arial"/>
          <w:b/>
        </w:rPr>
        <w:t>JUAN CARLOS LOZADA VARGAS</w:t>
      </w:r>
    </w:p>
    <w:p w14:paraId="5ECB1460" w14:textId="77777777" w:rsidR="009D437C" w:rsidRPr="00D92618" w:rsidRDefault="009D437C" w:rsidP="009D437C">
      <w:pPr>
        <w:pStyle w:val="Sinespaciado"/>
        <w:tabs>
          <w:tab w:val="left" w:pos="8055"/>
        </w:tabs>
        <w:jc w:val="center"/>
        <w:rPr>
          <w:rFonts w:ascii="Bookman Old Style" w:hAnsi="Bookman Old Style" w:cs="Arial"/>
        </w:rPr>
      </w:pPr>
      <w:r w:rsidRPr="00D92618">
        <w:rPr>
          <w:rFonts w:ascii="Bookman Old Style" w:hAnsi="Bookman Old Style" w:cs="Arial"/>
        </w:rPr>
        <w:t>Representante a la Cámara</w:t>
      </w:r>
    </w:p>
    <w:p w14:paraId="6B3F8BA3" w14:textId="2FD99253" w:rsidR="009D437C" w:rsidRDefault="009D437C">
      <w:pPr>
        <w:rPr>
          <w:rFonts w:ascii="Bookman Old Style" w:eastAsia="Bookman Old Style" w:hAnsi="Bookman Old Style" w:cs="Bookman Old Style"/>
          <w:sz w:val="22"/>
          <w:szCs w:val="22"/>
        </w:rPr>
      </w:pPr>
    </w:p>
    <w:p w14:paraId="547B8F43" w14:textId="77777777" w:rsidR="009D437C" w:rsidRDefault="009D437C" w:rsidP="000565E9">
      <w:pPr>
        <w:ind w:right="120"/>
        <w:jc w:val="center"/>
        <w:rPr>
          <w:rFonts w:ascii="Bookman Old Style" w:eastAsia="Bookman Old Style" w:hAnsi="Bookman Old Style" w:cs="Bookman Old Style"/>
          <w:sz w:val="22"/>
          <w:szCs w:val="22"/>
        </w:rPr>
      </w:pPr>
    </w:p>
    <w:p w14:paraId="4246512F" w14:textId="77777777" w:rsidR="000565E9" w:rsidRDefault="000565E9" w:rsidP="000565E9">
      <w:pPr>
        <w:ind w:right="120"/>
        <w:jc w:val="center"/>
        <w:rPr>
          <w:rFonts w:ascii="Bookman Old Style" w:eastAsia="Bookman Old Style" w:hAnsi="Bookman Old Style" w:cs="Bookman Old Style"/>
          <w:sz w:val="22"/>
          <w:szCs w:val="22"/>
        </w:rPr>
      </w:pPr>
    </w:p>
    <w:p w14:paraId="74513FE3" w14:textId="4851C992" w:rsidR="006B53E3" w:rsidRDefault="006B53E3">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br w:type="page"/>
      </w:r>
    </w:p>
    <w:p w14:paraId="04AEB1F2" w14:textId="77777777" w:rsidR="00655DDF" w:rsidRDefault="00655DDF">
      <w:pPr>
        <w:jc w:val="both"/>
        <w:rPr>
          <w:rFonts w:ascii="Bookman Old Style" w:eastAsia="Bookman Old Style" w:hAnsi="Bookman Old Style" w:cs="Bookman Old Style"/>
          <w:b/>
          <w:sz w:val="22"/>
          <w:szCs w:val="22"/>
        </w:rPr>
      </w:pPr>
    </w:p>
    <w:p w14:paraId="7C306304" w14:textId="2C4BCD46" w:rsidR="00655DDF" w:rsidRDefault="00655DDF">
      <w:pPr>
        <w:rPr>
          <w:rFonts w:ascii="Bookman Old Style" w:eastAsia="Bookman Old Style" w:hAnsi="Bookman Old Style" w:cs="Bookman Old Style"/>
          <w:b/>
          <w:sz w:val="22"/>
          <w:szCs w:val="22"/>
        </w:rPr>
      </w:pPr>
    </w:p>
    <w:p w14:paraId="67539274" w14:textId="77777777" w:rsidR="00655DDF" w:rsidRDefault="00655DDF">
      <w:pPr>
        <w:jc w:val="both"/>
        <w:rPr>
          <w:rFonts w:ascii="Bookman Old Style" w:eastAsia="Bookman Old Style" w:hAnsi="Bookman Old Style" w:cs="Bookman Old Style"/>
          <w:b/>
          <w:sz w:val="22"/>
          <w:szCs w:val="22"/>
        </w:rPr>
      </w:pPr>
    </w:p>
    <w:p w14:paraId="0C264BAD" w14:textId="77777777" w:rsidR="00655DDF" w:rsidRDefault="00000000">
      <w:pPr>
        <w:pBdr>
          <w:top w:val="nil"/>
          <w:left w:val="nil"/>
          <w:bottom w:val="single" w:sz="4" w:space="1" w:color="000000"/>
          <w:right w:val="nil"/>
          <w:between w:val="nil"/>
        </w:pBdr>
        <w:tabs>
          <w:tab w:val="left" w:pos="8055"/>
        </w:tabs>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EXPOSICIÓN DE MOTIVOS.</w:t>
      </w:r>
    </w:p>
    <w:p w14:paraId="3431F607" w14:textId="77777777" w:rsidR="00655DDF" w:rsidRDefault="00655DDF">
      <w:pPr>
        <w:pBdr>
          <w:top w:val="nil"/>
          <w:left w:val="nil"/>
          <w:bottom w:val="nil"/>
          <w:right w:val="nil"/>
          <w:between w:val="nil"/>
        </w:pBdr>
        <w:ind w:right="115"/>
        <w:rPr>
          <w:rFonts w:ascii="Bookman Old Style" w:eastAsia="Bookman Old Style" w:hAnsi="Bookman Old Style" w:cs="Bookman Old Style"/>
          <w:sz w:val="22"/>
          <w:szCs w:val="22"/>
        </w:rPr>
      </w:pPr>
    </w:p>
    <w:p w14:paraId="7BB83DA3" w14:textId="77777777" w:rsidR="00655DDF" w:rsidRDefault="00000000">
      <w:pPr>
        <w:pStyle w:val="Ttulo2"/>
        <w:numPr>
          <w:ilvl w:val="0"/>
          <w:numId w:val="21"/>
        </w:numPr>
        <w:ind w:left="284" w:hanging="284"/>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OBJETO DEL PROYECTO DE LEY.</w:t>
      </w:r>
    </w:p>
    <w:p w14:paraId="662180E9" w14:textId="77777777" w:rsidR="00655DDF" w:rsidRDefault="00655DDF">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p>
    <w:p w14:paraId="2E5B5DA9" w14:textId="77777777" w:rsidR="00655DDF"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presente proyecto de Ley tiene por objeto la actualización y expedición de normas en materia de bienestar y protección animal especialmente en lo relativo a los animales domésticos de compañía con la finalidad de actualizar la Ley 84 de 1989.</w:t>
      </w:r>
    </w:p>
    <w:p w14:paraId="0224EF45" w14:textId="77777777" w:rsidR="00655DDF" w:rsidRDefault="00655DDF">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p>
    <w:p w14:paraId="5DFBD97F" w14:textId="77777777" w:rsidR="00655DDF"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 esta manera, el proyecto fija los lineamientos de la tenencia de animales domésticos de compañía, determina cuáles animales pueden estar sujetos a esta figura, fija unos deberes en cabeza de los propietarios y regula todo lo correspondiente a la cría y comercialización de estos animales. </w:t>
      </w:r>
    </w:p>
    <w:p w14:paraId="21D3B628" w14:textId="77777777" w:rsidR="00655DDF" w:rsidRDefault="00655DDF">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p>
    <w:p w14:paraId="51FFDEEB" w14:textId="77777777" w:rsidR="00655DDF"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Adicionalmente, este proyecto busca actualizar el procedimiento administrativo sancionatorio contemplado en la Ley 84 de 1989 con el fin de fortalecer la lucha contra el maltrato animal que ha tenido avances importantes desde la expedición de la Ley 1774 de 2016, pero que todavía encuentra trabas para los casos que no son competencia de la jurisdicción penal.</w:t>
      </w:r>
    </w:p>
    <w:p w14:paraId="6017B4A9" w14:textId="77777777" w:rsidR="00655DDF" w:rsidRDefault="00655DDF">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p>
    <w:p w14:paraId="087AA8B1" w14:textId="77777777" w:rsidR="00655DDF"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Sobre el particular, al final de esta exposición de motivos se expondrán los resultados de la investigación que realizamos en 2019 y que demostró que, a 30 años de la Ley 84 de 1989 y a casi 50 años de la Ley 5 de 1972, los entes territoriales aun no cumplen sus obligaciones en materia de protección y bienestar animal, por lo que es urgente actualizar estas competencias.</w:t>
      </w:r>
    </w:p>
    <w:p w14:paraId="64A633FD" w14:textId="77777777" w:rsidR="00655DDF" w:rsidRDefault="00655DDF">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p>
    <w:p w14:paraId="572558C2" w14:textId="77777777" w:rsidR="00655DDF"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Así las cosas, este proyecto plantea un avance real en la protección de los animales y particularmente de aquellos que conviven con los seres humanos, con la finalidad de sentar las bases para más adelante poder avanzar de forma definitiva en legislaciones más robustas que protejan de forma definitiva, y no desde una perspectiva antropocéntrica la vida de todos los seres vivos.</w:t>
      </w:r>
    </w:p>
    <w:p w14:paraId="4ECB013D" w14:textId="77777777" w:rsidR="00655DDF" w:rsidRDefault="00655DDF">
      <w:pPr>
        <w:pBdr>
          <w:top w:val="nil"/>
          <w:left w:val="nil"/>
          <w:bottom w:val="nil"/>
          <w:right w:val="nil"/>
          <w:between w:val="nil"/>
        </w:pBdr>
        <w:spacing w:after="160"/>
        <w:ind w:right="115"/>
        <w:rPr>
          <w:rFonts w:ascii="Bookman Old Style" w:eastAsia="Bookman Old Style" w:hAnsi="Bookman Old Style" w:cs="Bookman Old Style"/>
          <w:sz w:val="22"/>
          <w:szCs w:val="22"/>
        </w:rPr>
      </w:pPr>
    </w:p>
    <w:p w14:paraId="5CFB572D" w14:textId="77777777" w:rsidR="00655DDF" w:rsidRDefault="00000000">
      <w:pPr>
        <w:pStyle w:val="Ttulo2"/>
        <w:numPr>
          <w:ilvl w:val="0"/>
          <w:numId w:val="21"/>
        </w:numPr>
        <w:ind w:left="284" w:hanging="284"/>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PROBLEMA A RESOLVER.</w:t>
      </w:r>
    </w:p>
    <w:p w14:paraId="314C474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Si bien desde el año 1972 se han expedido normas tendientes a la protección y bienestar de los animales en el territorio nacional, su dispersión ha dificultado la claridad sobre las competencias de las autoridades nacionales, regionales y locales frente a la materia, circunstancia que ha impedido atacar, sancionar y erradicar las conductas de maltrato animal que, de hecho, han venido creciendo exponencialmente en el país.</w:t>
      </w:r>
    </w:p>
    <w:p w14:paraId="5656E773" w14:textId="77777777" w:rsidR="00655DDF" w:rsidRDefault="00655DDF">
      <w:pPr>
        <w:jc w:val="both"/>
        <w:rPr>
          <w:rFonts w:ascii="Bookman Old Style" w:eastAsia="Bookman Old Style" w:hAnsi="Bookman Old Style" w:cs="Bookman Old Style"/>
          <w:sz w:val="22"/>
          <w:szCs w:val="22"/>
        </w:rPr>
      </w:pPr>
    </w:p>
    <w:p w14:paraId="5EFA084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Adicionalmente, con la expedición de la Constitución de 1991 y el desarrollo jurisprudencial que se ha venido consolidando desde el año 1997 y que, poco a poco, ha modificado las bases del modelo antropocentrista que caracterizaba la legislación nacional, ha surgido la necesidad de actualizar y complementar la Ley 84 de 1989, también conocida como el Estatuto Nacional de Protección de los Animales.</w:t>
      </w:r>
    </w:p>
    <w:p w14:paraId="391BB1E1" w14:textId="77777777" w:rsidR="00655DDF" w:rsidRDefault="00655DDF">
      <w:pPr>
        <w:jc w:val="both"/>
        <w:rPr>
          <w:rFonts w:ascii="Bookman Old Style" w:eastAsia="Bookman Old Style" w:hAnsi="Bookman Old Style" w:cs="Bookman Old Style"/>
          <w:sz w:val="22"/>
          <w:szCs w:val="22"/>
        </w:rPr>
      </w:pPr>
    </w:p>
    <w:p w14:paraId="7683DFC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Esto último, teniendo en cuenta que la norma enunciada se limitó a fijar unos parámetros generales de protección y bienestar que, aunque a la fecha han permitido la generación de conciencia en torno a la protección animal, en la actualidad no están siendo aplicados, especialmente lo respectivo al procedimiento sancionatorio que allí se contempla, y que en la actualidad es inaplicable, al ser absolutamente contrario a la Constitución Política de 1991. Lo anterior, en tanto el Estatuto Nacional de Protección Animal prevé que, para efectos de sancionar el maltrato animal, los alcaldes están facultados para imponer penas privativas de la libertad, facultad que a la luz del artículo 28 de la Carta Política, es inconstitucional.</w:t>
      </w:r>
    </w:p>
    <w:p w14:paraId="3C2CA35E" w14:textId="77777777" w:rsidR="00655DDF" w:rsidRDefault="00655DDF">
      <w:pPr>
        <w:jc w:val="both"/>
        <w:rPr>
          <w:rFonts w:ascii="Bookman Old Style" w:eastAsia="Bookman Old Style" w:hAnsi="Bookman Old Style" w:cs="Bookman Old Style"/>
          <w:sz w:val="22"/>
          <w:szCs w:val="22"/>
        </w:rPr>
      </w:pPr>
    </w:p>
    <w:p w14:paraId="1784315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otra parte, la jurisprudencia constitucional, que se ha venido desarrollando tanto en sede de tutela como de acciones de inconstitucionalidad, ha venido reconociendo la necesidad de actualizar y desarrollar un mayor número de disposiciones tendientes a materializar el mandato constitucional de protección animal que se desprende de la llamada “constitución ecológica” y del concepto de dignidad humana.</w:t>
      </w:r>
    </w:p>
    <w:p w14:paraId="456537BC" w14:textId="77777777" w:rsidR="00655DDF" w:rsidRDefault="00655DDF">
      <w:pPr>
        <w:jc w:val="both"/>
        <w:rPr>
          <w:rFonts w:ascii="Bookman Old Style" w:eastAsia="Bookman Old Style" w:hAnsi="Bookman Old Style" w:cs="Bookman Old Style"/>
          <w:sz w:val="22"/>
          <w:szCs w:val="22"/>
        </w:rPr>
      </w:pPr>
    </w:p>
    <w:p w14:paraId="5718076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Incluso, en decisiones relativamente recientes se ha afirmado que es posible otorgar una protección a los animales a través de su reconocimiento como verdaderos sujetos de derechos, partiendo de la base de que estos derechos no necesariamente son equivalentes a aquellos reconocidos a los seres humanos o, incluso desde su carácter de miembros de familia.</w:t>
      </w:r>
    </w:p>
    <w:p w14:paraId="4FE1E286" w14:textId="77777777" w:rsidR="00655DDF" w:rsidRDefault="00655DDF">
      <w:pPr>
        <w:jc w:val="both"/>
        <w:rPr>
          <w:rFonts w:ascii="Bookman Old Style" w:eastAsia="Bookman Old Style" w:hAnsi="Bookman Old Style" w:cs="Bookman Old Style"/>
          <w:sz w:val="22"/>
          <w:szCs w:val="22"/>
        </w:rPr>
      </w:pPr>
    </w:p>
    <w:p w14:paraId="27BC072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esta razón, se considera necesario avanzar en la expedición de normas que eventualmente nos lleven a reconocer un nuevo estatus jurídico a los animales y que respondan a los mandatos derivados de la Constitución de 1991.</w:t>
      </w:r>
    </w:p>
    <w:p w14:paraId="736BEA50" w14:textId="77777777" w:rsidR="00655DDF" w:rsidRDefault="00655DDF">
      <w:pPr>
        <w:jc w:val="both"/>
        <w:rPr>
          <w:rFonts w:ascii="Bookman Old Style" w:eastAsia="Bookman Old Style" w:hAnsi="Bookman Old Style" w:cs="Bookman Old Style"/>
          <w:sz w:val="22"/>
          <w:szCs w:val="22"/>
        </w:rPr>
      </w:pPr>
    </w:p>
    <w:p w14:paraId="0E08FC4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Este proyecto, que mantiene la noción de propiedad sobre los animales, plantea unas medidas a partir de las cuales se pueden fijar unas bases sólidas para regular la convivencia con animales domésticos de compañía, fomentar la tenencia responsable y eventualmente avanzar en la creación de nuevas figuras jurídicas para la protección de los animales.</w:t>
      </w:r>
    </w:p>
    <w:p w14:paraId="09C2AAA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Aunque es claro que los animales no deberían seguir siendo tratados bajo la calidad de bienes en el ordenamiento jurídico nacional, también es claro que a la fecha nuestra sociedad no está lista para reconocer un sistema de tutorías o derechos propios de los animales, pues sigue habiendo muchísimo maltrato animal e incluso muchos casos de malas tenencias en los que no se les satisfacen ni siquiera las necesidades básicas a los animales.</w:t>
      </w:r>
    </w:p>
    <w:p w14:paraId="0C188183" w14:textId="77777777" w:rsidR="00655DDF" w:rsidRDefault="00655DDF">
      <w:pPr>
        <w:jc w:val="both"/>
        <w:rPr>
          <w:rFonts w:ascii="Bookman Old Style" w:eastAsia="Bookman Old Style" w:hAnsi="Bookman Old Style" w:cs="Bookman Old Style"/>
          <w:sz w:val="22"/>
          <w:szCs w:val="22"/>
        </w:rPr>
      </w:pPr>
    </w:p>
    <w:p w14:paraId="232D39B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Adicionalmente, la institucionalidad en torno a la protección y bienestar animal ha ido creciendo, pero aún no tiene la suficiente fuerza, ni la suficiente capacidad, para garantizar el cuidado de los animales en situación de calle, de los animales abandonados, de los animales maltratados y mucho menos para hacer seguimiento y vigilancia de los animales que se encuentran bajo tenencia humana.</w:t>
      </w:r>
    </w:p>
    <w:p w14:paraId="190BBAA9" w14:textId="77777777" w:rsidR="00655DDF" w:rsidRDefault="00655DDF">
      <w:pPr>
        <w:jc w:val="both"/>
        <w:rPr>
          <w:rFonts w:ascii="Bookman Old Style" w:eastAsia="Bookman Old Style" w:hAnsi="Bookman Old Style" w:cs="Bookman Old Style"/>
          <w:sz w:val="22"/>
          <w:szCs w:val="22"/>
        </w:rPr>
      </w:pPr>
    </w:p>
    <w:p w14:paraId="72049A1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Así las cosas, es necesario primero fortalecer los mandatos de tenencia responsable; regular las actividades de cría y comercialización de animales y fortalecer las competencias administrativas y el procedimiento administrativo sancionatorio en esta materia, antes de plantear un avance de otra naturaleza.</w:t>
      </w:r>
    </w:p>
    <w:p w14:paraId="3597729E" w14:textId="77777777" w:rsidR="00655DDF" w:rsidRDefault="00655DDF">
      <w:pPr>
        <w:jc w:val="both"/>
        <w:rPr>
          <w:rFonts w:ascii="Bookman Old Style" w:eastAsia="Bookman Old Style" w:hAnsi="Bookman Old Style" w:cs="Bookman Old Style"/>
          <w:sz w:val="22"/>
          <w:szCs w:val="22"/>
        </w:rPr>
      </w:pPr>
    </w:p>
    <w:p w14:paraId="0E14D53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Fortalecer estos temas reducirá problemáticas de gran tamaño como lo es la gran cantidad de animales en situación de calle, se ha estimado que puede haber más de 3 millones de perros y gatos en situación de calle en el país</w:t>
      </w:r>
      <w:r>
        <w:rPr>
          <w:rFonts w:ascii="Bookman Old Style" w:eastAsia="Bookman Old Style" w:hAnsi="Bookman Old Style" w:cs="Bookman Old Style"/>
          <w:sz w:val="22"/>
          <w:szCs w:val="22"/>
          <w:vertAlign w:val="superscript"/>
        </w:rPr>
        <w:footnoteReference w:id="1"/>
      </w:r>
      <w:r>
        <w:rPr>
          <w:rFonts w:ascii="Bookman Old Style" w:eastAsia="Bookman Old Style" w:hAnsi="Bookman Old Style" w:cs="Bookman Old Style"/>
          <w:sz w:val="22"/>
          <w:szCs w:val="22"/>
        </w:rPr>
        <w:t>, así como la gran cantidad de denuncias por maltrato, muchas de las cuales han avanzado gracias al trabajo de la Fiscalía General de la Nación, pero muchas otras que se quedan impunes por la inacción de las autoridades locales en esta materia.</w:t>
      </w:r>
    </w:p>
    <w:p w14:paraId="50447333" w14:textId="77777777" w:rsidR="00655DDF" w:rsidRDefault="00655DDF">
      <w:pPr>
        <w:jc w:val="both"/>
        <w:rPr>
          <w:rFonts w:ascii="Bookman Old Style" w:eastAsia="Bookman Old Style" w:hAnsi="Bookman Old Style" w:cs="Bookman Old Style"/>
          <w:sz w:val="22"/>
          <w:szCs w:val="22"/>
        </w:rPr>
      </w:pPr>
    </w:p>
    <w:p w14:paraId="6D044BA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Ahora bien, en lo que respecta a la regulación de la crianza y comercialización de animales, la problemática que se quiere resolver es justamente la que se describe en el párrafo anterior, sumada a las precarias condiciones en las que se encuentran muchos de los criaderos o sitios de comercialización de animales en la actualidad.</w:t>
      </w:r>
    </w:p>
    <w:p w14:paraId="58D76DF5" w14:textId="77777777" w:rsidR="00655DDF" w:rsidRDefault="00655DDF">
      <w:pPr>
        <w:jc w:val="both"/>
        <w:rPr>
          <w:rFonts w:ascii="Bookman Old Style" w:eastAsia="Bookman Old Style" w:hAnsi="Bookman Old Style" w:cs="Bookman Old Style"/>
          <w:sz w:val="22"/>
          <w:szCs w:val="22"/>
        </w:rPr>
      </w:pPr>
    </w:p>
    <w:p w14:paraId="5BA2287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los últimos años los colombianos hemos conocido infinidad de noticias sobre este asunto y de hecho, de forma reciente se impuso la mayor sanción a un criadero ilegal</w:t>
      </w:r>
      <w:r>
        <w:rPr>
          <w:rFonts w:ascii="Bookman Old Style" w:eastAsia="Bookman Old Style" w:hAnsi="Bookman Old Style" w:cs="Bookman Old Style"/>
          <w:sz w:val="22"/>
          <w:szCs w:val="22"/>
          <w:vertAlign w:val="superscript"/>
        </w:rPr>
        <w:footnoteReference w:id="2"/>
      </w:r>
      <w:r>
        <w:rPr>
          <w:rFonts w:ascii="Bookman Old Style" w:eastAsia="Bookman Old Style" w:hAnsi="Bookman Old Style" w:cs="Bookman Old Style"/>
          <w:sz w:val="22"/>
          <w:szCs w:val="22"/>
        </w:rPr>
        <w:t xml:space="preserve"> en Funza, Cundinamarca, donde permanecían casi 150 caninos y dos porcinos y en el que las autoridades comprobaron que existían prácticas de maltrato y negligencia. </w:t>
      </w:r>
    </w:p>
    <w:p w14:paraId="76F85777" w14:textId="77777777" w:rsidR="00655DDF" w:rsidRDefault="00655DDF">
      <w:pPr>
        <w:jc w:val="both"/>
        <w:rPr>
          <w:rFonts w:ascii="Bookman Old Style" w:eastAsia="Bookman Old Style" w:hAnsi="Bookman Old Style" w:cs="Bookman Old Style"/>
          <w:sz w:val="22"/>
          <w:szCs w:val="22"/>
        </w:rPr>
      </w:pPr>
    </w:p>
    <w:p w14:paraId="30406D70"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Recientemente, también fueron aprehendidos en Sabaneta 16 caninos de la raza bulldog francés por condiciones de maltrato y explotación animal</w:t>
      </w:r>
      <w:r>
        <w:rPr>
          <w:rFonts w:ascii="Bookman Old Style" w:eastAsia="Bookman Old Style" w:hAnsi="Bookman Old Style" w:cs="Bookman Old Style"/>
          <w:sz w:val="22"/>
          <w:szCs w:val="22"/>
          <w:vertAlign w:val="superscript"/>
        </w:rPr>
        <w:footnoteReference w:id="3"/>
      </w:r>
      <w:r>
        <w:rPr>
          <w:rFonts w:ascii="Bookman Old Style" w:eastAsia="Bookman Old Style" w:hAnsi="Bookman Old Style" w:cs="Bookman Old Style"/>
          <w:sz w:val="22"/>
          <w:szCs w:val="22"/>
        </w:rPr>
        <w:t xml:space="preserve">. En mayo, fue condenado a prisión un hombre que tenía aproximadamente 44 animales de las razas </w:t>
      </w:r>
      <w:proofErr w:type="spellStart"/>
      <w:r>
        <w:rPr>
          <w:rFonts w:ascii="Bookman Old Style" w:eastAsia="Bookman Old Style" w:hAnsi="Bookman Old Style" w:cs="Bookman Old Style"/>
          <w:sz w:val="22"/>
          <w:szCs w:val="22"/>
        </w:rPr>
        <w:t>west</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highland</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white</w:t>
      </w:r>
      <w:proofErr w:type="spellEnd"/>
      <w:r>
        <w:rPr>
          <w:rFonts w:ascii="Bookman Old Style" w:eastAsia="Bookman Old Style" w:hAnsi="Bookman Old Style" w:cs="Bookman Old Style"/>
          <w:sz w:val="22"/>
          <w:szCs w:val="22"/>
        </w:rPr>
        <w:t xml:space="preserve"> terrier, </w:t>
      </w:r>
      <w:proofErr w:type="spellStart"/>
      <w:r>
        <w:rPr>
          <w:rFonts w:ascii="Bookman Old Style" w:eastAsia="Bookman Old Style" w:hAnsi="Bookman Old Style" w:cs="Bookman Old Style"/>
          <w:sz w:val="22"/>
          <w:szCs w:val="22"/>
        </w:rPr>
        <w:t>yorkshire</w:t>
      </w:r>
      <w:proofErr w:type="spellEnd"/>
      <w:r>
        <w:rPr>
          <w:rFonts w:ascii="Bookman Old Style" w:eastAsia="Bookman Old Style" w:hAnsi="Bookman Old Style" w:cs="Bookman Old Style"/>
          <w:sz w:val="22"/>
          <w:szCs w:val="22"/>
        </w:rPr>
        <w:t xml:space="preserve"> terrier, </w:t>
      </w:r>
      <w:proofErr w:type="spellStart"/>
      <w:r>
        <w:rPr>
          <w:rFonts w:ascii="Bookman Old Style" w:eastAsia="Bookman Old Style" w:hAnsi="Bookman Old Style" w:cs="Bookman Old Style"/>
          <w:sz w:val="22"/>
          <w:szCs w:val="22"/>
        </w:rPr>
        <w:t>shih</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tzu</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pomerania</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pinscher</w:t>
      </w:r>
      <w:proofErr w:type="spellEnd"/>
      <w:r>
        <w:rPr>
          <w:rFonts w:ascii="Bookman Old Style" w:eastAsia="Bookman Old Style" w:hAnsi="Bookman Old Style" w:cs="Bookman Old Style"/>
          <w:sz w:val="22"/>
          <w:szCs w:val="22"/>
        </w:rPr>
        <w:t xml:space="preserve"> y </w:t>
      </w:r>
      <w:proofErr w:type="spellStart"/>
      <w:r>
        <w:rPr>
          <w:rFonts w:ascii="Bookman Old Style" w:eastAsia="Bookman Old Style" w:hAnsi="Bookman Old Style" w:cs="Bookman Old Style"/>
          <w:sz w:val="22"/>
          <w:szCs w:val="22"/>
        </w:rPr>
        <w:t>french</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poodle</w:t>
      </w:r>
      <w:proofErr w:type="spellEnd"/>
      <w:r>
        <w:rPr>
          <w:vertAlign w:val="superscript"/>
        </w:rPr>
        <w:footnoteReference w:id="4"/>
      </w:r>
      <w:r>
        <w:rPr>
          <w:rFonts w:ascii="Bookman Old Style" w:eastAsia="Bookman Old Style" w:hAnsi="Bookman Old Style" w:cs="Bookman Old Style"/>
          <w:sz w:val="22"/>
          <w:szCs w:val="22"/>
        </w:rPr>
        <w:t xml:space="preserve"> en pésimas condiciones.</w:t>
      </w:r>
    </w:p>
    <w:p w14:paraId="32B3293F"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Y, como estas, se han difundido infinidad de noticias que demuestran que, a falta de una regulación específica, muchas personas se aprovechan de los animales </w:t>
      </w:r>
      <w:r>
        <w:rPr>
          <w:rFonts w:ascii="Bookman Old Style" w:eastAsia="Bookman Old Style" w:hAnsi="Bookman Old Style" w:cs="Bookman Old Style"/>
          <w:sz w:val="22"/>
          <w:szCs w:val="22"/>
        </w:rPr>
        <w:lastRenderedPageBreak/>
        <w:t>domésticos de compañía para lucrarse, en perjuicio de su bienestar, llegando incluso a escenarios de explotación y maltrato animal.</w:t>
      </w:r>
    </w:p>
    <w:p w14:paraId="1E421B46" w14:textId="77777777" w:rsidR="00655DDF" w:rsidRDefault="00655DDF">
      <w:pPr>
        <w:jc w:val="both"/>
        <w:rPr>
          <w:rFonts w:ascii="Bookman Old Style" w:eastAsia="Bookman Old Style" w:hAnsi="Bookman Old Style" w:cs="Bookman Old Style"/>
          <w:sz w:val="22"/>
          <w:szCs w:val="22"/>
        </w:rPr>
      </w:pPr>
    </w:p>
    <w:p w14:paraId="691D078C"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esta razón, se considera fundamental profesionalizar estas prácticas y únicamente avalar la crianza y comercialización de animales domésticos de compañía a aquellas personas que asuman responsablemente las condiciones de tenencia, la satisfacción efectiva de las necesidades de los animales, el cuidado de los mismos, el suministro de atención veterinaria y las demás condiciones previstas en este proyecto de ley.</w:t>
      </w:r>
    </w:p>
    <w:p w14:paraId="19B76BC4" w14:textId="77777777" w:rsidR="00655DDF" w:rsidRDefault="00655DDF">
      <w:pPr>
        <w:jc w:val="both"/>
        <w:rPr>
          <w:rFonts w:ascii="Bookman Old Style" w:eastAsia="Bookman Old Style" w:hAnsi="Bookman Old Style" w:cs="Bookman Old Style"/>
          <w:sz w:val="22"/>
          <w:szCs w:val="22"/>
        </w:rPr>
      </w:pPr>
    </w:p>
    <w:p w14:paraId="2CADF2E1"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Esto, además ayudará a que los propietarios de animales de compañía también serán más responsables, pues serán asesorados por profesionales que no venderán un animal en perjuicio de su bienestar o a una familia que no esté preparada para cuidarlo y también, y más importante, fomentará la adopción de perros rescatados, en situación de calle o abandonados.</w:t>
      </w:r>
    </w:p>
    <w:p w14:paraId="284B6FD1" w14:textId="77777777" w:rsidR="00655DDF" w:rsidRDefault="00655DDF">
      <w:pPr>
        <w:jc w:val="both"/>
        <w:rPr>
          <w:rFonts w:ascii="Bookman Old Style" w:eastAsia="Bookman Old Style" w:hAnsi="Bookman Old Style" w:cs="Bookman Old Style"/>
          <w:sz w:val="22"/>
          <w:szCs w:val="22"/>
        </w:rPr>
      </w:pPr>
    </w:p>
    <w:p w14:paraId="710D62B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Bajo estas consideraciones, este proyecto regula de forma detallada esta actividad y otorga competencias a ciertas autoridades para la vigilancia y control de estos establecimientos, convencidos de que la tenencia de un animal de compañía va mucho más allá de su compra y que, en todo caso, la comercialización de los animales de raza deben estar en manos de profesionales que desarrollen su labor con la mayor responsabilidad. </w:t>
      </w:r>
    </w:p>
    <w:p w14:paraId="2991E73F" w14:textId="77777777" w:rsidR="00655DDF" w:rsidRDefault="00655DDF">
      <w:pPr>
        <w:jc w:val="both"/>
        <w:rPr>
          <w:rFonts w:ascii="Bookman Old Style" w:eastAsia="Bookman Old Style" w:hAnsi="Bookman Old Style" w:cs="Bookman Old Style"/>
          <w:sz w:val="22"/>
          <w:szCs w:val="22"/>
        </w:rPr>
      </w:pPr>
    </w:p>
    <w:p w14:paraId="5D6115A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Finalmente, y en lo que tiene que ver con la posibilidad de reproducir a los animales por parte de los propietarios, se considera que la limitación que plantea el presente proyecto no contraviene derechos fundamentales, ni derechos de ningún índole, pues no se está afectando la posibilidad de convivir con animales.</w:t>
      </w:r>
    </w:p>
    <w:p w14:paraId="7088A997" w14:textId="77777777" w:rsidR="00655DDF" w:rsidRDefault="00655DDF">
      <w:pPr>
        <w:jc w:val="both"/>
        <w:rPr>
          <w:rFonts w:ascii="Bookman Old Style" w:eastAsia="Bookman Old Style" w:hAnsi="Bookman Old Style" w:cs="Bookman Old Style"/>
          <w:sz w:val="22"/>
          <w:szCs w:val="22"/>
        </w:rPr>
      </w:pPr>
    </w:p>
    <w:p w14:paraId="45DF04B6"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limitación relativa a reproducir a los animales propios obedece a una medida necesaria para luchar contra la sobrepoblación de animales en situación de calle, fin necesario para dar cumplimiento al mandato de protección animal que se deriva de la Constitución Ecológica. Es además una medida proporcional, en tanto la reproducción de animales no influye ni en su salud ni en su vida y, en cambio, un mercado no regulado de seres vivos puede terminar en abandonos, malos tratos o malas tenencias.</w:t>
      </w:r>
    </w:p>
    <w:p w14:paraId="17C48187" w14:textId="77777777" w:rsidR="00655DDF" w:rsidRDefault="00655DDF">
      <w:pPr>
        <w:jc w:val="both"/>
        <w:rPr>
          <w:rFonts w:ascii="Bookman Old Style" w:eastAsia="Bookman Old Style" w:hAnsi="Bookman Old Style" w:cs="Bookman Old Style"/>
          <w:sz w:val="22"/>
          <w:szCs w:val="22"/>
        </w:rPr>
      </w:pPr>
    </w:p>
    <w:p w14:paraId="68A9CF7D"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este punto es importante recordar que se trata de verdaderos seres sintientes y no cualquier bien sujeto al comercio. Por eso es esencial que las normas respondan a esta realidad y regulen este mercado teniendo en cuenta principios básicos de protección y bienestar animal. </w:t>
      </w:r>
    </w:p>
    <w:p w14:paraId="5589D822" w14:textId="77777777" w:rsidR="00655DDF" w:rsidRDefault="00655DDF">
      <w:pPr>
        <w:jc w:val="both"/>
        <w:rPr>
          <w:rFonts w:ascii="Bookman Old Style" w:eastAsia="Bookman Old Style" w:hAnsi="Bookman Old Style" w:cs="Bookman Old Style"/>
          <w:sz w:val="22"/>
          <w:szCs w:val="22"/>
        </w:rPr>
      </w:pPr>
    </w:p>
    <w:p w14:paraId="24357582"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Finalmente, y teniendo en cuenta que este articulado ya ha sido discutido en varias audiencias y mesas técnicas, como se explicará más adelante, haciendo caso a las observaciones de las agremiaciones y asociaciones veterinarias, en todo caso el proyecto plantea la posibilidad de que algunos animales no sean sometidos a </w:t>
      </w:r>
      <w:r>
        <w:rPr>
          <w:rFonts w:ascii="Bookman Old Style" w:eastAsia="Bookman Old Style" w:hAnsi="Bookman Old Style" w:cs="Bookman Old Style"/>
          <w:sz w:val="22"/>
          <w:szCs w:val="22"/>
        </w:rPr>
        <w:lastRenderedPageBreak/>
        <w:t>esterilizaciones obligatorias, por razones médico veterinarias. Casos en los cuales los propietarios no podrán sacarles cría.</w:t>
      </w:r>
    </w:p>
    <w:p w14:paraId="31E9B7F2" w14:textId="77777777" w:rsidR="00655DDF" w:rsidRDefault="00655DDF">
      <w:pPr>
        <w:jc w:val="both"/>
        <w:rPr>
          <w:rFonts w:ascii="Bookman Old Style" w:eastAsia="Bookman Old Style" w:hAnsi="Bookman Old Style" w:cs="Bookman Old Style"/>
          <w:sz w:val="22"/>
          <w:szCs w:val="22"/>
        </w:rPr>
      </w:pPr>
    </w:p>
    <w:p w14:paraId="6E428FD6" w14:textId="77777777" w:rsidR="00655DDF" w:rsidRDefault="00000000">
      <w:pPr>
        <w:numPr>
          <w:ilvl w:val="0"/>
          <w:numId w:val="2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NORMAS VIGENTES.</w:t>
      </w:r>
    </w:p>
    <w:p w14:paraId="0A94E52E"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D28C080"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Actualmente se encuentran vigentes la Ley 5 de 1972, la Ley 84 de 1989 y la Ley 1774 de 2016 que regulan estas materias.</w:t>
      </w:r>
    </w:p>
    <w:p w14:paraId="6F6D971C"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A4AF83E"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Para evaluar la aplicación de estas normas, en 2019, momento en el que empezamos a trabajar en la construcción del Código Animal, remitimos 1103 derechos de petición a diferentes alcaldías del país, de los que sólo se recibieron respuesta del 34% de los municipios, es decir, solo respondieron alrededor de 463. A grandes rasgos, las conclusiones de la información recolectada, que se anexan a la exposición de motivos de este proyecto, son las siguientes: </w:t>
      </w:r>
    </w:p>
    <w:p w14:paraId="09225218" w14:textId="77777777" w:rsidR="00655DDF" w:rsidRDefault="00655DDF">
      <w:pPr>
        <w:pBdr>
          <w:top w:val="nil"/>
          <w:left w:val="nil"/>
          <w:bottom w:val="nil"/>
          <w:right w:val="nil"/>
          <w:between w:val="nil"/>
        </w:pBdr>
        <w:ind w:left="567"/>
        <w:jc w:val="both"/>
        <w:rPr>
          <w:rFonts w:ascii="Bookman Old Style" w:eastAsia="Bookman Old Style" w:hAnsi="Bookman Old Style" w:cs="Bookman Old Style"/>
          <w:color w:val="000000"/>
          <w:sz w:val="22"/>
          <w:szCs w:val="22"/>
        </w:rPr>
      </w:pPr>
    </w:p>
    <w:p w14:paraId="04B427F5" w14:textId="77777777" w:rsidR="00655DDF" w:rsidRDefault="00000000">
      <w:pPr>
        <w:numPr>
          <w:ilvl w:val="0"/>
          <w:numId w:val="18"/>
        </w:numPr>
        <w:pBdr>
          <w:top w:val="nil"/>
          <w:left w:val="nil"/>
          <w:bottom w:val="nil"/>
          <w:right w:val="nil"/>
          <w:between w:val="nil"/>
        </w:pBdr>
        <w:ind w:left="567"/>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No todos los municipios del país cuentan con una Junta Defensora de Animales, pese a que existe una obligación legal desde el año 1972; </w:t>
      </w:r>
    </w:p>
    <w:p w14:paraId="0E6D8F30" w14:textId="77777777" w:rsidR="00655DDF" w:rsidRDefault="00655DDF">
      <w:pPr>
        <w:pBdr>
          <w:top w:val="nil"/>
          <w:left w:val="nil"/>
          <w:bottom w:val="nil"/>
          <w:right w:val="nil"/>
          <w:between w:val="nil"/>
        </w:pBdr>
        <w:ind w:left="567"/>
        <w:jc w:val="both"/>
        <w:rPr>
          <w:rFonts w:ascii="Bookman Old Style" w:eastAsia="Bookman Old Style" w:hAnsi="Bookman Old Style" w:cs="Bookman Old Style"/>
          <w:color w:val="000000"/>
          <w:sz w:val="22"/>
          <w:szCs w:val="22"/>
        </w:rPr>
      </w:pPr>
    </w:p>
    <w:p w14:paraId="1C1AEC39" w14:textId="77777777" w:rsidR="00655DDF" w:rsidRDefault="00000000">
      <w:pPr>
        <w:numPr>
          <w:ilvl w:val="0"/>
          <w:numId w:val="18"/>
        </w:numPr>
        <w:pBdr>
          <w:top w:val="nil"/>
          <w:left w:val="nil"/>
          <w:bottom w:val="nil"/>
          <w:right w:val="nil"/>
          <w:between w:val="nil"/>
        </w:pBdr>
        <w:ind w:left="567"/>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No en todos los municipios en los que existe la Junta Defensora de Animales, existe una operación vigente de la misma; </w:t>
      </w:r>
    </w:p>
    <w:p w14:paraId="4FE4FAA2" w14:textId="77777777" w:rsidR="00655DDF" w:rsidRDefault="00655DDF">
      <w:pPr>
        <w:ind w:left="567"/>
        <w:jc w:val="both"/>
        <w:rPr>
          <w:rFonts w:ascii="Bookman Old Style" w:eastAsia="Bookman Old Style" w:hAnsi="Bookman Old Style" w:cs="Bookman Old Style"/>
          <w:sz w:val="22"/>
          <w:szCs w:val="22"/>
        </w:rPr>
      </w:pPr>
    </w:p>
    <w:p w14:paraId="1E6FEDF9" w14:textId="77777777" w:rsidR="00655DDF" w:rsidRDefault="00000000">
      <w:pPr>
        <w:numPr>
          <w:ilvl w:val="0"/>
          <w:numId w:val="18"/>
        </w:numPr>
        <w:pBdr>
          <w:top w:val="nil"/>
          <w:left w:val="nil"/>
          <w:bottom w:val="nil"/>
          <w:right w:val="nil"/>
          <w:between w:val="nil"/>
        </w:pBdr>
        <w:ind w:left="567"/>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porcentaje de sanciones administrativas por parte de los municipios corresponde apenas al 2%, pese a que estas están contempladas desde la Ley 5 de 1972 y la Ley 84 de 1989; </w:t>
      </w:r>
    </w:p>
    <w:p w14:paraId="47092A1F" w14:textId="77777777" w:rsidR="00655DDF" w:rsidRDefault="00655DDF">
      <w:pPr>
        <w:ind w:left="567"/>
        <w:jc w:val="both"/>
        <w:rPr>
          <w:rFonts w:ascii="Bookman Old Style" w:eastAsia="Bookman Old Style" w:hAnsi="Bookman Old Style" w:cs="Bookman Old Style"/>
          <w:sz w:val="22"/>
          <w:szCs w:val="22"/>
        </w:rPr>
      </w:pPr>
    </w:p>
    <w:p w14:paraId="45A1B7BC" w14:textId="77777777" w:rsidR="00655DDF" w:rsidRDefault="00000000">
      <w:pPr>
        <w:numPr>
          <w:ilvl w:val="0"/>
          <w:numId w:val="18"/>
        </w:numPr>
        <w:pBdr>
          <w:top w:val="nil"/>
          <w:left w:val="nil"/>
          <w:bottom w:val="nil"/>
          <w:right w:val="nil"/>
          <w:between w:val="nil"/>
        </w:pBdr>
        <w:ind w:left="567"/>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porcentaje de aplicación de multas es prácticamente nulo (1%).</w:t>
      </w:r>
    </w:p>
    <w:p w14:paraId="68128448" w14:textId="77777777" w:rsidR="00655DDF" w:rsidRDefault="00655DDF">
      <w:pPr>
        <w:ind w:left="567"/>
        <w:jc w:val="both"/>
        <w:rPr>
          <w:rFonts w:ascii="Bookman Old Style" w:eastAsia="Bookman Old Style" w:hAnsi="Bookman Old Style" w:cs="Bookman Old Style"/>
          <w:sz w:val="22"/>
          <w:szCs w:val="22"/>
        </w:rPr>
      </w:pPr>
    </w:p>
    <w:p w14:paraId="2969A7F5" w14:textId="77777777" w:rsidR="00655DDF" w:rsidRDefault="00000000">
      <w:pPr>
        <w:numPr>
          <w:ilvl w:val="0"/>
          <w:numId w:val="18"/>
        </w:numPr>
        <w:pBdr>
          <w:top w:val="nil"/>
          <w:left w:val="nil"/>
          <w:bottom w:val="nil"/>
          <w:right w:val="nil"/>
          <w:between w:val="nil"/>
        </w:pBdr>
        <w:ind w:left="567"/>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Finalmente, y como circunstancia que amerita especial atención, es evidente que existe una confusión sobre la división de competencias de conformidad con las normas vigentes en materia de protección y bienestar animal (Ley 5 de 1972, Ley 84 de 1989, Ley 1774 de 2016 y Ley 1801 de 2016).</w:t>
      </w:r>
    </w:p>
    <w:p w14:paraId="555D27C3"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1CB41CC"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análisis de esta información necesariamente llevó a concluir que, a pesar de existir mandatos legales y constitucionales sobre la materia, a la fecha, las autoridades municipales competentes no están operando de manera efectiva y que en los municipios no se están desarrollando los procesos sancionatorios administrativos pertinentes. Así, la vigencia de las leyes 5 de 1972 y 84 de 1989, pareciera ser cosmética y el grueso de las acciones de maltrato contra los animales están quedando impunes, en tanto las únicas que se están sancionando en la actualidad son aquellas penalizadas por la Ley 1774 de 2016.</w:t>
      </w:r>
    </w:p>
    <w:p w14:paraId="1DA826C6"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6E4308D"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Este mismo asunto fue estudiado por la Procuraduría General de la Nación en el año 2016, análisis en el que el Ministerio Público concluyó lo siguiente:</w:t>
      </w:r>
    </w:p>
    <w:p w14:paraId="0B277B06"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04A75AF1" w14:textId="77777777" w:rsidR="00655DDF"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“La Ley 5ª de 1972 es una Ley de la República de obligatorio cumplimiento, por lo que su inobservancia debe derivar en </w:t>
      </w:r>
      <w:r>
        <w:rPr>
          <w:rFonts w:ascii="Bookman Old Style" w:eastAsia="Bookman Old Style" w:hAnsi="Bookman Old Style" w:cs="Bookman Old Style"/>
          <w:i/>
          <w:color w:val="000000"/>
          <w:sz w:val="22"/>
          <w:szCs w:val="22"/>
        </w:rPr>
        <w:lastRenderedPageBreak/>
        <w:t>responsabilidades. Sin embargo, según los resultados observados en este informe, la Ley carece de fuerza coactiva, no se conoce porque no ha sido divulgada y por lo tanto no cumple con la finalidad para la que fue creada, que busca la protección efectiva de los animales y/o la disuasión de conductas que eviten el maltrato. Las leyes sobre protección animal no tienen eficacia en nuestro sistema jurídico y siendo esta una condición para la existencia de la norma, de la Ley 5ª puede afirmarse que está en desuso y es obsoleta. Lo que hace que en la práctica no sea posible su aplicación.”</w:t>
      </w:r>
      <w:r>
        <w:rPr>
          <w:rFonts w:ascii="Bookman Old Style" w:eastAsia="Bookman Old Style" w:hAnsi="Bookman Old Style" w:cs="Bookman Old Style"/>
          <w:color w:val="000000"/>
          <w:sz w:val="22"/>
          <w:szCs w:val="22"/>
          <w:vertAlign w:val="superscript"/>
        </w:rPr>
        <w:footnoteReference w:id="5"/>
      </w:r>
      <w:r>
        <w:rPr>
          <w:rFonts w:ascii="Bookman Old Style" w:eastAsia="Bookman Old Style" w:hAnsi="Bookman Old Style" w:cs="Bookman Old Style"/>
          <w:i/>
          <w:color w:val="000000"/>
          <w:sz w:val="22"/>
          <w:szCs w:val="22"/>
        </w:rPr>
        <w:t xml:space="preserve"> </w:t>
      </w:r>
    </w:p>
    <w:p w14:paraId="23588726"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6458E1B"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Este informe enuncia graves casos de maltrato animal que han tenido lugar en el país y que, hasta la fecha, no han sido objeto de sanciones o judicialización por parte de las autoridades.</w:t>
      </w:r>
    </w:p>
    <w:p w14:paraId="0569585C"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6F7DE4"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Para conocer más sobre este último punto y, atendiendo a que en el año 2016 se expidió la Ley 1774 que incluyó en el Código Penal el título XI-A </w:t>
      </w:r>
      <w:r>
        <w:rPr>
          <w:rFonts w:ascii="Bookman Old Style" w:eastAsia="Bookman Old Style" w:hAnsi="Bookman Old Style" w:cs="Bookman Old Style"/>
          <w:i/>
          <w:color w:val="000000"/>
          <w:sz w:val="22"/>
          <w:szCs w:val="22"/>
        </w:rPr>
        <w:t>“De los delitos contra los animales”</w:t>
      </w:r>
      <w:r>
        <w:rPr>
          <w:rFonts w:ascii="Bookman Old Style" w:eastAsia="Bookman Old Style" w:hAnsi="Bookman Old Style" w:cs="Bookman Old Style"/>
          <w:color w:val="000000"/>
          <w:sz w:val="22"/>
          <w:szCs w:val="22"/>
        </w:rPr>
        <w:t>, fue presentado también un derecho de petición ante la Fiscalía General de la Nación con la finalidad de conocer las estadísticas actuales sobre la materia.</w:t>
      </w:r>
    </w:p>
    <w:p w14:paraId="113D5DB6"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A40C656" w14:textId="77777777" w:rsidR="00655DDF" w:rsidRDefault="00000000">
      <w:pPr>
        <w:pBdr>
          <w:top w:val="nil"/>
          <w:left w:val="nil"/>
          <w:bottom w:val="nil"/>
          <w:right w:val="nil"/>
          <w:between w:val="nil"/>
        </w:pBdr>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 xml:space="preserve">En la respuesta recibida, la Fiscalía detalló que desde el año 2016, el Sistema Penal Oral y Acusatorio, SPOA, registró una cifra de 2698 noticias criminales en todo el país por la violación del artículo 339ª de la Ley 599 de 2000, en virtud del cual </w:t>
      </w:r>
      <w:r>
        <w:rPr>
          <w:rFonts w:ascii="Bookman Old Style" w:eastAsia="Bookman Old Style" w:hAnsi="Bookman Old Style" w:cs="Bookman Old Style"/>
          <w:i/>
          <w:color w:val="000000"/>
          <w:sz w:val="22"/>
          <w:szCs w:val="22"/>
        </w:rPr>
        <w:t>“El que,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p>
    <w:p w14:paraId="2205CC6D"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3803CC0"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Adicionalmente, informó la Fiscalía que para el año 2019, no existía una unidad especializada para la investigación y judicialización de estos delitos y que, por esta razón, la competencia estaba a cargo de las Fiscalías Locales. Finalmente, señala el Ente Acusador que </w:t>
      </w:r>
      <w:r>
        <w:rPr>
          <w:rFonts w:ascii="Bookman Old Style" w:eastAsia="Bookman Old Style" w:hAnsi="Bookman Old Style" w:cs="Bookman Old Style"/>
          <w:i/>
          <w:color w:val="000000"/>
          <w:sz w:val="22"/>
          <w:szCs w:val="22"/>
        </w:rPr>
        <w:t>“de las 2698 noticias criminales recibidas, 2610 se encuentran en etapa de indagación preliminar, 45 se encuentran en etapa de juicio oral, 15 en investigación, 1 tuvo terminación anticipada y 27 están en ejecución de penas. Es decir que solo el 1,66% de las noticias criminales recibidas por maltrato animal han sido efectivamente judicializadas, mientras que el 96% se ha quedado en la etapa de indagación preliminar, lo que significa que no se pudieron reunir los elementos necesarios para determinar que la conducta efectivamente constituía un delito”</w:t>
      </w:r>
      <w:r>
        <w:rPr>
          <w:rFonts w:ascii="Bookman Old Style" w:eastAsia="Bookman Old Style" w:hAnsi="Bookman Old Style" w:cs="Bookman Old Style"/>
          <w:color w:val="000000"/>
          <w:sz w:val="22"/>
          <w:szCs w:val="22"/>
        </w:rPr>
        <w:t xml:space="preserve"> </w:t>
      </w:r>
    </w:p>
    <w:p w14:paraId="79A772B4"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E8653E"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Ahora bien, es menester resaltar que en diciembre de 2019, fecha posterior a la respuesta recibida por la Fiscalía General de la Nación, se constituyó el Grupo Especial para la Lucha Contra el Maltrato Animal -GELMA, unidad que desde la fecha se ha dedicado de forma exclusiva a las conductas que se enmarcan en los dispuesto en el artículo 339A del Código Penal.</w:t>
      </w:r>
    </w:p>
    <w:p w14:paraId="1980CD1F"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D49F0AE"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Para principios del 2022, GELMA llevaba 180 imputaciones y 72 condenas por el delito de maltrato animal y la Fiscalía ya había emitido una directiva especializada en esta materia. Este trabajo es producto de la expedición de la ley 1774 de 2016 que creó competencias en materia penal, acordes con la institucionalidad y los avances jurisprudenciales para la fecha. </w:t>
      </w:r>
    </w:p>
    <w:p w14:paraId="18A33BEC"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93E9830"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Ahora, de las cifras entregadas por el Ente Acusador en 2019 llama la atención que no se compadecen ni siquiera con aquellas presentadas por el Instituto de Bienestar y Protección Animal de la ciudad de Bogotá, según las cuales nada más en 2018 se atendieron 21.869 animales por maltrato, atención en salud animal, urgencias veterinarias, adopción, custodia o brigadas de salud</w:t>
      </w:r>
      <w:r>
        <w:rPr>
          <w:rFonts w:ascii="Bookman Old Style" w:eastAsia="Bookman Old Style" w:hAnsi="Bookman Old Style" w:cs="Bookman Old Style"/>
          <w:color w:val="000000"/>
          <w:sz w:val="22"/>
          <w:szCs w:val="22"/>
          <w:vertAlign w:val="superscript"/>
        </w:rPr>
        <w:footnoteReference w:id="6"/>
      </w:r>
      <w:r>
        <w:rPr>
          <w:rFonts w:ascii="Bookman Old Style" w:eastAsia="Bookman Old Style" w:hAnsi="Bookman Old Style" w:cs="Bookman Old Style"/>
          <w:color w:val="000000"/>
          <w:sz w:val="22"/>
          <w:szCs w:val="22"/>
        </w:rPr>
        <w:t>. Esta situación muestra claramente que muchas de estas denuncias son entonces competencia de las autoridades administrativas que, en virtud de le Ley 84 del 89, tienen competencia sancionatoria para aquellos casos de maltrato que no se tipifiquen en el delito consagrado en la Ley 1774 de 2016.</w:t>
      </w:r>
    </w:p>
    <w:p w14:paraId="01613FE9"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ADD724A"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todo lo anterior se colige entonces que en la actualidad existe una desarticulación entre las entidades competentes sobre esta materia y que, además, no hay claridad respecto de la división de las competencias administrativas, policivas y penales frente al maltrato animal.</w:t>
      </w:r>
    </w:p>
    <w:p w14:paraId="6C762D8A" w14:textId="77777777" w:rsidR="00655DDF" w:rsidRDefault="00655DDF">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CBDF65E" w14:textId="77777777" w:rsidR="00655DDF"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Si adicionalmente se tiene en cuenta lo que fue referido al principio de esta exposición de motivos frente a la inaplicación del proceso previsto en la Ley 84 de 1989, es evidente la necesidad de articular no solo las normas existentes, sino las autoridades y competencias convergentes en torno a la protección y al bienestar animal, objetivo que se persigue a través de esta iniciativa legislativa. </w:t>
      </w:r>
    </w:p>
    <w:p w14:paraId="6EA12D2B" w14:textId="77777777" w:rsidR="00655DDF" w:rsidRDefault="00655DDF">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84EAD3A" w14:textId="77777777" w:rsidR="00655DDF" w:rsidRDefault="00000000">
      <w:pPr>
        <w:numPr>
          <w:ilvl w:val="0"/>
          <w:numId w:val="2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CONSTRUCCIÓN DEL PROYECTO</w:t>
      </w:r>
    </w:p>
    <w:p w14:paraId="3D586569" w14:textId="77777777" w:rsidR="00655DDF" w:rsidRDefault="00655DDF">
      <w:pPr>
        <w:ind w:right="-232"/>
        <w:jc w:val="both"/>
        <w:rPr>
          <w:rFonts w:ascii="Bookman Old Style" w:eastAsia="Bookman Old Style" w:hAnsi="Bookman Old Style" w:cs="Bookman Old Style"/>
          <w:sz w:val="22"/>
          <w:szCs w:val="22"/>
        </w:rPr>
      </w:pPr>
    </w:p>
    <w:p w14:paraId="033730BC"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Las disposiciones de la presente iniciativa hacen parte del trabajo realizado en el marco de la Construcción del Código Nacional de Protección y Bienestar Animal que fue radicado inicialmente el 4 de octubre de 2019 por el H.R. Juan Carlos Lozada Vargas y publicado en la Gaceta No. 100 de 2019. </w:t>
      </w:r>
    </w:p>
    <w:p w14:paraId="775549A0" w14:textId="77777777" w:rsidR="00655DDF" w:rsidRDefault="00655DDF">
      <w:pPr>
        <w:ind w:right="-232"/>
        <w:jc w:val="both"/>
        <w:rPr>
          <w:rFonts w:ascii="Bookman Old Style" w:eastAsia="Bookman Old Style" w:hAnsi="Bookman Old Style" w:cs="Bookman Old Style"/>
          <w:sz w:val="22"/>
          <w:szCs w:val="22"/>
        </w:rPr>
      </w:pPr>
    </w:p>
    <w:p w14:paraId="1DF67B36"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Esta iniciativa contó con la realización de catorce (14) audiencias públicas regionales, solicitadas por el ponente y autor,  a fin de conocer las realidades particulares de cada región y así enriquecer con nuevos insumos la construcción de esta ponencia</w:t>
      </w:r>
    </w:p>
    <w:p w14:paraId="13E1893B" w14:textId="77777777" w:rsidR="00655DDF" w:rsidRDefault="00655DDF">
      <w:pPr>
        <w:ind w:right="-232"/>
        <w:jc w:val="both"/>
        <w:rPr>
          <w:rFonts w:ascii="Bookman Old Style" w:eastAsia="Bookman Old Style" w:hAnsi="Bookman Old Style" w:cs="Bookman Old Style"/>
          <w:sz w:val="22"/>
          <w:szCs w:val="22"/>
        </w:rPr>
      </w:pPr>
    </w:p>
    <w:p w14:paraId="4E5A6244"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Las audiencias públicas fueron realizadas durante el 4 de febrero y el 12 de marzo de 2020 en las ciudades de Ibagué, Armenia, Manizales, Pereira, Santa Marta, Barranquilla, Cartagena, Popayán, Cali, Villavicencio, Cúcuta, Bucaramanga, Medellín y Bogotá. </w:t>
      </w:r>
    </w:p>
    <w:p w14:paraId="7C78AFA1" w14:textId="77777777" w:rsidR="00655DDF" w:rsidRDefault="00655DDF">
      <w:pPr>
        <w:ind w:right="-232"/>
        <w:jc w:val="both"/>
        <w:rPr>
          <w:rFonts w:ascii="Bookman Old Style" w:eastAsia="Bookman Old Style" w:hAnsi="Bookman Old Style" w:cs="Bookman Old Style"/>
          <w:sz w:val="22"/>
          <w:szCs w:val="22"/>
        </w:rPr>
      </w:pPr>
    </w:p>
    <w:p w14:paraId="3CF6A707" w14:textId="77777777" w:rsidR="00655DDF"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Desafortunadamente, con ocasión de la dificultad que implicó el desarrollo de las sesiones virtuales en razón de la emergencia sanitaria decretada por el COVID19, el proyecto no alcanzó a ser debatido y, en consecuencia, fue archivado.</w:t>
      </w:r>
    </w:p>
    <w:p w14:paraId="5D7294D4" w14:textId="77777777" w:rsidR="00655DDF" w:rsidRDefault="00655DDF">
      <w:pPr>
        <w:ind w:right="-232"/>
        <w:jc w:val="both"/>
        <w:rPr>
          <w:rFonts w:ascii="Bookman Old Style" w:eastAsia="Bookman Old Style" w:hAnsi="Bookman Old Style" w:cs="Bookman Old Style"/>
          <w:sz w:val="22"/>
          <w:szCs w:val="22"/>
        </w:rPr>
      </w:pPr>
    </w:p>
    <w:p w14:paraId="0FC46854" w14:textId="77777777" w:rsidR="00655DDF"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iniciativa se radicó nuevamente el 20 de Julio de 2020. El proyecto fue publicado en la Gaceta 641 de 2020 y fue recibido en la Comisión Primera Constitucional de la Cámara de Representantes el 13 de agosto de la misma anualidad, donde se acumuló por unidad de materia con el Proyecto de Ley No. 081 de 2020 Cámara </w:t>
      </w:r>
      <w:r>
        <w:rPr>
          <w:rFonts w:ascii="Bookman Old Style" w:eastAsia="Bookman Old Style" w:hAnsi="Bookman Old Style" w:cs="Bookman Old Style"/>
          <w:i/>
          <w:sz w:val="22"/>
          <w:szCs w:val="22"/>
        </w:rPr>
        <w:t>“Por medio del cual se incorporan las mutilaciones como forma de maltrato animal”.</w:t>
      </w:r>
    </w:p>
    <w:p w14:paraId="7CE313C9" w14:textId="77777777" w:rsidR="00655DDF" w:rsidRDefault="00655DDF">
      <w:pPr>
        <w:ind w:right="-232"/>
        <w:jc w:val="both"/>
        <w:rPr>
          <w:rFonts w:ascii="Bookman Old Style" w:eastAsia="Bookman Old Style" w:hAnsi="Bookman Old Style" w:cs="Bookman Old Style"/>
          <w:sz w:val="22"/>
          <w:szCs w:val="22"/>
        </w:rPr>
      </w:pPr>
    </w:p>
    <w:p w14:paraId="2E7B0BD8"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días 14 y 20 de abril el proyecto fue discutido en la Comisión Primera de la Cámara de Representantes, en donde fue aprobado por unanimidad. El texto aprobado fue publicado el 17 de junio de 2020.</w:t>
      </w:r>
    </w:p>
    <w:p w14:paraId="418220AE" w14:textId="77777777" w:rsidR="00655DDF" w:rsidRDefault="00655DDF">
      <w:pPr>
        <w:ind w:right="-232"/>
        <w:jc w:val="both"/>
        <w:rPr>
          <w:rFonts w:ascii="Bookman Old Style" w:eastAsia="Bookman Old Style" w:hAnsi="Bookman Old Style" w:cs="Bookman Old Style"/>
          <w:sz w:val="22"/>
          <w:szCs w:val="22"/>
        </w:rPr>
      </w:pPr>
    </w:p>
    <w:p w14:paraId="382C8A6E"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8 de septiembre de 2021 fue radicada ante la Plenaria de la Cámara de Representantes una proposición que pretendía la realización de una nueva audiencia pública previo a la radicación de la ponencia para segundo debate del proyecto. La proposición fue aprobada y la audiencia tuvo lugar el 20 de septiembre a las 2:00 pm de forma virtual.</w:t>
      </w:r>
    </w:p>
    <w:p w14:paraId="1FC761EC" w14:textId="77777777" w:rsidR="00655DDF" w:rsidRDefault="00655DDF">
      <w:pPr>
        <w:jc w:val="both"/>
        <w:rPr>
          <w:rFonts w:ascii="Bookman Old Style" w:eastAsia="Bookman Old Style" w:hAnsi="Bookman Old Style" w:cs="Bookman Old Style"/>
          <w:sz w:val="22"/>
          <w:szCs w:val="22"/>
        </w:rPr>
      </w:pPr>
    </w:p>
    <w:p w14:paraId="3F046AE8"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la audiencia participaron más de 100 personas y se recibieron opiniones, comentarios y sugerencias sobre varios de los artículos aprobados en primer debate. De la misma forma, se recibieron documentos escritos adicionales para la construcción de la ponencia.</w:t>
      </w:r>
    </w:p>
    <w:p w14:paraId="27862DC2" w14:textId="77777777" w:rsidR="00655DDF" w:rsidRDefault="00655DDF">
      <w:pPr>
        <w:jc w:val="both"/>
        <w:rPr>
          <w:rFonts w:ascii="Bookman Old Style" w:eastAsia="Bookman Old Style" w:hAnsi="Bookman Old Style" w:cs="Bookman Old Style"/>
          <w:sz w:val="22"/>
          <w:szCs w:val="22"/>
        </w:rPr>
      </w:pPr>
    </w:p>
    <w:p w14:paraId="61963F65"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No obstante, el proyecto fue archivado en virtud de lo dispuesto en el artículo 162 de la Constitución Política de 1991 y del artículo 190 de la Ley 5 de 1992.  </w:t>
      </w:r>
    </w:p>
    <w:p w14:paraId="5C0AF050" w14:textId="77777777" w:rsidR="00655DDF" w:rsidRDefault="00655DDF">
      <w:pPr>
        <w:ind w:right="-232"/>
        <w:jc w:val="both"/>
        <w:rPr>
          <w:rFonts w:ascii="Bookman Old Style" w:eastAsia="Bookman Old Style" w:hAnsi="Bookman Old Style" w:cs="Bookman Old Style"/>
          <w:sz w:val="22"/>
          <w:szCs w:val="22"/>
        </w:rPr>
      </w:pPr>
    </w:p>
    <w:p w14:paraId="2AB2191C"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iniciativa fue radicada nuevamente el 20 de julio de 2022 y nuevamente se realizó una audiencia pública el 22 de septiembre de la misma anualidad, esta vez de forma presencial en el recinto de la Comisión Primera Constitucional.</w:t>
      </w:r>
    </w:p>
    <w:p w14:paraId="0D7A1E2B"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proyecto finalmente fue retirado por sus autores ante la evidencia de la dificultad para debatir en conjunto una iniciativa tan compleja y extensa, por lo que para esta nueva legislatura se decidió separar temáticamente algunos de los capítulos construidos a partir de las audiencias señaladas y de incontables mesas de trabajo, con el fin de lograr avanzar en la legislación relativa a la protección animal.</w:t>
      </w:r>
    </w:p>
    <w:p w14:paraId="20E406AE" w14:textId="77777777" w:rsidR="00655DDF" w:rsidRDefault="00655DDF">
      <w:pPr>
        <w:ind w:right="-232"/>
        <w:jc w:val="both"/>
        <w:rPr>
          <w:rFonts w:ascii="Bookman Old Style" w:eastAsia="Bookman Old Style" w:hAnsi="Bookman Old Style" w:cs="Bookman Old Style"/>
          <w:sz w:val="22"/>
          <w:szCs w:val="22"/>
        </w:rPr>
      </w:pPr>
    </w:p>
    <w:p w14:paraId="66E0F762"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Así las cosas, las disposiciones propuestas en este capítulo han sido construidas de la mano de fundaciones, rescatistas, veterinarios, clubes caninos, criaderos, criadores, asociaciones de veterinarios, asociaciones de criadores, propietarios de </w:t>
      </w:r>
      <w:r>
        <w:rPr>
          <w:rFonts w:ascii="Bookman Old Style" w:eastAsia="Bookman Old Style" w:hAnsi="Bookman Old Style" w:cs="Bookman Old Style"/>
          <w:sz w:val="22"/>
          <w:szCs w:val="22"/>
        </w:rPr>
        <w:lastRenderedPageBreak/>
        <w:t>animales domésticos de compañía y, en general de todos los ciudadanos que han participado en los diferentes espacios de socialización y que, por tanto, legitiman lo que aquí se propone.</w:t>
      </w:r>
    </w:p>
    <w:p w14:paraId="5F7F50F4" w14:textId="77777777" w:rsidR="00655DDF" w:rsidRDefault="00655DDF">
      <w:pPr>
        <w:ind w:right="-232"/>
        <w:jc w:val="both"/>
        <w:rPr>
          <w:rFonts w:ascii="Bookman Old Style" w:eastAsia="Bookman Old Style" w:hAnsi="Bookman Old Style" w:cs="Bookman Old Style"/>
          <w:sz w:val="22"/>
          <w:szCs w:val="22"/>
        </w:rPr>
      </w:pPr>
    </w:p>
    <w:p w14:paraId="32517F20" w14:textId="77777777" w:rsidR="00655DDF" w:rsidRDefault="00000000">
      <w:pPr>
        <w:numPr>
          <w:ilvl w:val="0"/>
          <w:numId w:val="21"/>
        </w:numPr>
        <w:pBdr>
          <w:top w:val="nil"/>
          <w:left w:val="nil"/>
          <w:bottom w:val="nil"/>
          <w:right w:val="nil"/>
          <w:between w:val="nil"/>
        </w:pBdr>
        <w:jc w:val="both"/>
        <w:rPr>
          <w:rFonts w:ascii="Bookman Old Style" w:eastAsia="Bookman Old Style" w:hAnsi="Bookman Old Style" w:cs="Bookman Old Style"/>
          <w:b/>
          <w:color w:val="000000"/>
          <w:sz w:val="22"/>
          <w:szCs w:val="22"/>
        </w:rPr>
      </w:pPr>
      <w:bookmarkStart w:id="0" w:name="bookmark=id.gjdgxs" w:colFirst="0" w:colLast="0"/>
      <w:bookmarkEnd w:id="0"/>
      <w:r>
        <w:rPr>
          <w:rFonts w:ascii="Bookman Old Style" w:eastAsia="Bookman Old Style" w:hAnsi="Bookman Old Style" w:cs="Bookman Old Style"/>
          <w:b/>
          <w:color w:val="000000"/>
          <w:sz w:val="22"/>
          <w:szCs w:val="22"/>
        </w:rPr>
        <w:t>COMPETENCIA DEL CONGRESO PARA REGULAR LA MATERIA.</w:t>
      </w:r>
    </w:p>
    <w:p w14:paraId="7B86CA55" w14:textId="77777777" w:rsidR="00655DDF" w:rsidRDefault="00655DDF">
      <w:pPr>
        <w:jc w:val="both"/>
        <w:rPr>
          <w:rFonts w:ascii="Bookman Old Style" w:eastAsia="Bookman Old Style" w:hAnsi="Bookman Old Style" w:cs="Bookman Old Style"/>
          <w:color w:val="000000"/>
          <w:sz w:val="22"/>
          <w:szCs w:val="22"/>
        </w:rPr>
      </w:pPr>
    </w:p>
    <w:p w14:paraId="7D0D2BAA" w14:textId="77777777" w:rsidR="00655DDF" w:rsidRDefault="00000000">
      <w:pPr>
        <w:jc w:val="both"/>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u w:val="single"/>
        </w:rPr>
        <w:t>CONSTITUCIONAL:</w:t>
      </w:r>
    </w:p>
    <w:p w14:paraId="7D5124A5" w14:textId="77777777" w:rsidR="00655DDF" w:rsidRDefault="00655DDF">
      <w:pPr>
        <w:jc w:val="both"/>
        <w:rPr>
          <w:rFonts w:ascii="Bookman Old Style" w:eastAsia="Bookman Old Style" w:hAnsi="Bookman Old Style" w:cs="Bookman Old Style"/>
          <w:i/>
          <w:color w:val="000000"/>
          <w:sz w:val="22"/>
          <w:szCs w:val="22"/>
        </w:rPr>
      </w:pPr>
    </w:p>
    <w:p w14:paraId="2CF7D2F1" w14:textId="77777777" w:rsidR="00655DDF"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ARTICULO  150</w:t>
      </w:r>
      <w:r>
        <w:rPr>
          <w:rFonts w:ascii="Bookman Old Style" w:eastAsia="Bookman Old Style" w:hAnsi="Bookman Old Style" w:cs="Bookman Old Style"/>
          <w:i/>
          <w:color w:val="000000"/>
          <w:sz w:val="22"/>
          <w:szCs w:val="22"/>
        </w:rPr>
        <w:t>. Corresponde al Congreso hacer las leyes. Por medio de ellas ejerce las siguientes funciones:</w:t>
      </w:r>
    </w:p>
    <w:p w14:paraId="3A642AE9" w14:textId="77777777" w:rsidR="00655DDF" w:rsidRDefault="00655DDF">
      <w:pPr>
        <w:ind w:left="851" w:right="900"/>
        <w:jc w:val="both"/>
        <w:rPr>
          <w:rFonts w:ascii="Bookman Old Style" w:eastAsia="Bookman Old Style" w:hAnsi="Bookman Old Style" w:cs="Bookman Old Style"/>
          <w:i/>
          <w:color w:val="000000"/>
          <w:sz w:val="22"/>
          <w:szCs w:val="22"/>
        </w:rPr>
      </w:pPr>
    </w:p>
    <w:p w14:paraId="2FCF11CD" w14:textId="77777777" w:rsidR="00655DDF" w:rsidRDefault="00000000">
      <w:pPr>
        <w:numPr>
          <w:ilvl w:val="0"/>
          <w:numId w:val="22"/>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Interpretar, reformar y derogar las leyes. </w:t>
      </w:r>
    </w:p>
    <w:p w14:paraId="35EAA131" w14:textId="77777777" w:rsidR="00655DDF" w:rsidRDefault="00655DDF">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536A5BA" w14:textId="77777777" w:rsidR="00655DDF" w:rsidRDefault="00000000">
      <w:pPr>
        <w:numPr>
          <w:ilvl w:val="0"/>
          <w:numId w:val="22"/>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Expedir códigos en todos los ramos de la legislación y reformar sus disposiciones.</w:t>
      </w:r>
    </w:p>
    <w:p w14:paraId="1C808AA4" w14:textId="77777777" w:rsidR="00655DDF" w:rsidRDefault="00655DDF">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A5386A7" w14:textId="77777777" w:rsidR="00655DDF" w:rsidRDefault="00000000">
      <w:pPr>
        <w:numPr>
          <w:ilvl w:val="0"/>
          <w:numId w:val="22"/>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41617CAD" w14:textId="77777777" w:rsidR="00655DDF" w:rsidRDefault="00655DDF">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3F8C1AD" w14:textId="77777777" w:rsidR="00655DDF" w:rsidRDefault="00000000">
      <w:pPr>
        <w:numPr>
          <w:ilvl w:val="0"/>
          <w:numId w:val="22"/>
        </w:numPr>
        <w:pBdr>
          <w:top w:val="nil"/>
          <w:left w:val="nil"/>
          <w:bottom w:val="nil"/>
          <w:right w:val="nil"/>
          <w:between w:val="nil"/>
        </w:pBdr>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Definir la división general del territorio con arreglo a lo previsto en esta Constitución, fijar las bases y condiciones para crear, eliminar, modificar o fusionar entidades territoriales y establecer sus competencias. </w:t>
      </w:r>
      <w:r>
        <w:rPr>
          <w:rFonts w:ascii="Bookman Old Style" w:eastAsia="Bookman Old Style" w:hAnsi="Bookman Old Style" w:cs="Bookman Old Style"/>
          <w:color w:val="000000"/>
          <w:sz w:val="22"/>
          <w:szCs w:val="22"/>
        </w:rPr>
        <w:t>(Subrayado por fuera del texto).</w:t>
      </w:r>
    </w:p>
    <w:p w14:paraId="092AF8F8" w14:textId="77777777" w:rsidR="00655DDF" w:rsidRDefault="00655DDF">
      <w:pPr>
        <w:ind w:left="426"/>
        <w:jc w:val="both"/>
        <w:rPr>
          <w:rFonts w:ascii="Bookman Old Style" w:eastAsia="Bookman Old Style" w:hAnsi="Bookman Old Style" w:cs="Bookman Old Style"/>
          <w:b/>
          <w:color w:val="000000"/>
          <w:sz w:val="22"/>
          <w:szCs w:val="22"/>
        </w:rPr>
      </w:pPr>
    </w:p>
    <w:p w14:paraId="509E03E1" w14:textId="77777777" w:rsidR="00655DDF" w:rsidRDefault="00000000">
      <w:pPr>
        <w:jc w:val="both"/>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u w:val="single"/>
        </w:rPr>
        <w:t xml:space="preserve">LEGAL: </w:t>
      </w:r>
    </w:p>
    <w:p w14:paraId="5907BB02" w14:textId="77777777" w:rsidR="00655DDF" w:rsidRDefault="00655DDF">
      <w:pPr>
        <w:jc w:val="both"/>
        <w:rPr>
          <w:rFonts w:ascii="Bookman Old Style" w:eastAsia="Bookman Old Style" w:hAnsi="Bookman Old Style" w:cs="Bookman Old Style"/>
          <w:color w:val="000000"/>
          <w:sz w:val="22"/>
          <w:szCs w:val="22"/>
        </w:rPr>
      </w:pPr>
    </w:p>
    <w:p w14:paraId="189E27A0" w14:textId="77777777" w:rsidR="00655DDF" w:rsidRDefault="00000000">
      <w:pPr>
        <w:tabs>
          <w:tab w:val="left" w:pos="0"/>
        </w:tabs>
        <w:jc w:val="both"/>
        <w:rPr>
          <w:rFonts w:ascii="Bookman Old Style" w:eastAsia="Bookman Old Style" w:hAnsi="Bookman Old Style" w:cs="Bookman Old Style"/>
          <w:b/>
          <w:sz w:val="22"/>
          <w:szCs w:val="22"/>
        </w:rPr>
      </w:pPr>
      <w:r>
        <w:rPr>
          <w:rFonts w:ascii="Bookman Old Style" w:eastAsia="Bookman Old Style" w:hAnsi="Bookman Old Style" w:cs="Bookman Old Style"/>
          <w:b/>
          <w:color w:val="000000"/>
          <w:sz w:val="22"/>
          <w:szCs w:val="22"/>
        </w:rPr>
        <w:t>LEY 3 DE 1992.</w:t>
      </w:r>
      <w:r>
        <w:rPr>
          <w:rFonts w:ascii="Bookman Old Style" w:eastAsia="Bookman Old Style" w:hAnsi="Bookman Old Style" w:cs="Bookman Old Style"/>
          <w:b/>
          <w:sz w:val="22"/>
          <w:szCs w:val="22"/>
        </w:rPr>
        <w:t xml:space="preserve"> POR LA CUAL SE EXPIDEN NORMAS SOBRE LAS COMISIONES DEL CONGRESO DE COLOMBIA Y SE DICTAN OTRAS DISPOSICIONES.</w:t>
      </w:r>
    </w:p>
    <w:p w14:paraId="0662EE2F" w14:textId="77777777" w:rsidR="00655DDF" w:rsidRDefault="00655DDF">
      <w:pPr>
        <w:tabs>
          <w:tab w:val="left" w:pos="0"/>
        </w:tabs>
        <w:jc w:val="both"/>
        <w:rPr>
          <w:rFonts w:ascii="Bookman Old Style" w:eastAsia="Bookman Old Style" w:hAnsi="Bookman Old Style" w:cs="Bookman Old Style"/>
          <w:b/>
          <w:color w:val="000000"/>
          <w:sz w:val="22"/>
          <w:szCs w:val="22"/>
        </w:rPr>
      </w:pPr>
    </w:p>
    <w:p w14:paraId="1C583860" w14:textId="77777777" w:rsidR="00655DDF"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 xml:space="preserve">ARTÍCULO 2º </w:t>
      </w:r>
      <w:r>
        <w:rPr>
          <w:rFonts w:ascii="Bookman Old Style" w:eastAsia="Bookman Old Style" w:hAnsi="Bookman Old Style" w:cs="Bookman Old Style"/>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7F77704C" w14:textId="77777777" w:rsidR="00655DDF" w:rsidRDefault="00655DDF">
      <w:pPr>
        <w:tabs>
          <w:tab w:val="left" w:pos="851"/>
        </w:tabs>
        <w:ind w:left="851" w:right="900"/>
        <w:jc w:val="both"/>
        <w:rPr>
          <w:rFonts w:ascii="Bookman Old Style" w:eastAsia="Bookman Old Style" w:hAnsi="Bookman Old Style" w:cs="Bookman Old Style"/>
          <w:i/>
          <w:color w:val="000000"/>
          <w:sz w:val="22"/>
          <w:szCs w:val="22"/>
        </w:rPr>
      </w:pPr>
    </w:p>
    <w:p w14:paraId="241C0102" w14:textId="77777777" w:rsidR="00655DDF"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Las Comisiones Constitucionales Permanentes en cada una de las Cámaras serán siete (7) a saber:</w:t>
      </w:r>
    </w:p>
    <w:p w14:paraId="615F64B2" w14:textId="77777777" w:rsidR="00655DDF" w:rsidRDefault="00655DDF">
      <w:pPr>
        <w:tabs>
          <w:tab w:val="left" w:pos="851"/>
        </w:tabs>
        <w:ind w:left="851" w:right="900"/>
        <w:jc w:val="both"/>
        <w:rPr>
          <w:rFonts w:ascii="Bookman Old Style" w:eastAsia="Bookman Old Style" w:hAnsi="Bookman Old Style" w:cs="Bookman Old Style"/>
          <w:i/>
          <w:color w:val="000000"/>
          <w:sz w:val="22"/>
          <w:szCs w:val="22"/>
        </w:rPr>
      </w:pPr>
    </w:p>
    <w:p w14:paraId="23A6D8A2" w14:textId="77777777" w:rsidR="00655DDF"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Comisión Primera.</w:t>
      </w:r>
    </w:p>
    <w:p w14:paraId="52D17BC4" w14:textId="77777777" w:rsidR="00655DDF" w:rsidRDefault="00655DDF">
      <w:pPr>
        <w:tabs>
          <w:tab w:val="left" w:pos="851"/>
        </w:tabs>
        <w:ind w:left="851" w:right="900"/>
        <w:jc w:val="both"/>
        <w:rPr>
          <w:rFonts w:ascii="Bookman Old Style" w:eastAsia="Bookman Old Style" w:hAnsi="Bookman Old Style" w:cs="Bookman Old Style"/>
          <w:i/>
          <w:color w:val="000000"/>
          <w:sz w:val="22"/>
          <w:szCs w:val="22"/>
        </w:rPr>
      </w:pPr>
    </w:p>
    <w:p w14:paraId="498601E4" w14:textId="77777777" w:rsidR="00655DDF" w:rsidRDefault="00000000">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Compuesta por diecinueve (19) miembros en el Senado y treinta y cinco (35) en la Cámara de Representantes, conocerá de: reforma constitucional; leyes estatutarias; organización territorial; reglamentos de los organismos de control; normas generales sobre </w:t>
      </w:r>
      <w:r>
        <w:rPr>
          <w:rFonts w:ascii="Bookman Old Style" w:eastAsia="Bookman Old Style" w:hAnsi="Bookman Old Style" w:cs="Bookman Old Style"/>
          <w:i/>
          <w:color w:val="000000"/>
          <w:sz w:val="22"/>
          <w:szCs w:val="22"/>
        </w:rPr>
        <w:lastRenderedPageBreak/>
        <w:t xml:space="preserve">contratación administrativa; notariado y registro; estructura y organización de la administración nacional central; </w:t>
      </w:r>
      <w:r>
        <w:rPr>
          <w:rFonts w:ascii="Bookman Old Style" w:eastAsia="Bookman Old Style" w:hAnsi="Bookman Old Style" w:cs="Bookman Old Style"/>
          <w:i/>
          <w:color w:val="000000"/>
          <w:sz w:val="22"/>
          <w:szCs w:val="22"/>
          <w:u w:val="single"/>
        </w:rPr>
        <w:t>de los derechos, las garantías y los deberes;</w:t>
      </w:r>
      <w:r>
        <w:rPr>
          <w:rFonts w:ascii="Bookman Old Style" w:eastAsia="Bookman Old Style" w:hAnsi="Bookman Old Style" w:cs="Bookman Old Style"/>
          <w:i/>
          <w:color w:val="000000"/>
          <w:sz w:val="22"/>
          <w:szCs w:val="22"/>
        </w:rPr>
        <w:t xml:space="preserve"> rama legislativa; estrategias y políticas para la paz; propiedad intelectual; variación de la residencia de los altos poderes nacionales; asuntos étnicos. </w:t>
      </w:r>
      <w:r>
        <w:rPr>
          <w:rFonts w:ascii="Bookman Old Style" w:eastAsia="Bookman Old Style" w:hAnsi="Bookman Old Style" w:cs="Bookman Old Style"/>
          <w:color w:val="000000"/>
          <w:sz w:val="22"/>
          <w:szCs w:val="22"/>
        </w:rPr>
        <w:t>(Subrayado por fuera del texto).</w:t>
      </w:r>
    </w:p>
    <w:p w14:paraId="3503730D" w14:textId="77777777" w:rsidR="00655DDF" w:rsidRDefault="00655DDF">
      <w:pPr>
        <w:tabs>
          <w:tab w:val="left" w:pos="0"/>
        </w:tabs>
        <w:jc w:val="both"/>
        <w:rPr>
          <w:rFonts w:ascii="Bookman Old Style" w:eastAsia="Bookman Old Style" w:hAnsi="Bookman Old Style" w:cs="Bookman Old Style"/>
          <w:b/>
          <w:color w:val="000000"/>
          <w:sz w:val="22"/>
          <w:szCs w:val="22"/>
        </w:rPr>
      </w:pPr>
    </w:p>
    <w:p w14:paraId="606190CA" w14:textId="77777777" w:rsidR="00655DDF" w:rsidRDefault="00000000">
      <w:pPr>
        <w:tabs>
          <w:tab w:val="left" w:pos="0"/>
        </w:tabs>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LEY 5 DE 1992.</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b/>
          <w:color w:val="000000"/>
          <w:sz w:val="22"/>
          <w:szCs w:val="22"/>
        </w:rPr>
        <w:t>POR LA CUAL SE EXPIDE EL REGLAMENTO DEL CONGRESO; EL SENADO Y LA CÁMARA DE REPRESENTANTES</w:t>
      </w:r>
    </w:p>
    <w:p w14:paraId="19FC71C6" w14:textId="77777777" w:rsidR="00655DDF" w:rsidRDefault="00655DDF">
      <w:pPr>
        <w:tabs>
          <w:tab w:val="left" w:pos="0"/>
        </w:tabs>
        <w:jc w:val="both"/>
        <w:rPr>
          <w:rFonts w:ascii="Bookman Old Style" w:eastAsia="Bookman Old Style" w:hAnsi="Bookman Old Style" w:cs="Bookman Old Style"/>
          <w:b/>
          <w:color w:val="000000"/>
          <w:sz w:val="22"/>
          <w:szCs w:val="22"/>
        </w:rPr>
      </w:pPr>
    </w:p>
    <w:p w14:paraId="04A56AFC" w14:textId="77777777" w:rsidR="00655DDF"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ARTÍCULO </w:t>
      </w:r>
      <w:bookmarkStart w:id="1" w:name="bookmark=id.30j0zll" w:colFirst="0" w:colLast="0"/>
      <w:bookmarkEnd w:id="1"/>
      <w:r>
        <w:rPr>
          <w:rFonts w:ascii="Bookman Old Style" w:eastAsia="Bookman Old Style" w:hAnsi="Bookman Old Style" w:cs="Bookman Old Style"/>
          <w:b/>
          <w:i/>
          <w:color w:val="000000"/>
          <w:sz w:val="22"/>
          <w:szCs w:val="22"/>
        </w:rPr>
        <w:t> 6°.</w:t>
      </w:r>
      <w:r>
        <w:rPr>
          <w:rFonts w:ascii="Bookman Old Style" w:eastAsia="Bookman Old Style" w:hAnsi="Bookman Old Style" w:cs="Bookman Old Style"/>
          <w:i/>
          <w:color w:val="000000"/>
          <w:sz w:val="22"/>
          <w:szCs w:val="22"/>
        </w:rPr>
        <w:t> Clases de funciones del Congreso. El Congreso de la República cumple:</w:t>
      </w:r>
    </w:p>
    <w:p w14:paraId="590605E9" w14:textId="77777777" w:rsidR="00655DDF"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w:t>
      </w:r>
    </w:p>
    <w:p w14:paraId="571D969B" w14:textId="77777777" w:rsidR="00655DDF" w:rsidRDefault="00000000">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2. Función legislativa, para elaborar, interpretar, reformar y derogar las leyes y códigos en todos los ramos de la legislación.</w:t>
      </w:r>
    </w:p>
    <w:p w14:paraId="2527A5C8" w14:textId="77777777" w:rsidR="00655DDF" w:rsidRDefault="00655DDF">
      <w:pPr>
        <w:ind w:left="851"/>
        <w:jc w:val="both"/>
        <w:rPr>
          <w:rFonts w:ascii="Bookman Old Style" w:eastAsia="Bookman Old Style" w:hAnsi="Bookman Old Style" w:cs="Bookman Old Style"/>
          <w:i/>
          <w:color w:val="000000"/>
          <w:sz w:val="22"/>
          <w:szCs w:val="22"/>
        </w:rPr>
      </w:pPr>
    </w:p>
    <w:p w14:paraId="7D0FAB97"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Teniendo en cuenta que el presente proyecto regula la convivencia con animales partiendo de que la misma hace parte del ejercicio de derechos fundamentales, sin que hagan parte del núcleo esencial de dichos derechos y por ende no requieran el trámite de una ley estatutaria, se considera que la presente iniciativa debe hacer curso por la Comisión Primera Constitucional.</w:t>
      </w:r>
    </w:p>
    <w:p w14:paraId="5D36BA10" w14:textId="77777777" w:rsidR="00655DDF" w:rsidRDefault="00655DDF">
      <w:pPr>
        <w:ind w:right="-232"/>
        <w:jc w:val="both"/>
        <w:rPr>
          <w:rFonts w:ascii="Bookman Old Style" w:eastAsia="Bookman Old Style" w:hAnsi="Bookman Old Style" w:cs="Bookman Old Style"/>
          <w:sz w:val="22"/>
          <w:szCs w:val="22"/>
        </w:rPr>
      </w:pPr>
    </w:p>
    <w:p w14:paraId="178CDB8B" w14:textId="77777777" w:rsidR="00655DDF" w:rsidRDefault="00000000">
      <w:pPr>
        <w:ind w:right="-23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 anterior, sumado al hecho que se modifican algunas disposiciones de la Ley 1801 de 2016, norma que surtió su trámite por dicha comisión.</w:t>
      </w:r>
    </w:p>
    <w:p w14:paraId="11CF3446" w14:textId="77777777" w:rsidR="00655DDF" w:rsidRDefault="00655DDF">
      <w:pPr>
        <w:ind w:right="-232"/>
        <w:jc w:val="both"/>
        <w:rPr>
          <w:rFonts w:ascii="Bookman Old Style" w:eastAsia="Bookman Old Style" w:hAnsi="Bookman Old Style" w:cs="Bookman Old Style"/>
          <w:sz w:val="22"/>
          <w:szCs w:val="22"/>
        </w:rPr>
      </w:pPr>
    </w:p>
    <w:p w14:paraId="55150D90" w14:textId="77777777" w:rsidR="00655DDF" w:rsidRDefault="00000000">
      <w:pPr>
        <w:numPr>
          <w:ilvl w:val="0"/>
          <w:numId w:val="2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CONFLICTO DE INTERÉS</w:t>
      </w:r>
    </w:p>
    <w:p w14:paraId="23B626A1" w14:textId="77777777" w:rsidR="00655DDF" w:rsidRDefault="00655DDF">
      <w:pPr>
        <w:jc w:val="both"/>
        <w:rPr>
          <w:rFonts w:ascii="Bookman Old Style" w:eastAsia="Bookman Old Style" w:hAnsi="Bookman Old Style" w:cs="Bookman Old Style"/>
          <w:b/>
          <w:sz w:val="22"/>
          <w:szCs w:val="22"/>
        </w:rPr>
      </w:pPr>
    </w:p>
    <w:p w14:paraId="1DF4B5BF" w14:textId="77777777" w:rsidR="00655DDF" w:rsidRDefault="00000000">
      <w:pPr>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highlight w:val="white"/>
        </w:rPr>
        <w:t>Dando alcance a lo establecido en el artículo 3 de la Ley 2003 de 2019, “</w:t>
      </w:r>
      <w:r>
        <w:rPr>
          <w:rFonts w:ascii="Bookman Old Style" w:eastAsia="Bookman Old Style" w:hAnsi="Bookman Old Style" w:cs="Bookman Old Style"/>
          <w:i/>
          <w:sz w:val="22"/>
          <w:szCs w:val="22"/>
          <w:highlight w:val="white"/>
        </w:rPr>
        <w:t>Por la cual se modifica parcialmente la Ley 5 de 1992</w:t>
      </w:r>
      <w:r>
        <w:rPr>
          <w:rFonts w:ascii="Bookman Old Style" w:eastAsia="Bookman Old Style" w:hAnsi="Bookman Old Style" w:cs="Bookman Old Style"/>
          <w:sz w:val="22"/>
          <w:szCs w:val="22"/>
          <w:highlight w:val="whit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4FED3042" w14:textId="77777777" w:rsidR="00655DDF" w:rsidRDefault="00655DDF">
      <w:pPr>
        <w:jc w:val="both"/>
        <w:rPr>
          <w:rFonts w:ascii="Bookman Old Style" w:eastAsia="Bookman Old Style" w:hAnsi="Bookman Old Style" w:cs="Bookman Old Style"/>
          <w:sz w:val="22"/>
          <w:szCs w:val="22"/>
          <w:highlight w:val="white"/>
        </w:rPr>
      </w:pPr>
    </w:p>
    <w:p w14:paraId="596145F1" w14:textId="77777777" w:rsidR="00655DDF" w:rsidRDefault="00000000">
      <w:pPr>
        <w:ind w:left="851" w:right="90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“Artículo 286. Régimen de conflicto de interés de los congresistas. Todos los congresistas deberán declarar los conflictos De intereses que pudieran surgir en ejercicio de sus funciones.</w:t>
      </w:r>
    </w:p>
    <w:p w14:paraId="03C512F5" w14:textId="77777777" w:rsidR="00655DDF" w:rsidRDefault="00000000">
      <w:pPr>
        <w:ind w:left="851" w:right="90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Se entiende como conflicto de interés una situación donde la discusión o votación de un proyecto de ley o acto legislativo o artículo, pueda resultar en un beneficio particular, actual y directo a favor del congresista. </w:t>
      </w:r>
    </w:p>
    <w:p w14:paraId="3A7503C4" w14:textId="77777777" w:rsidR="00655DDF" w:rsidRDefault="00655DDF">
      <w:pPr>
        <w:ind w:left="851" w:right="900"/>
        <w:jc w:val="both"/>
        <w:rPr>
          <w:rFonts w:ascii="Bookman Old Style" w:eastAsia="Bookman Old Style" w:hAnsi="Bookman Old Style" w:cs="Bookman Old Style"/>
          <w:i/>
          <w:sz w:val="22"/>
          <w:szCs w:val="22"/>
          <w:highlight w:val="white"/>
        </w:rPr>
      </w:pPr>
    </w:p>
    <w:p w14:paraId="361E49F9" w14:textId="77777777" w:rsidR="00655DDF" w:rsidRDefault="00000000">
      <w:pPr>
        <w:numPr>
          <w:ilvl w:val="0"/>
          <w:numId w:val="24"/>
        </w:numPr>
        <w:ind w:left="851" w:right="900" w:firstLine="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 xml:space="preserve">Beneficio particular: aquel que otorga un privilegio o genera ganancias o crea indemnizaciones económicas o elimina obligaciones a favor del congresista de las que no gozan el resto de los ciudadanos. Modifique normas que afecten investigaciones </w:t>
      </w:r>
      <w:r>
        <w:rPr>
          <w:rFonts w:ascii="Bookman Old Style" w:eastAsia="Bookman Old Style" w:hAnsi="Bookman Old Style" w:cs="Bookman Old Style"/>
          <w:i/>
          <w:sz w:val="22"/>
          <w:szCs w:val="22"/>
          <w:highlight w:val="white"/>
        </w:rPr>
        <w:lastRenderedPageBreak/>
        <w:t>penales, disciplinarias, fiscales o administrativas a las que se encuentre formalmente vinculado. </w:t>
      </w:r>
    </w:p>
    <w:p w14:paraId="4308B225" w14:textId="77777777" w:rsidR="00655DDF" w:rsidRDefault="00655DDF">
      <w:pPr>
        <w:ind w:left="851" w:right="900"/>
        <w:jc w:val="both"/>
        <w:rPr>
          <w:rFonts w:ascii="Bookman Old Style" w:eastAsia="Bookman Old Style" w:hAnsi="Bookman Old Style" w:cs="Bookman Old Style"/>
          <w:i/>
          <w:sz w:val="22"/>
          <w:szCs w:val="22"/>
          <w:highlight w:val="white"/>
        </w:rPr>
      </w:pPr>
    </w:p>
    <w:p w14:paraId="3FA7035E" w14:textId="77777777" w:rsidR="00655DDF" w:rsidRDefault="00000000">
      <w:pPr>
        <w:numPr>
          <w:ilvl w:val="0"/>
          <w:numId w:val="24"/>
        </w:numPr>
        <w:ind w:left="851" w:right="900" w:firstLine="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Beneficio actual: aquel que efectivamente se configura en las circunstancias presentes y existentes al momento en el que el congresista participa de la decisión. </w:t>
      </w:r>
    </w:p>
    <w:p w14:paraId="05390365" w14:textId="77777777" w:rsidR="00655DDF" w:rsidRDefault="00655DDF">
      <w:pPr>
        <w:ind w:right="900"/>
        <w:jc w:val="both"/>
        <w:rPr>
          <w:rFonts w:ascii="Bookman Old Style" w:eastAsia="Bookman Old Style" w:hAnsi="Bookman Old Style" w:cs="Bookman Old Style"/>
          <w:i/>
          <w:sz w:val="22"/>
          <w:szCs w:val="22"/>
          <w:highlight w:val="white"/>
        </w:rPr>
      </w:pPr>
    </w:p>
    <w:p w14:paraId="7743EFC9" w14:textId="77777777" w:rsidR="00655DDF" w:rsidRDefault="00000000">
      <w:pPr>
        <w:numPr>
          <w:ilvl w:val="0"/>
          <w:numId w:val="24"/>
        </w:numPr>
        <w:ind w:left="851" w:right="900" w:firstLine="0"/>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i/>
          <w:sz w:val="22"/>
          <w:szCs w:val="22"/>
          <w:highlight w:val="white"/>
        </w:rPr>
        <w:t>Beneficio directo: aquel que se produzca de forma específica respecto del congresista, de su cónyuge, compañero o compañera permanente, o parientes dentro del segundo grado de consanguinidad, segundo de afinidad o primero civil….”</w:t>
      </w:r>
    </w:p>
    <w:p w14:paraId="0452F7C5" w14:textId="77777777" w:rsidR="00655DDF" w:rsidRDefault="00655DDF">
      <w:pPr>
        <w:ind w:right="900"/>
        <w:jc w:val="both"/>
        <w:rPr>
          <w:rFonts w:ascii="Bookman Old Style" w:eastAsia="Bookman Old Style" w:hAnsi="Bookman Old Style" w:cs="Bookman Old Style"/>
          <w:sz w:val="22"/>
          <w:szCs w:val="22"/>
          <w:highlight w:val="white"/>
        </w:rPr>
      </w:pPr>
    </w:p>
    <w:p w14:paraId="7DF7FCE1" w14:textId="77777777" w:rsidR="00655DDF" w:rsidRDefault="00000000">
      <w:pPr>
        <w:ind w:right="49"/>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highlight w:val="white"/>
        </w:rPr>
        <w:t>Sobre este asunto la Sala Plena Contenciosa Administrativa del Honorable Consejo de Estado en su sentencia 02830 del 16 de julio de 2019, M.P. Carlos Enrique Moreno Rubio, señaló que:</w:t>
      </w:r>
    </w:p>
    <w:p w14:paraId="2DAD4C69" w14:textId="77777777" w:rsidR="00655DDF" w:rsidRDefault="00655DDF">
      <w:pPr>
        <w:ind w:right="900"/>
        <w:jc w:val="both"/>
        <w:rPr>
          <w:rFonts w:ascii="Bookman Old Style" w:eastAsia="Bookman Old Style" w:hAnsi="Bookman Old Style" w:cs="Bookman Old Style"/>
          <w:sz w:val="22"/>
          <w:szCs w:val="22"/>
          <w:highlight w:val="white"/>
        </w:rPr>
      </w:pPr>
    </w:p>
    <w:p w14:paraId="6C59179B" w14:textId="77777777" w:rsidR="00655DDF" w:rsidRDefault="00000000">
      <w:pPr>
        <w:tabs>
          <w:tab w:val="left" w:pos="7938"/>
        </w:tabs>
        <w:ind w:left="851" w:right="900"/>
        <w:jc w:val="both"/>
        <w:rPr>
          <w:rFonts w:ascii="Bookman Old Style" w:eastAsia="Bookman Old Style" w:hAnsi="Bookman Old Style" w:cs="Bookman Old Style"/>
          <w:i/>
          <w:sz w:val="22"/>
          <w:szCs w:val="22"/>
          <w:highlight w:val="white"/>
        </w:rPr>
      </w:pPr>
      <w:r>
        <w:rPr>
          <w:rFonts w:ascii="Bookman Old Style" w:eastAsia="Bookman Old Style" w:hAnsi="Bookman Old Style" w:cs="Bookman Old Style"/>
          <w:i/>
          <w:sz w:val="22"/>
          <w:szCs w:val="22"/>
          <w:highlight w:val="white"/>
        </w:rPr>
        <w:t xml:space="preserve">“No cualquier interés configura la causal de desinvestidura en comento, pues se sabe que sólo lo será aquél del que se pueda predicar que es directo, esto es, que per se </w:t>
      </w:r>
      <w:proofErr w:type="spellStart"/>
      <w:r>
        <w:rPr>
          <w:rFonts w:ascii="Bookman Old Style" w:eastAsia="Bookman Old Style" w:hAnsi="Bookman Old Style" w:cs="Bookman Old Style"/>
          <w:i/>
          <w:sz w:val="22"/>
          <w:szCs w:val="22"/>
          <w:highlight w:val="white"/>
        </w:rPr>
        <w:t>el</w:t>
      </w:r>
      <w:proofErr w:type="spellEnd"/>
      <w:r>
        <w:rPr>
          <w:rFonts w:ascii="Bookman Old Style" w:eastAsia="Bookman Old Style" w:hAnsi="Bookman Old Style" w:cs="Bookman Old Style"/>
          <w:i/>
          <w:sz w:val="22"/>
          <w:szCs w:val="22"/>
          <w:highlight w:val="white"/>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30EB8FBE" w14:textId="77777777" w:rsidR="00655DDF" w:rsidRDefault="00655DDF">
      <w:pPr>
        <w:jc w:val="both"/>
        <w:rPr>
          <w:rFonts w:ascii="Bookman Old Style" w:eastAsia="Bookman Old Style" w:hAnsi="Bookman Old Style" w:cs="Bookman Old Style"/>
          <w:sz w:val="22"/>
          <w:szCs w:val="22"/>
          <w:highlight w:val="white"/>
        </w:rPr>
      </w:pPr>
    </w:p>
    <w:p w14:paraId="57F63E38" w14:textId="77777777" w:rsidR="00655DDF"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highlight w:val="white"/>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empresas relacionadas con la </w:t>
      </w:r>
      <w:r>
        <w:rPr>
          <w:rFonts w:ascii="Bookman Old Style" w:eastAsia="Bookman Old Style" w:hAnsi="Bookman Old Style" w:cs="Bookman Old Style"/>
          <w:color w:val="000000"/>
          <w:sz w:val="22"/>
          <w:szCs w:val="22"/>
        </w:rPr>
        <w:t>comercialización, reproducción exportación, importación o cría, de animales domésticos de compañía.</w:t>
      </w:r>
    </w:p>
    <w:p w14:paraId="1CBDCE27" w14:textId="77777777" w:rsidR="00655DDF" w:rsidRDefault="00655DDF">
      <w:pPr>
        <w:jc w:val="both"/>
        <w:rPr>
          <w:rFonts w:ascii="Bookman Old Style" w:eastAsia="Bookman Old Style" w:hAnsi="Bookman Old Style" w:cs="Bookman Old Style"/>
          <w:color w:val="000000"/>
          <w:sz w:val="22"/>
          <w:szCs w:val="22"/>
        </w:rPr>
      </w:pPr>
    </w:p>
    <w:p w14:paraId="389A5F8C" w14:textId="77777777" w:rsidR="00655DDF" w:rsidRDefault="00000000">
      <w:pPr>
        <w:ind w:right="-23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No se considera que haya conflicto de interés en los casos en los que los congresistas convivan con un animal doméstico de compañía, pues se trata de disposiciones generales sobre convivencia que no implicarían beneficios directos de ninguna índole económica o particular, más allá de la fijación de las normas relativas a la tenencia responsable y a la protección de la convivencia con animales como la manifestación del desarrollo de derechos fundamentales. </w:t>
      </w:r>
    </w:p>
    <w:p w14:paraId="15504C3D" w14:textId="77777777" w:rsidR="00655DDF" w:rsidRDefault="00655DDF">
      <w:pPr>
        <w:ind w:right="-232"/>
        <w:jc w:val="both"/>
        <w:rPr>
          <w:rFonts w:ascii="Bookman Old Style" w:eastAsia="Bookman Old Style" w:hAnsi="Bookman Old Style" w:cs="Bookman Old Style"/>
          <w:color w:val="000000"/>
          <w:sz w:val="22"/>
          <w:szCs w:val="22"/>
        </w:rPr>
      </w:pPr>
    </w:p>
    <w:p w14:paraId="4489737C" w14:textId="77777777" w:rsidR="00655DDF" w:rsidRDefault="00000000">
      <w:pPr>
        <w:jc w:val="both"/>
        <w:rPr>
          <w:rFonts w:ascii="Bookman Old Style" w:eastAsia="Bookman Old Style" w:hAnsi="Bookman Old Style" w:cs="Bookman Old Style"/>
          <w:sz w:val="22"/>
          <w:szCs w:val="22"/>
          <w:highlight w:val="white"/>
        </w:rPr>
      </w:pPr>
      <w:r>
        <w:rPr>
          <w:rFonts w:ascii="Bookman Old Style" w:eastAsia="Bookman Old Style" w:hAnsi="Bookman Old Style" w:cs="Bookman Old Style"/>
          <w:sz w:val="22"/>
          <w:szCs w:val="22"/>
          <w:highlight w:val="white"/>
        </w:rPr>
        <w:t xml:space="preserve">Es menester señalar, que la descripción de los posibles conflictos de interés que se puedan presentar frente al trámite o votación del presente Proyecto de Ley, conforme a lo dispuesto en el artículo 291 de la Ley 5 de 1992 modificado por la </w:t>
      </w:r>
      <w:r>
        <w:rPr>
          <w:rFonts w:ascii="Bookman Old Style" w:eastAsia="Bookman Old Style" w:hAnsi="Bookman Old Style" w:cs="Bookman Old Style"/>
          <w:sz w:val="22"/>
          <w:szCs w:val="22"/>
          <w:highlight w:val="white"/>
        </w:rPr>
        <w:lastRenderedPageBreak/>
        <w:t>Ley 2003 de 2019, no exime al Congresista de identificar causales adicionales en las que pueda estar incurso.</w:t>
      </w:r>
    </w:p>
    <w:p w14:paraId="68204625" w14:textId="77777777" w:rsidR="00655DDF" w:rsidRDefault="00655DDF">
      <w:pPr>
        <w:ind w:right="-232"/>
        <w:jc w:val="both"/>
        <w:rPr>
          <w:rFonts w:ascii="Bookman Old Style" w:eastAsia="Bookman Old Style" w:hAnsi="Bookman Old Style" w:cs="Bookman Old Style"/>
          <w:color w:val="000000"/>
          <w:sz w:val="22"/>
          <w:szCs w:val="22"/>
        </w:rPr>
      </w:pPr>
    </w:p>
    <w:p w14:paraId="392FDB13" w14:textId="77777777" w:rsidR="00655DDF" w:rsidRDefault="00000000">
      <w:pPr>
        <w:numPr>
          <w:ilvl w:val="0"/>
          <w:numId w:val="2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ANEXOS</w:t>
      </w:r>
    </w:p>
    <w:p w14:paraId="7BF43560" w14:textId="77777777" w:rsidR="00655DDF" w:rsidRDefault="00655DDF">
      <w:pPr>
        <w:pBdr>
          <w:top w:val="nil"/>
          <w:left w:val="nil"/>
          <w:bottom w:val="nil"/>
          <w:right w:val="nil"/>
          <w:between w:val="nil"/>
        </w:pBdr>
        <w:ind w:left="360"/>
        <w:jc w:val="both"/>
        <w:rPr>
          <w:rFonts w:ascii="Bookman Old Style" w:eastAsia="Bookman Old Style" w:hAnsi="Bookman Old Style" w:cs="Bookman Old Style"/>
          <w:b/>
          <w:color w:val="000000"/>
          <w:sz w:val="22"/>
          <w:szCs w:val="22"/>
        </w:rPr>
      </w:pPr>
    </w:p>
    <w:p w14:paraId="62B09D08" w14:textId="77777777" w:rsidR="00655DDF" w:rsidRDefault="00000000">
      <w:pPr>
        <w:numPr>
          <w:ilvl w:val="1"/>
          <w:numId w:val="1"/>
        </w:numPr>
        <w:pBdr>
          <w:top w:val="nil"/>
          <w:left w:val="nil"/>
          <w:bottom w:val="nil"/>
          <w:right w:val="nil"/>
          <w:between w:val="nil"/>
        </w:pBdr>
        <w:ind w:left="1276" w:hanging="916"/>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RESULTADOS DE LOS DERECHOS DE PETICIÓN RADICADOS ANTE LOS MUNICIPIOS DEL PAÍS RESPECTO DE LA IMPLEMENTACIÓN DE LA LEY 5ª DE 1972.</w:t>
      </w:r>
    </w:p>
    <w:p w14:paraId="2C85312C" w14:textId="77777777" w:rsidR="00655DDF" w:rsidRDefault="00655DDF">
      <w:pPr>
        <w:jc w:val="both"/>
        <w:rPr>
          <w:rFonts w:ascii="Bookman Old Style" w:eastAsia="Bookman Old Style" w:hAnsi="Bookman Old Style" w:cs="Bookman Old Style"/>
          <w:b/>
          <w:sz w:val="22"/>
          <w:szCs w:val="22"/>
        </w:rPr>
      </w:pPr>
    </w:p>
    <w:p w14:paraId="0CBC22BB" w14:textId="77777777" w:rsidR="00655DDF" w:rsidRDefault="00000000">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 continuación presentamos los resultados de los 1103 derechos de petición radicados ante todos los municipios del país, con la finalidad de realizar un seguimiento y evaluación al cumplimiento de la Ley 5 de 1972, la Ley 84 de 1989 y la Ley 1774 de 2016.</w:t>
      </w:r>
    </w:p>
    <w:p w14:paraId="288D06D3" w14:textId="77777777" w:rsidR="00655DDF" w:rsidRDefault="00655DDF">
      <w:pPr>
        <w:jc w:val="both"/>
        <w:rPr>
          <w:rFonts w:ascii="Bookman Old Style" w:eastAsia="Bookman Old Style" w:hAnsi="Bookman Old Style" w:cs="Bookman Old Style"/>
          <w:sz w:val="22"/>
          <w:szCs w:val="22"/>
        </w:rPr>
      </w:pPr>
    </w:p>
    <w:p w14:paraId="454B8A8B" w14:textId="77777777" w:rsidR="00655DDF" w:rsidRDefault="00000000">
      <w:pPr>
        <w:ind w:left="567" w:firstLine="142"/>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Municipios que Respondieron al Derecho de Petición</w:t>
      </w:r>
    </w:p>
    <w:p w14:paraId="7E0ED1AE" w14:textId="77777777" w:rsidR="00655DDF" w:rsidRDefault="00655DDF">
      <w:pPr>
        <w:pBdr>
          <w:top w:val="nil"/>
          <w:left w:val="nil"/>
          <w:bottom w:val="nil"/>
          <w:right w:val="nil"/>
          <w:between w:val="nil"/>
        </w:pBdr>
        <w:ind w:left="1276"/>
        <w:jc w:val="both"/>
        <w:rPr>
          <w:rFonts w:ascii="Bookman Old Style" w:eastAsia="Bookman Old Style" w:hAnsi="Bookman Old Style" w:cs="Bookman Old Style"/>
          <w:b/>
          <w:color w:val="000000"/>
          <w:sz w:val="22"/>
          <w:szCs w:val="22"/>
        </w:rPr>
      </w:pPr>
    </w:p>
    <w:p w14:paraId="198F0297" w14:textId="77777777" w:rsidR="00655DDF" w:rsidRDefault="00000000">
      <w:pPr>
        <w:ind w:left="709"/>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0A67CC6E" wp14:editId="4B1A5148">
            <wp:extent cx="4572000" cy="2095500"/>
            <wp:effectExtent l="0" t="0" r="0" b="0"/>
            <wp:docPr id="95" name="Gráfico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63106E"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Solamente 374 (34%) de los 1,101 municipios de Colombia respondieron al derecho de petición enviado el 4 de septiembre de 2018.</w:t>
      </w:r>
    </w:p>
    <w:p w14:paraId="597A20EE"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3D4E238D"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las ciudades capitales, solamente respondieron: Leticia, Cartagena, San José del Guaviare y Pasto.</w:t>
      </w:r>
    </w:p>
    <w:p w14:paraId="79B6B0EF" w14:textId="77777777" w:rsidR="00655DDF" w:rsidRDefault="00655DDF">
      <w:pPr>
        <w:jc w:val="both"/>
        <w:rPr>
          <w:rFonts w:ascii="Bookman Old Style" w:eastAsia="Bookman Old Style" w:hAnsi="Bookman Old Style" w:cs="Bookman Old Style"/>
          <w:color w:val="000000"/>
          <w:sz w:val="22"/>
          <w:szCs w:val="22"/>
        </w:rPr>
      </w:pPr>
    </w:p>
    <w:p w14:paraId="70AEC36C"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Informe preventivo en relación a Juntas Defensoras de Animales de la Procuraduría General de la Nación (julio, 2016),  realizado para evaluar el cumplimiento de la Ley 5ª de 1972, la encuesta fue diligenciada por 856 municipios (78%).</w:t>
      </w:r>
    </w:p>
    <w:p w14:paraId="7B8BF726" w14:textId="77777777" w:rsidR="00655DDF" w:rsidRDefault="00655DDF">
      <w:pPr>
        <w:jc w:val="both"/>
        <w:rPr>
          <w:rFonts w:ascii="Bookman Old Style" w:eastAsia="Bookman Old Style" w:hAnsi="Bookman Old Style" w:cs="Bookman Old Style"/>
          <w:b/>
          <w:color w:val="000000"/>
          <w:sz w:val="22"/>
          <w:szCs w:val="22"/>
        </w:rPr>
      </w:pPr>
    </w:p>
    <w:p w14:paraId="439562D1" w14:textId="77777777" w:rsidR="00655DDF" w:rsidRDefault="00000000">
      <w:pPr>
        <w:numPr>
          <w:ilvl w:val="2"/>
          <w:numId w:val="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Pregunta 1.  Existencia, funcionamiento y acto de creación de la JDA</w:t>
      </w:r>
    </w:p>
    <w:p w14:paraId="54FCC910" w14:textId="77777777" w:rsidR="00655DDF" w:rsidRDefault="00655DDF">
      <w:pPr>
        <w:pBdr>
          <w:top w:val="nil"/>
          <w:left w:val="nil"/>
          <w:bottom w:val="nil"/>
          <w:right w:val="nil"/>
          <w:between w:val="nil"/>
        </w:pBdr>
        <w:ind w:left="1224"/>
        <w:jc w:val="both"/>
        <w:rPr>
          <w:rFonts w:ascii="Bookman Old Style" w:eastAsia="Bookman Old Style" w:hAnsi="Bookman Old Style" w:cs="Bookman Old Style"/>
          <w:b/>
          <w:color w:val="000000"/>
          <w:sz w:val="22"/>
          <w:szCs w:val="22"/>
        </w:rPr>
      </w:pPr>
    </w:p>
    <w:p w14:paraId="00BA3C30" w14:textId="77777777" w:rsidR="00655DDF" w:rsidRDefault="00000000">
      <w:pPr>
        <w:ind w:firstLine="709"/>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Junta Protectora de Animales-JDA</w:t>
      </w:r>
    </w:p>
    <w:p w14:paraId="03A3BAF5" w14:textId="77777777" w:rsidR="00655DDF" w:rsidRDefault="00000000">
      <w:pPr>
        <w:ind w:left="567" w:firstLine="142"/>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u w:val="single"/>
        </w:rPr>
        <w:t xml:space="preserve"> </w:t>
      </w:r>
    </w:p>
    <w:p w14:paraId="3B48015A" w14:textId="77777777" w:rsidR="00655DDF" w:rsidRDefault="00000000">
      <w:pPr>
        <w:ind w:left="709"/>
        <w:jc w:val="center"/>
        <w:rPr>
          <w:rFonts w:ascii="Bookman Old Style" w:eastAsia="Bookman Old Style" w:hAnsi="Bookman Old Style" w:cs="Bookman Old Style"/>
          <w:sz w:val="22"/>
          <w:szCs w:val="22"/>
        </w:rPr>
      </w:pPr>
      <w:r>
        <w:rPr>
          <w:rFonts w:ascii="Bookman Old Style" w:eastAsia="Bookman Old Style" w:hAnsi="Bookman Old Style" w:cs="Bookman Old Style"/>
          <w:noProof/>
          <w:sz w:val="22"/>
          <w:szCs w:val="22"/>
        </w:rPr>
        <w:lastRenderedPageBreak/>
        <w:drawing>
          <wp:inline distT="0" distB="0" distL="0" distR="0" wp14:anchorId="4BAD0F46" wp14:editId="492FBB48">
            <wp:extent cx="4591050" cy="2333625"/>
            <wp:effectExtent l="0" t="0" r="0" b="0"/>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68AF73" w14:textId="77777777" w:rsidR="00655DDF" w:rsidRDefault="00655DDF">
      <w:pPr>
        <w:rPr>
          <w:rFonts w:ascii="Bookman Old Style" w:eastAsia="Bookman Old Style" w:hAnsi="Bookman Old Style" w:cs="Bookman Old Style"/>
          <w:sz w:val="22"/>
          <w:szCs w:val="22"/>
        </w:rPr>
      </w:pPr>
    </w:p>
    <w:p w14:paraId="4F1FB787" w14:textId="77777777" w:rsidR="00655DDF" w:rsidRDefault="00000000">
      <w:pPr>
        <w:ind w:firstLine="567"/>
        <w:jc w:val="center"/>
        <w:rPr>
          <w:rFonts w:ascii="Bookman Old Style" w:eastAsia="Bookman Old Style" w:hAnsi="Bookman Old Style" w:cs="Bookman Old Style"/>
          <w:sz w:val="22"/>
          <w:szCs w:val="22"/>
        </w:rPr>
      </w:pPr>
      <w:r>
        <w:rPr>
          <w:rFonts w:ascii="Bookman Old Style" w:eastAsia="Bookman Old Style" w:hAnsi="Bookman Old Style" w:cs="Bookman Old Style"/>
          <w:noProof/>
          <w:sz w:val="22"/>
          <w:szCs w:val="22"/>
        </w:rPr>
        <w:drawing>
          <wp:inline distT="0" distB="0" distL="0" distR="0" wp14:anchorId="4730A49A" wp14:editId="302793EB">
            <wp:extent cx="4772025" cy="2219325"/>
            <wp:effectExtent l="0" t="0" r="0" b="0"/>
            <wp:docPr id="96" name="Gráfico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D08D56"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71CAE72B"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10134F0A"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w:t>
      </w:r>
    </w:p>
    <w:p w14:paraId="4FCBF432"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5E63F987" w14:textId="77777777" w:rsidR="00655DDF" w:rsidRDefault="00000000">
      <w:pPr>
        <w:numPr>
          <w:ilvl w:val="1"/>
          <w:numId w:val="6"/>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280 (75%) existe la JDA.  En 80 no existe y  14 no respondieron.</w:t>
      </w:r>
    </w:p>
    <w:p w14:paraId="3C68A84E"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160D8045" w14:textId="77777777" w:rsidR="00655DDF" w:rsidRDefault="00000000">
      <w:pPr>
        <w:numPr>
          <w:ilvl w:val="2"/>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 relación al total de los 1,101 municipios, solamente se puede confirmar que existe la JDA en el 26% de los municipios de Colombia.</w:t>
      </w:r>
    </w:p>
    <w:p w14:paraId="1EFE98EE" w14:textId="77777777" w:rsidR="00655DDF" w:rsidRDefault="00000000">
      <w:pPr>
        <w:numPr>
          <w:ilvl w:val="2"/>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el informe de la PGN, el 70% de los municipios respondieron tener la JDA conformada. </w:t>
      </w:r>
    </w:p>
    <w:p w14:paraId="283DAF57" w14:textId="77777777" w:rsidR="00655DDF" w:rsidRDefault="00655DDF">
      <w:pPr>
        <w:pBdr>
          <w:top w:val="nil"/>
          <w:left w:val="nil"/>
          <w:bottom w:val="nil"/>
          <w:right w:val="nil"/>
          <w:between w:val="nil"/>
        </w:pBdr>
        <w:ind w:left="2367"/>
        <w:jc w:val="both"/>
        <w:rPr>
          <w:rFonts w:ascii="Bookman Old Style" w:eastAsia="Bookman Old Style" w:hAnsi="Bookman Old Style" w:cs="Bookman Old Style"/>
          <w:color w:val="000000"/>
          <w:sz w:val="22"/>
          <w:szCs w:val="22"/>
        </w:rPr>
      </w:pPr>
    </w:p>
    <w:p w14:paraId="617C5E04" w14:textId="77777777" w:rsidR="00655DDF" w:rsidRDefault="00000000">
      <w:pPr>
        <w:numPr>
          <w:ilvl w:val="1"/>
          <w:numId w:val="8"/>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150 (40%) funciona actualmente la JDA.  </w:t>
      </w:r>
    </w:p>
    <w:p w14:paraId="7B2FAF3E" w14:textId="77777777" w:rsidR="00655DDF" w:rsidRDefault="00000000">
      <w:pPr>
        <w:numPr>
          <w:ilvl w:val="2"/>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 relación al total de los 1,101 municipios, solamente se puede confirmar que  funciona la JDA en el 14% de los municipios de Colombia.</w:t>
      </w:r>
    </w:p>
    <w:p w14:paraId="6F62DE06" w14:textId="77777777" w:rsidR="00655DDF" w:rsidRDefault="00655DDF">
      <w:pPr>
        <w:tabs>
          <w:tab w:val="left" w:pos="945"/>
        </w:tabs>
        <w:jc w:val="both"/>
        <w:rPr>
          <w:rFonts w:ascii="Bookman Old Style" w:eastAsia="Bookman Old Style" w:hAnsi="Bookman Old Style" w:cs="Bookman Old Style"/>
          <w:b/>
          <w:sz w:val="22"/>
          <w:szCs w:val="22"/>
        </w:rPr>
      </w:pPr>
    </w:p>
    <w:p w14:paraId="3EEC79CD"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lastRenderedPageBreak/>
        <w:t>Año Creación Junta Protectora de Animales</w:t>
      </w:r>
    </w:p>
    <w:p w14:paraId="11097D6D" w14:textId="77777777" w:rsidR="00655DDF" w:rsidRDefault="00655DDF">
      <w:pPr>
        <w:ind w:firstLine="567"/>
        <w:jc w:val="center"/>
        <w:rPr>
          <w:rFonts w:ascii="Bookman Old Style" w:eastAsia="Bookman Old Style" w:hAnsi="Bookman Old Style" w:cs="Bookman Old Style"/>
          <w:sz w:val="22"/>
          <w:szCs w:val="22"/>
        </w:rPr>
      </w:pPr>
    </w:p>
    <w:p w14:paraId="341D6ACE" w14:textId="77777777" w:rsidR="00655DDF" w:rsidRDefault="00000000">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noProof/>
          <w:color w:val="000000"/>
          <w:sz w:val="22"/>
          <w:szCs w:val="22"/>
          <w:u w:val="single"/>
        </w:rPr>
        <w:drawing>
          <wp:inline distT="0" distB="0" distL="0" distR="0" wp14:anchorId="79626E64" wp14:editId="5031F23B">
            <wp:extent cx="4181475" cy="1743075"/>
            <wp:effectExtent l="0" t="0" r="0" b="0"/>
            <wp:docPr id="99" name="Gráfico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97411E"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30AA0566"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059DEA4F"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87% de las JDA se crearon entre 2014 - 2018.</w:t>
      </w:r>
    </w:p>
    <w:p w14:paraId="16327A6B"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37% de las JDA se crearon entre 2016 - 2018.</w:t>
      </w:r>
    </w:p>
    <w:p w14:paraId="298F2AAC"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7464CD1E"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Acto de Creación de la Junta Protectora de Animales</w:t>
      </w:r>
    </w:p>
    <w:p w14:paraId="5A1DE06C" w14:textId="77777777" w:rsidR="00655DDF" w:rsidRDefault="00000000">
      <w:pPr>
        <w:ind w:firstLine="709"/>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u w:val="single"/>
        </w:rPr>
        <w:t xml:space="preserve"> </w:t>
      </w:r>
    </w:p>
    <w:p w14:paraId="4737780F"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27269DAC" wp14:editId="0F7B99F7">
            <wp:extent cx="4657725" cy="2390775"/>
            <wp:effectExtent l="0" t="0" r="0" b="0"/>
            <wp:docPr id="98" name="Gráfico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05B5B6" w14:textId="77777777" w:rsidR="00655DDF" w:rsidRDefault="00655DDF">
      <w:pPr>
        <w:ind w:left="709"/>
        <w:jc w:val="center"/>
        <w:rPr>
          <w:rFonts w:ascii="Bookman Old Style" w:eastAsia="Bookman Old Style" w:hAnsi="Bookman Old Style" w:cs="Bookman Old Style"/>
          <w:color w:val="000000"/>
          <w:sz w:val="22"/>
          <w:szCs w:val="22"/>
        </w:rPr>
      </w:pPr>
    </w:p>
    <w:p w14:paraId="1418CDED"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lastRenderedPageBreak/>
        <w:drawing>
          <wp:inline distT="0" distB="0" distL="0" distR="0" wp14:anchorId="13CE6157" wp14:editId="6F78FA74">
            <wp:extent cx="5057775" cy="2190750"/>
            <wp:effectExtent l="0" t="0" r="0" b="0"/>
            <wp:docPr id="101" name="Gráfico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A0C987" w14:textId="77777777" w:rsidR="00655DDF" w:rsidRDefault="00655DDF">
      <w:pPr>
        <w:ind w:firstLine="709"/>
        <w:rPr>
          <w:rFonts w:ascii="Bookman Old Style" w:eastAsia="Bookman Old Style" w:hAnsi="Bookman Old Style" w:cs="Bookman Old Style"/>
          <w:b/>
          <w:color w:val="000000"/>
          <w:sz w:val="22"/>
          <w:szCs w:val="22"/>
          <w:u w:val="single"/>
        </w:rPr>
      </w:pPr>
    </w:p>
    <w:p w14:paraId="315FFE03"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los 280 municipios que reportaron, que sí existe JDA: </w:t>
      </w:r>
    </w:p>
    <w:p w14:paraId="4AA074E2" w14:textId="77777777" w:rsidR="00655DDF" w:rsidRDefault="00000000">
      <w:pPr>
        <w:numPr>
          <w:ilvl w:val="1"/>
          <w:numId w:val="1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193, esto es el 69%, creó la junta a través de decreto. </w:t>
      </w:r>
    </w:p>
    <w:p w14:paraId="08B0D9FF" w14:textId="77777777" w:rsidR="00655DDF" w:rsidRDefault="00000000">
      <w:pPr>
        <w:numPr>
          <w:ilvl w:val="1"/>
          <w:numId w:val="1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156, esto es el 56%, anexó el acto de creación de la JDA.</w:t>
      </w:r>
    </w:p>
    <w:p w14:paraId="03A7C197"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55BA68F0"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informe de la PGN, se menciona que la mayoría de las JDA fueron legalizadas a través de decretos (79%).</w:t>
      </w:r>
    </w:p>
    <w:p w14:paraId="6B58AA08" w14:textId="77777777" w:rsidR="00655DDF" w:rsidRDefault="00655DDF">
      <w:pPr>
        <w:jc w:val="both"/>
        <w:rPr>
          <w:rFonts w:ascii="Bookman Old Style" w:eastAsia="Bookman Old Style" w:hAnsi="Bookman Old Style" w:cs="Bookman Old Style"/>
          <w:color w:val="000000"/>
          <w:sz w:val="22"/>
          <w:szCs w:val="22"/>
        </w:rPr>
      </w:pPr>
    </w:p>
    <w:p w14:paraId="437FF5DC"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Funcionamiento Junta Protectora de Animales</w:t>
      </w:r>
    </w:p>
    <w:p w14:paraId="1F07C3A1"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0F2D28A8" wp14:editId="527D79E4">
            <wp:extent cx="4829175" cy="2190750"/>
            <wp:effectExtent l="0" t="0" r="0" b="0"/>
            <wp:docPr id="100" name="Gráfico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E8AEA4" w14:textId="77777777" w:rsidR="00655DDF" w:rsidRDefault="00655DDF">
      <w:pPr>
        <w:rPr>
          <w:rFonts w:ascii="Bookman Old Style" w:eastAsia="Bookman Old Style" w:hAnsi="Bookman Old Style" w:cs="Bookman Old Style"/>
          <w:color w:val="000000"/>
          <w:sz w:val="22"/>
          <w:szCs w:val="22"/>
        </w:rPr>
      </w:pPr>
    </w:p>
    <w:p w14:paraId="04807112"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lastRenderedPageBreak/>
        <w:drawing>
          <wp:inline distT="0" distB="0" distL="0" distR="0" wp14:anchorId="32B9F6E5" wp14:editId="23418B94">
            <wp:extent cx="4867275" cy="2371725"/>
            <wp:effectExtent l="0" t="0" r="0" b="0"/>
            <wp:docPr id="103" name="Gráfico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7E6873" w14:textId="77777777" w:rsidR="00655DDF" w:rsidRDefault="00655DDF">
      <w:pPr>
        <w:jc w:val="both"/>
        <w:rPr>
          <w:rFonts w:ascii="Bookman Old Style" w:eastAsia="Bookman Old Style" w:hAnsi="Bookman Old Style" w:cs="Bookman Old Style"/>
          <w:color w:val="000000"/>
          <w:sz w:val="22"/>
          <w:szCs w:val="22"/>
        </w:rPr>
      </w:pPr>
    </w:p>
    <w:p w14:paraId="6279E45C"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los 280 municipios que reportaron, que sí existe JDA: </w:t>
      </w:r>
    </w:p>
    <w:p w14:paraId="793A7C6E" w14:textId="77777777" w:rsidR="00655DDF" w:rsidRDefault="00000000">
      <w:pPr>
        <w:numPr>
          <w:ilvl w:val="1"/>
          <w:numId w:val="1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188, esto es el 67%, proporciona integrantes actuales de la JDA. </w:t>
      </w:r>
    </w:p>
    <w:p w14:paraId="53C46E16" w14:textId="77777777" w:rsidR="00655DDF" w:rsidRDefault="00000000">
      <w:pPr>
        <w:numPr>
          <w:ilvl w:val="1"/>
          <w:numId w:val="1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166, esto es 59%, se ha reunido al menos una vez la JDA desde su conformación.</w:t>
      </w:r>
    </w:p>
    <w:p w14:paraId="31C03203"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354B65C5"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Funcionamiento JDA por Departamento</w:t>
      </w:r>
    </w:p>
    <w:p w14:paraId="288C17C0" w14:textId="77777777" w:rsidR="00655DDF" w:rsidRDefault="00655DDF">
      <w:pPr>
        <w:ind w:left="709"/>
        <w:jc w:val="both"/>
        <w:rPr>
          <w:rFonts w:ascii="Bookman Old Style" w:eastAsia="Bookman Old Style" w:hAnsi="Bookman Old Style" w:cs="Bookman Old Style"/>
          <w:color w:val="000000"/>
          <w:sz w:val="22"/>
          <w:szCs w:val="22"/>
        </w:rPr>
      </w:pPr>
    </w:p>
    <w:tbl>
      <w:tblPr>
        <w:tblStyle w:val="a0"/>
        <w:tblW w:w="7553" w:type="dxa"/>
        <w:tblInd w:w="709" w:type="dxa"/>
        <w:tblLayout w:type="fixed"/>
        <w:tblLook w:val="0400" w:firstRow="0" w:lastRow="0" w:firstColumn="0" w:lastColumn="0" w:noHBand="0" w:noVBand="1"/>
      </w:tblPr>
      <w:tblGrid>
        <w:gridCol w:w="104"/>
        <w:gridCol w:w="1874"/>
        <w:gridCol w:w="1072"/>
        <w:gridCol w:w="697"/>
        <w:gridCol w:w="843"/>
        <w:gridCol w:w="651"/>
        <w:gridCol w:w="818"/>
        <w:gridCol w:w="837"/>
        <w:gridCol w:w="657"/>
      </w:tblGrid>
      <w:tr w:rsidR="00655DDF" w14:paraId="7E7DD066" w14:textId="77777777">
        <w:trPr>
          <w:trHeight w:val="199"/>
        </w:trPr>
        <w:tc>
          <w:tcPr>
            <w:tcW w:w="103" w:type="dxa"/>
            <w:tcBorders>
              <w:top w:val="single" w:sz="8" w:space="0" w:color="FFFFFF"/>
              <w:left w:val="single" w:sz="8" w:space="0" w:color="FFFFFF"/>
              <w:bottom w:val="single" w:sz="24" w:space="0" w:color="FFFFFF"/>
              <w:right w:val="single" w:sz="4" w:space="0" w:color="000000"/>
            </w:tcBorders>
            <w:shd w:val="clear" w:color="auto" w:fill="auto"/>
            <w:tcMar>
              <w:top w:w="15" w:type="dxa"/>
              <w:left w:w="42" w:type="dxa"/>
              <w:bottom w:w="0" w:type="dxa"/>
              <w:right w:w="42" w:type="dxa"/>
            </w:tcMar>
            <w:vAlign w:val="center"/>
          </w:tcPr>
          <w:p w14:paraId="2177EAC8" w14:textId="77777777" w:rsidR="00655DDF" w:rsidRDefault="00655DDF">
            <w:pPr>
              <w:jc w:val="center"/>
              <w:rPr>
                <w:rFonts w:ascii="Bookman Old Style" w:eastAsia="Bookman Old Style" w:hAnsi="Bookman Old Style" w:cs="Bookman Old Style"/>
                <w:sz w:val="22"/>
                <w:szCs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BDD7EE"/>
            <w:tcMar>
              <w:top w:w="15" w:type="dxa"/>
              <w:left w:w="42" w:type="dxa"/>
              <w:bottom w:w="0" w:type="dxa"/>
              <w:right w:w="42" w:type="dxa"/>
            </w:tcMar>
            <w:vAlign w:val="center"/>
          </w:tcPr>
          <w:p w14:paraId="1076BFD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Departamento</w:t>
            </w:r>
          </w:p>
        </w:tc>
        <w:tc>
          <w:tcPr>
            <w:tcW w:w="1072" w:type="dxa"/>
            <w:tcBorders>
              <w:top w:val="single" w:sz="4" w:space="0" w:color="000000"/>
              <w:left w:val="single" w:sz="4" w:space="0" w:color="000000"/>
              <w:bottom w:val="single" w:sz="4" w:space="0" w:color="000000"/>
              <w:right w:val="single" w:sz="4" w:space="0" w:color="000000"/>
            </w:tcBorders>
            <w:shd w:val="clear" w:color="auto" w:fill="FFF2CC"/>
            <w:tcMar>
              <w:top w:w="15" w:type="dxa"/>
              <w:left w:w="42" w:type="dxa"/>
              <w:bottom w:w="0" w:type="dxa"/>
              <w:right w:w="42" w:type="dxa"/>
            </w:tcMar>
            <w:vAlign w:val="center"/>
          </w:tcPr>
          <w:p w14:paraId="36A9818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 de Municipios</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14:paraId="1FD9FDC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Envió Respuesta</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14:paraId="08E9221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Existe</w:t>
            </w: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14:paraId="72CEB18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Funciona</w:t>
            </w:r>
          </w:p>
        </w:tc>
      </w:tr>
      <w:tr w:rsidR="00655DDF" w14:paraId="6360B063" w14:textId="77777777">
        <w:trPr>
          <w:trHeight w:val="60"/>
        </w:trPr>
        <w:tc>
          <w:tcPr>
            <w:tcW w:w="103" w:type="dxa"/>
            <w:tcBorders>
              <w:top w:val="single" w:sz="24"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BB0CE05"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BDD7EE"/>
            <w:tcMar>
              <w:top w:w="15" w:type="dxa"/>
              <w:left w:w="42" w:type="dxa"/>
              <w:bottom w:w="0" w:type="dxa"/>
              <w:right w:w="42" w:type="dxa"/>
            </w:tcMar>
            <w:vAlign w:val="center"/>
          </w:tcPr>
          <w:p w14:paraId="08DC5E2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FFF2CC"/>
            <w:tcMar>
              <w:top w:w="15" w:type="dxa"/>
              <w:left w:w="42" w:type="dxa"/>
              <w:bottom w:w="0" w:type="dxa"/>
              <w:right w:w="42" w:type="dxa"/>
            </w:tcMar>
            <w:vAlign w:val="center"/>
          </w:tcPr>
          <w:p w14:paraId="0913AFF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 </w:t>
            </w:r>
          </w:p>
        </w:tc>
        <w:tc>
          <w:tcPr>
            <w:tcW w:w="697" w:type="dxa"/>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14:paraId="5352755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w:t>
            </w:r>
          </w:p>
        </w:tc>
        <w:tc>
          <w:tcPr>
            <w:tcW w:w="843" w:type="dxa"/>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14:paraId="1D6D5A7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w:t>
            </w:r>
          </w:p>
        </w:tc>
        <w:tc>
          <w:tcPr>
            <w:tcW w:w="651" w:type="dxa"/>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14:paraId="0733328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w:t>
            </w:r>
          </w:p>
        </w:tc>
        <w:tc>
          <w:tcPr>
            <w:tcW w:w="818" w:type="dxa"/>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14:paraId="52258B6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w:t>
            </w:r>
          </w:p>
        </w:tc>
        <w:tc>
          <w:tcPr>
            <w:tcW w:w="837" w:type="dxa"/>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14:paraId="0562CB8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14:paraId="3A261E2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b/>
                <w:color w:val="000000"/>
                <w:sz w:val="22"/>
                <w:szCs w:val="22"/>
                <w:vertAlign w:val="superscript"/>
              </w:rPr>
              <w:t>%</w:t>
            </w:r>
          </w:p>
        </w:tc>
      </w:tr>
      <w:tr w:rsidR="00655DDF" w14:paraId="0BE1A5A5"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F5BB277"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BDA334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Amazonas</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CEF1A6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BD44D1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A9F22C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605426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2D1E9D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A040D2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87998A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r>
      <w:tr w:rsidR="00655DDF" w14:paraId="1656BFBF"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A9C6B27"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DC7AA9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Antioquia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FE6FF4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127</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BDCEE2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5A975C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39%</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118602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39</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F2DCAF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31%</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ACFC61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18</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FF0075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14%</w:t>
            </w:r>
          </w:p>
        </w:tc>
      </w:tr>
      <w:tr w:rsidR="00655DDF" w14:paraId="4DE0C07F"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1906B0C5"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0B839C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Arauca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68C5FD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245232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1617E0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29%</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42CD90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78F303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29%</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B38C6A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C29E27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14%</w:t>
            </w:r>
          </w:p>
        </w:tc>
      </w:tr>
      <w:tr w:rsidR="00655DDF" w14:paraId="362F07E7"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245B1DC"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6C52A1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Atlántico</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EBFCF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23</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C55207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8CB7C0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161E9B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44EFA4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4E43A8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2A52FF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023139A9"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54F0096"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2D641E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Bolívar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0AAF25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46</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920C38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8F94E6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15%</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F40DE9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6A9252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202DCE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2E04E8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189199E4"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57DA6BE"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072902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Boyacá</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61123C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123</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A973E1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45</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735272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D2B211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38</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AA12BC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31%</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1827A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16</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DB6601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r>
      <w:tr w:rsidR="00655DDF" w14:paraId="69C33289"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4C98E81"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36CBA1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Caldas</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D2AD16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EB125B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D01365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63%</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28DDB4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721230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56%</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D48C7C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9</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C245AF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33%</w:t>
            </w:r>
          </w:p>
        </w:tc>
      </w:tr>
      <w:tr w:rsidR="00655DDF" w14:paraId="285C1FEA"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076AC6E"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3C1B8B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Caquetá</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9D7827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16</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BB519E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6</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DB054E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0B586B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EFE1D3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19%</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5B438D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DF5C39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5597E0C7"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71411B1D"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9BA0FD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Casanare</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1FE589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599562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68AB99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2FF6C4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9</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BEA2BD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45%</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1A0086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370487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25%</w:t>
            </w:r>
          </w:p>
        </w:tc>
      </w:tr>
      <w:tr w:rsidR="00655DDF" w14:paraId="7BD213AA"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E97284E"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7F2156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Cauca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D2BB47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0B6D48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103373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3696D4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E931D2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CD1CA7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7510FA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r>
      <w:tr w:rsidR="00655DDF" w14:paraId="5C16AD1A"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5496229"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B478D0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Cesar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2FACA2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25</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A29BD8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9</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E5937B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36%</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FBB467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E8C0F8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E3CEAB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205303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8%</w:t>
            </w:r>
          </w:p>
        </w:tc>
      </w:tr>
      <w:tr w:rsidR="00655DDF" w14:paraId="406A750B"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CFBAE76"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E60D3E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Chocó</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3AE72D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677F90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39A068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6F8E8E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60B651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E3223A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48DD67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r>
      <w:tr w:rsidR="00655DDF" w14:paraId="610167BF"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F18F598"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B92B6D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Córdoba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67C274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3FC715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695E60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17%</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FA7AF2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EF765F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40FF69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373153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r>
      <w:tr w:rsidR="00655DDF" w14:paraId="74713E52"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DF5EDE5"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EB4260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Cundinamarca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024EC4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117</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38A6AE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59</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0337EA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28E8DA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47</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1DC45D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A6FEF3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36</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33A08D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31%</w:t>
            </w:r>
          </w:p>
        </w:tc>
      </w:tr>
      <w:tr w:rsidR="00655DDF" w14:paraId="4714EDB7"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770CE6B"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DABB7A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Guainía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FB1B19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EF7274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AABA45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5CB8E1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D17F4C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B176FD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D2B096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3975711D"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8F066E4"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9A7F16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Guaviare</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AE4B53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308CCA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3A116E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5F8D17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588DDD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EB3D0A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3589C6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5E27400F"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98140DF"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EA294F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Huila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E39751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D4CBC8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3E97F7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FCB5B0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76F3BB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15282B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6</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56E93C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16%</w:t>
            </w:r>
          </w:p>
        </w:tc>
      </w:tr>
      <w:tr w:rsidR="00655DDF" w14:paraId="5365FF7B"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2D15D56"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F6769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La Guajira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E2FA01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15</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1CB4F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C58680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69C137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CA368C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3F8D05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B5CD50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r>
      <w:tr w:rsidR="00655DDF" w14:paraId="5FF0D81F"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B06EE86"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lastRenderedPageBreak/>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3F9402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Magdalena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C1FF2B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0AF0D5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69F27D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2C8DC5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EB8EE8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7A2DE5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E37DB9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r>
      <w:tr w:rsidR="00655DDF" w14:paraId="6C9216C3"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59FFF0B"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608246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Meta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1699AB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B60949B"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11</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331AE0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3EE842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050DA2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17%</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8CE126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4A4425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r>
      <w:tr w:rsidR="00655DDF" w14:paraId="139AAC64"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B802D27"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F5103D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Nariño</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20C29D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64</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7ACF5F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18</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163EF2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1DB55E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67B86D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BF0AC9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8</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B1AF0F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r>
      <w:tr w:rsidR="00655DDF" w14:paraId="61BC40E8"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FD43373"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AC6825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Norte de Santander</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C82387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ABCFB6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F04A36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FFCDD1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2B98F5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28%</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3BC14D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8</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177F34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20%</w:t>
            </w:r>
          </w:p>
        </w:tc>
      </w:tr>
      <w:tr w:rsidR="00655DDF" w14:paraId="7D4B5E5A"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E12EFE2"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7895E4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Putumayo</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BF2DE4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13</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F470A4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361817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EB04C8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C74CDE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80B0DB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B1A5C1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3B1854C7"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F6FA2E6"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8C9234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Quindío</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75C215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47783F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80F26A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58%</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84B834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3F9139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58%</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572446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BB7F3F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42%</w:t>
            </w:r>
          </w:p>
        </w:tc>
      </w:tr>
      <w:tr w:rsidR="00655DDF" w14:paraId="57E25586"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F7939A6"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8A5699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Risaralda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CD0F9A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14</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807860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3AD205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3BDAD9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7</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EB9AF2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482676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9C6BA3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29%</w:t>
            </w:r>
          </w:p>
        </w:tc>
      </w:tr>
      <w:tr w:rsidR="00655DDF" w14:paraId="3DD7240F"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0F7E074"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06A95C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San Andrés</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400289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521FF0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4415EA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AD9CFF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10CFF2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AA4E6F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33C5D6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50086179"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18F3AC8"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ECEC14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Santander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CD9AA9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87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5725A8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33</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F0756D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79C3F1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02E2BC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24%</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6524EE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15</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EA8E29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17%</w:t>
            </w:r>
          </w:p>
        </w:tc>
      </w:tr>
      <w:tr w:rsidR="00655DDF" w14:paraId="53B4963F"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C904A97"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68A6D1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Sucre</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7886E0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26</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7F154C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04D975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15%</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BB441B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D4A0A8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C81EED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FB3E71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8%</w:t>
            </w:r>
          </w:p>
        </w:tc>
      </w:tr>
      <w:tr w:rsidR="00655DDF" w14:paraId="4E377306"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51F4E0A1"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A5A4FFD"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Tolima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5BB6C0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22C67E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21</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C9B634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45%</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03BC05A"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14</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F4F33A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C7E852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CC64AFC"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6%</w:t>
            </w:r>
          </w:p>
        </w:tc>
      </w:tr>
      <w:tr w:rsidR="00655DDF" w14:paraId="49A1FCCC"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0447FFA"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EEE68A6"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Valle del Cauca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B315F1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01953A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6AA781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4CE0F8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10</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035991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24%</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33EB6E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7FCD5C7"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12%</w:t>
            </w:r>
          </w:p>
        </w:tc>
      </w:tr>
      <w:tr w:rsidR="00655DDF" w14:paraId="636E6B6C"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66BFF37"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82ACA67" w14:textId="77777777" w:rsidR="00655DDF" w:rsidRDefault="00000000">
            <w:pPr>
              <w:jc w:val="center"/>
              <w:rPr>
                <w:rFonts w:ascii="Bookman Old Style" w:eastAsia="Bookman Old Style" w:hAnsi="Bookman Old Style" w:cs="Bookman Old Style"/>
                <w:sz w:val="22"/>
                <w:szCs w:val="22"/>
                <w:vertAlign w:val="superscript"/>
              </w:rPr>
            </w:pPr>
            <w:proofErr w:type="spellStart"/>
            <w:r>
              <w:rPr>
                <w:rFonts w:ascii="Bookman Old Style" w:eastAsia="Bookman Old Style" w:hAnsi="Bookman Old Style" w:cs="Bookman Old Style"/>
                <w:color w:val="000000"/>
                <w:sz w:val="22"/>
                <w:szCs w:val="22"/>
                <w:vertAlign w:val="superscript"/>
              </w:rPr>
              <w:t>Vaupes</w:t>
            </w:r>
            <w:proofErr w:type="spellEnd"/>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CA3C10F"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3</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1324F0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20E1BF3"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2532EC4"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C35E7D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B0C5715"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375A602"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r w:rsidR="00655DDF" w14:paraId="2C365290" w14:textId="77777777">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1E1C0021"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FFFFFF"/>
                <w:sz w:val="22"/>
                <w:szCs w:val="22"/>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33DA91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Vichada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F8B91B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4</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8612D10"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30A78A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3C3A791"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0013AE"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25%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1FFE848"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17EE579" w14:textId="77777777" w:rsidR="00655DDF" w:rsidRDefault="00000000">
            <w:pPr>
              <w:jc w:val="center"/>
              <w:rPr>
                <w:rFonts w:ascii="Bookman Old Style" w:eastAsia="Bookman Old Style" w:hAnsi="Bookman Old Style" w:cs="Bookman Old Style"/>
                <w:sz w:val="22"/>
                <w:szCs w:val="22"/>
                <w:vertAlign w:val="superscript"/>
              </w:rPr>
            </w:pPr>
            <w:r>
              <w:rPr>
                <w:rFonts w:ascii="Bookman Old Style" w:eastAsia="Bookman Old Style" w:hAnsi="Bookman Old Style" w:cs="Bookman Old Style"/>
                <w:color w:val="000000"/>
                <w:sz w:val="22"/>
                <w:szCs w:val="22"/>
                <w:vertAlign w:val="superscript"/>
              </w:rPr>
              <w:t>0%</w:t>
            </w:r>
          </w:p>
        </w:tc>
      </w:tr>
    </w:tbl>
    <w:p w14:paraId="3B0A1EAD" w14:textId="77777777" w:rsidR="00655DDF" w:rsidRDefault="00655DDF">
      <w:pPr>
        <w:jc w:val="both"/>
        <w:rPr>
          <w:rFonts w:ascii="Bookman Old Style" w:eastAsia="Bookman Old Style" w:hAnsi="Bookman Old Style" w:cs="Bookman Old Style"/>
          <w:color w:val="000000"/>
          <w:sz w:val="22"/>
          <w:szCs w:val="22"/>
        </w:rPr>
      </w:pPr>
    </w:p>
    <w:p w14:paraId="0E47ADD0"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Actas y Reuniones Junta Protectora de Animales</w:t>
      </w:r>
    </w:p>
    <w:p w14:paraId="6EE3CBAB" w14:textId="77777777" w:rsidR="00655DDF" w:rsidRDefault="00655DDF">
      <w:pPr>
        <w:ind w:left="709"/>
        <w:jc w:val="center"/>
        <w:rPr>
          <w:rFonts w:ascii="Bookman Old Style" w:eastAsia="Bookman Old Style" w:hAnsi="Bookman Old Style" w:cs="Bookman Old Style"/>
          <w:color w:val="000000"/>
          <w:sz w:val="22"/>
          <w:szCs w:val="22"/>
        </w:rPr>
      </w:pPr>
    </w:p>
    <w:p w14:paraId="3409476C"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2494852F" wp14:editId="70C61C6F">
            <wp:extent cx="4659782" cy="1536192"/>
            <wp:effectExtent l="0" t="0" r="0" b="0"/>
            <wp:docPr id="102" name="Gráfico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05CE14" w14:textId="77777777" w:rsidR="00655DDF" w:rsidRDefault="00655DDF">
      <w:pPr>
        <w:ind w:left="709"/>
        <w:jc w:val="center"/>
        <w:rPr>
          <w:rFonts w:ascii="Bookman Old Style" w:eastAsia="Bookman Old Style" w:hAnsi="Bookman Old Style" w:cs="Bookman Old Style"/>
          <w:color w:val="000000"/>
          <w:sz w:val="22"/>
          <w:szCs w:val="22"/>
        </w:rPr>
      </w:pPr>
    </w:p>
    <w:p w14:paraId="70BFB8EB"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7B3DCFA6" wp14:editId="0D5400C7">
            <wp:extent cx="4991100" cy="2238375"/>
            <wp:effectExtent l="0" t="0" r="0" b="0"/>
            <wp:docPr id="106" name="Gráfico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25FF8B" w14:textId="77777777" w:rsidR="00655DDF" w:rsidRDefault="00000000">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166 municipios que reportaron que la JDA se ha reunido al menos una vez desde su conformación:</w:t>
      </w:r>
    </w:p>
    <w:p w14:paraId="7AC927D2"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1209A990"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144, esto es el 87%, anexa las actas de las últimas reuniones.</w:t>
      </w:r>
    </w:p>
    <w:p w14:paraId="17BABFF9"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114, esto es el 69% , se reunieron en el 2018.</w:t>
      </w:r>
    </w:p>
    <w:p w14:paraId="726371F2" w14:textId="77777777" w:rsidR="00655DDF" w:rsidRDefault="00655DDF">
      <w:pPr>
        <w:jc w:val="both"/>
        <w:rPr>
          <w:rFonts w:ascii="Bookman Old Style" w:eastAsia="Bookman Old Style" w:hAnsi="Bookman Old Style" w:cs="Bookman Old Style"/>
          <w:color w:val="000000"/>
          <w:sz w:val="22"/>
          <w:szCs w:val="22"/>
        </w:rPr>
      </w:pPr>
    </w:p>
    <w:p w14:paraId="6C173D7C" w14:textId="77777777" w:rsidR="00655DDF" w:rsidRDefault="00000000">
      <w:pPr>
        <w:ind w:left="1276" w:hanging="567"/>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¿La Respuesta es Completa y Satisfactoria? – Pregunta 1</w:t>
      </w:r>
    </w:p>
    <w:p w14:paraId="529E9F87"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6AAE944D" wp14:editId="467C4F26">
            <wp:extent cx="4638675" cy="2085975"/>
            <wp:effectExtent l="0" t="0" r="0" b="0"/>
            <wp:docPr id="104" name="Gráfico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5AE406"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(34%) que respondieron, solo 175 (47%) lo hicieron de manera completa y satisfactoria.</w:t>
      </w:r>
    </w:p>
    <w:p w14:paraId="7BEA75D2"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6CB6E99B"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Sin embargo, en 68 de los municipios donde la respuesta fue completa y satisfactoria no existe la JDA. En otros 25 municipios donde sí existe, la JDA no funciona.</w:t>
      </w:r>
    </w:p>
    <w:p w14:paraId="402CC3F0"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1065A5EF"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De 175 municipios del país (16%), se puede confirmar cómo está funcionando la JDA.</w:t>
      </w:r>
    </w:p>
    <w:p w14:paraId="269B69D6" w14:textId="77777777" w:rsidR="00655DDF" w:rsidRDefault="00655DDF">
      <w:pPr>
        <w:jc w:val="both"/>
        <w:rPr>
          <w:rFonts w:ascii="Bookman Old Style" w:eastAsia="Bookman Old Style" w:hAnsi="Bookman Old Style" w:cs="Bookman Old Style"/>
          <w:color w:val="000000"/>
          <w:sz w:val="22"/>
          <w:szCs w:val="22"/>
        </w:rPr>
      </w:pPr>
    </w:p>
    <w:p w14:paraId="3338106F" w14:textId="77777777" w:rsidR="00655DDF" w:rsidRDefault="00655DDF">
      <w:pPr>
        <w:jc w:val="both"/>
        <w:rPr>
          <w:rFonts w:ascii="Bookman Old Style" w:eastAsia="Bookman Old Style" w:hAnsi="Bookman Old Style" w:cs="Bookman Old Style"/>
          <w:color w:val="000000"/>
          <w:sz w:val="22"/>
          <w:szCs w:val="22"/>
        </w:rPr>
      </w:pPr>
    </w:p>
    <w:p w14:paraId="08DB3610" w14:textId="77777777" w:rsidR="00655DDF" w:rsidRDefault="00000000">
      <w:pPr>
        <w:numPr>
          <w:ilvl w:val="2"/>
          <w:numId w:val="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Pregunta 2. Gestión como alcalde (desde enero de 2016 a la fecha) para la implementación de la Ley 5ª de 1972</w:t>
      </w:r>
    </w:p>
    <w:p w14:paraId="5CB5BF14" w14:textId="77777777" w:rsidR="00655DDF" w:rsidRDefault="00655DDF">
      <w:pPr>
        <w:jc w:val="both"/>
        <w:rPr>
          <w:rFonts w:ascii="Bookman Old Style" w:eastAsia="Bookman Old Style" w:hAnsi="Bookman Old Style" w:cs="Bookman Old Style"/>
          <w:color w:val="000000"/>
          <w:sz w:val="22"/>
          <w:szCs w:val="22"/>
        </w:rPr>
      </w:pPr>
    </w:p>
    <w:p w14:paraId="4370561B"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2.A Campañas Educativas y Culturales</w:t>
      </w:r>
    </w:p>
    <w:p w14:paraId="47A41C9B" w14:textId="77777777" w:rsidR="00655DDF" w:rsidRDefault="00000000">
      <w:pPr>
        <w:ind w:left="1843" w:hanging="567"/>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29F54457" wp14:editId="414B87C9">
            <wp:extent cx="4638675" cy="1619250"/>
            <wp:effectExtent l="0" t="0" r="0" b="0"/>
            <wp:docPr id="105" name="Gráfico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EA3521" w14:textId="77777777" w:rsidR="00655DDF" w:rsidRDefault="00655DDF">
      <w:pPr>
        <w:ind w:left="1843" w:hanging="567"/>
        <w:jc w:val="center"/>
        <w:rPr>
          <w:rFonts w:ascii="Bookman Old Style" w:eastAsia="Bookman Old Style" w:hAnsi="Bookman Old Style" w:cs="Bookman Old Style"/>
          <w:b/>
          <w:color w:val="000000"/>
          <w:sz w:val="22"/>
          <w:szCs w:val="22"/>
        </w:rPr>
      </w:pPr>
    </w:p>
    <w:p w14:paraId="1D05367D" w14:textId="77777777" w:rsidR="00655DDF" w:rsidRDefault="00000000">
      <w:pPr>
        <w:ind w:left="1843" w:hanging="567"/>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lastRenderedPageBreak/>
        <w:drawing>
          <wp:inline distT="0" distB="0" distL="0" distR="0" wp14:anchorId="09A4FD1E" wp14:editId="198F2C3C">
            <wp:extent cx="4591050" cy="1733550"/>
            <wp:effectExtent l="0" t="0" r="0" b="0"/>
            <wp:docPr id="107" name="Gráfico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C082ADB"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 305 (82% ) han realizado campañas educativas y culturales, de los cuales:</w:t>
      </w:r>
    </w:p>
    <w:p w14:paraId="1060FE69"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740CB65E"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258 municipios (85%) han realizado campañas de naturaleza especifica.</w:t>
      </w:r>
    </w:p>
    <w:p w14:paraId="26BD2524"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4146AC9F"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 relación al total de los 1,101 municipios, solamente se puede confirmar que en el 28% de los municipios de Colombia se han realizado campañas y en el 23% han sido de naturaleza específica.</w:t>
      </w:r>
    </w:p>
    <w:p w14:paraId="4F5921BC" w14:textId="77777777" w:rsidR="00655DDF" w:rsidRDefault="00655DDF">
      <w:pPr>
        <w:ind w:left="1276" w:hanging="567"/>
        <w:rPr>
          <w:rFonts w:ascii="Bookman Old Style" w:eastAsia="Bookman Old Style" w:hAnsi="Bookman Old Style" w:cs="Bookman Old Style"/>
          <w:b/>
          <w:color w:val="000000"/>
          <w:sz w:val="22"/>
          <w:szCs w:val="22"/>
        </w:rPr>
      </w:pPr>
    </w:p>
    <w:p w14:paraId="296FF833"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2.A Soportes de Campañas</w:t>
      </w:r>
    </w:p>
    <w:p w14:paraId="47917A45" w14:textId="77777777" w:rsidR="00655DDF" w:rsidRDefault="00655DDF">
      <w:pPr>
        <w:ind w:left="709"/>
        <w:jc w:val="center"/>
        <w:rPr>
          <w:rFonts w:ascii="Bookman Old Style" w:eastAsia="Bookman Old Style" w:hAnsi="Bookman Old Style" w:cs="Bookman Old Style"/>
          <w:b/>
          <w:color w:val="000000"/>
          <w:sz w:val="22"/>
          <w:szCs w:val="22"/>
        </w:rPr>
      </w:pPr>
    </w:p>
    <w:p w14:paraId="330C7652" w14:textId="77777777" w:rsidR="00655DDF" w:rsidRDefault="00000000">
      <w:pPr>
        <w:ind w:left="709"/>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24A0C673" wp14:editId="46E9FCA6">
            <wp:extent cx="4410075" cy="1600200"/>
            <wp:effectExtent l="0" t="0" r="0" b="0"/>
            <wp:docPr id="108" name="Gráfico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23E5AF" w14:textId="77777777" w:rsidR="00655DDF" w:rsidRDefault="00655DDF">
      <w:pPr>
        <w:ind w:left="709"/>
        <w:jc w:val="center"/>
        <w:rPr>
          <w:rFonts w:ascii="Bookman Old Style" w:eastAsia="Bookman Old Style" w:hAnsi="Bookman Old Style" w:cs="Bookman Old Style"/>
          <w:b/>
          <w:color w:val="000000"/>
          <w:sz w:val="22"/>
          <w:szCs w:val="22"/>
        </w:rPr>
      </w:pPr>
    </w:p>
    <w:p w14:paraId="7C2F1F65" w14:textId="77777777" w:rsidR="00655DDF" w:rsidRDefault="00000000">
      <w:pPr>
        <w:ind w:left="709"/>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198E421A" wp14:editId="018A921A">
            <wp:extent cx="4714875" cy="1876425"/>
            <wp:effectExtent l="0" t="0" r="0" b="0"/>
            <wp:docPr id="109" name="Gráfico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D46812"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De los 305 municipios que han realizado campañas, en 210 (69%) se anexan soportes.</w:t>
      </w:r>
    </w:p>
    <w:p w14:paraId="0DA93E81"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30CF84AD"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 relación al total de los 1,101 municipios, solamente se tiene soporte sobre las campañas realizadas en el 19%.</w:t>
      </w:r>
    </w:p>
    <w:p w14:paraId="2421A1F6"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394F2E4A"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los 374 municipios que respondieron al derecho de petición, 218 (58%) respondieron a la pregunta sobre las campañas de manera completa y satisfactoria. </w:t>
      </w:r>
    </w:p>
    <w:p w14:paraId="2DAF9125"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435FFE20"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218 municipios del país (20%), se puede confirmar que han realizado campañas educativas y culturales.</w:t>
      </w:r>
    </w:p>
    <w:p w14:paraId="54A4E89E" w14:textId="77777777" w:rsidR="00655DDF" w:rsidRDefault="00655DDF">
      <w:pPr>
        <w:ind w:left="1276" w:hanging="567"/>
        <w:rPr>
          <w:rFonts w:ascii="Bookman Old Style" w:eastAsia="Bookman Old Style" w:hAnsi="Bookman Old Style" w:cs="Bookman Old Style"/>
          <w:b/>
          <w:color w:val="000000"/>
          <w:sz w:val="22"/>
          <w:szCs w:val="22"/>
        </w:rPr>
      </w:pPr>
    </w:p>
    <w:p w14:paraId="557CCAD1"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2.B Resoluciones para Imponer Multas a Solicitud de la JDA a los Responsables de Actos de Crueldad, Maltrato o Abandono</w:t>
      </w:r>
    </w:p>
    <w:p w14:paraId="2F7D9077" w14:textId="77777777" w:rsidR="00655DDF" w:rsidRDefault="00655DDF">
      <w:pPr>
        <w:ind w:left="1276" w:hanging="567"/>
        <w:rPr>
          <w:rFonts w:ascii="Bookman Old Style" w:eastAsia="Bookman Old Style" w:hAnsi="Bookman Old Style" w:cs="Bookman Old Style"/>
          <w:b/>
          <w:color w:val="000000"/>
          <w:sz w:val="22"/>
          <w:szCs w:val="22"/>
        </w:rPr>
      </w:pPr>
    </w:p>
    <w:p w14:paraId="7F1BE537"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3C139AD4" wp14:editId="57279760">
            <wp:extent cx="2400935" cy="2975610"/>
            <wp:effectExtent l="0" t="0" r="0" b="0"/>
            <wp:docPr id="110" name="Gráfico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Bookman Old Style" w:eastAsia="Bookman Old Style" w:hAnsi="Bookman Old Style" w:cs="Bookman Old Style"/>
          <w:b/>
          <w:noProof/>
          <w:color w:val="000000"/>
          <w:sz w:val="22"/>
          <w:szCs w:val="22"/>
        </w:rPr>
        <w:drawing>
          <wp:inline distT="0" distB="0" distL="0" distR="0" wp14:anchorId="24E71372" wp14:editId="4FE1C086">
            <wp:extent cx="2743835" cy="2975610"/>
            <wp:effectExtent l="0" t="0" r="0" b="0"/>
            <wp:docPr id="111" name="Gráfico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3573D3" w14:textId="77777777" w:rsidR="00655DDF" w:rsidRDefault="00000000">
      <w:pPr>
        <w:ind w:left="1276" w:hanging="349"/>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lastRenderedPageBreak/>
        <w:drawing>
          <wp:inline distT="0" distB="0" distL="0" distR="0" wp14:anchorId="22A3B2CB" wp14:editId="7D0ECE9D">
            <wp:extent cx="3607435" cy="2466340"/>
            <wp:effectExtent l="0" t="0" r="0" b="0"/>
            <wp:docPr id="112" name="Gráfico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A967CD"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w:t>
      </w:r>
    </w:p>
    <w:p w14:paraId="530010F1"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i) en 6 (2%) han impuesto multas,</w:t>
      </w:r>
    </w:p>
    <w:p w14:paraId="4496D5DA"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proofErr w:type="spellStart"/>
      <w:r>
        <w:rPr>
          <w:rFonts w:ascii="Bookman Old Style" w:eastAsia="Bookman Old Style" w:hAnsi="Bookman Old Style" w:cs="Bookman Old Style"/>
          <w:color w:val="000000"/>
          <w:sz w:val="22"/>
          <w:szCs w:val="22"/>
        </w:rPr>
        <w:t>ii</w:t>
      </w:r>
      <w:proofErr w:type="spellEnd"/>
      <w:r>
        <w:rPr>
          <w:rFonts w:ascii="Bookman Old Style" w:eastAsia="Bookman Old Style" w:hAnsi="Bookman Old Style" w:cs="Bookman Old Style"/>
          <w:color w:val="000000"/>
          <w:sz w:val="22"/>
          <w:szCs w:val="22"/>
        </w:rPr>
        <w:t xml:space="preserve">) en 3 se anexó la resolución y </w:t>
      </w:r>
    </w:p>
    <w:p w14:paraId="6996E00A"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proofErr w:type="spellStart"/>
      <w:r>
        <w:rPr>
          <w:rFonts w:ascii="Bookman Old Style" w:eastAsia="Bookman Old Style" w:hAnsi="Bookman Old Style" w:cs="Bookman Old Style"/>
          <w:color w:val="000000"/>
          <w:sz w:val="22"/>
          <w:szCs w:val="22"/>
        </w:rPr>
        <w:t>iii</w:t>
      </w:r>
      <w:proofErr w:type="spellEnd"/>
      <w:r>
        <w:rPr>
          <w:rFonts w:ascii="Bookman Old Style" w:eastAsia="Bookman Old Style" w:hAnsi="Bookman Old Style" w:cs="Bookman Old Style"/>
          <w:color w:val="000000"/>
          <w:sz w:val="22"/>
          <w:szCs w:val="22"/>
        </w:rPr>
        <w:t>) el 60% respondió de manera completa.</w:t>
      </w:r>
    </w:p>
    <w:p w14:paraId="5C1DC349"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7CD9B7AF"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 relación al total de los 1,101 municipios, solamente se puede confirmar que en el 1% de los municipios de Colombia se han impuesto multas.</w:t>
      </w:r>
    </w:p>
    <w:p w14:paraId="4768B18E"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16706D87"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informe de la PGN, en el 38% de los municipios hubo casos relevantes de maltrato animal, así:</w:t>
      </w:r>
    </w:p>
    <w:p w14:paraId="72269ED2"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21% fueron por negligencia simple, 11% abuso intencional y tortura, 13% brutalidad, negligencia cruel o maliciosa deliberada y 55% no informa.</w:t>
      </w:r>
    </w:p>
    <w:p w14:paraId="4EA7C2C4"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Especie maltratada: 54% equinos, 38% caninos, 5% bovinos y 3% felinos.</w:t>
      </w:r>
    </w:p>
    <w:p w14:paraId="14E7C960"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49% fueron objeto de sanción, 34% no y el 17% no informa.</w:t>
      </w:r>
    </w:p>
    <w:p w14:paraId="1B251822" w14:textId="77777777" w:rsidR="00655DDF" w:rsidRDefault="00655DDF">
      <w:pPr>
        <w:ind w:left="1276" w:hanging="567"/>
        <w:rPr>
          <w:rFonts w:ascii="Bookman Old Style" w:eastAsia="Bookman Old Style" w:hAnsi="Bookman Old Style" w:cs="Bookman Old Style"/>
          <w:b/>
          <w:color w:val="000000"/>
          <w:sz w:val="22"/>
          <w:szCs w:val="22"/>
        </w:rPr>
      </w:pPr>
    </w:p>
    <w:p w14:paraId="791B82ED" w14:textId="77777777" w:rsidR="00655DDF" w:rsidRDefault="00655DDF">
      <w:pPr>
        <w:ind w:left="1276" w:hanging="567"/>
        <w:rPr>
          <w:rFonts w:ascii="Bookman Old Style" w:eastAsia="Bookman Old Style" w:hAnsi="Bookman Old Style" w:cs="Bookman Old Style"/>
          <w:b/>
          <w:color w:val="000000"/>
          <w:sz w:val="22"/>
          <w:szCs w:val="22"/>
        </w:rPr>
      </w:pPr>
    </w:p>
    <w:p w14:paraId="2F7AAF3E"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2.C ¿Proporciona Información sobre Auxilios, Donaciones o  Ingresos Por Multas?</w:t>
      </w:r>
    </w:p>
    <w:p w14:paraId="10A19BA4" w14:textId="77777777" w:rsidR="00655DDF" w:rsidRDefault="00655DDF">
      <w:pPr>
        <w:ind w:left="1276" w:hanging="567"/>
        <w:rPr>
          <w:rFonts w:ascii="Bookman Old Style" w:eastAsia="Bookman Old Style" w:hAnsi="Bookman Old Style" w:cs="Bookman Old Style"/>
          <w:b/>
          <w:color w:val="000000"/>
          <w:sz w:val="22"/>
          <w:szCs w:val="22"/>
        </w:rPr>
      </w:pPr>
    </w:p>
    <w:p w14:paraId="22DCAC4F"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lastRenderedPageBreak/>
        <w:drawing>
          <wp:inline distT="0" distB="0" distL="0" distR="0" wp14:anchorId="3C195811" wp14:editId="335467C2">
            <wp:extent cx="2400935" cy="2767965"/>
            <wp:effectExtent l="0" t="0" r="0" b="0"/>
            <wp:docPr id="113" name="Gráfico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Bookman Old Style" w:eastAsia="Bookman Old Style" w:hAnsi="Bookman Old Style" w:cs="Bookman Old Style"/>
          <w:b/>
          <w:noProof/>
          <w:color w:val="000000"/>
          <w:sz w:val="22"/>
          <w:szCs w:val="22"/>
        </w:rPr>
        <w:drawing>
          <wp:inline distT="0" distB="0" distL="0" distR="0" wp14:anchorId="481D4050" wp14:editId="253917CD">
            <wp:extent cx="2388235" cy="2781300"/>
            <wp:effectExtent l="0" t="0" r="0" b="0"/>
            <wp:docPr id="114" name="Gráfico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CB225A" w14:textId="77777777" w:rsidR="00655DDF" w:rsidRDefault="00655DDF">
      <w:pPr>
        <w:ind w:left="1843" w:hanging="567"/>
        <w:jc w:val="center"/>
        <w:rPr>
          <w:rFonts w:ascii="Bookman Old Style" w:eastAsia="Bookman Old Style" w:hAnsi="Bookman Old Style" w:cs="Bookman Old Style"/>
          <w:b/>
          <w:color w:val="000000"/>
          <w:sz w:val="22"/>
          <w:szCs w:val="22"/>
        </w:rPr>
      </w:pPr>
    </w:p>
    <w:p w14:paraId="39F18D65" w14:textId="77777777" w:rsidR="00655DDF" w:rsidRDefault="00000000">
      <w:pPr>
        <w:ind w:left="1843" w:hanging="567"/>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1A52EC0A" wp14:editId="7A3609EE">
            <wp:extent cx="2693035" cy="2781300"/>
            <wp:effectExtent l="0" t="0" r="0" b="0"/>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2CA2619"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los 374 municipios que respondieron al derecho de petición: </w:t>
      </w:r>
    </w:p>
    <w:p w14:paraId="20244EB9"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56% (211) proporciona información sobre auxilios, donaciones o  ingresos por multas para el periodo 2012-2015.</w:t>
      </w:r>
    </w:p>
    <w:p w14:paraId="2BECC72F"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56% (211) proporciona información sobre auxilios, donaciones o  ingresos por multas para el periodo 2016-2018.</w:t>
      </w:r>
    </w:p>
    <w:p w14:paraId="35A2147E"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57% (215) proporciona información sobre auxilios, donaciones o  ingresos por multas para el periodo 2012-2018.</w:t>
      </w:r>
    </w:p>
    <w:p w14:paraId="25F8E504"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5876899E"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207 el monto recibido fue $0 en 2012-2018. </w:t>
      </w:r>
    </w:p>
    <w:p w14:paraId="568A50F5"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1350A9B0"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En Caucasia, Une, </w:t>
      </w:r>
      <w:proofErr w:type="spellStart"/>
      <w:r>
        <w:rPr>
          <w:rFonts w:ascii="Bookman Old Style" w:eastAsia="Bookman Old Style" w:hAnsi="Bookman Old Style" w:cs="Bookman Old Style"/>
          <w:color w:val="000000"/>
          <w:sz w:val="22"/>
          <w:szCs w:val="22"/>
        </w:rPr>
        <w:t>Gutierrez</w:t>
      </w:r>
      <w:proofErr w:type="spellEnd"/>
      <w:r>
        <w:rPr>
          <w:rFonts w:ascii="Bookman Old Style" w:eastAsia="Bookman Old Style" w:hAnsi="Bookman Old Style" w:cs="Bookman Old Style"/>
          <w:color w:val="000000"/>
          <w:sz w:val="22"/>
          <w:szCs w:val="22"/>
        </w:rPr>
        <w:t xml:space="preserve"> y Capitanejo se recibió $4,100,000, $3,520,000, $280,000 y $88,123, respectivamente. </w:t>
      </w:r>
    </w:p>
    <w:p w14:paraId="188A80E2" w14:textId="77777777" w:rsidR="00655DDF" w:rsidRDefault="00655DDF">
      <w:pPr>
        <w:jc w:val="both"/>
        <w:rPr>
          <w:rFonts w:ascii="Bookman Old Style" w:eastAsia="Bookman Old Style" w:hAnsi="Bookman Old Style" w:cs="Bookman Old Style"/>
          <w:color w:val="000000"/>
          <w:sz w:val="22"/>
          <w:szCs w:val="22"/>
        </w:rPr>
      </w:pPr>
    </w:p>
    <w:p w14:paraId="147F1D92"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Concepción (Antioquia), Santa Rosa de Cabal (Antioquia), Subachoque (Antioquia) y Villeta (Cundinamarca) se han recibido donaciones en especie.</w:t>
      </w:r>
    </w:p>
    <w:p w14:paraId="6B9E17BE" w14:textId="77777777" w:rsidR="00655DDF" w:rsidRDefault="00655DDF">
      <w:pPr>
        <w:jc w:val="both"/>
        <w:rPr>
          <w:rFonts w:ascii="Bookman Old Style" w:eastAsia="Bookman Old Style" w:hAnsi="Bookman Old Style" w:cs="Bookman Old Style"/>
          <w:color w:val="000000"/>
          <w:sz w:val="22"/>
          <w:szCs w:val="22"/>
        </w:rPr>
      </w:pPr>
    </w:p>
    <w:p w14:paraId="2B01CC96" w14:textId="77777777" w:rsidR="00655DDF" w:rsidRDefault="00000000">
      <w:pPr>
        <w:ind w:left="1276" w:hanging="567"/>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2.C ¿La Respuesta es Completa y Satisfactoria</w:t>
      </w:r>
    </w:p>
    <w:p w14:paraId="7F125401" w14:textId="77777777" w:rsidR="00655DDF" w:rsidRDefault="00655DDF">
      <w:pPr>
        <w:ind w:left="709"/>
        <w:jc w:val="center"/>
        <w:rPr>
          <w:rFonts w:ascii="Bookman Old Style" w:eastAsia="Bookman Old Style" w:hAnsi="Bookman Old Style" w:cs="Bookman Old Style"/>
          <w:color w:val="000000"/>
          <w:sz w:val="22"/>
          <w:szCs w:val="22"/>
        </w:rPr>
      </w:pPr>
    </w:p>
    <w:p w14:paraId="7D2DAF6F"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0627E88D" wp14:editId="44110AB7">
            <wp:extent cx="4114800" cy="1485900"/>
            <wp:effectExtent l="0" t="0" r="0" b="0"/>
            <wp:docPr id="86"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CB025F1" w14:textId="77777777" w:rsidR="00655DDF" w:rsidRDefault="00655DDF">
      <w:pPr>
        <w:ind w:left="709"/>
        <w:jc w:val="center"/>
        <w:rPr>
          <w:rFonts w:ascii="Bookman Old Style" w:eastAsia="Bookman Old Style" w:hAnsi="Bookman Old Style" w:cs="Bookman Old Style"/>
          <w:color w:val="000000"/>
          <w:sz w:val="22"/>
          <w:szCs w:val="22"/>
        </w:rPr>
      </w:pPr>
    </w:p>
    <w:p w14:paraId="6CAC68B0"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5CD4EFBC" wp14:editId="6FFDF6A8">
            <wp:extent cx="4648200" cy="1657350"/>
            <wp:effectExtent l="0" t="0" r="0" b="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D39157C"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4 municipios que reportaron información sobre auxilios, donaciones o ingresos por multas para el periodo 2012 – 2018 la mitad enviaron soportes.</w:t>
      </w:r>
    </w:p>
    <w:p w14:paraId="01F9FEF5"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6EB6A65D"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4 municipios se anexó certificación de no haber recibido dicho tipo de recursos.</w:t>
      </w:r>
    </w:p>
    <w:p w14:paraId="701921D0"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 el 59% respondió de manera completa a esta pregunta.</w:t>
      </w:r>
    </w:p>
    <w:p w14:paraId="0F332C37" w14:textId="77777777" w:rsidR="00655DDF" w:rsidRDefault="00655DDF">
      <w:pPr>
        <w:jc w:val="both"/>
        <w:rPr>
          <w:rFonts w:ascii="Bookman Old Style" w:eastAsia="Bookman Old Style" w:hAnsi="Bookman Old Style" w:cs="Bookman Old Style"/>
          <w:color w:val="000000"/>
          <w:sz w:val="22"/>
          <w:szCs w:val="22"/>
        </w:rPr>
      </w:pPr>
    </w:p>
    <w:p w14:paraId="3933F300" w14:textId="77777777" w:rsidR="00655DDF" w:rsidRDefault="00000000">
      <w:pPr>
        <w:numPr>
          <w:ilvl w:val="2"/>
          <w:numId w:val="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Pregunta 3. Aplicación Ley 1774 de 2016</w:t>
      </w:r>
    </w:p>
    <w:p w14:paraId="18FE299C" w14:textId="77777777" w:rsidR="00655DDF" w:rsidRDefault="00655DDF">
      <w:pPr>
        <w:rPr>
          <w:rFonts w:ascii="Bookman Old Style" w:eastAsia="Bookman Old Style" w:hAnsi="Bookman Old Style" w:cs="Bookman Old Style"/>
          <w:b/>
          <w:color w:val="000000"/>
          <w:sz w:val="22"/>
          <w:szCs w:val="22"/>
        </w:rPr>
      </w:pPr>
    </w:p>
    <w:p w14:paraId="698EFAA5"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Aplicación Ley 1774 de 2016</w:t>
      </w:r>
    </w:p>
    <w:p w14:paraId="2D3275E4" w14:textId="77777777" w:rsidR="00655DDF" w:rsidRDefault="00655DDF">
      <w:pPr>
        <w:ind w:left="709"/>
        <w:jc w:val="center"/>
        <w:rPr>
          <w:rFonts w:ascii="Bookman Old Style" w:eastAsia="Bookman Old Style" w:hAnsi="Bookman Old Style" w:cs="Bookman Old Style"/>
          <w:color w:val="000000"/>
          <w:sz w:val="22"/>
          <w:szCs w:val="22"/>
        </w:rPr>
      </w:pPr>
    </w:p>
    <w:p w14:paraId="03E17F87"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lastRenderedPageBreak/>
        <w:drawing>
          <wp:inline distT="0" distB="0" distL="0" distR="0" wp14:anchorId="7CEC726E" wp14:editId="15EED947">
            <wp:extent cx="4400550" cy="1990725"/>
            <wp:effectExtent l="0" t="0" r="0" b="0"/>
            <wp:docPr id="88" name="Gráfico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E60D65" w14:textId="77777777" w:rsidR="00655DDF" w:rsidRDefault="00655DDF">
      <w:pPr>
        <w:ind w:left="709"/>
        <w:jc w:val="center"/>
        <w:rPr>
          <w:rFonts w:ascii="Bookman Old Style" w:eastAsia="Bookman Old Style" w:hAnsi="Bookman Old Style" w:cs="Bookman Old Style"/>
          <w:color w:val="000000"/>
          <w:sz w:val="22"/>
          <w:szCs w:val="22"/>
        </w:rPr>
      </w:pPr>
    </w:p>
    <w:p w14:paraId="209CD41A"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07124141" wp14:editId="625E0086">
            <wp:extent cx="4610100" cy="1838325"/>
            <wp:effectExtent l="0" t="0" r="0" b="0"/>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B81BF63"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w:t>
      </w:r>
    </w:p>
    <w:p w14:paraId="7B981FEA"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58% (217) proporciona información sobre cómo ha avanzado la aplicación de la Ley 1774 de 2016.</w:t>
      </w:r>
    </w:p>
    <w:p w14:paraId="160D43E1"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43% respondió de manera completa y satisfactoria sobre la manera cómo se está llevando a cabo dicha aplicación.</w:t>
      </w:r>
    </w:p>
    <w:p w14:paraId="15F1C98F"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77CE3CFA"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 relación al total de los 1,101 municipios, solamente en el 19% se tiene información sobre cómo ha avanzado la aplicación de la Ley 1774 de 2016.</w:t>
      </w:r>
    </w:p>
    <w:p w14:paraId="3E062E58" w14:textId="77777777" w:rsidR="00655DDF" w:rsidRDefault="00655DDF">
      <w:pPr>
        <w:jc w:val="both"/>
        <w:rPr>
          <w:rFonts w:ascii="Bookman Old Style" w:eastAsia="Bookman Old Style" w:hAnsi="Bookman Old Style" w:cs="Bookman Old Style"/>
          <w:color w:val="000000"/>
          <w:sz w:val="22"/>
          <w:szCs w:val="22"/>
        </w:rPr>
      </w:pPr>
    </w:p>
    <w:p w14:paraId="0E2CB2A0" w14:textId="77777777" w:rsidR="00655DDF" w:rsidRDefault="00000000">
      <w:pPr>
        <w:numPr>
          <w:ilvl w:val="2"/>
          <w:numId w:val="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Pregunta 4. Contravenciones de la Ley 1774 de 2016</w:t>
      </w:r>
    </w:p>
    <w:p w14:paraId="63CD50A1" w14:textId="77777777" w:rsidR="00655DDF" w:rsidRDefault="00655DDF">
      <w:pPr>
        <w:jc w:val="both"/>
        <w:rPr>
          <w:rFonts w:ascii="Bookman Old Style" w:eastAsia="Bookman Old Style" w:hAnsi="Bookman Old Style" w:cs="Bookman Old Style"/>
          <w:color w:val="000000"/>
          <w:sz w:val="22"/>
          <w:szCs w:val="22"/>
        </w:rPr>
      </w:pPr>
    </w:p>
    <w:p w14:paraId="569B2CA5"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Contravenciones </w:t>
      </w:r>
    </w:p>
    <w:p w14:paraId="1A0C8EF5" w14:textId="77777777" w:rsidR="00655DDF" w:rsidRDefault="00000000">
      <w:pPr>
        <w:ind w:left="709"/>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lastRenderedPageBreak/>
        <w:drawing>
          <wp:inline distT="0" distB="0" distL="0" distR="0" wp14:anchorId="4B47116F" wp14:editId="0074B9BA">
            <wp:extent cx="4686300" cy="1838325"/>
            <wp:effectExtent l="0" t="0" r="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ED51EC0" w14:textId="77777777" w:rsidR="00655DDF" w:rsidRDefault="00655DDF">
      <w:pPr>
        <w:ind w:left="709"/>
        <w:jc w:val="center"/>
        <w:rPr>
          <w:rFonts w:ascii="Bookman Old Style" w:eastAsia="Bookman Old Style" w:hAnsi="Bookman Old Style" w:cs="Bookman Old Style"/>
          <w:b/>
          <w:color w:val="000000"/>
          <w:sz w:val="22"/>
          <w:szCs w:val="22"/>
        </w:rPr>
      </w:pPr>
    </w:p>
    <w:p w14:paraId="01098C1D" w14:textId="77777777" w:rsidR="00655DDF" w:rsidRDefault="00000000">
      <w:pPr>
        <w:ind w:left="709"/>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1905C55A" wp14:editId="0D70CAB1">
            <wp:extent cx="4810125" cy="1962150"/>
            <wp:effectExtent l="0" t="0" r="0" b="0"/>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650D846"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4685E7EC"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w:t>
      </w:r>
    </w:p>
    <w:p w14:paraId="1A1F1CA8"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5% (20) se han impuesto contravenciones. El municipio de Chía impuso 40. Envigado, El Rosal, San Bernardo y Cartago impusieron 5 cada uno.</w:t>
      </w:r>
    </w:p>
    <w:p w14:paraId="369B1D4B"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77BF8BED"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 relación al total de los 1,101 municipios, solamente se puede confirmar que en el 2% de los municipios de Colombia se han impuesto contravenciones.</w:t>
      </w:r>
    </w:p>
    <w:p w14:paraId="0A680075" w14:textId="77777777" w:rsidR="00655DDF" w:rsidRDefault="00655DDF">
      <w:pPr>
        <w:rPr>
          <w:rFonts w:ascii="Bookman Old Style" w:eastAsia="Bookman Old Style" w:hAnsi="Bookman Old Style" w:cs="Bookman Old Style"/>
          <w:b/>
          <w:color w:val="000000"/>
          <w:sz w:val="22"/>
          <w:szCs w:val="22"/>
        </w:rPr>
      </w:pPr>
    </w:p>
    <w:p w14:paraId="52E637A2"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Soportes de las contravenciones Ley 1774 de 2016</w:t>
      </w:r>
    </w:p>
    <w:p w14:paraId="64F1255B" w14:textId="77777777" w:rsidR="00655DDF" w:rsidRDefault="00000000">
      <w:pPr>
        <w:ind w:left="709"/>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3B1CA1BC" wp14:editId="547578AF">
            <wp:extent cx="4819650" cy="1609725"/>
            <wp:effectExtent l="0" t="0" r="0" b="0"/>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232F64B" w14:textId="77777777" w:rsidR="00655DDF" w:rsidRDefault="00655DDF">
      <w:pPr>
        <w:ind w:left="709"/>
        <w:rPr>
          <w:rFonts w:ascii="Bookman Old Style" w:eastAsia="Bookman Old Style" w:hAnsi="Bookman Old Style" w:cs="Bookman Old Style"/>
          <w:b/>
          <w:color w:val="000000"/>
          <w:sz w:val="22"/>
          <w:szCs w:val="22"/>
        </w:rPr>
      </w:pPr>
    </w:p>
    <w:p w14:paraId="481F53BE" w14:textId="77777777" w:rsidR="00655DDF" w:rsidRDefault="00000000">
      <w:pPr>
        <w:ind w:left="709"/>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lastRenderedPageBreak/>
        <w:drawing>
          <wp:inline distT="0" distB="0" distL="0" distR="0" wp14:anchorId="39A3A977" wp14:editId="56A9168B">
            <wp:extent cx="4781550" cy="1990725"/>
            <wp:effectExtent l="0" t="0" r="0" b="0"/>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4DC7836"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20 municipios que impusieron contravenciones:</w:t>
      </w:r>
    </w:p>
    <w:p w14:paraId="48FCA7CD"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80% (16) anexa soportes a las contravenciones impuestas durante la administración. </w:t>
      </w:r>
    </w:p>
    <w:p w14:paraId="1FBE4ACD"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62486074"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el 62% (233) dio una respuesta completa y satisfactoria.</w:t>
      </w:r>
    </w:p>
    <w:p w14:paraId="0DA93502" w14:textId="77777777" w:rsidR="00655DDF" w:rsidRDefault="00655DDF">
      <w:pPr>
        <w:jc w:val="both"/>
        <w:rPr>
          <w:rFonts w:ascii="Bookman Old Style" w:eastAsia="Bookman Old Style" w:hAnsi="Bookman Old Style" w:cs="Bookman Old Style"/>
          <w:color w:val="000000"/>
          <w:sz w:val="22"/>
          <w:szCs w:val="22"/>
        </w:rPr>
      </w:pPr>
    </w:p>
    <w:p w14:paraId="2F6352A9" w14:textId="77777777" w:rsidR="00655DDF" w:rsidRDefault="00000000">
      <w:pPr>
        <w:numPr>
          <w:ilvl w:val="2"/>
          <w:numId w:val="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Pregunta 5. Montos Recaudados por Multas y Destino desde la Entrada en Vigencia de la Ley 1774 de 2016</w:t>
      </w:r>
    </w:p>
    <w:p w14:paraId="1066FB6F" w14:textId="77777777" w:rsidR="00655DDF" w:rsidRDefault="00655DDF">
      <w:pPr>
        <w:jc w:val="both"/>
        <w:rPr>
          <w:rFonts w:ascii="Bookman Old Style" w:eastAsia="Bookman Old Style" w:hAnsi="Bookman Old Style" w:cs="Bookman Old Style"/>
          <w:color w:val="000000"/>
          <w:sz w:val="22"/>
          <w:szCs w:val="22"/>
        </w:rPr>
      </w:pPr>
    </w:p>
    <w:p w14:paraId="59C8833A"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Montos Recaudados por Multas desde la Entrada en Vigencia de la Ley 1774 de 2016</w:t>
      </w:r>
    </w:p>
    <w:p w14:paraId="7C5F20DB" w14:textId="77777777" w:rsidR="00655DDF" w:rsidRDefault="00000000">
      <w:pPr>
        <w:ind w:left="709"/>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drawing>
          <wp:inline distT="0" distB="0" distL="0" distR="0" wp14:anchorId="2FD2A3F2" wp14:editId="3EE83F66">
            <wp:extent cx="4781550" cy="1819275"/>
            <wp:effectExtent l="0" t="0" r="0" b="0"/>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87C7B20" w14:textId="77777777" w:rsidR="00655DDF" w:rsidRDefault="00655DDF">
      <w:pPr>
        <w:ind w:left="709"/>
        <w:rPr>
          <w:rFonts w:ascii="Bookman Old Style" w:eastAsia="Bookman Old Style" w:hAnsi="Bookman Old Style" w:cs="Bookman Old Style"/>
          <w:b/>
          <w:color w:val="000000"/>
          <w:sz w:val="22"/>
          <w:szCs w:val="22"/>
        </w:rPr>
      </w:pPr>
    </w:p>
    <w:p w14:paraId="0A8C6759" w14:textId="77777777" w:rsidR="00655DDF" w:rsidRDefault="00000000">
      <w:pPr>
        <w:ind w:left="709"/>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noProof/>
          <w:color w:val="000000"/>
          <w:sz w:val="22"/>
          <w:szCs w:val="22"/>
        </w:rPr>
        <w:lastRenderedPageBreak/>
        <w:drawing>
          <wp:inline distT="0" distB="0" distL="0" distR="0" wp14:anchorId="6ED506A4" wp14:editId="7D6CB291">
            <wp:extent cx="4733925" cy="1933575"/>
            <wp:effectExtent l="0" t="0" r="0" b="0"/>
            <wp:docPr id="80" name="Gráfico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7658A50"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w:t>
      </w:r>
    </w:p>
    <w:p w14:paraId="1D77F5C2"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63% (234) proporciona el monto recaudado por multas desde la Entrada en Vigencia de la Ley 1774 de 2016.</w:t>
      </w:r>
    </w:p>
    <w:p w14:paraId="1E1BCD06"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62% (231) reporta que el recaudo fue cero.</w:t>
      </w:r>
    </w:p>
    <w:p w14:paraId="2B9525D7"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1% (3) recaudaron por multas: Envigado ($8.114.000), Sonsón ($220.000) y Tuluá ($2.395.816).</w:t>
      </w:r>
    </w:p>
    <w:p w14:paraId="13D96799" w14:textId="77777777" w:rsidR="00655DDF" w:rsidRDefault="00655DDF">
      <w:pPr>
        <w:rPr>
          <w:rFonts w:ascii="Bookman Old Style" w:eastAsia="Bookman Old Style" w:hAnsi="Bookman Old Style" w:cs="Bookman Old Style"/>
          <w:b/>
          <w:color w:val="000000"/>
          <w:sz w:val="22"/>
          <w:szCs w:val="22"/>
        </w:rPr>
      </w:pPr>
    </w:p>
    <w:p w14:paraId="16681ECB"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Destinación Montos Recaudados por Multas</w:t>
      </w:r>
    </w:p>
    <w:p w14:paraId="33720CCA" w14:textId="77777777" w:rsidR="00655DDF" w:rsidRDefault="00655DDF">
      <w:pPr>
        <w:jc w:val="both"/>
        <w:rPr>
          <w:rFonts w:ascii="Bookman Old Style" w:eastAsia="Bookman Old Style" w:hAnsi="Bookman Old Style" w:cs="Bookman Old Style"/>
          <w:color w:val="000000"/>
          <w:sz w:val="22"/>
          <w:szCs w:val="22"/>
        </w:rPr>
      </w:pPr>
    </w:p>
    <w:p w14:paraId="39618051" w14:textId="77777777" w:rsidR="00655DDF" w:rsidRDefault="00000000">
      <w:pPr>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4E0B6195" wp14:editId="25AB632D">
            <wp:extent cx="2629535" cy="3058795"/>
            <wp:effectExtent l="0" t="0" r="0" b="0"/>
            <wp:docPr id="81" name="Gráfico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rFonts w:ascii="Bookman Old Style" w:eastAsia="Bookman Old Style" w:hAnsi="Bookman Old Style" w:cs="Bookman Old Style"/>
          <w:noProof/>
          <w:color w:val="000000"/>
          <w:sz w:val="22"/>
          <w:szCs w:val="22"/>
        </w:rPr>
        <w:drawing>
          <wp:inline distT="0" distB="0" distL="0" distR="0" wp14:anchorId="3B088B37" wp14:editId="51D19CF6">
            <wp:extent cx="2629535" cy="3058795"/>
            <wp:effectExtent l="0" t="0" r="0" b="0"/>
            <wp:docPr id="82" name="Gráfico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C848295" w14:textId="77777777" w:rsidR="00655DDF" w:rsidRDefault="00000000">
      <w:pPr>
        <w:ind w:left="709"/>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lastRenderedPageBreak/>
        <w:drawing>
          <wp:inline distT="0" distB="0" distL="0" distR="0" wp14:anchorId="717F7D5A" wp14:editId="42F8ECCB">
            <wp:extent cx="3251835" cy="2923540"/>
            <wp:effectExtent l="0" t="0" r="0" b="0"/>
            <wp:docPr id="83" name="Gráfico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2928232"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los 374 municipios que respondieron al derecho de petición:</w:t>
      </w:r>
    </w:p>
    <w:p w14:paraId="39997994"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ningún municipio se ha destinado fondos a la formulación, divulgación, ejecución y seguimiento de políticas de protección a los animales.</w:t>
      </w:r>
    </w:p>
    <w:p w14:paraId="4FD9EC32"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ningún municipio se ha destinado fondos a campañas de sensibilización y educación ciudadana.</w:t>
      </w:r>
    </w:p>
    <w:p w14:paraId="7647144D"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1 municipio (</w:t>
      </w:r>
      <w:proofErr w:type="spellStart"/>
      <w:r>
        <w:rPr>
          <w:rFonts w:ascii="Bookman Old Style" w:eastAsia="Bookman Old Style" w:hAnsi="Bookman Old Style" w:cs="Bookman Old Style"/>
          <w:color w:val="000000"/>
          <w:sz w:val="22"/>
          <w:szCs w:val="22"/>
        </w:rPr>
        <w:t>Tulúa</w:t>
      </w:r>
      <w:proofErr w:type="spellEnd"/>
      <w:r>
        <w:rPr>
          <w:rFonts w:ascii="Bookman Old Style" w:eastAsia="Bookman Old Style" w:hAnsi="Bookman Old Style" w:cs="Bookman Old Style"/>
          <w:color w:val="000000"/>
          <w:sz w:val="22"/>
          <w:szCs w:val="22"/>
        </w:rPr>
        <w:t>) se  ha destinado $1.250.698 a la constitución del fondo de protección animal.</w:t>
      </w:r>
    </w:p>
    <w:p w14:paraId="1FE2BB85" w14:textId="77777777" w:rsidR="00655DDF" w:rsidRDefault="00655DDF">
      <w:pPr>
        <w:jc w:val="both"/>
        <w:rPr>
          <w:rFonts w:ascii="Bookman Old Style" w:eastAsia="Bookman Old Style" w:hAnsi="Bookman Old Style" w:cs="Bookman Old Style"/>
          <w:color w:val="000000"/>
          <w:sz w:val="22"/>
          <w:szCs w:val="22"/>
        </w:rPr>
      </w:pPr>
    </w:p>
    <w:p w14:paraId="5840A638" w14:textId="77777777" w:rsidR="00655DDF" w:rsidRDefault="00000000">
      <w:pPr>
        <w:numPr>
          <w:ilvl w:val="2"/>
          <w:numId w:val="1"/>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Conclusiones</w:t>
      </w:r>
    </w:p>
    <w:p w14:paraId="4335A86E" w14:textId="77777777" w:rsidR="00655DDF" w:rsidRDefault="00655DDF">
      <w:pPr>
        <w:rPr>
          <w:rFonts w:ascii="Bookman Old Style" w:eastAsia="Bookman Old Style" w:hAnsi="Bookman Old Style" w:cs="Bookman Old Style"/>
          <w:b/>
          <w:color w:val="000000"/>
          <w:sz w:val="22"/>
          <w:szCs w:val="22"/>
        </w:rPr>
      </w:pPr>
    </w:p>
    <w:p w14:paraId="7C8B67FD"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Contestó el derecho de petición de manera:</w:t>
      </w:r>
    </w:p>
    <w:p w14:paraId="0B21418F" w14:textId="77777777" w:rsidR="00655DDF" w:rsidRDefault="00655DDF">
      <w:pPr>
        <w:ind w:left="1843" w:hanging="567"/>
        <w:jc w:val="center"/>
        <w:rPr>
          <w:rFonts w:ascii="Bookman Old Style" w:eastAsia="Bookman Old Style" w:hAnsi="Bookman Old Style" w:cs="Bookman Old Style"/>
          <w:color w:val="000000"/>
          <w:sz w:val="22"/>
          <w:szCs w:val="22"/>
        </w:rPr>
      </w:pPr>
    </w:p>
    <w:p w14:paraId="15DCCCF7" w14:textId="77777777" w:rsidR="00655DDF" w:rsidRDefault="00000000">
      <w:pPr>
        <w:ind w:left="567"/>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noProof/>
          <w:color w:val="000000"/>
          <w:sz w:val="22"/>
          <w:szCs w:val="22"/>
        </w:rPr>
        <w:drawing>
          <wp:inline distT="0" distB="0" distL="0" distR="0" wp14:anchorId="62A0EE67" wp14:editId="52E6CA45">
            <wp:extent cx="4524375" cy="1562100"/>
            <wp:effectExtent l="0" t="0" r="0" b="0"/>
            <wp:docPr id="84" name="Gráfico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2AFD42E" w14:textId="77777777" w:rsidR="00655DDF" w:rsidRDefault="00655DDF">
      <w:pPr>
        <w:ind w:left="1276" w:hanging="567"/>
        <w:rPr>
          <w:rFonts w:ascii="Bookman Old Style" w:eastAsia="Bookman Old Style" w:hAnsi="Bookman Old Style" w:cs="Bookman Old Style"/>
          <w:b/>
          <w:color w:val="000000"/>
          <w:sz w:val="22"/>
          <w:szCs w:val="22"/>
        </w:rPr>
      </w:pPr>
    </w:p>
    <w:p w14:paraId="3E6BC83F"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los 374 municipios que respondieron al derecho de petición, el 16% lo hizo de manera completa, el 79% respondió parcialmente, el 2% se encuentra en trámite y el 3% no respondió. </w:t>
      </w:r>
    </w:p>
    <w:p w14:paraId="47EDE311" w14:textId="77777777" w:rsidR="00655DDF" w:rsidRDefault="00655DDF">
      <w:pPr>
        <w:ind w:left="1276" w:hanging="567"/>
        <w:rPr>
          <w:rFonts w:ascii="Bookman Old Style" w:eastAsia="Bookman Old Style" w:hAnsi="Bookman Old Style" w:cs="Bookman Old Style"/>
          <w:b/>
          <w:color w:val="000000"/>
          <w:sz w:val="22"/>
          <w:szCs w:val="22"/>
        </w:rPr>
      </w:pPr>
    </w:p>
    <w:p w14:paraId="0C2CD646" w14:textId="77777777" w:rsidR="00655DDF" w:rsidRDefault="00000000">
      <w:pPr>
        <w:ind w:left="1276" w:hanging="567"/>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Conclusiones</w:t>
      </w:r>
    </w:p>
    <w:p w14:paraId="2F24FFC4" w14:textId="77777777" w:rsidR="00655DDF" w:rsidRDefault="00655DDF">
      <w:pPr>
        <w:rPr>
          <w:rFonts w:ascii="Bookman Old Style" w:eastAsia="Bookman Old Style" w:hAnsi="Bookman Old Style" w:cs="Bookman Old Style"/>
          <w:b/>
          <w:color w:val="000000"/>
          <w:sz w:val="22"/>
          <w:szCs w:val="22"/>
        </w:rPr>
      </w:pPr>
    </w:p>
    <w:p w14:paraId="3974CEDB"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Solamente 374 (34%) de los 1,101 municipios de Colombia respondieron al derecho de petición, el 16% lo hizo de manera completa y el 79% respondió parcialmente:</w:t>
      </w:r>
    </w:p>
    <w:p w14:paraId="51307A6E"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4BD5A3C1"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75% de los municipios existe la JDA, sin embargo, solamente en el 40% funciona actualmente.</w:t>
      </w:r>
    </w:p>
    <w:p w14:paraId="5DF7FC20"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82% de los municipios se han realizado campañas educativas, siendo el 85% de manera específica.</w:t>
      </w:r>
    </w:p>
    <w:p w14:paraId="0D904FBD" w14:textId="77777777" w:rsidR="00655DDF" w:rsidRDefault="00000000">
      <w:pPr>
        <w:numPr>
          <w:ilvl w:val="1"/>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1% de los municipios del país se han impuesto multas.</w:t>
      </w:r>
    </w:p>
    <w:p w14:paraId="744FBFA7" w14:textId="77777777" w:rsidR="00655DDF" w:rsidRDefault="00655DDF">
      <w:pPr>
        <w:pBdr>
          <w:top w:val="nil"/>
          <w:left w:val="nil"/>
          <w:bottom w:val="nil"/>
          <w:right w:val="nil"/>
          <w:between w:val="nil"/>
        </w:pBdr>
        <w:ind w:left="1647"/>
        <w:jc w:val="both"/>
        <w:rPr>
          <w:rFonts w:ascii="Bookman Old Style" w:eastAsia="Bookman Old Style" w:hAnsi="Bookman Old Style" w:cs="Bookman Old Style"/>
          <w:color w:val="000000"/>
          <w:sz w:val="22"/>
          <w:szCs w:val="22"/>
        </w:rPr>
      </w:pPr>
    </w:p>
    <w:p w14:paraId="32785A23"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19% de los municipios del país, se tiene información acerca de la implementación de la Ley 1774 de 2016.</w:t>
      </w:r>
    </w:p>
    <w:p w14:paraId="4E26BCEB" w14:textId="77777777" w:rsidR="00655DDF" w:rsidRDefault="00655DDF">
      <w:pPr>
        <w:pBdr>
          <w:top w:val="nil"/>
          <w:left w:val="nil"/>
          <w:bottom w:val="nil"/>
          <w:right w:val="nil"/>
          <w:between w:val="nil"/>
        </w:pBdr>
        <w:ind w:left="927"/>
        <w:jc w:val="both"/>
        <w:rPr>
          <w:rFonts w:ascii="Bookman Old Style" w:eastAsia="Bookman Old Style" w:hAnsi="Bookman Old Style" w:cs="Bookman Old Style"/>
          <w:color w:val="000000"/>
          <w:sz w:val="22"/>
          <w:szCs w:val="22"/>
        </w:rPr>
      </w:pPr>
    </w:p>
    <w:p w14:paraId="3F2A52CC"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2% de los municipios del país, se puede confirmar la imposición de contravenciones de la ley 1774 de 2016.</w:t>
      </w:r>
    </w:p>
    <w:p w14:paraId="55B72444" w14:textId="77777777" w:rsidR="00655DDF" w:rsidRDefault="00655DDF">
      <w:pPr>
        <w:jc w:val="both"/>
        <w:rPr>
          <w:rFonts w:ascii="Bookman Old Style" w:eastAsia="Bookman Old Style" w:hAnsi="Bookman Old Style" w:cs="Bookman Old Style"/>
          <w:color w:val="000000"/>
          <w:sz w:val="22"/>
          <w:szCs w:val="22"/>
        </w:rPr>
      </w:pPr>
    </w:p>
    <w:p w14:paraId="6DF71B78" w14:textId="77777777" w:rsidR="00655DDF" w:rsidRDefault="00000000">
      <w:pPr>
        <w:numPr>
          <w:ilvl w:val="0"/>
          <w:numId w:val="1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No se tiene información que en algún municipio se haya destinado fondos producto de multas a la formulación, divulgación, ejecución y seguimiento de políticas de protección a los animales y campañas de sensibilización y educación ciudadana.</w:t>
      </w:r>
    </w:p>
    <w:p w14:paraId="3BE5B179" w14:textId="77777777" w:rsidR="00655DDF" w:rsidRDefault="00655DDF">
      <w:pPr>
        <w:jc w:val="both"/>
        <w:rPr>
          <w:rFonts w:ascii="Bookman Old Style" w:eastAsia="Bookman Old Style" w:hAnsi="Bookman Old Style" w:cs="Bookman Old Style"/>
          <w:i/>
          <w:sz w:val="22"/>
          <w:szCs w:val="22"/>
        </w:rPr>
      </w:pPr>
    </w:p>
    <w:p w14:paraId="75D63191" w14:textId="77777777" w:rsidR="00655DDF" w:rsidRDefault="00655DDF">
      <w:pPr>
        <w:jc w:val="both"/>
        <w:rPr>
          <w:rFonts w:ascii="Bookman Old Style" w:eastAsia="Bookman Old Style" w:hAnsi="Bookman Old Style" w:cs="Bookman Old Style"/>
          <w:b/>
          <w:sz w:val="22"/>
          <w:szCs w:val="22"/>
        </w:rPr>
      </w:pPr>
    </w:p>
    <w:p w14:paraId="353873E0" w14:textId="79AE37B4" w:rsidR="00655DDF" w:rsidRDefault="009D437C">
      <w:pP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los honorables congresistas, </w:t>
      </w:r>
    </w:p>
    <w:p w14:paraId="51C216F0" w14:textId="7E35C4FE" w:rsidR="00655DDF" w:rsidRDefault="00655DDF">
      <w:pPr>
        <w:rPr>
          <w:rFonts w:ascii="Bookman Old Style" w:eastAsia="Bookman Old Style" w:hAnsi="Bookman Old Style" w:cs="Bookman Old Style"/>
          <w:sz w:val="22"/>
          <w:szCs w:val="22"/>
        </w:rPr>
      </w:pPr>
    </w:p>
    <w:p w14:paraId="1DF6E8BB" w14:textId="77777777" w:rsidR="00655DDF" w:rsidRDefault="00655DDF">
      <w:pPr>
        <w:rPr>
          <w:rFonts w:ascii="Bookman Old Style" w:eastAsia="Bookman Old Style" w:hAnsi="Bookman Old Style" w:cs="Bookman Old Style"/>
          <w:sz w:val="22"/>
          <w:szCs w:val="22"/>
        </w:rPr>
      </w:pPr>
    </w:p>
    <w:p w14:paraId="5FE40896" w14:textId="4F45544A" w:rsidR="009D437C" w:rsidRDefault="009D437C">
      <w:pPr>
        <w:rPr>
          <w:rFonts w:ascii="Bookman Old Style" w:eastAsia="Bookman Old Style" w:hAnsi="Bookman Old Style" w:cs="Bookman Old Style"/>
          <w:sz w:val="22"/>
          <w:szCs w:val="22"/>
        </w:rPr>
      </w:pPr>
    </w:p>
    <w:p w14:paraId="54EB716D" w14:textId="77777777" w:rsidR="009D437C" w:rsidRDefault="009D437C">
      <w:pPr>
        <w:rPr>
          <w:rFonts w:ascii="Bookman Old Style" w:eastAsia="Bookman Old Style" w:hAnsi="Bookman Old Style" w:cs="Bookman Old Style"/>
          <w:sz w:val="22"/>
          <w:szCs w:val="22"/>
        </w:rPr>
      </w:pPr>
    </w:p>
    <w:p w14:paraId="244B04DC" w14:textId="77777777" w:rsidR="00655DDF" w:rsidRDefault="00655DDF">
      <w:pPr>
        <w:rPr>
          <w:rFonts w:ascii="Bookman Old Style" w:eastAsia="Bookman Old Style" w:hAnsi="Bookman Old Style" w:cs="Bookman Old Style"/>
          <w:sz w:val="22"/>
          <w:szCs w:val="22"/>
        </w:rPr>
      </w:pPr>
    </w:p>
    <w:p w14:paraId="6D0624DD" w14:textId="77777777" w:rsidR="00655DDF"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JUAN CARLOS LOZADA VARGAS</w:t>
      </w:r>
    </w:p>
    <w:p w14:paraId="1FC1344A"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Bogotá</w:t>
      </w:r>
    </w:p>
    <w:p w14:paraId="51FFB40D" w14:textId="77777777" w:rsidR="00655DDF"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Partido Liberal Colombiano</w:t>
      </w:r>
    </w:p>
    <w:p w14:paraId="5C219ABC" w14:textId="19D182E5" w:rsidR="000565E9" w:rsidRPr="006B53E3" w:rsidRDefault="000565E9" w:rsidP="000565E9">
      <w:pPr>
        <w:rPr>
          <w:rFonts w:ascii="Bookman Old Style" w:eastAsia="Bookman Old Style" w:hAnsi="Bookman Old Style" w:cs="Bookman Old Style"/>
          <w:sz w:val="22"/>
          <w:szCs w:val="22"/>
        </w:rPr>
      </w:pPr>
    </w:p>
    <w:p w14:paraId="1039FE6F" w14:textId="77777777" w:rsidR="000565E9" w:rsidRDefault="000565E9" w:rsidP="000565E9">
      <w:pPr>
        <w:rPr>
          <w:rFonts w:ascii="Bookman Old Style" w:eastAsia="Bookman Old Style" w:hAnsi="Bookman Old Style" w:cs="Bookman Old Style"/>
          <w:b/>
          <w:sz w:val="22"/>
          <w:szCs w:val="22"/>
        </w:rPr>
      </w:pPr>
    </w:p>
    <w:p w14:paraId="1BE29D87" w14:textId="77777777" w:rsidR="000565E9" w:rsidRDefault="000565E9" w:rsidP="000565E9">
      <w:pPr>
        <w:rPr>
          <w:rFonts w:ascii="Bookman Old Style" w:eastAsia="Bookman Old Style" w:hAnsi="Bookman Old Style" w:cs="Bookman Old Style"/>
          <w:b/>
          <w:sz w:val="22"/>
          <w:szCs w:val="22"/>
        </w:rPr>
      </w:pPr>
    </w:p>
    <w:p w14:paraId="7E261FFB" w14:textId="77777777" w:rsidR="00655DDF" w:rsidRDefault="00655DDF">
      <w:pPr>
        <w:jc w:val="both"/>
        <w:rPr>
          <w:rFonts w:ascii="Bookman Old Style" w:eastAsia="Bookman Old Style" w:hAnsi="Bookman Old Style" w:cs="Bookman Old Style"/>
          <w:b/>
          <w:sz w:val="22"/>
          <w:szCs w:val="22"/>
        </w:rPr>
      </w:pPr>
    </w:p>
    <w:sectPr w:rsidR="00655DDF">
      <w:headerReference w:type="default" r:id="rId43"/>
      <w:footerReference w:type="default" r:id="rId4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0693" w14:textId="77777777" w:rsidR="00A9377D" w:rsidRDefault="00A9377D">
      <w:r>
        <w:separator/>
      </w:r>
    </w:p>
  </w:endnote>
  <w:endnote w:type="continuationSeparator" w:id="0">
    <w:p w14:paraId="64AEB77D" w14:textId="77777777" w:rsidR="00A9377D" w:rsidRDefault="00A9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F0C0" w14:textId="28DE4B87" w:rsidR="000565E9" w:rsidRPr="000565E9" w:rsidRDefault="000565E9">
    <w:pPr>
      <w:pStyle w:val="Piedepgina"/>
      <w:rPr>
        <w:color w:val="AEAAAA" w:themeColor="background2" w:themeShade="BF"/>
        <w:sz w:val="16"/>
        <w:szCs w:val="16"/>
        <w:lang w:val="es-ES_tradnl"/>
      </w:rPr>
    </w:pPr>
    <w:r w:rsidRPr="000565E9">
      <w:rPr>
        <w:color w:val="AEAAAA" w:themeColor="background2" w:themeShade="BF"/>
        <w:sz w:val="16"/>
        <w:szCs w:val="16"/>
        <w:lang w:val="es-ES_tradnl"/>
      </w:rPr>
      <w:t>Domésticos de compañía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A592" w14:textId="77777777" w:rsidR="00A9377D" w:rsidRDefault="00A9377D">
      <w:r>
        <w:separator/>
      </w:r>
    </w:p>
  </w:footnote>
  <w:footnote w:type="continuationSeparator" w:id="0">
    <w:p w14:paraId="2B3B4B04" w14:textId="77777777" w:rsidR="00A9377D" w:rsidRDefault="00A9377D">
      <w:r>
        <w:continuationSeparator/>
      </w:r>
    </w:p>
  </w:footnote>
  <w:footnote w:id="1">
    <w:p w14:paraId="3CE58894" w14:textId="77777777" w:rsidR="00655DDF"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https://www.elcolombiano.com/colombia/maltrato-animal-en-colombia-tiene-a-3-millones-de-perros-y-gatos-en-la-calle-LK20197268</w:t>
        </w:r>
      </w:hyperlink>
      <w:r>
        <w:rPr>
          <w:color w:val="000000"/>
          <w:sz w:val="20"/>
          <w:szCs w:val="20"/>
        </w:rPr>
        <w:t xml:space="preserve"> </w:t>
      </w:r>
    </w:p>
  </w:footnote>
  <w:footnote w:id="2">
    <w:p w14:paraId="4CB57167" w14:textId="77777777" w:rsidR="00655DDF"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https://www.semana.com/nacion/bogota/articulo/en-cundinamarca-se-impuso-la-mayor-multa-de-la-historia-de-colombia-en-contra-del-maltrato-animal-cerca-de-1000-millones/202342/</w:t>
        </w:r>
      </w:hyperlink>
      <w:r>
        <w:rPr>
          <w:color w:val="000000"/>
          <w:sz w:val="20"/>
          <w:szCs w:val="20"/>
        </w:rPr>
        <w:t xml:space="preserve"> </w:t>
      </w:r>
    </w:p>
  </w:footnote>
  <w:footnote w:id="3">
    <w:p w14:paraId="67CC5BE0" w14:textId="77777777" w:rsidR="00655DDF"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https://www.elcolombiano.com/antioquia/rescatan-perros-en-criadero-ilegal-de-sabaneta-antioquia-AE21346341</w:t>
      </w:r>
    </w:p>
  </w:footnote>
  <w:footnote w:id="4">
    <w:p w14:paraId="25ED89F3" w14:textId="77777777" w:rsidR="00655DDF"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https://www.semana.com/nacion/articulo/condenan-a-hombre-que-mantenia-en-precarias-condiciones-a-44-perros-en-un-criadero-ilegal-en-el-sur-de-bogota/202312/</w:t>
      </w:r>
    </w:p>
  </w:footnote>
  <w:footnote w:id="5">
    <w:p w14:paraId="24D2067F" w14:textId="77777777" w:rsidR="00655DDF" w:rsidRDefault="00000000">
      <w:pPr>
        <w:pBdr>
          <w:top w:val="nil"/>
          <w:left w:val="nil"/>
          <w:bottom w:val="nil"/>
          <w:right w:val="nil"/>
          <w:between w:val="nil"/>
        </w:pBdr>
        <w:rPr>
          <w:rFonts w:ascii="Bookman Old Style" w:eastAsia="Bookman Old Style" w:hAnsi="Bookman Old Style" w:cs="Bookman Old Style"/>
          <w:i/>
          <w:color w:val="000000"/>
          <w:sz w:val="16"/>
          <w:szCs w:val="16"/>
        </w:rPr>
      </w:pPr>
      <w:r>
        <w:rPr>
          <w:vertAlign w:val="superscript"/>
        </w:rPr>
        <w:footnoteRef/>
      </w:r>
      <w:r>
        <w:rPr>
          <w:rFonts w:ascii="Bookman Old Style" w:eastAsia="Bookman Old Style" w:hAnsi="Bookman Old Style" w:cs="Bookman Old Style"/>
          <w:i/>
          <w:color w:val="000000"/>
          <w:sz w:val="16"/>
          <w:szCs w:val="16"/>
        </w:rPr>
        <w:t xml:space="preserve">  Informe preventivo: “Juntas Defensoras de Animales”. Bogotá, julio de 2016. Procuraduría Delegada para</w:t>
      </w:r>
    </w:p>
    <w:p w14:paraId="284FFA19" w14:textId="77777777" w:rsidR="00655DDF" w:rsidRDefault="00000000">
      <w:pPr>
        <w:pBdr>
          <w:top w:val="nil"/>
          <w:left w:val="nil"/>
          <w:bottom w:val="nil"/>
          <w:right w:val="nil"/>
          <w:between w:val="nil"/>
        </w:pBdr>
        <w:rPr>
          <w:rFonts w:ascii="Bookman Old Style" w:eastAsia="Bookman Old Style" w:hAnsi="Bookman Old Style" w:cs="Bookman Old Style"/>
          <w:i/>
          <w:color w:val="000000"/>
          <w:sz w:val="16"/>
          <w:szCs w:val="16"/>
        </w:rPr>
      </w:pPr>
      <w:r>
        <w:rPr>
          <w:rFonts w:ascii="Bookman Old Style" w:eastAsia="Bookman Old Style" w:hAnsi="Bookman Old Style" w:cs="Bookman Old Style"/>
          <w:i/>
          <w:color w:val="000000"/>
          <w:sz w:val="16"/>
          <w:szCs w:val="16"/>
        </w:rPr>
        <w:t>Asuntos Ambientales y Agrarios- Procuraduría General de la Nación.</w:t>
      </w:r>
    </w:p>
  </w:footnote>
  <w:footnote w:id="6">
    <w:p w14:paraId="1F3A6142" w14:textId="77777777" w:rsidR="00655DDF" w:rsidRDefault="00000000">
      <w:pPr>
        <w:pBdr>
          <w:top w:val="nil"/>
          <w:left w:val="nil"/>
          <w:bottom w:val="nil"/>
          <w:right w:val="nil"/>
          <w:between w:val="nil"/>
        </w:pBdr>
        <w:tabs>
          <w:tab w:val="left" w:pos="0"/>
        </w:tabs>
        <w:rPr>
          <w:rFonts w:ascii="Bookman Old Style" w:eastAsia="Bookman Old Style" w:hAnsi="Bookman Old Style" w:cs="Bookman Old Style"/>
          <w:i/>
          <w:color w:val="000000"/>
          <w:sz w:val="16"/>
          <w:szCs w:val="16"/>
        </w:rPr>
      </w:pPr>
      <w:r>
        <w:rPr>
          <w:vertAlign w:val="superscript"/>
        </w:rPr>
        <w:footnoteRef/>
      </w:r>
      <w:r>
        <w:rPr>
          <w:rFonts w:ascii="Bookman Old Style" w:eastAsia="Bookman Old Style" w:hAnsi="Bookman Old Style" w:cs="Bookman Old Style"/>
          <w:i/>
          <w:color w:val="000000"/>
          <w:sz w:val="16"/>
          <w:szCs w:val="16"/>
        </w:rPr>
        <w:t xml:space="preserve">Artículo: “Más pantalla que bienestar animal "Echando a pique se aprende". Página Web del Concejo de Bogotá, 19 de marzo de 2019: </w:t>
      </w:r>
      <w:hyperlink r:id="rId3">
        <w:r>
          <w:rPr>
            <w:rFonts w:ascii="Bookman Old Style" w:eastAsia="Bookman Old Style" w:hAnsi="Bookman Old Style" w:cs="Bookman Old Style"/>
            <w:i/>
            <w:color w:val="0563C1"/>
            <w:sz w:val="16"/>
            <w:szCs w:val="16"/>
            <w:u w:val="single"/>
          </w:rPr>
          <w:t>http://concejodebogota.gov.co/mas-pantalla-que-bienestar-animal-echando-a-pique-se-aprende/cbogota/2019-03-19/104951.php</w:t>
        </w:r>
      </w:hyperlink>
      <w:r>
        <w:rPr>
          <w:rFonts w:ascii="Bookman Old Style" w:eastAsia="Bookman Old Style" w:hAnsi="Bookman Old Style" w:cs="Bookman Old Style"/>
          <w:i/>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AB6A" w14:textId="77777777" w:rsidR="00655DDF" w:rsidRDefault="00000000">
    <w:pPr>
      <w:jc w:val="center"/>
    </w:pPr>
    <w:r>
      <w:rPr>
        <w:noProof/>
      </w:rPr>
      <w:drawing>
        <wp:inline distT="114300" distB="114300" distL="114300" distR="114300" wp14:anchorId="5091444A" wp14:editId="6FF59F1A">
          <wp:extent cx="3487103" cy="1044719"/>
          <wp:effectExtent l="0" t="0" r="0" b="0"/>
          <wp:docPr id="12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3487103" cy="1044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361"/>
    <w:multiLevelType w:val="multilevel"/>
    <w:tmpl w:val="5AC22E02"/>
    <w:lvl w:ilvl="0">
      <w:start w:val="1"/>
      <w:numFmt w:val="lowerLetter"/>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0DA3E4D"/>
    <w:multiLevelType w:val="multilevel"/>
    <w:tmpl w:val="984E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B4117B"/>
    <w:multiLevelType w:val="multilevel"/>
    <w:tmpl w:val="A8CAE8F0"/>
    <w:lvl w:ilvl="0">
      <w:start w:val="74"/>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D336D26"/>
    <w:multiLevelType w:val="multilevel"/>
    <w:tmpl w:val="4FC80804"/>
    <w:lvl w:ilvl="0">
      <w:start w:val="79"/>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7022D6F"/>
    <w:multiLevelType w:val="multilevel"/>
    <w:tmpl w:val="5D469F60"/>
    <w:lvl w:ilvl="0">
      <w:start w:val="1"/>
      <w:numFmt w:val="lowerRoman"/>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2B7B4C50"/>
    <w:multiLevelType w:val="multilevel"/>
    <w:tmpl w:val="A4607196"/>
    <w:lvl w:ilvl="0">
      <w:start w:val="61"/>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8E86996"/>
    <w:multiLevelType w:val="multilevel"/>
    <w:tmpl w:val="EA92AC1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3B6E1919"/>
    <w:multiLevelType w:val="multilevel"/>
    <w:tmpl w:val="EDF68FF0"/>
    <w:lvl w:ilvl="0">
      <w:start w:val="78"/>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D9409ED"/>
    <w:multiLevelType w:val="multilevel"/>
    <w:tmpl w:val="EE38A37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0A4EC6"/>
    <w:multiLevelType w:val="multilevel"/>
    <w:tmpl w:val="7A186F8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41DC4F2B"/>
    <w:multiLevelType w:val="multilevel"/>
    <w:tmpl w:val="B376605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4F655FD"/>
    <w:multiLevelType w:val="multilevel"/>
    <w:tmpl w:val="2EB8D330"/>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617824"/>
    <w:multiLevelType w:val="multilevel"/>
    <w:tmpl w:val="7E8E9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9C6C31"/>
    <w:multiLevelType w:val="multilevel"/>
    <w:tmpl w:val="B28C532A"/>
    <w:lvl w:ilvl="0">
      <w:start w:val="6"/>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50E05779"/>
    <w:multiLevelType w:val="multilevel"/>
    <w:tmpl w:val="076AABA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57BC1D23"/>
    <w:multiLevelType w:val="multilevel"/>
    <w:tmpl w:val="D88285E0"/>
    <w:lvl w:ilvl="0">
      <w:start w:val="46"/>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9AD172E"/>
    <w:multiLevelType w:val="multilevel"/>
    <w:tmpl w:val="E29E66DA"/>
    <w:lvl w:ilvl="0">
      <w:start w:val="39"/>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5AB81B82"/>
    <w:multiLevelType w:val="multilevel"/>
    <w:tmpl w:val="1D8CDCF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603638F2"/>
    <w:multiLevelType w:val="multilevel"/>
    <w:tmpl w:val="BB1A686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64DA5C02"/>
    <w:multiLevelType w:val="multilevel"/>
    <w:tmpl w:val="276A853A"/>
    <w:lvl w:ilvl="0">
      <w:start w:val="32"/>
      <w:numFmt w:val="decimal"/>
      <w:lvlText w:val="%1."/>
      <w:lvlJc w:val="left"/>
      <w:pPr>
        <w:ind w:left="560" w:hanging="5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0" w15:restartNumberingAfterBreak="0">
    <w:nsid w:val="65B93031"/>
    <w:multiLevelType w:val="multilevel"/>
    <w:tmpl w:val="27B4AD9E"/>
    <w:lvl w:ilvl="0">
      <w:start w:val="62"/>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68F07BDA"/>
    <w:multiLevelType w:val="multilevel"/>
    <w:tmpl w:val="482C17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6F2BB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7F897C2B"/>
    <w:multiLevelType w:val="multilevel"/>
    <w:tmpl w:val="9334BF5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4161723">
    <w:abstractNumId w:val="8"/>
  </w:num>
  <w:num w:numId="2" w16cid:durableId="1280185126">
    <w:abstractNumId w:val="16"/>
  </w:num>
  <w:num w:numId="3" w16cid:durableId="964776729">
    <w:abstractNumId w:val="9"/>
  </w:num>
  <w:num w:numId="4" w16cid:durableId="484014304">
    <w:abstractNumId w:val="21"/>
  </w:num>
  <w:num w:numId="5" w16cid:durableId="544682993">
    <w:abstractNumId w:val="15"/>
  </w:num>
  <w:num w:numId="6" w16cid:durableId="439834585">
    <w:abstractNumId w:val="10"/>
  </w:num>
  <w:num w:numId="7" w16cid:durableId="771901698">
    <w:abstractNumId w:val="5"/>
  </w:num>
  <w:num w:numId="8" w16cid:durableId="1523129903">
    <w:abstractNumId w:val="14"/>
  </w:num>
  <w:num w:numId="9" w16cid:durableId="1606762619">
    <w:abstractNumId w:val="23"/>
  </w:num>
  <w:num w:numId="10" w16cid:durableId="910580185">
    <w:abstractNumId w:val="20"/>
  </w:num>
  <w:num w:numId="11" w16cid:durableId="1996566307">
    <w:abstractNumId w:val="18"/>
  </w:num>
  <w:num w:numId="12" w16cid:durableId="1565339187">
    <w:abstractNumId w:val="2"/>
  </w:num>
  <w:num w:numId="13" w16cid:durableId="1108886380">
    <w:abstractNumId w:val="17"/>
  </w:num>
  <w:num w:numId="14" w16cid:durableId="33235287">
    <w:abstractNumId w:val="7"/>
  </w:num>
  <w:num w:numId="15" w16cid:durableId="1812478596">
    <w:abstractNumId w:val="6"/>
  </w:num>
  <w:num w:numId="16" w16cid:durableId="769936416">
    <w:abstractNumId w:val="13"/>
  </w:num>
  <w:num w:numId="17" w16cid:durableId="1380662303">
    <w:abstractNumId w:val="3"/>
  </w:num>
  <w:num w:numId="18" w16cid:durableId="824854888">
    <w:abstractNumId w:val="4"/>
  </w:num>
  <w:num w:numId="19" w16cid:durableId="1481538672">
    <w:abstractNumId w:val="22"/>
  </w:num>
  <w:num w:numId="20" w16cid:durableId="282277113">
    <w:abstractNumId w:val="12"/>
  </w:num>
  <w:num w:numId="21" w16cid:durableId="2044554314">
    <w:abstractNumId w:val="11"/>
  </w:num>
  <w:num w:numId="22" w16cid:durableId="1443499240">
    <w:abstractNumId w:val="1"/>
  </w:num>
  <w:num w:numId="23" w16cid:durableId="82457142">
    <w:abstractNumId w:val="19"/>
  </w:num>
  <w:num w:numId="24" w16cid:durableId="189084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DF"/>
    <w:rsid w:val="000565E9"/>
    <w:rsid w:val="005D43C0"/>
    <w:rsid w:val="00655DDF"/>
    <w:rsid w:val="006B53E3"/>
    <w:rsid w:val="007639B3"/>
    <w:rsid w:val="008215A6"/>
    <w:rsid w:val="009910F3"/>
    <w:rsid w:val="009D437C"/>
    <w:rsid w:val="00A9377D"/>
    <w:rsid w:val="00B94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543E"/>
  <w15:docId w15:val="{6E629529-4D0F-7848-94C5-A32A8B56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43829"/>
    <w:pPr>
      <w:keepNext/>
      <w:keepLines/>
      <w:spacing w:before="360" w:after="80" w:line="276" w:lineRule="auto"/>
      <w:outlineLvl w:val="1"/>
    </w:pPr>
    <w:rPr>
      <w:b/>
      <w:sz w:val="36"/>
      <w:szCs w:val="36"/>
      <w:lang w:eastAsia="es-ES_tradnl"/>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4013F0"/>
    <w:pPr>
      <w:ind w:left="720"/>
      <w:contextualSpacing/>
    </w:p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4013F0"/>
  </w:style>
  <w:style w:type="paragraph" w:styleId="Sinespaciado">
    <w:name w:val="No Spacing"/>
    <w:link w:val="SinespaciadoCar"/>
    <w:uiPriority w:val="1"/>
    <w:qFormat/>
    <w:rsid w:val="009A7AD8"/>
    <w:rPr>
      <w:sz w:val="22"/>
      <w:szCs w:val="22"/>
    </w:rPr>
  </w:style>
  <w:style w:type="character" w:customStyle="1" w:styleId="SinespaciadoCar">
    <w:name w:val="Sin espaciado Car"/>
    <w:link w:val="Sinespaciado"/>
    <w:uiPriority w:val="1"/>
    <w:locked/>
    <w:rsid w:val="009A7AD8"/>
    <w:rPr>
      <w:kern w:val="0"/>
      <w:sz w:val="22"/>
      <w:szCs w:val="22"/>
    </w:rPr>
  </w:style>
  <w:style w:type="character" w:customStyle="1" w:styleId="Ttulo2Car">
    <w:name w:val="Título 2 Car"/>
    <w:basedOn w:val="Fuentedeprrafopredeter"/>
    <w:link w:val="Ttulo2"/>
    <w:rsid w:val="00443829"/>
    <w:rPr>
      <w:rFonts w:ascii="Calibri" w:eastAsia="Calibri" w:hAnsi="Calibri" w:cs="Calibri"/>
      <w:b/>
      <w:kern w:val="0"/>
      <w:sz w:val="36"/>
      <w:szCs w:val="36"/>
      <w:lang w:eastAsia="es-ES_tradnl"/>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A3554F"/>
    <w:rPr>
      <w:sz w:val="20"/>
      <w:szCs w:val="20"/>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A3554F"/>
    <w:rPr>
      <w:sz w:val="20"/>
      <w:szCs w:val="20"/>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A3554F"/>
    <w:rPr>
      <w:vertAlign w:val="superscript"/>
    </w:rPr>
  </w:style>
  <w:style w:type="character" w:styleId="Hipervnculo">
    <w:name w:val="Hyperlink"/>
    <w:basedOn w:val="Fuentedeprrafopredeter"/>
    <w:uiPriority w:val="99"/>
    <w:unhideWhenUsed/>
    <w:rsid w:val="00A3554F"/>
    <w:rPr>
      <w:color w:val="0563C1" w:themeColor="hyperlink"/>
      <w:u w:val="single"/>
    </w:rPr>
  </w:style>
  <w:style w:type="character" w:styleId="Mencinsinresolver">
    <w:name w:val="Unresolved Mention"/>
    <w:basedOn w:val="Fuentedeprrafopredeter"/>
    <w:uiPriority w:val="99"/>
    <w:semiHidden/>
    <w:unhideWhenUsed/>
    <w:rsid w:val="00FF1F35"/>
    <w:rPr>
      <w:color w:val="605E5C"/>
      <w:shd w:val="clear" w:color="auto" w:fill="E1DFDD"/>
    </w:rPr>
  </w:style>
  <w:style w:type="table" w:styleId="Tablaconcuadrcula">
    <w:name w:val="Table Grid"/>
    <w:basedOn w:val="Tablanormal"/>
    <w:uiPriority w:val="39"/>
    <w:rsid w:val="0086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0565E9"/>
    <w:pPr>
      <w:tabs>
        <w:tab w:val="center" w:pos="4419"/>
        <w:tab w:val="right" w:pos="8838"/>
      </w:tabs>
    </w:pPr>
  </w:style>
  <w:style w:type="character" w:customStyle="1" w:styleId="EncabezadoCar">
    <w:name w:val="Encabezado Car"/>
    <w:basedOn w:val="Fuentedeprrafopredeter"/>
    <w:link w:val="Encabezado"/>
    <w:uiPriority w:val="99"/>
    <w:rsid w:val="000565E9"/>
  </w:style>
  <w:style w:type="paragraph" w:styleId="Piedepgina">
    <w:name w:val="footer"/>
    <w:basedOn w:val="Normal"/>
    <w:link w:val="PiedepginaCar"/>
    <w:uiPriority w:val="99"/>
    <w:unhideWhenUsed/>
    <w:rsid w:val="000565E9"/>
    <w:pPr>
      <w:tabs>
        <w:tab w:val="center" w:pos="4419"/>
        <w:tab w:val="right" w:pos="8838"/>
      </w:tabs>
    </w:pPr>
  </w:style>
  <w:style w:type="character" w:customStyle="1" w:styleId="PiedepginaCar">
    <w:name w:val="Pie de página Car"/>
    <w:basedOn w:val="Fuentedeprrafopredeter"/>
    <w:link w:val="Piedepgina"/>
    <w:uiPriority w:val="99"/>
    <w:rsid w:val="000565E9"/>
  </w:style>
  <w:style w:type="paragraph" w:styleId="NormalWeb">
    <w:name w:val="Normal (Web)"/>
    <w:basedOn w:val="Normal"/>
    <w:uiPriority w:val="99"/>
    <w:semiHidden/>
    <w:unhideWhenUsed/>
    <w:rsid w:val="009910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5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theme" Target="theme/theme1.xml"/><Relationship Id="rId20" Type="http://schemas.openxmlformats.org/officeDocument/2006/relationships/chart" Target="charts/chart13.xml"/><Relationship Id="rId41" Type="http://schemas.openxmlformats.org/officeDocument/2006/relationships/chart" Target="charts/chart34.xml"/></Relationships>
</file>

<file path=word/_rels/footnotes.xml.rels><?xml version="1.0" encoding="UTF-8" standalone="yes"?>
<Relationships xmlns="http://schemas.openxmlformats.org/package/2006/relationships"><Relationship Id="rId3" Type="http://schemas.openxmlformats.org/officeDocument/2006/relationships/hyperlink" Target="http://concejodebogota.gov.co/mas-pantalla-que-bienestar-animal-echando-a-pique-se-aprende/cbogota/2019-03-19/104951.php" TargetMode="External"/><Relationship Id="rId2" Type="http://schemas.openxmlformats.org/officeDocument/2006/relationships/hyperlink" Target="https://www.semana.com/nacion/bogota/articulo/en-cundinamarca-se-impuso-la-mayor-multa-de-la-historia-de-colombia-en-contra-del-maltrato-animal-cerca-de-1000-millones/202342/" TargetMode="External"/><Relationship Id="rId1" Type="http://schemas.openxmlformats.org/officeDocument/2006/relationships/hyperlink" Target="https://www.elcolombiano.com/colombia/maltrato-animal-en-colombia-tiene-a-3-millones-de-perros-y-gatos-en-la-calle-LK201972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35.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juan.lozada\Downloads\Juntas%20Protectoras%20de%20Animales%20-%20VF.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autoTitleDeleted val="1"/>
    <c:plotArea>
      <c:layout>
        <c:manualLayout>
          <c:layoutTarget val="inner"/>
          <c:xMode val="edge"/>
          <c:yMode val="edge"/>
          <c:x val="7.9281390951654596E-2"/>
          <c:y val="0.119985484564172"/>
          <c:w val="0.83744929761177722"/>
          <c:h val="0.64925882076274999"/>
        </c:manualLayout>
      </c:layout>
      <c:barChart>
        <c:barDir val="col"/>
        <c:grouping val="stacked"/>
        <c:varyColors val="0"/>
        <c:ser>
          <c:idx val="0"/>
          <c:order val="0"/>
          <c:tx>
            <c:strRef>
              <c:f>'Información Recibida'!$D$1137</c:f>
              <c:strCache>
                <c:ptCount val="1"/>
                <c:pt idx="0">
                  <c:v>Nùmero de Municipios</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Recibida'!$E$1136:$F$1136</c:f>
              <c:strCache>
                <c:ptCount val="2"/>
                <c:pt idx="0">
                  <c:v>Sí</c:v>
                </c:pt>
                <c:pt idx="1">
                  <c:v>No</c:v>
                </c:pt>
              </c:strCache>
            </c:strRef>
          </c:cat>
          <c:val>
            <c:numRef>
              <c:f>'Información Recibida'!$E$1137:$F$1137</c:f>
              <c:numCache>
                <c:formatCode>General</c:formatCode>
                <c:ptCount val="2"/>
                <c:pt idx="0">
                  <c:v>374</c:v>
                </c:pt>
                <c:pt idx="1">
                  <c:v>731</c:v>
                </c:pt>
              </c:numCache>
            </c:numRef>
          </c:val>
          <c:extLst>
            <c:ext xmlns:c16="http://schemas.microsoft.com/office/drawing/2014/chart" uri="{C3380CC4-5D6E-409C-BE32-E72D297353CC}">
              <c16:uniqueId val="{00000000-5B1B-1544-9023-73BEE8AADD92}"/>
            </c:ext>
          </c:extLst>
        </c:ser>
        <c:dLbls>
          <c:showLegendKey val="0"/>
          <c:showVal val="0"/>
          <c:showCatName val="0"/>
          <c:showSerName val="0"/>
          <c:showPercent val="0"/>
          <c:showBubbleSize val="0"/>
        </c:dLbls>
        <c:gapWidth val="219"/>
        <c:overlap val="100"/>
        <c:axId val="144738944"/>
        <c:axId val="144793984"/>
      </c:barChart>
      <c:lineChart>
        <c:grouping val="standard"/>
        <c:varyColors val="0"/>
        <c:ser>
          <c:idx val="1"/>
          <c:order val="1"/>
          <c:tx>
            <c:strRef>
              <c:f>'Información Recibida'!$D$1138</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Recibida'!$E$1138:$F$1138</c:f>
              <c:numCache>
                <c:formatCode>0%</c:formatCode>
                <c:ptCount val="2"/>
                <c:pt idx="0">
                  <c:v>0.33846153846153793</c:v>
                </c:pt>
                <c:pt idx="1">
                  <c:v>0.66153846153846207</c:v>
                </c:pt>
              </c:numCache>
            </c:numRef>
          </c:val>
          <c:smooth val="0"/>
          <c:extLst>
            <c:ext xmlns:c16="http://schemas.microsoft.com/office/drawing/2014/chart" uri="{C3380CC4-5D6E-409C-BE32-E72D297353CC}">
              <c16:uniqueId val="{00000001-5B1B-1544-9023-73BEE8AADD92}"/>
            </c:ext>
          </c:extLst>
        </c:ser>
        <c:dLbls>
          <c:showLegendKey val="0"/>
          <c:showVal val="0"/>
          <c:showCatName val="0"/>
          <c:showSerName val="0"/>
          <c:showPercent val="0"/>
          <c:showBubbleSize val="0"/>
        </c:dLbls>
        <c:marker val="1"/>
        <c:smooth val="0"/>
        <c:axId val="144797056"/>
        <c:axId val="144795520"/>
      </c:lineChart>
      <c:catAx>
        <c:axId val="14473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4793984"/>
        <c:crosses val="autoZero"/>
        <c:auto val="1"/>
        <c:lblAlgn val="ctr"/>
        <c:lblOffset val="100"/>
        <c:noMultiLvlLbl val="0"/>
      </c:catAx>
      <c:valAx>
        <c:axId val="144793984"/>
        <c:scaling>
          <c:orientation val="minMax"/>
          <c:max val="110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4738944"/>
        <c:crosses val="autoZero"/>
        <c:crossBetween val="between"/>
        <c:majorUnit val="100"/>
      </c:valAx>
      <c:valAx>
        <c:axId val="144795520"/>
        <c:scaling>
          <c:orientation val="minMax"/>
          <c:max val="1"/>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4797056"/>
        <c:crosses val="max"/>
        <c:crossBetween val="between"/>
      </c:valAx>
      <c:catAx>
        <c:axId val="144797056"/>
        <c:scaling>
          <c:orientation val="minMax"/>
        </c:scaling>
        <c:delete val="1"/>
        <c:axPos val="b"/>
        <c:numFmt formatCode="General" sourceLinked="1"/>
        <c:majorTickMark val="out"/>
        <c:minorTickMark val="none"/>
        <c:tickLblPos val="none"/>
        <c:crossAx val="144795520"/>
        <c:crosses val="autoZero"/>
        <c:auto val="1"/>
        <c:lblAlgn val="ctr"/>
        <c:lblOffset val="100"/>
        <c:noMultiLvlLbl val="0"/>
      </c:cat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legendEntry>
      <c:layout>
        <c:manualLayout>
          <c:xMode val="edge"/>
          <c:yMode val="edge"/>
          <c:x val="0.22400915287399903"/>
          <c:y val="0.89328499887264179"/>
          <c:w val="0.56236592300962396"/>
          <c:h val="9.39887761743893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Recibida'!$D$1272</c:f>
          <c:strCache>
            <c:ptCount val="1"/>
            <c:pt idx="0">
              <c:v>Fecha Última Reunión JPA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40825713047072687"/>
        </c:manualLayout>
      </c:layout>
      <c:barChart>
        <c:barDir val="col"/>
        <c:grouping val="stacked"/>
        <c:varyColors val="0"/>
        <c:ser>
          <c:idx val="0"/>
          <c:order val="0"/>
          <c:tx>
            <c:strRef>
              <c:f>'Información Recibida'!$F$1265</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Recibida'!$F$1283:$F$1289</c:f>
              <c:strCache>
                <c:ptCount val="7"/>
                <c:pt idx="0">
                  <c:v>No Responde</c:v>
                </c:pt>
                <c:pt idx="1">
                  <c:v>Anterior 4T 2017</c:v>
                </c:pt>
                <c:pt idx="2">
                  <c:v>4T 2017</c:v>
                </c:pt>
                <c:pt idx="3">
                  <c:v>1T 2018</c:v>
                </c:pt>
                <c:pt idx="4">
                  <c:v>2T 2018</c:v>
                </c:pt>
                <c:pt idx="5">
                  <c:v>3T 2018</c:v>
                </c:pt>
                <c:pt idx="6">
                  <c:v>4T 2018</c:v>
                </c:pt>
              </c:strCache>
            </c:strRef>
          </c:cat>
          <c:val>
            <c:numRef>
              <c:f>'Información Recibida'!$G$1283:$G$1289</c:f>
              <c:numCache>
                <c:formatCode>General</c:formatCode>
                <c:ptCount val="7"/>
                <c:pt idx="0">
                  <c:v>14</c:v>
                </c:pt>
                <c:pt idx="1">
                  <c:v>38</c:v>
                </c:pt>
                <c:pt idx="2">
                  <c:v>2</c:v>
                </c:pt>
                <c:pt idx="3">
                  <c:v>16</c:v>
                </c:pt>
                <c:pt idx="4">
                  <c:v>26</c:v>
                </c:pt>
                <c:pt idx="5">
                  <c:v>58</c:v>
                </c:pt>
                <c:pt idx="6">
                  <c:v>12</c:v>
                </c:pt>
              </c:numCache>
            </c:numRef>
          </c:val>
          <c:extLst>
            <c:ext xmlns:c16="http://schemas.microsoft.com/office/drawing/2014/chart" uri="{C3380CC4-5D6E-409C-BE32-E72D297353CC}">
              <c16:uniqueId val="{00000000-DA68-F14B-899B-CD281D46DFB1}"/>
            </c:ext>
          </c:extLst>
        </c:ser>
        <c:dLbls>
          <c:showLegendKey val="0"/>
          <c:showVal val="0"/>
          <c:showCatName val="0"/>
          <c:showSerName val="0"/>
          <c:showPercent val="0"/>
          <c:showBubbleSize val="0"/>
        </c:dLbls>
        <c:gapWidth val="219"/>
        <c:overlap val="100"/>
        <c:axId val="148408576"/>
        <c:axId val="148418944"/>
      </c:barChart>
      <c:lineChart>
        <c:grouping val="standard"/>
        <c:varyColors val="0"/>
        <c:ser>
          <c:idx val="1"/>
          <c:order val="1"/>
          <c:tx>
            <c:strRef>
              <c:f>'Información Recibida'!$H$1283</c:f>
              <c:strCache>
                <c:ptCount val="1"/>
                <c:pt idx="0">
                  <c:v>8%</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Recibida'!$H$1283:$H$1289</c:f>
              <c:numCache>
                <c:formatCode>0%</c:formatCode>
                <c:ptCount val="7"/>
                <c:pt idx="0">
                  <c:v>8.4337349397590425E-2</c:v>
                </c:pt>
                <c:pt idx="1">
                  <c:v>0.22891566265060201</c:v>
                </c:pt>
                <c:pt idx="2">
                  <c:v>1.2048192771084298E-2</c:v>
                </c:pt>
                <c:pt idx="3">
                  <c:v>9.6385542168674718E-2</c:v>
                </c:pt>
                <c:pt idx="4">
                  <c:v>0.156626506024096</c:v>
                </c:pt>
                <c:pt idx="5">
                  <c:v>0.34939759036144608</c:v>
                </c:pt>
                <c:pt idx="6">
                  <c:v>7.2289156626505979E-2</c:v>
                </c:pt>
              </c:numCache>
            </c:numRef>
          </c:val>
          <c:smooth val="0"/>
          <c:extLst>
            <c:ext xmlns:c16="http://schemas.microsoft.com/office/drawing/2014/chart" uri="{C3380CC4-5D6E-409C-BE32-E72D297353CC}">
              <c16:uniqueId val="{00000001-DA68-F14B-899B-CD281D46DFB1}"/>
            </c:ext>
          </c:extLst>
        </c:ser>
        <c:dLbls>
          <c:showLegendKey val="0"/>
          <c:showVal val="0"/>
          <c:showCatName val="0"/>
          <c:showSerName val="0"/>
          <c:showPercent val="0"/>
          <c:showBubbleSize val="0"/>
        </c:dLbls>
        <c:marker val="1"/>
        <c:smooth val="0"/>
        <c:axId val="148422016"/>
        <c:axId val="148420480"/>
      </c:lineChart>
      <c:catAx>
        <c:axId val="148408576"/>
        <c:scaling>
          <c:orientation val="minMax"/>
        </c:scaling>
        <c:delete val="0"/>
        <c:axPos val="b"/>
        <c:title>
          <c:tx>
            <c:rich>
              <a:bodyPr rot="0" vert="horz"/>
              <a:lstStyle/>
              <a:p>
                <a:pPr>
                  <a:defRPr/>
                </a:pPr>
                <a:r>
                  <a:rPr lang="es-ES"/>
                  <a:t># Municipios </a:t>
                </a:r>
              </a:p>
            </c:rich>
          </c:tx>
          <c:layout>
            <c:manualLayout>
              <c:xMode val="edge"/>
              <c:yMode val="edge"/>
              <c:x val="1.3136176571434599E-3"/>
              <c:y val="0.104420216000480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418944"/>
        <c:crosses val="autoZero"/>
        <c:auto val="1"/>
        <c:lblAlgn val="ctr"/>
        <c:lblOffset val="100"/>
        <c:noMultiLvlLbl val="0"/>
      </c:catAx>
      <c:valAx>
        <c:axId val="148418944"/>
        <c:scaling>
          <c:orientation val="minMax"/>
          <c:max val="1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408576"/>
        <c:crosses val="autoZero"/>
        <c:crossBetween val="between"/>
      </c:valAx>
      <c:valAx>
        <c:axId val="148420480"/>
        <c:scaling>
          <c:orientation val="minMax"/>
          <c:max val="0.70000000000000007"/>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422016"/>
        <c:crosses val="max"/>
        <c:crossBetween val="between"/>
      </c:valAx>
      <c:catAx>
        <c:axId val="148422016"/>
        <c:scaling>
          <c:orientation val="minMax"/>
        </c:scaling>
        <c:delete val="1"/>
        <c:axPos val="b"/>
        <c:title>
          <c:tx>
            <c:rich>
              <a:bodyPr rot="0" vert="horz"/>
              <a:lstStyle/>
              <a:p>
                <a:pPr>
                  <a:defRPr/>
                </a:pPr>
                <a:r>
                  <a:rPr lang="es-ES"/>
                  <a:t>Trimestre del Año</a:t>
                </a:r>
              </a:p>
            </c:rich>
          </c:tx>
          <c:overlay val="0"/>
          <c:spPr>
            <a:noFill/>
            <a:ln>
              <a:noFill/>
            </a:ln>
            <a:effectLst/>
          </c:spPr>
        </c:title>
        <c:numFmt formatCode="General" sourceLinked="1"/>
        <c:majorTickMark val="out"/>
        <c:minorTickMark val="none"/>
        <c:tickLblPos val="none"/>
        <c:crossAx val="14842048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autoTitleDeleted val="1"/>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Recibida'!$F$1297</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Recibida'!$E$1298:$E$1300</c:f>
              <c:strCache>
                <c:ptCount val="3"/>
                <c:pt idx="0">
                  <c:v>Completo</c:v>
                </c:pt>
                <c:pt idx="1">
                  <c:v>Parcial</c:v>
                </c:pt>
                <c:pt idx="2">
                  <c:v>No</c:v>
                </c:pt>
              </c:strCache>
            </c:strRef>
          </c:cat>
          <c:val>
            <c:numRef>
              <c:f>'Información Recibida'!$F$1298:$F$1300</c:f>
              <c:numCache>
                <c:formatCode>General</c:formatCode>
                <c:ptCount val="3"/>
                <c:pt idx="0">
                  <c:v>175</c:v>
                </c:pt>
                <c:pt idx="1">
                  <c:v>174</c:v>
                </c:pt>
                <c:pt idx="2">
                  <c:v>25</c:v>
                </c:pt>
              </c:numCache>
            </c:numRef>
          </c:val>
          <c:extLst>
            <c:ext xmlns:c16="http://schemas.microsoft.com/office/drawing/2014/chart" uri="{C3380CC4-5D6E-409C-BE32-E72D297353CC}">
              <c16:uniqueId val="{00000000-9EE0-A24A-B095-31C85078DD5A}"/>
            </c:ext>
          </c:extLst>
        </c:ser>
        <c:dLbls>
          <c:showLegendKey val="0"/>
          <c:showVal val="0"/>
          <c:showCatName val="0"/>
          <c:showSerName val="0"/>
          <c:showPercent val="0"/>
          <c:showBubbleSize val="0"/>
        </c:dLbls>
        <c:gapWidth val="219"/>
        <c:overlap val="100"/>
        <c:axId val="144415360"/>
        <c:axId val="144425728"/>
      </c:barChart>
      <c:lineChart>
        <c:grouping val="standard"/>
        <c:varyColors val="0"/>
        <c:ser>
          <c:idx val="1"/>
          <c:order val="1"/>
          <c:tx>
            <c:strRef>
              <c:f>'Información Recibida'!$G$1297</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Recibida'!$G$1298:$G$1300</c:f>
              <c:numCache>
                <c:formatCode>0%</c:formatCode>
                <c:ptCount val="3"/>
                <c:pt idx="0">
                  <c:v>0.46791443850267406</c:v>
                </c:pt>
                <c:pt idx="1">
                  <c:v>0.46524064171122992</c:v>
                </c:pt>
                <c:pt idx="2">
                  <c:v>6.6844919786096302E-2</c:v>
                </c:pt>
              </c:numCache>
            </c:numRef>
          </c:val>
          <c:smooth val="0"/>
          <c:extLst>
            <c:ext xmlns:c16="http://schemas.microsoft.com/office/drawing/2014/chart" uri="{C3380CC4-5D6E-409C-BE32-E72D297353CC}">
              <c16:uniqueId val="{00000001-9EE0-A24A-B095-31C85078DD5A}"/>
            </c:ext>
          </c:extLst>
        </c:ser>
        <c:dLbls>
          <c:showLegendKey val="0"/>
          <c:showVal val="0"/>
          <c:showCatName val="0"/>
          <c:showSerName val="0"/>
          <c:showPercent val="0"/>
          <c:showBubbleSize val="0"/>
        </c:dLbls>
        <c:marker val="1"/>
        <c:smooth val="0"/>
        <c:axId val="144437248"/>
        <c:axId val="144427264"/>
      </c:lineChart>
      <c:catAx>
        <c:axId val="144415360"/>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4425728"/>
        <c:crosses val="autoZero"/>
        <c:auto val="1"/>
        <c:lblAlgn val="ctr"/>
        <c:lblOffset val="100"/>
        <c:noMultiLvlLbl val="0"/>
      </c:catAx>
      <c:valAx>
        <c:axId val="144425728"/>
        <c:scaling>
          <c:orientation val="minMax"/>
          <c:max val="3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4415360"/>
        <c:crosses val="autoZero"/>
        <c:crossBetween val="between"/>
        <c:majorUnit val="76"/>
      </c:valAx>
      <c:valAx>
        <c:axId val="144427264"/>
        <c:scaling>
          <c:orientation val="minMax"/>
          <c:max val="0.9"/>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4437248"/>
        <c:crosses val="max"/>
        <c:crossBetween val="between"/>
      </c:valAx>
      <c:catAx>
        <c:axId val="144437248"/>
        <c:scaling>
          <c:orientation val="minMax"/>
        </c:scaling>
        <c:delete val="1"/>
        <c:axPos val="b"/>
        <c:numFmt formatCode="General" sourceLinked="1"/>
        <c:majorTickMark val="out"/>
        <c:minorTickMark val="none"/>
        <c:tickLblPos val="none"/>
        <c:crossAx val="14442726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Recibida'!$D$1313</c:f>
          <c:strCache>
            <c:ptCount val="1"/>
            <c:pt idx="0">
              <c:v>¿Ha Realizado Campañas? </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Recibida'!$E$1315:$E$1317</c:f>
              <c:strCache>
                <c:ptCount val="3"/>
                <c:pt idx="0">
                  <c:v>Sí</c:v>
                </c:pt>
                <c:pt idx="1">
                  <c:v>No</c:v>
                </c:pt>
                <c:pt idx="2">
                  <c:v>No Responde</c:v>
                </c:pt>
              </c:strCache>
            </c:strRef>
          </c:cat>
          <c:val>
            <c:numRef>
              <c:f>'Información Recibida'!$F$1315:$F$1317</c:f>
              <c:numCache>
                <c:formatCode>General</c:formatCode>
                <c:ptCount val="3"/>
                <c:pt idx="0">
                  <c:v>305</c:v>
                </c:pt>
                <c:pt idx="1">
                  <c:v>34</c:v>
                </c:pt>
                <c:pt idx="2">
                  <c:v>35</c:v>
                </c:pt>
              </c:numCache>
            </c:numRef>
          </c:val>
          <c:extLst>
            <c:ext xmlns:c16="http://schemas.microsoft.com/office/drawing/2014/chart" uri="{C3380CC4-5D6E-409C-BE32-E72D297353CC}">
              <c16:uniqueId val="{00000000-BB4E-4645-A15B-D005A5F75B2A}"/>
            </c:ext>
          </c:extLst>
        </c:ser>
        <c:dLbls>
          <c:showLegendKey val="0"/>
          <c:showVal val="0"/>
          <c:showCatName val="0"/>
          <c:showSerName val="0"/>
          <c:showPercent val="0"/>
          <c:showBubbleSize val="0"/>
        </c:dLbls>
        <c:gapWidth val="219"/>
        <c:overlap val="100"/>
        <c:axId val="148482304"/>
        <c:axId val="148492672"/>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Recibida'!$G$1315:$G$1317</c:f>
              <c:numCache>
                <c:formatCode>0%</c:formatCode>
                <c:ptCount val="3"/>
                <c:pt idx="0">
                  <c:v>0.81550802139037404</c:v>
                </c:pt>
                <c:pt idx="1">
                  <c:v>9.0909090909090912E-2</c:v>
                </c:pt>
                <c:pt idx="2">
                  <c:v>9.3582887700534689E-2</c:v>
                </c:pt>
              </c:numCache>
            </c:numRef>
          </c:val>
          <c:smooth val="0"/>
          <c:extLst>
            <c:ext xmlns:c16="http://schemas.microsoft.com/office/drawing/2014/chart" uri="{C3380CC4-5D6E-409C-BE32-E72D297353CC}">
              <c16:uniqueId val="{00000001-BB4E-4645-A15B-D005A5F75B2A}"/>
            </c:ext>
          </c:extLst>
        </c:ser>
        <c:dLbls>
          <c:showLegendKey val="0"/>
          <c:showVal val="0"/>
          <c:showCatName val="0"/>
          <c:showSerName val="0"/>
          <c:showPercent val="0"/>
          <c:showBubbleSize val="0"/>
        </c:dLbls>
        <c:marker val="1"/>
        <c:smooth val="0"/>
        <c:axId val="148495744"/>
        <c:axId val="148494208"/>
      </c:lineChart>
      <c:catAx>
        <c:axId val="148482304"/>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492672"/>
        <c:crosses val="autoZero"/>
        <c:auto val="1"/>
        <c:lblAlgn val="ctr"/>
        <c:lblOffset val="100"/>
        <c:noMultiLvlLbl val="0"/>
      </c:catAx>
      <c:valAx>
        <c:axId val="148492672"/>
        <c:scaling>
          <c:orientation val="minMax"/>
          <c:max val="3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482304"/>
        <c:crosses val="autoZero"/>
        <c:crossBetween val="between"/>
        <c:majorUnit val="76"/>
      </c:valAx>
      <c:valAx>
        <c:axId val="148494208"/>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495744"/>
        <c:crosses val="max"/>
        <c:crossBetween val="between"/>
      </c:valAx>
      <c:catAx>
        <c:axId val="148495744"/>
        <c:scaling>
          <c:orientation val="minMax"/>
        </c:scaling>
        <c:delete val="1"/>
        <c:axPos val="b"/>
        <c:numFmt formatCode="General" sourceLinked="1"/>
        <c:majorTickMark val="out"/>
        <c:minorTickMark val="none"/>
        <c:tickLblPos val="none"/>
        <c:crossAx val="14849420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Recibida'!$D$1329</c:f>
          <c:strCache>
            <c:ptCount val="1"/>
            <c:pt idx="0">
              <c:v>¿Las Campañas Son de Naturaleza Especifica?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Recibida'!$E$1332:$E$1333</c:f>
              <c:strCache>
                <c:ptCount val="2"/>
                <c:pt idx="0">
                  <c:v>Sí</c:v>
                </c:pt>
                <c:pt idx="1">
                  <c:v>No</c:v>
                </c:pt>
              </c:strCache>
            </c:strRef>
          </c:cat>
          <c:val>
            <c:numRef>
              <c:f>'Información Recibida'!$F$1332:$F$1333</c:f>
              <c:numCache>
                <c:formatCode>General</c:formatCode>
                <c:ptCount val="2"/>
                <c:pt idx="0">
                  <c:v>258</c:v>
                </c:pt>
                <c:pt idx="1">
                  <c:v>47</c:v>
                </c:pt>
              </c:numCache>
            </c:numRef>
          </c:val>
          <c:extLst>
            <c:ext xmlns:c16="http://schemas.microsoft.com/office/drawing/2014/chart" uri="{C3380CC4-5D6E-409C-BE32-E72D297353CC}">
              <c16:uniqueId val="{00000000-A137-354A-B902-91925EDA17AB}"/>
            </c:ext>
          </c:extLst>
        </c:ser>
        <c:dLbls>
          <c:showLegendKey val="0"/>
          <c:showVal val="0"/>
          <c:showCatName val="0"/>
          <c:showSerName val="0"/>
          <c:showPercent val="0"/>
          <c:showBubbleSize val="0"/>
        </c:dLbls>
        <c:gapWidth val="219"/>
        <c:overlap val="100"/>
        <c:axId val="148543744"/>
        <c:axId val="148562304"/>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Recibida'!$G$1332:$G$1333</c:f>
              <c:numCache>
                <c:formatCode>0%</c:formatCode>
                <c:ptCount val="2"/>
                <c:pt idx="0">
                  <c:v>0.8459016393442621</c:v>
                </c:pt>
                <c:pt idx="1">
                  <c:v>0.15409836065573804</c:v>
                </c:pt>
              </c:numCache>
            </c:numRef>
          </c:val>
          <c:smooth val="0"/>
          <c:extLst>
            <c:ext xmlns:c16="http://schemas.microsoft.com/office/drawing/2014/chart" uri="{C3380CC4-5D6E-409C-BE32-E72D297353CC}">
              <c16:uniqueId val="{00000001-A137-354A-B902-91925EDA17AB}"/>
            </c:ext>
          </c:extLst>
        </c:ser>
        <c:dLbls>
          <c:showLegendKey val="0"/>
          <c:showVal val="0"/>
          <c:showCatName val="0"/>
          <c:showSerName val="0"/>
          <c:showPercent val="0"/>
          <c:showBubbleSize val="0"/>
        </c:dLbls>
        <c:marker val="1"/>
        <c:smooth val="0"/>
        <c:axId val="148565376"/>
        <c:axId val="148563840"/>
      </c:lineChart>
      <c:catAx>
        <c:axId val="148543744"/>
        <c:scaling>
          <c:orientation val="minMax"/>
        </c:scaling>
        <c:delete val="0"/>
        <c:axPos val="b"/>
        <c:title>
          <c:tx>
            <c:rich>
              <a:bodyPr rot="0" vert="horz"/>
              <a:lstStyle/>
              <a:p>
                <a:pPr>
                  <a:defRPr/>
                </a:pPr>
                <a:r>
                  <a:rPr lang="es-ES"/>
                  <a:t># Municipios</a:t>
                </a:r>
              </a:p>
            </c:rich>
          </c:tx>
          <c:layout>
            <c:manualLayout>
              <c:xMode val="edge"/>
              <c:yMode val="edge"/>
              <c:x val="1.3137205482433799E-3"/>
              <c:y val="0.111320630457602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562304"/>
        <c:crosses val="autoZero"/>
        <c:auto val="1"/>
        <c:lblAlgn val="ctr"/>
        <c:lblOffset val="100"/>
        <c:noMultiLvlLbl val="0"/>
      </c:catAx>
      <c:valAx>
        <c:axId val="148562304"/>
        <c:scaling>
          <c:orientation val="minMax"/>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543744"/>
        <c:crosses val="autoZero"/>
        <c:crossBetween val="between"/>
      </c:valAx>
      <c:valAx>
        <c:axId val="148563840"/>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565376"/>
        <c:crosses val="max"/>
        <c:crossBetween val="between"/>
      </c:valAx>
      <c:catAx>
        <c:axId val="148565376"/>
        <c:scaling>
          <c:orientation val="minMax"/>
        </c:scaling>
        <c:delete val="1"/>
        <c:axPos val="b"/>
        <c:numFmt formatCode="General" sourceLinked="1"/>
        <c:majorTickMark val="out"/>
        <c:minorTickMark val="none"/>
        <c:tickLblPos val="none"/>
        <c:crossAx val="14856384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Recibida'!$D$1339</c:f>
          <c:strCache>
            <c:ptCount val="1"/>
            <c:pt idx="0">
              <c:v>¿Anexa Soportes de las Campañas?</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Recibida'!$E$1341:$E$1342</c:f>
              <c:strCache>
                <c:ptCount val="2"/>
                <c:pt idx="0">
                  <c:v>Sí</c:v>
                </c:pt>
                <c:pt idx="1">
                  <c:v>No</c:v>
                </c:pt>
              </c:strCache>
            </c:strRef>
          </c:cat>
          <c:val>
            <c:numRef>
              <c:f>'Información Recibida'!$F$1341:$F$1342</c:f>
              <c:numCache>
                <c:formatCode>General</c:formatCode>
                <c:ptCount val="2"/>
                <c:pt idx="0">
                  <c:v>210</c:v>
                </c:pt>
                <c:pt idx="1">
                  <c:v>95</c:v>
                </c:pt>
              </c:numCache>
            </c:numRef>
          </c:val>
          <c:extLst>
            <c:ext xmlns:c16="http://schemas.microsoft.com/office/drawing/2014/chart" uri="{C3380CC4-5D6E-409C-BE32-E72D297353CC}">
              <c16:uniqueId val="{00000000-D16A-F545-92D7-CB07FFB02B2E}"/>
            </c:ext>
          </c:extLst>
        </c:ser>
        <c:dLbls>
          <c:showLegendKey val="0"/>
          <c:showVal val="0"/>
          <c:showCatName val="0"/>
          <c:showSerName val="0"/>
          <c:showPercent val="0"/>
          <c:showBubbleSize val="0"/>
        </c:dLbls>
        <c:gapWidth val="219"/>
        <c:overlap val="100"/>
        <c:axId val="148617472"/>
        <c:axId val="148627840"/>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Recibida'!$G$1341:$G$1342</c:f>
              <c:numCache>
                <c:formatCode>0%</c:formatCode>
                <c:ptCount val="2"/>
                <c:pt idx="0">
                  <c:v>0.68852459016393397</c:v>
                </c:pt>
                <c:pt idx="1">
                  <c:v>0.31147540983606603</c:v>
                </c:pt>
              </c:numCache>
            </c:numRef>
          </c:val>
          <c:smooth val="0"/>
          <c:extLst>
            <c:ext xmlns:c16="http://schemas.microsoft.com/office/drawing/2014/chart" uri="{C3380CC4-5D6E-409C-BE32-E72D297353CC}">
              <c16:uniqueId val="{00000001-D16A-F545-92D7-CB07FFB02B2E}"/>
            </c:ext>
          </c:extLst>
        </c:ser>
        <c:dLbls>
          <c:showLegendKey val="0"/>
          <c:showVal val="0"/>
          <c:showCatName val="0"/>
          <c:showSerName val="0"/>
          <c:showPercent val="0"/>
          <c:showBubbleSize val="0"/>
        </c:dLbls>
        <c:marker val="1"/>
        <c:smooth val="0"/>
        <c:axId val="148630912"/>
        <c:axId val="148629376"/>
      </c:lineChart>
      <c:catAx>
        <c:axId val="148617472"/>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627840"/>
        <c:crosses val="autoZero"/>
        <c:auto val="1"/>
        <c:lblAlgn val="ctr"/>
        <c:lblOffset val="100"/>
        <c:noMultiLvlLbl val="0"/>
      </c:catAx>
      <c:valAx>
        <c:axId val="148627840"/>
        <c:scaling>
          <c:orientation val="minMax"/>
          <c:max val="30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617472"/>
        <c:crosses val="autoZero"/>
        <c:crossBetween val="between"/>
      </c:valAx>
      <c:valAx>
        <c:axId val="148629376"/>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630912"/>
        <c:crosses val="max"/>
        <c:crossBetween val="between"/>
      </c:valAx>
      <c:catAx>
        <c:axId val="148630912"/>
        <c:scaling>
          <c:orientation val="minMax"/>
        </c:scaling>
        <c:delete val="1"/>
        <c:axPos val="b"/>
        <c:numFmt formatCode="General" sourceLinked="1"/>
        <c:majorTickMark val="out"/>
        <c:minorTickMark val="none"/>
        <c:tickLblPos val="none"/>
        <c:crossAx val="14862937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Recibida'!$D$1296</c:f>
          <c:strCache>
            <c:ptCount val="1"/>
            <c:pt idx="0">
              <c:v>¿La Respuesta es Completa y Satisfactoria?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Recibida'!$F$1297</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Recibida'!$E$1362:$E$1364</c:f>
              <c:strCache>
                <c:ptCount val="3"/>
                <c:pt idx="0">
                  <c:v>Completo</c:v>
                </c:pt>
                <c:pt idx="1">
                  <c:v>Parcial</c:v>
                </c:pt>
                <c:pt idx="2">
                  <c:v>No</c:v>
                </c:pt>
              </c:strCache>
            </c:strRef>
          </c:cat>
          <c:val>
            <c:numRef>
              <c:f>'Información Recibida'!$F$1362:$F$1364</c:f>
              <c:numCache>
                <c:formatCode>General</c:formatCode>
                <c:ptCount val="3"/>
                <c:pt idx="0">
                  <c:v>218</c:v>
                </c:pt>
                <c:pt idx="1">
                  <c:v>108</c:v>
                </c:pt>
                <c:pt idx="2">
                  <c:v>48</c:v>
                </c:pt>
              </c:numCache>
            </c:numRef>
          </c:val>
          <c:extLst>
            <c:ext xmlns:c16="http://schemas.microsoft.com/office/drawing/2014/chart" uri="{C3380CC4-5D6E-409C-BE32-E72D297353CC}">
              <c16:uniqueId val="{00000000-F42C-B64C-95E1-D9BF4999938C}"/>
            </c:ext>
          </c:extLst>
        </c:ser>
        <c:dLbls>
          <c:showLegendKey val="0"/>
          <c:showVal val="0"/>
          <c:showCatName val="0"/>
          <c:showSerName val="0"/>
          <c:showPercent val="0"/>
          <c:showBubbleSize val="0"/>
        </c:dLbls>
        <c:gapWidth val="219"/>
        <c:overlap val="100"/>
        <c:axId val="148674816"/>
        <c:axId val="148685184"/>
      </c:barChart>
      <c:lineChart>
        <c:grouping val="standard"/>
        <c:varyColors val="0"/>
        <c:ser>
          <c:idx val="1"/>
          <c:order val="1"/>
          <c:tx>
            <c:strRef>
              <c:f>'Información Recibida'!$G$1297</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Recibida'!$G$1362:$G$1364</c:f>
              <c:numCache>
                <c:formatCode>0%</c:formatCode>
                <c:ptCount val="3"/>
                <c:pt idx="0">
                  <c:v>0.58288770053475891</c:v>
                </c:pt>
                <c:pt idx="1">
                  <c:v>0.28877005347593593</c:v>
                </c:pt>
                <c:pt idx="2">
                  <c:v>0.12834224598930499</c:v>
                </c:pt>
              </c:numCache>
            </c:numRef>
          </c:val>
          <c:smooth val="0"/>
          <c:extLst>
            <c:ext xmlns:c16="http://schemas.microsoft.com/office/drawing/2014/chart" uri="{C3380CC4-5D6E-409C-BE32-E72D297353CC}">
              <c16:uniqueId val="{00000001-F42C-B64C-95E1-D9BF4999938C}"/>
            </c:ext>
          </c:extLst>
        </c:ser>
        <c:dLbls>
          <c:showLegendKey val="0"/>
          <c:showVal val="0"/>
          <c:showCatName val="0"/>
          <c:showSerName val="0"/>
          <c:showPercent val="0"/>
          <c:showBubbleSize val="0"/>
        </c:dLbls>
        <c:marker val="1"/>
        <c:smooth val="0"/>
        <c:axId val="148688256"/>
        <c:axId val="148686720"/>
      </c:lineChart>
      <c:catAx>
        <c:axId val="148674816"/>
        <c:scaling>
          <c:orientation val="minMax"/>
        </c:scaling>
        <c:delete val="0"/>
        <c:axPos val="b"/>
        <c:title>
          <c:tx>
            <c:rich>
              <a:bodyPr rot="0" vert="horz"/>
              <a:lstStyle/>
              <a:p>
                <a:pPr>
                  <a:defRPr/>
                </a:pPr>
                <a:r>
                  <a:rPr lang="es-ES"/>
                  <a:t># Municipios</a:t>
                </a:r>
              </a:p>
            </c:rich>
          </c:tx>
          <c:layout>
            <c:manualLayout>
              <c:xMode val="edge"/>
              <c:yMode val="edge"/>
              <c:x val="0"/>
              <c:y val="0.1149316296400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685184"/>
        <c:crosses val="autoZero"/>
        <c:auto val="1"/>
        <c:lblAlgn val="ctr"/>
        <c:lblOffset val="100"/>
        <c:noMultiLvlLbl val="0"/>
      </c:catAx>
      <c:valAx>
        <c:axId val="148685184"/>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674816"/>
        <c:crosses val="autoZero"/>
        <c:crossBetween val="between"/>
        <c:majorUnit val="76"/>
      </c:valAx>
      <c:valAx>
        <c:axId val="148686720"/>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688256"/>
        <c:crosses val="max"/>
        <c:crossBetween val="between"/>
      </c:valAx>
      <c:catAx>
        <c:axId val="148688256"/>
        <c:scaling>
          <c:orientation val="minMax"/>
        </c:scaling>
        <c:delete val="1"/>
        <c:axPos val="b"/>
        <c:numFmt formatCode="General" sourceLinked="1"/>
        <c:majorTickMark val="out"/>
        <c:minorTickMark val="none"/>
        <c:tickLblPos val="none"/>
        <c:crossAx val="14868672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Recibida'!$D$1386</c:f>
          <c:strCache>
            <c:ptCount val="1"/>
            <c:pt idx="0">
              <c:v>¿Anexa Resoluciones por Multas?</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7231332793265961"/>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Recibida'!$E$1389:$E$1390</c:f>
              <c:strCache>
                <c:ptCount val="2"/>
                <c:pt idx="0">
                  <c:v>Sí</c:v>
                </c:pt>
                <c:pt idx="1">
                  <c:v>No</c:v>
                </c:pt>
              </c:strCache>
            </c:strRef>
          </c:cat>
          <c:val>
            <c:numRef>
              <c:f>'Información Recibida'!$F$1389:$F$1390</c:f>
              <c:numCache>
                <c:formatCode>General</c:formatCode>
                <c:ptCount val="2"/>
                <c:pt idx="0">
                  <c:v>3</c:v>
                </c:pt>
                <c:pt idx="1">
                  <c:v>3</c:v>
                </c:pt>
              </c:numCache>
            </c:numRef>
          </c:val>
          <c:extLst>
            <c:ext xmlns:c16="http://schemas.microsoft.com/office/drawing/2014/chart" uri="{C3380CC4-5D6E-409C-BE32-E72D297353CC}">
              <c16:uniqueId val="{00000000-F96A-5242-BF94-0DCA76259483}"/>
            </c:ext>
          </c:extLst>
        </c:ser>
        <c:dLbls>
          <c:showLegendKey val="0"/>
          <c:showVal val="0"/>
          <c:showCatName val="0"/>
          <c:showSerName val="0"/>
          <c:showPercent val="0"/>
          <c:showBubbleSize val="0"/>
        </c:dLbls>
        <c:gapWidth val="219"/>
        <c:overlap val="100"/>
        <c:axId val="148818176"/>
        <c:axId val="148824448"/>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Recibida'!$G$1389:$G$1390</c:f>
              <c:numCache>
                <c:formatCode>0%</c:formatCode>
                <c:ptCount val="2"/>
                <c:pt idx="0">
                  <c:v>0.5</c:v>
                </c:pt>
                <c:pt idx="1">
                  <c:v>0.5</c:v>
                </c:pt>
              </c:numCache>
            </c:numRef>
          </c:val>
          <c:smooth val="0"/>
          <c:extLst>
            <c:ext xmlns:c16="http://schemas.microsoft.com/office/drawing/2014/chart" uri="{C3380CC4-5D6E-409C-BE32-E72D297353CC}">
              <c16:uniqueId val="{00000001-F96A-5242-BF94-0DCA76259483}"/>
            </c:ext>
          </c:extLst>
        </c:ser>
        <c:dLbls>
          <c:showLegendKey val="0"/>
          <c:showVal val="0"/>
          <c:showCatName val="0"/>
          <c:showSerName val="0"/>
          <c:showPercent val="0"/>
          <c:showBubbleSize val="0"/>
        </c:dLbls>
        <c:marker val="1"/>
        <c:smooth val="0"/>
        <c:axId val="148827520"/>
        <c:axId val="148825984"/>
      </c:lineChart>
      <c:catAx>
        <c:axId val="148818176"/>
        <c:scaling>
          <c:orientation val="minMax"/>
        </c:scaling>
        <c:delete val="0"/>
        <c:axPos val="b"/>
        <c:title>
          <c:tx>
            <c:rich>
              <a:bodyPr rot="0" vert="horz"/>
              <a:lstStyle/>
              <a:p>
                <a:pPr>
                  <a:defRPr/>
                </a:pPr>
                <a:r>
                  <a:rPr lang="es-ES"/>
                  <a:t># Municipios</a:t>
                </a:r>
              </a:p>
            </c:rich>
          </c:tx>
          <c:layout>
            <c:manualLayout>
              <c:xMode val="edge"/>
              <c:yMode val="edge"/>
              <c:x val="1.3136858201303304E-3"/>
              <c:y val="0.136933939595579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824448"/>
        <c:crosses val="autoZero"/>
        <c:auto val="1"/>
        <c:lblAlgn val="ctr"/>
        <c:lblOffset val="100"/>
        <c:noMultiLvlLbl val="0"/>
      </c:catAx>
      <c:valAx>
        <c:axId val="148824448"/>
        <c:scaling>
          <c:orientation val="minMax"/>
          <c:max val="6"/>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818176"/>
        <c:crosses val="autoZero"/>
        <c:crossBetween val="between"/>
        <c:majorUnit val="1"/>
      </c:valAx>
      <c:valAx>
        <c:axId val="14882598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827520"/>
        <c:crosses val="max"/>
        <c:crossBetween val="between"/>
      </c:valAx>
      <c:catAx>
        <c:axId val="148827520"/>
        <c:scaling>
          <c:orientation val="minMax"/>
        </c:scaling>
        <c:delete val="1"/>
        <c:axPos val="b"/>
        <c:numFmt formatCode="General" sourceLinked="1"/>
        <c:majorTickMark val="out"/>
        <c:minorTickMark val="none"/>
        <c:tickLblPos val="none"/>
        <c:crossAx val="1488259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Recibida'!$D$1372</c:f>
          <c:strCache>
            <c:ptCount val="1"/>
            <c:pt idx="0">
              <c:v>¿Hay Resoluciones por Multas?</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623964834101243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dLbl>
              <c:idx val="0"/>
              <c:layout>
                <c:manualLayout>
                  <c:x val="-2.84356157206414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C6-1E4A-A5F1-989FB2FF5C7C}"/>
                </c:ext>
              </c:extLst>
            </c:dLbl>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Recibida'!$E$1374:$E$1376</c:f>
              <c:strCache>
                <c:ptCount val="3"/>
                <c:pt idx="0">
                  <c:v>Sí</c:v>
                </c:pt>
                <c:pt idx="1">
                  <c:v>No</c:v>
                </c:pt>
                <c:pt idx="2">
                  <c:v>No Responde</c:v>
                </c:pt>
              </c:strCache>
            </c:strRef>
          </c:cat>
          <c:val>
            <c:numRef>
              <c:f>'Información Recibida'!$F$1374:$F$1376</c:f>
              <c:numCache>
                <c:formatCode>General</c:formatCode>
                <c:ptCount val="3"/>
                <c:pt idx="0">
                  <c:v>6</c:v>
                </c:pt>
                <c:pt idx="1">
                  <c:v>259</c:v>
                </c:pt>
                <c:pt idx="2">
                  <c:v>109</c:v>
                </c:pt>
              </c:numCache>
            </c:numRef>
          </c:val>
          <c:extLst>
            <c:ext xmlns:c16="http://schemas.microsoft.com/office/drawing/2014/chart" uri="{C3380CC4-5D6E-409C-BE32-E72D297353CC}">
              <c16:uniqueId val="{00000001-20C6-1E4A-A5F1-989FB2FF5C7C}"/>
            </c:ext>
          </c:extLst>
        </c:ser>
        <c:dLbls>
          <c:showLegendKey val="0"/>
          <c:showVal val="0"/>
          <c:showCatName val="0"/>
          <c:showSerName val="0"/>
          <c:showPercent val="0"/>
          <c:showBubbleSize val="0"/>
        </c:dLbls>
        <c:gapWidth val="219"/>
        <c:overlap val="100"/>
        <c:axId val="148880000"/>
        <c:axId val="153092864"/>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Recibida'!$G$1374:$G$1376</c:f>
              <c:numCache>
                <c:formatCode>0%</c:formatCode>
                <c:ptCount val="3"/>
                <c:pt idx="0">
                  <c:v>1.6042780748663107E-2</c:v>
                </c:pt>
                <c:pt idx="1">
                  <c:v>0.69251336898395677</c:v>
                </c:pt>
                <c:pt idx="2">
                  <c:v>0.29144385026738001</c:v>
                </c:pt>
              </c:numCache>
            </c:numRef>
          </c:val>
          <c:smooth val="0"/>
          <c:extLst>
            <c:ext xmlns:c16="http://schemas.microsoft.com/office/drawing/2014/chart" uri="{C3380CC4-5D6E-409C-BE32-E72D297353CC}">
              <c16:uniqueId val="{00000002-20C6-1E4A-A5F1-989FB2FF5C7C}"/>
            </c:ext>
          </c:extLst>
        </c:ser>
        <c:dLbls>
          <c:showLegendKey val="0"/>
          <c:showVal val="0"/>
          <c:showCatName val="0"/>
          <c:showSerName val="0"/>
          <c:showPercent val="0"/>
          <c:showBubbleSize val="0"/>
        </c:dLbls>
        <c:marker val="1"/>
        <c:smooth val="0"/>
        <c:axId val="153104384"/>
        <c:axId val="153094400"/>
      </c:lineChart>
      <c:catAx>
        <c:axId val="148880000"/>
        <c:scaling>
          <c:orientation val="minMax"/>
        </c:scaling>
        <c:delete val="0"/>
        <c:axPos val="b"/>
        <c:title>
          <c:tx>
            <c:rich>
              <a:bodyPr rot="0" vert="horz"/>
              <a:lstStyle/>
              <a:p>
                <a:pPr>
                  <a:defRPr/>
                </a:pPr>
                <a:r>
                  <a:rPr lang="es-ES"/>
                  <a:t># Municipios</a:t>
                </a:r>
              </a:p>
            </c:rich>
          </c:tx>
          <c:layout>
            <c:manualLayout>
              <c:xMode val="edge"/>
              <c:yMode val="edge"/>
              <c:x val="1.3137377268132005E-3"/>
              <c:y val="0.115593777410346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092864"/>
        <c:crosses val="autoZero"/>
        <c:auto val="1"/>
        <c:lblAlgn val="ctr"/>
        <c:lblOffset val="100"/>
        <c:noMultiLvlLbl val="0"/>
      </c:catAx>
      <c:valAx>
        <c:axId val="153092864"/>
        <c:scaling>
          <c:orientation val="minMax"/>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880000"/>
        <c:crosses val="autoZero"/>
        <c:crossBetween val="between"/>
      </c:valAx>
      <c:valAx>
        <c:axId val="153094400"/>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104384"/>
        <c:crosses val="max"/>
        <c:crossBetween val="between"/>
      </c:valAx>
      <c:catAx>
        <c:axId val="153104384"/>
        <c:scaling>
          <c:orientation val="minMax"/>
        </c:scaling>
        <c:delete val="1"/>
        <c:axPos val="b"/>
        <c:numFmt formatCode="General" sourceLinked="1"/>
        <c:majorTickMark val="out"/>
        <c:minorTickMark val="none"/>
        <c:tickLblPos val="none"/>
        <c:crossAx val="15309440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Recibida'!$D$1296</c:f>
          <c:strCache>
            <c:ptCount val="1"/>
            <c:pt idx="0">
              <c:v>¿La Respuesta es Completa y Satisfactoria?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Recibida'!$F$1410</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Recibida'!$E$1411:$E$1413</c:f>
              <c:strCache>
                <c:ptCount val="3"/>
                <c:pt idx="0">
                  <c:v>Completo</c:v>
                </c:pt>
                <c:pt idx="1">
                  <c:v>Parcial</c:v>
                </c:pt>
                <c:pt idx="2">
                  <c:v>No</c:v>
                </c:pt>
              </c:strCache>
            </c:strRef>
          </c:cat>
          <c:val>
            <c:numRef>
              <c:f>'Información Recibida'!$F$1411:$F$1413</c:f>
              <c:numCache>
                <c:formatCode>General</c:formatCode>
                <c:ptCount val="3"/>
                <c:pt idx="0">
                  <c:v>225</c:v>
                </c:pt>
                <c:pt idx="1">
                  <c:v>26</c:v>
                </c:pt>
                <c:pt idx="2">
                  <c:v>123</c:v>
                </c:pt>
              </c:numCache>
            </c:numRef>
          </c:val>
          <c:extLst>
            <c:ext xmlns:c16="http://schemas.microsoft.com/office/drawing/2014/chart" uri="{C3380CC4-5D6E-409C-BE32-E72D297353CC}">
              <c16:uniqueId val="{00000000-0168-CC49-9D54-3D4B47D6C5C9}"/>
            </c:ext>
          </c:extLst>
        </c:ser>
        <c:dLbls>
          <c:showLegendKey val="0"/>
          <c:showVal val="0"/>
          <c:showCatName val="0"/>
          <c:showSerName val="0"/>
          <c:showPercent val="0"/>
          <c:showBubbleSize val="0"/>
        </c:dLbls>
        <c:gapWidth val="219"/>
        <c:overlap val="100"/>
        <c:axId val="153147648"/>
        <c:axId val="153166208"/>
      </c:barChart>
      <c:lineChart>
        <c:grouping val="standard"/>
        <c:varyColors val="0"/>
        <c:ser>
          <c:idx val="1"/>
          <c:order val="1"/>
          <c:tx>
            <c:strRef>
              <c:f>'Información Recibida'!$G$1297</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Recibida'!$G$1411:$G$1413</c:f>
              <c:numCache>
                <c:formatCode>0%</c:formatCode>
                <c:ptCount val="3"/>
                <c:pt idx="0">
                  <c:v>0.60160427807486616</c:v>
                </c:pt>
                <c:pt idx="1">
                  <c:v>6.9518716577540093E-2</c:v>
                </c:pt>
                <c:pt idx="2">
                  <c:v>0.32887700534759412</c:v>
                </c:pt>
              </c:numCache>
            </c:numRef>
          </c:val>
          <c:smooth val="0"/>
          <c:extLst>
            <c:ext xmlns:c16="http://schemas.microsoft.com/office/drawing/2014/chart" uri="{C3380CC4-5D6E-409C-BE32-E72D297353CC}">
              <c16:uniqueId val="{00000001-0168-CC49-9D54-3D4B47D6C5C9}"/>
            </c:ext>
          </c:extLst>
        </c:ser>
        <c:dLbls>
          <c:showLegendKey val="0"/>
          <c:showVal val="0"/>
          <c:showCatName val="0"/>
          <c:showSerName val="0"/>
          <c:showPercent val="0"/>
          <c:showBubbleSize val="0"/>
        </c:dLbls>
        <c:marker val="1"/>
        <c:smooth val="0"/>
        <c:axId val="153169280"/>
        <c:axId val="153167744"/>
      </c:lineChart>
      <c:catAx>
        <c:axId val="153147648"/>
        <c:scaling>
          <c:orientation val="minMax"/>
        </c:scaling>
        <c:delete val="0"/>
        <c:axPos val="b"/>
        <c:title>
          <c:tx>
            <c:rich>
              <a:bodyPr rot="0" vert="horz"/>
              <a:lstStyle/>
              <a:p>
                <a:pPr>
                  <a:defRPr/>
                </a:pPr>
                <a:r>
                  <a:rPr lang="es-ES"/>
                  <a:t># Municipios</a:t>
                </a:r>
              </a:p>
            </c:rich>
          </c:tx>
          <c:layout>
            <c:manualLayout>
              <c:xMode val="edge"/>
              <c:yMode val="edge"/>
              <c:x val="1.8916210548492199E-2"/>
              <c:y val="0.117494749304638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166208"/>
        <c:crosses val="autoZero"/>
        <c:auto val="1"/>
        <c:lblAlgn val="ctr"/>
        <c:lblOffset val="100"/>
        <c:noMultiLvlLbl val="0"/>
      </c:catAx>
      <c:valAx>
        <c:axId val="153166208"/>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147648"/>
        <c:crosses val="autoZero"/>
        <c:crossBetween val="between"/>
        <c:majorUnit val="76"/>
      </c:valAx>
      <c:valAx>
        <c:axId val="15316774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169280"/>
        <c:crosses val="max"/>
        <c:crossBetween val="between"/>
      </c:valAx>
      <c:catAx>
        <c:axId val="153169280"/>
        <c:scaling>
          <c:orientation val="minMax"/>
        </c:scaling>
        <c:delete val="1"/>
        <c:axPos val="b"/>
        <c:numFmt formatCode="General" sourceLinked="1"/>
        <c:majorTickMark val="out"/>
        <c:minorTickMark val="none"/>
        <c:tickLblPos val="none"/>
        <c:crossAx val="15316774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Recibida'!$D$1421</c:f>
          <c:strCache>
            <c:ptCount val="1"/>
            <c:pt idx="0">
              <c:v>¿Proporciona Información sobre Auxilios, Donaciones o  Ingresos Por Multas en el Periodo 2012-2015?</c:v>
            </c:pt>
          </c:strCache>
        </c:strRef>
      </c:tx>
      <c:layout>
        <c:manualLayout>
          <c:xMode val="edge"/>
          <c:yMode val="edge"/>
          <c:x val="0.13456226792533499"/>
          <c:y val="0"/>
        </c:manualLayout>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4729799690386261"/>
          <c:w val="0.85222121194591904"/>
          <c:h val="0.34775800994593498"/>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Recibida'!$E$1422:$E$1423</c:f>
              <c:strCache>
                <c:ptCount val="2"/>
                <c:pt idx="0">
                  <c:v>Sí</c:v>
                </c:pt>
                <c:pt idx="1">
                  <c:v>No</c:v>
                </c:pt>
              </c:strCache>
            </c:strRef>
          </c:cat>
          <c:val>
            <c:numRef>
              <c:f>'Información Recibida'!$F$1422:$F$1423</c:f>
              <c:numCache>
                <c:formatCode>General</c:formatCode>
                <c:ptCount val="2"/>
                <c:pt idx="0">
                  <c:v>211</c:v>
                </c:pt>
                <c:pt idx="1">
                  <c:v>163</c:v>
                </c:pt>
              </c:numCache>
            </c:numRef>
          </c:val>
          <c:extLst>
            <c:ext xmlns:c16="http://schemas.microsoft.com/office/drawing/2014/chart" uri="{C3380CC4-5D6E-409C-BE32-E72D297353CC}">
              <c16:uniqueId val="{00000000-6B85-8B46-9765-FBCD83630CEB}"/>
            </c:ext>
          </c:extLst>
        </c:ser>
        <c:dLbls>
          <c:showLegendKey val="0"/>
          <c:showVal val="0"/>
          <c:showCatName val="0"/>
          <c:showSerName val="0"/>
          <c:showPercent val="0"/>
          <c:showBubbleSize val="0"/>
        </c:dLbls>
        <c:gapWidth val="219"/>
        <c:overlap val="100"/>
        <c:axId val="153295104"/>
        <c:axId val="153301376"/>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Recibida'!$G$1422:$G$1423</c:f>
              <c:numCache>
                <c:formatCode>0%</c:formatCode>
                <c:ptCount val="2"/>
                <c:pt idx="0">
                  <c:v>0.564171122994652</c:v>
                </c:pt>
                <c:pt idx="1">
                  <c:v>0.43582887700534817</c:v>
                </c:pt>
              </c:numCache>
            </c:numRef>
          </c:val>
          <c:smooth val="0"/>
          <c:extLst>
            <c:ext xmlns:c16="http://schemas.microsoft.com/office/drawing/2014/chart" uri="{C3380CC4-5D6E-409C-BE32-E72D297353CC}">
              <c16:uniqueId val="{00000001-6B85-8B46-9765-FBCD83630CEB}"/>
            </c:ext>
          </c:extLst>
        </c:ser>
        <c:dLbls>
          <c:showLegendKey val="0"/>
          <c:showVal val="0"/>
          <c:showCatName val="0"/>
          <c:showSerName val="0"/>
          <c:showPercent val="0"/>
          <c:showBubbleSize val="0"/>
        </c:dLbls>
        <c:marker val="1"/>
        <c:smooth val="0"/>
        <c:axId val="153304448"/>
        <c:axId val="153302912"/>
      </c:lineChart>
      <c:catAx>
        <c:axId val="153295104"/>
        <c:scaling>
          <c:orientation val="minMax"/>
        </c:scaling>
        <c:delete val="0"/>
        <c:axPos val="b"/>
        <c:title>
          <c:tx>
            <c:rich>
              <a:bodyPr rot="0" vert="horz"/>
              <a:lstStyle/>
              <a:p>
                <a:pPr>
                  <a:defRPr/>
                </a:pPr>
                <a:r>
                  <a:rPr lang="es-ES"/>
                  <a:t># Municipios</a:t>
                </a:r>
              </a:p>
            </c:rich>
          </c:tx>
          <c:layout>
            <c:manualLayout>
              <c:xMode val="edge"/>
              <c:yMode val="edge"/>
              <c:x val="1.3136548886163101E-3"/>
              <c:y val="0.3466272153007710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301376"/>
        <c:crosses val="autoZero"/>
        <c:auto val="1"/>
        <c:lblAlgn val="ctr"/>
        <c:lblOffset val="100"/>
        <c:noMultiLvlLbl val="0"/>
      </c:catAx>
      <c:valAx>
        <c:axId val="153301376"/>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295104"/>
        <c:crosses val="autoZero"/>
        <c:crossBetween val="between"/>
        <c:majorUnit val="76"/>
      </c:valAx>
      <c:valAx>
        <c:axId val="153302912"/>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304448"/>
        <c:crosses val="max"/>
        <c:crossBetween val="between"/>
      </c:valAx>
      <c:catAx>
        <c:axId val="153304448"/>
        <c:scaling>
          <c:orientation val="minMax"/>
        </c:scaling>
        <c:delete val="1"/>
        <c:axPos val="b"/>
        <c:numFmt formatCode="General" sourceLinked="1"/>
        <c:majorTickMark val="out"/>
        <c:minorTickMark val="none"/>
        <c:tickLblPos val="none"/>
        <c:crossAx val="1533029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Recibida'!$D$1149</c:f>
          <c:strCache>
            <c:ptCount val="1"/>
            <c:pt idx="0">
              <c:v>¿Existe la Junta Protectora de Animales?</c:v>
            </c:pt>
          </c:strCache>
        </c:strRef>
      </c:tx>
      <c:overlay val="0"/>
      <c:spPr>
        <a:noFill/>
        <a:ln>
          <a:noFill/>
        </a:ln>
        <a:effectLst/>
      </c:spPr>
      <c:txPr>
        <a:bodyPr rot="0" spcFirstLastPara="1" vertOverflow="ellipsis" vert="horz" wrap="square" anchor="ctr" anchorCtr="1"/>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9281390951654596E-2"/>
          <c:y val="0.24356955380577403"/>
          <c:w val="0.83744929761177722"/>
          <c:h val="0.57716827063283804"/>
        </c:manualLayout>
      </c:layout>
      <c:barChart>
        <c:barDir val="col"/>
        <c:grouping val="stacked"/>
        <c:varyColors val="0"/>
        <c:ser>
          <c:idx val="0"/>
          <c:order val="0"/>
          <c:tx>
            <c:strRef>
              <c:f>'Información Recibida'!$D$1150</c:f>
              <c:strCache>
                <c:ptCount val="1"/>
                <c:pt idx="0">
                  <c:v>Nùmero de Respuestas</c:v>
                </c:pt>
              </c:strCache>
            </c:strRef>
          </c:tx>
          <c:spPr>
            <a:solidFill>
              <a:schemeClr val="accent3">
                <a:lumMod val="60000"/>
                <a:lumOff val="40000"/>
              </a:schemeClr>
            </a:solidFill>
            <a:ln>
              <a:noFill/>
            </a:ln>
            <a:effectLst/>
          </c:spPr>
          <c:invertIfNegative val="0"/>
          <c:dLbls>
            <c:dLbl>
              <c:idx val="2"/>
              <c:layout>
                <c:manualLayout>
                  <c:x val="-3.4088096883918603E-2"/>
                  <c:y val="-3.6588642107621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2C-A346-89E4-B15CC4FD1D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Recibida'!$E$1149:$G$1149</c:f>
              <c:strCache>
                <c:ptCount val="3"/>
                <c:pt idx="0">
                  <c:v>Sí</c:v>
                </c:pt>
                <c:pt idx="1">
                  <c:v>No</c:v>
                </c:pt>
                <c:pt idx="2">
                  <c:v>No Responde</c:v>
                </c:pt>
              </c:strCache>
            </c:strRef>
          </c:cat>
          <c:val>
            <c:numRef>
              <c:f>'Información Recibida'!$E$1150:$G$1150</c:f>
              <c:numCache>
                <c:formatCode>General</c:formatCode>
                <c:ptCount val="3"/>
                <c:pt idx="0">
                  <c:v>280</c:v>
                </c:pt>
                <c:pt idx="1">
                  <c:v>80</c:v>
                </c:pt>
                <c:pt idx="2">
                  <c:v>14</c:v>
                </c:pt>
              </c:numCache>
            </c:numRef>
          </c:val>
          <c:extLst>
            <c:ext xmlns:c16="http://schemas.microsoft.com/office/drawing/2014/chart" uri="{C3380CC4-5D6E-409C-BE32-E72D297353CC}">
              <c16:uniqueId val="{00000001-102C-A346-89E4-B15CC4FD1D42}"/>
            </c:ext>
          </c:extLst>
        </c:ser>
        <c:dLbls>
          <c:showLegendKey val="0"/>
          <c:showVal val="0"/>
          <c:showCatName val="0"/>
          <c:showSerName val="0"/>
          <c:showPercent val="0"/>
          <c:showBubbleSize val="0"/>
        </c:dLbls>
        <c:gapWidth val="219"/>
        <c:overlap val="100"/>
        <c:axId val="144833920"/>
        <c:axId val="145364096"/>
      </c:barChart>
      <c:lineChart>
        <c:grouping val="standard"/>
        <c:varyColors val="0"/>
        <c:ser>
          <c:idx val="1"/>
          <c:order val="1"/>
          <c:tx>
            <c:strRef>
              <c:f>'Información Recibida'!$D$1151</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Recibida'!$E$1149:$G$1149</c:f>
              <c:strCache>
                <c:ptCount val="3"/>
                <c:pt idx="0">
                  <c:v>Sí</c:v>
                </c:pt>
                <c:pt idx="1">
                  <c:v>No</c:v>
                </c:pt>
                <c:pt idx="2">
                  <c:v>No Responde</c:v>
                </c:pt>
              </c:strCache>
            </c:strRef>
          </c:cat>
          <c:val>
            <c:numRef>
              <c:f>'Información Recibida'!$E$1151:$G$1151</c:f>
              <c:numCache>
                <c:formatCode>0%</c:formatCode>
                <c:ptCount val="3"/>
                <c:pt idx="0">
                  <c:v>0.74866310160427807</c:v>
                </c:pt>
                <c:pt idx="1">
                  <c:v>0.21390374331550799</c:v>
                </c:pt>
                <c:pt idx="2">
                  <c:v>3.7433155080213915E-2</c:v>
                </c:pt>
              </c:numCache>
            </c:numRef>
          </c:val>
          <c:smooth val="0"/>
          <c:extLst>
            <c:ext xmlns:c16="http://schemas.microsoft.com/office/drawing/2014/chart" uri="{C3380CC4-5D6E-409C-BE32-E72D297353CC}">
              <c16:uniqueId val="{00000002-102C-A346-89E4-B15CC4FD1D42}"/>
            </c:ext>
          </c:extLst>
        </c:ser>
        <c:dLbls>
          <c:showLegendKey val="0"/>
          <c:showVal val="0"/>
          <c:showCatName val="0"/>
          <c:showSerName val="0"/>
          <c:showPercent val="0"/>
          <c:showBubbleSize val="0"/>
        </c:dLbls>
        <c:marker val="1"/>
        <c:smooth val="0"/>
        <c:axId val="144310656"/>
        <c:axId val="145365632"/>
      </c:lineChart>
      <c:catAx>
        <c:axId val="14483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5364096"/>
        <c:crosses val="autoZero"/>
        <c:auto val="1"/>
        <c:lblAlgn val="ctr"/>
        <c:lblOffset val="100"/>
        <c:noMultiLvlLbl val="0"/>
      </c:catAx>
      <c:valAx>
        <c:axId val="145364096"/>
        <c:scaling>
          <c:orientation val="minMax"/>
          <c:max val="3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4833920"/>
        <c:crosses val="autoZero"/>
        <c:crossBetween val="between"/>
        <c:majorUnit val="76"/>
      </c:valAx>
      <c:valAx>
        <c:axId val="145365632"/>
        <c:scaling>
          <c:orientation val="minMax"/>
          <c:max val="1"/>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4310656"/>
        <c:crosses val="max"/>
        <c:crossBetween val="between"/>
      </c:valAx>
      <c:catAx>
        <c:axId val="144310656"/>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s-ES" sz="900"/>
                  <a:t># Municipios</a:t>
                </a:r>
              </a:p>
            </c:rich>
          </c:tx>
          <c:layout>
            <c:manualLayout>
              <c:xMode val="edge"/>
              <c:yMode val="edge"/>
              <c:x val="1.3918959887746899E-3"/>
              <c:y val="0.110514264888804"/>
            </c:manualLayout>
          </c:layout>
          <c:overlay val="0"/>
          <c:spPr>
            <a:noFill/>
            <a:ln>
              <a:noFill/>
            </a:ln>
            <a:effectLst/>
          </c:spPr>
        </c:title>
        <c:numFmt formatCode="General" sourceLinked="1"/>
        <c:majorTickMark val="out"/>
        <c:minorTickMark val="none"/>
        <c:tickLblPos val="none"/>
        <c:crossAx val="145365632"/>
        <c:crosses val="autoZero"/>
        <c:auto val="1"/>
        <c:lblAlgn val="ctr"/>
        <c:lblOffset val="100"/>
        <c:noMultiLvlLbl val="0"/>
      </c:catAx>
      <c:spPr>
        <a:noFill/>
        <a:ln>
          <a:noFill/>
        </a:ln>
        <a:effectLst/>
      </c:spPr>
    </c:plotArea>
    <c:legend>
      <c:legendPos val="r"/>
      <c:layout>
        <c:manualLayout>
          <c:xMode val="edge"/>
          <c:yMode val="edge"/>
          <c:x val="0.237634076990376"/>
          <c:y val="0.90608741615631405"/>
          <c:w val="0.56236592300962396"/>
          <c:h val="9.14362787984835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Recibida'!$D$1454</c:f>
          <c:strCache>
            <c:ptCount val="1"/>
            <c:pt idx="0">
              <c:v>¿Proporciona Información sobre Auxilios, Donaciones o  Ingresos Por Multas (2016-2018)?</c:v>
            </c:pt>
          </c:strCache>
        </c:strRef>
      </c:tx>
      <c:layout>
        <c:manualLayout>
          <c:xMode val="edge"/>
          <c:yMode val="edge"/>
          <c:x val="0.14477468232885798"/>
          <c:y val="0"/>
        </c:manualLayout>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47644626613454111"/>
          <c:w val="0.85222121194591904"/>
          <c:h val="0.34429151835472599"/>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Recibida'!$E$1456:$E$1457</c:f>
              <c:strCache>
                <c:ptCount val="2"/>
                <c:pt idx="0">
                  <c:v>Sí</c:v>
                </c:pt>
                <c:pt idx="1">
                  <c:v>No</c:v>
                </c:pt>
              </c:strCache>
            </c:strRef>
          </c:cat>
          <c:val>
            <c:numRef>
              <c:f>'Información Recibida'!$F$1456:$F$1457</c:f>
              <c:numCache>
                <c:formatCode>General</c:formatCode>
                <c:ptCount val="2"/>
                <c:pt idx="0">
                  <c:v>211</c:v>
                </c:pt>
                <c:pt idx="1">
                  <c:v>163</c:v>
                </c:pt>
              </c:numCache>
            </c:numRef>
          </c:val>
          <c:extLst>
            <c:ext xmlns:c16="http://schemas.microsoft.com/office/drawing/2014/chart" uri="{C3380CC4-5D6E-409C-BE32-E72D297353CC}">
              <c16:uniqueId val="{00000000-03B5-4947-94C6-D3FA19CB1697}"/>
            </c:ext>
          </c:extLst>
        </c:ser>
        <c:dLbls>
          <c:showLegendKey val="0"/>
          <c:showVal val="0"/>
          <c:showCatName val="0"/>
          <c:showSerName val="0"/>
          <c:showPercent val="0"/>
          <c:showBubbleSize val="0"/>
        </c:dLbls>
        <c:gapWidth val="219"/>
        <c:overlap val="100"/>
        <c:axId val="153225472"/>
        <c:axId val="153235840"/>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Recibida'!$G$1456:$G$1457</c:f>
              <c:numCache>
                <c:formatCode>0%</c:formatCode>
                <c:ptCount val="2"/>
                <c:pt idx="0">
                  <c:v>0.564171122994652</c:v>
                </c:pt>
                <c:pt idx="1">
                  <c:v>0.43582887700534817</c:v>
                </c:pt>
              </c:numCache>
            </c:numRef>
          </c:val>
          <c:smooth val="0"/>
          <c:extLst>
            <c:ext xmlns:c16="http://schemas.microsoft.com/office/drawing/2014/chart" uri="{C3380CC4-5D6E-409C-BE32-E72D297353CC}">
              <c16:uniqueId val="{00000001-03B5-4947-94C6-D3FA19CB1697}"/>
            </c:ext>
          </c:extLst>
        </c:ser>
        <c:dLbls>
          <c:showLegendKey val="0"/>
          <c:showVal val="0"/>
          <c:showCatName val="0"/>
          <c:showSerName val="0"/>
          <c:showPercent val="0"/>
          <c:showBubbleSize val="0"/>
        </c:dLbls>
        <c:marker val="1"/>
        <c:smooth val="0"/>
        <c:axId val="153238912"/>
        <c:axId val="153237376"/>
      </c:lineChart>
      <c:catAx>
        <c:axId val="153225472"/>
        <c:scaling>
          <c:orientation val="minMax"/>
        </c:scaling>
        <c:delete val="0"/>
        <c:axPos val="b"/>
        <c:title>
          <c:tx>
            <c:rich>
              <a:bodyPr rot="0" vert="horz"/>
              <a:lstStyle/>
              <a:p>
                <a:pPr>
                  <a:defRPr/>
                </a:pPr>
                <a:r>
                  <a:rPr lang="es-ES"/>
                  <a:t># Municipios</a:t>
                </a:r>
              </a:p>
            </c:rich>
          </c:tx>
          <c:layout>
            <c:manualLayout>
              <c:xMode val="edge"/>
              <c:yMode val="edge"/>
              <c:x val="4.2541877160329693E-2"/>
              <c:y val="0.351751698845863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235840"/>
        <c:crosses val="autoZero"/>
        <c:auto val="1"/>
        <c:lblAlgn val="ctr"/>
        <c:lblOffset val="100"/>
        <c:noMultiLvlLbl val="0"/>
      </c:catAx>
      <c:valAx>
        <c:axId val="153235840"/>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225472"/>
        <c:crosses val="autoZero"/>
        <c:crossBetween val="between"/>
        <c:majorUnit val="76"/>
      </c:valAx>
      <c:valAx>
        <c:axId val="153237376"/>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238912"/>
        <c:crosses val="max"/>
        <c:crossBetween val="between"/>
      </c:valAx>
      <c:catAx>
        <c:axId val="153238912"/>
        <c:scaling>
          <c:orientation val="minMax"/>
        </c:scaling>
        <c:delete val="1"/>
        <c:axPos val="b"/>
        <c:numFmt formatCode="General" sourceLinked="1"/>
        <c:majorTickMark val="out"/>
        <c:minorTickMark val="none"/>
        <c:tickLblPos val="none"/>
        <c:crossAx val="15323737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Recibida'!$D$1486</c:f>
          <c:strCache>
            <c:ptCount val="1"/>
            <c:pt idx="0">
              <c:v>Agregado Últimas 2 Alcadías: ¿Proporciona Información sobre Auxilios, Donaciones o  Ingresos Por Multas (2012-2018)?</c:v>
            </c:pt>
          </c:strCache>
        </c:strRef>
      </c:tx>
      <c:layout>
        <c:manualLayout>
          <c:xMode val="edge"/>
          <c:yMode val="edge"/>
          <c:x val="0.12802391007868894"/>
          <c:y val="0"/>
        </c:manualLayout>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43991658576924525"/>
          <c:w val="0.85222121194591904"/>
          <c:h val="0.38082119872002307"/>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Recibida'!$E$1488:$E$1489</c:f>
              <c:strCache>
                <c:ptCount val="2"/>
                <c:pt idx="0">
                  <c:v>Sí</c:v>
                </c:pt>
                <c:pt idx="1">
                  <c:v>No</c:v>
                </c:pt>
              </c:strCache>
            </c:strRef>
          </c:cat>
          <c:val>
            <c:numRef>
              <c:f>'Información Recibida'!$F$1488:$F$1489</c:f>
              <c:numCache>
                <c:formatCode>General</c:formatCode>
                <c:ptCount val="2"/>
                <c:pt idx="0">
                  <c:v>215</c:v>
                </c:pt>
                <c:pt idx="1">
                  <c:v>159</c:v>
                </c:pt>
              </c:numCache>
            </c:numRef>
          </c:val>
          <c:extLst>
            <c:ext xmlns:c16="http://schemas.microsoft.com/office/drawing/2014/chart" uri="{C3380CC4-5D6E-409C-BE32-E72D297353CC}">
              <c16:uniqueId val="{00000000-FC74-DC4B-BC5C-ED07A3147DEB}"/>
            </c:ext>
          </c:extLst>
        </c:ser>
        <c:dLbls>
          <c:showLegendKey val="0"/>
          <c:showVal val="0"/>
          <c:showCatName val="0"/>
          <c:showSerName val="0"/>
          <c:showPercent val="0"/>
          <c:showBubbleSize val="0"/>
        </c:dLbls>
        <c:gapWidth val="219"/>
        <c:overlap val="100"/>
        <c:axId val="153286912"/>
        <c:axId val="153358720"/>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Recibida'!$G$1488:$G$1489</c:f>
              <c:numCache>
                <c:formatCode>0%</c:formatCode>
                <c:ptCount val="2"/>
                <c:pt idx="0">
                  <c:v>0.574866310160428</c:v>
                </c:pt>
                <c:pt idx="1">
                  <c:v>0.42513368983957206</c:v>
                </c:pt>
              </c:numCache>
            </c:numRef>
          </c:val>
          <c:smooth val="0"/>
          <c:extLst>
            <c:ext xmlns:c16="http://schemas.microsoft.com/office/drawing/2014/chart" uri="{C3380CC4-5D6E-409C-BE32-E72D297353CC}">
              <c16:uniqueId val="{00000001-FC74-DC4B-BC5C-ED07A3147DEB}"/>
            </c:ext>
          </c:extLst>
        </c:ser>
        <c:dLbls>
          <c:showLegendKey val="0"/>
          <c:showVal val="0"/>
          <c:showCatName val="0"/>
          <c:showSerName val="0"/>
          <c:showPercent val="0"/>
          <c:showBubbleSize val="0"/>
        </c:dLbls>
        <c:marker val="1"/>
        <c:smooth val="0"/>
        <c:axId val="153361792"/>
        <c:axId val="153360256"/>
      </c:lineChart>
      <c:catAx>
        <c:axId val="153286912"/>
        <c:scaling>
          <c:orientation val="minMax"/>
        </c:scaling>
        <c:delete val="0"/>
        <c:axPos val="b"/>
        <c:title>
          <c:tx>
            <c:rich>
              <a:bodyPr rot="0" vert="horz"/>
              <a:lstStyle/>
              <a:p>
                <a:pPr>
                  <a:defRPr/>
                </a:pPr>
                <a:r>
                  <a:rPr lang="es-ES"/>
                  <a:t># Municipios</a:t>
                </a:r>
              </a:p>
            </c:rich>
          </c:tx>
          <c:layout>
            <c:manualLayout>
              <c:xMode val="edge"/>
              <c:yMode val="edge"/>
              <c:x val="2.8295213393067703E-2"/>
              <c:y val="0.314243339445583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358720"/>
        <c:crosses val="autoZero"/>
        <c:auto val="1"/>
        <c:lblAlgn val="ctr"/>
        <c:lblOffset val="100"/>
        <c:noMultiLvlLbl val="0"/>
      </c:catAx>
      <c:valAx>
        <c:axId val="153358720"/>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286912"/>
        <c:crosses val="autoZero"/>
        <c:crossBetween val="between"/>
        <c:majorUnit val="76"/>
      </c:valAx>
      <c:valAx>
        <c:axId val="153360256"/>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361792"/>
        <c:crosses val="max"/>
        <c:crossBetween val="between"/>
      </c:valAx>
      <c:catAx>
        <c:axId val="153361792"/>
        <c:scaling>
          <c:orientation val="minMax"/>
        </c:scaling>
        <c:delete val="1"/>
        <c:axPos val="b"/>
        <c:numFmt formatCode="General" sourceLinked="1"/>
        <c:majorTickMark val="out"/>
        <c:minorTickMark val="none"/>
        <c:tickLblPos val="none"/>
        <c:crossAx val="1533602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Recibida'!$D$1521</c:f>
          <c:strCache>
            <c:ptCount val="1"/>
            <c:pt idx="0">
              <c:v>¿Anexa Soportes? </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Recibida'!$E$1523:$E$1524</c:f>
              <c:strCache>
                <c:ptCount val="2"/>
                <c:pt idx="0">
                  <c:v>Sí</c:v>
                </c:pt>
                <c:pt idx="1">
                  <c:v>No</c:v>
                </c:pt>
              </c:strCache>
            </c:strRef>
          </c:cat>
          <c:val>
            <c:numRef>
              <c:f>'Información Recibida'!$F$1523:$F$1524</c:f>
              <c:numCache>
                <c:formatCode>General</c:formatCode>
                <c:ptCount val="2"/>
                <c:pt idx="0">
                  <c:v>2</c:v>
                </c:pt>
                <c:pt idx="1">
                  <c:v>2</c:v>
                </c:pt>
              </c:numCache>
            </c:numRef>
          </c:val>
          <c:extLst>
            <c:ext xmlns:c16="http://schemas.microsoft.com/office/drawing/2014/chart" uri="{C3380CC4-5D6E-409C-BE32-E72D297353CC}">
              <c16:uniqueId val="{00000000-9406-D244-8FAA-E02BC0E898D6}"/>
            </c:ext>
          </c:extLst>
        </c:ser>
        <c:dLbls>
          <c:showLegendKey val="0"/>
          <c:showVal val="0"/>
          <c:showCatName val="0"/>
          <c:showSerName val="0"/>
          <c:showPercent val="0"/>
          <c:showBubbleSize val="0"/>
        </c:dLbls>
        <c:gapWidth val="219"/>
        <c:overlap val="100"/>
        <c:axId val="153426176"/>
        <c:axId val="153432448"/>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Recibida'!$G$1523:$G$1524</c:f>
              <c:numCache>
                <c:formatCode>0%</c:formatCode>
                <c:ptCount val="2"/>
                <c:pt idx="0">
                  <c:v>0.5</c:v>
                </c:pt>
                <c:pt idx="1">
                  <c:v>0.5</c:v>
                </c:pt>
              </c:numCache>
            </c:numRef>
          </c:val>
          <c:smooth val="0"/>
          <c:extLst>
            <c:ext xmlns:c16="http://schemas.microsoft.com/office/drawing/2014/chart" uri="{C3380CC4-5D6E-409C-BE32-E72D297353CC}">
              <c16:uniqueId val="{00000001-9406-D244-8FAA-E02BC0E898D6}"/>
            </c:ext>
          </c:extLst>
        </c:ser>
        <c:dLbls>
          <c:showLegendKey val="0"/>
          <c:showVal val="0"/>
          <c:showCatName val="0"/>
          <c:showSerName val="0"/>
          <c:showPercent val="0"/>
          <c:showBubbleSize val="0"/>
        </c:dLbls>
        <c:marker val="1"/>
        <c:smooth val="0"/>
        <c:axId val="153435520"/>
        <c:axId val="153433984"/>
      </c:lineChart>
      <c:catAx>
        <c:axId val="153426176"/>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432448"/>
        <c:crosses val="autoZero"/>
        <c:auto val="1"/>
        <c:lblAlgn val="ctr"/>
        <c:lblOffset val="100"/>
        <c:noMultiLvlLbl val="0"/>
      </c:catAx>
      <c:valAx>
        <c:axId val="153432448"/>
        <c:scaling>
          <c:orientation val="minMax"/>
          <c:max val="4"/>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426176"/>
        <c:crosses val="autoZero"/>
        <c:crossBetween val="between"/>
        <c:majorUnit val="1"/>
      </c:valAx>
      <c:valAx>
        <c:axId val="15343398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435520"/>
        <c:crosses val="max"/>
        <c:crossBetween val="between"/>
      </c:valAx>
      <c:catAx>
        <c:axId val="153435520"/>
        <c:scaling>
          <c:orientation val="minMax"/>
        </c:scaling>
        <c:delete val="1"/>
        <c:axPos val="b"/>
        <c:numFmt formatCode="General" sourceLinked="1"/>
        <c:majorTickMark val="out"/>
        <c:minorTickMark val="none"/>
        <c:tickLblPos val="none"/>
        <c:crossAx val="1534339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Recibida'!$D$1537</c:f>
          <c:strCache>
            <c:ptCount val="1"/>
            <c:pt idx="0">
              <c:v>¿La Respuesta es Completa y Satisfactoria?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Recibida'!$E$1539:$E$1541</c:f>
              <c:strCache>
                <c:ptCount val="3"/>
                <c:pt idx="0">
                  <c:v>Completo</c:v>
                </c:pt>
                <c:pt idx="1">
                  <c:v>Parcial</c:v>
                </c:pt>
                <c:pt idx="2">
                  <c:v>No</c:v>
                </c:pt>
              </c:strCache>
            </c:strRef>
          </c:cat>
          <c:val>
            <c:numRef>
              <c:f>'Información Recibida'!$F$1539:$F$1541</c:f>
              <c:numCache>
                <c:formatCode>General</c:formatCode>
                <c:ptCount val="3"/>
                <c:pt idx="0">
                  <c:v>219</c:v>
                </c:pt>
                <c:pt idx="1">
                  <c:v>38</c:v>
                </c:pt>
                <c:pt idx="2">
                  <c:v>117</c:v>
                </c:pt>
              </c:numCache>
            </c:numRef>
          </c:val>
          <c:extLst>
            <c:ext xmlns:c16="http://schemas.microsoft.com/office/drawing/2014/chart" uri="{C3380CC4-5D6E-409C-BE32-E72D297353CC}">
              <c16:uniqueId val="{00000000-28D0-264E-8222-82E6BB0C6CFC}"/>
            </c:ext>
          </c:extLst>
        </c:ser>
        <c:dLbls>
          <c:showLegendKey val="0"/>
          <c:showVal val="0"/>
          <c:showCatName val="0"/>
          <c:showSerName val="0"/>
          <c:showPercent val="0"/>
          <c:showBubbleSize val="0"/>
        </c:dLbls>
        <c:gapWidth val="219"/>
        <c:overlap val="100"/>
        <c:axId val="153487616"/>
        <c:axId val="153502080"/>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Recibida'!$G$1539:$G$1541</c:f>
              <c:numCache>
                <c:formatCode>0%</c:formatCode>
                <c:ptCount val="3"/>
                <c:pt idx="0">
                  <c:v>0.58556149732620288</c:v>
                </c:pt>
                <c:pt idx="1">
                  <c:v>0.10160427807486599</c:v>
                </c:pt>
                <c:pt idx="2">
                  <c:v>0.31283422459893001</c:v>
                </c:pt>
              </c:numCache>
            </c:numRef>
          </c:val>
          <c:smooth val="0"/>
          <c:extLst>
            <c:ext xmlns:c16="http://schemas.microsoft.com/office/drawing/2014/chart" uri="{C3380CC4-5D6E-409C-BE32-E72D297353CC}">
              <c16:uniqueId val="{00000001-28D0-264E-8222-82E6BB0C6CFC}"/>
            </c:ext>
          </c:extLst>
        </c:ser>
        <c:dLbls>
          <c:showLegendKey val="0"/>
          <c:showVal val="0"/>
          <c:showCatName val="0"/>
          <c:showSerName val="0"/>
          <c:showPercent val="0"/>
          <c:showBubbleSize val="0"/>
        </c:dLbls>
        <c:marker val="1"/>
        <c:smooth val="0"/>
        <c:axId val="153505152"/>
        <c:axId val="153503616"/>
      </c:lineChart>
      <c:catAx>
        <c:axId val="153487616"/>
        <c:scaling>
          <c:orientation val="minMax"/>
        </c:scaling>
        <c:delete val="0"/>
        <c:axPos val="b"/>
        <c:title>
          <c:tx>
            <c:rich>
              <a:bodyPr rot="0" vert="horz"/>
              <a:lstStyle/>
              <a:p>
                <a:pPr>
                  <a:defRPr/>
                </a:pPr>
                <a:r>
                  <a:rPr lang="es-ES"/>
                  <a:t># Municipios</a:t>
                </a:r>
              </a:p>
            </c:rich>
          </c:tx>
          <c:layout>
            <c:manualLayout>
              <c:xMode val="edge"/>
              <c:yMode val="edge"/>
              <c:x val="9.2669984385567918E-3"/>
              <c:y val="0.119451640206212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502080"/>
        <c:crosses val="autoZero"/>
        <c:auto val="1"/>
        <c:lblAlgn val="ctr"/>
        <c:lblOffset val="100"/>
        <c:noMultiLvlLbl val="0"/>
      </c:catAx>
      <c:valAx>
        <c:axId val="153502080"/>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487616"/>
        <c:crosses val="autoZero"/>
        <c:crossBetween val="between"/>
        <c:majorUnit val="76"/>
      </c:valAx>
      <c:valAx>
        <c:axId val="153503616"/>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505152"/>
        <c:crosses val="max"/>
        <c:crossBetween val="between"/>
      </c:valAx>
      <c:catAx>
        <c:axId val="153505152"/>
        <c:scaling>
          <c:orientation val="minMax"/>
        </c:scaling>
        <c:delete val="1"/>
        <c:axPos val="b"/>
        <c:numFmt formatCode="General" sourceLinked="1"/>
        <c:majorTickMark val="out"/>
        <c:minorTickMark val="none"/>
        <c:tickLblPos val="none"/>
        <c:crossAx val="15350361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aseline="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Recibida'!$D$1553</c:f>
          <c:strCache>
            <c:ptCount val="1"/>
            <c:pt idx="0">
              <c:v>¿Explica Y Detalla Cómo Ha Avanzado la Aplicación de la Ley 1774 de 2016 en su Municipio?</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Recibida'!$E$1555:$E$1557</c:f>
              <c:strCache>
                <c:ptCount val="3"/>
                <c:pt idx="0">
                  <c:v>Sí</c:v>
                </c:pt>
                <c:pt idx="1">
                  <c:v>No</c:v>
                </c:pt>
                <c:pt idx="2">
                  <c:v>No Responde</c:v>
                </c:pt>
              </c:strCache>
            </c:strRef>
          </c:cat>
          <c:val>
            <c:numRef>
              <c:f>'Información Recibida'!$F$1555:$F$1557</c:f>
              <c:numCache>
                <c:formatCode>General</c:formatCode>
                <c:ptCount val="3"/>
                <c:pt idx="0">
                  <c:v>217</c:v>
                </c:pt>
                <c:pt idx="1">
                  <c:v>97</c:v>
                </c:pt>
                <c:pt idx="2">
                  <c:v>60</c:v>
                </c:pt>
              </c:numCache>
            </c:numRef>
          </c:val>
          <c:extLst>
            <c:ext xmlns:c16="http://schemas.microsoft.com/office/drawing/2014/chart" uri="{C3380CC4-5D6E-409C-BE32-E72D297353CC}">
              <c16:uniqueId val="{00000000-BB3C-2E4C-9BD5-DCF313744FBD}"/>
            </c:ext>
          </c:extLst>
        </c:ser>
        <c:dLbls>
          <c:showLegendKey val="0"/>
          <c:showVal val="0"/>
          <c:showCatName val="0"/>
          <c:showSerName val="0"/>
          <c:showPercent val="0"/>
          <c:showBubbleSize val="0"/>
        </c:dLbls>
        <c:gapWidth val="219"/>
        <c:overlap val="100"/>
        <c:axId val="153700608"/>
        <c:axId val="153710976"/>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Recibida'!$G$1555:$G$1557</c:f>
              <c:numCache>
                <c:formatCode>0%</c:formatCode>
                <c:ptCount val="3"/>
                <c:pt idx="0">
                  <c:v>0.58021390374331483</c:v>
                </c:pt>
                <c:pt idx="1">
                  <c:v>0.25935828877005307</c:v>
                </c:pt>
                <c:pt idx="2">
                  <c:v>0.16042780748663099</c:v>
                </c:pt>
              </c:numCache>
            </c:numRef>
          </c:val>
          <c:smooth val="0"/>
          <c:extLst>
            <c:ext xmlns:c16="http://schemas.microsoft.com/office/drawing/2014/chart" uri="{C3380CC4-5D6E-409C-BE32-E72D297353CC}">
              <c16:uniqueId val="{00000001-BB3C-2E4C-9BD5-DCF313744FBD}"/>
            </c:ext>
          </c:extLst>
        </c:ser>
        <c:dLbls>
          <c:showLegendKey val="0"/>
          <c:showVal val="0"/>
          <c:showCatName val="0"/>
          <c:showSerName val="0"/>
          <c:showPercent val="0"/>
          <c:showBubbleSize val="0"/>
        </c:dLbls>
        <c:marker val="1"/>
        <c:smooth val="0"/>
        <c:axId val="153714048"/>
        <c:axId val="153712512"/>
      </c:lineChart>
      <c:catAx>
        <c:axId val="153700608"/>
        <c:scaling>
          <c:orientation val="minMax"/>
        </c:scaling>
        <c:delete val="0"/>
        <c:axPos val="b"/>
        <c:title>
          <c:tx>
            <c:rich>
              <a:bodyPr rot="0" vert="horz"/>
              <a:lstStyle/>
              <a:p>
                <a:pPr>
                  <a:defRPr/>
                </a:pPr>
                <a:r>
                  <a:rPr lang="es-ES"/>
                  <a:t># Municipios</a:t>
                </a:r>
              </a:p>
            </c:rich>
          </c:tx>
          <c:layout>
            <c:manualLayout>
              <c:xMode val="edge"/>
              <c:yMode val="edge"/>
              <c:x val="0"/>
              <c:y val="0.107090652130022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710976"/>
        <c:crosses val="autoZero"/>
        <c:auto val="1"/>
        <c:lblAlgn val="ctr"/>
        <c:lblOffset val="100"/>
        <c:noMultiLvlLbl val="0"/>
      </c:catAx>
      <c:valAx>
        <c:axId val="153710976"/>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700608"/>
        <c:crosses val="autoZero"/>
        <c:crossBetween val="between"/>
        <c:majorUnit val="76"/>
      </c:valAx>
      <c:valAx>
        <c:axId val="153712512"/>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714048"/>
        <c:crosses val="max"/>
        <c:crossBetween val="between"/>
      </c:valAx>
      <c:catAx>
        <c:axId val="153714048"/>
        <c:scaling>
          <c:orientation val="minMax"/>
        </c:scaling>
        <c:delete val="1"/>
        <c:axPos val="b"/>
        <c:numFmt formatCode="General" sourceLinked="1"/>
        <c:majorTickMark val="out"/>
        <c:minorTickMark val="none"/>
        <c:tickLblPos val="none"/>
        <c:crossAx val="1537125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Recibida'!$D$1570</c:f>
          <c:strCache>
            <c:ptCount val="1"/>
            <c:pt idx="0">
              <c:v>¿La Respuesta Es Completa y Satisfactoria?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Recibida'!$E$1572:$E$1574</c:f>
              <c:strCache>
                <c:ptCount val="3"/>
                <c:pt idx="0">
                  <c:v>Completo</c:v>
                </c:pt>
                <c:pt idx="1">
                  <c:v>Parcial</c:v>
                </c:pt>
                <c:pt idx="2">
                  <c:v>No</c:v>
                </c:pt>
              </c:strCache>
            </c:strRef>
          </c:cat>
          <c:val>
            <c:numRef>
              <c:f>'Información Recibida'!$F$1572:$F$1574</c:f>
              <c:numCache>
                <c:formatCode>General</c:formatCode>
                <c:ptCount val="3"/>
                <c:pt idx="0">
                  <c:v>159</c:v>
                </c:pt>
                <c:pt idx="1">
                  <c:v>92</c:v>
                </c:pt>
                <c:pt idx="2">
                  <c:v>123</c:v>
                </c:pt>
              </c:numCache>
            </c:numRef>
          </c:val>
          <c:extLst>
            <c:ext xmlns:c16="http://schemas.microsoft.com/office/drawing/2014/chart" uri="{C3380CC4-5D6E-409C-BE32-E72D297353CC}">
              <c16:uniqueId val="{00000000-582F-9849-BB73-9E6C0AA8A672}"/>
            </c:ext>
          </c:extLst>
        </c:ser>
        <c:dLbls>
          <c:showLegendKey val="0"/>
          <c:showVal val="0"/>
          <c:showCatName val="0"/>
          <c:showSerName val="0"/>
          <c:showPercent val="0"/>
          <c:showBubbleSize val="0"/>
        </c:dLbls>
        <c:gapWidth val="219"/>
        <c:overlap val="100"/>
        <c:axId val="153643264"/>
        <c:axId val="153657728"/>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Recibida'!$G$1572:$G$1574</c:f>
              <c:numCache>
                <c:formatCode>0%</c:formatCode>
                <c:ptCount val="3"/>
                <c:pt idx="0">
                  <c:v>0.42513368983957206</c:v>
                </c:pt>
                <c:pt idx="1">
                  <c:v>0.24598930481283404</c:v>
                </c:pt>
                <c:pt idx="2">
                  <c:v>0.32887700534759412</c:v>
                </c:pt>
              </c:numCache>
            </c:numRef>
          </c:val>
          <c:smooth val="0"/>
          <c:extLst>
            <c:ext xmlns:c16="http://schemas.microsoft.com/office/drawing/2014/chart" uri="{C3380CC4-5D6E-409C-BE32-E72D297353CC}">
              <c16:uniqueId val="{00000001-582F-9849-BB73-9E6C0AA8A672}"/>
            </c:ext>
          </c:extLst>
        </c:ser>
        <c:dLbls>
          <c:showLegendKey val="0"/>
          <c:showVal val="0"/>
          <c:showCatName val="0"/>
          <c:showSerName val="0"/>
          <c:showPercent val="0"/>
          <c:showBubbleSize val="0"/>
        </c:dLbls>
        <c:marker val="1"/>
        <c:smooth val="0"/>
        <c:axId val="153660800"/>
        <c:axId val="153659264"/>
      </c:lineChart>
      <c:catAx>
        <c:axId val="153643264"/>
        <c:scaling>
          <c:orientation val="minMax"/>
        </c:scaling>
        <c:delete val="0"/>
        <c:axPos val="b"/>
        <c:title>
          <c:tx>
            <c:rich>
              <a:bodyPr rot="0" vert="horz"/>
              <a:lstStyle/>
              <a:p>
                <a:pPr>
                  <a:defRPr/>
                </a:pPr>
                <a:r>
                  <a:rPr lang="es-ES"/>
                  <a:t># Municipios</a:t>
                </a:r>
              </a:p>
            </c:rich>
          </c:tx>
          <c:layout>
            <c:manualLayout>
              <c:xMode val="edge"/>
              <c:yMode val="edge"/>
              <c:x val="8.89893188130245E-3"/>
              <c:y val="0.1123454187176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657728"/>
        <c:crosses val="autoZero"/>
        <c:auto val="1"/>
        <c:lblAlgn val="ctr"/>
        <c:lblOffset val="100"/>
        <c:noMultiLvlLbl val="0"/>
      </c:catAx>
      <c:valAx>
        <c:axId val="153657728"/>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3643264"/>
        <c:crosses val="autoZero"/>
        <c:crossBetween val="between"/>
        <c:majorUnit val="76"/>
      </c:valAx>
      <c:valAx>
        <c:axId val="153659264"/>
        <c:scaling>
          <c:orientation val="minMax"/>
          <c:max val="0.5"/>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660800"/>
        <c:crosses val="max"/>
        <c:crossBetween val="between"/>
      </c:valAx>
      <c:catAx>
        <c:axId val="153660800"/>
        <c:scaling>
          <c:orientation val="minMax"/>
        </c:scaling>
        <c:delete val="1"/>
        <c:axPos val="b"/>
        <c:numFmt formatCode="General" sourceLinked="1"/>
        <c:majorTickMark val="out"/>
        <c:minorTickMark val="none"/>
        <c:tickLblPos val="none"/>
        <c:crossAx val="15365926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Recibida'!$D$1589</c:f>
          <c:strCache>
            <c:ptCount val="1"/>
            <c:pt idx="0">
              <c:v>¿Ha Habido Contravenciones impuestas durante su Administración?</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Recibida'!$E$1591:$E$1593</c:f>
              <c:strCache>
                <c:ptCount val="3"/>
                <c:pt idx="0">
                  <c:v>Sí</c:v>
                </c:pt>
                <c:pt idx="1">
                  <c:v>No</c:v>
                </c:pt>
                <c:pt idx="2">
                  <c:v>No Responde</c:v>
                </c:pt>
              </c:strCache>
            </c:strRef>
          </c:cat>
          <c:val>
            <c:numRef>
              <c:f>'Información Recibida'!$F$1591:$F$1593</c:f>
              <c:numCache>
                <c:formatCode>General</c:formatCode>
                <c:ptCount val="3"/>
                <c:pt idx="0">
                  <c:v>20</c:v>
                </c:pt>
                <c:pt idx="1">
                  <c:v>260</c:v>
                </c:pt>
                <c:pt idx="2">
                  <c:v>94</c:v>
                </c:pt>
              </c:numCache>
            </c:numRef>
          </c:val>
          <c:extLst>
            <c:ext xmlns:c16="http://schemas.microsoft.com/office/drawing/2014/chart" uri="{C3380CC4-5D6E-409C-BE32-E72D297353CC}">
              <c16:uniqueId val="{00000000-6022-6746-A08A-13A06E9D9500}"/>
            </c:ext>
          </c:extLst>
        </c:ser>
        <c:dLbls>
          <c:showLegendKey val="0"/>
          <c:showVal val="0"/>
          <c:showCatName val="0"/>
          <c:showSerName val="0"/>
          <c:showPercent val="0"/>
          <c:showBubbleSize val="0"/>
        </c:dLbls>
        <c:gapWidth val="219"/>
        <c:overlap val="100"/>
        <c:axId val="154433792"/>
        <c:axId val="154448256"/>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Recibida'!$G$1591:$G$1593</c:f>
              <c:numCache>
                <c:formatCode>0%</c:formatCode>
                <c:ptCount val="3"/>
                <c:pt idx="0">
                  <c:v>5.3475935828877004E-2</c:v>
                </c:pt>
                <c:pt idx="1">
                  <c:v>0.69518716577540085</c:v>
                </c:pt>
                <c:pt idx="2">
                  <c:v>0.25133689839572204</c:v>
                </c:pt>
              </c:numCache>
            </c:numRef>
          </c:val>
          <c:smooth val="0"/>
          <c:extLst>
            <c:ext xmlns:c16="http://schemas.microsoft.com/office/drawing/2014/chart" uri="{C3380CC4-5D6E-409C-BE32-E72D297353CC}">
              <c16:uniqueId val="{00000001-6022-6746-A08A-13A06E9D9500}"/>
            </c:ext>
          </c:extLst>
        </c:ser>
        <c:dLbls>
          <c:showLegendKey val="0"/>
          <c:showVal val="0"/>
          <c:showCatName val="0"/>
          <c:showSerName val="0"/>
          <c:showPercent val="0"/>
          <c:showBubbleSize val="0"/>
        </c:dLbls>
        <c:marker val="1"/>
        <c:smooth val="0"/>
        <c:axId val="154451328"/>
        <c:axId val="154449792"/>
      </c:lineChart>
      <c:catAx>
        <c:axId val="154433792"/>
        <c:scaling>
          <c:orientation val="minMax"/>
        </c:scaling>
        <c:delete val="0"/>
        <c:axPos val="b"/>
        <c:title>
          <c:tx>
            <c:rich>
              <a:bodyPr rot="0" vert="horz"/>
              <a:lstStyle/>
              <a:p>
                <a:pPr>
                  <a:defRPr/>
                </a:pPr>
                <a:r>
                  <a:rPr lang="es-ES"/>
                  <a:t># Municipios</a:t>
                </a:r>
              </a:p>
            </c:rich>
          </c:tx>
          <c:layout>
            <c:manualLayout>
              <c:xMode val="edge"/>
              <c:yMode val="edge"/>
              <c:x val="0"/>
              <c:y val="0.1268525387221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4448256"/>
        <c:crosses val="autoZero"/>
        <c:auto val="1"/>
        <c:lblAlgn val="ctr"/>
        <c:lblOffset val="100"/>
        <c:noMultiLvlLbl val="0"/>
      </c:catAx>
      <c:valAx>
        <c:axId val="154448256"/>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4433792"/>
        <c:crosses val="autoZero"/>
        <c:crossBetween val="between"/>
        <c:majorUnit val="76"/>
      </c:valAx>
      <c:valAx>
        <c:axId val="154449792"/>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4451328"/>
        <c:crosses val="max"/>
        <c:crossBetween val="between"/>
      </c:valAx>
      <c:catAx>
        <c:axId val="154451328"/>
        <c:scaling>
          <c:orientation val="minMax"/>
        </c:scaling>
        <c:delete val="1"/>
        <c:axPos val="b"/>
        <c:numFmt formatCode="General" sourceLinked="1"/>
        <c:majorTickMark val="out"/>
        <c:minorTickMark val="none"/>
        <c:tickLblPos val="none"/>
        <c:crossAx val="15444979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Recibida'!$D$1600</c:f>
          <c:strCache>
            <c:ptCount val="1"/>
            <c:pt idx="0">
              <c:v># Contravenciones (4)
(Número # o No Responde)</c:v>
            </c:pt>
          </c:strCache>
        </c:strRef>
      </c:tx>
      <c:layout>
        <c:manualLayout>
          <c:xMode val="edge"/>
          <c:yMode val="edge"/>
          <c:x val="0.28470534801862196"/>
          <c:y val="5.9829059829059804E-2"/>
        </c:manualLayout>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Recibida'!$E$1611:$E$1615</c:f>
              <c:strCache>
                <c:ptCount val="5"/>
                <c:pt idx="0">
                  <c:v>0</c:v>
                </c:pt>
                <c:pt idx="1">
                  <c:v>1</c:v>
                </c:pt>
                <c:pt idx="2">
                  <c:v>2-4</c:v>
                </c:pt>
                <c:pt idx="3">
                  <c:v>5-10</c:v>
                </c:pt>
                <c:pt idx="4">
                  <c:v>&gt;10</c:v>
                </c:pt>
              </c:strCache>
            </c:strRef>
          </c:cat>
          <c:val>
            <c:numRef>
              <c:f>'Información Recibida'!$F$1611:$F$1615</c:f>
              <c:numCache>
                <c:formatCode>General</c:formatCode>
                <c:ptCount val="5"/>
                <c:pt idx="0">
                  <c:v>260</c:v>
                </c:pt>
                <c:pt idx="1">
                  <c:v>6</c:v>
                </c:pt>
                <c:pt idx="2">
                  <c:v>9</c:v>
                </c:pt>
                <c:pt idx="3">
                  <c:v>4</c:v>
                </c:pt>
                <c:pt idx="4">
                  <c:v>1</c:v>
                </c:pt>
              </c:numCache>
            </c:numRef>
          </c:val>
          <c:extLst>
            <c:ext xmlns:c16="http://schemas.microsoft.com/office/drawing/2014/chart" uri="{C3380CC4-5D6E-409C-BE32-E72D297353CC}">
              <c16:uniqueId val="{00000000-332E-EB44-9DF6-3327F758ACCA}"/>
            </c:ext>
          </c:extLst>
        </c:ser>
        <c:dLbls>
          <c:showLegendKey val="0"/>
          <c:showVal val="0"/>
          <c:showCatName val="0"/>
          <c:showSerName val="0"/>
          <c:showPercent val="0"/>
          <c:showBubbleSize val="0"/>
        </c:dLbls>
        <c:gapWidth val="219"/>
        <c:overlap val="100"/>
        <c:axId val="154355968"/>
        <c:axId val="154366336"/>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Recibida'!$G$1611:$G$1615</c:f>
              <c:numCache>
                <c:formatCode>0.0%</c:formatCode>
                <c:ptCount val="5"/>
                <c:pt idx="0">
                  <c:v>0.92857142857142905</c:v>
                </c:pt>
                <c:pt idx="1">
                  <c:v>2.1428571428571404E-2</c:v>
                </c:pt>
                <c:pt idx="2">
                  <c:v>3.2142857142857098E-2</c:v>
                </c:pt>
                <c:pt idx="3">
                  <c:v>1.4285714285714301E-2</c:v>
                </c:pt>
                <c:pt idx="4">
                  <c:v>3.5714285714285704E-3</c:v>
                </c:pt>
              </c:numCache>
            </c:numRef>
          </c:val>
          <c:smooth val="0"/>
          <c:extLst>
            <c:ext xmlns:c16="http://schemas.microsoft.com/office/drawing/2014/chart" uri="{C3380CC4-5D6E-409C-BE32-E72D297353CC}">
              <c16:uniqueId val="{00000001-332E-EB44-9DF6-3327F758ACCA}"/>
            </c:ext>
          </c:extLst>
        </c:ser>
        <c:dLbls>
          <c:showLegendKey val="0"/>
          <c:showVal val="0"/>
          <c:showCatName val="0"/>
          <c:showSerName val="0"/>
          <c:showPercent val="0"/>
          <c:showBubbleSize val="0"/>
        </c:dLbls>
        <c:marker val="1"/>
        <c:smooth val="0"/>
        <c:axId val="154369408"/>
        <c:axId val="154367872"/>
      </c:lineChart>
      <c:catAx>
        <c:axId val="154355968"/>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4366336"/>
        <c:crosses val="autoZero"/>
        <c:auto val="1"/>
        <c:lblAlgn val="ctr"/>
        <c:lblOffset val="100"/>
        <c:noMultiLvlLbl val="0"/>
      </c:catAx>
      <c:valAx>
        <c:axId val="154366336"/>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4355968"/>
        <c:crosses val="autoZero"/>
        <c:crossBetween val="between"/>
        <c:majorUnit val="76"/>
      </c:valAx>
      <c:valAx>
        <c:axId val="154367872"/>
        <c:scaling>
          <c:orientation val="minMax"/>
          <c:max val="1"/>
        </c:scaling>
        <c:delete val="0"/>
        <c:axPos val="r"/>
        <c:numFmt formatCode="0.0%" sourceLinked="1"/>
        <c:majorTickMark val="out"/>
        <c:minorTickMark val="none"/>
        <c:tickLblPos val="nextTo"/>
        <c:spPr>
          <a:noFill/>
          <a:ln>
            <a:noFill/>
          </a:ln>
          <a:effectLst/>
        </c:spPr>
        <c:txPr>
          <a:bodyPr rot="-60000000" vert="horz"/>
          <a:lstStyle/>
          <a:p>
            <a:pPr>
              <a:defRPr/>
            </a:pPr>
            <a:endParaRPr lang="es-CO"/>
          </a:p>
        </c:txPr>
        <c:crossAx val="154369408"/>
        <c:crosses val="max"/>
        <c:crossBetween val="between"/>
      </c:valAx>
      <c:catAx>
        <c:axId val="154369408"/>
        <c:scaling>
          <c:orientation val="minMax"/>
        </c:scaling>
        <c:delete val="1"/>
        <c:axPos val="b"/>
        <c:numFmt formatCode="General" sourceLinked="1"/>
        <c:majorTickMark val="out"/>
        <c:minorTickMark val="none"/>
        <c:tickLblPos val="none"/>
        <c:crossAx val="15436787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Recibida'!$D$1625</c:f>
          <c:strCache>
            <c:ptCount val="1"/>
            <c:pt idx="0">
              <c:v>¿Anexa Soportes?</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Recibida'!$E$1627:$E$1628</c:f>
              <c:strCache>
                <c:ptCount val="2"/>
                <c:pt idx="0">
                  <c:v>Sí</c:v>
                </c:pt>
                <c:pt idx="1">
                  <c:v>No</c:v>
                </c:pt>
              </c:strCache>
            </c:strRef>
          </c:cat>
          <c:val>
            <c:numRef>
              <c:f>'Información Recibida'!$F$1627:$F$1628</c:f>
              <c:numCache>
                <c:formatCode>General</c:formatCode>
                <c:ptCount val="2"/>
                <c:pt idx="0">
                  <c:v>16</c:v>
                </c:pt>
                <c:pt idx="1">
                  <c:v>4</c:v>
                </c:pt>
              </c:numCache>
            </c:numRef>
          </c:val>
          <c:extLst>
            <c:ext xmlns:c16="http://schemas.microsoft.com/office/drawing/2014/chart" uri="{C3380CC4-5D6E-409C-BE32-E72D297353CC}">
              <c16:uniqueId val="{00000000-8BA7-B145-A27F-69526DE749B9}"/>
            </c:ext>
          </c:extLst>
        </c:ser>
        <c:dLbls>
          <c:showLegendKey val="0"/>
          <c:showVal val="0"/>
          <c:showCatName val="0"/>
          <c:showSerName val="0"/>
          <c:showPercent val="0"/>
          <c:showBubbleSize val="0"/>
        </c:dLbls>
        <c:gapWidth val="219"/>
        <c:overlap val="100"/>
        <c:axId val="155081344"/>
        <c:axId val="155087616"/>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Recibida'!$G$1627:$G$1628</c:f>
              <c:numCache>
                <c:formatCode>0%</c:formatCode>
                <c:ptCount val="2"/>
                <c:pt idx="0">
                  <c:v>0.8</c:v>
                </c:pt>
                <c:pt idx="1">
                  <c:v>0.2</c:v>
                </c:pt>
              </c:numCache>
            </c:numRef>
          </c:val>
          <c:smooth val="0"/>
          <c:extLst>
            <c:ext xmlns:c16="http://schemas.microsoft.com/office/drawing/2014/chart" uri="{C3380CC4-5D6E-409C-BE32-E72D297353CC}">
              <c16:uniqueId val="{00000001-8BA7-B145-A27F-69526DE749B9}"/>
            </c:ext>
          </c:extLst>
        </c:ser>
        <c:dLbls>
          <c:showLegendKey val="0"/>
          <c:showVal val="0"/>
          <c:showCatName val="0"/>
          <c:showSerName val="0"/>
          <c:showPercent val="0"/>
          <c:showBubbleSize val="0"/>
        </c:dLbls>
        <c:marker val="1"/>
        <c:smooth val="0"/>
        <c:axId val="155111424"/>
        <c:axId val="155089152"/>
      </c:lineChart>
      <c:catAx>
        <c:axId val="155081344"/>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5087616"/>
        <c:crosses val="autoZero"/>
        <c:auto val="1"/>
        <c:lblAlgn val="ctr"/>
        <c:lblOffset val="100"/>
        <c:noMultiLvlLbl val="0"/>
      </c:catAx>
      <c:valAx>
        <c:axId val="155087616"/>
        <c:scaling>
          <c:orientation val="minMax"/>
          <c:max val="2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5081344"/>
        <c:crosses val="autoZero"/>
        <c:crossBetween val="between"/>
        <c:majorUnit val="5"/>
      </c:valAx>
      <c:valAx>
        <c:axId val="155089152"/>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5111424"/>
        <c:crosses val="max"/>
        <c:crossBetween val="between"/>
      </c:valAx>
      <c:catAx>
        <c:axId val="155111424"/>
        <c:scaling>
          <c:orientation val="minMax"/>
        </c:scaling>
        <c:delete val="1"/>
        <c:axPos val="b"/>
        <c:numFmt formatCode="General" sourceLinked="1"/>
        <c:majorTickMark val="out"/>
        <c:minorTickMark val="none"/>
        <c:tickLblPos val="none"/>
        <c:crossAx val="15508915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Recibida'!$D$1637</c:f>
          <c:strCache>
            <c:ptCount val="1"/>
            <c:pt idx="0">
              <c:v>¿La Respuesta Es Completa y Satisfactoria?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Recibida'!$E$1639:$E$1641</c:f>
              <c:strCache>
                <c:ptCount val="3"/>
                <c:pt idx="0">
                  <c:v>Completo</c:v>
                </c:pt>
                <c:pt idx="1">
                  <c:v>Parcial</c:v>
                </c:pt>
                <c:pt idx="2">
                  <c:v>No</c:v>
                </c:pt>
              </c:strCache>
            </c:strRef>
          </c:cat>
          <c:val>
            <c:numRef>
              <c:f>'Información Recibida'!$F$1639:$F$1641</c:f>
              <c:numCache>
                <c:formatCode>General</c:formatCode>
                <c:ptCount val="3"/>
                <c:pt idx="0">
                  <c:v>233</c:v>
                </c:pt>
                <c:pt idx="1">
                  <c:v>29</c:v>
                </c:pt>
                <c:pt idx="2">
                  <c:v>112</c:v>
                </c:pt>
              </c:numCache>
            </c:numRef>
          </c:val>
          <c:extLst>
            <c:ext xmlns:c16="http://schemas.microsoft.com/office/drawing/2014/chart" uri="{C3380CC4-5D6E-409C-BE32-E72D297353CC}">
              <c16:uniqueId val="{00000000-A5CB-E745-AB7D-499639E337FE}"/>
            </c:ext>
          </c:extLst>
        </c:ser>
        <c:dLbls>
          <c:showLegendKey val="0"/>
          <c:showVal val="0"/>
          <c:showCatName val="0"/>
          <c:showSerName val="0"/>
          <c:showPercent val="0"/>
          <c:showBubbleSize val="0"/>
        </c:dLbls>
        <c:gapWidth val="219"/>
        <c:overlap val="100"/>
        <c:axId val="156199552"/>
        <c:axId val="156205824"/>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Recibida'!$G$1639:$G$1641</c:f>
              <c:numCache>
                <c:formatCode>0%</c:formatCode>
                <c:ptCount val="3"/>
                <c:pt idx="0">
                  <c:v>0.62299465240641727</c:v>
                </c:pt>
                <c:pt idx="1">
                  <c:v>7.7540106951871704E-2</c:v>
                </c:pt>
                <c:pt idx="2">
                  <c:v>0.29946524064171093</c:v>
                </c:pt>
              </c:numCache>
            </c:numRef>
          </c:val>
          <c:smooth val="0"/>
          <c:extLst>
            <c:ext xmlns:c16="http://schemas.microsoft.com/office/drawing/2014/chart" uri="{C3380CC4-5D6E-409C-BE32-E72D297353CC}">
              <c16:uniqueId val="{00000001-A5CB-E745-AB7D-499639E337FE}"/>
            </c:ext>
          </c:extLst>
        </c:ser>
        <c:dLbls>
          <c:showLegendKey val="0"/>
          <c:showVal val="0"/>
          <c:showCatName val="0"/>
          <c:showSerName val="0"/>
          <c:showPercent val="0"/>
          <c:showBubbleSize val="0"/>
        </c:dLbls>
        <c:marker val="1"/>
        <c:smooth val="0"/>
        <c:axId val="156217344"/>
        <c:axId val="156207360"/>
      </c:lineChart>
      <c:catAx>
        <c:axId val="156199552"/>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6205824"/>
        <c:crosses val="autoZero"/>
        <c:auto val="1"/>
        <c:lblAlgn val="ctr"/>
        <c:lblOffset val="100"/>
        <c:noMultiLvlLbl val="0"/>
      </c:catAx>
      <c:valAx>
        <c:axId val="156205824"/>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6199552"/>
        <c:crosses val="autoZero"/>
        <c:crossBetween val="between"/>
        <c:majorUnit val="76"/>
      </c:valAx>
      <c:valAx>
        <c:axId val="156207360"/>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6217344"/>
        <c:crosses val="max"/>
        <c:crossBetween val="between"/>
      </c:valAx>
      <c:catAx>
        <c:axId val="156217344"/>
        <c:scaling>
          <c:orientation val="minMax"/>
        </c:scaling>
        <c:delete val="1"/>
        <c:axPos val="b"/>
        <c:numFmt formatCode="General" sourceLinked="1"/>
        <c:majorTickMark val="out"/>
        <c:minorTickMark val="none"/>
        <c:tickLblPos val="none"/>
        <c:crossAx val="15620736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chemeClr val="tx1"/>
                </a:solidFill>
                <a:latin typeface="Arial" panose="020B0604020202020204" pitchFamily="34" charset="0"/>
                <a:ea typeface="+mn-ea"/>
                <a:cs typeface="Arial" panose="020B0604020202020204" pitchFamily="34" charset="0"/>
              </a:defRPr>
            </a:pPr>
            <a:r>
              <a:rPr lang="es-CO" sz="900" b="1" dirty="0"/>
              <a:t>¿Funciona Actualmente la Junta Protectora de Animales?</a:t>
            </a:r>
          </a:p>
        </c:rich>
      </c:tx>
      <c:overlay val="0"/>
      <c:spPr>
        <a:noFill/>
        <a:ln>
          <a:noFill/>
        </a:ln>
        <a:effectLst/>
      </c:spPr>
    </c:title>
    <c:autoTitleDeleted val="0"/>
    <c:plotArea>
      <c:layout>
        <c:manualLayout>
          <c:layoutTarget val="inner"/>
          <c:xMode val="edge"/>
          <c:yMode val="edge"/>
          <c:x val="7.9281390951654596E-2"/>
          <c:y val="0.24356955380577403"/>
          <c:w val="0.83744929761177722"/>
          <c:h val="0.57716827063283804"/>
        </c:manualLayout>
      </c:layout>
      <c:barChart>
        <c:barDir val="col"/>
        <c:grouping val="stacked"/>
        <c:varyColors val="0"/>
        <c:ser>
          <c:idx val="0"/>
          <c:order val="0"/>
          <c:tx>
            <c:strRef>
              <c:f>'Información Recibida'!$D$1164</c:f>
              <c:strCache>
                <c:ptCount val="1"/>
                <c:pt idx="0">
                  <c:v>Nùmero de Respuestas</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Recibida'!$E$1163:$G$1163</c:f>
              <c:strCache>
                <c:ptCount val="3"/>
                <c:pt idx="0">
                  <c:v>Sí</c:v>
                </c:pt>
                <c:pt idx="1">
                  <c:v>No</c:v>
                </c:pt>
                <c:pt idx="2">
                  <c:v>No Responde</c:v>
                </c:pt>
              </c:strCache>
            </c:strRef>
          </c:cat>
          <c:val>
            <c:numRef>
              <c:f>'Información Recibida'!$E$1164:$G$1164</c:f>
              <c:numCache>
                <c:formatCode>General</c:formatCode>
                <c:ptCount val="3"/>
                <c:pt idx="0">
                  <c:v>150</c:v>
                </c:pt>
                <c:pt idx="1">
                  <c:v>134</c:v>
                </c:pt>
                <c:pt idx="2">
                  <c:v>90</c:v>
                </c:pt>
              </c:numCache>
            </c:numRef>
          </c:val>
          <c:extLst>
            <c:ext xmlns:c16="http://schemas.microsoft.com/office/drawing/2014/chart" uri="{C3380CC4-5D6E-409C-BE32-E72D297353CC}">
              <c16:uniqueId val="{00000000-F8A4-4846-BDB6-14359DA6F507}"/>
            </c:ext>
          </c:extLst>
        </c:ser>
        <c:dLbls>
          <c:showLegendKey val="0"/>
          <c:showVal val="0"/>
          <c:showCatName val="0"/>
          <c:showSerName val="0"/>
          <c:showPercent val="0"/>
          <c:showBubbleSize val="0"/>
        </c:dLbls>
        <c:gapWidth val="219"/>
        <c:overlap val="100"/>
        <c:axId val="144343040"/>
        <c:axId val="144344960"/>
      </c:barChart>
      <c:lineChart>
        <c:grouping val="standard"/>
        <c:varyColors val="0"/>
        <c:ser>
          <c:idx val="1"/>
          <c:order val="1"/>
          <c:tx>
            <c:strRef>
              <c:f>'Información Recibida'!$D$1165</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Recibida'!$E$1165:$G$1165</c:f>
              <c:numCache>
                <c:formatCode>0%</c:formatCode>
                <c:ptCount val="3"/>
                <c:pt idx="0">
                  <c:v>0.40106951871657792</c:v>
                </c:pt>
                <c:pt idx="1">
                  <c:v>0.35828877005347604</c:v>
                </c:pt>
                <c:pt idx="2">
                  <c:v>0.24064171122994596</c:v>
                </c:pt>
              </c:numCache>
            </c:numRef>
          </c:val>
          <c:smooth val="0"/>
          <c:extLst>
            <c:ext xmlns:c16="http://schemas.microsoft.com/office/drawing/2014/chart" uri="{C3380CC4-5D6E-409C-BE32-E72D297353CC}">
              <c16:uniqueId val="{00000001-F8A4-4846-BDB6-14359DA6F507}"/>
            </c:ext>
          </c:extLst>
        </c:ser>
        <c:dLbls>
          <c:showLegendKey val="0"/>
          <c:showVal val="0"/>
          <c:showCatName val="0"/>
          <c:showSerName val="0"/>
          <c:showPercent val="0"/>
          <c:showBubbleSize val="0"/>
        </c:dLbls>
        <c:marker val="1"/>
        <c:smooth val="0"/>
        <c:axId val="146773120"/>
        <c:axId val="144346496"/>
      </c:lineChart>
      <c:catAx>
        <c:axId val="1443430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s-ES" sz="900"/>
                  <a:t># Municipios</a:t>
                </a:r>
              </a:p>
            </c:rich>
          </c:tx>
          <c:layout>
            <c:manualLayout>
              <c:xMode val="edge"/>
              <c:yMode val="edge"/>
              <c:x val="1.3918959887746999E-3"/>
              <c:y val="0.119661425415710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4344960"/>
        <c:crosses val="autoZero"/>
        <c:auto val="1"/>
        <c:lblAlgn val="ctr"/>
        <c:lblOffset val="100"/>
        <c:noMultiLvlLbl val="0"/>
      </c:catAx>
      <c:valAx>
        <c:axId val="144344960"/>
        <c:scaling>
          <c:orientation val="minMax"/>
          <c:max val="3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4343040"/>
        <c:crosses val="autoZero"/>
        <c:crossBetween val="between"/>
        <c:majorUnit val="76"/>
      </c:valAx>
      <c:valAx>
        <c:axId val="144346496"/>
        <c:scaling>
          <c:orientation val="minMax"/>
          <c:max val="1"/>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46773120"/>
        <c:crosses val="max"/>
        <c:crossBetween val="between"/>
      </c:valAx>
      <c:catAx>
        <c:axId val="146773120"/>
        <c:scaling>
          <c:orientation val="minMax"/>
        </c:scaling>
        <c:delete val="1"/>
        <c:axPos val="b"/>
        <c:numFmt formatCode="General" sourceLinked="1"/>
        <c:majorTickMark val="out"/>
        <c:minorTickMark val="none"/>
        <c:tickLblPos val="none"/>
        <c:crossAx val="144346496"/>
        <c:crosses val="autoZero"/>
        <c:auto val="1"/>
        <c:lblAlgn val="ctr"/>
        <c:lblOffset val="100"/>
        <c:noMultiLvlLbl val="0"/>
      </c:catAx>
      <c:spPr>
        <a:noFill/>
        <a:ln>
          <a:noFill/>
        </a:ln>
        <a:effectLst/>
      </c:spPr>
    </c:plotArea>
    <c:legend>
      <c:legendPos val="r"/>
      <c:layout>
        <c:manualLayout>
          <c:xMode val="edge"/>
          <c:yMode val="edge"/>
          <c:x val="0.237634076990376"/>
          <c:y val="0.90608741615631405"/>
          <c:w val="0.56236592300962396"/>
          <c:h val="9.14362787984835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Recibida'!$D$1649</c:f>
          <c:strCache>
            <c:ptCount val="1"/>
            <c:pt idx="0">
              <c:v>¿Proporciona Monto Recaudado Por Multas desde entrada en Vigencia Ley 1774 2016?</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Recibida'!$E$1651:$E$1652</c:f>
              <c:strCache>
                <c:ptCount val="2"/>
                <c:pt idx="0">
                  <c:v>Sí</c:v>
                </c:pt>
                <c:pt idx="1">
                  <c:v>No</c:v>
                </c:pt>
              </c:strCache>
            </c:strRef>
          </c:cat>
          <c:val>
            <c:numRef>
              <c:f>'Información Recibida'!$F$1651:$F$1652</c:f>
              <c:numCache>
                <c:formatCode>General</c:formatCode>
                <c:ptCount val="2"/>
                <c:pt idx="0">
                  <c:v>234</c:v>
                </c:pt>
                <c:pt idx="1">
                  <c:v>140</c:v>
                </c:pt>
              </c:numCache>
            </c:numRef>
          </c:val>
          <c:extLst>
            <c:ext xmlns:c16="http://schemas.microsoft.com/office/drawing/2014/chart" uri="{C3380CC4-5D6E-409C-BE32-E72D297353CC}">
              <c16:uniqueId val="{00000000-120F-444F-95AC-B9D2547DEBBA}"/>
            </c:ext>
          </c:extLst>
        </c:ser>
        <c:dLbls>
          <c:showLegendKey val="0"/>
          <c:showVal val="0"/>
          <c:showCatName val="0"/>
          <c:showSerName val="0"/>
          <c:showPercent val="0"/>
          <c:showBubbleSize val="0"/>
        </c:dLbls>
        <c:gapWidth val="219"/>
        <c:overlap val="100"/>
        <c:axId val="155028096"/>
        <c:axId val="155034368"/>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Recibida'!$G$1651:$G$1652</c:f>
              <c:numCache>
                <c:formatCode>0%</c:formatCode>
                <c:ptCount val="2"/>
                <c:pt idx="0">
                  <c:v>0.62566844919786102</c:v>
                </c:pt>
                <c:pt idx="1">
                  <c:v>0.37433155080213892</c:v>
                </c:pt>
              </c:numCache>
            </c:numRef>
          </c:val>
          <c:smooth val="0"/>
          <c:extLst>
            <c:ext xmlns:c16="http://schemas.microsoft.com/office/drawing/2014/chart" uri="{C3380CC4-5D6E-409C-BE32-E72D297353CC}">
              <c16:uniqueId val="{00000001-120F-444F-95AC-B9D2547DEBBA}"/>
            </c:ext>
          </c:extLst>
        </c:ser>
        <c:dLbls>
          <c:showLegendKey val="0"/>
          <c:showVal val="0"/>
          <c:showCatName val="0"/>
          <c:showSerName val="0"/>
          <c:showPercent val="0"/>
          <c:showBubbleSize val="0"/>
        </c:dLbls>
        <c:marker val="1"/>
        <c:smooth val="0"/>
        <c:axId val="155045888"/>
        <c:axId val="155035904"/>
      </c:lineChart>
      <c:catAx>
        <c:axId val="155028096"/>
        <c:scaling>
          <c:orientation val="minMax"/>
        </c:scaling>
        <c:delete val="0"/>
        <c:axPos val="b"/>
        <c:title>
          <c:tx>
            <c:rich>
              <a:bodyPr rot="0" vert="horz"/>
              <a:lstStyle/>
              <a:p>
                <a:pPr>
                  <a:defRPr/>
                </a:pPr>
                <a:r>
                  <a:rPr lang="es-ES"/>
                  <a:t># Municipios</a:t>
                </a:r>
              </a:p>
            </c:rich>
          </c:tx>
          <c:layout>
            <c:manualLayout>
              <c:xMode val="edge"/>
              <c:yMode val="edge"/>
              <c:x val="1.3136708091086202E-3"/>
              <c:y val="0.128448502950297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5034368"/>
        <c:crosses val="autoZero"/>
        <c:auto val="1"/>
        <c:lblAlgn val="ctr"/>
        <c:lblOffset val="100"/>
        <c:noMultiLvlLbl val="0"/>
      </c:catAx>
      <c:valAx>
        <c:axId val="155034368"/>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5028096"/>
        <c:crosses val="autoZero"/>
        <c:crossBetween val="between"/>
        <c:majorUnit val="76"/>
      </c:valAx>
      <c:valAx>
        <c:axId val="15503590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5045888"/>
        <c:crosses val="max"/>
        <c:crossBetween val="between"/>
      </c:valAx>
      <c:catAx>
        <c:axId val="155045888"/>
        <c:scaling>
          <c:orientation val="minMax"/>
        </c:scaling>
        <c:delete val="1"/>
        <c:axPos val="b"/>
        <c:numFmt formatCode="General" sourceLinked="1"/>
        <c:majorTickMark val="out"/>
        <c:minorTickMark val="none"/>
        <c:tickLblPos val="none"/>
        <c:crossAx val="15503590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Recibida'!$D$1664</c:f>
          <c:strCache>
            <c:ptCount val="1"/>
            <c:pt idx="0">
              <c:v>Monto Recaudado Por Multas desde entrada en Vigencia Ley 1774 2016 </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dLbl>
              <c:idx val="2"/>
              <c:layout>
                <c:manualLayout>
                  <c:x val="4.0857843124112898E-2"/>
                  <c:y val="-1.7090491799087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4F-DA42-9CDB-DA2104BC6419}"/>
                </c:ext>
              </c:extLst>
            </c:dLbl>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Recibida'!$E$1666:$E$1668</c:f>
              <c:strCache>
                <c:ptCount val="3"/>
                <c:pt idx="0">
                  <c:v>0</c:v>
                </c:pt>
                <c:pt idx="1">
                  <c:v>No Responde</c:v>
                </c:pt>
                <c:pt idx="2">
                  <c:v>Otro Valor Mayor a Cero</c:v>
                </c:pt>
              </c:strCache>
            </c:strRef>
          </c:cat>
          <c:val>
            <c:numRef>
              <c:f>'Información Recibida'!$F$1666:$F$1668</c:f>
              <c:numCache>
                <c:formatCode>General</c:formatCode>
                <c:ptCount val="3"/>
                <c:pt idx="0">
                  <c:v>231</c:v>
                </c:pt>
                <c:pt idx="1">
                  <c:v>140</c:v>
                </c:pt>
                <c:pt idx="2">
                  <c:v>3</c:v>
                </c:pt>
              </c:numCache>
            </c:numRef>
          </c:val>
          <c:extLst>
            <c:ext xmlns:c16="http://schemas.microsoft.com/office/drawing/2014/chart" uri="{C3380CC4-5D6E-409C-BE32-E72D297353CC}">
              <c16:uniqueId val="{00000001-5A4F-DA42-9CDB-DA2104BC6419}"/>
            </c:ext>
          </c:extLst>
        </c:ser>
        <c:dLbls>
          <c:showLegendKey val="0"/>
          <c:showVal val="0"/>
          <c:showCatName val="0"/>
          <c:showSerName val="0"/>
          <c:showPercent val="0"/>
          <c:showBubbleSize val="0"/>
        </c:dLbls>
        <c:gapWidth val="219"/>
        <c:overlap val="100"/>
        <c:axId val="156351488"/>
        <c:axId val="156357760"/>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Recibida'!$G$1666:$G$1668</c:f>
              <c:numCache>
                <c:formatCode>0%</c:formatCode>
                <c:ptCount val="3"/>
                <c:pt idx="0">
                  <c:v>0.61764705882353022</c:v>
                </c:pt>
                <c:pt idx="1">
                  <c:v>0.37433155080213892</c:v>
                </c:pt>
                <c:pt idx="2">
                  <c:v>8.0213903743315499E-3</c:v>
                </c:pt>
              </c:numCache>
            </c:numRef>
          </c:val>
          <c:smooth val="0"/>
          <c:extLst>
            <c:ext xmlns:c16="http://schemas.microsoft.com/office/drawing/2014/chart" uri="{C3380CC4-5D6E-409C-BE32-E72D297353CC}">
              <c16:uniqueId val="{00000002-5A4F-DA42-9CDB-DA2104BC6419}"/>
            </c:ext>
          </c:extLst>
        </c:ser>
        <c:dLbls>
          <c:showLegendKey val="0"/>
          <c:showVal val="0"/>
          <c:showCatName val="0"/>
          <c:showSerName val="0"/>
          <c:showPercent val="0"/>
          <c:showBubbleSize val="0"/>
        </c:dLbls>
        <c:marker val="1"/>
        <c:smooth val="0"/>
        <c:axId val="156361088"/>
        <c:axId val="156359296"/>
      </c:lineChart>
      <c:catAx>
        <c:axId val="156351488"/>
        <c:scaling>
          <c:orientation val="minMax"/>
        </c:scaling>
        <c:delete val="0"/>
        <c:axPos val="b"/>
        <c:title>
          <c:tx>
            <c:rich>
              <a:bodyPr rot="0" vert="horz"/>
              <a:lstStyle/>
              <a:p>
                <a:pPr>
                  <a:defRPr/>
                </a:pPr>
                <a:r>
                  <a:rPr lang="es-ES"/>
                  <a:t># Municipios</a:t>
                </a:r>
              </a:p>
            </c:rich>
          </c:tx>
          <c:layout>
            <c:manualLayout>
              <c:xMode val="edge"/>
              <c:yMode val="edge"/>
              <c:x val="1.3136708091086202E-3"/>
              <c:y val="0.128448502950297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6357760"/>
        <c:crosses val="autoZero"/>
        <c:auto val="1"/>
        <c:lblAlgn val="ctr"/>
        <c:lblOffset val="100"/>
        <c:noMultiLvlLbl val="0"/>
      </c:catAx>
      <c:valAx>
        <c:axId val="156357760"/>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6351488"/>
        <c:crosses val="autoZero"/>
        <c:crossBetween val="between"/>
        <c:majorUnit val="76"/>
      </c:valAx>
      <c:valAx>
        <c:axId val="156359296"/>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6361088"/>
        <c:crosses val="max"/>
        <c:crossBetween val="between"/>
      </c:valAx>
      <c:catAx>
        <c:axId val="156361088"/>
        <c:scaling>
          <c:orientation val="minMax"/>
        </c:scaling>
        <c:delete val="1"/>
        <c:axPos val="b"/>
        <c:numFmt formatCode="General" sourceLinked="1"/>
        <c:majorTickMark val="out"/>
        <c:minorTickMark val="none"/>
        <c:tickLblPos val="none"/>
        <c:crossAx val="15635929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rich>
          <a:bodyPr rot="0" vert="horz"/>
          <a:lstStyle/>
          <a:p>
            <a:pPr>
              <a:defRPr/>
            </a:pPr>
            <a:r>
              <a:rPr lang="es-CO"/>
              <a:t>A. Formulación, Divulgación, Ejecución y Seguimiento de Políticas de
 Protección a los Animales</a:t>
            </a:r>
          </a:p>
        </c:rich>
      </c:tx>
      <c:overlay val="0"/>
      <c:spPr>
        <a:noFill/>
        <a:ln>
          <a:noFill/>
        </a:ln>
        <a:effectLst/>
      </c:spPr>
    </c:title>
    <c:autoTitleDeleted val="0"/>
    <c:plotArea>
      <c:layout>
        <c:manualLayout>
          <c:layoutTarget val="inner"/>
          <c:xMode val="edge"/>
          <c:yMode val="edge"/>
          <c:x val="7.9281390951654596E-2"/>
          <c:y val="0.38888810789869915"/>
          <c:w val="0.85222121194591904"/>
          <c:h val="0.43184947013448111"/>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Recibida'!$E$1684:$E$1685</c:f>
              <c:strCache>
                <c:ptCount val="2"/>
                <c:pt idx="0">
                  <c:v>0</c:v>
                </c:pt>
                <c:pt idx="1">
                  <c:v>No Responde</c:v>
                </c:pt>
              </c:strCache>
            </c:strRef>
          </c:cat>
          <c:val>
            <c:numRef>
              <c:f>'Información Recibida'!$F$1684:$F$1685</c:f>
              <c:numCache>
                <c:formatCode>General</c:formatCode>
                <c:ptCount val="2"/>
                <c:pt idx="0">
                  <c:v>228</c:v>
                </c:pt>
                <c:pt idx="1">
                  <c:v>146</c:v>
                </c:pt>
              </c:numCache>
            </c:numRef>
          </c:val>
          <c:extLst>
            <c:ext xmlns:c16="http://schemas.microsoft.com/office/drawing/2014/chart" uri="{C3380CC4-5D6E-409C-BE32-E72D297353CC}">
              <c16:uniqueId val="{00000000-D0E0-6F43-A601-0A0BACC760CE}"/>
            </c:ext>
          </c:extLst>
        </c:ser>
        <c:dLbls>
          <c:showLegendKey val="0"/>
          <c:showVal val="0"/>
          <c:showCatName val="0"/>
          <c:showSerName val="0"/>
          <c:showPercent val="0"/>
          <c:showBubbleSize val="0"/>
        </c:dLbls>
        <c:gapWidth val="219"/>
        <c:overlap val="100"/>
        <c:axId val="156281856"/>
        <c:axId val="156288128"/>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Recibida'!$G$1684:$G$1685</c:f>
              <c:numCache>
                <c:formatCode>0%</c:formatCode>
                <c:ptCount val="2"/>
                <c:pt idx="0">
                  <c:v>0.6096256684491983</c:v>
                </c:pt>
                <c:pt idx="1">
                  <c:v>0.39037433155080209</c:v>
                </c:pt>
              </c:numCache>
            </c:numRef>
          </c:val>
          <c:smooth val="0"/>
          <c:extLst>
            <c:ext xmlns:c16="http://schemas.microsoft.com/office/drawing/2014/chart" uri="{C3380CC4-5D6E-409C-BE32-E72D297353CC}">
              <c16:uniqueId val="{00000001-D0E0-6F43-A601-0A0BACC760CE}"/>
            </c:ext>
          </c:extLst>
        </c:ser>
        <c:dLbls>
          <c:showLegendKey val="0"/>
          <c:showVal val="0"/>
          <c:showCatName val="0"/>
          <c:showSerName val="0"/>
          <c:showPercent val="0"/>
          <c:showBubbleSize val="0"/>
        </c:dLbls>
        <c:marker val="1"/>
        <c:smooth val="0"/>
        <c:axId val="156369280"/>
        <c:axId val="156289664"/>
      </c:lineChart>
      <c:catAx>
        <c:axId val="156281856"/>
        <c:scaling>
          <c:orientation val="minMax"/>
        </c:scaling>
        <c:delete val="0"/>
        <c:axPos val="b"/>
        <c:title>
          <c:tx>
            <c:rich>
              <a:bodyPr rot="0" vert="horz"/>
              <a:lstStyle/>
              <a:p>
                <a:pPr>
                  <a:defRPr/>
                </a:pPr>
                <a:r>
                  <a:rPr lang="es-ES"/>
                  <a:t># Municipios</a:t>
                </a:r>
              </a:p>
            </c:rich>
          </c:tx>
          <c:layout>
            <c:manualLayout>
              <c:xMode val="edge"/>
              <c:yMode val="edge"/>
              <c:x val="1.3134900604446001E-3"/>
              <c:y val="0.273767284175631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6288128"/>
        <c:crosses val="autoZero"/>
        <c:auto val="1"/>
        <c:lblAlgn val="ctr"/>
        <c:lblOffset val="100"/>
        <c:noMultiLvlLbl val="0"/>
      </c:catAx>
      <c:valAx>
        <c:axId val="156288128"/>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6281856"/>
        <c:crosses val="autoZero"/>
        <c:crossBetween val="between"/>
        <c:majorUnit val="76"/>
      </c:valAx>
      <c:valAx>
        <c:axId val="15628966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6369280"/>
        <c:crosses val="max"/>
        <c:crossBetween val="between"/>
      </c:valAx>
      <c:catAx>
        <c:axId val="156369280"/>
        <c:scaling>
          <c:orientation val="minMax"/>
        </c:scaling>
        <c:delete val="1"/>
        <c:axPos val="b"/>
        <c:numFmt formatCode="General" sourceLinked="1"/>
        <c:majorTickMark val="out"/>
        <c:minorTickMark val="none"/>
        <c:tickLblPos val="none"/>
        <c:crossAx val="15628966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rich>
          <a:bodyPr rot="0" vert="horz"/>
          <a:lstStyle/>
          <a:p>
            <a:pPr>
              <a:defRPr/>
            </a:pPr>
            <a:r>
              <a:rPr lang="es-CO"/>
              <a:t>B. Campañas de Sensibilización y Educación Ciudadana</a:t>
            </a:r>
          </a:p>
        </c:rich>
      </c:tx>
      <c:overlay val="0"/>
      <c:spPr>
        <a:noFill/>
        <a:ln>
          <a:noFill/>
        </a:ln>
        <a:effectLst/>
      </c:spPr>
    </c:title>
    <c:autoTitleDeleted val="0"/>
    <c:plotArea>
      <c:layout>
        <c:manualLayout>
          <c:layoutTarget val="inner"/>
          <c:xMode val="edge"/>
          <c:yMode val="edge"/>
          <c:x val="7.9281390951654596E-2"/>
          <c:y val="0.35982437528503913"/>
          <c:w val="0.85222121194591904"/>
          <c:h val="0.46091320274814102"/>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Recibida'!$E$1700:$E$1701</c:f>
              <c:strCache>
                <c:ptCount val="2"/>
                <c:pt idx="0">
                  <c:v>0</c:v>
                </c:pt>
                <c:pt idx="1">
                  <c:v>No Responde</c:v>
                </c:pt>
              </c:strCache>
            </c:strRef>
          </c:cat>
          <c:val>
            <c:numRef>
              <c:f>'Información Recibida'!$F$1700:$F$1701</c:f>
              <c:numCache>
                <c:formatCode>General</c:formatCode>
                <c:ptCount val="2"/>
                <c:pt idx="0">
                  <c:v>228</c:v>
                </c:pt>
                <c:pt idx="1">
                  <c:v>146</c:v>
                </c:pt>
              </c:numCache>
            </c:numRef>
          </c:val>
          <c:extLst>
            <c:ext xmlns:c16="http://schemas.microsoft.com/office/drawing/2014/chart" uri="{C3380CC4-5D6E-409C-BE32-E72D297353CC}">
              <c16:uniqueId val="{00000000-B6A8-534C-AAB4-B9265145E754}"/>
            </c:ext>
          </c:extLst>
        </c:ser>
        <c:dLbls>
          <c:showLegendKey val="0"/>
          <c:showVal val="0"/>
          <c:showCatName val="0"/>
          <c:showSerName val="0"/>
          <c:showPercent val="0"/>
          <c:showBubbleSize val="0"/>
        </c:dLbls>
        <c:gapWidth val="219"/>
        <c:overlap val="100"/>
        <c:axId val="156412928"/>
        <c:axId val="156419200"/>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Recibida'!$G$1700:$G$1701</c:f>
              <c:numCache>
                <c:formatCode>0%</c:formatCode>
                <c:ptCount val="2"/>
                <c:pt idx="0">
                  <c:v>0.6096256684491983</c:v>
                </c:pt>
                <c:pt idx="1">
                  <c:v>0.39037433155080209</c:v>
                </c:pt>
              </c:numCache>
            </c:numRef>
          </c:val>
          <c:smooth val="0"/>
          <c:extLst>
            <c:ext xmlns:c16="http://schemas.microsoft.com/office/drawing/2014/chart" uri="{C3380CC4-5D6E-409C-BE32-E72D297353CC}">
              <c16:uniqueId val="{00000001-B6A8-534C-AAB4-B9265145E754}"/>
            </c:ext>
          </c:extLst>
        </c:ser>
        <c:dLbls>
          <c:showLegendKey val="0"/>
          <c:showVal val="0"/>
          <c:showCatName val="0"/>
          <c:showSerName val="0"/>
          <c:showPercent val="0"/>
          <c:showBubbleSize val="0"/>
        </c:dLbls>
        <c:marker val="1"/>
        <c:smooth val="0"/>
        <c:axId val="156443008"/>
        <c:axId val="156420736"/>
      </c:lineChart>
      <c:catAx>
        <c:axId val="156412928"/>
        <c:scaling>
          <c:orientation val="minMax"/>
        </c:scaling>
        <c:delete val="0"/>
        <c:axPos val="b"/>
        <c:title>
          <c:tx>
            <c:rich>
              <a:bodyPr rot="0" vert="horz"/>
              <a:lstStyle/>
              <a:p>
                <a:pPr>
                  <a:defRPr/>
                </a:pPr>
                <a:r>
                  <a:rPr lang="es-ES"/>
                  <a:t># Municipios</a:t>
                </a:r>
              </a:p>
            </c:rich>
          </c:tx>
          <c:layout>
            <c:manualLayout>
              <c:xMode val="edge"/>
              <c:yMode val="edge"/>
              <c:x val="1.3135402266940702E-3"/>
              <c:y val="0.244703551561971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6419200"/>
        <c:crosses val="autoZero"/>
        <c:auto val="1"/>
        <c:lblAlgn val="ctr"/>
        <c:lblOffset val="100"/>
        <c:noMultiLvlLbl val="0"/>
      </c:catAx>
      <c:valAx>
        <c:axId val="156419200"/>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6412928"/>
        <c:crosses val="autoZero"/>
        <c:crossBetween val="between"/>
        <c:majorUnit val="76"/>
      </c:valAx>
      <c:valAx>
        <c:axId val="156420736"/>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6443008"/>
        <c:crosses val="max"/>
        <c:crossBetween val="between"/>
      </c:valAx>
      <c:catAx>
        <c:axId val="156443008"/>
        <c:scaling>
          <c:orientation val="minMax"/>
        </c:scaling>
        <c:delete val="1"/>
        <c:axPos val="b"/>
        <c:numFmt formatCode="General" sourceLinked="1"/>
        <c:majorTickMark val="out"/>
        <c:minorTickMark val="none"/>
        <c:tickLblPos val="none"/>
        <c:crossAx val="15642073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rich>
          <a:bodyPr rot="0" vert="horz"/>
          <a:lstStyle/>
          <a:p>
            <a:pPr>
              <a:defRPr/>
            </a:pPr>
            <a:r>
              <a:rPr lang="es-CO"/>
              <a:t>C. Constitución de Fondos de Protección Animal, Vinculando de Manera Activa a las Organizaciones Animalistas y JDA
</a:t>
            </a:r>
          </a:p>
        </c:rich>
      </c:tx>
      <c:layout>
        <c:manualLayout>
          <c:xMode val="edge"/>
          <c:yMode val="edge"/>
          <c:x val="0.15190724700059202"/>
          <c:y val="0"/>
        </c:manualLayout>
      </c:layout>
      <c:overlay val="0"/>
      <c:spPr>
        <a:noFill/>
        <a:ln>
          <a:noFill/>
        </a:ln>
        <a:effectLst/>
      </c:spPr>
    </c:title>
    <c:autoTitleDeleted val="0"/>
    <c:plotArea>
      <c:layout>
        <c:manualLayout>
          <c:layoutTarget val="inner"/>
          <c:xMode val="edge"/>
          <c:yMode val="edge"/>
          <c:x val="7.9281390951654596E-2"/>
          <c:y val="0.36397633708699006"/>
          <c:w val="0.85222121194591904"/>
          <c:h val="0.40901368022374807"/>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Recibida'!$E$1717:$E$1719</c:f>
              <c:strCache>
                <c:ptCount val="3"/>
                <c:pt idx="0">
                  <c:v>0</c:v>
                </c:pt>
                <c:pt idx="1">
                  <c:v>No Responde</c:v>
                </c:pt>
                <c:pt idx="2">
                  <c:v>Otro Valor Mayor a Cero</c:v>
                </c:pt>
              </c:strCache>
            </c:strRef>
          </c:cat>
          <c:val>
            <c:numRef>
              <c:f>'Información Recibida'!$F$1717:$F$1719</c:f>
              <c:numCache>
                <c:formatCode>General</c:formatCode>
                <c:ptCount val="3"/>
                <c:pt idx="0">
                  <c:v>228</c:v>
                </c:pt>
                <c:pt idx="1">
                  <c:v>145</c:v>
                </c:pt>
                <c:pt idx="2">
                  <c:v>1</c:v>
                </c:pt>
              </c:numCache>
            </c:numRef>
          </c:val>
          <c:extLst>
            <c:ext xmlns:c16="http://schemas.microsoft.com/office/drawing/2014/chart" uri="{C3380CC4-5D6E-409C-BE32-E72D297353CC}">
              <c16:uniqueId val="{00000000-966A-6146-9891-3B634B2BA106}"/>
            </c:ext>
          </c:extLst>
        </c:ser>
        <c:dLbls>
          <c:showLegendKey val="0"/>
          <c:showVal val="0"/>
          <c:showCatName val="0"/>
          <c:showSerName val="0"/>
          <c:showPercent val="0"/>
          <c:showBubbleSize val="0"/>
        </c:dLbls>
        <c:gapWidth val="219"/>
        <c:overlap val="100"/>
        <c:axId val="156490752"/>
        <c:axId val="156501120"/>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Recibida'!$G$1717:$G$1719</c:f>
              <c:numCache>
                <c:formatCode>0.0%</c:formatCode>
                <c:ptCount val="3"/>
                <c:pt idx="0">
                  <c:v>0.6096256684491983</c:v>
                </c:pt>
                <c:pt idx="1">
                  <c:v>0.38770053475935806</c:v>
                </c:pt>
                <c:pt idx="2">
                  <c:v>2.6737967914438505E-3</c:v>
                </c:pt>
              </c:numCache>
            </c:numRef>
          </c:val>
          <c:smooth val="0"/>
          <c:extLst>
            <c:ext xmlns:c16="http://schemas.microsoft.com/office/drawing/2014/chart" uri="{C3380CC4-5D6E-409C-BE32-E72D297353CC}">
              <c16:uniqueId val="{00000001-966A-6146-9891-3B634B2BA106}"/>
            </c:ext>
          </c:extLst>
        </c:ser>
        <c:dLbls>
          <c:showLegendKey val="0"/>
          <c:showVal val="0"/>
          <c:showCatName val="0"/>
          <c:showSerName val="0"/>
          <c:showPercent val="0"/>
          <c:showBubbleSize val="0"/>
        </c:dLbls>
        <c:marker val="1"/>
        <c:smooth val="0"/>
        <c:axId val="156508544"/>
        <c:axId val="156502656"/>
      </c:lineChart>
      <c:catAx>
        <c:axId val="156490752"/>
        <c:scaling>
          <c:orientation val="minMax"/>
        </c:scaling>
        <c:delete val="0"/>
        <c:axPos val="b"/>
        <c:title>
          <c:tx>
            <c:rich>
              <a:bodyPr rot="0" vert="horz"/>
              <a:lstStyle/>
              <a:p>
                <a:pPr>
                  <a:defRPr/>
                </a:pPr>
                <a:r>
                  <a:rPr lang="es-ES"/>
                  <a:t># Municipios</a:t>
                </a:r>
              </a:p>
            </c:rich>
          </c:tx>
          <c:layout>
            <c:manualLayout>
              <c:xMode val="edge"/>
              <c:yMode val="edge"/>
              <c:x val="1.1118830184680202E-3"/>
              <c:y val="0.248851917176534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6501120"/>
        <c:crosses val="autoZero"/>
        <c:auto val="1"/>
        <c:lblAlgn val="ctr"/>
        <c:lblOffset val="100"/>
        <c:noMultiLvlLbl val="0"/>
      </c:catAx>
      <c:valAx>
        <c:axId val="156501120"/>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6490752"/>
        <c:crosses val="autoZero"/>
        <c:crossBetween val="between"/>
        <c:majorUnit val="76"/>
      </c:valAx>
      <c:valAx>
        <c:axId val="156502656"/>
        <c:scaling>
          <c:orientation val="minMax"/>
          <c:max val="1"/>
        </c:scaling>
        <c:delete val="0"/>
        <c:axPos val="r"/>
        <c:numFmt formatCode="0.0%" sourceLinked="1"/>
        <c:majorTickMark val="out"/>
        <c:minorTickMark val="none"/>
        <c:tickLblPos val="nextTo"/>
        <c:spPr>
          <a:noFill/>
          <a:ln>
            <a:noFill/>
          </a:ln>
          <a:effectLst/>
        </c:spPr>
        <c:txPr>
          <a:bodyPr rot="-60000000" vert="horz"/>
          <a:lstStyle/>
          <a:p>
            <a:pPr>
              <a:defRPr/>
            </a:pPr>
            <a:endParaRPr lang="es-CO"/>
          </a:p>
        </c:txPr>
        <c:crossAx val="156508544"/>
        <c:crosses val="max"/>
        <c:crossBetween val="between"/>
      </c:valAx>
      <c:catAx>
        <c:axId val="156508544"/>
        <c:scaling>
          <c:orientation val="minMax"/>
        </c:scaling>
        <c:delete val="1"/>
        <c:axPos val="b"/>
        <c:numFmt formatCode="General" sourceLinked="1"/>
        <c:majorTickMark val="out"/>
        <c:minorTickMark val="none"/>
        <c:tickLblPos val="none"/>
        <c:crossAx val="1565026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autoTitleDeleted val="1"/>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Recibida'!$E$1730:$E$1733</c:f>
              <c:strCache>
                <c:ptCount val="4"/>
                <c:pt idx="0">
                  <c:v>Completo</c:v>
                </c:pt>
                <c:pt idx="1">
                  <c:v>Parcial</c:v>
                </c:pt>
                <c:pt idx="2">
                  <c:v>Tramite</c:v>
                </c:pt>
                <c:pt idx="3">
                  <c:v>No</c:v>
                </c:pt>
              </c:strCache>
            </c:strRef>
          </c:cat>
          <c:val>
            <c:numRef>
              <c:f>'Información Recibida'!$F$1730:$F$1733</c:f>
              <c:numCache>
                <c:formatCode>General</c:formatCode>
                <c:ptCount val="4"/>
                <c:pt idx="0">
                  <c:v>61</c:v>
                </c:pt>
                <c:pt idx="1">
                  <c:v>296</c:v>
                </c:pt>
                <c:pt idx="2">
                  <c:v>7</c:v>
                </c:pt>
                <c:pt idx="3">
                  <c:v>10</c:v>
                </c:pt>
              </c:numCache>
            </c:numRef>
          </c:val>
          <c:extLst>
            <c:ext xmlns:c16="http://schemas.microsoft.com/office/drawing/2014/chart" uri="{C3380CC4-5D6E-409C-BE32-E72D297353CC}">
              <c16:uniqueId val="{00000000-37D3-DC47-AB17-1CCFC6F29DF8}"/>
            </c:ext>
          </c:extLst>
        </c:ser>
        <c:dLbls>
          <c:showLegendKey val="0"/>
          <c:showVal val="0"/>
          <c:showCatName val="0"/>
          <c:showSerName val="0"/>
          <c:showPercent val="0"/>
          <c:showBubbleSize val="0"/>
        </c:dLbls>
        <c:gapWidth val="219"/>
        <c:overlap val="100"/>
        <c:axId val="156548480"/>
        <c:axId val="156562944"/>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Recibida'!$G$1730:$G$1733</c:f>
              <c:numCache>
                <c:formatCode>0%</c:formatCode>
                <c:ptCount val="4"/>
                <c:pt idx="0">
                  <c:v>0.16310160427807494</c:v>
                </c:pt>
                <c:pt idx="1">
                  <c:v>0.79144385026738007</c:v>
                </c:pt>
                <c:pt idx="2">
                  <c:v>1.8716577540106902E-2</c:v>
                </c:pt>
                <c:pt idx="3">
                  <c:v>2.6737967914438502E-2</c:v>
                </c:pt>
              </c:numCache>
            </c:numRef>
          </c:val>
          <c:smooth val="0"/>
          <c:extLst>
            <c:ext xmlns:c16="http://schemas.microsoft.com/office/drawing/2014/chart" uri="{C3380CC4-5D6E-409C-BE32-E72D297353CC}">
              <c16:uniqueId val="{00000001-37D3-DC47-AB17-1CCFC6F29DF8}"/>
            </c:ext>
          </c:extLst>
        </c:ser>
        <c:dLbls>
          <c:showLegendKey val="0"/>
          <c:showVal val="0"/>
          <c:showCatName val="0"/>
          <c:showSerName val="0"/>
          <c:showPercent val="0"/>
          <c:showBubbleSize val="0"/>
        </c:dLbls>
        <c:marker val="1"/>
        <c:smooth val="0"/>
        <c:axId val="156574464"/>
        <c:axId val="156564480"/>
      </c:lineChart>
      <c:catAx>
        <c:axId val="156548480"/>
        <c:scaling>
          <c:orientation val="minMax"/>
        </c:scaling>
        <c:delete val="0"/>
        <c:axPos val="b"/>
        <c:title>
          <c:tx>
            <c:rich>
              <a:bodyPr rot="0" vert="horz"/>
              <a:lstStyle/>
              <a:p>
                <a:pPr>
                  <a:defRPr/>
                </a:pPr>
                <a:r>
                  <a:rPr lang="es-ES"/>
                  <a:t># Municipios</a:t>
                </a:r>
              </a:p>
            </c:rich>
          </c:tx>
          <c:layout>
            <c:manualLayout>
              <c:xMode val="edge"/>
              <c:yMode val="edge"/>
              <c:x val="0"/>
              <c:y val="3.7183935775955017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6562944"/>
        <c:crosses val="autoZero"/>
        <c:auto val="1"/>
        <c:lblAlgn val="ctr"/>
        <c:lblOffset val="100"/>
        <c:noMultiLvlLbl val="0"/>
      </c:catAx>
      <c:valAx>
        <c:axId val="156562944"/>
        <c:scaling>
          <c:orientation val="minMax"/>
          <c:max val="3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56548480"/>
        <c:crosses val="autoZero"/>
        <c:crossBetween val="between"/>
        <c:majorUnit val="76"/>
      </c:valAx>
      <c:valAx>
        <c:axId val="156564480"/>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6574464"/>
        <c:crosses val="max"/>
        <c:crossBetween val="between"/>
      </c:valAx>
      <c:catAx>
        <c:axId val="156574464"/>
        <c:scaling>
          <c:orientation val="minMax"/>
        </c:scaling>
        <c:delete val="1"/>
        <c:axPos val="b"/>
        <c:numFmt formatCode="General" sourceLinked="1"/>
        <c:majorTickMark val="out"/>
        <c:minorTickMark val="none"/>
        <c:tickLblPos val="none"/>
        <c:crossAx val="15656448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rich>
          <a:bodyPr rot="0" vert="horz"/>
          <a:lstStyle/>
          <a:p>
            <a:pPr>
              <a:defRPr/>
            </a:pPr>
            <a:r>
              <a:rPr lang="es-CO"/>
              <a:t>Número de JDA Creadas por Año</a:t>
            </a:r>
          </a:p>
        </c:rich>
      </c:tx>
      <c:overlay val="0"/>
      <c:spPr>
        <a:noFill/>
        <a:ln>
          <a:noFill/>
        </a:ln>
        <a:effectLst/>
      </c:spPr>
    </c:title>
    <c:autoTitleDeleted val="0"/>
    <c:plotArea>
      <c:layout>
        <c:manualLayout>
          <c:layoutTarget val="inner"/>
          <c:xMode val="edge"/>
          <c:yMode val="edge"/>
          <c:x val="1.5678415148807804E-2"/>
          <c:y val="0.14627239838263503"/>
          <c:w val="0.98432158485119192"/>
          <c:h val="0.55769207047552516"/>
        </c:manualLayout>
      </c:layout>
      <c:barChart>
        <c:barDir val="col"/>
        <c:grouping val="stacked"/>
        <c:varyColors val="0"/>
        <c:ser>
          <c:idx val="0"/>
          <c:order val="0"/>
          <c:tx>
            <c:strRef>
              <c:f>'Información Recibida'!$F$1173</c:f>
              <c:strCache>
                <c:ptCount val="1"/>
                <c:pt idx="0">
                  <c:v>Número de Juntas Creadas por Año</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'Información Recibida'!$E$1174:$E$1193</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'Información Recibida'!$F$1174:$F$1193</c:f>
              <c:numCache>
                <c:formatCode>General</c:formatCode>
                <c:ptCount val="20"/>
                <c:pt idx="0">
                  <c:v>4</c:v>
                </c:pt>
                <c:pt idx="1">
                  <c:v>15</c:v>
                </c:pt>
                <c:pt idx="2">
                  <c:v>5</c:v>
                </c:pt>
                <c:pt idx="3">
                  <c:v>3</c:v>
                </c:pt>
                <c:pt idx="4">
                  <c:v>0</c:v>
                </c:pt>
                <c:pt idx="5">
                  <c:v>5</c:v>
                </c:pt>
                <c:pt idx="6">
                  <c:v>13</c:v>
                </c:pt>
                <c:pt idx="7">
                  <c:v>3</c:v>
                </c:pt>
                <c:pt idx="8">
                  <c:v>2</c:v>
                </c:pt>
                <c:pt idx="9">
                  <c:v>6</c:v>
                </c:pt>
                <c:pt idx="10">
                  <c:v>8</c:v>
                </c:pt>
                <c:pt idx="11">
                  <c:v>2</c:v>
                </c:pt>
                <c:pt idx="12">
                  <c:v>8</c:v>
                </c:pt>
                <c:pt idx="13">
                  <c:v>15</c:v>
                </c:pt>
                <c:pt idx="14">
                  <c:v>8</c:v>
                </c:pt>
                <c:pt idx="15">
                  <c:v>33</c:v>
                </c:pt>
                <c:pt idx="16">
                  <c:v>28</c:v>
                </c:pt>
                <c:pt idx="17">
                  <c:v>35</c:v>
                </c:pt>
                <c:pt idx="18">
                  <c:v>37</c:v>
                </c:pt>
                <c:pt idx="19">
                  <c:v>29</c:v>
                </c:pt>
              </c:numCache>
            </c:numRef>
          </c:val>
          <c:extLst>
            <c:ext xmlns:c16="http://schemas.microsoft.com/office/drawing/2014/chart" uri="{C3380CC4-5D6E-409C-BE32-E72D297353CC}">
              <c16:uniqueId val="{00000000-7F6C-304A-8B9D-0DA87FBFF28B}"/>
            </c:ext>
          </c:extLst>
        </c:ser>
        <c:dLbls>
          <c:showLegendKey val="0"/>
          <c:showVal val="0"/>
          <c:showCatName val="0"/>
          <c:showSerName val="0"/>
          <c:showPercent val="0"/>
          <c:showBubbleSize val="0"/>
        </c:dLbls>
        <c:gapWidth val="219"/>
        <c:overlap val="100"/>
        <c:axId val="144356864"/>
        <c:axId val="144358400"/>
      </c:barChart>
      <c:catAx>
        <c:axId val="14435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a:lstStyle/>
          <a:p>
            <a:pPr>
              <a:defRPr/>
            </a:pPr>
            <a:endParaRPr lang="es-CO"/>
          </a:p>
        </c:txPr>
        <c:crossAx val="144358400"/>
        <c:crosses val="autoZero"/>
        <c:auto val="1"/>
        <c:lblAlgn val="ctr"/>
        <c:lblOffset val="100"/>
        <c:noMultiLvlLbl val="0"/>
      </c:catAx>
      <c:valAx>
        <c:axId val="144358400"/>
        <c:scaling>
          <c:orientation val="minMax"/>
        </c:scaling>
        <c:delete val="1"/>
        <c:axPos val="l"/>
        <c:numFmt formatCode="General" sourceLinked="1"/>
        <c:majorTickMark val="none"/>
        <c:minorTickMark val="none"/>
        <c:tickLblPos val="none"/>
        <c:crossAx val="1443568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Recibida'!$D$1197</c:f>
          <c:strCache>
            <c:ptCount val="1"/>
            <c:pt idx="0">
              <c:v>Naturaleza Acto de Creación JPA</c:v>
            </c:pt>
          </c:strCache>
        </c:strRef>
      </c:tx>
      <c:layout>
        <c:manualLayout>
          <c:xMode val="edge"/>
          <c:yMode val="edge"/>
          <c:x val="0.24354545454545506"/>
          <c:y val="5.9650617809970212E-2"/>
        </c:manualLayout>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Recibida'!$F$1197</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Recibida'!$E$1198:$E$1202</c:f>
              <c:strCache>
                <c:ptCount val="5"/>
                <c:pt idx="0">
                  <c:v>Acuerdo</c:v>
                </c:pt>
                <c:pt idx="1">
                  <c:v>Decreto</c:v>
                </c:pt>
                <c:pt idx="2">
                  <c:v>Resolucion</c:v>
                </c:pt>
                <c:pt idx="3">
                  <c:v>Acta</c:v>
                </c:pt>
                <c:pt idx="4">
                  <c:v>No Responde</c:v>
                </c:pt>
              </c:strCache>
            </c:strRef>
          </c:cat>
          <c:val>
            <c:numRef>
              <c:f>'Información Recibida'!$F$1198:$F$1202</c:f>
              <c:numCache>
                <c:formatCode>General</c:formatCode>
                <c:ptCount val="5"/>
                <c:pt idx="0">
                  <c:v>28</c:v>
                </c:pt>
                <c:pt idx="1">
                  <c:v>193</c:v>
                </c:pt>
                <c:pt idx="2">
                  <c:v>27</c:v>
                </c:pt>
                <c:pt idx="3">
                  <c:v>19</c:v>
                </c:pt>
                <c:pt idx="4">
                  <c:v>13</c:v>
                </c:pt>
              </c:numCache>
            </c:numRef>
          </c:val>
          <c:extLst>
            <c:ext xmlns:c16="http://schemas.microsoft.com/office/drawing/2014/chart" uri="{C3380CC4-5D6E-409C-BE32-E72D297353CC}">
              <c16:uniqueId val="{00000000-A088-A74C-816A-3ABFE950A786}"/>
            </c:ext>
          </c:extLst>
        </c:ser>
        <c:dLbls>
          <c:showLegendKey val="0"/>
          <c:showVal val="0"/>
          <c:showCatName val="0"/>
          <c:showSerName val="0"/>
          <c:showPercent val="0"/>
          <c:showBubbleSize val="0"/>
        </c:dLbls>
        <c:gapWidth val="219"/>
        <c:overlap val="100"/>
        <c:axId val="146843520"/>
        <c:axId val="146845056"/>
      </c:barChart>
      <c:lineChart>
        <c:grouping val="standard"/>
        <c:varyColors val="0"/>
        <c:ser>
          <c:idx val="1"/>
          <c:order val="1"/>
          <c:tx>
            <c:strRef>
              <c:f>'Información Recibida'!$G$1197</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Recibida'!$G$1198:$G$1202</c:f>
              <c:numCache>
                <c:formatCode>0%</c:formatCode>
                <c:ptCount val="5"/>
                <c:pt idx="0">
                  <c:v>0.1</c:v>
                </c:pt>
                <c:pt idx="1">
                  <c:v>0.68928571428571395</c:v>
                </c:pt>
                <c:pt idx="2">
                  <c:v>9.6428571428571405E-2</c:v>
                </c:pt>
                <c:pt idx="3">
                  <c:v>6.7857142857142894E-2</c:v>
                </c:pt>
                <c:pt idx="4">
                  <c:v>4.6428571428571402E-2</c:v>
                </c:pt>
              </c:numCache>
            </c:numRef>
          </c:val>
          <c:smooth val="0"/>
          <c:extLst>
            <c:ext xmlns:c16="http://schemas.microsoft.com/office/drawing/2014/chart" uri="{C3380CC4-5D6E-409C-BE32-E72D297353CC}">
              <c16:uniqueId val="{00000001-A088-A74C-816A-3ABFE950A786}"/>
            </c:ext>
          </c:extLst>
        </c:ser>
        <c:dLbls>
          <c:showLegendKey val="0"/>
          <c:showVal val="0"/>
          <c:showCatName val="0"/>
          <c:showSerName val="0"/>
          <c:showPercent val="0"/>
          <c:showBubbleSize val="0"/>
        </c:dLbls>
        <c:marker val="1"/>
        <c:smooth val="0"/>
        <c:axId val="145431168"/>
        <c:axId val="145429632"/>
      </c:lineChart>
      <c:catAx>
        <c:axId val="14684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6845056"/>
        <c:crosses val="autoZero"/>
        <c:auto val="1"/>
        <c:lblAlgn val="ctr"/>
        <c:lblOffset val="100"/>
        <c:noMultiLvlLbl val="0"/>
      </c:catAx>
      <c:valAx>
        <c:axId val="146845056"/>
        <c:scaling>
          <c:orientation val="minMax"/>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6843520"/>
        <c:crosses val="autoZero"/>
        <c:crossBetween val="between"/>
      </c:valAx>
      <c:valAx>
        <c:axId val="145429632"/>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5431168"/>
        <c:crosses val="max"/>
        <c:crossBetween val="between"/>
      </c:valAx>
      <c:catAx>
        <c:axId val="145431168"/>
        <c:scaling>
          <c:orientation val="minMax"/>
        </c:scaling>
        <c:delete val="1"/>
        <c:axPos val="b"/>
        <c:title>
          <c:tx>
            <c:rich>
              <a:bodyPr rot="0" vert="horz"/>
              <a:lstStyle/>
              <a:p>
                <a:pPr>
                  <a:defRPr/>
                </a:pPr>
                <a:r>
                  <a:rPr lang="es-ES"/>
                  <a:t># Municipios</a:t>
                </a:r>
              </a:p>
            </c:rich>
          </c:tx>
          <c:layout>
            <c:manualLayout>
              <c:xMode val="edge"/>
              <c:yMode val="edge"/>
              <c:x val="1.9631778942162605E-3"/>
              <c:y val="0.108019454357472"/>
            </c:manualLayout>
          </c:layout>
          <c:overlay val="0"/>
          <c:spPr>
            <a:noFill/>
            <a:ln>
              <a:noFill/>
            </a:ln>
            <a:effectLst/>
          </c:spPr>
        </c:title>
        <c:numFmt formatCode="General" sourceLinked="1"/>
        <c:majorTickMark val="out"/>
        <c:minorTickMark val="none"/>
        <c:tickLblPos val="none"/>
        <c:crossAx val="14542963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Recibida'!$D$1215</c:f>
          <c:strCache>
            <c:ptCount val="1"/>
            <c:pt idx="0">
              <c:v>Anexa Acto de Creación JPA</c:v>
            </c:pt>
          </c:strCache>
        </c:strRef>
      </c:tx>
      <c:layout>
        <c:manualLayout>
          <c:xMode val="edge"/>
          <c:yMode val="edge"/>
          <c:x val="0.26802318972376898"/>
          <c:y val="3.8379530916844297E-2"/>
        </c:manualLayout>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Recibida'!$F$1215</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Recibida'!$E$1216:$E$1217</c:f>
              <c:strCache>
                <c:ptCount val="2"/>
                <c:pt idx="0">
                  <c:v>Sí</c:v>
                </c:pt>
                <c:pt idx="1">
                  <c:v>No</c:v>
                </c:pt>
              </c:strCache>
            </c:strRef>
          </c:cat>
          <c:val>
            <c:numRef>
              <c:f>'Información Recibida'!$F$1216:$F$1217</c:f>
              <c:numCache>
                <c:formatCode>General</c:formatCode>
                <c:ptCount val="2"/>
                <c:pt idx="0">
                  <c:v>156</c:v>
                </c:pt>
                <c:pt idx="1">
                  <c:v>124</c:v>
                </c:pt>
              </c:numCache>
            </c:numRef>
          </c:val>
          <c:extLst>
            <c:ext xmlns:c16="http://schemas.microsoft.com/office/drawing/2014/chart" uri="{C3380CC4-5D6E-409C-BE32-E72D297353CC}">
              <c16:uniqueId val="{00000000-4FCC-724F-986F-2230C2209E61}"/>
            </c:ext>
          </c:extLst>
        </c:ser>
        <c:dLbls>
          <c:showLegendKey val="0"/>
          <c:showVal val="0"/>
          <c:showCatName val="0"/>
          <c:showSerName val="0"/>
          <c:showPercent val="0"/>
          <c:showBubbleSize val="0"/>
        </c:dLbls>
        <c:gapWidth val="219"/>
        <c:overlap val="100"/>
        <c:axId val="146868096"/>
        <c:axId val="146869632"/>
      </c:barChart>
      <c:lineChart>
        <c:grouping val="standard"/>
        <c:varyColors val="0"/>
        <c:ser>
          <c:idx val="1"/>
          <c:order val="1"/>
          <c:tx>
            <c:strRef>
              <c:f>'Información Recibida'!$G$1215</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Recibida'!$G$1216:$G$1217</c:f>
              <c:numCache>
                <c:formatCode>0%</c:formatCode>
                <c:ptCount val="2"/>
                <c:pt idx="0">
                  <c:v>0.55714285714285705</c:v>
                </c:pt>
                <c:pt idx="1">
                  <c:v>0.442857142857143</c:v>
                </c:pt>
              </c:numCache>
            </c:numRef>
          </c:val>
          <c:smooth val="0"/>
          <c:extLst>
            <c:ext xmlns:c16="http://schemas.microsoft.com/office/drawing/2014/chart" uri="{C3380CC4-5D6E-409C-BE32-E72D297353CC}">
              <c16:uniqueId val="{00000001-4FCC-724F-986F-2230C2209E61}"/>
            </c:ext>
          </c:extLst>
        </c:ser>
        <c:dLbls>
          <c:showLegendKey val="0"/>
          <c:showVal val="0"/>
          <c:showCatName val="0"/>
          <c:showSerName val="0"/>
          <c:showPercent val="0"/>
          <c:showBubbleSize val="0"/>
        </c:dLbls>
        <c:marker val="1"/>
        <c:smooth val="0"/>
        <c:axId val="146881152"/>
        <c:axId val="146879616"/>
      </c:lineChart>
      <c:catAx>
        <c:axId val="14686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6869632"/>
        <c:crosses val="autoZero"/>
        <c:auto val="1"/>
        <c:lblAlgn val="ctr"/>
        <c:lblOffset val="100"/>
        <c:noMultiLvlLbl val="0"/>
      </c:catAx>
      <c:valAx>
        <c:axId val="146869632"/>
        <c:scaling>
          <c:orientation val="minMax"/>
          <c:max val="2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6868096"/>
        <c:crosses val="autoZero"/>
        <c:crossBetween val="between"/>
        <c:majorUnit val="70"/>
      </c:valAx>
      <c:valAx>
        <c:axId val="146879616"/>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6881152"/>
        <c:crosses val="max"/>
        <c:crossBetween val="between"/>
      </c:valAx>
      <c:catAx>
        <c:axId val="146881152"/>
        <c:scaling>
          <c:orientation val="minMax"/>
        </c:scaling>
        <c:delete val="1"/>
        <c:axPos val="b"/>
        <c:title>
          <c:tx>
            <c:rich>
              <a:bodyPr rot="0" vert="horz"/>
              <a:lstStyle/>
              <a:p>
                <a:pPr>
                  <a:defRPr/>
                </a:pPr>
                <a:r>
                  <a:rPr lang="es-ES"/>
                  <a:t># Municipios</a:t>
                </a:r>
              </a:p>
            </c:rich>
          </c:tx>
          <c:layout>
            <c:manualLayout>
              <c:xMode val="edge"/>
              <c:yMode val="edge"/>
              <c:x val="1.8911886743343403E-3"/>
              <c:y val="0.12023635860031399"/>
            </c:manualLayout>
          </c:layout>
          <c:overlay val="0"/>
          <c:spPr>
            <a:noFill/>
            <a:ln>
              <a:noFill/>
            </a:ln>
            <a:effectLst/>
          </c:spPr>
        </c:title>
        <c:numFmt formatCode="General" sourceLinked="1"/>
        <c:majorTickMark val="out"/>
        <c:minorTickMark val="none"/>
        <c:tickLblPos val="none"/>
        <c:crossAx val="14687961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Recibida'!$D$1230</c:f>
          <c:strCache>
            <c:ptCount val="1"/>
            <c:pt idx="0">
              <c:v>Proporciona Integrantes Actuales de JPA</c:v>
            </c:pt>
          </c:strCache>
        </c:strRef>
      </c:tx>
      <c:overlay val="0"/>
      <c:spPr>
        <a:noFill/>
        <a:ln>
          <a:noFill/>
        </a:ln>
        <a:effectLst/>
      </c:spPr>
      <c:txPr>
        <a:bodyPr rot="0" vert="horz"/>
        <a:lstStyle/>
        <a:p>
          <a:pPr>
            <a:defRPr sz="900"/>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Recibida'!$F$1233</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Recibida'!$E$1234:$E$1235</c:f>
              <c:strCache>
                <c:ptCount val="2"/>
                <c:pt idx="0">
                  <c:v>Sí</c:v>
                </c:pt>
                <c:pt idx="1">
                  <c:v>No</c:v>
                </c:pt>
              </c:strCache>
            </c:strRef>
          </c:cat>
          <c:val>
            <c:numRef>
              <c:f>'Información Recibida'!$F$1234:$F$1235</c:f>
              <c:numCache>
                <c:formatCode>General</c:formatCode>
                <c:ptCount val="2"/>
                <c:pt idx="0">
                  <c:v>188</c:v>
                </c:pt>
                <c:pt idx="1">
                  <c:v>92</c:v>
                </c:pt>
              </c:numCache>
            </c:numRef>
          </c:val>
          <c:extLst>
            <c:ext xmlns:c16="http://schemas.microsoft.com/office/drawing/2014/chart" uri="{C3380CC4-5D6E-409C-BE32-E72D297353CC}">
              <c16:uniqueId val="{00000000-A423-BF4E-86D9-38444518C485}"/>
            </c:ext>
          </c:extLst>
        </c:ser>
        <c:dLbls>
          <c:showLegendKey val="0"/>
          <c:showVal val="0"/>
          <c:showCatName val="0"/>
          <c:showSerName val="0"/>
          <c:showPercent val="0"/>
          <c:showBubbleSize val="0"/>
        </c:dLbls>
        <c:gapWidth val="219"/>
        <c:overlap val="100"/>
        <c:axId val="146938112"/>
        <c:axId val="146952576"/>
      </c:barChart>
      <c:lineChart>
        <c:grouping val="standard"/>
        <c:varyColors val="0"/>
        <c:ser>
          <c:idx val="1"/>
          <c:order val="1"/>
          <c:tx>
            <c:strRef>
              <c:f>'Información Recibida'!$G$1233</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Recibida'!$G$1234:$G$1235</c:f>
              <c:numCache>
                <c:formatCode>0%</c:formatCode>
                <c:ptCount val="2"/>
                <c:pt idx="0">
                  <c:v>0.67142857142857226</c:v>
                </c:pt>
                <c:pt idx="1">
                  <c:v>0.32857142857142901</c:v>
                </c:pt>
              </c:numCache>
            </c:numRef>
          </c:val>
          <c:smooth val="0"/>
          <c:extLst>
            <c:ext xmlns:c16="http://schemas.microsoft.com/office/drawing/2014/chart" uri="{C3380CC4-5D6E-409C-BE32-E72D297353CC}">
              <c16:uniqueId val="{00000001-A423-BF4E-86D9-38444518C485}"/>
            </c:ext>
          </c:extLst>
        </c:ser>
        <c:dLbls>
          <c:showLegendKey val="0"/>
          <c:showVal val="0"/>
          <c:showCatName val="0"/>
          <c:showSerName val="0"/>
          <c:showPercent val="0"/>
          <c:showBubbleSize val="0"/>
        </c:dLbls>
        <c:marker val="1"/>
        <c:smooth val="0"/>
        <c:axId val="146955648"/>
        <c:axId val="146954112"/>
      </c:lineChart>
      <c:catAx>
        <c:axId val="146938112"/>
        <c:scaling>
          <c:orientation val="minMax"/>
        </c:scaling>
        <c:delete val="0"/>
        <c:axPos val="b"/>
        <c:title>
          <c:tx>
            <c:rich>
              <a:bodyPr rot="0" vert="horz"/>
              <a:lstStyle/>
              <a:p>
                <a:pPr>
                  <a:defRPr/>
                </a:pPr>
                <a:r>
                  <a:rPr lang="es-ES"/>
                  <a:t># Municipios</a:t>
                </a:r>
              </a:p>
            </c:rich>
          </c:tx>
          <c:layout>
            <c:manualLayout>
              <c:xMode val="edge"/>
              <c:yMode val="edge"/>
              <c:x val="1.8911886743343403E-3"/>
              <c:y val="0.115972503168515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6952576"/>
        <c:crosses val="autoZero"/>
        <c:auto val="1"/>
        <c:lblAlgn val="ctr"/>
        <c:lblOffset val="100"/>
        <c:noMultiLvlLbl val="0"/>
      </c:catAx>
      <c:valAx>
        <c:axId val="146952576"/>
        <c:scaling>
          <c:orientation val="minMax"/>
          <c:max val="28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6938112"/>
        <c:crosses val="autoZero"/>
        <c:crossBetween val="between"/>
        <c:majorUnit val="70"/>
      </c:valAx>
      <c:valAx>
        <c:axId val="146954112"/>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6955648"/>
        <c:crosses val="max"/>
        <c:crossBetween val="between"/>
      </c:valAx>
      <c:catAx>
        <c:axId val="146955648"/>
        <c:scaling>
          <c:orientation val="minMax"/>
        </c:scaling>
        <c:delete val="1"/>
        <c:axPos val="b"/>
        <c:numFmt formatCode="General" sourceLinked="1"/>
        <c:majorTickMark val="out"/>
        <c:minorTickMark val="none"/>
        <c:tickLblPos val="none"/>
        <c:crossAx val="1469541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Recibida'!$D$1247</c:f>
          <c:strCache>
            <c:ptCount val="1"/>
            <c:pt idx="0">
              <c:v>Se ha Reunido JPA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Recibida'!$F$1250</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Recibida'!$E$1251:$E$1253</c:f>
              <c:strCache>
                <c:ptCount val="3"/>
                <c:pt idx="0">
                  <c:v>Sí</c:v>
                </c:pt>
                <c:pt idx="1">
                  <c:v>No</c:v>
                </c:pt>
                <c:pt idx="2">
                  <c:v>No Responde</c:v>
                </c:pt>
              </c:strCache>
            </c:strRef>
          </c:cat>
          <c:val>
            <c:numRef>
              <c:f>'Información Recibida'!$F$1251:$F$1253</c:f>
              <c:numCache>
                <c:formatCode>General</c:formatCode>
                <c:ptCount val="3"/>
                <c:pt idx="0">
                  <c:v>166</c:v>
                </c:pt>
                <c:pt idx="1">
                  <c:v>41</c:v>
                </c:pt>
                <c:pt idx="2">
                  <c:v>73</c:v>
                </c:pt>
              </c:numCache>
            </c:numRef>
          </c:val>
          <c:extLst>
            <c:ext xmlns:c16="http://schemas.microsoft.com/office/drawing/2014/chart" uri="{C3380CC4-5D6E-409C-BE32-E72D297353CC}">
              <c16:uniqueId val="{00000000-EE9D-354B-B340-0AAA7D1B1551}"/>
            </c:ext>
          </c:extLst>
        </c:ser>
        <c:dLbls>
          <c:showLegendKey val="0"/>
          <c:showVal val="0"/>
          <c:showCatName val="0"/>
          <c:showSerName val="0"/>
          <c:showPercent val="0"/>
          <c:showBubbleSize val="0"/>
        </c:dLbls>
        <c:gapWidth val="219"/>
        <c:overlap val="100"/>
        <c:axId val="147081472"/>
        <c:axId val="147099648"/>
      </c:barChart>
      <c:lineChart>
        <c:grouping val="standard"/>
        <c:varyColors val="0"/>
        <c:ser>
          <c:idx val="1"/>
          <c:order val="1"/>
          <c:tx>
            <c:strRef>
              <c:f>'Información Recibida'!$G$1250</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Recibida'!$G$1251:$G$1253</c:f>
              <c:numCache>
                <c:formatCode>0%</c:formatCode>
                <c:ptCount val="3"/>
                <c:pt idx="0">
                  <c:v>0.59285714285714286</c:v>
                </c:pt>
                <c:pt idx="1">
                  <c:v>0.14642857142857096</c:v>
                </c:pt>
                <c:pt idx="2">
                  <c:v>0.26071428571428606</c:v>
                </c:pt>
              </c:numCache>
            </c:numRef>
          </c:val>
          <c:smooth val="0"/>
          <c:extLst>
            <c:ext xmlns:c16="http://schemas.microsoft.com/office/drawing/2014/chart" uri="{C3380CC4-5D6E-409C-BE32-E72D297353CC}">
              <c16:uniqueId val="{00000001-EE9D-354B-B340-0AAA7D1B1551}"/>
            </c:ext>
          </c:extLst>
        </c:ser>
        <c:dLbls>
          <c:showLegendKey val="0"/>
          <c:showVal val="0"/>
          <c:showCatName val="0"/>
          <c:showSerName val="0"/>
          <c:showPercent val="0"/>
          <c:showBubbleSize val="0"/>
        </c:dLbls>
        <c:marker val="1"/>
        <c:smooth val="0"/>
        <c:axId val="147102720"/>
        <c:axId val="147101184"/>
      </c:lineChart>
      <c:catAx>
        <c:axId val="14708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7099648"/>
        <c:crosses val="autoZero"/>
        <c:auto val="1"/>
        <c:lblAlgn val="ctr"/>
        <c:lblOffset val="100"/>
        <c:noMultiLvlLbl val="0"/>
      </c:catAx>
      <c:valAx>
        <c:axId val="147099648"/>
        <c:scaling>
          <c:orientation val="minMax"/>
          <c:max val="2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7081472"/>
        <c:crosses val="autoZero"/>
        <c:crossBetween val="between"/>
        <c:majorUnit val="70"/>
      </c:valAx>
      <c:valAx>
        <c:axId val="14710118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7102720"/>
        <c:crosses val="max"/>
        <c:crossBetween val="between"/>
      </c:valAx>
      <c:catAx>
        <c:axId val="147102720"/>
        <c:scaling>
          <c:orientation val="minMax"/>
        </c:scaling>
        <c:delete val="1"/>
        <c:axPos val="b"/>
        <c:title>
          <c:tx>
            <c:rich>
              <a:bodyPr rot="0" vert="horz"/>
              <a:lstStyle/>
              <a:p>
                <a:pPr>
                  <a:defRPr/>
                </a:pPr>
                <a:r>
                  <a:rPr lang="es-ES"/>
                  <a:t># Municipios</a:t>
                </a:r>
              </a:p>
            </c:rich>
          </c:tx>
          <c:layout>
            <c:manualLayout>
              <c:xMode val="edge"/>
              <c:yMode val="edge"/>
              <c:x val="1.31363778090313E-3"/>
              <c:y val="0.111661926377745"/>
            </c:manualLayout>
          </c:layout>
          <c:overlay val="0"/>
          <c:spPr>
            <a:noFill/>
            <a:ln>
              <a:noFill/>
            </a:ln>
            <a:effectLst/>
          </c:spPr>
        </c:title>
        <c:numFmt formatCode="General" sourceLinked="1"/>
        <c:majorTickMark val="out"/>
        <c:minorTickMark val="none"/>
        <c:tickLblPos val="none"/>
        <c:crossAx val="1471011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Recibida'!$D$1262</c:f>
          <c:strCache>
            <c:ptCount val="1"/>
            <c:pt idx="0">
              <c:v>Anexa Actas de Reuniones JPA</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57716827063283804"/>
        </c:manualLayout>
      </c:layout>
      <c:barChart>
        <c:barDir val="col"/>
        <c:grouping val="stacked"/>
        <c:varyColors val="0"/>
        <c:ser>
          <c:idx val="0"/>
          <c:order val="0"/>
          <c:tx>
            <c:strRef>
              <c:f>'Información Recibida'!$F$1265</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Recibida'!$E$1266:$E$1267</c:f>
              <c:strCache>
                <c:ptCount val="2"/>
                <c:pt idx="0">
                  <c:v>Sí</c:v>
                </c:pt>
                <c:pt idx="1">
                  <c:v>No</c:v>
                </c:pt>
              </c:strCache>
            </c:strRef>
          </c:cat>
          <c:val>
            <c:numRef>
              <c:f>'Información Recibida'!$F$1266:$F$1267</c:f>
              <c:numCache>
                <c:formatCode>General</c:formatCode>
                <c:ptCount val="2"/>
                <c:pt idx="0">
                  <c:v>144</c:v>
                </c:pt>
                <c:pt idx="1">
                  <c:v>22</c:v>
                </c:pt>
              </c:numCache>
            </c:numRef>
          </c:val>
          <c:extLst>
            <c:ext xmlns:c16="http://schemas.microsoft.com/office/drawing/2014/chart" uri="{C3380CC4-5D6E-409C-BE32-E72D297353CC}">
              <c16:uniqueId val="{00000000-C0CB-DF47-A8D1-5378C88ABEB5}"/>
            </c:ext>
          </c:extLst>
        </c:ser>
        <c:dLbls>
          <c:showLegendKey val="0"/>
          <c:showVal val="0"/>
          <c:showCatName val="0"/>
          <c:showSerName val="0"/>
          <c:showPercent val="0"/>
          <c:showBubbleSize val="0"/>
        </c:dLbls>
        <c:gapWidth val="219"/>
        <c:overlap val="100"/>
        <c:axId val="148187776"/>
        <c:axId val="148194048"/>
      </c:barChart>
      <c:lineChart>
        <c:grouping val="standard"/>
        <c:varyColors val="0"/>
        <c:ser>
          <c:idx val="1"/>
          <c:order val="1"/>
          <c:tx>
            <c:strRef>
              <c:f>'Información Recibida'!$G$1265</c:f>
              <c:strCache>
                <c:ptCount val="1"/>
                <c:pt idx="0">
                  <c:v>Porcentaje</c:v>
                </c:pt>
              </c:strCache>
            </c:strRef>
          </c:tx>
          <c:spPr>
            <a:ln w="28575" cap="rnd">
              <a:noFill/>
              <a:round/>
            </a:ln>
            <a:effectLst/>
          </c:spPr>
          <c:marker>
            <c:symbol val="diamond"/>
            <c:size val="5"/>
            <c:spPr>
              <a:solidFill>
                <a:srgbClr val="002060"/>
              </a:solidFill>
              <a:ln w="9525">
                <a:noFill/>
              </a:ln>
              <a:effectLst/>
            </c:spPr>
          </c:marker>
          <c:dLbls>
            <c:dLbl>
              <c:idx val="1"/>
              <c:layout>
                <c:manualLayout>
                  <c:x val="-4.2068772438325713E-2"/>
                  <c:y val="-9.70809684005101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CB-DF47-A8D1-5378C88ABEB5}"/>
                </c:ext>
              </c:extLst>
            </c:dLbl>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Recibida'!$G$1266:$G$1267</c:f>
              <c:numCache>
                <c:formatCode>0%</c:formatCode>
                <c:ptCount val="2"/>
                <c:pt idx="0">
                  <c:v>0.8674698795180722</c:v>
                </c:pt>
                <c:pt idx="1">
                  <c:v>0.13253012048192803</c:v>
                </c:pt>
              </c:numCache>
            </c:numRef>
          </c:val>
          <c:smooth val="0"/>
          <c:extLst>
            <c:ext xmlns:c16="http://schemas.microsoft.com/office/drawing/2014/chart" uri="{C3380CC4-5D6E-409C-BE32-E72D297353CC}">
              <c16:uniqueId val="{00000002-C0CB-DF47-A8D1-5378C88ABEB5}"/>
            </c:ext>
          </c:extLst>
        </c:ser>
        <c:dLbls>
          <c:showLegendKey val="0"/>
          <c:showVal val="0"/>
          <c:showCatName val="0"/>
          <c:showSerName val="0"/>
          <c:showPercent val="0"/>
          <c:showBubbleSize val="0"/>
        </c:dLbls>
        <c:marker val="1"/>
        <c:smooth val="0"/>
        <c:axId val="148221952"/>
        <c:axId val="148195584"/>
      </c:lineChart>
      <c:catAx>
        <c:axId val="148187776"/>
        <c:scaling>
          <c:orientation val="minMax"/>
        </c:scaling>
        <c:delete val="0"/>
        <c:axPos val="b"/>
        <c:title>
          <c:tx>
            <c:rich>
              <a:bodyPr rot="0" vert="horz"/>
              <a:lstStyle/>
              <a:p>
                <a:pPr>
                  <a:defRPr/>
                </a:pPr>
                <a:r>
                  <a:rPr lang="es-ES"/>
                  <a:t># Municipios</a:t>
                </a:r>
              </a:p>
            </c:rich>
          </c:tx>
          <c:layout>
            <c:manualLayout>
              <c:xMode val="edge"/>
              <c:yMode val="edge"/>
              <c:x val="1.31363778090312E-3"/>
              <c:y val="8.144959383274189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194048"/>
        <c:crosses val="autoZero"/>
        <c:auto val="1"/>
        <c:lblAlgn val="ctr"/>
        <c:lblOffset val="100"/>
        <c:noMultiLvlLbl val="0"/>
      </c:catAx>
      <c:valAx>
        <c:axId val="148194048"/>
        <c:scaling>
          <c:orientation val="minMax"/>
          <c:max val="180"/>
          <c:min val="0"/>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187776"/>
        <c:crosses val="autoZero"/>
        <c:crossBetween val="between"/>
        <c:majorUnit val="20"/>
      </c:valAx>
      <c:valAx>
        <c:axId val="14819558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221952"/>
        <c:crosses val="max"/>
        <c:crossBetween val="between"/>
      </c:valAx>
      <c:catAx>
        <c:axId val="148221952"/>
        <c:scaling>
          <c:orientation val="minMax"/>
        </c:scaling>
        <c:delete val="1"/>
        <c:axPos val="b"/>
        <c:numFmt formatCode="General" sourceLinked="1"/>
        <c:majorTickMark val="out"/>
        <c:minorTickMark val="none"/>
        <c:tickLblPos val="none"/>
        <c:crossAx val="1481955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0.08033</cdr:x>
      <cdr:y>0.01371</cdr:y>
    </cdr:from>
    <cdr:to>
      <cdr:x>0.2439</cdr:x>
      <cdr:y>0.3207</cdr:y>
    </cdr:to>
    <cdr:sp macro="" textlink="">
      <cdr:nvSpPr>
        <cdr:cNvPr id="2" name="CuadroTexto 1"/>
        <cdr:cNvSpPr txBox="1"/>
      </cdr:nvSpPr>
      <cdr:spPr>
        <a:xfrm xmlns:a="http://schemas.openxmlformats.org/drawingml/2006/main">
          <a:off x="449036" y="4082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E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nNDgFRKE8qNtoyQRNMDQYf+0kg==">CgMxLjAyCWlkLmdqZGd4czIKaWQuMzBqMHpsbDgAciExX2F2bTJjbkdYMnBNSUR1V0EtbHdRUVluUzFrN3RSUmY=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17467</Words>
  <Characters>96074</Characters>
  <Application>Microsoft Office Word</Application>
  <DocSecurity>0</DocSecurity>
  <Lines>800</Lines>
  <Paragraphs>226</Paragraphs>
  <ScaleCrop>false</ScaleCrop>
  <Company/>
  <LinksUpToDate>false</LinksUpToDate>
  <CharactersWithSpaces>113315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Hinestrosa Villa</dc:creator>
  <cp:lastModifiedBy>Ana Maria Hinestrosa Villa</cp:lastModifiedBy>
  <cp:revision>2</cp:revision>
  <dcterms:created xsi:type="dcterms:W3CDTF">2023-07-21T15:13:00Z</dcterms:created>
  <dcterms:modified xsi:type="dcterms:W3CDTF">2023-07-21T15:13:00Z</dcterms:modified>
</cp:coreProperties>
</file>