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E38" w:rsidRDefault="00F93B54">
      <w:pPr>
        <w:jc w:val="right"/>
        <w:rPr>
          <w:sz w:val="24"/>
          <w:szCs w:val="24"/>
        </w:rPr>
      </w:pPr>
      <w:r>
        <w:rPr>
          <w:sz w:val="24"/>
          <w:szCs w:val="24"/>
        </w:rPr>
        <w:t>Bogotá D.C. diciembre del 2024</w:t>
      </w:r>
    </w:p>
    <w:p w:rsidR="00586E38" w:rsidRDefault="00586E38">
      <w:pPr>
        <w:rPr>
          <w:sz w:val="24"/>
          <w:szCs w:val="24"/>
        </w:rPr>
      </w:pPr>
    </w:p>
    <w:p w:rsidR="00586E38" w:rsidRDefault="00586E38">
      <w:pPr>
        <w:rPr>
          <w:sz w:val="24"/>
          <w:szCs w:val="24"/>
        </w:rPr>
      </w:pPr>
    </w:p>
    <w:p w:rsidR="00586E38" w:rsidRDefault="00F93B54">
      <w:pPr>
        <w:rPr>
          <w:sz w:val="24"/>
          <w:szCs w:val="24"/>
        </w:rPr>
      </w:pPr>
      <w:r>
        <w:rPr>
          <w:sz w:val="24"/>
          <w:szCs w:val="24"/>
        </w:rPr>
        <w:t>Doctor</w:t>
      </w:r>
    </w:p>
    <w:p w:rsidR="00586E38" w:rsidRDefault="00F93B54">
      <w:pPr>
        <w:rPr>
          <w:b/>
          <w:sz w:val="24"/>
          <w:szCs w:val="24"/>
        </w:rPr>
      </w:pPr>
      <w:r>
        <w:rPr>
          <w:b/>
          <w:sz w:val="24"/>
          <w:szCs w:val="24"/>
        </w:rPr>
        <w:t>Jaime Luis Lacouture Peñaloza</w:t>
      </w:r>
    </w:p>
    <w:p w:rsidR="00586E38" w:rsidRDefault="00F93B54">
      <w:pPr>
        <w:rPr>
          <w:b/>
          <w:sz w:val="24"/>
          <w:szCs w:val="24"/>
        </w:rPr>
      </w:pPr>
      <w:r>
        <w:rPr>
          <w:b/>
          <w:sz w:val="24"/>
          <w:szCs w:val="24"/>
        </w:rPr>
        <w:t xml:space="preserve">Secretario General </w:t>
      </w:r>
    </w:p>
    <w:p w:rsidR="00586E38" w:rsidRDefault="00F93B54">
      <w:pPr>
        <w:rPr>
          <w:sz w:val="24"/>
          <w:szCs w:val="24"/>
        </w:rPr>
      </w:pPr>
      <w:r>
        <w:rPr>
          <w:sz w:val="24"/>
          <w:szCs w:val="24"/>
        </w:rPr>
        <w:t xml:space="preserve">Cámara de Representantes </w:t>
      </w:r>
    </w:p>
    <w:p w:rsidR="00586E38" w:rsidRDefault="00F93B54">
      <w:pPr>
        <w:rPr>
          <w:sz w:val="24"/>
          <w:szCs w:val="24"/>
        </w:rPr>
      </w:pPr>
      <w:r>
        <w:rPr>
          <w:sz w:val="24"/>
          <w:szCs w:val="24"/>
        </w:rPr>
        <w:t>Ciudad</w:t>
      </w:r>
    </w:p>
    <w:p w:rsidR="00586E38" w:rsidRDefault="00586E38">
      <w:pPr>
        <w:rPr>
          <w:sz w:val="24"/>
          <w:szCs w:val="24"/>
        </w:rPr>
      </w:pPr>
    </w:p>
    <w:p w:rsidR="00586E38" w:rsidRDefault="00586E38">
      <w:pPr>
        <w:rPr>
          <w:sz w:val="24"/>
          <w:szCs w:val="24"/>
        </w:rPr>
      </w:pPr>
    </w:p>
    <w:p w:rsidR="00586E38" w:rsidRDefault="00F93B54">
      <w:pPr>
        <w:jc w:val="right"/>
        <w:rPr>
          <w:sz w:val="24"/>
          <w:szCs w:val="24"/>
        </w:rPr>
      </w:pPr>
      <w:r>
        <w:rPr>
          <w:b/>
          <w:sz w:val="24"/>
          <w:szCs w:val="24"/>
        </w:rPr>
        <w:t>Referencia</w:t>
      </w:r>
      <w:r>
        <w:rPr>
          <w:sz w:val="24"/>
          <w:szCs w:val="24"/>
        </w:rPr>
        <w:t>: Radicación de Proyecto de Ley.</w:t>
      </w:r>
    </w:p>
    <w:p w:rsidR="00586E38" w:rsidRDefault="00586E38">
      <w:pPr>
        <w:jc w:val="right"/>
        <w:rPr>
          <w:sz w:val="24"/>
          <w:szCs w:val="24"/>
        </w:rPr>
      </w:pPr>
    </w:p>
    <w:p w:rsidR="00586E38" w:rsidRDefault="00586E38">
      <w:pPr>
        <w:jc w:val="right"/>
        <w:rPr>
          <w:sz w:val="24"/>
          <w:szCs w:val="24"/>
        </w:rPr>
      </w:pPr>
    </w:p>
    <w:p w:rsidR="00586E38" w:rsidRDefault="00F93B54">
      <w:pPr>
        <w:rPr>
          <w:sz w:val="24"/>
          <w:szCs w:val="24"/>
        </w:rPr>
      </w:pPr>
      <w:r>
        <w:rPr>
          <w:sz w:val="24"/>
          <w:szCs w:val="24"/>
        </w:rPr>
        <w:t xml:space="preserve">Respetado secretario. </w:t>
      </w:r>
    </w:p>
    <w:p w:rsidR="00586E38" w:rsidRDefault="00586E38">
      <w:pPr>
        <w:rPr>
          <w:sz w:val="24"/>
          <w:szCs w:val="24"/>
        </w:rPr>
      </w:pPr>
    </w:p>
    <w:p w:rsidR="00586E38" w:rsidRDefault="00F93B54">
      <w:pPr>
        <w:jc w:val="both"/>
        <w:rPr>
          <w:sz w:val="24"/>
          <w:szCs w:val="24"/>
        </w:rPr>
      </w:pPr>
      <w:r>
        <w:rPr>
          <w:sz w:val="24"/>
          <w:szCs w:val="24"/>
        </w:rPr>
        <w:t>Presentamos a consideración de la Cámara de Representantes  el Proyecto de Ley “</w:t>
      </w:r>
      <w:r>
        <w:rPr>
          <w:i/>
          <w:sz w:val="24"/>
          <w:szCs w:val="24"/>
        </w:rPr>
        <w:t>Por la cual se reforma el Código de Comercio para establecer reglas en materia de comerciantes y sociedades y se adoptan otras disposiciones</w:t>
      </w:r>
      <w:r>
        <w:rPr>
          <w:sz w:val="24"/>
          <w:szCs w:val="24"/>
        </w:rPr>
        <w:t>”, iniciativa legislativa que cumple las disposiciones de la normatividad vigente.</w:t>
      </w:r>
    </w:p>
    <w:p w:rsidR="00586E38" w:rsidRDefault="00586E38">
      <w:pPr>
        <w:jc w:val="both"/>
        <w:rPr>
          <w:sz w:val="24"/>
          <w:szCs w:val="24"/>
        </w:rPr>
      </w:pPr>
    </w:p>
    <w:p w:rsidR="00586E38" w:rsidRDefault="00F93B54">
      <w:pPr>
        <w:rPr>
          <w:sz w:val="24"/>
          <w:szCs w:val="24"/>
        </w:rPr>
      </w:pPr>
      <w:r>
        <w:rPr>
          <w:sz w:val="24"/>
          <w:szCs w:val="24"/>
        </w:rPr>
        <w:t>Agradecemos surtir el trámite correspondiente.</w:t>
      </w:r>
    </w:p>
    <w:p w:rsidR="00586E38" w:rsidRDefault="00586E38">
      <w:pPr>
        <w:rPr>
          <w:sz w:val="24"/>
          <w:szCs w:val="24"/>
        </w:rPr>
      </w:pPr>
    </w:p>
    <w:p w:rsidR="00586E38" w:rsidRDefault="00F93B54">
      <w:pPr>
        <w:rPr>
          <w:sz w:val="24"/>
          <w:szCs w:val="24"/>
        </w:rPr>
      </w:pPr>
      <w:r>
        <w:rPr>
          <w:sz w:val="24"/>
          <w:szCs w:val="24"/>
        </w:rPr>
        <w:t xml:space="preserve">Cordialmente, </w:t>
      </w:r>
    </w:p>
    <w:p w:rsidR="00586E38" w:rsidRDefault="00586E38">
      <w:pPr>
        <w:rPr>
          <w:sz w:val="24"/>
          <w:szCs w:val="24"/>
        </w:rPr>
      </w:pPr>
    </w:p>
    <w:p w:rsidR="00586E38" w:rsidRDefault="00586E38">
      <w:pPr>
        <w:rPr>
          <w:sz w:val="24"/>
          <w:szCs w:val="24"/>
        </w:rPr>
      </w:pPr>
    </w:p>
    <w:p w:rsidR="00586E38" w:rsidRDefault="00586E38">
      <w:pPr>
        <w:rPr>
          <w:sz w:val="24"/>
          <w:szCs w:val="24"/>
        </w:rPr>
      </w:pPr>
    </w:p>
    <w:p w:rsidR="00586E38" w:rsidRDefault="00586E38">
      <w:pPr>
        <w:rPr>
          <w:sz w:val="24"/>
          <w:szCs w:val="24"/>
        </w:rPr>
      </w:pPr>
    </w:p>
    <w:p w:rsidR="00586E38" w:rsidRDefault="00586E38">
      <w:pPr>
        <w:widowControl/>
        <w:jc w:val="center"/>
        <w:rPr>
          <w:sz w:val="24"/>
          <w:szCs w:val="24"/>
        </w:rPr>
      </w:pPr>
    </w:p>
    <w:tbl>
      <w:tblPr>
        <w:tblStyle w:val="a"/>
        <w:tblW w:w="93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586E38">
        <w:tc>
          <w:tcPr>
            <w:tcW w:w="4675" w:type="dxa"/>
          </w:tcPr>
          <w:p w:rsidR="00586E38" w:rsidRDefault="00F93B54">
            <w:pPr>
              <w:jc w:val="center"/>
              <w:rPr>
                <w:b/>
                <w:sz w:val="24"/>
                <w:szCs w:val="24"/>
              </w:rPr>
            </w:pPr>
            <w:r>
              <w:rPr>
                <w:b/>
                <w:sz w:val="24"/>
                <w:szCs w:val="24"/>
              </w:rPr>
              <w:t>__________________________</w:t>
            </w:r>
          </w:p>
          <w:p w:rsidR="00586E38" w:rsidRDefault="00F93B54">
            <w:pPr>
              <w:jc w:val="center"/>
              <w:rPr>
                <w:b/>
                <w:sz w:val="24"/>
                <w:szCs w:val="24"/>
              </w:rPr>
            </w:pPr>
            <w:r>
              <w:rPr>
                <w:b/>
                <w:sz w:val="24"/>
                <w:szCs w:val="24"/>
              </w:rPr>
              <w:t>Germán Blanco Álvarez</w:t>
            </w:r>
          </w:p>
          <w:p w:rsidR="00586E38" w:rsidRDefault="00F93B54">
            <w:pPr>
              <w:jc w:val="center"/>
              <w:rPr>
                <w:b/>
                <w:sz w:val="24"/>
                <w:szCs w:val="24"/>
              </w:rPr>
            </w:pPr>
            <w:r>
              <w:rPr>
                <w:b/>
                <w:sz w:val="24"/>
                <w:szCs w:val="24"/>
              </w:rPr>
              <w:t>Senador de la República</w:t>
            </w:r>
          </w:p>
          <w:p w:rsidR="00586E38" w:rsidRDefault="00F93B54">
            <w:pPr>
              <w:jc w:val="center"/>
              <w:rPr>
                <w:b/>
                <w:sz w:val="24"/>
                <w:szCs w:val="24"/>
              </w:rPr>
            </w:pPr>
            <w:r>
              <w:rPr>
                <w:b/>
                <w:sz w:val="24"/>
                <w:szCs w:val="24"/>
              </w:rPr>
              <w:t>Partido Conservador</w:t>
            </w:r>
          </w:p>
        </w:tc>
        <w:tc>
          <w:tcPr>
            <w:tcW w:w="4675" w:type="dxa"/>
          </w:tcPr>
          <w:p w:rsidR="00586E38" w:rsidRDefault="00F93B54">
            <w:pPr>
              <w:jc w:val="center"/>
              <w:rPr>
                <w:b/>
                <w:sz w:val="24"/>
                <w:szCs w:val="24"/>
              </w:rPr>
            </w:pPr>
            <w:r>
              <w:rPr>
                <w:b/>
                <w:sz w:val="24"/>
                <w:szCs w:val="24"/>
              </w:rPr>
              <w:t>__________________________</w:t>
            </w:r>
          </w:p>
          <w:p w:rsidR="00586E38" w:rsidRDefault="00F93B54">
            <w:pPr>
              <w:jc w:val="center"/>
              <w:rPr>
                <w:b/>
                <w:sz w:val="24"/>
                <w:szCs w:val="24"/>
              </w:rPr>
            </w:pPr>
            <w:r>
              <w:rPr>
                <w:b/>
                <w:sz w:val="24"/>
                <w:szCs w:val="24"/>
              </w:rPr>
              <w:t>Juan Carlos Wills</w:t>
            </w:r>
          </w:p>
          <w:p w:rsidR="00586E38" w:rsidRDefault="00F93B54">
            <w:pPr>
              <w:jc w:val="center"/>
              <w:rPr>
                <w:b/>
                <w:sz w:val="24"/>
                <w:szCs w:val="24"/>
              </w:rPr>
            </w:pPr>
            <w:r>
              <w:rPr>
                <w:b/>
                <w:sz w:val="24"/>
                <w:szCs w:val="24"/>
              </w:rPr>
              <w:t>Representante a la Cámara</w:t>
            </w:r>
          </w:p>
          <w:p w:rsidR="00586E38" w:rsidRDefault="00F93B54">
            <w:pPr>
              <w:jc w:val="center"/>
              <w:rPr>
                <w:b/>
                <w:sz w:val="24"/>
                <w:szCs w:val="24"/>
              </w:rPr>
            </w:pPr>
            <w:r>
              <w:rPr>
                <w:b/>
                <w:sz w:val="24"/>
                <w:szCs w:val="24"/>
              </w:rPr>
              <w:t>Partido Conservador</w:t>
            </w:r>
          </w:p>
        </w:tc>
      </w:tr>
      <w:tr w:rsidR="00586E38">
        <w:tc>
          <w:tcPr>
            <w:tcW w:w="9350" w:type="dxa"/>
            <w:gridSpan w:val="2"/>
          </w:tcPr>
          <w:p w:rsidR="00586E38" w:rsidRDefault="00586E38">
            <w:pPr>
              <w:jc w:val="center"/>
              <w:rPr>
                <w:b/>
                <w:sz w:val="24"/>
                <w:szCs w:val="24"/>
              </w:rPr>
            </w:pPr>
          </w:p>
          <w:p w:rsidR="00586E38" w:rsidRDefault="00586E38">
            <w:pPr>
              <w:jc w:val="center"/>
              <w:rPr>
                <w:b/>
                <w:sz w:val="24"/>
                <w:szCs w:val="24"/>
              </w:rPr>
            </w:pPr>
          </w:p>
          <w:p w:rsidR="00586E38" w:rsidRDefault="00586E38">
            <w:pPr>
              <w:jc w:val="center"/>
              <w:rPr>
                <w:b/>
                <w:sz w:val="24"/>
                <w:szCs w:val="24"/>
              </w:rPr>
            </w:pPr>
          </w:p>
          <w:p w:rsidR="00586E38" w:rsidRDefault="00586E38">
            <w:pPr>
              <w:jc w:val="center"/>
              <w:rPr>
                <w:b/>
                <w:sz w:val="24"/>
                <w:szCs w:val="24"/>
              </w:rPr>
            </w:pPr>
          </w:p>
          <w:p w:rsidR="00586E38" w:rsidRDefault="00F93B54">
            <w:pPr>
              <w:jc w:val="center"/>
              <w:rPr>
                <w:b/>
                <w:sz w:val="24"/>
                <w:szCs w:val="24"/>
              </w:rPr>
            </w:pPr>
            <w:r>
              <w:rPr>
                <w:b/>
                <w:sz w:val="24"/>
                <w:szCs w:val="24"/>
              </w:rPr>
              <w:t>__________________________</w:t>
            </w:r>
          </w:p>
          <w:p w:rsidR="00586E38" w:rsidRDefault="00F93B54">
            <w:pPr>
              <w:jc w:val="center"/>
              <w:rPr>
                <w:b/>
                <w:sz w:val="24"/>
                <w:szCs w:val="24"/>
              </w:rPr>
            </w:pPr>
            <w:r>
              <w:rPr>
                <w:b/>
                <w:sz w:val="24"/>
                <w:szCs w:val="24"/>
              </w:rPr>
              <w:t>Juan Daniel Peñuela</w:t>
            </w:r>
          </w:p>
          <w:p w:rsidR="00586E38" w:rsidRDefault="00F93B54">
            <w:pPr>
              <w:jc w:val="center"/>
              <w:rPr>
                <w:b/>
                <w:sz w:val="24"/>
                <w:szCs w:val="24"/>
              </w:rPr>
            </w:pPr>
            <w:r>
              <w:rPr>
                <w:b/>
                <w:sz w:val="24"/>
                <w:szCs w:val="24"/>
              </w:rPr>
              <w:t>Representante a la Cámara</w:t>
            </w:r>
          </w:p>
          <w:p w:rsidR="00586E38" w:rsidRDefault="00F93B54">
            <w:pPr>
              <w:jc w:val="center"/>
              <w:rPr>
                <w:b/>
                <w:sz w:val="24"/>
                <w:szCs w:val="24"/>
              </w:rPr>
            </w:pPr>
            <w:r>
              <w:rPr>
                <w:b/>
                <w:sz w:val="24"/>
                <w:szCs w:val="24"/>
              </w:rPr>
              <w:t>Partido Conservador</w:t>
            </w:r>
          </w:p>
        </w:tc>
      </w:tr>
    </w:tbl>
    <w:p w:rsidR="00586E38" w:rsidRDefault="00586E38">
      <w:pPr>
        <w:rPr>
          <w:sz w:val="24"/>
          <w:szCs w:val="24"/>
        </w:rPr>
      </w:pPr>
    </w:p>
    <w:p w:rsidR="00586E38" w:rsidRDefault="00586E38">
      <w:pPr>
        <w:rPr>
          <w:sz w:val="24"/>
          <w:szCs w:val="24"/>
        </w:rPr>
      </w:pPr>
    </w:p>
    <w:p w:rsidR="00586E38" w:rsidRDefault="00586E38">
      <w:pPr>
        <w:rPr>
          <w:sz w:val="24"/>
          <w:szCs w:val="24"/>
        </w:rPr>
      </w:pPr>
    </w:p>
    <w:p w:rsidR="00586E38" w:rsidRDefault="00586E38">
      <w:pPr>
        <w:rPr>
          <w:sz w:val="24"/>
          <w:szCs w:val="24"/>
        </w:rPr>
      </w:pPr>
    </w:p>
    <w:tbl>
      <w:tblPr>
        <w:tblStyle w:val="a0"/>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6"/>
        <w:gridCol w:w="4747"/>
      </w:tblGrid>
      <w:tr w:rsidR="00586E38">
        <w:trPr>
          <w:trHeight w:val="2355"/>
        </w:trPr>
        <w:tc>
          <w:tcPr>
            <w:tcW w:w="4746" w:type="dxa"/>
          </w:tcPr>
          <w:p w:rsidR="00586E38" w:rsidRDefault="00586E38">
            <w:pPr>
              <w:jc w:val="center"/>
              <w:rPr>
                <w:b/>
                <w:sz w:val="24"/>
                <w:szCs w:val="24"/>
              </w:rPr>
            </w:pPr>
          </w:p>
          <w:p w:rsidR="00586E38" w:rsidRDefault="00586E38">
            <w:pPr>
              <w:jc w:val="center"/>
              <w:rPr>
                <w:b/>
                <w:sz w:val="24"/>
                <w:szCs w:val="24"/>
              </w:rPr>
            </w:pPr>
          </w:p>
          <w:p w:rsidR="00586E38" w:rsidRDefault="00586E38">
            <w:pPr>
              <w:jc w:val="center"/>
              <w:rPr>
                <w:b/>
                <w:sz w:val="24"/>
                <w:szCs w:val="24"/>
              </w:rPr>
            </w:pPr>
          </w:p>
          <w:p w:rsidR="00586E38" w:rsidRDefault="00586E38">
            <w:pPr>
              <w:jc w:val="center"/>
              <w:rPr>
                <w:b/>
                <w:sz w:val="24"/>
                <w:szCs w:val="24"/>
              </w:rPr>
            </w:pPr>
          </w:p>
          <w:p w:rsidR="00586E38" w:rsidRDefault="00586E38">
            <w:pPr>
              <w:jc w:val="center"/>
              <w:rPr>
                <w:b/>
                <w:sz w:val="24"/>
                <w:szCs w:val="24"/>
              </w:rPr>
            </w:pPr>
          </w:p>
          <w:p w:rsidR="00586E38" w:rsidRDefault="00F93B54">
            <w:pPr>
              <w:jc w:val="center"/>
              <w:rPr>
                <w:b/>
                <w:sz w:val="24"/>
                <w:szCs w:val="24"/>
              </w:rPr>
            </w:pPr>
            <w:r>
              <w:rPr>
                <w:b/>
                <w:sz w:val="24"/>
                <w:szCs w:val="24"/>
              </w:rPr>
              <w:t>JULIO ROBERTO SALAZAR PERDOMO</w:t>
            </w:r>
            <w:r>
              <w:rPr>
                <w:b/>
                <w:sz w:val="24"/>
                <w:szCs w:val="24"/>
              </w:rPr>
              <w:br/>
              <w:t>Representante a la Cámara</w:t>
            </w:r>
            <w:r>
              <w:rPr>
                <w:b/>
                <w:sz w:val="24"/>
                <w:szCs w:val="24"/>
              </w:rPr>
              <w:br/>
              <w:t>Departamento de Cundinamarca</w:t>
            </w:r>
          </w:p>
        </w:tc>
        <w:tc>
          <w:tcPr>
            <w:tcW w:w="4747" w:type="dxa"/>
          </w:tcPr>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b/>
                <w:sz w:val="24"/>
                <w:szCs w:val="24"/>
              </w:rPr>
            </w:pPr>
          </w:p>
          <w:p w:rsidR="00586E38" w:rsidRDefault="00F93B54">
            <w:pPr>
              <w:jc w:val="center"/>
              <w:rPr>
                <w:b/>
                <w:sz w:val="24"/>
                <w:szCs w:val="24"/>
              </w:rPr>
            </w:pPr>
            <w:r>
              <w:rPr>
                <w:b/>
                <w:sz w:val="24"/>
                <w:szCs w:val="24"/>
              </w:rPr>
              <w:t>JAMES MOSQUERA TORRES</w:t>
            </w:r>
          </w:p>
          <w:p w:rsidR="00586E38" w:rsidRDefault="00F93B54">
            <w:pPr>
              <w:jc w:val="center"/>
              <w:rPr>
                <w:sz w:val="24"/>
                <w:szCs w:val="24"/>
              </w:rPr>
            </w:pPr>
            <w:r>
              <w:rPr>
                <w:sz w:val="24"/>
                <w:szCs w:val="24"/>
              </w:rPr>
              <w:t xml:space="preserve">Representante a la Cámara </w:t>
            </w:r>
          </w:p>
          <w:p w:rsidR="00586E38" w:rsidRDefault="00F93B54">
            <w:pPr>
              <w:jc w:val="center"/>
              <w:rPr>
                <w:sz w:val="24"/>
                <w:szCs w:val="24"/>
              </w:rPr>
            </w:pPr>
            <w:r>
              <w:rPr>
                <w:sz w:val="24"/>
                <w:szCs w:val="24"/>
              </w:rPr>
              <w:t>Citrep Chocó - Antioq</w:t>
            </w:r>
          </w:p>
        </w:tc>
      </w:tr>
      <w:tr w:rsidR="00586E38">
        <w:trPr>
          <w:trHeight w:val="2355"/>
        </w:trPr>
        <w:tc>
          <w:tcPr>
            <w:tcW w:w="4746" w:type="dxa"/>
          </w:tcPr>
          <w:p w:rsidR="00586E38" w:rsidRDefault="00586E38">
            <w:pPr>
              <w:jc w:val="center"/>
              <w:rPr>
                <w:b/>
                <w:sz w:val="24"/>
                <w:szCs w:val="24"/>
              </w:rPr>
            </w:pPr>
          </w:p>
          <w:p w:rsidR="00586E38" w:rsidRDefault="00586E38">
            <w:pPr>
              <w:jc w:val="center"/>
              <w:rPr>
                <w:b/>
                <w:sz w:val="24"/>
                <w:szCs w:val="24"/>
              </w:rPr>
            </w:pPr>
          </w:p>
          <w:p w:rsidR="00586E38" w:rsidRDefault="00586E38">
            <w:pPr>
              <w:jc w:val="center"/>
              <w:rPr>
                <w:b/>
                <w:sz w:val="24"/>
                <w:szCs w:val="24"/>
              </w:rPr>
            </w:pPr>
          </w:p>
          <w:p w:rsidR="00586E38" w:rsidRDefault="00F93B54">
            <w:pPr>
              <w:jc w:val="center"/>
              <w:rPr>
                <w:b/>
                <w:sz w:val="24"/>
                <w:szCs w:val="24"/>
              </w:rPr>
            </w:pPr>
            <w:r>
              <w:rPr>
                <w:b/>
                <w:sz w:val="24"/>
                <w:szCs w:val="24"/>
              </w:rPr>
              <w:t>JUAN MANUEL CORTÈS DUEÑAS Representante a la Cámara</w:t>
            </w:r>
            <w:r>
              <w:rPr>
                <w:b/>
                <w:sz w:val="24"/>
                <w:szCs w:val="24"/>
              </w:rPr>
              <w:br/>
              <w:t>Departamento de Santander</w:t>
            </w:r>
          </w:p>
          <w:p w:rsidR="00586E38" w:rsidRDefault="00586E38">
            <w:pPr>
              <w:jc w:val="center"/>
              <w:rPr>
                <w:sz w:val="24"/>
                <w:szCs w:val="24"/>
              </w:rPr>
            </w:pPr>
          </w:p>
        </w:tc>
        <w:tc>
          <w:tcPr>
            <w:tcW w:w="4747" w:type="dxa"/>
          </w:tcPr>
          <w:p w:rsidR="00586E38" w:rsidRDefault="00586E38">
            <w:pPr>
              <w:rPr>
                <w:sz w:val="24"/>
                <w:szCs w:val="24"/>
              </w:rPr>
            </w:pPr>
          </w:p>
          <w:p w:rsidR="00586E38" w:rsidRDefault="00586E38">
            <w:pPr>
              <w:jc w:val="center"/>
              <w:rPr>
                <w:sz w:val="24"/>
                <w:szCs w:val="24"/>
              </w:rPr>
            </w:pPr>
          </w:p>
          <w:p w:rsidR="00586E38" w:rsidRDefault="00586E38">
            <w:pPr>
              <w:rPr>
                <w:sz w:val="24"/>
                <w:szCs w:val="24"/>
              </w:rPr>
            </w:pPr>
          </w:p>
          <w:p w:rsidR="00586E38" w:rsidRDefault="00F93B54">
            <w:pPr>
              <w:jc w:val="center"/>
              <w:rPr>
                <w:b/>
                <w:sz w:val="24"/>
                <w:szCs w:val="24"/>
              </w:rPr>
            </w:pPr>
            <w:r>
              <w:rPr>
                <w:b/>
                <w:sz w:val="24"/>
                <w:szCs w:val="24"/>
              </w:rPr>
              <w:t>OSCAR BARRETO QUIROGA</w:t>
            </w:r>
          </w:p>
          <w:p w:rsidR="00586E38" w:rsidRDefault="00F93B54">
            <w:pPr>
              <w:jc w:val="center"/>
              <w:rPr>
                <w:b/>
                <w:sz w:val="24"/>
                <w:szCs w:val="24"/>
              </w:rPr>
            </w:pPr>
            <w:r>
              <w:rPr>
                <w:b/>
                <w:sz w:val="24"/>
                <w:szCs w:val="24"/>
              </w:rPr>
              <w:t>Senador de la República</w:t>
            </w:r>
          </w:p>
          <w:p w:rsidR="00586E38" w:rsidRDefault="00F93B54">
            <w:pPr>
              <w:jc w:val="center"/>
              <w:rPr>
                <w:b/>
                <w:sz w:val="24"/>
                <w:szCs w:val="24"/>
              </w:rPr>
            </w:pPr>
            <w:r>
              <w:rPr>
                <w:b/>
                <w:sz w:val="24"/>
                <w:szCs w:val="24"/>
              </w:rPr>
              <w:t>Partido Conservador</w:t>
            </w:r>
          </w:p>
          <w:p w:rsidR="00586E38" w:rsidRDefault="00586E38">
            <w:pPr>
              <w:jc w:val="center"/>
              <w:rPr>
                <w:b/>
                <w:sz w:val="24"/>
                <w:szCs w:val="24"/>
              </w:rPr>
            </w:pPr>
          </w:p>
        </w:tc>
      </w:tr>
      <w:tr w:rsidR="00586E38">
        <w:trPr>
          <w:trHeight w:val="2355"/>
        </w:trPr>
        <w:tc>
          <w:tcPr>
            <w:tcW w:w="4746" w:type="dxa"/>
          </w:tcPr>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F93B54">
            <w:pPr>
              <w:jc w:val="center"/>
              <w:rPr>
                <w:sz w:val="24"/>
                <w:szCs w:val="24"/>
              </w:rPr>
            </w:pPr>
            <w:r>
              <w:rPr>
                <w:b/>
                <w:sz w:val="24"/>
                <w:szCs w:val="24"/>
              </w:rPr>
              <w:t>ASTRID SÁNCHEZ MONTES DE OCA Representante a la Cámara</w:t>
            </w:r>
            <w:r>
              <w:rPr>
                <w:b/>
                <w:sz w:val="24"/>
                <w:szCs w:val="24"/>
              </w:rPr>
              <w:br/>
              <w:t>Departamento de Chocó</w:t>
            </w:r>
          </w:p>
        </w:tc>
        <w:tc>
          <w:tcPr>
            <w:tcW w:w="4747" w:type="dxa"/>
          </w:tcPr>
          <w:p w:rsidR="00586E38" w:rsidRDefault="00586E38">
            <w:pPr>
              <w:rPr>
                <w:sz w:val="24"/>
                <w:szCs w:val="24"/>
              </w:rPr>
            </w:pPr>
          </w:p>
          <w:p w:rsidR="00586E38" w:rsidRDefault="00586E38">
            <w:pPr>
              <w:jc w:val="center"/>
              <w:rPr>
                <w:sz w:val="24"/>
                <w:szCs w:val="24"/>
              </w:rPr>
            </w:pPr>
          </w:p>
          <w:p w:rsidR="00586E38" w:rsidRDefault="00F93B54">
            <w:pPr>
              <w:jc w:val="center"/>
              <w:rPr>
                <w:b/>
                <w:sz w:val="24"/>
                <w:szCs w:val="24"/>
              </w:rPr>
            </w:pPr>
            <w:r>
              <w:rPr>
                <w:b/>
                <w:sz w:val="24"/>
                <w:szCs w:val="24"/>
              </w:rPr>
              <w:t>ALFREDO DELUQUE ZULETA</w:t>
            </w:r>
          </w:p>
          <w:p w:rsidR="00586E38" w:rsidRDefault="00F93B54">
            <w:pPr>
              <w:jc w:val="center"/>
              <w:rPr>
                <w:b/>
                <w:sz w:val="24"/>
                <w:szCs w:val="24"/>
              </w:rPr>
            </w:pPr>
            <w:r>
              <w:rPr>
                <w:b/>
                <w:sz w:val="24"/>
                <w:szCs w:val="24"/>
              </w:rPr>
              <w:t>Senador de la República</w:t>
            </w:r>
          </w:p>
          <w:p w:rsidR="00586E38" w:rsidRDefault="00F93B54">
            <w:pPr>
              <w:jc w:val="center"/>
              <w:rPr>
                <w:b/>
                <w:sz w:val="24"/>
                <w:szCs w:val="24"/>
              </w:rPr>
            </w:pPr>
            <w:r>
              <w:rPr>
                <w:b/>
                <w:sz w:val="24"/>
                <w:szCs w:val="24"/>
              </w:rPr>
              <w:t>Partido de la U</w:t>
            </w:r>
          </w:p>
          <w:p w:rsidR="00586E38" w:rsidRDefault="00586E38">
            <w:pPr>
              <w:jc w:val="center"/>
              <w:rPr>
                <w:sz w:val="24"/>
                <w:szCs w:val="24"/>
              </w:rPr>
            </w:pPr>
          </w:p>
        </w:tc>
      </w:tr>
      <w:tr w:rsidR="00586E38">
        <w:trPr>
          <w:trHeight w:val="2355"/>
        </w:trPr>
        <w:tc>
          <w:tcPr>
            <w:tcW w:w="4746" w:type="dxa"/>
          </w:tcPr>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rsidP="00F93B54">
            <w:pPr>
              <w:rPr>
                <w:b/>
                <w:sz w:val="24"/>
                <w:szCs w:val="24"/>
              </w:rPr>
            </w:pPr>
          </w:p>
          <w:p w:rsidR="00F93B54" w:rsidRDefault="00F93B54" w:rsidP="00F93B54">
            <w:pPr>
              <w:rPr>
                <w:b/>
                <w:sz w:val="24"/>
                <w:szCs w:val="24"/>
              </w:rPr>
            </w:pPr>
          </w:p>
          <w:p w:rsidR="00F93B54" w:rsidRDefault="00F93B54">
            <w:pPr>
              <w:jc w:val="center"/>
              <w:rPr>
                <w:b/>
                <w:sz w:val="24"/>
                <w:szCs w:val="24"/>
              </w:rPr>
            </w:pPr>
          </w:p>
          <w:p w:rsidR="00586E38" w:rsidRDefault="00F93B54">
            <w:pPr>
              <w:jc w:val="center"/>
              <w:rPr>
                <w:b/>
                <w:sz w:val="24"/>
                <w:szCs w:val="24"/>
              </w:rPr>
            </w:pPr>
            <w:r>
              <w:rPr>
                <w:b/>
                <w:sz w:val="24"/>
                <w:szCs w:val="24"/>
              </w:rPr>
              <w:t>HERÁCLITO LANDINEZ SUÁREZ</w:t>
            </w:r>
          </w:p>
          <w:p w:rsidR="00586E38" w:rsidRDefault="00F93B54">
            <w:pPr>
              <w:jc w:val="center"/>
              <w:rPr>
                <w:sz w:val="24"/>
                <w:szCs w:val="24"/>
              </w:rPr>
            </w:pPr>
            <w:r>
              <w:rPr>
                <w:sz w:val="24"/>
                <w:szCs w:val="24"/>
              </w:rPr>
              <w:t>Representante a la Cámara</w:t>
            </w:r>
          </w:p>
          <w:p w:rsidR="00586E38" w:rsidRDefault="00F93B54">
            <w:pPr>
              <w:jc w:val="center"/>
              <w:rPr>
                <w:sz w:val="24"/>
                <w:szCs w:val="24"/>
              </w:rPr>
            </w:pPr>
            <w:r>
              <w:rPr>
                <w:sz w:val="24"/>
                <w:szCs w:val="24"/>
              </w:rPr>
              <w:t>Pacto Histórico</w:t>
            </w:r>
          </w:p>
        </w:tc>
        <w:tc>
          <w:tcPr>
            <w:tcW w:w="4747" w:type="dxa"/>
          </w:tcPr>
          <w:p w:rsidR="00586E38" w:rsidRDefault="00586E38">
            <w:pPr>
              <w:rPr>
                <w:sz w:val="24"/>
                <w:szCs w:val="24"/>
              </w:rPr>
            </w:pPr>
          </w:p>
          <w:p w:rsidR="00586E38" w:rsidRDefault="00586E38">
            <w:pP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b/>
                <w:sz w:val="24"/>
                <w:szCs w:val="24"/>
              </w:rPr>
            </w:pPr>
          </w:p>
          <w:p w:rsidR="00586E38" w:rsidRDefault="00F93B54">
            <w:pPr>
              <w:jc w:val="center"/>
              <w:rPr>
                <w:b/>
                <w:sz w:val="24"/>
                <w:szCs w:val="24"/>
              </w:rPr>
            </w:pPr>
            <w:r>
              <w:rPr>
                <w:b/>
                <w:sz w:val="24"/>
                <w:szCs w:val="24"/>
              </w:rPr>
              <w:t>CARLOS FERNANDO MOTOA SOLARTE</w:t>
            </w:r>
          </w:p>
          <w:p w:rsidR="00586E38" w:rsidRDefault="00F93B54">
            <w:pPr>
              <w:jc w:val="center"/>
              <w:rPr>
                <w:sz w:val="24"/>
                <w:szCs w:val="24"/>
              </w:rPr>
            </w:pPr>
            <w:r>
              <w:rPr>
                <w:sz w:val="24"/>
                <w:szCs w:val="24"/>
              </w:rPr>
              <w:t>Senador de la República</w:t>
            </w:r>
          </w:p>
        </w:tc>
      </w:tr>
      <w:tr w:rsidR="00586E38">
        <w:trPr>
          <w:trHeight w:val="2355"/>
        </w:trPr>
        <w:tc>
          <w:tcPr>
            <w:tcW w:w="4746" w:type="dxa"/>
          </w:tcPr>
          <w:p w:rsidR="00586E38" w:rsidRDefault="00586E38">
            <w:pPr>
              <w:rPr>
                <w:sz w:val="24"/>
                <w:szCs w:val="24"/>
              </w:rPr>
            </w:pPr>
          </w:p>
          <w:p w:rsidR="00586E38" w:rsidRDefault="00586E38">
            <w:pPr>
              <w:rPr>
                <w:b/>
                <w:sz w:val="24"/>
                <w:szCs w:val="24"/>
              </w:rPr>
            </w:pPr>
          </w:p>
          <w:p w:rsidR="00F93B54" w:rsidRDefault="00F93B54">
            <w:pPr>
              <w:rPr>
                <w:b/>
                <w:sz w:val="24"/>
                <w:szCs w:val="24"/>
              </w:rPr>
            </w:pPr>
          </w:p>
          <w:p w:rsidR="00586E38" w:rsidRDefault="00F93B54">
            <w:pPr>
              <w:jc w:val="center"/>
              <w:rPr>
                <w:b/>
                <w:sz w:val="24"/>
                <w:szCs w:val="24"/>
              </w:rPr>
            </w:pPr>
            <w:r>
              <w:rPr>
                <w:b/>
                <w:sz w:val="24"/>
                <w:szCs w:val="24"/>
              </w:rPr>
              <w:t>JUAN CARLOS GARCÍA GÓMEZ</w:t>
            </w:r>
          </w:p>
          <w:p w:rsidR="00586E38" w:rsidRDefault="00F93B54">
            <w:pPr>
              <w:jc w:val="center"/>
              <w:rPr>
                <w:sz w:val="24"/>
                <w:szCs w:val="24"/>
              </w:rPr>
            </w:pPr>
            <w:r>
              <w:rPr>
                <w:b/>
                <w:sz w:val="24"/>
                <w:szCs w:val="24"/>
              </w:rPr>
              <w:t>Senador de la República</w:t>
            </w:r>
          </w:p>
        </w:tc>
        <w:tc>
          <w:tcPr>
            <w:tcW w:w="4747" w:type="dxa"/>
          </w:tcPr>
          <w:p w:rsidR="00586E38" w:rsidRDefault="00586E38">
            <w:pPr>
              <w:jc w:val="center"/>
              <w:rPr>
                <w:sz w:val="24"/>
                <w:szCs w:val="24"/>
              </w:rPr>
            </w:pPr>
          </w:p>
          <w:p w:rsidR="00F93B54" w:rsidRDefault="00F93B54">
            <w:pPr>
              <w:jc w:val="center"/>
              <w:rPr>
                <w:sz w:val="24"/>
                <w:szCs w:val="24"/>
              </w:rPr>
            </w:pPr>
          </w:p>
          <w:p w:rsidR="00F93B54" w:rsidRDefault="00F93B54">
            <w:pPr>
              <w:jc w:val="center"/>
              <w:rPr>
                <w:sz w:val="24"/>
                <w:szCs w:val="24"/>
              </w:rPr>
            </w:pPr>
          </w:p>
          <w:p w:rsidR="00F93B54" w:rsidRPr="00F93B54" w:rsidRDefault="00F93B54">
            <w:pPr>
              <w:jc w:val="center"/>
              <w:rPr>
                <w:b/>
                <w:sz w:val="24"/>
                <w:szCs w:val="24"/>
              </w:rPr>
            </w:pPr>
            <w:r w:rsidRPr="00F93B54">
              <w:rPr>
                <w:b/>
                <w:sz w:val="24"/>
                <w:szCs w:val="24"/>
              </w:rPr>
              <w:t xml:space="preserve">ALEJANDRO CARLOS CHACON </w:t>
            </w:r>
          </w:p>
          <w:p w:rsidR="00F93B54" w:rsidRDefault="00F93B54">
            <w:pPr>
              <w:jc w:val="center"/>
              <w:rPr>
                <w:sz w:val="24"/>
                <w:szCs w:val="24"/>
              </w:rPr>
            </w:pPr>
            <w:r w:rsidRPr="00F93B54">
              <w:rPr>
                <w:b/>
                <w:sz w:val="24"/>
                <w:szCs w:val="24"/>
              </w:rPr>
              <w:t>Senador de la República</w:t>
            </w:r>
            <w:r>
              <w:rPr>
                <w:sz w:val="24"/>
                <w:szCs w:val="24"/>
              </w:rPr>
              <w:t xml:space="preserve"> </w:t>
            </w:r>
          </w:p>
        </w:tc>
      </w:tr>
      <w:tr w:rsidR="00586E38">
        <w:trPr>
          <w:trHeight w:val="2355"/>
        </w:trPr>
        <w:tc>
          <w:tcPr>
            <w:tcW w:w="4746" w:type="dxa"/>
          </w:tcPr>
          <w:p w:rsidR="00586E38" w:rsidRDefault="00586E38">
            <w:pPr>
              <w:rPr>
                <w:sz w:val="24"/>
                <w:szCs w:val="24"/>
              </w:rPr>
            </w:pPr>
          </w:p>
          <w:p w:rsidR="00F93B54" w:rsidRDefault="00F93B54">
            <w:pPr>
              <w:rPr>
                <w:sz w:val="24"/>
                <w:szCs w:val="24"/>
              </w:rPr>
            </w:pPr>
          </w:p>
          <w:p w:rsidR="00F93B54" w:rsidRDefault="00F93B54">
            <w:pPr>
              <w:rPr>
                <w:sz w:val="24"/>
                <w:szCs w:val="24"/>
              </w:rPr>
            </w:pPr>
          </w:p>
          <w:p w:rsidR="00F93B54" w:rsidRPr="00F93B54" w:rsidRDefault="00F93B54" w:rsidP="00F93B54">
            <w:pPr>
              <w:jc w:val="center"/>
              <w:rPr>
                <w:b/>
                <w:sz w:val="24"/>
                <w:szCs w:val="24"/>
              </w:rPr>
            </w:pPr>
            <w:r w:rsidRPr="00F93B54">
              <w:rPr>
                <w:b/>
                <w:sz w:val="24"/>
                <w:szCs w:val="24"/>
              </w:rPr>
              <w:t>OSCAR RODRIGO CAMPO</w:t>
            </w:r>
          </w:p>
          <w:p w:rsidR="00F93B54" w:rsidRDefault="00F93B54" w:rsidP="00F93B54">
            <w:pPr>
              <w:jc w:val="center"/>
              <w:rPr>
                <w:sz w:val="24"/>
                <w:szCs w:val="24"/>
              </w:rPr>
            </w:pPr>
            <w:r w:rsidRPr="00F93B54">
              <w:rPr>
                <w:b/>
                <w:sz w:val="24"/>
                <w:szCs w:val="24"/>
              </w:rPr>
              <w:t>Representante a la Cámara</w:t>
            </w:r>
          </w:p>
        </w:tc>
        <w:tc>
          <w:tcPr>
            <w:tcW w:w="4747" w:type="dxa"/>
          </w:tcPr>
          <w:p w:rsidR="00586E38" w:rsidRDefault="00586E38">
            <w:pPr>
              <w:jc w:val="center"/>
              <w:rPr>
                <w:sz w:val="24"/>
                <w:szCs w:val="24"/>
              </w:rPr>
            </w:pPr>
          </w:p>
        </w:tc>
      </w:tr>
    </w:tbl>
    <w:p w:rsidR="00586E38" w:rsidRDefault="00586E38">
      <w:pPr>
        <w:spacing w:after="20"/>
        <w:jc w:val="center"/>
        <w:rPr>
          <w:sz w:val="24"/>
          <w:szCs w:val="24"/>
        </w:rPr>
      </w:pPr>
    </w:p>
    <w:p w:rsidR="00586E38" w:rsidRDefault="00586E38">
      <w:pPr>
        <w:spacing w:after="20"/>
        <w:jc w:val="center"/>
        <w:rPr>
          <w:sz w:val="24"/>
          <w:szCs w:val="24"/>
        </w:rPr>
      </w:pPr>
    </w:p>
    <w:p w:rsidR="00586E38" w:rsidRDefault="00586E38">
      <w:pPr>
        <w:spacing w:after="20"/>
        <w:jc w:val="center"/>
        <w:rPr>
          <w:sz w:val="24"/>
          <w:szCs w:val="24"/>
        </w:rPr>
      </w:pPr>
    </w:p>
    <w:p w:rsidR="00586E38" w:rsidRDefault="00586E38">
      <w:pPr>
        <w:spacing w:after="20"/>
        <w:jc w:val="center"/>
        <w:rPr>
          <w:sz w:val="24"/>
          <w:szCs w:val="24"/>
        </w:rPr>
      </w:pPr>
    </w:p>
    <w:p w:rsidR="00586E38" w:rsidRDefault="00586E38">
      <w:pPr>
        <w:spacing w:after="20"/>
        <w:jc w:val="center"/>
        <w:rPr>
          <w:sz w:val="24"/>
          <w:szCs w:val="24"/>
        </w:rPr>
      </w:pPr>
    </w:p>
    <w:p w:rsidR="00586E38" w:rsidRDefault="00586E38">
      <w:pPr>
        <w:spacing w:after="20"/>
        <w:jc w:val="center"/>
        <w:rPr>
          <w:sz w:val="24"/>
          <w:szCs w:val="24"/>
        </w:rPr>
      </w:pPr>
    </w:p>
    <w:p w:rsidR="00586E38" w:rsidRDefault="00586E38">
      <w:pPr>
        <w:spacing w:after="20"/>
        <w:jc w:val="center"/>
        <w:rPr>
          <w:sz w:val="24"/>
          <w:szCs w:val="24"/>
        </w:rPr>
      </w:pPr>
    </w:p>
    <w:p w:rsidR="00586E38" w:rsidRDefault="00586E38">
      <w:pPr>
        <w:spacing w:after="20"/>
        <w:jc w:val="center"/>
        <w:rPr>
          <w:sz w:val="24"/>
          <w:szCs w:val="24"/>
        </w:rPr>
      </w:pPr>
    </w:p>
    <w:p w:rsidR="00586E38" w:rsidRDefault="00586E38">
      <w:pPr>
        <w:spacing w:after="20"/>
        <w:jc w:val="center"/>
        <w:rPr>
          <w:sz w:val="24"/>
          <w:szCs w:val="24"/>
        </w:rPr>
      </w:pPr>
    </w:p>
    <w:p w:rsidR="00586E38" w:rsidRDefault="00586E38">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F93B54" w:rsidRDefault="00F93B54">
      <w:pPr>
        <w:spacing w:after="20"/>
        <w:jc w:val="center"/>
        <w:rPr>
          <w:sz w:val="24"/>
          <w:szCs w:val="24"/>
        </w:rPr>
      </w:pPr>
    </w:p>
    <w:p w:rsidR="00586E38" w:rsidRDefault="00586E38">
      <w:pPr>
        <w:spacing w:after="20"/>
        <w:jc w:val="center"/>
        <w:rPr>
          <w:sz w:val="24"/>
          <w:szCs w:val="24"/>
        </w:rPr>
      </w:pPr>
    </w:p>
    <w:p w:rsidR="00586E38" w:rsidRDefault="00586E38">
      <w:pPr>
        <w:spacing w:after="20"/>
        <w:jc w:val="center"/>
        <w:rPr>
          <w:sz w:val="24"/>
          <w:szCs w:val="24"/>
        </w:rPr>
      </w:pPr>
    </w:p>
    <w:p w:rsidR="00586E38" w:rsidRDefault="00586E38">
      <w:pPr>
        <w:spacing w:after="20"/>
        <w:jc w:val="center"/>
        <w:rPr>
          <w:sz w:val="24"/>
          <w:szCs w:val="24"/>
        </w:rPr>
      </w:pPr>
    </w:p>
    <w:p w:rsidR="00586E38" w:rsidRDefault="00586E38">
      <w:pPr>
        <w:spacing w:after="20"/>
        <w:jc w:val="center"/>
        <w:rPr>
          <w:sz w:val="24"/>
          <w:szCs w:val="24"/>
        </w:rPr>
      </w:pPr>
    </w:p>
    <w:p w:rsidR="00586E38" w:rsidRDefault="00586E38">
      <w:pPr>
        <w:spacing w:after="20"/>
        <w:jc w:val="center"/>
        <w:rPr>
          <w:sz w:val="24"/>
          <w:szCs w:val="24"/>
        </w:rPr>
      </w:pPr>
    </w:p>
    <w:p w:rsidR="00586E38" w:rsidRDefault="00586E38">
      <w:pPr>
        <w:spacing w:after="20"/>
        <w:rPr>
          <w:sz w:val="24"/>
          <w:szCs w:val="24"/>
        </w:rPr>
      </w:pPr>
    </w:p>
    <w:p w:rsidR="00586E38" w:rsidRDefault="00F93B54">
      <w:pPr>
        <w:spacing w:after="20"/>
        <w:jc w:val="center"/>
        <w:rPr>
          <w:b/>
          <w:sz w:val="24"/>
          <w:szCs w:val="24"/>
        </w:rPr>
      </w:pPr>
      <w:r>
        <w:rPr>
          <w:b/>
          <w:sz w:val="24"/>
          <w:szCs w:val="24"/>
        </w:rPr>
        <w:t>PROYECTO DE LEY ___ DE 2024 CÁMARA</w:t>
      </w:r>
    </w:p>
    <w:p w:rsidR="00586E38" w:rsidRDefault="00F93B54">
      <w:pPr>
        <w:pBdr>
          <w:top w:val="nil"/>
          <w:left w:val="nil"/>
          <w:bottom w:val="nil"/>
          <w:right w:val="nil"/>
          <w:between w:val="nil"/>
        </w:pBdr>
        <w:spacing w:before="94"/>
        <w:ind w:right="182"/>
        <w:jc w:val="center"/>
        <w:rPr>
          <w:color w:val="000000"/>
          <w:sz w:val="24"/>
          <w:szCs w:val="24"/>
        </w:rPr>
      </w:pPr>
      <w:r>
        <w:rPr>
          <w:b/>
          <w:i/>
          <w:color w:val="000000"/>
          <w:sz w:val="24"/>
          <w:szCs w:val="24"/>
        </w:rPr>
        <w:t>“Por la cual se reforma el Código de Comercio para establecer reglas en materia de comerciantes y sociedades y se adoptan otras disposiciones”</w:t>
      </w:r>
      <w:r>
        <w:rPr>
          <w:b/>
          <w:i/>
          <w:color w:val="000000"/>
          <w:sz w:val="24"/>
          <w:szCs w:val="24"/>
          <w:vertAlign w:val="superscript"/>
        </w:rPr>
        <w:footnoteReference w:id="1"/>
      </w:r>
    </w:p>
    <w:p w:rsidR="00586E38" w:rsidRDefault="00586E38">
      <w:pPr>
        <w:pBdr>
          <w:top w:val="nil"/>
          <w:left w:val="nil"/>
          <w:bottom w:val="nil"/>
          <w:right w:val="nil"/>
          <w:between w:val="nil"/>
        </w:pBdr>
        <w:spacing w:before="94"/>
        <w:ind w:right="182"/>
        <w:rPr>
          <w:b/>
          <w:color w:val="000000"/>
          <w:sz w:val="24"/>
          <w:szCs w:val="24"/>
        </w:rPr>
      </w:pPr>
    </w:p>
    <w:p w:rsidR="00586E38" w:rsidRDefault="00F93B54">
      <w:pPr>
        <w:widowControl/>
        <w:spacing w:before="240" w:after="240"/>
        <w:jc w:val="both"/>
        <w:rPr>
          <w:b/>
          <w:sz w:val="24"/>
          <w:szCs w:val="24"/>
        </w:rPr>
      </w:pPr>
      <w:r>
        <w:rPr>
          <w:b/>
          <w:sz w:val="24"/>
          <w:szCs w:val="24"/>
        </w:rPr>
        <w:t>Objeto</w:t>
      </w:r>
    </w:p>
    <w:p w:rsidR="00586E38" w:rsidRDefault="00F93B54">
      <w:pPr>
        <w:widowControl/>
        <w:spacing w:before="240" w:after="240"/>
        <w:jc w:val="both"/>
        <w:rPr>
          <w:sz w:val="24"/>
          <w:szCs w:val="24"/>
        </w:rPr>
      </w:pPr>
      <w:r>
        <w:rPr>
          <w:sz w:val="24"/>
          <w:szCs w:val="24"/>
        </w:rPr>
        <w:t>El presente proyecto de ley se orienta a reformar el Código de Comercio para establecer normas más adecuadas, que faciliten la actividad de los comerciantes y de las sociedades. En esta medida, implica una sustancial modernización del régimen jurídico vigente. Por medio de las modificaciones propuestas se procura garantizar mayor claridad en las normas, acceso a la formalización empresarial, fomento de las actividades económicas y mayor flexibilidad en los trámites relacionados con los comerciantes y las sociedades. Así mismo, se propone la creación de un entorno más competitivo y eficiente para los sujetos económicos del país, para fortalecer su capacidad para responder a los desafíos del mercado actual.</w:t>
      </w:r>
    </w:p>
    <w:p w:rsidR="00586E38" w:rsidRDefault="00F93B54">
      <w:pPr>
        <w:widowControl/>
        <w:spacing w:before="240" w:after="240"/>
        <w:jc w:val="both"/>
        <w:rPr>
          <w:sz w:val="24"/>
          <w:szCs w:val="24"/>
        </w:rPr>
      </w:pPr>
      <w:r>
        <w:rPr>
          <w:sz w:val="24"/>
          <w:szCs w:val="24"/>
        </w:rPr>
        <w:t>Además, en la iniciativa se proponen medidas orientadas a la protección de los derechos de los accionistas, en especial los minoritarios, el fortalecimiento patrimonial de las sociedades y la ampliación de facultades para la supervisión de las sociedades.</w:t>
      </w:r>
    </w:p>
    <w:p w:rsidR="00586E38" w:rsidRDefault="00F93B54">
      <w:pPr>
        <w:widowControl/>
        <w:spacing w:before="240" w:after="240"/>
        <w:jc w:val="both"/>
        <w:rPr>
          <w:sz w:val="24"/>
          <w:szCs w:val="24"/>
        </w:rPr>
      </w:pPr>
      <w:r>
        <w:rPr>
          <w:sz w:val="24"/>
          <w:szCs w:val="24"/>
        </w:rPr>
        <w:t>Con estas disposiciones se pretende, así mismo, brindarles a los comerciantes y sociedades herramientas legales que contribuyan a la reactivación económica y a la generación de un entorno empresarial sostenible y más seguro.</w:t>
      </w:r>
    </w:p>
    <w:p w:rsidR="00586E38" w:rsidRDefault="00586E38">
      <w:pPr>
        <w:widowControl/>
        <w:spacing w:before="240" w:after="240"/>
        <w:jc w:val="both"/>
        <w:rPr>
          <w:sz w:val="24"/>
          <w:szCs w:val="24"/>
        </w:rPr>
      </w:pPr>
    </w:p>
    <w:p w:rsidR="00586E38" w:rsidRDefault="00F93B54">
      <w:pPr>
        <w:widowControl/>
        <w:spacing w:before="240" w:after="240"/>
        <w:jc w:val="both"/>
        <w:rPr>
          <w:b/>
          <w:sz w:val="24"/>
          <w:szCs w:val="24"/>
        </w:rPr>
      </w:pPr>
      <w:r>
        <w:rPr>
          <w:b/>
          <w:sz w:val="24"/>
          <w:szCs w:val="24"/>
        </w:rPr>
        <w:t>Necesidad de la propuesta</w:t>
      </w:r>
    </w:p>
    <w:p w:rsidR="00586E38" w:rsidRDefault="00F93B54">
      <w:pPr>
        <w:widowControl/>
        <w:spacing w:before="240" w:after="240"/>
        <w:jc w:val="both"/>
        <w:rPr>
          <w:sz w:val="24"/>
          <w:szCs w:val="24"/>
        </w:rPr>
      </w:pPr>
      <w:r>
        <w:rPr>
          <w:sz w:val="24"/>
          <w:szCs w:val="24"/>
        </w:rPr>
        <w:t>El proyecto responde a la necesidad de modernización del Código de Comercio, principalmente en materia societaria, debido a que su estructura actual no responde de manera adecuada a las exigencias del entorno empresarial contemporáneo. En un contexto de constante transformación económica, resulta indispensable establecer normas más flexibles que les permitan a lios empresarios adaptarse rápidamente a los cambios del mercado, de manera que se facilite el desarrollo de actividades económicas en condiciones más competitivas y eficientes.</w:t>
      </w:r>
    </w:p>
    <w:p w:rsidR="00586E38" w:rsidRDefault="00F93B54">
      <w:pPr>
        <w:widowControl/>
        <w:spacing w:before="240" w:after="240"/>
        <w:jc w:val="both"/>
        <w:rPr>
          <w:sz w:val="24"/>
          <w:szCs w:val="24"/>
        </w:rPr>
      </w:pPr>
      <w:r>
        <w:rPr>
          <w:sz w:val="24"/>
          <w:szCs w:val="24"/>
        </w:rPr>
        <w:t xml:space="preserve">Es evidente que el régimen jurídico actual presenta limitaciones en la protección de los derechos de los accionistas, en particular los minoritarios, quienes frecuentemente se encuentran en una posición de vulnerabilidad frente a los accionistas mayoritarios. El </w:t>
      </w:r>
      <w:r>
        <w:rPr>
          <w:sz w:val="24"/>
          <w:szCs w:val="24"/>
        </w:rPr>
        <w:lastRenderedPageBreak/>
        <w:t>proyecto aborda dichas desigualdades mediante mecanismos que garantizan mayor equidad y transparencia en la gestión societaria, por medio de un fortalecimiento de la confianza en el sistema económico y jurídico colombiano.</w:t>
      </w:r>
    </w:p>
    <w:p w:rsidR="00586E38" w:rsidRDefault="00F93B54">
      <w:pPr>
        <w:widowControl/>
        <w:spacing w:before="240" w:after="240"/>
        <w:jc w:val="both"/>
        <w:rPr>
          <w:sz w:val="24"/>
          <w:szCs w:val="24"/>
        </w:rPr>
      </w:pPr>
      <w:r>
        <w:rPr>
          <w:sz w:val="24"/>
          <w:szCs w:val="24"/>
        </w:rPr>
        <w:t>De otra parte, en la reforma que se propone se contempla el fortalecimiento de la supervisión de las sociedades, por medio de un proceso claro para la designación del superintendente y reglas específicas sobre el término de su gestión, aspectos críticos en un contexto de reactivación económica. La redefinición de ciertas facultades asignadas a la Superintendencia de Sociedades permitirá una fiscalización más efectiva de los empresarios sujetos a supervisión, de modo que pueda garantizarse la sostenibilidad de las empresas y la protección de los intereses de sus accionistas y acreedores.</w:t>
      </w:r>
    </w:p>
    <w:p w:rsidR="00586E38" w:rsidRDefault="00F93B54">
      <w:pPr>
        <w:widowControl/>
        <w:spacing w:before="240" w:after="240"/>
        <w:jc w:val="both"/>
        <w:rPr>
          <w:sz w:val="24"/>
          <w:szCs w:val="24"/>
        </w:rPr>
      </w:pPr>
      <w:r>
        <w:rPr>
          <w:sz w:val="24"/>
          <w:szCs w:val="24"/>
        </w:rPr>
        <w:t>Por medio de este proyecto también se busca fomentar la seguridad jurídica y la inversión a través de normas que permitan incentivar la creación y el fortalecimiento de sociedades en el país. Al establecer reglas claras y modernas, este proyecto no solo se orienta a la creación de un ambiente propicio para el emprendimiento, sino que también se intenta contribuir al crecimiento económico y al bienestar social, por medio de la consolidación de un sistema empresarial sostenible.</w:t>
      </w:r>
    </w:p>
    <w:p w:rsidR="00586E38" w:rsidRDefault="00586E38">
      <w:pPr>
        <w:widowControl/>
        <w:spacing w:before="240" w:after="240"/>
        <w:jc w:val="both"/>
        <w:rPr>
          <w:b/>
          <w:sz w:val="24"/>
          <w:szCs w:val="24"/>
        </w:rPr>
      </w:pPr>
    </w:p>
    <w:p w:rsidR="00586E38" w:rsidRDefault="00F93B54">
      <w:pPr>
        <w:widowControl/>
        <w:spacing w:before="240" w:after="240"/>
        <w:jc w:val="both"/>
        <w:rPr>
          <w:b/>
          <w:sz w:val="24"/>
          <w:szCs w:val="24"/>
        </w:rPr>
      </w:pPr>
      <w:r>
        <w:rPr>
          <w:b/>
          <w:sz w:val="24"/>
          <w:szCs w:val="24"/>
        </w:rPr>
        <w:t>Antecedentes de reforma al régimen societario</w:t>
      </w:r>
    </w:p>
    <w:p w:rsidR="00586E38" w:rsidRDefault="00F93B54">
      <w:pPr>
        <w:widowControl/>
        <w:spacing w:before="240" w:after="240"/>
        <w:jc w:val="both"/>
        <w:rPr>
          <w:sz w:val="24"/>
          <w:szCs w:val="24"/>
        </w:rPr>
      </w:pPr>
      <w:r>
        <w:rPr>
          <w:sz w:val="24"/>
          <w:szCs w:val="24"/>
        </w:rPr>
        <w:t>A continuación, se presentan las reformas más importantes al régimen societario en el país:</w:t>
      </w:r>
    </w:p>
    <w:p w:rsidR="00586E38" w:rsidRDefault="00F93B54">
      <w:pPr>
        <w:widowControl/>
        <w:numPr>
          <w:ilvl w:val="0"/>
          <w:numId w:val="3"/>
        </w:numPr>
        <w:spacing w:before="240" w:after="240"/>
        <w:jc w:val="both"/>
        <w:rPr>
          <w:sz w:val="24"/>
          <w:szCs w:val="24"/>
        </w:rPr>
      </w:pPr>
      <w:r>
        <w:rPr>
          <w:sz w:val="24"/>
          <w:szCs w:val="24"/>
        </w:rPr>
        <w:t>Ley 222 de 1995</w:t>
      </w:r>
    </w:p>
    <w:p w:rsidR="00586E38" w:rsidRDefault="00F93B54">
      <w:pPr>
        <w:widowControl/>
        <w:spacing w:before="240" w:after="240"/>
        <w:jc w:val="both"/>
        <w:rPr>
          <w:sz w:val="24"/>
          <w:szCs w:val="24"/>
        </w:rPr>
      </w:pPr>
      <w:r>
        <w:rPr>
          <w:sz w:val="24"/>
          <w:szCs w:val="24"/>
        </w:rPr>
        <w:t>Esta norma permitió un avance muy significativo tanto en el ámbito de las sociedades como en el de los procesos concursales. Además, estableció un régimen legal que define la responsabilidad de los administradores y ejecutivos de las sociedades. Por medio de esta ley se dio el paso trascendental de introducir en el régimen jurídico del país la denominada Empresa Unipersonal de Responsabilidad Limitada, antecedente remoto de la Sociedad por Acciones Simplificada.</w:t>
      </w:r>
    </w:p>
    <w:p w:rsidR="00586E38" w:rsidRDefault="00F93B54">
      <w:pPr>
        <w:widowControl/>
        <w:numPr>
          <w:ilvl w:val="0"/>
          <w:numId w:val="1"/>
        </w:numPr>
        <w:spacing w:before="240" w:after="240"/>
        <w:jc w:val="both"/>
        <w:rPr>
          <w:sz w:val="24"/>
          <w:szCs w:val="24"/>
        </w:rPr>
      </w:pPr>
      <w:r>
        <w:rPr>
          <w:sz w:val="24"/>
          <w:szCs w:val="24"/>
        </w:rPr>
        <w:t xml:space="preserve"> Ley 446 de 1998</w:t>
      </w:r>
    </w:p>
    <w:p w:rsidR="00586E38" w:rsidRDefault="00F93B54">
      <w:pPr>
        <w:widowControl/>
        <w:spacing w:before="240" w:after="240"/>
        <w:jc w:val="both"/>
        <w:rPr>
          <w:sz w:val="24"/>
          <w:szCs w:val="24"/>
        </w:rPr>
      </w:pPr>
      <w:r>
        <w:rPr>
          <w:sz w:val="24"/>
          <w:szCs w:val="24"/>
        </w:rPr>
        <w:t>En ella se establecieron disposiciones para mejorar el acceso a la justicia, la eficiencia y la descongestión del sistema judicial. Entre sus aspectos más relevantes se encuentra la definición de la conciliación y los asuntos que pueden ser objeto de ella, así como la atribución de facultades jurisdiccionales a diversas superintendencias para facilitar y especializar la resolución de conflictos societarios.</w:t>
      </w:r>
    </w:p>
    <w:p w:rsidR="00586E38" w:rsidRDefault="00F93B54">
      <w:pPr>
        <w:widowControl/>
        <w:spacing w:before="240" w:after="240"/>
        <w:jc w:val="both"/>
        <w:rPr>
          <w:sz w:val="24"/>
          <w:szCs w:val="24"/>
        </w:rPr>
      </w:pPr>
      <w:r>
        <w:rPr>
          <w:sz w:val="24"/>
          <w:szCs w:val="24"/>
        </w:rPr>
        <w:t xml:space="preserve"> </w:t>
      </w:r>
    </w:p>
    <w:p w:rsidR="00586E38" w:rsidRDefault="00F93B54">
      <w:pPr>
        <w:widowControl/>
        <w:spacing w:before="240" w:after="240"/>
        <w:ind w:left="1080" w:hanging="360"/>
        <w:jc w:val="both"/>
        <w:rPr>
          <w:sz w:val="24"/>
          <w:szCs w:val="24"/>
        </w:rPr>
      </w:pPr>
      <w:r>
        <w:rPr>
          <w:rFonts w:ascii="Noto Sans Symbols" w:eastAsia="Noto Sans Symbols" w:hAnsi="Noto Sans Symbols" w:cs="Noto Sans Symbols"/>
          <w:sz w:val="24"/>
          <w:szCs w:val="24"/>
        </w:rPr>
        <w:lastRenderedPageBreak/>
        <w:t>●</w:t>
      </w:r>
      <w:r>
        <w:rPr>
          <w:rFonts w:ascii="Times New Roman" w:eastAsia="Times New Roman" w:hAnsi="Times New Roman" w:cs="Times New Roman"/>
          <w:sz w:val="14"/>
          <w:szCs w:val="14"/>
        </w:rPr>
        <w:t xml:space="preserve">       </w:t>
      </w:r>
      <w:r>
        <w:rPr>
          <w:sz w:val="24"/>
          <w:szCs w:val="24"/>
        </w:rPr>
        <w:t>Ley 1258 de 2008</w:t>
      </w:r>
    </w:p>
    <w:p w:rsidR="00586E38" w:rsidRDefault="00F93B54">
      <w:pPr>
        <w:widowControl/>
        <w:spacing w:before="240" w:after="240"/>
        <w:jc w:val="both"/>
        <w:rPr>
          <w:sz w:val="24"/>
          <w:szCs w:val="24"/>
        </w:rPr>
      </w:pPr>
      <w:r>
        <w:rPr>
          <w:sz w:val="24"/>
          <w:szCs w:val="24"/>
        </w:rPr>
        <w:t>Se trató de la reforma más relevante al Código de Comercio en las últimas cinco décadas. Por medio de esta ley se creó la figura de la Sociedad por Acciones Simplificada.</w:t>
      </w:r>
    </w:p>
    <w:p w:rsidR="00586E38" w:rsidRDefault="00F93B54">
      <w:pPr>
        <w:widowControl/>
        <w:spacing w:before="240" w:after="240"/>
        <w:ind w:left="1080" w:hanging="360"/>
        <w:jc w:val="both"/>
        <w:rPr>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14"/>
          <w:szCs w:val="14"/>
        </w:rPr>
        <w:t xml:space="preserve">       </w:t>
      </w:r>
      <w:r>
        <w:rPr>
          <w:sz w:val="24"/>
          <w:szCs w:val="24"/>
        </w:rPr>
        <w:t>Ley 1314 de 2009</w:t>
      </w:r>
    </w:p>
    <w:p w:rsidR="00586E38" w:rsidRDefault="00F93B54">
      <w:pPr>
        <w:widowControl/>
        <w:spacing w:before="240" w:after="240"/>
        <w:jc w:val="both"/>
        <w:rPr>
          <w:sz w:val="24"/>
          <w:szCs w:val="24"/>
        </w:rPr>
      </w:pPr>
      <w:r>
        <w:rPr>
          <w:sz w:val="24"/>
          <w:szCs w:val="24"/>
        </w:rPr>
        <w:t>En ella se regularon los principios y normas de contabilidad, información financiera y aseguramiento de información en Colombia. Esta ley también establecieron las autoridades competentes, el procedimiento para expedir estas normas y las entidades responsables de vigilar su cumplimiento.</w:t>
      </w:r>
    </w:p>
    <w:p w:rsidR="00586E38" w:rsidRDefault="00F93B54">
      <w:pPr>
        <w:widowControl/>
        <w:numPr>
          <w:ilvl w:val="0"/>
          <w:numId w:val="5"/>
        </w:numPr>
        <w:spacing w:before="240" w:after="240"/>
        <w:jc w:val="both"/>
        <w:rPr>
          <w:sz w:val="24"/>
          <w:szCs w:val="24"/>
        </w:rPr>
      </w:pPr>
      <w:r>
        <w:rPr>
          <w:sz w:val="24"/>
          <w:szCs w:val="24"/>
        </w:rPr>
        <w:t>Ley 1429 de 2010</w:t>
      </w:r>
    </w:p>
    <w:p w:rsidR="00586E38" w:rsidRDefault="00F93B54">
      <w:pPr>
        <w:widowControl/>
        <w:spacing w:before="240" w:after="240"/>
        <w:jc w:val="both"/>
        <w:rPr>
          <w:sz w:val="24"/>
          <w:szCs w:val="24"/>
        </w:rPr>
      </w:pPr>
      <w:r>
        <w:rPr>
          <w:sz w:val="24"/>
          <w:szCs w:val="24"/>
        </w:rPr>
        <w:t>Por medio de esta ley, intitulada de “Formalización y Generación de Empleo” se procuró incentivar la formalización de empresas y la generación de empleo. Para ello, en esta la ley se crearon beneficios para las empresas que se formalizaran o crearan empleo.</w:t>
      </w:r>
    </w:p>
    <w:p w:rsidR="00586E38" w:rsidRDefault="00F93B54">
      <w:pPr>
        <w:widowControl/>
        <w:numPr>
          <w:ilvl w:val="0"/>
          <w:numId w:val="26"/>
        </w:numPr>
        <w:spacing w:before="240" w:after="240"/>
        <w:jc w:val="both"/>
      </w:pPr>
      <w:r>
        <w:rPr>
          <w:rFonts w:ascii="Times New Roman" w:eastAsia="Times New Roman" w:hAnsi="Times New Roman" w:cs="Times New Roman"/>
          <w:sz w:val="14"/>
          <w:szCs w:val="14"/>
        </w:rPr>
        <w:t xml:space="preserve"> </w:t>
      </w:r>
      <w:r>
        <w:rPr>
          <w:sz w:val="24"/>
          <w:szCs w:val="24"/>
        </w:rPr>
        <w:t>Proyecto de ley 070 del 20215 Cámara</w:t>
      </w:r>
    </w:p>
    <w:p w:rsidR="00586E38" w:rsidRDefault="00F93B54">
      <w:pPr>
        <w:widowControl/>
        <w:spacing w:before="240" w:after="240"/>
        <w:jc w:val="both"/>
        <w:rPr>
          <w:sz w:val="24"/>
          <w:szCs w:val="24"/>
        </w:rPr>
      </w:pPr>
      <w:r>
        <w:rPr>
          <w:sz w:val="24"/>
          <w:szCs w:val="24"/>
        </w:rPr>
        <w:t>Aunque no se convirtió en ley, tal proyecto fue el último gran intento de reforma general al régimen societario, inclusive el mismo es un antecedente directo de este proyecto.</w:t>
      </w:r>
    </w:p>
    <w:p w:rsidR="00586E38" w:rsidRDefault="00F93B54">
      <w:pPr>
        <w:widowControl/>
        <w:spacing w:before="240" w:after="240"/>
        <w:jc w:val="both"/>
        <w:rPr>
          <w:b/>
          <w:sz w:val="24"/>
          <w:szCs w:val="24"/>
        </w:rPr>
      </w:pPr>
      <w:r>
        <w:rPr>
          <w:b/>
          <w:sz w:val="24"/>
          <w:szCs w:val="24"/>
        </w:rPr>
        <w:t xml:space="preserve"> </w:t>
      </w:r>
    </w:p>
    <w:p w:rsidR="00586E38" w:rsidRDefault="00F93B54">
      <w:pPr>
        <w:widowControl/>
        <w:spacing w:before="240" w:after="240"/>
        <w:jc w:val="both"/>
        <w:rPr>
          <w:b/>
          <w:sz w:val="24"/>
          <w:szCs w:val="24"/>
        </w:rPr>
      </w:pPr>
      <w:r>
        <w:rPr>
          <w:b/>
          <w:sz w:val="24"/>
          <w:szCs w:val="24"/>
        </w:rPr>
        <w:t>De la Iniciativa</w:t>
      </w:r>
    </w:p>
    <w:p w:rsidR="00586E38" w:rsidRDefault="00F93B54">
      <w:pPr>
        <w:widowControl/>
        <w:spacing w:before="240" w:after="240"/>
        <w:jc w:val="both"/>
        <w:rPr>
          <w:sz w:val="24"/>
          <w:szCs w:val="24"/>
        </w:rPr>
      </w:pPr>
      <w:r>
        <w:rPr>
          <w:b/>
          <w:sz w:val="24"/>
          <w:szCs w:val="24"/>
        </w:rPr>
        <w:t xml:space="preserve"> </w:t>
      </w:r>
      <w:r>
        <w:rPr>
          <w:sz w:val="24"/>
          <w:szCs w:val="24"/>
        </w:rPr>
        <w:t>Los puntos clave del proyecto de ley son:</w:t>
      </w:r>
    </w:p>
    <w:p w:rsidR="00586E38" w:rsidRDefault="00F93B54">
      <w:pPr>
        <w:widowControl/>
        <w:numPr>
          <w:ilvl w:val="0"/>
          <w:numId w:val="2"/>
        </w:numPr>
        <w:spacing w:before="240" w:after="240"/>
        <w:jc w:val="both"/>
        <w:rPr>
          <w:sz w:val="24"/>
          <w:szCs w:val="24"/>
        </w:rPr>
      </w:pPr>
      <w:r>
        <w:rPr>
          <w:sz w:val="24"/>
          <w:szCs w:val="24"/>
        </w:rPr>
        <w:t xml:space="preserve"> </w:t>
      </w:r>
      <w:r>
        <w:rPr>
          <w:b/>
          <w:sz w:val="24"/>
          <w:szCs w:val="24"/>
        </w:rPr>
        <w:t>Actualización del régimen de responsabilidad de los comerciantes</w:t>
      </w:r>
    </w:p>
    <w:p w:rsidR="00586E38" w:rsidRDefault="00F93B54">
      <w:pPr>
        <w:widowControl/>
        <w:spacing w:before="240" w:after="240"/>
        <w:jc w:val="both"/>
        <w:rPr>
          <w:sz w:val="24"/>
          <w:szCs w:val="24"/>
        </w:rPr>
      </w:pPr>
      <w:r>
        <w:rPr>
          <w:sz w:val="24"/>
          <w:szCs w:val="24"/>
        </w:rPr>
        <w:t>Se establece un modelo que les permite a los comerciantes limitar su responsabilidad por medio de la matrícula mercantil. Así, se restringe el alcance de las deudas comerciales al patrimonio declarado, lo que protege sus bienes personales no vinculados a la actividad mercantil.</w:t>
      </w:r>
    </w:p>
    <w:p w:rsidR="00586E38" w:rsidRDefault="00F93B54">
      <w:pPr>
        <w:widowControl/>
        <w:numPr>
          <w:ilvl w:val="0"/>
          <w:numId w:val="4"/>
        </w:numPr>
        <w:spacing w:before="240" w:after="240"/>
        <w:jc w:val="both"/>
      </w:pPr>
      <w:r>
        <w:rPr>
          <w:rFonts w:ascii="Times New Roman" w:eastAsia="Times New Roman" w:hAnsi="Times New Roman" w:cs="Times New Roman"/>
          <w:sz w:val="14"/>
          <w:szCs w:val="14"/>
        </w:rPr>
        <w:t xml:space="preserve"> </w:t>
      </w:r>
      <w:r>
        <w:rPr>
          <w:b/>
          <w:sz w:val="24"/>
          <w:szCs w:val="24"/>
        </w:rPr>
        <w:t>Flexibilización normativa en materia societaria</w:t>
      </w:r>
    </w:p>
    <w:p w:rsidR="00586E38" w:rsidRDefault="00F93B54">
      <w:pPr>
        <w:widowControl/>
        <w:spacing w:before="240" w:after="240"/>
        <w:jc w:val="both"/>
        <w:rPr>
          <w:sz w:val="24"/>
          <w:szCs w:val="24"/>
        </w:rPr>
      </w:pPr>
      <w:r>
        <w:rPr>
          <w:sz w:val="24"/>
          <w:szCs w:val="24"/>
        </w:rPr>
        <w:t>Se introducen cambios para facilitar la creación, operación y transformación de sociedades, incluyendo el fortalecimiento del modelo de la Sociedad por Acciones Simplificada (SAS) y la incorporación de una nueva figura para actividades deportivas (la Sociedad por Acciones Simplificada Deportiva-SASD) y la SAS del Archipiélago de San Andrés y Providencia.</w:t>
      </w:r>
    </w:p>
    <w:p w:rsidR="00586E38" w:rsidRDefault="00F93B54">
      <w:pPr>
        <w:widowControl/>
        <w:spacing w:before="240" w:after="240"/>
        <w:ind w:left="1080" w:hanging="360"/>
        <w:jc w:val="both"/>
        <w:rPr>
          <w:sz w:val="24"/>
          <w:szCs w:val="24"/>
        </w:rPr>
      </w:pPr>
      <w:r>
        <w:rPr>
          <w:rFonts w:ascii="Noto Sans Symbols" w:eastAsia="Noto Sans Symbols" w:hAnsi="Noto Sans Symbols" w:cs="Noto Sans Symbols"/>
          <w:sz w:val="24"/>
          <w:szCs w:val="24"/>
        </w:rPr>
        <w:lastRenderedPageBreak/>
        <w:t>●</w:t>
      </w:r>
      <w:r>
        <w:rPr>
          <w:rFonts w:ascii="Times New Roman" w:eastAsia="Times New Roman" w:hAnsi="Times New Roman" w:cs="Times New Roman"/>
          <w:sz w:val="14"/>
          <w:szCs w:val="14"/>
        </w:rPr>
        <w:t xml:space="preserve">       </w:t>
      </w:r>
      <w:r>
        <w:rPr>
          <w:b/>
          <w:sz w:val="24"/>
          <w:szCs w:val="24"/>
        </w:rPr>
        <w:t>Fortalecimiento patrimonial y protección de accionistas minoritarios</w:t>
      </w:r>
    </w:p>
    <w:p w:rsidR="00586E38" w:rsidRDefault="00F93B54">
      <w:pPr>
        <w:widowControl/>
        <w:spacing w:before="240" w:after="240"/>
        <w:jc w:val="both"/>
        <w:rPr>
          <w:sz w:val="24"/>
          <w:szCs w:val="24"/>
        </w:rPr>
      </w:pPr>
      <w:r>
        <w:rPr>
          <w:sz w:val="24"/>
          <w:szCs w:val="24"/>
        </w:rPr>
        <w:t>Se establecen mecanismos para garantizar la equidad entre accionistas, proteger los intereses de los minoritarios, y robustecer la estructura financiera de las sociedades, de manera que pueda lograrse una mayor estabilidad en sus operaciones.</w:t>
      </w:r>
    </w:p>
    <w:p w:rsidR="00586E38" w:rsidRDefault="00F93B54">
      <w:pPr>
        <w:widowControl/>
        <w:spacing w:before="240" w:after="240"/>
        <w:ind w:left="1080" w:hanging="360"/>
        <w:jc w:val="both"/>
        <w:rPr>
          <w:b/>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14"/>
          <w:szCs w:val="14"/>
        </w:rPr>
        <w:t xml:space="preserve">       </w:t>
      </w:r>
      <w:r>
        <w:rPr>
          <w:b/>
          <w:sz w:val="24"/>
          <w:szCs w:val="24"/>
        </w:rPr>
        <w:t>Ampliación de facultades de la Superintendencia de Sociedades</w:t>
      </w:r>
    </w:p>
    <w:p w:rsidR="00586E38" w:rsidRDefault="00F93B54">
      <w:pPr>
        <w:widowControl/>
        <w:spacing w:before="240" w:after="240"/>
        <w:jc w:val="both"/>
        <w:rPr>
          <w:sz w:val="24"/>
          <w:szCs w:val="24"/>
        </w:rPr>
      </w:pPr>
      <w:r>
        <w:rPr>
          <w:sz w:val="24"/>
          <w:szCs w:val="24"/>
        </w:rPr>
        <w:t>Se otorgan mayores competencias para la supervisión y control de las actividades societarias, así como mecanismos para la designación del Superintendente de Sociedades.</w:t>
      </w:r>
    </w:p>
    <w:p w:rsidR="00586E38" w:rsidRDefault="00F93B54">
      <w:pPr>
        <w:widowControl/>
        <w:numPr>
          <w:ilvl w:val="0"/>
          <w:numId w:val="25"/>
        </w:numPr>
        <w:spacing w:before="240" w:after="240"/>
        <w:jc w:val="both"/>
        <w:rPr>
          <w:b/>
          <w:sz w:val="24"/>
          <w:szCs w:val="24"/>
        </w:rPr>
      </w:pPr>
      <w:r>
        <w:rPr>
          <w:b/>
          <w:sz w:val="24"/>
          <w:szCs w:val="24"/>
        </w:rPr>
        <w:t>Promoción de la modernización tecnológica</w:t>
      </w:r>
    </w:p>
    <w:p w:rsidR="00586E38" w:rsidRDefault="00F93B54">
      <w:pPr>
        <w:widowControl/>
        <w:spacing w:before="240" w:after="240"/>
        <w:jc w:val="both"/>
        <w:rPr>
          <w:sz w:val="24"/>
          <w:szCs w:val="24"/>
        </w:rPr>
      </w:pPr>
      <w:r>
        <w:rPr>
          <w:sz w:val="24"/>
          <w:szCs w:val="24"/>
        </w:rPr>
        <w:t>Se contemplan medidas para la digitalización de los procesos de registro y matrícula mercantil, de modo que se facilite la constitución, reforma y disolución de las sociedades por medios electrónicos, lo que reduce costos y tiempos para los empresarios.</w:t>
      </w:r>
    </w:p>
    <w:p w:rsidR="00586E38" w:rsidRDefault="00586E38">
      <w:pPr>
        <w:widowControl/>
        <w:spacing w:before="240" w:after="240"/>
        <w:jc w:val="both"/>
        <w:rPr>
          <w:sz w:val="24"/>
          <w:szCs w:val="24"/>
        </w:rPr>
      </w:pPr>
    </w:p>
    <w:p w:rsidR="00586E38" w:rsidRDefault="00F93B54">
      <w:pPr>
        <w:rPr>
          <w:b/>
          <w:sz w:val="24"/>
          <w:szCs w:val="24"/>
        </w:rPr>
      </w:pPr>
      <w:r>
        <w:rPr>
          <w:b/>
          <w:sz w:val="24"/>
          <w:szCs w:val="24"/>
        </w:rPr>
        <w:t>Conflicto de Interés</w:t>
      </w:r>
    </w:p>
    <w:p w:rsidR="00586E38" w:rsidRDefault="00F93B54">
      <w:pPr>
        <w:jc w:val="both"/>
        <w:rPr>
          <w:sz w:val="24"/>
          <w:szCs w:val="24"/>
        </w:rPr>
      </w:pPr>
      <w:r>
        <w:rPr>
          <w:sz w:val="24"/>
          <w:szCs w:val="24"/>
        </w:rPr>
        <w:t>De acuerdo con lo estipulado en el artículo 3º de la Ley 2003 de 2019, que establece la necesidad de incluir en la exposición de motivos del proyecto de ley una sección que describa los escenarios que podrían generar un conflicto de interés durante la discusión y votación, en consonancia con lo dispuesto en el artículo 286. Estos criterios servirán como guía para que los demás congresistas evalúen si se encuentran en una situación de impedimento de acuerdo con la normativa vigente, sin embargo, también se podrán considerar otras causas que los congresistas consideren relevantes.  </w:t>
      </w:r>
    </w:p>
    <w:p w:rsidR="00586E38" w:rsidRDefault="00F93B54">
      <w:pPr>
        <w:spacing w:before="280" w:after="280"/>
        <w:ind w:firstLine="720"/>
        <w:jc w:val="both"/>
        <w:rPr>
          <w:sz w:val="24"/>
          <w:szCs w:val="24"/>
        </w:rPr>
      </w:pPr>
      <w:r>
        <w:rPr>
          <w:sz w:val="24"/>
          <w:szCs w:val="24"/>
        </w:rPr>
        <w:t>“</w:t>
      </w:r>
      <w:r>
        <w:rPr>
          <w:i/>
          <w:sz w:val="24"/>
          <w:szCs w:val="24"/>
        </w:rPr>
        <w:t>Artículo 1º. El artículo </w:t>
      </w:r>
      <w:hyperlink r:id="rId8" w:anchor="286">
        <w:r>
          <w:rPr>
            <w:i/>
            <w:sz w:val="24"/>
            <w:szCs w:val="24"/>
            <w:u w:val="single"/>
          </w:rPr>
          <w:t>286</w:t>
        </w:r>
      </w:hyperlink>
      <w:r>
        <w:rPr>
          <w:i/>
          <w:sz w:val="24"/>
          <w:szCs w:val="24"/>
        </w:rPr>
        <w:t> de la Ley 5 de 1992 quedará así: (…)</w:t>
      </w:r>
    </w:p>
    <w:p w:rsidR="00586E38" w:rsidRDefault="00F93B54">
      <w:pPr>
        <w:spacing w:before="280" w:after="280"/>
        <w:ind w:left="720"/>
        <w:jc w:val="both"/>
        <w:rPr>
          <w:sz w:val="24"/>
          <w:szCs w:val="24"/>
        </w:rPr>
      </w:pPr>
      <w:r>
        <w:rPr>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586E38" w:rsidRDefault="00F93B54">
      <w:pPr>
        <w:spacing w:before="280" w:after="280"/>
        <w:ind w:left="720"/>
        <w:jc w:val="both"/>
        <w:rPr>
          <w:sz w:val="24"/>
          <w:szCs w:val="24"/>
        </w:rPr>
      </w:pPr>
      <w:r>
        <w:rPr>
          <w:i/>
          <w:sz w:val="24"/>
          <w:szCs w:val="24"/>
        </w:rPr>
        <w:t>b) Beneficio actual: aquel que efectivamente se configura en las circunstancias presentes y existentes al momento en el que el congresista participa de la decisión.</w:t>
      </w:r>
    </w:p>
    <w:p w:rsidR="00586E38" w:rsidRDefault="00F93B54">
      <w:pPr>
        <w:spacing w:before="280" w:after="280"/>
        <w:ind w:left="720"/>
        <w:jc w:val="both"/>
        <w:rPr>
          <w:sz w:val="24"/>
          <w:szCs w:val="24"/>
        </w:rPr>
      </w:pPr>
      <w:r>
        <w:rPr>
          <w:i/>
          <w:sz w:val="24"/>
          <w:szCs w:val="24"/>
        </w:rPr>
        <w:t>c) Beneficio directo: aquel que se produzca de forma específica respecto del congresista, de su cónyuge, compañero o compañera permanente, o parientes dentro del segundo grado de consanguinidad, segundo de afinidad o primero civil.</w:t>
      </w:r>
    </w:p>
    <w:p w:rsidR="00586E38" w:rsidRDefault="00F93B54">
      <w:pPr>
        <w:spacing w:before="280" w:after="280"/>
        <w:ind w:left="720"/>
        <w:jc w:val="both"/>
        <w:rPr>
          <w:sz w:val="24"/>
          <w:szCs w:val="24"/>
        </w:rPr>
      </w:pPr>
      <w:r>
        <w:rPr>
          <w:i/>
          <w:sz w:val="24"/>
          <w:szCs w:val="24"/>
        </w:rPr>
        <w:lastRenderedPageBreak/>
        <w:t>Para todos los efectos se entiende que no hay conflicto de interés en las siguientes circunstancias:</w:t>
      </w:r>
    </w:p>
    <w:p w:rsidR="00586E38" w:rsidRDefault="00F93B54">
      <w:pPr>
        <w:spacing w:before="280" w:after="280"/>
        <w:ind w:left="720"/>
        <w:jc w:val="both"/>
        <w:rPr>
          <w:sz w:val="24"/>
          <w:szCs w:val="24"/>
        </w:rPr>
      </w:pPr>
      <w:r>
        <w:rPr>
          <w:b/>
          <w:i/>
          <w:sz w:val="24"/>
          <w:szCs w:val="24"/>
          <w:u w:val="single"/>
        </w:rPr>
        <w:t>a) Cuando el congresista participe, discuta, vote un proyecto de ley o de acto legislativo que otorgue beneficios o cargos de carácter general, es decir cuando el interés del congresista coincide o se fusione con los intereses de los electores.</w:t>
      </w:r>
    </w:p>
    <w:p w:rsidR="00586E38" w:rsidRDefault="00F93B54">
      <w:pPr>
        <w:spacing w:before="280" w:after="280"/>
        <w:ind w:left="708" w:firstLine="12"/>
        <w:jc w:val="both"/>
        <w:rPr>
          <w:sz w:val="24"/>
          <w:szCs w:val="24"/>
        </w:rPr>
      </w:pPr>
      <w:r>
        <w:rPr>
          <w:i/>
          <w:sz w:val="24"/>
          <w:szCs w:val="24"/>
        </w:rPr>
        <w:t>b) Cuando el beneficio podría o no configurarse para el congresista en el futuro.</w:t>
      </w:r>
    </w:p>
    <w:p w:rsidR="00586E38" w:rsidRDefault="00F93B54">
      <w:pPr>
        <w:spacing w:before="280" w:after="280"/>
        <w:ind w:left="720"/>
        <w:jc w:val="both"/>
        <w:rPr>
          <w:sz w:val="24"/>
          <w:szCs w:val="24"/>
        </w:rPr>
      </w:pPr>
      <w:r>
        <w:rPr>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586E38" w:rsidRDefault="00F93B54">
      <w:pPr>
        <w:spacing w:before="280" w:after="280"/>
        <w:ind w:left="720"/>
        <w:jc w:val="both"/>
        <w:rPr>
          <w:sz w:val="24"/>
          <w:szCs w:val="24"/>
        </w:rPr>
      </w:pPr>
      <w:r>
        <w:rPr>
          <w:i/>
          <w:sz w:val="24"/>
          <w:szCs w:val="24"/>
        </w:rPr>
        <w:t>d) Cuando el congresista participe, discuta o vote artículos de proyectos de ley o acto legislativo de carácter particular, que regula </w:t>
      </w:r>
    </w:p>
    <w:p w:rsidR="00586E38" w:rsidRDefault="00F93B54">
      <w:pPr>
        <w:spacing w:before="280" w:after="280"/>
        <w:ind w:left="720"/>
        <w:jc w:val="both"/>
        <w:rPr>
          <w:sz w:val="24"/>
          <w:szCs w:val="24"/>
        </w:rPr>
      </w:pPr>
      <w:r>
        <w:rPr>
          <w:i/>
          <w:sz w:val="24"/>
          <w:szCs w:val="24"/>
        </w:rPr>
        <w:t>un sector económico en el cual el congresista tiene un interés particular, actual y directo, siempre y cuando no genere beneficio particular, directo y actual.</w:t>
      </w:r>
    </w:p>
    <w:p w:rsidR="00586E38" w:rsidRDefault="00F93B54">
      <w:pPr>
        <w:spacing w:before="280" w:after="280"/>
        <w:ind w:left="720"/>
        <w:jc w:val="both"/>
        <w:rPr>
          <w:sz w:val="24"/>
          <w:szCs w:val="24"/>
        </w:rPr>
      </w:pPr>
      <w:r>
        <w:rPr>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586E38" w:rsidRDefault="00F93B54">
      <w:pPr>
        <w:spacing w:before="280" w:after="280"/>
        <w:ind w:left="720"/>
        <w:jc w:val="both"/>
        <w:rPr>
          <w:sz w:val="24"/>
          <w:szCs w:val="24"/>
        </w:rPr>
      </w:pPr>
      <w:r>
        <w:rPr>
          <w:i/>
          <w:sz w:val="24"/>
          <w:szCs w:val="24"/>
        </w:rPr>
        <w:t xml:space="preserve">f) Cuando el congresista participa en la elección de otros servidores públicos mediante el voto secreto. Se exceptúan los casos en que se presenten inhabilidades referidas al parentesco con los candidatos (...)”. </w:t>
      </w:r>
      <w:r>
        <w:rPr>
          <w:sz w:val="24"/>
          <w:szCs w:val="24"/>
          <w:vertAlign w:val="superscript"/>
        </w:rPr>
        <w:t>Subrayado y negrilla fuera de texto</w:t>
      </w:r>
    </w:p>
    <w:p w:rsidR="00586E38" w:rsidRDefault="00F93B54">
      <w:pPr>
        <w:jc w:val="both"/>
        <w:rPr>
          <w:sz w:val="24"/>
          <w:szCs w:val="24"/>
        </w:rPr>
      </w:pPr>
      <w:r>
        <w:rPr>
          <w:sz w:val="24"/>
          <w:szCs w:val="24"/>
        </w:rPr>
        <w:t xml:space="preserve">En el marco de lo establecido por el artículo 3º de la Ley 2003 de 2019, donde se prevé la descripción de situaciones que puedan generar conflictos de interés durante la discusión y votación de proyectos de ley, se analizan los criterios pertinentes para determinar la existencia de posibles impedimentos en el ejercicio de la función congresual, incluyendo la legislativa. Sin embargo, hasta el momento, no se han encontrado circunstancias que den lugar a un conflicto de interés en relación con el Proyecto de Ley en cuestión. Este proyecto se considera general, impersonal y abstracto, sin proporcionar beneficios particulares ni directos que puedan influir en intereses personales. Es importante destacar que la evaluación de conflictos de interés es una responsabilidad individual de cada Congresista, sujeta a análisis y consideraciones </w:t>
      </w:r>
      <w:r>
        <w:rPr>
          <w:sz w:val="24"/>
          <w:szCs w:val="24"/>
        </w:rPr>
        <w:lastRenderedPageBreak/>
        <w:t>adicionales durante el proceso legislativo.</w:t>
      </w:r>
    </w:p>
    <w:p w:rsidR="00586E38" w:rsidRDefault="00586E38">
      <w:pPr>
        <w:rPr>
          <w:sz w:val="24"/>
          <w:szCs w:val="24"/>
        </w:rPr>
      </w:pPr>
    </w:p>
    <w:p w:rsidR="00586E38" w:rsidRDefault="00F93B54">
      <w:pPr>
        <w:rPr>
          <w:b/>
          <w:sz w:val="24"/>
          <w:szCs w:val="24"/>
        </w:rPr>
      </w:pPr>
      <w:r>
        <w:rPr>
          <w:b/>
          <w:sz w:val="24"/>
          <w:szCs w:val="24"/>
        </w:rPr>
        <w:t>Impacto Fiscal</w:t>
      </w:r>
    </w:p>
    <w:p w:rsidR="00586E38" w:rsidRDefault="00586E38">
      <w:pPr>
        <w:rPr>
          <w:b/>
          <w:sz w:val="24"/>
          <w:szCs w:val="24"/>
        </w:rPr>
      </w:pPr>
    </w:p>
    <w:p w:rsidR="00586E38" w:rsidRDefault="00F93B54">
      <w:pPr>
        <w:jc w:val="both"/>
        <w:rPr>
          <w:sz w:val="24"/>
          <w:szCs w:val="24"/>
        </w:rPr>
      </w:pPr>
      <w:r>
        <w:rPr>
          <w:sz w:val="24"/>
          <w:szCs w:val="24"/>
        </w:rPr>
        <w:t>El artículo 7 de la Ley 819 de 2003 “Por la cual se dictan normas orgánicas en materia de presupuesto, responsabilidad y transparencia fiscal y se dictan otras disposiciones”, establece que en todo proyecto de ley que se ordene gastos debe existir en la exposición de motivos el respectivo análisis del impacto fiscal de la iniciativa.</w:t>
      </w:r>
    </w:p>
    <w:p w:rsidR="00586E38" w:rsidRDefault="00586E38">
      <w:pPr>
        <w:jc w:val="both"/>
        <w:rPr>
          <w:sz w:val="24"/>
          <w:szCs w:val="24"/>
        </w:rPr>
      </w:pPr>
    </w:p>
    <w:p w:rsidR="00586E38" w:rsidRDefault="00F93B54">
      <w:pPr>
        <w:jc w:val="both"/>
        <w:rPr>
          <w:sz w:val="24"/>
          <w:szCs w:val="24"/>
        </w:rPr>
      </w:pPr>
      <w:r>
        <w:rPr>
          <w:sz w:val="24"/>
          <w:szCs w:val="24"/>
        </w:rPr>
        <w:t>Es importante mencionar que en la presente iniciativa se considera por parte de los autores que no se genera ningún costo fiscal a mediano o largo plazo y se deja de presente en la exposición de motivos, en el entendido que la reforma propuesta al régimen societario conlleva a una modernización del sistema donde no hay carga fiscal directa para el Estado.</w:t>
      </w:r>
    </w:p>
    <w:p w:rsidR="00586E38" w:rsidRDefault="00F93B54">
      <w:pPr>
        <w:rPr>
          <w:sz w:val="24"/>
          <w:szCs w:val="24"/>
        </w:rPr>
      </w:pPr>
      <w:r>
        <w:rPr>
          <w:sz w:val="24"/>
          <w:szCs w:val="24"/>
        </w:rPr>
        <w:t xml:space="preserve">Cordialmente, </w:t>
      </w:r>
    </w:p>
    <w:p w:rsidR="00586E38" w:rsidRDefault="00586E38">
      <w:pPr>
        <w:rPr>
          <w:sz w:val="24"/>
          <w:szCs w:val="24"/>
        </w:rPr>
      </w:pPr>
    </w:p>
    <w:p w:rsidR="00586E38" w:rsidRDefault="00586E38">
      <w:pPr>
        <w:rPr>
          <w:sz w:val="24"/>
          <w:szCs w:val="24"/>
        </w:rPr>
      </w:pPr>
    </w:p>
    <w:p w:rsidR="00586E38" w:rsidRDefault="00586E38">
      <w:pPr>
        <w:rPr>
          <w:sz w:val="24"/>
          <w:szCs w:val="24"/>
        </w:rPr>
      </w:pPr>
    </w:p>
    <w:tbl>
      <w:tblPr>
        <w:tblStyle w:val="a1"/>
        <w:tblW w:w="93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586E38">
        <w:tc>
          <w:tcPr>
            <w:tcW w:w="4675" w:type="dxa"/>
          </w:tcPr>
          <w:p w:rsidR="00586E38" w:rsidRDefault="00F93B54">
            <w:pPr>
              <w:jc w:val="center"/>
              <w:rPr>
                <w:b/>
                <w:sz w:val="24"/>
                <w:szCs w:val="24"/>
              </w:rPr>
            </w:pPr>
            <w:r>
              <w:rPr>
                <w:b/>
                <w:sz w:val="24"/>
                <w:szCs w:val="24"/>
              </w:rPr>
              <w:t>__________________________</w:t>
            </w:r>
          </w:p>
          <w:p w:rsidR="00586E38" w:rsidRDefault="00F93B54">
            <w:pPr>
              <w:jc w:val="center"/>
              <w:rPr>
                <w:b/>
                <w:sz w:val="24"/>
                <w:szCs w:val="24"/>
              </w:rPr>
            </w:pPr>
            <w:r>
              <w:rPr>
                <w:b/>
                <w:sz w:val="24"/>
                <w:szCs w:val="24"/>
              </w:rPr>
              <w:t>Germán Blanco Álvarez</w:t>
            </w:r>
          </w:p>
          <w:p w:rsidR="00586E38" w:rsidRDefault="00F93B54">
            <w:pPr>
              <w:jc w:val="center"/>
              <w:rPr>
                <w:b/>
                <w:sz w:val="24"/>
                <w:szCs w:val="24"/>
              </w:rPr>
            </w:pPr>
            <w:r>
              <w:rPr>
                <w:b/>
                <w:sz w:val="24"/>
                <w:szCs w:val="24"/>
              </w:rPr>
              <w:t>Senador de la República</w:t>
            </w:r>
          </w:p>
          <w:p w:rsidR="00586E38" w:rsidRDefault="00F93B54">
            <w:pPr>
              <w:jc w:val="center"/>
              <w:rPr>
                <w:b/>
                <w:sz w:val="24"/>
                <w:szCs w:val="24"/>
              </w:rPr>
            </w:pPr>
            <w:r>
              <w:rPr>
                <w:b/>
                <w:sz w:val="24"/>
                <w:szCs w:val="24"/>
              </w:rPr>
              <w:t>Partido Conservador</w:t>
            </w:r>
          </w:p>
        </w:tc>
        <w:tc>
          <w:tcPr>
            <w:tcW w:w="4675" w:type="dxa"/>
          </w:tcPr>
          <w:p w:rsidR="00586E38" w:rsidRDefault="00F93B54">
            <w:pPr>
              <w:jc w:val="center"/>
              <w:rPr>
                <w:b/>
                <w:sz w:val="24"/>
                <w:szCs w:val="24"/>
              </w:rPr>
            </w:pPr>
            <w:r>
              <w:rPr>
                <w:b/>
                <w:sz w:val="24"/>
                <w:szCs w:val="24"/>
              </w:rPr>
              <w:t>__________________________</w:t>
            </w:r>
          </w:p>
          <w:p w:rsidR="00586E38" w:rsidRDefault="00F93B54">
            <w:pPr>
              <w:jc w:val="center"/>
              <w:rPr>
                <w:b/>
                <w:sz w:val="24"/>
                <w:szCs w:val="24"/>
              </w:rPr>
            </w:pPr>
            <w:r>
              <w:rPr>
                <w:b/>
                <w:sz w:val="24"/>
                <w:szCs w:val="24"/>
              </w:rPr>
              <w:t>Juan Carlos Wills</w:t>
            </w:r>
          </w:p>
          <w:p w:rsidR="00586E38" w:rsidRDefault="00F93B54">
            <w:pPr>
              <w:jc w:val="center"/>
              <w:rPr>
                <w:b/>
                <w:sz w:val="24"/>
                <w:szCs w:val="24"/>
              </w:rPr>
            </w:pPr>
            <w:r>
              <w:rPr>
                <w:b/>
                <w:sz w:val="24"/>
                <w:szCs w:val="24"/>
              </w:rPr>
              <w:t>Representante la Cámara</w:t>
            </w:r>
          </w:p>
          <w:p w:rsidR="00586E38" w:rsidRDefault="00F93B54">
            <w:pPr>
              <w:jc w:val="center"/>
              <w:rPr>
                <w:b/>
                <w:sz w:val="24"/>
                <w:szCs w:val="24"/>
              </w:rPr>
            </w:pPr>
            <w:r>
              <w:rPr>
                <w:b/>
                <w:sz w:val="24"/>
                <w:szCs w:val="24"/>
              </w:rPr>
              <w:t>Partido Conservador</w:t>
            </w:r>
          </w:p>
        </w:tc>
      </w:tr>
      <w:tr w:rsidR="00586E38">
        <w:tc>
          <w:tcPr>
            <w:tcW w:w="9350" w:type="dxa"/>
            <w:gridSpan w:val="2"/>
          </w:tcPr>
          <w:p w:rsidR="00586E38" w:rsidRDefault="00586E38">
            <w:pPr>
              <w:jc w:val="center"/>
              <w:rPr>
                <w:b/>
                <w:sz w:val="24"/>
                <w:szCs w:val="24"/>
              </w:rPr>
            </w:pPr>
          </w:p>
          <w:p w:rsidR="00586E38" w:rsidRDefault="00586E38">
            <w:pPr>
              <w:jc w:val="center"/>
              <w:rPr>
                <w:b/>
                <w:sz w:val="24"/>
                <w:szCs w:val="24"/>
              </w:rPr>
            </w:pPr>
          </w:p>
          <w:p w:rsidR="00586E38" w:rsidRDefault="00586E38">
            <w:pPr>
              <w:jc w:val="center"/>
              <w:rPr>
                <w:b/>
                <w:sz w:val="24"/>
                <w:szCs w:val="24"/>
              </w:rPr>
            </w:pPr>
          </w:p>
          <w:p w:rsidR="00586E38" w:rsidRDefault="00F93B54">
            <w:pPr>
              <w:jc w:val="center"/>
              <w:rPr>
                <w:b/>
                <w:sz w:val="24"/>
                <w:szCs w:val="24"/>
              </w:rPr>
            </w:pPr>
            <w:r>
              <w:rPr>
                <w:b/>
                <w:sz w:val="24"/>
                <w:szCs w:val="24"/>
              </w:rPr>
              <w:t>__________________________</w:t>
            </w:r>
          </w:p>
          <w:p w:rsidR="00586E38" w:rsidRDefault="00F93B54">
            <w:pPr>
              <w:jc w:val="center"/>
              <w:rPr>
                <w:b/>
                <w:sz w:val="24"/>
                <w:szCs w:val="24"/>
              </w:rPr>
            </w:pPr>
            <w:r>
              <w:rPr>
                <w:b/>
                <w:sz w:val="24"/>
                <w:szCs w:val="24"/>
              </w:rPr>
              <w:t>Juan Daniel Peñuela</w:t>
            </w:r>
          </w:p>
          <w:p w:rsidR="00586E38" w:rsidRDefault="00F93B54">
            <w:pPr>
              <w:jc w:val="center"/>
              <w:rPr>
                <w:b/>
                <w:sz w:val="24"/>
                <w:szCs w:val="24"/>
              </w:rPr>
            </w:pPr>
            <w:r>
              <w:rPr>
                <w:b/>
                <w:sz w:val="24"/>
                <w:szCs w:val="24"/>
              </w:rPr>
              <w:t>Representante la Cámara</w:t>
            </w:r>
          </w:p>
          <w:p w:rsidR="00586E38" w:rsidRDefault="00F93B54">
            <w:pPr>
              <w:jc w:val="center"/>
              <w:rPr>
                <w:b/>
                <w:sz w:val="24"/>
                <w:szCs w:val="24"/>
              </w:rPr>
            </w:pPr>
            <w:r>
              <w:rPr>
                <w:b/>
                <w:sz w:val="24"/>
                <w:szCs w:val="24"/>
              </w:rPr>
              <w:t>Partido Conservador</w:t>
            </w:r>
          </w:p>
        </w:tc>
      </w:tr>
    </w:tbl>
    <w:p w:rsidR="00586E38" w:rsidRDefault="00586E38">
      <w:pPr>
        <w:rPr>
          <w:sz w:val="24"/>
          <w:szCs w:val="24"/>
        </w:rPr>
      </w:pPr>
    </w:p>
    <w:tbl>
      <w:tblPr>
        <w:tblStyle w:val="a2"/>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6"/>
        <w:gridCol w:w="4747"/>
      </w:tblGrid>
      <w:tr w:rsidR="00586E38">
        <w:trPr>
          <w:trHeight w:val="2355"/>
        </w:trPr>
        <w:tc>
          <w:tcPr>
            <w:tcW w:w="4746" w:type="dxa"/>
          </w:tcPr>
          <w:p w:rsidR="00586E38" w:rsidRDefault="00586E38">
            <w:pPr>
              <w:jc w:val="center"/>
              <w:rPr>
                <w:b/>
                <w:sz w:val="24"/>
                <w:szCs w:val="24"/>
              </w:rPr>
            </w:pPr>
          </w:p>
          <w:p w:rsidR="00586E38" w:rsidRDefault="00586E38">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586E38" w:rsidRDefault="00586E38">
            <w:pPr>
              <w:jc w:val="center"/>
              <w:rPr>
                <w:b/>
                <w:sz w:val="24"/>
                <w:szCs w:val="24"/>
              </w:rPr>
            </w:pPr>
          </w:p>
          <w:p w:rsidR="00586E38" w:rsidRDefault="00F93B54">
            <w:pPr>
              <w:jc w:val="center"/>
              <w:rPr>
                <w:b/>
                <w:sz w:val="24"/>
                <w:szCs w:val="24"/>
              </w:rPr>
            </w:pPr>
            <w:r>
              <w:rPr>
                <w:b/>
                <w:sz w:val="24"/>
                <w:szCs w:val="24"/>
              </w:rPr>
              <w:t>JULIO ROBERTO SALAZAR PERDOMO</w:t>
            </w:r>
            <w:r>
              <w:rPr>
                <w:b/>
                <w:sz w:val="24"/>
                <w:szCs w:val="24"/>
              </w:rPr>
              <w:br/>
              <w:t>Representante a la Cámara</w:t>
            </w:r>
            <w:r>
              <w:rPr>
                <w:b/>
                <w:sz w:val="24"/>
                <w:szCs w:val="24"/>
              </w:rPr>
              <w:br/>
              <w:t>Departamento de Cundinamarca</w:t>
            </w:r>
          </w:p>
          <w:p w:rsidR="000C1AC7" w:rsidRDefault="000C1AC7">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0C1AC7" w:rsidRPr="00F93B54" w:rsidRDefault="000C1AC7" w:rsidP="000C1AC7">
            <w:pPr>
              <w:jc w:val="center"/>
              <w:rPr>
                <w:b/>
                <w:sz w:val="24"/>
                <w:szCs w:val="24"/>
              </w:rPr>
            </w:pPr>
            <w:r w:rsidRPr="00F93B54">
              <w:rPr>
                <w:b/>
                <w:sz w:val="24"/>
                <w:szCs w:val="24"/>
              </w:rPr>
              <w:t>OSCAR RODRIGO CAMPO</w:t>
            </w:r>
          </w:p>
          <w:p w:rsidR="000C1AC7" w:rsidRDefault="000C1AC7" w:rsidP="000C1AC7">
            <w:pPr>
              <w:jc w:val="center"/>
              <w:rPr>
                <w:b/>
                <w:sz w:val="24"/>
                <w:szCs w:val="24"/>
              </w:rPr>
            </w:pPr>
            <w:r w:rsidRPr="00F93B54">
              <w:rPr>
                <w:b/>
                <w:sz w:val="24"/>
                <w:szCs w:val="24"/>
              </w:rPr>
              <w:t>Representante a la Cámara</w:t>
            </w:r>
          </w:p>
        </w:tc>
        <w:tc>
          <w:tcPr>
            <w:tcW w:w="4747" w:type="dxa"/>
          </w:tcPr>
          <w:p w:rsidR="00586E38" w:rsidRDefault="00586E38">
            <w:pPr>
              <w:jc w:val="center"/>
              <w:rPr>
                <w:sz w:val="24"/>
                <w:szCs w:val="24"/>
              </w:rPr>
            </w:pPr>
          </w:p>
          <w:p w:rsidR="00586E38" w:rsidRDefault="00586E38">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0C1AC7" w:rsidRDefault="000C1AC7">
            <w:pPr>
              <w:jc w:val="center"/>
              <w:rPr>
                <w:b/>
                <w:sz w:val="24"/>
                <w:szCs w:val="24"/>
              </w:rPr>
            </w:pPr>
          </w:p>
          <w:p w:rsidR="000C1AC7" w:rsidRDefault="000C1AC7" w:rsidP="000C1AC7">
            <w:pPr>
              <w:rPr>
                <w:b/>
                <w:sz w:val="24"/>
                <w:szCs w:val="24"/>
              </w:rPr>
            </w:pPr>
          </w:p>
          <w:p w:rsidR="00F93B54" w:rsidRDefault="00F93B54">
            <w:pPr>
              <w:jc w:val="center"/>
              <w:rPr>
                <w:b/>
                <w:sz w:val="24"/>
                <w:szCs w:val="24"/>
              </w:rPr>
            </w:pPr>
          </w:p>
          <w:p w:rsidR="00586E38" w:rsidRDefault="00F93B54">
            <w:pPr>
              <w:jc w:val="center"/>
              <w:rPr>
                <w:b/>
                <w:sz w:val="24"/>
                <w:szCs w:val="24"/>
              </w:rPr>
            </w:pPr>
            <w:r>
              <w:rPr>
                <w:b/>
                <w:sz w:val="24"/>
                <w:szCs w:val="24"/>
              </w:rPr>
              <w:t>JAMES MOSQUERA TORRES</w:t>
            </w:r>
          </w:p>
          <w:p w:rsidR="00586E38" w:rsidRDefault="00F93B54">
            <w:pPr>
              <w:jc w:val="center"/>
              <w:rPr>
                <w:sz w:val="24"/>
                <w:szCs w:val="24"/>
              </w:rPr>
            </w:pPr>
            <w:r>
              <w:rPr>
                <w:sz w:val="24"/>
                <w:szCs w:val="24"/>
              </w:rPr>
              <w:t xml:space="preserve">Representante a la Cámara </w:t>
            </w:r>
          </w:p>
          <w:p w:rsidR="00586E38" w:rsidRDefault="00F93B54">
            <w:pPr>
              <w:jc w:val="center"/>
              <w:rPr>
                <w:sz w:val="24"/>
                <w:szCs w:val="24"/>
              </w:rPr>
            </w:pPr>
            <w:r>
              <w:rPr>
                <w:sz w:val="24"/>
                <w:szCs w:val="24"/>
              </w:rPr>
              <w:t>Citrep Chocó - Antioq</w:t>
            </w:r>
          </w:p>
          <w:p w:rsidR="00586E38" w:rsidRDefault="00586E38">
            <w:pPr>
              <w:jc w:val="center"/>
              <w:rPr>
                <w:sz w:val="24"/>
                <w:szCs w:val="24"/>
              </w:rPr>
            </w:pPr>
          </w:p>
          <w:p w:rsidR="00586E38" w:rsidRDefault="00586E38">
            <w:pPr>
              <w:jc w:val="center"/>
              <w:rPr>
                <w:sz w:val="24"/>
                <w:szCs w:val="24"/>
              </w:rPr>
            </w:pPr>
          </w:p>
          <w:p w:rsidR="00586E38" w:rsidRDefault="00586E38">
            <w:pPr>
              <w:jc w:val="center"/>
              <w:rPr>
                <w:b/>
                <w:sz w:val="24"/>
                <w:szCs w:val="24"/>
              </w:rPr>
            </w:pPr>
          </w:p>
          <w:p w:rsidR="00586E38" w:rsidRDefault="00586E38">
            <w:pPr>
              <w:jc w:val="center"/>
              <w:rPr>
                <w:b/>
                <w:sz w:val="24"/>
                <w:szCs w:val="24"/>
              </w:rPr>
            </w:pPr>
          </w:p>
          <w:p w:rsidR="00586E38" w:rsidRDefault="00586E38">
            <w:pPr>
              <w:jc w:val="center"/>
              <w:rPr>
                <w:b/>
                <w:sz w:val="24"/>
                <w:szCs w:val="24"/>
              </w:rPr>
            </w:pPr>
          </w:p>
          <w:p w:rsidR="00586E38" w:rsidRDefault="00586E38">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586E38" w:rsidRDefault="00586E38">
            <w:pPr>
              <w:jc w:val="center"/>
              <w:rPr>
                <w:b/>
                <w:sz w:val="24"/>
                <w:szCs w:val="24"/>
              </w:rPr>
            </w:pPr>
          </w:p>
          <w:p w:rsidR="00586E38" w:rsidRDefault="00F93B54">
            <w:pPr>
              <w:jc w:val="center"/>
              <w:rPr>
                <w:sz w:val="24"/>
                <w:szCs w:val="24"/>
              </w:rPr>
            </w:pPr>
            <w:r>
              <w:rPr>
                <w:b/>
                <w:sz w:val="24"/>
                <w:szCs w:val="24"/>
              </w:rPr>
              <w:t>JUAN MANUEL CORTÈS DUEÑAS Representante a la Cámara</w:t>
            </w:r>
            <w:r>
              <w:rPr>
                <w:b/>
                <w:sz w:val="24"/>
                <w:szCs w:val="24"/>
              </w:rPr>
              <w:br/>
              <w:t>Departamento de Santander</w:t>
            </w:r>
          </w:p>
        </w:tc>
      </w:tr>
      <w:tr w:rsidR="00586E38">
        <w:trPr>
          <w:trHeight w:val="2355"/>
        </w:trPr>
        <w:tc>
          <w:tcPr>
            <w:tcW w:w="4746" w:type="dxa"/>
          </w:tcPr>
          <w:p w:rsidR="00586E38" w:rsidRDefault="00586E38">
            <w:pPr>
              <w:rPr>
                <w:sz w:val="24"/>
                <w:szCs w:val="24"/>
              </w:rPr>
            </w:pPr>
          </w:p>
          <w:p w:rsidR="00F93B54" w:rsidRDefault="00F93B54">
            <w:pPr>
              <w:jc w:val="center"/>
              <w:rPr>
                <w:noProof/>
                <w:sz w:val="24"/>
                <w:szCs w:val="24"/>
                <w:lang w:bidi="ar-SA"/>
              </w:rPr>
            </w:pPr>
          </w:p>
          <w:p w:rsidR="00586E38" w:rsidRDefault="00586E38">
            <w:pPr>
              <w:jc w:val="center"/>
              <w:rPr>
                <w:sz w:val="24"/>
                <w:szCs w:val="24"/>
              </w:rPr>
            </w:pPr>
          </w:p>
          <w:p w:rsidR="00586E38" w:rsidRDefault="00586E38">
            <w:pPr>
              <w:rPr>
                <w:sz w:val="24"/>
                <w:szCs w:val="24"/>
              </w:rPr>
            </w:pPr>
          </w:p>
          <w:p w:rsidR="00586E38" w:rsidRDefault="00F93B54">
            <w:pPr>
              <w:jc w:val="center"/>
              <w:rPr>
                <w:b/>
                <w:sz w:val="24"/>
                <w:szCs w:val="24"/>
              </w:rPr>
            </w:pPr>
            <w:r>
              <w:rPr>
                <w:b/>
                <w:sz w:val="24"/>
                <w:szCs w:val="24"/>
              </w:rPr>
              <w:t>OSCAR BARRETO QUIROGA</w:t>
            </w:r>
          </w:p>
          <w:p w:rsidR="00586E38" w:rsidRDefault="00F93B54">
            <w:pPr>
              <w:jc w:val="center"/>
              <w:rPr>
                <w:b/>
                <w:sz w:val="24"/>
                <w:szCs w:val="24"/>
              </w:rPr>
            </w:pPr>
            <w:r>
              <w:rPr>
                <w:b/>
                <w:sz w:val="24"/>
                <w:szCs w:val="24"/>
              </w:rPr>
              <w:t>Senador de la República</w:t>
            </w:r>
          </w:p>
          <w:p w:rsidR="00586E38" w:rsidRDefault="00F93B54">
            <w:pPr>
              <w:jc w:val="center"/>
              <w:rPr>
                <w:b/>
                <w:sz w:val="24"/>
                <w:szCs w:val="24"/>
              </w:rPr>
            </w:pPr>
            <w:r>
              <w:rPr>
                <w:b/>
                <w:sz w:val="24"/>
                <w:szCs w:val="24"/>
              </w:rPr>
              <w:t>Partido Conservador</w:t>
            </w:r>
          </w:p>
          <w:p w:rsidR="00586E38" w:rsidRDefault="00586E38">
            <w:pPr>
              <w:jc w:val="center"/>
              <w:rPr>
                <w:b/>
                <w:sz w:val="24"/>
                <w:szCs w:val="24"/>
              </w:rPr>
            </w:pPr>
          </w:p>
        </w:tc>
        <w:tc>
          <w:tcPr>
            <w:tcW w:w="4747" w:type="dxa"/>
          </w:tcPr>
          <w:p w:rsidR="00586E38" w:rsidRDefault="00586E38">
            <w:pPr>
              <w:rPr>
                <w:sz w:val="24"/>
                <w:szCs w:val="24"/>
              </w:rPr>
            </w:pPr>
          </w:p>
          <w:p w:rsidR="00586E38" w:rsidRDefault="00586E38">
            <w:pP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F93B54">
            <w:pPr>
              <w:jc w:val="center"/>
              <w:rPr>
                <w:b/>
                <w:sz w:val="24"/>
                <w:szCs w:val="24"/>
              </w:rPr>
            </w:pPr>
            <w:r>
              <w:rPr>
                <w:b/>
                <w:sz w:val="24"/>
                <w:szCs w:val="24"/>
              </w:rPr>
              <w:t>ALFREDO DELUQUE ZULETA</w:t>
            </w:r>
          </w:p>
          <w:p w:rsidR="00586E38" w:rsidRDefault="00F93B54">
            <w:pPr>
              <w:jc w:val="center"/>
              <w:rPr>
                <w:b/>
                <w:sz w:val="24"/>
                <w:szCs w:val="24"/>
              </w:rPr>
            </w:pPr>
            <w:r>
              <w:rPr>
                <w:b/>
                <w:sz w:val="24"/>
                <w:szCs w:val="24"/>
              </w:rPr>
              <w:t>Senador de la República</w:t>
            </w:r>
          </w:p>
          <w:p w:rsidR="00586E38" w:rsidRDefault="00F93B54">
            <w:pPr>
              <w:jc w:val="center"/>
              <w:rPr>
                <w:b/>
                <w:sz w:val="24"/>
                <w:szCs w:val="24"/>
              </w:rPr>
            </w:pPr>
            <w:r>
              <w:rPr>
                <w:b/>
                <w:sz w:val="24"/>
                <w:szCs w:val="24"/>
              </w:rPr>
              <w:t>Partido de la U</w:t>
            </w:r>
          </w:p>
          <w:p w:rsidR="00586E38" w:rsidRDefault="00586E38">
            <w:pPr>
              <w:jc w:val="center"/>
              <w:rPr>
                <w:sz w:val="24"/>
                <w:szCs w:val="24"/>
              </w:rPr>
            </w:pPr>
          </w:p>
        </w:tc>
      </w:tr>
      <w:tr w:rsidR="00586E38">
        <w:trPr>
          <w:trHeight w:val="2243"/>
        </w:trPr>
        <w:tc>
          <w:tcPr>
            <w:tcW w:w="4746" w:type="dxa"/>
          </w:tcPr>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586E38" w:rsidRDefault="00F93B54">
            <w:pPr>
              <w:jc w:val="center"/>
              <w:rPr>
                <w:sz w:val="24"/>
                <w:szCs w:val="24"/>
              </w:rPr>
            </w:pPr>
            <w:r>
              <w:rPr>
                <w:b/>
                <w:sz w:val="24"/>
                <w:szCs w:val="24"/>
              </w:rPr>
              <w:t>ASTRID SÁNCHEZ MONTES DE OCA Representante a la Cámara</w:t>
            </w:r>
            <w:r>
              <w:rPr>
                <w:b/>
                <w:sz w:val="24"/>
                <w:szCs w:val="24"/>
              </w:rPr>
              <w:br/>
              <w:t>Departamento de Chocó</w:t>
            </w:r>
          </w:p>
        </w:tc>
        <w:tc>
          <w:tcPr>
            <w:tcW w:w="4747" w:type="dxa"/>
          </w:tcPr>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b/>
                <w:sz w:val="24"/>
                <w:szCs w:val="24"/>
              </w:rPr>
            </w:pPr>
          </w:p>
          <w:p w:rsidR="00586E38" w:rsidRDefault="00586E38">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586E38" w:rsidRDefault="00F93B54">
            <w:pPr>
              <w:jc w:val="center"/>
              <w:rPr>
                <w:b/>
                <w:sz w:val="24"/>
                <w:szCs w:val="24"/>
              </w:rPr>
            </w:pPr>
            <w:r>
              <w:rPr>
                <w:b/>
                <w:sz w:val="24"/>
                <w:szCs w:val="24"/>
              </w:rPr>
              <w:t>HERÁCLITO LANDINEZ SUÁREZ</w:t>
            </w:r>
          </w:p>
          <w:p w:rsidR="00586E38" w:rsidRDefault="00F93B54">
            <w:pPr>
              <w:jc w:val="center"/>
              <w:rPr>
                <w:sz w:val="24"/>
                <w:szCs w:val="24"/>
              </w:rPr>
            </w:pPr>
            <w:r>
              <w:rPr>
                <w:sz w:val="24"/>
                <w:szCs w:val="24"/>
              </w:rPr>
              <w:t>Representante a la Cámara</w:t>
            </w:r>
          </w:p>
          <w:p w:rsidR="00586E38" w:rsidRDefault="00F93B54">
            <w:pPr>
              <w:jc w:val="center"/>
              <w:rPr>
                <w:sz w:val="24"/>
                <w:szCs w:val="24"/>
              </w:rPr>
            </w:pPr>
            <w:r>
              <w:rPr>
                <w:sz w:val="24"/>
                <w:szCs w:val="24"/>
              </w:rPr>
              <w:t>Pacto Histórico</w:t>
            </w:r>
          </w:p>
        </w:tc>
      </w:tr>
      <w:tr w:rsidR="00586E38">
        <w:trPr>
          <w:trHeight w:val="2355"/>
        </w:trPr>
        <w:tc>
          <w:tcPr>
            <w:tcW w:w="4746" w:type="dxa"/>
          </w:tcPr>
          <w:p w:rsidR="00586E38" w:rsidRDefault="00586E38">
            <w:pP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586E38">
            <w:pPr>
              <w:jc w:val="center"/>
              <w:rPr>
                <w:sz w:val="24"/>
                <w:szCs w:val="24"/>
              </w:rPr>
            </w:pPr>
          </w:p>
          <w:p w:rsidR="00F93B54" w:rsidRDefault="00F93B54" w:rsidP="00F93B54">
            <w:pPr>
              <w:rPr>
                <w:b/>
                <w:sz w:val="24"/>
                <w:szCs w:val="24"/>
              </w:rPr>
            </w:pPr>
          </w:p>
          <w:p w:rsidR="00F93B54" w:rsidRDefault="00F93B54">
            <w:pPr>
              <w:jc w:val="center"/>
              <w:rPr>
                <w:b/>
                <w:sz w:val="24"/>
                <w:szCs w:val="24"/>
              </w:rPr>
            </w:pPr>
          </w:p>
          <w:p w:rsidR="00586E38" w:rsidRDefault="00F93B54">
            <w:pPr>
              <w:jc w:val="center"/>
              <w:rPr>
                <w:b/>
                <w:sz w:val="24"/>
                <w:szCs w:val="24"/>
              </w:rPr>
            </w:pPr>
            <w:r>
              <w:rPr>
                <w:b/>
                <w:sz w:val="24"/>
                <w:szCs w:val="24"/>
              </w:rPr>
              <w:t>CARLOS FERNANDO MOTOA SOLARTE</w:t>
            </w:r>
          </w:p>
          <w:p w:rsidR="00586E38" w:rsidRDefault="00F93B54">
            <w:pPr>
              <w:jc w:val="center"/>
              <w:rPr>
                <w:sz w:val="24"/>
                <w:szCs w:val="24"/>
              </w:rPr>
            </w:pPr>
            <w:r>
              <w:rPr>
                <w:sz w:val="24"/>
                <w:szCs w:val="24"/>
              </w:rPr>
              <w:t>Senador de la República</w:t>
            </w:r>
          </w:p>
        </w:tc>
        <w:tc>
          <w:tcPr>
            <w:tcW w:w="4747" w:type="dxa"/>
          </w:tcPr>
          <w:p w:rsidR="00586E38" w:rsidRDefault="00586E38">
            <w:pPr>
              <w:rPr>
                <w:sz w:val="24"/>
                <w:szCs w:val="24"/>
              </w:rPr>
            </w:pPr>
          </w:p>
          <w:p w:rsidR="00F93B54" w:rsidRDefault="00F93B54">
            <w:pPr>
              <w:rPr>
                <w:sz w:val="24"/>
                <w:szCs w:val="24"/>
              </w:rPr>
            </w:pPr>
          </w:p>
          <w:p w:rsidR="00F93B54" w:rsidRDefault="00F93B54">
            <w:pPr>
              <w:rPr>
                <w:sz w:val="24"/>
                <w:szCs w:val="24"/>
              </w:rPr>
            </w:pPr>
          </w:p>
          <w:p w:rsidR="00F93B54" w:rsidRDefault="00F93B54">
            <w:pPr>
              <w:rPr>
                <w:sz w:val="24"/>
                <w:szCs w:val="24"/>
              </w:rPr>
            </w:pPr>
          </w:p>
          <w:p w:rsidR="00F93B54" w:rsidRDefault="00F93B54">
            <w:pPr>
              <w:rPr>
                <w:sz w:val="24"/>
                <w:szCs w:val="24"/>
              </w:rPr>
            </w:pPr>
          </w:p>
          <w:p w:rsidR="00586E38" w:rsidRDefault="00586E38">
            <w:pPr>
              <w:rPr>
                <w:b/>
                <w:sz w:val="24"/>
                <w:szCs w:val="24"/>
              </w:rPr>
            </w:pPr>
          </w:p>
          <w:p w:rsidR="00586E38" w:rsidRDefault="00F93B54">
            <w:pPr>
              <w:jc w:val="center"/>
              <w:rPr>
                <w:b/>
                <w:sz w:val="24"/>
                <w:szCs w:val="24"/>
              </w:rPr>
            </w:pPr>
            <w:r>
              <w:rPr>
                <w:b/>
                <w:sz w:val="24"/>
                <w:szCs w:val="24"/>
              </w:rPr>
              <w:t>JUAN CARLOS GARCÍA GÓMEZ</w:t>
            </w:r>
          </w:p>
          <w:p w:rsidR="00586E38" w:rsidRDefault="00F93B54">
            <w:pPr>
              <w:jc w:val="center"/>
              <w:rPr>
                <w:sz w:val="24"/>
                <w:szCs w:val="24"/>
              </w:rPr>
            </w:pPr>
            <w:r>
              <w:rPr>
                <w:b/>
                <w:sz w:val="24"/>
                <w:szCs w:val="24"/>
              </w:rPr>
              <w:t>Senador de la República</w:t>
            </w:r>
          </w:p>
        </w:tc>
      </w:tr>
      <w:tr w:rsidR="00586E38">
        <w:trPr>
          <w:trHeight w:val="2355"/>
        </w:trPr>
        <w:tc>
          <w:tcPr>
            <w:tcW w:w="4746" w:type="dxa"/>
          </w:tcPr>
          <w:p w:rsidR="00F93B54" w:rsidRDefault="00F93B54" w:rsidP="00F93B54">
            <w:pPr>
              <w:rPr>
                <w:sz w:val="24"/>
                <w:szCs w:val="24"/>
              </w:rPr>
            </w:pPr>
          </w:p>
          <w:p w:rsidR="00F93B54" w:rsidRDefault="00F93B54" w:rsidP="00F93B54">
            <w:pPr>
              <w:jc w:val="center"/>
              <w:rPr>
                <w:b/>
                <w:sz w:val="24"/>
                <w:szCs w:val="24"/>
              </w:rPr>
            </w:pPr>
          </w:p>
          <w:p w:rsidR="00F93B54" w:rsidRDefault="00F93B54" w:rsidP="00F93B54">
            <w:pPr>
              <w:jc w:val="center"/>
              <w:rPr>
                <w:b/>
                <w:sz w:val="24"/>
                <w:szCs w:val="24"/>
              </w:rPr>
            </w:pPr>
          </w:p>
          <w:p w:rsidR="00F93B54" w:rsidRDefault="00F93B54" w:rsidP="00F93B54">
            <w:pPr>
              <w:jc w:val="center"/>
              <w:rPr>
                <w:b/>
                <w:sz w:val="24"/>
                <w:szCs w:val="24"/>
              </w:rPr>
            </w:pPr>
          </w:p>
          <w:p w:rsidR="00586E38" w:rsidRDefault="00F93B54" w:rsidP="00F93B54">
            <w:pPr>
              <w:jc w:val="center"/>
              <w:rPr>
                <w:b/>
                <w:sz w:val="24"/>
                <w:szCs w:val="24"/>
              </w:rPr>
            </w:pPr>
            <w:r>
              <w:rPr>
                <w:b/>
                <w:sz w:val="24"/>
                <w:szCs w:val="24"/>
              </w:rPr>
              <w:t>ALEJANDRO CARLOS CHACON</w:t>
            </w:r>
          </w:p>
          <w:p w:rsidR="00F93B54" w:rsidRDefault="00F93B54" w:rsidP="00F93B54">
            <w:pPr>
              <w:jc w:val="center"/>
              <w:rPr>
                <w:sz w:val="24"/>
                <w:szCs w:val="24"/>
              </w:rPr>
            </w:pPr>
            <w:r>
              <w:rPr>
                <w:b/>
                <w:sz w:val="24"/>
                <w:szCs w:val="24"/>
              </w:rPr>
              <w:t xml:space="preserve">Senador de la República </w:t>
            </w:r>
          </w:p>
        </w:tc>
        <w:tc>
          <w:tcPr>
            <w:tcW w:w="4747" w:type="dxa"/>
          </w:tcPr>
          <w:p w:rsidR="00586E38" w:rsidRDefault="00586E38">
            <w:pPr>
              <w:jc w:val="center"/>
              <w:rPr>
                <w:sz w:val="24"/>
                <w:szCs w:val="24"/>
              </w:rPr>
            </w:pPr>
          </w:p>
          <w:p w:rsidR="00F93B54" w:rsidRDefault="00F93B54">
            <w:pPr>
              <w:jc w:val="center"/>
              <w:rPr>
                <w:sz w:val="24"/>
                <w:szCs w:val="24"/>
              </w:rPr>
            </w:pPr>
          </w:p>
          <w:p w:rsidR="00F93B54" w:rsidRDefault="00F93B54">
            <w:pPr>
              <w:jc w:val="center"/>
              <w:rPr>
                <w:sz w:val="24"/>
                <w:szCs w:val="24"/>
              </w:rPr>
            </w:pPr>
          </w:p>
          <w:p w:rsidR="00F93B54" w:rsidRDefault="00F93B54">
            <w:pPr>
              <w:jc w:val="center"/>
              <w:rPr>
                <w:sz w:val="24"/>
                <w:szCs w:val="24"/>
              </w:rPr>
            </w:pPr>
          </w:p>
          <w:p w:rsidR="00F93B54" w:rsidRDefault="00F93B54" w:rsidP="00F93B54">
            <w:pPr>
              <w:rPr>
                <w:sz w:val="24"/>
                <w:szCs w:val="24"/>
              </w:rPr>
            </w:pPr>
          </w:p>
          <w:p w:rsidR="00F93B54" w:rsidRDefault="00F93B54" w:rsidP="00F93B54">
            <w:pPr>
              <w:jc w:val="center"/>
              <w:rPr>
                <w:sz w:val="24"/>
                <w:szCs w:val="24"/>
              </w:rPr>
            </w:pPr>
          </w:p>
        </w:tc>
      </w:tr>
    </w:tbl>
    <w:p w:rsidR="00586E38" w:rsidRDefault="00586E38">
      <w:pPr>
        <w:pBdr>
          <w:top w:val="nil"/>
          <w:left w:val="nil"/>
          <w:bottom w:val="nil"/>
          <w:right w:val="nil"/>
          <w:between w:val="nil"/>
        </w:pBdr>
        <w:spacing w:before="94"/>
        <w:ind w:right="4"/>
        <w:jc w:val="center"/>
        <w:rPr>
          <w:b/>
          <w:sz w:val="24"/>
          <w:szCs w:val="24"/>
        </w:rPr>
      </w:pPr>
    </w:p>
    <w:p w:rsidR="00586E38" w:rsidRDefault="00586E38">
      <w:pPr>
        <w:pBdr>
          <w:top w:val="nil"/>
          <w:left w:val="nil"/>
          <w:bottom w:val="nil"/>
          <w:right w:val="nil"/>
          <w:between w:val="nil"/>
        </w:pBdr>
        <w:spacing w:before="94"/>
        <w:ind w:right="4"/>
        <w:jc w:val="center"/>
        <w:rPr>
          <w:b/>
          <w:sz w:val="24"/>
          <w:szCs w:val="24"/>
        </w:rPr>
      </w:pPr>
    </w:p>
    <w:p w:rsidR="00586E38" w:rsidRDefault="00586E38">
      <w:pPr>
        <w:pBdr>
          <w:top w:val="nil"/>
          <w:left w:val="nil"/>
          <w:bottom w:val="nil"/>
          <w:right w:val="nil"/>
          <w:between w:val="nil"/>
        </w:pBdr>
        <w:spacing w:before="94"/>
        <w:ind w:right="4"/>
        <w:jc w:val="center"/>
        <w:rPr>
          <w:b/>
          <w:sz w:val="24"/>
          <w:szCs w:val="24"/>
        </w:rPr>
      </w:pPr>
    </w:p>
    <w:p w:rsidR="00586E38" w:rsidRDefault="00586E38">
      <w:pPr>
        <w:pBdr>
          <w:top w:val="nil"/>
          <w:left w:val="nil"/>
          <w:bottom w:val="nil"/>
          <w:right w:val="nil"/>
          <w:between w:val="nil"/>
        </w:pBdr>
        <w:spacing w:before="94"/>
        <w:ind w:right="4"/>
        <w:jc w:val="center"/>
        <w:rPr>
          <w:b/>
          <w:sz w:val="24"/>
          <w:szCs w:val="24"/>
        </w:rPr>
      </w:pPr>
    </w:p>
    <w:p w:rsidR="00586E38" w:rsidRDefault="00586E38">
      <w:pPr>
        <w:pBdr>
          <w:top w:val="nil"/>
          <w:left w:val="nil"/>
          <w:bottom w:val="nil"/>
          <w:right w:val="nil"/>
          <w:between w:val="nil"/>
        </w:pBdr>
        <w:spacing w:before="94"/>
        <w:ind w:right="4"/>
        <w:jc w:val="center"/>
        <w:rPr>
          <w:b/>
          <w:sz w:val="24"/>
          <w:szCs w:val="24"/>
        </w:rPr>
      </w:pPr>
    </w:p>
    <w:p w:rsidR="00586E38" w:rsidRDefault="00586E38">
      <w:pPr>
        <w:pBdr>
          <w:top w:val="nil"/>
          <w:left w:val="nil"/>
          <w:bottom w:val="nil"/>
          <w:right w:val="nil"/>
          <w:between w:val="nil"/>
        </w:pBdr>
        <w:spacing w:before="94"/>
        <w:ind w:right="4"/>
        <w:jc w:val="center"/>
        <w:rPr>
          <w:b/>
          <w:sz w:val="24"/>
          <w:szCs w:val="24"/>
        </w:rPr>
      </w:pPr>
    </w:p>
    <w:p w:rsidR="00586E38" w:rsidRDefault="00586E38">
      <w:pPr>
        <w:pBdr>
          <w:top w:val="nil"/>
          <w:left w:val="nil"/>
          <w:bottom w:val="nil"/>
          <w:right w:val="nil"/>
          <w:between w:val="nil"/>
        </w:pBdr>
        <w:spacing w:before="94"/>
        <w:ind w:right="4"/>
        <w:jc w:val="center"/>
        <w:rPr>
          <w:b/>
          <w:sz w:val="24"/>
          <w:szCs w:val="24"/>
        </w:rPr>
      </w:pPr>
    </w:p>
    <w:p w:rsidR="00586E38" w:rsidRDefault="00586E38">
      <w:pPr>
        <w:pBdr>
          <w:top w:val="nil"/>
          <w:left w:val="nil"/>
          <w:bottom w:val="nil"/>
          <w:right w:val="nil"/>
          <w:between w:val="nil"/>
        </w:pBdr>
        <w:spacing w:before="94"/>
        <w:ind w:right="4"/>
        <w:jc w:val="center"/>
        <w:rPr>
          <w:b/>
          <w:sz w:val="24"/>
          <w:szCs w:val="24"/>
        </w:rPr>
      </w:pPr>
    </w:p>
    <w:p w:rsidR="00586E38" w:rsidRDefault="00586E38">
      <w:pPr>
        <w:pBdr>
          <w:top w:val="nil"/>
          <w:left w:val="nil"/>
          <w:bottom w:val="nil"/>
          <w:right w:val="nil"/>
          <w:between w:val="nil"/>
        </w:pBdr>
        <w:spacing w:before="94"/>
        <w:ind w:right="4"/>
        <w:rPr>
          <w:b/>
          <w:sz w:val="24"/>
          <w:szCs w:val="24"/>
        </w:rPr>
      </w:pPr>
    </w:p>
    <w:p w:rsidR="00586E38" w:rsidRDefault="00586E38">
      <w:pPr>
        <w:pBdr>
          <w:top w:val="nil"/>
          <w:left w:val="nil"/>
          <w:bottom w:val="nil"/>
          <w:right w:val="nil"/>
          <w:between w:val="nil"/>
        </w:pBdr>
        <w:spacing w:before="94"/>
        <w:ind w:right="4"/>
        <w:jc w:val="center"/>
        <w:rPr>
          <w:b/>
          <w:sz w:val="24"/>
          <w:szCs w:val="24"/>
        </w:rPr>
      </w:pPr>
    </w:p>
    <w:p w:rsidR="00F93B54" w:rsidRDefault="00F93B54">
      <w:pPr>
        <w:pBdr>
          <w:top w:val="nil"/>
          <w:left w:val="nil"/>
          <w:bottom w:val="nil"/>
          <w:right w:val="nil"/>
          <w:between w:val="nil"/>
        </w:pBdr>
        <w:spacing w:before="94"/>
        <w:ind w:right="4"/>
        <w:jc w:val="center"/>
        <w:rPr>
          <w:b/>
          <w:sz w:val="24"/>
          <w:szCs w:val="24"/>
        </w:rPr>
      </w:pPr>
    </w:p>
    <w:p w:rsidR="00F93B54" w:rsidRDefault="00F93B54">
      <w:pPr>
        <w:pBdr>
          <w:top w:val="nil"/>
          <w:left w:val="nil"/>
          <w:bottom w:val="nil"/>
          <w:right w:val="nil"/>
          <w:between w:val="nil"/>
        </w:pBdr>
        <w:spacing w:before="94"/>
        <w:ind w:right="4"/>
        <w:jc w:val="center"/>
        <w:rPr>
          <w:b/>
          <w:sz w:val="24"/>
          <w:szCs w:val="24"/>
        </w:rPr>
      </w:pPr>
    </w:p>
    <w:p w:rsidR="00F93B54" w:rsidRDefault="00F93B54">
      <w:pPr>
        <w:pBdr>
          <w:top w:val="nil"/>
          <w:left w:val="nil"/>
          <w:bottom w:val="nil"/>
          <w:right w:val="nil"/>
          <w:between w:val="nil"/>
        </w:pBdr>
        <w:spacing w:before="94"/>
        <w:ind w:right="4"/>
        <w:jc w:val="center"/>
        <w:rPr>
          <w:b/>
          <w:sz w:val="24"/>
          <w:szCs w:val="24"/>
        </w:rPr>
      </w:pPr>
    </w:p>
    <w:p w:rsidR="00F93B54" w:rsidRDefault="00F93B54">
      <w:pPr>
        <w:pBdr>
          <w:top w:val="nil"/>
          <w:left w:val="nil"/>
          <w:bottom w:val="nil"/>
          <w:right w:val="nil"/>
          <w:between w:val="nil"/>
        </w:pBdr>
        <w:spacing w:before="94"/>
        <w:ind w:right="4"/>
        <w:jc w:val="center"/>
        <w:rPr>
          <w:b/>
          <w:sz w:val="24"/>
          <w:szCs w:val="24"/>
        </w:rPr>
      </w:pPr>
    </w:p>
    <w:p w:rsidR="00F93B54" w:rsidRDefault="00F93B54">
      <w:pPr>
        <w:pBdr>
          <w:top w:val="nil"/>
          <w:left w:val="nil"/>
          <w:bottom w:val="nil"/>
          <w:right w:val="nil"/>
          <w:between w:val="nil"/>
        </w:pBdr>
        <w:spacing w:before="94"/>
        <w:ind w:right="4"/>
        <w:jc w:val="center"/>
        <w:rPr>
          <w:b/>
          <w:sz w:val="24"/>
          <w:szCs w:val="24"/>
        </w:rPr>
      </w:pPr>
    </w:p>
    <w:p w:rsidR="00F93B54" w:rsidRDefault="00F93B54">
      <w:pPr>
        <w:pBdr>
          <w:top w:val="nil"/>
          <w:left w:val="nil"/>
          <w:bottom w:val="nil"/>
          <w:right w:val="nil"/>
          <w:between w:val="nil"/>
        </w:pBdr>
        <w:spacing w:before="94"/>
        <w:ind w:right="4"/>
        <w:jc w:val="center"/>
        <w:rPr>
          <w:b/>
          <w:sz w:val="24"/>
          <w:szCs w:val="24"/>
        </w:rPr>
      </w:pPr>
    </w:p>
    <w:p w:rsidR="00F93B54" w:rsidRDefault="00F93B54">
      <w:pPr>
        <w:pBdr>
          <w:top w:val="nil"/>
          <w:left w:val="nil"/>
          <w:bottom w:val="nil"/>
          <w:right w:val="nil"/>
          <w:between w:val="nil"/>
        </w:pBdr>
        <w:spacing w:before="94"/>
        <w:ind w:right="4"/>
        <w:jc w:val="center"/>
        <w:rPr>
          <w:b/>
          <w:sz w:val="24"/>
          <w:szCs w:val="24"/>
        </w:rPr>
      </w:pPr>
    </w:p>
    <w:p w:rsidR="00F93B54" w:rsidRDefault="00F93B54">
      <w:pPr>
        <w:pBdr>
          <w:top w:val="nil"/>
          <w:left w:val="nil"/>
          <w:bottom w:val="nil"/>
          <w:right w:val="nil"/>
          <w:between w:val="nil"/>
        </w:pBdr>
        <w:spacing w:before="94"/>
        <w:ind w:right="4"/>
        <w:jc w:val="center"/>
        <w:rPr>
          <w:b/>
          <w:sz w:val="24"/>
          <w:szCs w:val="24"/>
        </w:rPr>
      </w:pPr>
    </w:p>
    <w:p w:rsidR="00586E38" w:rsidRDefault="00586E38">
      <w:pPr>
        <w:pBdr>
          <w:top w:val="nil"/>
          <w:left w:val="nil"/>
          <w:bottom w:val="nil"/>
          <w:right w:val="nil"/>
          <w:between w:val="nil"/>
        </w:pBdr>
        <w:spacing w:before="94"/>
        <w:ind w:right="4"/>
        <w:jc w:val="center"/>
        <w:rPr>
          <w:b/>
          <w:sz w:val="24"/>
          <w:szCs w:val="24"/>
        </w:rPr>
      </w:pPr>
    </w:p>
    <w:p w:rsidR="00586E38" w:rsidRDefault="00586E38">
      <w:pPr>
        <w:pBdr>
          <w:top w:val="nil"/>
          <w:left w:val="nil"/>
          <w:bottom w:val="nil"/>
          <w:right w:val="nil"/>
          <w:between w:val="nil"/>
        </w:pBdr>
        <w:spacing w:before="94"/>
        <w:ind w:right="4"/>
        <w:jc w:val="center"/>
        <w:rPr>
          <w:b/>
          <w:sz w:val="24"/>
          <w:szCs w:val="24"/>
        </w:rPr>
      </w:pPr>
    </w:p>
    <w:p w:rsidR="000C1AC7" w:rsidRDefault="000C1AC7">
      <w:pPr>
        <w:pBdr>
          <w:top w:val="nil"/>
          <w:left w:val="nil"/>
          <w:bottom w:val="nil"/>
          <w:right w:val="nil"/>
          <w:between w:val="nil"/>
        </w:pBdr>
        <w:spacing w:before="94"/>
        <w:ind w:right="4"/>
        <w:jc w:val="center"/>
        <w:rPr>
          <w:b/>
          <w:sz w:val="24"/>
          <w:szCs w:val="24"/>
        </w:rPr>
      </w:pPr>
    </w:p>
    <w:p w:rsidR="000C1AC7" w:rsidRDefault="000C1AC7">
      <w:pPr>
        <w:pBdr>
          <w:top w:val="nil"/>
          <w:left w:val="nil"/>
          <w:bottom w:val="nil"/>
          <w:right w:val="nil"/>
          <w:between w:val="nil"/>
        </w:pBdr>
        <w:spacing w:before="94"/>
        <w:ind w:right="4"/>
        <w:jc w:val="center"/>
        <w:rPr>
          <w:b/>
          <w:sz w:val="24"/>
          <w:szCs w:val="24"/>
        </w:rPr>
      </w:pPr>
    </w:p>
    <w:p w:rsidR="000C1AC7" w:rsidRDefault="000C1AC7">
      <w:pPr>
        <w:pBdr>
          <w:top w:val="nil"/>
          <w:left w:val="nil"/>
          <w:bottom w:val="nil"/>
          <w:right w:val="nil"/>
          <w:between w:val="nil"/>
        </w:pBdr>
        <w:spacing w:before="94"/>
        <w:ind w:right="4"/>
        <w:jc w:val="center"/>
        <w:rPr>
          <w:b/>
          <w:sz w:val="24"/>
          <w:szCs w:val="24"/>
        </w:rPr>
      </w:pPr>
    </w:p>
    <w:p w:rsidR="000C1AC7" w:rsidRDefault="000C1AC7">
      <w:pPr>
        <w:pBdr>
          <w:top w:val="nil"/>
          <w:left w:val="nil"/>
          <w:bottom w:val="nil"/>
          <w:right w:val="nil"/>
          <w:between w:val="nil"/>
        </w:pBdr>
        <w:spacing w:before="94"/>
        <w:ind w:right="4"/>
        <w:jc w:val="center"/>
        <w:rPr>
          <w:b/>
          <w:sz w:val="24"/>
          <w:szCs w:val="24"/>
        </w:rPr>
      </w:pPr>
    </w:p>
    <w:p w:rsidR="000C1AC7" w:rsidRDefault="000C1AC7">
      <w:pPr>
        <w:pBdr>
          <w:top w:val="nil"/>
          <w:left w:val="nil"/>
          <w:bottom w:val="nil"/>
          <w:right w:val="nil"/>
          <w:between w:val="nil"/>
        </w:pBdr>
        <w:spacing w:before="94"/>
        <w:ind w:right="4"/>
        <w:jc w:val="center"/>
        <w:rPr>
          <w:b/>
          <w:sz w:val="24"/>
          <w:szCs w:val="24"/>
        </w:rPr>
      </w:pPr>
    </w:p>
    <w:p w:rsidR="000C1AC7" w:rsidRDefault="000C1AC7">
      <w:pPr>
        <w:pBdr>
          <w:top w:val="nil"/>
          <w:left w:val="nil"/>
          <w:bottom w:val="nil"/>
          <w:right w:val="nil"/>
          <w:between w:val="nil"/>
        </w:pBdr>
        <w:spacing w:before="94"/>
        <w:ind w:right="4"/>
        <w:jc w:val="center"/>
        <w:rPr>
          <w:b/>
          <w:sz w:val="24"/>
          <w:szCs w:val="24"/>
        </w:rPr>
      </w:pPr>
    </w:p>
    <w:p w:rsidR="000C1AC7" w:rsidRDefault="000C1AC7">
      <w:pPr>
        <w:pBdr>
          <w:top w:val="nil"/>
          <w:left w:val="nil"/>
          <w:bottom w:val="nil"/>
          <w:right w:val="nil"/>
          <w:between w:val="nil"/>
        </w:pBdr>
        <w:spacing w:before="94"/>
        <w:ind w:right="4"/>
        <w:jc w:val="center"/>
        <w:rPr>
          <w:b/>
          <w:sz w:val="24"/>
          <w:szCs w:val="24"/>
        </w:rPr>
      </w:pPr>
      <w:bookmarkStart w:id="0" w:name="_GoBack"/>
      <w:bookmarkEnd w:id="0"/>
    </w:p>
    <w:p w:rsidR="00586E38" w:rsidRDefault="00586E38">
      <w:pPr>
        <w:pBdr>
          <w:top w:val="nil"/>
          <w:left w:val="nil"/>
          <w:bottom w:val="nil"/>
          <w:right w:val="nil"/>
          <w:between w:val="nil"/>
        </w:pBdr>
        <w:spacing w:before="94"/>
        <w:ind w:right="4"/>
        <w:jc w:val="center"/>
        <w:rPr>
          <w:b/>
          <w:sz w:val="24"/>
          <w:szCs w:val="24"/>
        </w:rPr>
      </w:pPr>
    </w:p>
    <w:p w:rsidR="00586E38" w:rsidRDefault="00F93B54">
      <w:pPr>
        <w:pBdr>
          <w:top w:val="nil"/>
          <w:left w:val="nil"/>
          <w:bottom w:val="nil"/>
          <w:right w:val="nil"/>
          <w:between w:val="nil"/>
        </w:pBdr>
        <w:spacing w:before="94"/>
        <w:ind w:right="4"/>
        <w:jc w:val="center"/>
        <w:rPr>
          <w:b/>
          <w:color w:val="000000"/>
          <w:sz w:val="24"/>
          <w:szCs w:val="24"/>
        </w:rPr>
      </w:pPr>
      <w:r>
        <w:rPr>
          <w:b/>
          <w:color w:val="000000"/>
          <w:sz w:val="24"/>
          <w:szCs w:val="24"/>
        </w:rPr>
        <w:t xml:space="preserve">PROYECTO DE LEY No.___ DE 2024 </w:t>
      </w:r>
      <w:r>
        <w:rPr>
          <w:b/>
          <w:sz w:val="24"/>
          <w:szCs w:val="24"/>
        </w:rPr>
        <w:t>CÁMARA</w:t>
      </w:r>
    </w:p>
    <w:p w:rsidR="00586E38" w:rsidRDefault="00586E38">
      <w:pPr>
        <w:pBdr>
          <w:top w:val="nil"/>
          <w:left w:val="nil"/>
          <w:bottom w:val="nil"/>
          <w:right w:val="nil"/>
          <w:between w:val="nil"/>
        </w:pBdr>
        <w:spacing w:before="94"/>
        <w:ind w:right="4"/>
        <w:jc w:val="center"/>
        <w:rPr>
          <w:b/>
          <w:color w:val="000000"/>
          <w:sz w:val="24"/>
          <w:szCs w:val="24"/>
        </w:rPr>
      </w:pPr>
    </w:p>
    <w:p w:rsidR="00586E38" w:rsidRDefault="00F93B54">
      <w:pPr>
        <w:ind w:right="4"/>
        <w:jc w:val="center"/>
        <w:rPr>
          <w:b/>
          <w:sz w:val="24"/>
          <w:szCs w:val="24"/>
        </w:rPr>
      </w:pPr>
      <w:r>
        <w:rPr>
          <w:b/>
          <w:sz w:val="24"/>
          <w:szCs w:val="24"/>
        </w:rPr>
        <w:t>“Por la cual se reforma el Código de Comercio para establecer reglas en materia de comerciantes y sociedades y se adoptan otras disposiciones”</w:t>
      </w:r>
    </w:p>
    <w:p w:rsidR="00586E38" w:rsidRDefault="00586E38">
      <w:pPr>
        <w:pBdr>
          <w:top w:val="nil"/>
          <w:left w:val="nil"/>
          <w:bottom w:val="nil"/>
          <w:right w:val="nil"/>
          <w:between w:val="nil"/>
        </w:pBdr>
        <w:spacing w:before="8"/>
        <w:ind w:right="4"/>
        <w:rPr>
          <w:b/>
          <w:color w:val="000000"/>
          <w:sz w:val="24"/>
          <w:szCs w:val="24"/>
        </w:rPr>
      </w:pPr>
    </w:p>
    <w:p w:rsidR="00586E38" w:rsidRDefault="00F93B54">
      <w:pPr>
        <w:pBdr>
          <w:top w:val="nil"/>
          <w:left w:val="nil"/>
          <w:bottom w:val="nil"/>
          <w:right w:val="nil"/>
          <w:between w:val="nil"/>
        </w:pBdr>
        <w:spacing w:before="1"/>
        <w:ind w:right="4"/>
        <w:jc w:val="center"/>
        <w:rPr>
          <w:b/>
          <w:color w:val="000000"/>
          <w:sz w:val="24"/>
          <w:szCs w:val="24"/>
        </w:rPr>
      </w:pPr>
      <w:r>
        <w:rPr>
          <w:b/>
          <w:color w:val="000000"/>
          <w:sz w:val="24"/>
          <w:szCs w:val="24"/>
        </w:rPr>
        <w:t>EL CONGRESO DE COLOMBIA DECRETA</w:t>
      </w:r>
    </w:p>
    <w:p w:rsidR="00586E38" w:rsidRDefault="00586E38">
      <w:pPr>
        <w:pBdr>
          <w:top w:val="nil"/>
          <w:left w:val="nil"/>
          <w:bottom w:val="nil"/>
          <w:right w:val="nil"/>
          <w:between w:val="nil"/>
        </w:pBdr>
        <w:spacing w:before="1"/>
        <w:ind w:right="4"/>
        <w:rPr>
          <w:b/>
          <w:color w:val="000000"/>
          <w:sz w:val="24"/>
          <w:szCs w:val="24"/>
        </w:rPr>
      </w:pPr>
    </w:p>
    <w:p w:rsidR="00586E38" w:rsidRDefault="00586E38">
      <w:pPr>
        <w:pBdr>
          <w:top w:val="nil"/>
          <w:left w:val="nil"/>
          <w:bottom w:val="nil"/>
          <w:right w:val="nil"/>
          <w:between w:val="nil"/>
        </w:pBdr>
        <w:spacing w:before="1"/>
        <w:ind w:right="4"/>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TÍTULO I</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Reformas al régimen de responsabilidad de personas naturales que tengan el carácter de comerciante</w:t>
      </w:r>
    </w:p>
    <w:p w:rsidR="00586E38" w:rsidRDefault="00586E38">
      <w:pPr>
        <w:pBdr>
          <w:top w:val="nil"/>
          <w:left w:val="nil"/>
          <w:bottom w:val="nil"/>
          <w:right w:val="nil"/>
          <w:between w:val="nil"/>
        </w:pBdr>
        <w:ind w:right="4"/>
        <w:jc w:val="center"/>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Capítulo único</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 xml:space="preserve">Responsabilidad de </w:t>
      </w:r>
      <w:r>
        <w:rPr>
          <w:sz w:val="24"/>
          <w:szCs w:val="24"/>
        </w:rPr>
        <w:t>l</w:t>
      </w:r>
      <w:r>
        <w:rPr>
          <w:color w:val="000000"/>
          <w:sz w:val="24"/>
          <w:szCs w:val="24"/>
        </w:rPr>
        <w:t>a persona natural que tenga el carácter de comerciante.</w:t>
      </w:r>
    </w:p>
    <w:p w:rsidR="00586E38" w:rsidRDefault="00586E38">
      <w:pPr>
        <w:pBdr>
          <w:top w:val="nil"/>
          <w:left w:val="nil"/>
          <w:bottom w:val="nil"/>
          <w:right w:val="nil"/>
          <w:between w:val="nil"/>
        </w:pBdr>
        <w:ind w:right="4"/>
        <w:rPr>
          <w:color w:val="000000"/>
          <w:sz w:val="24"/>
          <w:szCs w:val="24"/>
        </w:rPr>
      </w:pPr>
    </w:p>
    <w:p w:rsidR="00586E38" w:rsidRDefault="00F93B54">
      <w:pPr>
        <w:spacing w:before="240" w:after="240"/>
        <w:jc w:val="both"/>
        <w:rPr>
          <w:color w:val="000000"/>
          <w:sz w:val="24"/>
          <w:szCs w:val="24"/>
        </w:rPr>
      </w:pPr>
      <w:r>
        <w:rPr>
          <w:b/>
          <w:sz w:val="24"/>
          <w:szCs w:val="24"/>
        </w:rPr>
        <w:t>Artículo 1. Objeto.</w:t>
      </w:r>
      <w:r>
        <w:rPr>
          <w:sz w:val="24"/>
          <w:szCs w:val="24"/>
        </w:rPr>
        <w:t xml:space="preserve"> La presente ley tiene por objeto reformar el Código de Comercio para establecer normas actualizadas para regular las actividades de los comerciantes y de las sociedades, mediante la adopción de disposiciones que promuevan la eficiencia, la protección de derechos y la modernización del régimen societario.</w:t>
      </w: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2.  Responsabilidad de la persona natural que tenga el carácter de comerciante.</w:t>
      </w:r>
      <w:r>
        <w:rPr>
          <w:color w:val="000000"/>
          <w:sz w:val="24"/>
          <w:szCs w:val="24"/>
        </w:rPr>
        <w:t xml:space="preserve"> La persona natural que tenga el carácter de comerciante podrá registrarse con o sin responsabilidad limitada al valor declarado en la inscripción en el Registro Mercantil.</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Sólo el patrimonio relacionado con la actividad comercial de la persona natural que tenga el carácter de comerciante estará afecto al pago de las deudas resultantes de su actividad, siempre que éste hubiere escogido la responsabilidad limitada hasta el valor declarado en el registro.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3. Modificación del régimen de responsabilidad.</w:t>
      </w:r>
      <w:r>
        <w:rPr>
          <w:color w:val="000000"/>
          <w:sz w:val="24"/>
          <w:szCs w:val="24"/>
        </w:rPr>
        <w:t xml:space="preserve"> La persona natural que tenga el carácter de comerciante podrá, en cualquier momento, modificar su régimen de responsabilidad, así como aumentar o disminuir el valor declarado en la inscripción, siempre que no perjudique derechos de terceros.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4. Responsabilidad plena. </w:t>
      </w:r>
      <w:r>
        <w:rPr>
          <w:color w:val="000000"/>
          <w:sz w:val="24"/>
          <w:szCs w:val="24"/>
        </w:rPr>
        <w:t xml:space="preserve">La carencia de declaración ante el Registro Mercantil relativa a la limitación expresa de responsabilidad dará lugar a la responsabilidad ilimitada de La persona natural que tenga el carácter de comerciante, de manera que responderá por las deudas contraídas en el ejercicio de su actividad comercial con la totalidad de su patrimonio. </w:t>
      </w:r>
    </w:p>
    <w:p w:rsidR="00586E38" w:rsidRDefault="00586E38">
      <w:pPr>
        <w:pBdr>
          <w:top w:val="nil"/>
          <w:left w:val="nil"/>
          <w:bottom w:val="nil"/>
          <w:right w:val="nil"/>
          <w:between w:val="nil"/>
        </w:pBdr>
        <w:ind w:right="4"/>
        <w:jc w:val="center"/>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TÍTULO II</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lastRenderedPageBreak/>
        <w:t>Sociedad por Acciones Simplificadas</w:t>
      </w:r>
    </w:p>
    <w:p w:rsidR="00586E38" w:rsidRDefault="00586E38">
      <w:pPr>
        <w:pBdr>
          <w:top w:val="nil"/>
          <w:left w:val="nil"/>
          <w:bottom w:val="nil"/>
          <w:right w:val="nil"/>
          <w:between w:val="nil"/>
        </w:pBdr>
        <w:ind w:right="4"/>
        <w:jc w:val="center"/>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Capítulo I</w:t>
      </w:r>
    </w:p>
    <w:p w:rsidR="00586E38" w:rsidRDefault="00F93B54">
      <w:pPr>
        <w:pBdr>
          <w:top w:val="nil"/>
          <w:left w:val="nil"/>
          <w:bottom w:val="nil"/>
          <w:right w:val="nil"/>
          <w:between w:val="nil"/>
        </w:pBdr>
        <w:spacing w:before="59"/>
        <w:ind w:right="4"/>
        <w:jc w:val="center"/>
        <w:rPr>
          <w:color w:val="000000"/>
          <w:sz w:val="24"/>
          <w:szCs w:val="24"/>
        </w:rPr>
      </w:pPr>
      <w:r>
        <w:rPr>
          <w:color w:val="000000"/>
          <w:sz w:val="24"/>
          <w:szCs w:val="24"/>
        </w:rPr>
        <w:t>Reformas al régimen de la Sociedad por Acciones Simplificada</w:t>
      </w:r>
    </w:p>
    <w:p w:rsidR="00586E38" w:rsidRDefault="00586E38">
      <w:pPr>
        <w:pBdr>
          <w:top w:val="nil"/>
          <w:left w:val="nil"/>
          <w:bottom w:val="nil"/>
          <w:right w:val="nil"/>
          <w:between w:val="nil"/>
        </w:pBdr>
        <w:ind w:right="4"/>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5</w:t>
      </w:r>
      <w:r>
        <w:rPr>
          <w:color w:val="000000"/>
          <w:sz w:val="24"/>
          <w:szCs w:val="24"/>
        </w:rPr>
        <w:t xml:space="preserve">. </w:t>
      </w:r>
      <w:r>
        <w:rPr>
          <w:b/>
          <w:color w:val="000000"/>
          <w:sz w:val="24"/>
          <w:szCs w:val="24"/>
        </w:rPr>
        <w:t>Exención de requisitos legales.</w:t>
      </w:r>
      <w:r>
        <w:rPr>
          <w:color w:val="000000"/>
          <w:sz w:val="24"/>
          <w:szCs w:val="24"/>
        </w:rPr>
        <w:t xml:space="preserve"> En aquellas sociedades por acciones simplificadas unipersonales en las que una persona natural sea el único accionista y ocupe, así mismo, el cargo de representante legal de la sociedad no será obligatorio realizar reuniones ordinarias de la Asamblea, ni designar revisor fiscal, ni preparar el informe de gestión conforme al artículo 45 de la Ley 222 de 1995.</w:t>
      </w:r>
    </w:p>
    <w:p w:rsidR="00586E38" w:rsidRDefault="00586E38">
      <w:pPr>
        <w:pBdr>
          <w:top w:val="nil"/>
          <w:left w:val="nil"/>
          <w:bottom w:val="nil"/>
          <w:right w:val="nil"/>
          <w:between w:val="nil"/>
        </w:pBdr>
        <w:spacing w:before="9"/>
        <w:ind w:right="4"/>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En todo caso, deberán prepararse los estados financieros de fin de ejercicio y </w:t>
      </w:r>
      <w:r>
        <w:rPr>
          <w:sz w:val="24"/>
          <w:szCs w:val="24"/>
        </w:rPr>
        <w:t>llevar libros</w:t>
      </w:r>
      <w:r>
        <w:rPr>
          <w:color w:val="000000"/>
          <w:sz w:val="24"/>
          <w:szCs w:val="24"/>
        </w:rPr>
        <w:t xml:space="preserve"> de contabilidad conforme a lo previsto en las normas legales vigentes.</w:t>
      </w:r>
    </w:p>
    <w:p w:rsidR="00586E38" w:rsidRDefault="00586E38">
      <w:pPr>
        <w:pBdr>
          <w:top w:val="nil"/>
          <w:left w:val="nil"/>
          <w:bottom w:val="nil"/>
          <w:right w:val="nil"/>
          <w:between w:val="nil"/>
        </w:pBdr>
        <w:spacing w:before="9"/>
        <w:ind w:right="4"/>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6</w:t>
      </w:r>
      <w:r>
        <w:rPr>
          <w:color w:val="000000"/>
          <w:sz w:val="24"/>
          <w:szCs w:val="24"/>
        </w:rPr>
        <w:t xml:space="preserve">. </w:t>
      </w:r>
      <w:r>
        <w:rPr>
          <w:b/>
          <w:color w:val="000000"/>
          <w:sz w:val="24"/>
          <w:szCs w:val="24"/>
        </w:rPr>
        <w:t>Actividades que pueden acometer las sociedades por acciones simplificadas.</w:t>
      </w:r>
      <w:r>
        <w:rPr>
          <w:color w:val="000000"/>
          <w:sz w:val="24"/>
          <w:szCs w:val="24"/>
        </w:rPr>
        <w:t xml:space="preserve"> El tipo de la sociedad por acciones simplificada podrá ser adoptado para acometer cualquier actividad de explotación económica, con excepción de aquellas para las cuales se requiera autorización previa de la Superintendencia Financiera o de las sociedades cuyas acciones u otros títulos por ellas emitidos estén inscritos en el Registro Nacional de Valores y Emisores.</w:t>
      </w:r>
    </w:p>
    <w:p w:rsidR="00586E38" w:rsidRDefault="00586E38">
      <w:pPr>
        <w:pBdr>
          <w:top w:val="nil"/>
          <w:left w:val="nil"/>
          <w:bottom w:val="nil"/>
          <w:right w:val="nil"/>
          <w:between w:val="nil"/>
        </w:pBdr>
        <w:spacing w:before="11"/>
        <w:ind w:right="4"/>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7. Inscripción de la situación de control en sociedades por acciones simplificadas unipersonales.</w:t>
      </w:r>
      <w:r>
        <w:rPr>
          <w:color w:val="000000"/>
          <w:sz w:val="24"/>
          <w:szCs w:val="24"/>
        </w:rPr>
        <w:t xml:space="preserve"> Cuando se presente para inscripción en el Registro Mercantil la constitución de una sociedad por acciones simplificada en la que el único accionista sea una persona natural, las Cámaras de Comercio procederán a inscribir oficiosamente a tal persona como como controlante de la sociedad, en los términos previstos en el artículo 30 de la Ley 222 de 1995. La referida inscripción no se efectuará en aquellos casos en que el accionista único manifieste por escrito, en documento físico o electrónico, dirigido a la Cámara de Comercio que no ejerce el control sobre la sociedad. En el mismo escrito deberá manifestar el fundamento de su declaración.</w:t>
      </w:r>
    </w:p>
    <w:p w:rsidR="00586E38" w:rsidRDefault="00586E38">
      <w:pPr>
        <w:pBdr>
          <w:top w:val="nil"/>
          <w:left w:val="nil"/>
          <w:bottom w:val="nil"/>
          <w:right w:val="nil"/>
          <w:between w:val="nil"/>
        </w:pBdr>
        <w:ind w:right="4"/>
        <w:jc w:val="center"/>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Capítulo II</w:t>
      </w:r>
    </w:p>
    <w:p w:rsidR="00586E38" w:rsidRDefault="00F93B54">
      <w:pPr>
        <w:pBdr>
          <w:top w:val="nil"/>
          <w:left w:val="nil"/>
          <w:bottom w:val="nil"/>
          <w:right w:val="nil"/>
          <w:between w:val="nil"/>
        </w:pBdr>
        <w:spacing w:before="94"/>
        <w:ind w:right="4"/>
        <w:jc w:val="center"/>
        <w:rPr>
          <w:color w:val="000000"/>
          <w:sz w:val="24"/>
          <w:szCs w:val="24"/>
        </w:rPr>
      </w:pPr>
      <w:r>
        <w:rPr>
          <w:color w:val="000000"/>
          <w:sz w:val="24"/>
          <w:szCs w:val="24"/>
        </w:rPr>
        <w:t>De la Sociedad por Acciones Simplificada para Actividades Deportivas (SASD)</w:t>
      </w:r>
    </w:p>
    <w:p w:rsidR="00586E38" w:rsidRDefault="00586E38">
      <w:pPr>
        <w:pBdr>
          <w:top w:val="nil"/>
          <w:left w:val="nil"/>
          <w:bottom w:val="nil"/>
          <w:right w:val="nil"/>
          <w:between w:val="nil"/>
        </w:pBdr>
        <w:spacing w:before="94"/>
        <w:ind w:right="4" w:firstLine="720"/>
        <w:jc w:val="center"/>
        <w:rPr>
          <w:color w:val="000000"/>
          <w:sz w:val="24"/>
          <w:szCs w:val="24"/>
        </w:rPr>
      </w:pPr>
    </w:p>
    <w:p w:rsidR="00586E38" w:rsidRDefault="00F93B54">
      <w:pPr>
        <w:pBdr>
          <w:top w:val="nil"/>
          <w:left w:val="nil"/>
          <w:bottom w:val="nil"/>
          <w:right w:val="nil"/>
          <w:between w:val="nil"/>
        </w:pBdr>
        <w:spacing w:before="94"/>
        <w:ind w:right="4"/>
        <w:jc w:val="center"/>
        <w:rPr>
          <w:b/>
          <w:color w:val="000000"/>
          <w:sz w:val="24"/>
          <w:szCs w:val="24"/>
        </w:rPr>
      </w:pPr>
      <w:r>
        <w:rPr>
          <w:b/>
          <w:color w:val="000000"/>
          <w:sz w:val="24"/>
          <w:szCs w:val="24"/>
        </w:rPr>
        <w:t>Sección 1</w:t>
      </w:r>
    </w:p>
    <w:p w:rsidR="00586E38" w:rsidRDefault="00F93B54">
      <w:pPr>
        <w:pBdr>
          <w:top w:val="nil"/>
          <w:left w:val="nil"/>
          <w:bottom w:val="nil"/>
          <w:right w:val="nil"/>
          <w:between w:val="nil"/>
        </w:pBdr>
        <w:spacing w:before="94"/>
        <w:ind w:right="4"/>
        <w:jc w:val="center"/>
        <w:rPr>
          <w:color w:val="000000"/>
          <w:sz w:val="24"/>
          <w:szCs w:val="24"/>
        </w:rPr>
      </w:pPr>
      <w:r>
        <w:rPr>
          <w:color w:val="000000"/>
          <w:sz w:val="24"/>
          <w:szCs w:val="24"/>
        </w:rPr>
        <w:t>Clubes Profesionales</w:t>
      </w:r>
    </w:p>
    <w:p w:rsidR="00586E38" w:rsidRDefault="00586E38">
      <w:pPr>
        <w:pBdr>
          <w:top w:val="nil"/>
          <w:left w:val="nil"/>
          <w:bottom w:val="nil"/>
          <w:right w:val="nil"/>
          <w:between w:val="nil"/>
        </w:pBdr>
        <w:ind w:right="4"/>
        <w:jc w:val="both"/>
        <w:rPr>
          <w:b/>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8. Clubes profesionales. </w:t>
      </w:r>
      <w:r>
        <w:rPr>
          <w:color w:val="000000"/>
          <w:sz w:val="24"/>
          <w:szCs w:val="24"/>
        </w:rPr>
        <w:t>Los clubes profesionales son organismos de derecho privado, afiliados a la respectiva Federación Nacional Deportiva, constituidos por personas naturales o jurídicas, para el fomento, patrocinio y práctica de uno o más deportes, con atletas vinculados bajo un contrato de trabajo. Estos clubes forman parte del Sistema Nacional del Deporte.</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lastRenderedPageBreak/>
        <w:t xml:space="preserve">Artículo 9. Forma jurídica de los clubes profesionales. </w:t>
      </w:r>
      <w:r>
        <w:rPr>
          <w:color w:val="000000"/>
          <w:sz w:val="24"/>
          <w:szCs w:val="24"/>
        </w:rPr>
        <w:t>Los clubes profesionales deberán</w:t>
      </w:r>
      <w:r>
        <w:rPr>
          <w:b/>
          <w:color w:val="000000"/>
          <w:sz w:val="24"/>
          <w:szCs w:val="24"/>
        </w:rPr>
        <w:t xml:space="preserve"> </w:t>
      </w:r>
      <w:r>
        <w:rPr>
          <w:color w:val="000000"/>
          <w:sz w:val="24"/>
          <w:szCs w:val="24"/>
        </w:rPr>
        <w:t>organizarse como Sociedades Anónimas reguladas en el Código de Comercio o como Sociedades por Acciones Simplificadas Deportivas (SASD), conforme a lo señalado en esta ley, sin perjuicio de lo dispuesto en la legislación deportiva, que tiene carácter especial.</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Parágrafo. Dentro de los seis meses siguientes a la fecha de vigencia de esta ley, los clubes profesionales que estuvieren conformados como entidades sin ánimo de lucro, deberán cumplir el proceso de conversión en sociedad anónima o SASD. Vencido este plazo las entidades que no hubieren efectuado la conversión quedarán imposibilitadas para participar en cualquier competencia deportiva profesional.</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10. Afiliación. </w:t>
      </w:r>
      <w:r>
        <w:rPr>
          <w:color w:val="000000"/>
          <w:sz w:val="24"/>
          <w:szCs w:val="24"/>
        </w:rPr>
        <w:t>Los clubes profesionales se afiliarán a la Federación correspondiente, según el</w:t>
      </w:r>
      <w:r>
        <w:rPr>
          <w:b/>
          <w:color w:val="000000"/>
          <w:sz w:val="24"/>
          <w:szCs w:val="24"/>
        </w:rPr>
        <w:t xml:space="preserve"> </w:t>
      </w:r>
      <w:r>
        <w:rPr>
          <w:color w:val="000000"/>
          <w:sz w:val="24"/>
          <w:szCs w:val="24"/>
        </w:rPr>
        <w:t xml:space="preserve">deporte previsto en sus estatutos. De igual manera, los clubes profesionales que cuenten con divisiones menores podrán afiliarse, para fines exclusivamente competitivos, a la Liga Deportiva de su respectivo domicilio.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Sección 2</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Características de la Sociedad por Acciones Simplificada para Actividades Deportivas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11.</w:t>
      </w:r>
      <w:r>
        <w:rPr>
          <w:color w:val="000000"/>
          <w:sz w:val="24"/>
          <w:szCs w:val="24"/>
        </w:rPr>
        <w:t xml:space="preserve"> </w:t>
      </w:r>
      <w:r>
        <w:rPr>
          <w:b/>
          <w:color w:val="000000"/>
          <w:sz w:val="24"/>
          <w:szCs w:val="24"/>
        </w:rPr>
        <w:t>Definición de Sociedad por Acciones Simplificada para Actividades Deportivas</w:t>
      </w:r>
      <w:r>
        <w:rPr>
          <w:color w:val="000000"/>
          <w:sz w:val="24"/>
          <w:szCs w:val="24"/>
        </w:rPr>
        <w:t xml:space="preserve">. La SASD es una sociedad de capitales, cuya naturaleza será siempre comercial, independientemente de las actividades previstas en su objeto social.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12. Objeto de la Sociedad por Acciones Simplificada para Actividades Deportivas. </w:t>
      </w:r>
      <w:r>
        <w:rPr>
          <w:color w:val="000000"/>
          <w:sz w:val="24"/>
          <w:szCs w:val="24"/>
        </w:rPr>
        <w:t>El objeto de la SASD consiste en el desarrollo de la actividad deportiva organizada, derivada del reconocimiento deportivo otorgado por el M</w:t>
      </w:r>
      <w:r>
        <w:rPr>
          <w:sz w:val="24"/>
          <w:szCs w:val="24"/>
        </w:rPr>
        <w:t>inisterio del Deporte</w:t>
      </w:r>
      <w:r>
        <w:rPr>
          <w:color w:val="000000"/>
          <w:sz w:val="24"/>
          <w:szCs w:val="24"/>
        </w:rPr>
        <w:t>, para el cumplimiento de las siguientes actividades:</w:t>
      </w:r>
    </w:p>
    <w:p w:rsidR="00586E38" w:rsidRDefault="00586E38">
      <w:pPr>
        <w:pBdr>
          <w:top w:val="nil"/>
          <w:left w:val="nil"/>
          <w:bottom w:val="nil"/>
          <w:right w:val="nil"/>
          <w:between w:val="nil"/>
        </w:pBdr>
        <w:ind w:right="4"/>
        <w:jc w:val="both"/>
        <w:rPr>
          <w:color w:val="000000"/>
          <w:sz w:val="24"/>
          <w:szCs w:val="24"/>
        </w:rPr>
      </w:pPr>
    </w:p>
    <w:p w:rsidR="00586E38" w:rsidRDefault="00F93B54">
      <w:pPr>
        <w:widowControl/>
        <w:numPr>
          <w:ilvl w:val="0"/>
          <w:numId w:val="9"/>
        </w:numPr>
        <w:pBdr>
          <w:top w:val="nil"/>
          <w:left w:val="nil"/>
          <w:bottom w:val="nil"/>
          <w:right w:val="nil"/>
          <w:between w:val="nil"/>
        </w:pBdr>
        <w:ind w:left="0" w:right="4" w:firstLine="0"/>
        <w:jc w:val="both"/>
        <w:rPr>
          <w:color w:val="000000"/>
          <w:sz w:val="24"/>
          <w:szCs w:val="24"/>
        </w:rPr>
      </w:pPr>
      <w:r>
        <w:rPr>
          <w:color w:val="000000"/>
          <w:sz w:val="24"/>
          <w:szCs w:val="24"/>
        </w:rPr>
        <w:t xml:space="preserve">La participación en competencias deportivas profesionales. </w:t>
      </w:r>
    </w:p>
    <w:p w:rsidR="00586E38" w:rsidRDefault="00F93B54">
      <w:pPr>
        <w:widowControl/>
        <w:numPr>
          <w:ilvl w:val="0"/>
          <w:numId w:val="9"/>
        </w:numPr>
        <w:pBdr>
          <w:top w:val="nil"/>
          <w:left w:val="nil"/>
          <w:bottom w:val="nil"/>
          <w:right w:val="nil"/>
          <w:between w:val="nil"/>
        </w:pBdr>
        <w:ind w:left="0" w:right="4" w:firstLine="0"/>
        <w:jc w:val="both"/>
        <w:rPr>
          <w:color w:val="000000"/>
          <w:sz w:val="24"/>
          <w:szCs w:val="24"/>
        </w:rPr>
      </w:pPr>
      <w:r>
        <w:rPr>
          <w:color w:val="000000"/>
          <w:sz w:val="24"/>
          <w:szCs w:val="24"/>
        </w:rPr>
        <w:t xml:space="preserve">La formación y negociación entre clubes de derechos económicos de atletas profesionales, siempre y </w:t>
      </w:r>
      <w:r>
        <w:rPr>
          <w:sz w:val="24"/>
          <w:szCs w:val="24"/>
        </w:rPr>
        <w:t>cuando exista</w:t>
      </w:r>
      <w:r>
        <w:rPr>
          <w:color w:val="000000"/>
          <w:sz w:val="24"/>
          <w:szCs w:val="24"/>
        </w:rPr>
        <w:t xml:space="preserve"> contrato de trabajo. </w:t>
      </w:r>
    </w:p>
    <w:p w:rsidR="00586E38" w:rsidRDefault="00F93B54">
      <w:pPr>
        <w:widowControl/>
        <w:numPr>
          <w:ilvl w:val="0"/>
          <w:numId w:val="9"/>
        </w:numPr>
        <w:pBdr>
          <w:top w:val="nil"/>
          <w:left w:val="nil"/>
          <w:bottom w:val="nil"/>
          <w:right w:val="nil"/>
          <w:between w:val="nil"/>
        </w:pBdr>
        <w:ind w:left="0" w:right="4" w:firstLine="0"/>
        <w:jc w:val="both"/>
        <w:rPr>
          <w:color w:val="000000"/>
          <w:sz w:val="24"/>
          <w:szCs w:val="24"/>
        </w:rPr>
      </w:pPr>
      <w:r>
        <w:rPr>
          <w:color w:val="000000"/>
          <w:sz w:val="24"/>
          <w:szCs w:val="24"/>
        </w:rPr>
        <w:t xml:space="preserve">La promoción y organización de espectáculos deportivos, recreativos y culturales. </w:t>
      </w:r>
    </w:p>
    <w:p w:rsidR="00586E38" w:rsidRDefault="00F93B54">
      <w:pPr>
        <w:widowControl/>
        <w:numPr>
          <w:ilvl w:val="0"/>
          <w:numId w:val="9"/>
        </w:numPr>
        <w:pBdr>
          <w:top w:val="nil"/>
          <w:left w:val="nil"/>
          <w:bottom w:val="nil"/>
          <w:right w:val="nil"/>
          <w:between w:val="nil"/>
        </w:pBdr>
        <w:ind w:left="0" w:right="4" w:firstLine="0"/>
        <w:jc w:val="both"/>
        <w:rPr>
          <w:color w:val="000000"/>
          <w:sz w:val="24"/>
          <w:szCs w:val="24"/>
        </w:rPr>
      </w:pPr>
      <w:r>
        <w:rPr>
          <w:color w:val="000000"/>
          <w:sz w:val="24"/>
          <w:szCs w:val="24"/>
        </w:rPr>
        <w:t>El fomento y desarrollo de actividades relacionadas con la práctica del deporte profesional, de conformidad con la reglamentación expedida por la respectiva Federación Nacional Deportiva a la que se encuentre afiliado el club profesional.</w:t>
      </w:r>
    </w:p>
    <w:p w:rsidR="00586E38" w:rsidRDefault="00F93B54">
      <w:pPr>
        <w:widowControl/>
        <w:numPr>
          <w:ilvl w:val="0"/>
          <w:numId w:val="9"/>
        </w:numPr>
        <w:pBdr>
          <w:top w:val="nil"/>
          <w:left w:val="nil"/>
          <w:bottom w:val="nil"/>
          <w:right w:val="nil"/>
          <w:between w:val="nil"/>
        </w:pBdr>
        <w:ind w:left="0" w:right="4" w:firstLine="0"/>
        <w:jc w:val="both"/>
        <w:rPr>
          <w:color w:val="000000"/>
          <w:sz w:val="24"/>
          <w:szCs w:val="24"/>
        </w:rPr>
      </w:pPr>
      <w:r>
        <w:rPr>
          <w:color w:val="000000"/>
          <w:sz w:val="24"/>
          <w:szCs w:val="24"/>
        </w:rPr>
        <w:t>La explotación económica de activos, inclusive inmobiliarios, transferidos en el acto de constitución o sobre los cuales el club profesional detente derechos que estén, de alguna manera, ligados a la práctica del deporte.</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w:t>
      </w:r>
      <w:r>
        <w:rPr>
          <w:color w:val="000000"/>
          <w:sz w:val="24"/>
          <w:szCs w:val="24"/>
        </w:rPr>
        <w:t xml:space="preserve"> En los estatutos de la SASD podrán preverse otras actividades de explotación económica lícitas, siempre y cuando que sean afines a complementarias a la práctica o administración del deporte profesional.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lastRenderedPageBreak/>
        <w:t>Sección 3</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Constitución, conversión y reformas de la Sociedad por Acciones Simplificada para Actividades Deportivas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13. Constitución o conversión en Sociedad por Acciones Simplificada para Actividades Deportivas. </w:t>
      </w:r>
      <w:r>
        <w:rPr>
          <w:color w:val="000000"/>
          <w:sz w:val="24"/>
          <w:szCs w:val="24"/>
        </w:rPr>
        <w:t>Un club deportivo profesional podrá asumir la forma de SASD</w:t>
      </w:r>
      <w:r>
        <w:rPr>
          <w:b/>
          <w:color w:val="000000"/>
          <w:sz w:val="24"/>
          <w:szCs w:val="24"/>
        </w:rPr>
        <w:t xml:space="preserve"> </w:t>
      </w:r>
      <w:r>
        <w:rPr>
          <w:color w:val="000000"/>
          <w:sz w:val="24"/>
          <w:szCs w:val="24"/>
        </w:rPr>
        <w:t>por cualquiera de los siguientes procedimientos:</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br/>
        <w:t>1. Por conversión de una corporación o asociación deportiva sin ánimo de lucro, conforme a los términos previstos en el artículo 84 de la presente ley.</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2. Por creación </w:t>
      </w:r>
      <w:r>
        <w:rPr>
          <w:i/>
          <w:color w:val="000000"/>
          <w:sz w:val="24"/>
          <w:szCs w:val="24"/>
        </w:rPr>
        <w:t>ex novo</w:t>
      </w:r>
      <w:r>
        <w:rPr>
          <w:color w:val="000000"/>
          <w:sz w:val="24"/>
          <w:szCs w:val="24"/>
        </w:rPr>
        <w:t>, mediante el cumplimiento de las formalidades legales y la aportación de derechos relacionados con la práctica o administración de un deporte profesional o de otros aportes en dinero, en especie o en industria.</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3. Por transformación de una Sociedad Anónima en una Sociedad por Acciones Simplificada para Actividades Deportivas (SASD), en los términos del artículo 31 de la Ley 1258 de 2008.</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w:t>
      </w:r>
      <w:r>
        <w:rPr>
          <w:color w:val="000000"/>
          <w:sz w:val="24"/>
          <w:szCs w:val="24"/>
        </w:rPr>
        <w:t xml:space="preserve"> En el caso previsto en el numeral (i) del presente artículo, la razón o la denominación social de la SASD debe incluir alguna mención que permita identificar la corporación o asociación que le dio origen.</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b/>
          <w:color w:val="000000"/>
          <w:sz w:val="24"/>
          <w:szCs w:val="24"/>
        </w:rPr>
      </w:pPr>
      <w:r>
        <w:rPr>
          <w:b/>
          <w:color w:val="000000"/>
          <w:sz w:val="24"/>
          <w:szCs w:val="24"/>
        </w:rPr>
        <w:t xml:space="preserve">Artículo 14. Transformación. </w:t>
      </w:r>
      <w:r>
        <w:rPr>
          <w:color w:val="000000"/>
          <w:sz w:val="24"/>
          <w:szCs w:val="24"/>
        </w:rPr>
        <w:t xml:space="preserve">Una Sociedad Anónima podrá transformarse en una SASD y viceversa, de conformidad con las disposiciones contenidas en el Código de Comercio y en la Ley 1258 de 2008. </w:t>
      </w:r>
    </w:p>
    <w:p w:rsidR="00586E38" w:rsidRDefault="00586E38">
      <w:pPr>
        <w:pBdr>
          <w:top w:val="nil"/>
          <w:left w:val="nil"/>
          <w:bottom w:val="nil"/>
          <w:right w:val="nil"/>
          <w:between w:val="nil"/>
        </w:pBdr>
        <w:ind w:right="4"/>
        <w:jc w:val="both"/>
        <w:rPr>
          <w:b/>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Parágrafo segundo. </w:t>
      </w:r>
      <w:r>
        <w:rPr>
          <w:color w:val="000000"/>
          <w:sz w:val="24"/>
          <w:szCs w:val="24"/>
        </w:rPr>
        <w:t>Tanto la constitución como la conversión y la transformación de clubes deportivos podrán cumplirse por documento privado, que podrá ser electrónico. Las inscripciones que correspondan ante los registros correspondientes podrán efectuarse por medios telemáticos.</w:t>
      </w:r>
    </w:p>
    <w:p w:rsidR="00586E38" w:rsidRDefault="00586E38">
      <w:pPr>
        <w:pBdr>
          <w:top w:val="nil"/>
          <w:left w:val="nil"/>
          <w:bottom w:val="nil"/>
          <w:right w:val="nil"/>
          <w:between w:val="nil"/>
        </w:pBdr>
        <w:ind w:right="4"/>
        <w:jc w:val="both"/>
        <w:rPr>
          <w:b/>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15. Constitución de la Sociedad por Acciones Simplificada para Actividades Deportivas. </w:t>
      </w:r>
      <w:r>
        <w:rPr>
          <w:color w:val="000000"/>
          <w:sz w:val="24"/>
          <w:szCs w:val="24"/>
        </w:rPr>
        <w:t xml:space="preserve">La SASD se constituirá por contrato o por acto unilateral que conste en documento privado físico o electrónico, al que deberá adjuntarse constancia del reconocimiento deportivo emitido por </w:t>
      </w:r>
      <w:r>
        <w:rPr>
          <w:sz w:val="24"/>
          <w:szCs w:val="24"/>
        </w:rPr>
        <w:t>el Ministerio del Deporte</w:t>
      </w:r>
      <w:r>
        <w:rPr>
          <w:color w:val="000000"/>
          <w:sz w:val="24"/>
          <w:szCs w:val="24"/>
        </w:rPr>
        <w:t xml:space="preserve">. El documento se inscribirá en el Registro Único del Deporte y la Recreación de la Cámara de Comercio del lugar en que la sociedad establezca su domicilio principal. La referida inscripción podrá realizarse por medios telemáticos. </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En el documento constitutivo o en el de su conversión a SASD, se expresará cuando menos lo siguiente:</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1. El nombre, documento de identidad y domicilio de los accionistas.</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2. El objeto social en los términos previstos en el artículo 71 de esta ley. </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3. El domicilio principal de la sociedad y el de las distintas sucursales que se establezcan en el mismo acto de constitución.</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lastRenderedPageBreak/>
        <w:t>4. El término de duración, si este no fuere indefinido. Si nada se expresa en el acto de constitución, se entenderá que la sociedad se ha constituido por término indefinido.</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5. El capital autorizado, suscrito y pagado, así como la clase, número y valor nominal de las acciones representativas del capital y la forma y términos en que éstas deberán pagarse.</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6. La forma de administración y el nombre, documento de identidad y facultades de sus administradores.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En todo caso, deberá designarse cuando menos un representante legal y un órgano de control. El Gobierno reglamentará los demás casos en que se requieran órganos de control o de disciplina deportiva.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primero</w:t>
      </w:r>
      <w:r>
        <w:rPr>
          <w:color w:val="000000"/>
          <w:sz w:val="24"/>
          <w:szCs w:val="24"/>
        </w:rPr>
        <w:t>. Cuando los activos aportados a la sociedad comprendan bienes cuya transferencia requiera escritura pública, la constitución de la sociedad o la conversión de la persona jurídica, deberán hacerse de igual manera e inscribirse también en los registros correspondientes.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segundo.</w:t>
      </w:r>
      <w:r>
        <w:rPr>
          <w:color w:val="000000"/>
          <w:sz w:val="24"/>
          <w:szCs w:val="24"/>
        </w:rPr>
        <w:t xml:space="preserve"> En la razón o denominación social de la Sociedad por Acciones Simplificada para Actividades Deportivas deberá incluirse la abreviatura “SASD”.  Así mismo, deberá incluirse una mención a la disciplina deportiva que da origen al club profesional</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16. Proceso de conversión. </w:t>
      </w:r>
      <w:r>
        <w:rPr>
          <w:color w:val="000000"/>
          <w:sz w:val="24"/>
          <w:szCs w:val="24"/>
        </w:rPr>
        <w:t>Los artículos 4 y 5 de la Ley 1445 de 2011 quedarán así:</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1. Con anterioridad al proceso de conversión, los clubes profesionales verificarán que todos y cada uno de los aportes de quienes conforman el club, no provengan ni faciliten operaciones de lavado de activos ni que sean recursos en dinero o en especie provenientes de actividades ilícitas. Para el efecto, se exigirá una declaración juramentada suscrita por el representante legal y por el revisor fiscal del club profesional, cuyo texto será remitido a la Unidad Administrativa Especial de Información y Análisis Financiero (UIAF) del Ministerio de Hacienda y Crédito Público. A la declaración deberá acompañarse un listado de los aportantes de capital, con indicación de los porcentajes correspondientes a cada uno de ellos.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2. La Asamblea General del organismo deportivo deliberará para efectos de la conversión con un número plural de accionistas o aportantes que representen cuando menos la mitad más uno de los derechos sociales del club deportivo profesional correspondiente. Las decisiones se tomarán con el voto de la mayoría de los derechos sociales presentes, una vez que se haya configurado el respectivo quórum para deliberar.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3. El representante legal de la corporación o asociación deportiva, cuya conversión en sociedad anónima o SASD se proponga, dará a conocer al público la decisión aprobada, mediante aviso que habrá de publicarse en un diario de amplia circulación nacional, </w:t>
      </w:r>
      <w:r>
        <w:rPr>
          <w:color w:val="000000"/>
          <w:sz w:val="24"/>
          <w:szCs w:val="24"/>
        </w:rPr>
        <w:lastRenderedPageBreak/>
        <w:t xml:space="preserve">dentro de los treinta días calendario siguientes a la adopción de la decisión de la asamblea general. Dicho aviso deberá contener cuando menos las siguientes indicaciones: </w:t>
      </w:r>
    </w:p>
    <w:p w:rsidR="00586E38" w:rsidRDefault="00586E38">
      <w:pPr>
        <w:pBdr>
          <w:top w:val="nil"/>
          <w:left w:val="nil"/>
          <w:bottom w:val="nil"/>
          <w:right w:val="nil"/>
          <w:between w:val="nil"/>
        </w:pBdr>
        <w:ind w:right="4"/>
        <w:jc w:val="both"/>
        <w:rPr>
          <w:color w:val="000000"/>
          <w:sz w:val="24"/>
          <w:szCs w:val="24"/>
        </w:rPr>
      </w:pPr>
    </w:p>
    <w:p w:rsidR="00586E38" w:rsidRDefault="00F93B54">
      <w:pPr>
        <w:numPr>
          <w:ilvl w:val="0"/>
          <w:numId w:val="20"/>
        </w:numPr>
        <w:pBdr>
          <w:top w:val="nil"/>
          <w:left w:val="nil"/>
          <w:bottom w:val="nil"/>
          <w:right w:val="nil"/>
          <w:between w:val="nil"/>
        </w:pBdr>
        <w:ind w:left="0" w:right="4" w:firstLine="0"/>
        <w:jc w:val="both"/>
        <w:rPr>
          <w:color w:val="000000"/>
          <w:sz w:val="24"/>
          <w:szCs w:val="24"/>
        </w:rPr>
      </w:pPr>
      <w:r>
        <w:rPr>
          <w:color w:val="000000"/>
          <w:sz w:val="24"/>
          <w:szCs w:val="24"/>
        </w:rPr>
        <w:t>El nombre y domicilio de la corporación o asociación deportiva;</w:t>
      </w:r>
    </w:p>
    <w:p w:rsidR="00586E38" w:rsidRDefault="00F93B54">
      <w:pPr>
        <w:numPr>
          <w:ilvl w:val="0"/>
          <w:numId w:val="20"/>
        </w:numPr>
        <w:pBdr>
          <w:top w:val="nil"/>
          <w:left w:val="nil"/>
          <w:bottom w:val="nil"/>
          <w:right w:val="nil"/>
          <w:between w:val="nil"/>
        </w:pBdr>
        <w:ind w:left="0" w:right="4" w:firstLine="0"/>
        <w:jc w:val="both"/>
        <w:rPr>
          <w:color w:val="000000"/>
          <w:sz w:val="24"/>
          <w:szCs w:val="24"/>
        </w:rPr>
      </w:pPr>
      <w:r>
        <w:rPr>
          <w:color w:val="000000"/>
          <w:sz w:val="24"/>
          <w:szCs w:val="24"/>
        </w:rPr>
        <w:t>El valor de los activos, pasivos y patrimonio de la corporación o asociación deportiva, y</w:t>
      </w:r>
    </w:p>
    <w:p w:rsidR="00586E38" w:rsidRDefault="00F93B54">
      <w:pPr>
        <w:numPr>
          <w:ilvl w:val="0"/>
          <w:numId w:val="20"/>
        </w:numPr>
        <w:pBdr>
          <w:top w:val="nil"/>
          <w:left w:val="nil"/>
          <w:bottom w:val="nil"/>
          <w:right w:val="nil"/>
          <w:between w:val="nil"/>
        </w:pBdr>
        <w:ind w:left="0" w:right="4" w:firstLine="0"/>
        <w:jc w:val="both"/>
        <w:rPr>
          <w:color w:val="000000"/>
          <w:sz w:val="24"/>
          <w:szCs w:val="24"/>
        </w:rPr>
      </w:pPr>
      <w:r>
        <w:rPr>
          <w:color w:val="000000"/>
          <w:sz w:val="24"/>
          <w:szCs w:val="24"/>
        </w:rPr>
        <w:t>El capital de la corporación o asociación deportiva.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4. Dentro de los treinta días calendario siguientes a la fecha de publicación del aviso, cualquier persona podrá dirigirse al representante legal de la corporación o asociación deportiva para ejercer el derecho de retiro y exigir el reembolso del monto de su aporte o derecho, mediante el procedimiento previsto en los artículos 12 a 17 de la ley 222 de 1995.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5. Una vez que se haya otorgado el documento privado, que podrá ser electrónico, o la escritura pública, según el caso, conforme a los requisitos establecidos en esta ley y los previstos en el Código de Comercio o en la Ley 1258 de 2008 para los casos de transformación de sociedades, se procederá a la inscripción del club profesional en el Registro Único del Deporte y la Recreación de la Cámara de Comercio de su domicilio principal. La inscripción podrá hacerse también por medios telemáticos.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6. El documento privado, que podrá ser electrónico, o la escritura pública de conversión, serán considerados como acto sin cuantía para efectos de determinar los derechos notariales y de registro correspondientes.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17. Régimen de insolvencia de los clubes deportivos. </w:t>
      </w:r>
      <w:r>
        <w:rPr>
          <w:color w:val="000000"/>
          <w:sz w:val="24"/>
          <w:szCs w:val="24"/>
        </w:rPr>
        <w:t>Todos los clubes deportivos estarán sujetos al régimen de insolvencia previsto en la Ley 1116 de 2006 o las normas que la sustituyan o adicionen.</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18. Remisión. </w:t>
      </w:r>
      <w:r>
        <w:rPr>
          <w:color w:val="000000"/>
          <w:sz w:val="24"/>
          <w:szCs w:val="24"/>
        </w:rPr>
        <w:t>En lo no previsto en la presente ley, la SASD se regirá por las disposiciones contenidas en los estatutos sociales, por las disposiciones contenidas en las leyes 1258 de 2008 y 1445 de 2011 y por las previstas en el Código de Comercio.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Sección 4</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Capital y acciones de la SASD</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19. Acciones de la SASD. </w:t>
      </w:r>
      <w:r>
        <w:rPr>
          <w:color w:val="000000"/>
          <w:sz w:val="24"/>
          <w:szCs w:val="24"/>
        </w:rPr>
        <w:t xml:space="preserve">En la SASD podrán crearse diversas clases y series de acciones, conforme a los términos y condiciones definidos en las normas legales respectivas, incluidas las siguientes: (i) acciones privilegiadas; (ii) acciones con dividendo preferencial y sin derecho a voto; (iii) acciones con dividendo fijo anual y (iv) acciones con voto plural.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Al dorso de los títulos de acciones constarán los derechos inherentes a ellas.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20. Régimen de la SASD. </w:t>
      </w:r>
      <w:r>
        <w:rPr>
          <w:color w:val="000000"/>
          <w:sz w:val="24"/>
          <w:szCs w:val="24"/>
        </w:rPr>
        <w:t xml:space="preserve">Todas las acciones de la SASD deberán ser nominativas.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Las acciones en que se divide el capital de la SASD podrán estar radicadas en una fiducia mercantil, siempre que en el libro de registro de accionistas se identifique a la compañía fiduciaria, así como a los beneficiarios del patrimonio autónomo junto con sus correspondientes porcentajes en la fiducia.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Los derechos y obligaciones que por su condición de accionista le corresponden al fideicomitente serán ejercidos por la sociedad fiduciaria que lleve la representación del patrimonio autónomo, conforme a las instrucciones impartidas por el fideicomitente o beneficiario, según el caso.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primero.</w:t>
      </w:r>
      <w:r>
        <w:rPr>
          <w:color w:val="000000"/>
          <w:sz w:val="24"/>
          <w:szCs w:val="24"/>
        </w:rPr>
        <w:t xml:space="preserve"> En los estatutos se expresarán los derechos de votación que le correspondan a cada clase de acciones, con indicación expresa sobre la atribución de voto singular o múltiple, si a ello hubiere lugar.</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segundo.</w:t>
      </w:r>
      <w:r>
        <w:rPr>
          <w:color w:val="000000"/>
          <w:sz w:val="24"/>
          <w:szCs w:val="24"/>
        </w:rPr>
        <w:t xml:space="preserve"> En caso de que la sociedad emita acciones como contraprestación o pago de obligaciones laborales, se deberán cumplir los límites previstos en el Código Sustantivo del Trabajo para el pago del salario en especie.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21. Negociación de las acciones de la SASD. </w:t>
      </w:r>
      <w:r>
        <w:rPr>
          <w:color w:val="000000"/>
          <w:sz w:val="24"/>
          <w:szCs w:val="24"/>
        </w:rPr>
        <w:t>En los estatutos se podrá someter toda negociación de acciones o de alguna clase de ellas a la autorización previa de la asamblea.</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ab/>
      </w:r>
    </w:p>
    <w:p w:rsidR="00586E38" w:rsidRDefault="00F93B54">
      <w:pPr>
        <w:pBdr>
          <w:top w:val="nil"/>
          <w:left w:val="nil"/>
          <w:bottom w:val="nil"/>
          <w:right w:val="nil"/>
          <w:between w:val="nil"/>
        </w:pBdr>
        <w:ind w:right="4"/>
        <w:jc w:val="both"/>
        <w:rPr>
          <w:color w:val="000000"/>
          <w:sz w:val="24"/>
          <w:szCs w:val="24"/>
        </w:rPr>
      </w:pPr>
      <w:r>
        <w:rPr>
          <w:color w:val="000000"/>
          <w:sz w:val="24"/>
          <w:szCs w:val="24"/>
        </w:rPr>
        <w:t>Toda negociación o transferencia de acciones efectuada en contravención a lo previsto en los estatutos será ineficaz de pleno derecho.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22. Restricciones en la transferencia de las acciones.</w:t>
      </w:r>
      <w:r>
        <w:rPr>
          <w:color w:val="000000"/>
          <w:sz w:val="24"/>
          <w:szCs w:val="24"/>
        </w:rPr>
        <w:t xml:space="preserve"> En los estatutos podrá estipularse la prohibición de negociar las acciones emitidas por la sociedad o alguna de sus clases, siempre que la vigencia de la restricción no exceda del término de diez años, contados a partir de la emisión. Este término sólo podrá ser prorrogado por </w:t>
      </w:r>
      <w:r>
        <w:rPr>
          <w:sz w:val="24"/>
          <w:szCs w:val="24"/>
        </w:rPr>
        <w:t>períodos</w:t>
      </w:r>
      <w:r>
        <w:rPr>
          <w:color w:val="000000"/>
          <w:sz w:val="24"/>
          <w:szCs w:val="24"/>
        </w:rPr>
        <w:t xml:space="preserve"> adicionales no mayores de diez años, por voluntad unánime de la totalidad de los accionistas.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Al dorso de los títulos deberá hacerse referencia expresa acerca de la restricción a que alude este artículo.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23.</w:t>
      </w:r>
      <w:r>
        <w:rPr>
          <w:color w:val="000000"/>
          <w:sz w:val="24"/>
          <w:szCs w:val="24"/>
        </w:rPr>
        <w:t xml:space="preserve"> </w:t>
      </w:r>
      <w:r>
        <w:rPr>
          <w:b/>
          <w:color w:val="000000"/>
          <w:sz w:val="24"/>
          <w:szCs w:val="24"/>
        </w:rPr>
        <w:t>Control.</w:t>
      </w:r>
      <w:r>
        <w:rPr>
          <w:color w:val="000000"/>
          <w:sz w:val="24"/>
          <w:szCs w:val="24"/>
        </w:rPr>
        <w:t xml:space="preserve"> En los estatutos podrá establecerse la obligación a cargo de las sociedades accionistas en el sentido de </w:t>
      </w:r>
      <w:r>
        <w:rPr>
          <w:sz w:val="24"/>
          <w:szCs w:val="24"/>
        </w:rPr>
        <w:t>informar al</w:t>
      </w:r>
      <w:r>
        <w:rPr>
          <w:color w:val="000000"/>
          <w:sz w:val="24"/>
          <w:szCs w:val="24"/>
        </w:rPr>
        <w:t xml:space="preserve"> representante legal de la SASD acerca de cualquier operación que implique un cambio de control respecto de aquellas, según lo previsto en el artículo 260 del Código de Comercio.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lastRenderedPageBreak/>
        <w:t>En estos casos de cambio de control, la asamblea estará facultada para excluir a las sociedades accionistas cuya situación de control hubiere sido modificada, mediante decisión adoptada por la asamblea.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El incumplimiento del deber de información a que alude el presente artículo por parte de cualquiera de las sociedades accionistas, además de la posibilidad de exclusión según el artículo 130 de esta ley, podrá dar lugar a una deducción del veinte por ciento en el valor del reembolso, a título de sanción.</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w:t>
      </w:r>
      <w:r>
        <w:rPr>
          <w:color w:val="000000"/>
          <w:sz w:val="24"/>
          <w:szCs w:val="24"/>
        </w:rPr>
        <w:t xml:space="preserve"> En los casos a que se refiere este artículo, las determinaciones relativas a la exclusión y a la imposición de sanciones pecuniarias requerirán aprobación de la asamblea de accionistas, impartida con el voto favorable de uno o varios accionistas que representen cuando menos la mitad más una de las acciones presentes en la respectiva reunión, excluido el voto del accionista que fuere objeto de estas medidas.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Las discrepancias que </w:t>
      </w:r>
      <w:r>
        <w:rPr>
          <w:sz w:val="24"/>
          <w:szCs w:val="24"/>
        </w:rPr>
        <w:t>pudieran</w:t>
      </w:r>
      <w:r>
        <w:rPr>
          <w:color w:val="000000"/>
          <w:sz w:val="24"/>
          <w:szCs w:val="24"/>
        </w:rPr>
        <w:t xml:space="preserve"> surgir por razón de la exclusión de accionistas serán resueltas por </w:t>
      </w:r>
      <w:r>
        <w:rPr>
          <w:sz w:val="24"/>
          <w:szCs w:val="24"/>
        </w:rPr>
        <w:t>el Ministerio del Deporte</w:t>
      </w:r>
      <w:r>
        <w:rPr>
          <w:color w:val="000000"/>
          <w:sz w:val="24"/>
          <w:szCs w:val="24"/>
        </w:rPr>
        <w:t>, mediante el trámite del proceso verbal.</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24. Número mínimo de accionistas. </w:t>
      </w:r>
      <w:r>
        <w:rPr>
          <w:color w:val="000000"/>
          <w:sz w:val="24"/>
          <w:szCs w:val="24"/>
        </w:rPr>
        <w:t>Para la formación o funcionamiento de la SASD</w:t>
      </w:r>
      <w:r>
        <w:rPr>
          <w:b/>
          <w:color w:val="000000"/>
          <w:sz w:val="24"/>
          <w:szCs w:val="24"/>
        </w:rPr>
        <w:t xml:space="preserve"> </w:t>
      </w:r>
      <w:r>
        <w:rPr>
          <w:color w:val="000000"/>
          <w:sz w:val="24"/>
          <w:szCs w:val="24"/>
        </w:rPr>
        <w:t>no se requerirá un número mínimo de accionistas, salvo que se trate de clubes profesionales</w:t>
      </w:r>
      <w:r>
        <w:rPr>
          <w:b/>
          <w:color w:val="000000"/>
          <w:sz w:val="24"/>
          <w:szCs w:val="24"/>
        </w:rPr>
        <w:t xml:space="preserve"> </w:t>
      </w:r>
      <w:r>
        <w:rPr>
          <w:color w:val="000000"/>
          <w:sz w:val="24"/>
          <w:szCs w:val="24"/>
        </w:rPr>
        <w:t>organizados como sociedades anónimas que, de acuerdo con el artículo 374 del Código de Comercio, deberán contar con un número no inferior a cinco accionistas.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b/>
          <w:color w:val="000000"/>
          <w:sz w:val="24"/>
          <w:szCs w:val="24"/>
        </w:rPr>
      </w:pPr>
      <w:r>
        <w:rPr>
          <w:b/>
          <w:color w:val="000000"/>
          <w:sz w:val="24"/>
          <w:szCs w:val="24"/>
        </w:rPr>
        <w:t xml:space="preserve">Artículo 25. Pago de capital e inscripción en el Registro Nacional de Valores. </w:t>
      </w:r>
      <w:r>
        <w:rPr>
          <w:color w:val="000000"/>
          <w:sz w:val="24"/>
          <w:szCs w:val="24"/>
        </w:rPr>
        <w:t>Los clubes profesionales</w:t>
      </w:r>
      <w:r>
        <w:rPr>
          <w:b/>
          <w:color w:val="000000"/>
          <w:sz w:val="24"/>
          <w:szCs w:val="24"/>
        </w:rPr>
        <w:t xml:space="preserve"> </w:t>
      </w:r>
      <w:r>
        <w:rPr>
          <w:color w:val="000000"/>
          <w:sz w:val="24"/>
          <w:szCs w:val="24"/>
        </w:rPr>
        <w:t>organizados como SASD se podrán constituir por una o varias personas naturales o jurídicas, quienes sólo serán responsables hasta el monto de sus respectivos aportes. La suscripción y pago del capital podrá hacerse en condiciones, proporciones y plazos distintos de los previstos en las normas contempladas en el Código de Comercio para las sociedades anónimas. Sin embargo, el plazo máximo para el pago de las acciones será de dos años.</w:t>
      </w:r>
    </w:p>
    <w:p w:rsidR="00586E38" w:rsidRDefault="00586E38">
      <w:pPr>
        <w:pBdr>
          <w:top w:val="nil"/>
          <w:left w:val="nil"/>
          <w:bottom w:val="nil"/>
          <w:right w:val="nil"/>
          <w:between w:val="nil"/>
        </w:pBdr>
        <w:ind w:right="4"/>
        <w:jc w:val="both"/>
        <w:rPr>
          <w:b/>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En los estatutos de la SASD podrán establecerse porcentajes o montos mínimos o máximos del capital suscrito que podrán ser controlados por uno o más accionistas, en forma directa o indirecta. En el evento de establecerse estas reglas, los estatutos podrán contener disposiciones que regulen los efectos derivados del incumplimiento de dichos límites.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El Gobierno Nacional podrá exigir requisitos de capital mínimo para los clubes profesionales, siempre y </w:t>
      </w:r>
      <w:r>
        <w:rPr>
          <w:sz w:val="24"/>
          <w:szCs w:val="24"/>
        </w:rPr>
        <w:t>cuando el</w:t>
      </w:r>
      <w:r>
        <w:rPr>
          <w:color w:val="000000"/>
          <w:sz w:val="24"/>
          <w:szCs w:val="24"/>
        </w:rPr>
        <w:t xml:space="preserve"> monto requerido no exceda de mil salarios mínimos legales mensuales vigentes para los clubes profesionales de fútbol, ni de cien salarios mínimos legales vigentes para los clubes profesionales de otras disciplinas deportivas.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Las acciones y demás valores que emitan los clubes deportivos podrán inscribirse en el </w:t>
      </w:r>
      <w:r>
        <w:rPr>
          <w:color w:val="000000"/>
          <w:sz w:val="24"/>
          <w:szCs w:val="24"/>
        </w:rPr>
        <w:lastRenderedPageBreak/>
        <w:t>Registro Nacional de Valores y Emisores y negociarse en bolsa únicamente en aquellos casos en que el emisor sea una Sociedad Anónima. En caso de promoverse una oferta pública de acciones u otros valores mobiliarios, el prospecto deberá contener información acerca del proyecto de desarrollo de actividades deportivas al cual se destinarán los recursos.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Sección 5</w:t>
      </w:r>
    </w:p>
    <w:p w:rsidR="00586E38" w:rsidRDefault="00F93B54">
      <w:pPr>
        <w:pBdr>
          <w:top w:val="nil"/>
          <w:left w:val="nil"/>
          <w:bottom w:val="nil"/>
          <w:right w:val="nil"/>
          <w:between w:val="nil"/>
        </w:pBdr>
        <w:ind w:right="4"/>
        <w:jc w:val="center"/>
        <w:rPr>
          <w:b/>
          <w:color w:val="000000"/>
          <w:sz w:val="24"/>
          <w:szCs w:val="24"/>
        </w:rPr>
      </w:pPr>
      <w:r>
        <w:rPr>
          <w:color w:val="000000"/>
          <w:sz w:val="24"/>
          <w:szCs w:val="24"/>
        </w:rPr>
        <w:t>De las restricciones y obligaciones de los clubes deportivos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26. Restricciones. </w:t>
      </w:r>
      <w:r>
        <w:rPr>
          <w:color w:val="000000"/>
          <w:sz w:val="24"/>
          <w:szCs w:val="24"/>
        </w:rPr>
        <w:t>Los clubes profesionales tendrán las siguientes restricciones:</w:t>
      </w:r>
    </w:p>
    <w:p w:rsidR="00586E38" w:rsidRDefault="00586E38">
      <w:pPr>
        <w:pBdr>
          <w:top w:val="nil"/>
          <w:left w:val="nil"/>
          <w:bottom w:val="nil"/>
          <w:right w:val="nil"/>
          <w:between w:val="nil"/>
        </w:pBdr>
        <w:ind w:right="4"/>
        <w:jc w:val="both"/>
        <w:rPr>
          <w:color w:val="000000"/>
          <w:sz w:val="24"/>
          <w:szCs w:val="24"/>
        </w:rPr>
      </w:pPr>
    </w:p>
    <w:p w:rsidR="00586E38" w:rsidRDefault="00F93B54">
      <w:pPr>
        <w:widowControl/>
        <w:numPr>
          <w:ilvl w:val="0"/>
          <w:numId w:val="18"/>
        </w:numPr>
        <w:pBdr>
          <w:top w:val="nil"/>
          <w:left w:val="nil"/>
          <w:bottom w:val="nil"/>
          <w:right w:val="nil"/>
          <w:between w:val="nil"/>
        </w:pBdr>
        <w:ind w:left="0" w:right="4" w:firstLine="0"/>
        <w:jc w:val="both"/>
        <w:rPr>
          <w:color w:val="000000"/>
          <w:sz w:val="24"/>
          <w:szCs w:val="24"/>
        </w:rPr>
      </w:pPr>
      <w:r>
        <w:rPr>
          <w:color w:val="000000"/>
          <w:sz w:val="24"/>
          <w:szCs w:val="24"/>
        </w:rPr>
        <w:t xml:space="preserve">Ninguna persona natural o jurídica podrá tener directamente o por interpuesta persona, de manera individual o en conjunto con otras personas, el control en más de un club cuyo objeto sea una misma actividad deportiva, conforme a los términos previstos en el artículo 260 del Código de Comercio. </w:t>
      </w:r>
    </w:p>
    <w:p w:rsidR="00586E38" w:rsidRDefault="00F93B54">
      <w:pPr>
        <w:widowControl/>
        <w:numPr>
          <w:ilvl w:val="0"/>
          <w:numId w:val="18"/>
        </w:numPr>
        <w:pBdr>
          <w:top w:val="nil"/>
          <w:left w:val="nil"/>
          <w:bottom w:val="nil"/>
          <w:right w:val="nil"/>
          <w:between w:val="nil"/>
        </w:pBdr>
        <w:ind w:left="0" w:right="4" w:firstLine="0"/>
        <w:jc w:val="both"/>
        <w:rPr>
          <w:color w:val="000000"/>
          <w:sz w:val="24"/>
          <w:szCs w:val="24"/>
        </w:rPr>
      </w:pPr>
      <w:r>
        <w:rPr>
          <w:color w:val="000000"/>
          <w:sz w:val="24"/>
          <w:szCs w:val="24"/>
        </w:rPr>
        <w:t xml:space="preserve">Toda adquisición de acciones en un club deportivo profesional que se haga en contravención de lo establecido en el párrafo anterior será ineficaz de pleno derecho. </w:t>
      </w:r>
    </w:p>
    <w:p w:rsidR="00586E38" w:rsidRDefault="00F93B54">
      <w:pPr>
        <w:widowControl/>
        <w:numPr>
          <w:ilvl w:val="0"/>
          <w:numId w:val="18"/>
        </w:numPr>
        <w:pBdr>
          <w:top w:val="nil"/>
          <w:left w:val="nil"/>
          <w:bottom w:val="nil"/>
          <w:right w:val="nil"/>
          <w:between w:val="nil"/>
        </w:pBdr>
        <w:ind w:left="0" w:right="4" w:firstLine="0"/>
        <w:jc w:val="both"/>
        <w:rPr>
          <w:color w:val="000000"/>
          <w:sz w:val="24"/>
          <w:szCs w:val="24"/>
        </w:rPr>
      </w:pPr>
      <w:r>
        <w:rPr>
          <w:color w:val="000000"/>
          <w:sz w:val="24"/>
          <w:szCs w:val="24"/>
        </w:rPr>
        <w:t>Ninguno de los integrantes de los órganos de administración ni representación legal, si los hubiere, podrá ejercer cargos por elección en más de un organismo deportivo.</w:t>
      </w:r>
    </w:p>
    <w:p w:rsidR="00586E38" w:rsidRDefault="00F93B54">
      <w:pPr>
        <w:widowControl/>
        <w:numPr>
          <w:ilvl w:val="0"/>
          <w:numId w:val="18"/>
        </w:numPr>
        <w:pBdr>
          <w:top w:val="nil"/>
          <w:left w:val="nil"/>
          <w:bottom w:val="nil"/>
          <w:right w:val="nil"/>
          <w:between w:val="nil"/>
        </w:pBdr>
        <w:ind w:left="0" w:right="4" w:firstLine="0"/>
        <w:jc w:val="both"/>
        <w:rPr>
          <w:color w:val="000000"/>
          <w:sz w:val="24"/>
          <w:szCs w:val="24"/>
        </w:rPr>
      </w:pPr>
      <w:r>
        <w:rPr>
          <w:color w:val="000000"/>
          <w:sz w:val="24"/>
          <w:szCs w:val="24"/>
        </w:rPr>
        <w:t>Los miembros de los órganos de administración, control y disciplina tampoco podrán ejercer cargos por elección en más de un organismo deportivo ni ocupar cargos públicos ni suscribir contratos de prestación de servicios con los entes deportivos departamentales, del Distrito Capital, municipales, distritales o de las entidades que hagan sus veces, tampoco podrán formar parte del Comité Olímpico colombiano, del Comité Paraolímpico ni de</w:t>
      </w:r>
      <w:r>
        <w:rPr>
          <w:sz w:val="24"/>
          <w:szCs w:val="24"/>
        </w:rPr>
        <w:t>l Ministerio del Deporte</w:t>
      </w:r>
      <w:r>
        <w:rPr>
          <w:color w:val="000000"/>
          <w:sz w:val="24"/>
          <w:szCs w:val="24"/>
        </w:rPr>
        <w:t>.</w:t>
      </w:r>
    </w:p>
    <w:p w:rsidR="00586E38" w:rsidRDefault="00F93B54">
      <w:pPr>
        <w:widowControl/>
        <w:numPr>
          <w:ilvl w:val="0"/>
          <w:numId w:val="18"/>
        </w:numPr>
        <w:pBdr>
          <w:top w:val="nil"/>
          <w:left w:val="nil"/>
          <w:bottom w:val="nil"/>
          <w:right w:val="nil"/>
          <w:between w:val="nil"/>
        </w:pBdr>
        <w:ind w:left="0" w:right="4" w:firstLine="0"/>
        <w:jc w:val="both"/>
        <w:rPr>
          <w:color w:val="000000"/>
          <w:sz w:val="24"/>
          <w:szCs w:val="24"/>
        </w:rPr>
      </w:pPr>
      <w:r>
        <w:rPr>
          <w:color w:val="000000"/>
          <w:sz w:val="24"/>
          <w:szCs w:val="24"/>
        </w:rPr>
        <w:t xml:space="preserve">Los clubes deportivos profesionales </w:t>
      </w:r>
      <w:r>
        <w:rPr>
          <w:sz w:val="24"/>
          <w:szCs w:val="24"/>
        </w:rPr>
        <w:t>sólo</w:t>
      </w:r>
      <w:r>
        <w:rPr>
          <w:color w:val="000000"/>
          <w:sz w:val="24"/>
          <w:szCs w:val="24"/>
        </w:rPr>
        <w:t xml:space="preserve"> podrán participar en competencias profesionales de una sola modalidad deportiva.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27. Obligaciones. </w:t>
      </w:r>
      <w:r>
        <w:rPr>
          <w:color w:val="000000"/>
          <w:sz w:val="24"/>
          <w:szCs w:val="24"/>
        </w:rPr>
        <w:t>Los clubes profesionales están obligados a:</w:t>
      </w:r>
    </w:p>
    <w:p w:rsidR="00586E38" w:rsidRDefault="00586E38">
      <w:pPr>
        <w:pBdr>
          <w:top w:val="nil"/>
          <w:left w:val="nil"/>
          <w:bottom w:val="nil"/>
          <w:right w:val="nil"/>
          <w:between w:val="nil"/>
        </w:pBdr>
        <w:ind w:right="4"/>
        <w:jc w:val="both"/>
        <w:rPr>
          <w:color w:val="000000"/>
          <w:sz w:val="24"/>
          <w:szCs w:val="24"/>
        </w:rPr>
      </w:pPr>
    </w:p>
    <w:p w:rsidR="00586E38" w:rsidRDefault="00F93B54">
      <w:pPr>
        <w:widowControl/>
        <w:numPr>
          <w:ilvl w:val="0"/>
          <w:numId w:val="10"/>
        </w:numPr>
        <w:pBdr>
          <w:top w:val="nil"/>
          <w:left w:val="nil"/>
          <w:bottom w:val="nil"/>
          <w:right w:val="nil"/>
          <w:between w:val="nil"/>
        </w:pBdr>
        <w:ind w:left="0" w:right="4" w:firstLine="0"/>
        <w:jc w:val="both"/>
        <w:rPr>
          <w:color w:val="000000"/>
          <w:sz w:val="24"/>
          <w:szCs w:val="24"/>
        </w:rPr>
      </w:pPr>
      <w:r>
        <w:rPr>
          <w:color w:val="000000"/>
          <w:sz w:val="24"/>
          <w:szCs w:val="24"/>
        </w:rPr>
        <w:t>Inscribir en el Registro Único del Deporte y de la Recreación de la Cámara de Comercio de su domicilio, los libros de actas en donde consten las decisiones de los órganos de dirección y administración.</w:t>
      </w:r>
    </w:p>
    <w:p w:rsidR="00586E38" w:rsidRDefault="00586E38">
      <w:pPr>
        <w:pBdr>
          <w:top w:val="nil"/>
          <w:left w:val="nil"/>
          <w:bottom w:val="nil"/>
          <w:right w:val="nil"/>
          <w:between w:val="nil"/>
        </w:pBdr>
        <w:ind w:right="4"/>
        <w:jc w:val="both"/>
        <w:rPr>
          <w:color w:val="000000"/>
          <w:sz w:val="24"/>
          <w:szCs w:val="24"/>
        </w:rPr>
      </w:pPr>
    </w:p>
    <w:p w:rsidR="00586E38" w:rsidRDefault="00F93B54">
      <w:pPr>
        <w:widowControl/>
        <w:numPr>
          <w:ilvl w:val="0"/>
          <w:numId w:val="10"/>
        </w:numPr>
        <w:pBdr>
          <w:top w:val="nil"/>
          <w:left w:val="nil"/>
          <w:bottom w:val="nil"/>
          <w:right w:val="nil"/>
          <w:between w:val="nil"/>
        </w:pBdr>
        <w:ind w:left="0" w:right="4" w:firstLine="0"/>
        <w:jc w:val="both"/>
        <w:rPr>
          <w:color w:val="000000"/>
          <w:sz w:val="24"/>
          <w:szCs w:val="24"/>
        </w:rPr>
      </w:pPr>
      <w:r>
        <w:rPr>
          <w:color w:val="000000"/>
          <w:sz w:val="24"/>
          <w:szCs w:val="24"/>
        </w:rPr>
        <w:t>Presentar ante el Registro Único del Deporte y de la Recreación de la Cámara de Comercio, de su domicilio, de manera anual, el listado de sus accionistas y deportistas en los términos, requisitos y forma establecidos por el Gobierno Nacional para tal registro.</w:t>
      </w:r>
    </w:p>
    <w:p w:rsidR="00586E38" w:rsidRDefault="00586E38">
      <w:pPr>
        <w:pBdr>
          <w:top w:val="nil"/>
          <w:left w:val="nil"/>
          <w:bottom w:val="nil"/>
          <w:right w:val="nil"/>
          <w:between w:val="nil"/>
        </w:pBdr>
        <w:ind w:right="4"/>
        <w:jc w:val="both"/>
        <w:rPr>
          <w:color w:val="000000"/>
          <w:sz w:val="24"/>
          <w:szCs w:val="24"/>
        </w:rPr>
      </w:pPr>
    </w:p>
    <w:p w:rsidR="00586E38" w:rsidRDefault="00F93B54">
      <w:pPr>
        <w:widowControl/>
        <w:numPr>
          <w:ilvl w:val="0"/>
          <w:numId w:val="10"/>
        </w:numPr>
        <w:pBdr>
          <w:top w:val="nil"/>
          <w:left w:val="nil"/>
          <w:bottom w:val="nil"/>
          <w:right w:val="nil"/>
          <w:between w:val="nil"/>
        </w:pBdr>
        <w:ind w:left="0" w:right="4" w:firstLine="0"/>
        <w:jc w:val="both"/>
        <w:rPr>
          <w:color w:val="000000"/>
          <w:sz w:val="24"/>
          <w:szCs w:val="24"/>
        </w:rPr>
      </w:pPr>
      <w:r>
        <w:rPr>
          <w:color w:val="000000"/>
          <w:sz w:val="24"/>
          <w:szCs w:val="24"/>
        </w:rPr>
        <w:t xml:space="preserve">Acreditar la procedencia de los aportes de capital efectuados por los accionistas, así como de cualquier otro recurso de inversión en los términos, requisitos y forma establecidos por la Unidad de Investigación y Análisis Financiero (UIAF) del Ministerio </w:t>
      </w:r>
      <w:r>
        <w:rPr>
          <w:color w:val="000000"/>
          <w:sz w:val="24"/>
          <w:szCs w:val="24"/>
        </w:rPr>
        <w:lastRenderedPageBreak/>
        <w:t xml:space="preserve">de Hacienda y Crédito Público, sin perjuicio de que esta información pueda ser requerida también por </w:t>
      </w:r>
      <w:r>
        <w:rPr>
          <w:sz w:val="24"/>
          <w:szCs w:val="24"/>
        </w:rPr>
        <w:t>el Ministerio del Deporte</w:t>
      </w:r>
      <w:r>
        <w:rPr>
          <w:color w:val="000000"/>
          <w:sz w:val="24"/>
          <w:szCs w:val="24"/>
        </w:rPr>
        <w:t xml:space="preserve"> o por la Superintendencia de Sociedades.</w:t>
      </w:r>
    </w:p>
    <w:p w:rsidR="00586E38" w:rsidRDefault="00586E38">
      <w:pPr>
        <w:pBdr>
          <w:top w:val="nil"/>
          <w:left w:val="nil"/>
          <w:bottom w:val="nil"/>
          <w:right w:val="nil"/>
          <w:between w:val="nil"/>
        </w:pBdr>
        <w:ind w:right="4"/>
        <w:jc w:val="both"/>
        <w:rPr>
          <w:color w:val="000000"/>
          <w:sz w:val="24"/>
          <w:szCs w:val="24"/>
        </w:rPr>
      </w:pPr>
    </w:p>
    <w:p w:rsidR="00586E38" w:rsidRDefault="00F93B54">
      <w:pPr>
        <w:widowControl/>
        <w:numPr>
          <w:ilvl w:val="0"/>
          <w:numId w:val="10"/>
        </w:numPr>
        <w:pBdr>
          <w:top w:val="nil"/>
          <w:left w:val="nil"/>
          <w:bottom w:val="nil"/>
          <w:right w:val="nil"/>
          <w:between w:val="nil"/>
        </w:pBdr>
        <w:ind w:left="0" w:right="4" w:firstLine="0"/>
        <w:jc w:val="both"/>
        <w:rPr>
          <w:color w:val="000000"/>
          <w:sz w:val="24"/>
          <w:szCs w:val="24"/>
        </w:rPr>
      </w:pPr>
      <w:r>
        <w:rPr>
          <w:color w:val="000000"/>
          <w:sz w:val="24"/>
          <w:szCs w:val="24"/>
        </w:rPr>
        <w:t xml:space="preserve">Atender las recomendaciones y órdenes impartidas por </w:t>
      </w:r>
      <w:r>
        <w:rPr>
          <w:sz w:val="24"/>
          <w:szCs w:val="24"/>
        </w:rPr>
        <w:t>el Ministerio del Deporte</w:t>
      </w:r>
      <w:r>
        <w:rPr>
          <w:color w:val="000000"/>
          <w:sz w:val="24"/>
          <w:szCs w:val="24"/>
        </w:rPr>
        <w:t xml:space="preserve"> en ejercicio de las facultades de supervisión a la actividad deportiva organizada, a fin de subsanar las irregularidades respecto del cumplimiento de las disposiciones legales y reglamentarias, que se hubieren advertido durante las tomas de información o visitas administrativas practicadas, de oficio o a petición de parte, y adoptar las medidas correctivas correspondientes dentro del término establecido para tal efecto.</w:t>
      </w:r>
    </w:p>
    <w:p w:rsidR="00586E38" w:rsidRDefault="00586E38">
      <w:pPr>
        <w:pBdr>
          <w:top w:val="nil"/>
          <w:left w:val="nil"/>
          <w:bottom w:val="nil"/>
          <w:right w:val="nil"/>
          <w:between w:val="nil"/>
        </w:pBdr>
        <w:ind w:right="4"/>
        <w:jc w:val="both"/>
        <w:rPr>
          <w:color w:val="000000"/>
          <w:sz w:val="24"/>
          <w:szCs w:val="24"/>
        </w:rPr>
      </w:pPr>
    </w:p>
    <w:p w:rsidR="00586E38" w:rsidRDefault="00F93B54">
      <w:pPr>
        <w:widowControl/>
        <w:numPr>
          <w:ilvl w:val="0"/>
          <w:numId w:val="10"/>
        </w:numPr>
        <w:pBdr>
          <w:top w:val="nil"/>
          <w:left w:val="nil"/>
          <w:bottom w:val="nil"/>
          <w:right w:val="nil"/>
          <w:between w:val="nil"/>
        </w:pBdr>
        <w:ind w:left="0" w:right="4" w:firstLine="0"/>
        <w:jc w:val="both"/>
        <w:rPr>
          <w:color w:val="000000"/>
          <w:sz w:val="24"/>
          <w:szCs w:val="24"/>
        </w:rPr>
      </w:pPr>
      <w:r>
        <w:rPr>
          <w:color w:val="000000"/>
          <w:sz w:val="24"/>
          <w:szCs w:val="24"/>
        </w:rPr>
        <w:t>Informar a</w:t>
      </w:r>
      <w:r>
        <w:rPr>
          <w:sz w:val="24"/>
          <w:szCs w:val="24"/>
        </w:rPr>
        <w:t>l Ministerio del Deporte</w:t>
      </w:r>
      <w:r>
        <w:rPr>
          <w:color w:val="000000"/>
          <w:sz w:val="24"/>
          <w:szCs w:val="24"/>
        </w:rPr>
        <w:t xml:space="preserve"> acerca de la existencia de sanciones ejecutoriadas en procesos disciplinarios, fiscales o penales en contra de los integrantes de los órganos de administración, control y disciplina y cumplir las órdenes impartidas respecto de la remoción del cargo de las personas sancionadas dentro del término que se fije para este fin.</w:t>
      </w:r>
    </w:p>
    <w:p w:rsidR="00586E38" w:rsidRDefault="00586E38">
      <w:pPr>
        <w:pBdr>
          <w:top w:val="nil"/>
          <w:left w:val="nil"/>
          <w:bottom w:val="nil"/>
          <w:right w:val="nil"/>
          <w:between w:val="nil"/>
        </w:pBdr>
        <w:ind w:right="4"/>
        <w:jc w:val="both"/>
        <w:rPr>
          <w:color w:val="000000"/>
          <w:sz w:val="24"/>
          <w:szCs w:val="24"/>
        </w:rPr>
      </w:pPr>
    </w:p>
    <w:p w:rsidR="00586E38" w:rsidRDefault="00F93B54">
      <w:pPr>
        <w:widowControl/>
        <w:numPr>
          <w:ilvl w:val="0"/>
          <w:numId w:val="10"/>
        </w:numPr>
        <w:pBdr>
          <w:top w:val="nil"/>
          <w:left w:val="nil"/>
          <w:bottom w:val="nil"/>
          <w:right w:val="nil"/>
          <w:between w:val="nil"/>
        </w:pBdr>
        <w:ind w:left="0" w:right="4" w:firstLine="0"/>
        <w:jc w:val="both"/>
        <w:rPr>
          <w:color w:val="000000"/>
          <w:sz w:val="24"/>
          <w:szCs w:val="24"/>
        </w:rPr>
      </w:pPr>
      <w:r>
        <w:rPr>
          <w:color w:val="000000"/>
          <w:sz w:val="24"/>
          <w:szCs w:val="24"/>
        </w:rPr>
        <w:t>Obtener y mantener la licencia de participación deportiva expedida por la Federación Deportiva correspondiente.</w:t>
      </w:r>
    </w:p>
    <w:p w:rsidR="00586E38" w:rsidRDefault="00586E38">
      <w:pPr>
        <w:pBdr>
          <w:top w:val="nil"/>
          <w:left w:val="nil"/>
          <w:bottom w:val="nil"/>
          <w:right w:val="nil"/>
          <w:between w:val="nil"/>
        </w:pBdr>
        <w:ind w:right="4"/>
        <w:jc w:val="both"/>
        <w:rPr>
          <w:color w:val="000000"/>
          <w:sz w:val="24"/>
          <w:szCs w:val="24"/>
        </w:rPr>
      </w:pPr>
    </w:p>
    <w:p w:rsidR="00586E38" w:rsidRDefault="00F93B54">
      <w:pPr>
        <w:widowControl/>
        <w:numPr>
          <w:ilvl w:val="0"/>
          <w:numId w:val="10"/>
        </w:numPr>
        <w:pBdr>
          <w:top w:val="nil"/>
          <w:left w:val="nil"/>
          <w:bottom w:val="nil"/>
          <w:right w:val="nil"/>
          <w:between w:val="nil"/>
        </w:pBdr>
        <w:ind w:left="0" w:right="4" w:firstLine="0"/>
        <w:jc w:val="both"/>
        <w:rPr>
          <w:color w:val="000000"/>
          <w:sz w:val="24"/>
          <w:szCs w:val="24"/>
        </w:rPr>
      </w:pPr>
      <w:r>
        <w:rPr>
          <w:color w:val="000000"/>
          <w:sz w:val="24"/>
          <w:szCs w:val="24"/>
        </w:rPr>
        <w:t>En el caso de los clubes profesionales de fútbol, mantener provisto el cargo de oficial de cumplimiento externo, para garantizar el cumplimiento de las normas relativas al lavado de activos y el financiamiento del terrorismo. El oficial de cumplimiento externo reportará sus observaciones y enviará los informes que fueren pertinentes a las entidades de vigilancia y control establecidas por la ley.</w:t>
      </w:r>
    </w:p>
    <w:p w:rsidR="00586E38" w:rsidRDefault="00586E38">
      <w:pPr>
        <w:pBdr>
          <w:top w:val="nil"/>
          <w:left w:val="nil"/>
          <w:bottom w:val="nil"/>
          <w:right w:val="nil"/>
          <w:between w:val="nil"/>
        </w:pBdr>
        <w:ind w:right="4"/>
        <w:jc w:val="both"/>
        <w:rPr>
          <w:color w:val="000000"/>
          <w:sz w:val="24"/>
          <w:szCs w:val="24"/>
        </w:rPr>
      </w:pPr>
    </w:p>
    <w:p w:rsidR="00586E38" w:rsidRDefault="00F93B54">
      <w:pPr>
        <w:widowControl/>
        <w:numPr>
          <w:ilvl w:val="0"/>
          <w:numId w:val="10"/>
        </w:numPr>
        <w:pBdr>
          <w:top w:val="nil"/>
          <w:left w:val="nil"/>
          <w:bottom w:val="nil"/>
          <w:right w:val="nil"/>
          <w:between w:val="nil"/>
        </w:pBdr>
        <w:ind w:left="0" w:right="4" w:firstLine="0"/>
        <w:jc w:val="both"/>
        <w:rPr>
          <w:color w:val="000000"/>
          <w:sz w:val="24"/>
          <w:szCs w:val="24"/>
        </w:rPr>
      </w:pPr>
      <w:r>
        <w:rPr>
          <w:color w:val="000000"/>
          <w:sz w:val="24"/>
          <w:szCs w:val="24"/>
        </w:rPr>
        <w:t>Expedir un código de gobierno corporativo que podrá incorporarse a los estatutos sociales.</w:t>
      </w:r>
    </w:p>
    <w:p w:rsidR="00586E38" w:rsidRDefault="00586E38">
      <w:pPr>
        <w:pBdr>
          <w:top w:val="nil"/>
          <w:left w:val="nil"/>
          <w:bottom w:val="nil"/>
          <w:right w:val="nil"/>
          <w:between w:val="nil"/>
        </w:pBdr>
        <w:ind w:right="4"/>
        <w:rPr>
          <w:color w:val="000000"/>
          <w:sz w:val="24"/>
          <w:szCs w:val="24"/>
        </w:rPr>
      </w:pPr>
    </w:p>
    <w:p w:rsidR="00586E38" w:rsidRDefault="00F93B54">
      <w:pPr>
        <w:widowControl/>
        <w:numPr>
          <w:ilvl w:val="0"/>
          <w:numId w:val="10"/>
        </w:numPr>
        <w:pBdr>
          <w:top w:val="nil"/>
          <w:left w:val="nil"/>
          <w:bottom w:val="nil"/>
          <w:right w:val="nil"/>
          <w:between w:val="nil"/>
        </w:pBdr>
        <w:ind w:left="0" w:right="4" w:firstLine="0"/>
        <w:jc w:val="both"/>
        <w:rPr>
          <w:color w:val="000000"/>
          <w:sz w:val="24"/>
          <w:szCs w:val="24"/>
        </w:rPr>
      </w:pPr>
      <w:r>
        <w:rPr>
          <w:color w:val="000000"/>
          <w:sz w:val="24"/>
          <w:szCs w:val="24"/>
        </w:rPr>
        <w:t xml:space="preserve">Mantener la información financiera actualizada de conformidad con lo establecido en la Ley 1314 de 2009 y sus decretos reglamentarios. </w:t>
      </w:r>
    </w:p>
    <w:p w:rsidR="00586E38" w:rsidRDefault="00586E38">
      <w:pPr>
        <w:pBdr>
          <w:top w:val="nil"/>
          <w:left w:val="nil"/>
          <w:bottom w:val="nil"/>
          <w:right w:val="nil"/>
          <w:between w:val="nil"/>
        </w:pBdr>
        <w:ind w:right="4"/>
        <w:jc w:val="both"/>
        <w:rPr>
          <w:color w:val="000000"/>
          <w:sz w:val="24"/>
          <w:szCs w:val="24"/>
        </w:rPr>
      </w:pPr>
    </w:p>
    <w:p w:rsidR="00586E38" w:rsidRDefault="00F93B54">
      <w:pPr>
        <w:widowControl/>
        <w:numPr>
          <w:ilvl w:val="0"/>
          <w:numId w:val="10"/>
        </w:numPr>
        <w:pBdr>
          <w:top w:val="nil"/>
          <w:left w:val="nil"/>
          <w:bottom w:val="nil"/>
          <w:right w:val="nil"/>
          <w:between w:val="nil"/>
        </w:pBdr>
        <w:ind w:left="0" w:right="4" w:firstLine="0"/>
        <w:jc w:val="both"/>
        <w:rPr>
          <w:color w:val="000000"/>
          <w:sz w:val="24"/>
          <w:szCs w:val="24"/>
        </w:rPr>
      </w:pPr>
      <w:r>
        <w:rPr>
          <w:color w:val="000000"/>
          <w:sz w:val="24"/>
          <w:szCs w:val="24"/>
        </w:rPr>
        <w:t>Todas las demás que se determinen en esta ley.</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28. Patrimonio líquido, endeudamiento y presupuesto. </w:t>
      </w:r>
      <w:r>
        <w:rPr>
          <w:color w:val="000000"/>
          <w:sz w:val="24"/>
          <w:szCs w:val="24"/>
        </w:rPr>
        <w:t xml:space="preserve">El inciso primero y el parágrafo segundo del artículo 11 de la Ley 1445 de 2011, quedarán así: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El presupuesto anual de funcionamiento será aprobado por la junta directiva o asamblea de cada club profesional conforme a lo dispuesto en el Código de Comercio.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En ejercicio de las facultades de vigilancia y control, </w:t>
      </w:r>
      <w:r>
        <w:rPr>
          <w:sz w:val="24"/>
          <w:szCs w:val="24"/>
        </w:rPr>
        <w:t xml:space="preserve">el Ministerio del Deporte </w:t>
      </w:r>
      <w:r>
        <w:rPr>
          <w:color w:val="000000"/>
          <w:sz w:val="24"/>
          <w:szCs w:val="24"/>
        </w:rPr>
        <w:t xml:space="preserve">podrá verificar el cumplimiento de los requisitos mínimos legales establecidos en la Ley 1445 de 2011 y el presupuesto anual de funcionamiento, con el fin de comprobar el cumplimiento del pago de las obligaciones de los clubes profesionales y, en especial, de las laborales, los aportes a la seguridad social y las obligaciones parafiscales.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En caso de incumplimiento en el pago de dichas obligaciones, se le dará aplicación a lo previsto en el artículo 8° de la Ley 1445 de 2011</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Sección 6</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De la procedencia de capitales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29. Procedencia y control de capitales. </w:t>
      </w:r>
      <w:r>
        <w:rPr>
          <w:color w:val="000000"/>
          <w:sz w:val="24"/>
          <w:szCs w:val="24"/>
        </w:rPr>
        <w:t>El primer inciso y el parágrafo primero del artículo 3°</w:t>
      </w:r>
      <w:r>
        <w:rPr>
          <w:b/>
          <w:color w:val="000000"/>
          <w:sz w:val="24"/>
          <w:szCs w:val="24"/>
        </w:rPr>
        <w:t xml:space="preserve"> </w:t>
      </w:r>
      <w:r>
        <w:rPr>
          <w:color w:val="000000"/>
          <w:sz w:val="24"/>
          <w:szCs w:val="24"/>
        </w:rPr>
        <w:t>de la Ley 1445 de 2011, quedará así:</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Los particulares o personas jurídicas que adquieran acciones en los clubes profesionales, deberán acreditar la procedencia de sus capitales ante el respectivo club, el cual tendrá a su vez, la obligación de remitir el informe respectivo a la Unidad de Información y Análisis Financiero del Ministerio de Hacienda (UIAF) o a la entidad que haga sus veces.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30</w:t>
      </w:r>
      <w:r>
        <w:rPr>
          <w:color w:val="000000"/>
          <w:sz w:val="24"/>
          <w:szCs w:val="24"/>
        </w:rPr>
        <w:t xml:space="preserve">. </w:t>
      </w:r>
      <w:r>
        <w:rPr>
          <w:b/>
          <w:color w:val="000000"/>
          <w:sz w:val="24"/>
          <w:szCs w:val="24"/>
        </w:rPr>
        <w:t xml:space="preserve">Controles para la prevención de lavado de activos, financiamiento del terrorismo y recepción de recursos ilícitos. </w:t>
      </w:r>
      <w:r>
        <w:rPr>
          <w:color w:val="000000"/>
          <w:sz w:val="24"/>
          <w:szCs w:val="24"/>
        </w:rPr>
        <w:t>Los clubes profesionales deberán poner en marcha controles y sistemas de administración de riesgos para prevenir y evitar el lavado de activos, el financiamiento del terrorismo y cualquier otra conducta relacionada con la recepción de recursos ilícitos.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sz w:val="24"/>
          <w:szCs w:val="24"/>
        </w:rPr>
        <w:t>El Ministerio del Deporte</w:t>
      </w:r>
      <w:r>
        <w:rPr>
          <w:color w:val="000000"/>
          <w:sz w:val="24"/>
          <w:szCs w:val="24"/>
        </w:rPr>
        <w:t xml:space="preserve"> y la UIAF, de manera conjunta, establecerán los criterios y directrices para el cumplimiento de lo anterior.</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Sección 7</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De la estructura de los clubes deportivos profesionales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31</w:t>
      </w:r>
      <w:r>
        <w:rPr>
          <w:color w:val="000000"/>
          <w:sz w:val="24"/>
          <w:szCs w:val="24"/>
        </w:rPr>
        <w:t xml:space="preserve">. </w:t>
      </w:r>
      <w:r>
        <w:rPr>
          <w:b/>
          <w:color w:val="000000"/>
          <w:sz w:val="24"/>
          <w:szCs w:val="24"/>
        </w:rPr>
        <w:t>Estructura de los clubes deportivos profesionales.</w:t>
      </w:r>
      <w:r>
        <w:rPr>
          <w:color w:val="000000"/>
          <w:sz w:val="24"/>
          <w:szCs w:val="24"/>
        </w:rPr>
        <w:t xml:space="preserve"> La estructura de los clubes deportivos profesionales se determinará en sus estatutos, en atención a los principios de democratización y participación deportiva y tendrá como mínimo, los siguientes órganos: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1. Órgano de Dirección o Asamblea de Accionistas. Que estará integrado por el o los accionistas de la sociedad.</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2.Órgano de Administración o Junta Directiva, que será facultativo si el organismo deportivo se constituye como SASD;</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3. Órgano de Control, cuya provisión será obligatoria en los clubes profesionales de fútbol. Para el efecto, el órgano competente según los estatutos designará a un oficial de cumplimiento externo para lavado de activos y financiamiento del terrorismo y establecerá un esquema de auditoría anual. La existencia y el funcionamiento del Órgano de Control será reglamentado por el Gobierno Nacional, respecto de las demás </w:t>
      </w:r>
      <w:r>
        <w:rPr>
          <w:color w:val="000000"/>
          <w:sz w:val="24"/>
          <w:szCs w:val="24"/>
        </w:rPr>
        <w:lastRenderedPageBreak/>
        <w:t xml:space="preserve">disciplinas deportivas. </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br/>
        <w:t>Parágrafo primero. El Gobierno Nacional reglamentará los casos en los que se requiera contar con una comisión disciplinaria deportiva.</w:t>
      </w:r>
    </w:p>
    <w:p w:rsidR="00586E38" w:rsidRDefault="00586E38">
      <w:pPr>
        <w:pBdr>
          <w:top w:val="nil"/>
          <w:left w:val="nil"/>
          <w:bottom w:val="nil"/>
          <w:right w:val="nil"/>
          <w:between w:val="nil"/>
        </w:pBdr>
        <w:ind w:right="4"/>
        <w:rPr>
          <w:b/>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Sección 8</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Del órgano de dirección</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 Artículo 32. Definición. </w:t>
      </w:r>
      <w:r>
        <w:rPr>
          <w:color w:val="000000"/>
          <w:sz w:val="24"/>
          <w:szCs w:val="24"/>
        </w:rPr>
        <w:t xml:space="preserve">La asamblea de los clubes profesionales se sujetará a las reglas previstas en los artículos 419 al 433 del Código de Comercio respecto de las sociedades anónimas y en la Ley 1258 de 2008 en lo que a la SASD se refiere.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33. Funciones de la asamblea general de accionistas. </w:t>
      </w:r>
      <w:r>
        <w:rPr>
          <w:color w:val="000000"/>
          <w:sz w:val="24"/>
          <w:szCs w:val="24"/>
        </w:rPr>
        <w:t>Además de las previstas en las disposiciones a que alude el artículo 92 de esta ley, la asamblea ejercerá las siguientes funciones:</w:t>
      </w:r>
    </w:p>
    <w:p w:rsidR="00586E38" w:rsidRDefault="00586E38">
      <w:pPr>
        <w:pBdr>
          <w:top w:val="nil"/>
          <w:left w:val="nil"/>
          <w:bottom w:val="nil"/>
          <w:right w:val="nil"/>
          <w:between w:val="nil"/>
        </w:pBdr>
        <w:ind w:right="4"/>
        <w:jc w:val="both"/>
        <w:rPr>
          <w:color w:val="000000"/>
          <w:sz w:val="24"/>
          <w:szCs w:val="24"/>
        </w:rPr>
      </w:pPr>
    </w:p>
    <w:p w:rsidR="00586E38" w:rsidRDefault="00F93B54">
      <w:pPr>
        <w:widowControl/>
        <w:numPr>
          <w:ilvl w:val="0"/>
          <w:numId w:val="12"/>
        </w:numPr>
        <w:pBdr>
          <w:top w:val="nil"/>
          <w:left w:val="nil"/>
          <w:bottom w:val="nil"/>
          <w:right w:val="nil"/>
          <w:between w:val="nil"/>
        </w:pBdr>
        <w:ind w:left="0" w:right="4" w:firstLine="0"/>
        <w:jc w:val="both"/>
        <w:rPr>
          <w:color w:val="000000"/>
          <w:sz w:val="24"/>
          <w:szCs w:val="24"/>
        </w:rPr>
      </w:pPr>
      <w:r>
        <w:rPr>
          <w:color w:val="000000"/>
          <w:sz w:val="24"/>
          <w:szCs w:val="24"/>
        </w:rPr>
        <w:t>Expedir y aprobar un código de buen gobierno corporativo, en el cual se definan, entre otros aspectos, las relaciones de la administración con sus accionistas, el desarrollo de la actividad deportiva y las relaciones entre los deportistas y los entrenadores.</w:t>
      </w:r>
    </w:p>
    <w:p w:rsidR="00586E38" w:rsidRDefault="00F93B54">
      <w:pPr>
        <w:widowControl/>
        <w:numPr>
          <w:ilvl w:val="0"/>
          <w:numId w:val="12"/>
        </w:numPr>
        <w:pBdr>
          <w:top w:val="nil"/>
          <w:left w:val="nil"/>
          <w:bottom w:val="nil"/>
          <w:right w:val="nil"/>
          <w:between w:val="nil"/>
        </w:pBdr>
        <w:ind w:left="0" w:right="4" w:firstLine="0"/>
        <w:jc w:val="both"/>
        <w:rPr>
          <w:color w:val="000000"/>
          <w:sz w:val="24"/>
          <w:szCs w:val="24"/>
        </w:rPr>
      </w:pPr>
      <w:r>
        <w:rPr>
          <w:color w:val="000000"/>
          <w:sz w:val="24"/>
          <w:szCs w:val="24"/>
        </w:rPr>
        <w:t>Definir anualmente el calendario de actividades deportivas, así como el presupuesto requerido para tal fin, el cual habrá de incluir, cuando menos, controles y seguimientos y la determinación de metas e indicadores.</w:t>
      </w:r>
    </w:p>
    <w:p w:rsidR="00586E38" w:rsidRDefault="00F93B54">
      <w:pPr>
        <w:widowControl/>
        <w:numPr>
          <w:ilvl w:val="0"/>
          <w:numId w:val="12"/>
        </w:numPr>
        <w:pBdr>
          <w:top w:val="nil"/>
          <w:left w:val="nil"/>
          <w:bottom w:val="nil"/>
          <w:right w:val="nil"/>
          <w:between w:val="nil"/>
        </w:pBdr>
        <w:ind w:left="0" w:right="4" w:firstLine="0"/>
        <w:jc w:val="both"/>
        <w:rPr>
          <w:color w:val="000000"/>
          <w:sz w:val="24"/>
          <w:szCs w:val="24"/>
        </w:rPr>
      </w:pPr>
      <w:r>
        <w:rPr>
          <w:color w:val="000000"/>
          <w:sz w:val="24"/>
          <w:szCs w:val="24"/>
        </w:rPr>
        <w:t xml:space="preserve">Promover y elaborar un manual de buenas prácticas deportivas para beneficio del club profesional y de los deportistas individualmente considerados en el cual deberán incluirse las exigencias establecidas por la federación deportiva a la cual se encuentra afiliado, particularmente en los asuntos relacionados con antidopaje y apuestas ilegales </w:t>
      </w:r>
    </w:p>
    <w:p w:rsidR="00586E38" w:rsidRDefault="00F93B54">
      <w:pPr>
        <w:widowControl/>
        <w:numPr>
          <w:ilvl w:val="0"/>
          <w:numId w:val="12"/>
        </w:numPr>
        <w:pBdr>
          <w:top w:val="nil"/>
          <w:left w:val="nil"/>
          <w:bottom w:val="nil"/>
          <w:right w:val="nil"/>
          <w:between w:val="nil"/>
        </w:pBdr>
        <w:ind w:left="0" w:right="4" w:firstLine="0"/>
        <w:jc w:val="both"/>
        <w:rPr>
          <w:color w:val="000000"/>
          <w:sz w:val="24"/>
          <w:szCs w:val="24"/>
        </w:rPr>
      </w:pPr>
      <w:r>
        <w:rPr>
          <w:color w:val="000000"/>
          <w:sz w:val="24"/>
          <w:szCs w:val="24"/>
        </w:rPr>
        <w:t>Asegurar la implementación de códigos de ética deportiva mediante los cuales se promueva el juego limpio.</w:t>
      </w:r>
    </w:p>
    <w:p w:rsidR="00586E38" w:rsidRDefault="00586E38">
      <w:pPr>
        <w:pBdr>
          <w:top w:val="nil"/>
          <w:left w:val="nil"/>
          <w:bottom w:val="nil"/>
          <w:right w:val="nil"/>
          <w:between w:val="nil"/>
        </w:pBdr>
        <w:ind w:right="4"/>
        <w:jc w:val="both"/>
        <w:rPr>
          <w:color w:val="000000"/>
          <w:sz w:val="24"/>
          <w:szCs w:val="24"/>
        </w:rPr>
      </w:pPr>
      <w:bookmarkStart w:id="1" w:name="bookmark=id.gjdgxs" w:colFirst="0" w:colLast="0"/>
      <w:bookmarkEnd w:id="1"/>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34. Remisión. </w:t>
      </w:r>
      <w:r>
        <w:rPr>
          <w:color w:val="000000"/>
          <w:sz w:val="24"/>
          <w:szCs w:val="24"/>
        </w:rPr>
        <w:t>En asuntos tales como clases de asambleas, convocatoria, quórum, mayorías decisorias, representación de accionistas, reuniones de asamblea y junta directiva, elaboración de actas, impugnación de decisiones y derecho de fiscalización individual, se le dará aplicación a lo previsto en esta ley, en la Ley 1258 de 2008 y en el Libro II del Código de Comercio.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35. Organización de la Sociedad por Acciones Simplificada para Actividades Deportivas.</w:t>
      </w:r>
      <w:r>
        <w:rPr>
          <w:color w:val="000000"/>
          <w:sz w:val="24"/>
          <w:szCs w:val="24"/>
        </w:rPr>
        <w:t xml:space="preserve"> En los estatutos de la SASD se determinará libremente la estructura orgánica de la sociedad y demás normas que rijan su funcionamiento. A falta de estipulación estatutaria, se entenderá que todas las funciones previstas en el artículo 420 del Código de Comercio serán ejercidas por la asamblea o el accionista único y que las de administración estarán a cargo del representante legal.</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primero.</w:t>
      </w:r>
      <w:r>
        <w:rPr>
          <w:color w:val="000000"/>
          <w:sz w:val="24"/>
          <w:szCs w:val="24"/>
        </w:rPr>
        <w:t xml:space="preserve">  Durante el tiempo en que la sociedad cuente con un solo accionista, </w:t>
      </w:r>
      <w:r>
        <w:rPr>
          <w:color w:val="000000"/>
          <w:sz w:val="24"/>
          <w:szCs w:val="24"/>
        </w:rPr>
        <w:lastRenderedPageBreak/>
        <w:t>este podrá ejercer las atribuciones que la ley les confiere a los diversos órganos sociales, en cuanto sean compatibles, incluidas las del representante legal.</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segundo.</w:t>
      </w:r>
      <w:r>
        <w:rPr>
          <w:color w:val="000000"/>
          <w:sz w:val="24"/>
          <w:szCs w:val="24"/>
        </w:rPr>
        <w:t xml:space="preserve"> Cuando la sociedad tenga dos o más accionistas, la asamblea de accionistas podrá reunirse en el domicilio principal o fuera de él, aunque no esté presente un quórum universal, siempre y </w:t>
      </w:r>
      <w:r>
        <w:rPr>
          <w:sz w:val="24"/>
          <w:szCs w:val="24"/>
        </w:rPr>
        <w:t>cuando se</w:t>
      </w:r>
      <w:r>
        <w:rPr>
          <w:color w:val="000000"/>
          <w:sz w:val="24"/>
          <w:szCs w:val="24"/>
        </w:rPr>
        <w:t xml:space="preserve"> cumplan los requisitos de quórum y convocatoria previstos en las normas vigentes.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En la SASD unipersonal en la que una persona natural sea el único accionista y ocupe, así mismo, el cargo de representante legal de la sociedad no será obligatorio realizar reuniones ordinarias de la asamblea, ni preparar el informe de gestión conforme al artículo 45 de la Ley 222 de 1995. En todo caso, deberán preparar los estados financieros de fin de ejercicio y </w:t>
      </w:r>
      <w:r>
        <w:rPr>
          <w:sz w:val="24"/>
          <w:szCs w:val="24"/>
        </w:rPr>
        <w:t>llevar libros</w:t>
      </w:r>
      <w:r>
        <w:rPr>
          <w:color w:val="000000"/>
          <w:sz w:val="24"/>
          <w:szCs w:val="24"/>
        </w:rPr>
        <w:t xml:space="preserve"> de contabilidad conforme a lo previsto en las normas legales vigentes.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Salvo estipulación estatutaria en contrario, la asamblea será convocada por el representante legal de la SASD, mediante comunicación escrita dirigida a cada accionista con una antelación mínima de cinco días hábiles.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En el aviso de convocatoria se insertará el orden del día correspondiente a la reunión. Cuando hayan de aprobarse balances de fin de ejercicio u operaciones de transformación, fusión o escisión, el derecho de inspección de los accionistas podrá ser ejercido durante los cinco días hábiles anteriores a la reunión, a menos que en los estatutos se convenga un término superior.</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La primera convocatoria para una reunión de la asamblea de accionistas podrá incluir igualmente la fecha en que habrá de realizarse una reunión de segunda convocatoria en caso de no poderse llevar a cabo la primera reunión por falta de quórum. La segunda reunión no podrá ser fijada para una fecha anterior a los diez días hábiles siguientes a la primera reunión, ni posterior a los treinta días hábiles contados desde ese mismo momento.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36.</w:t>
      </w:r>
      <w:r>
        <w:rPr>
          <w:color w:val="000000"/>
          <w:sz w:val="24"/>
          <w:szCs w:val="24"/>
        </w:rPr>
        <w:t xml:space="preserve"> </w:t>
      </w:r>
      <w:r>
        <w:rPr>
          <w:b/>
          <w:color w:val="000000"/>
          <w:sz w:val="24"/>
          <w:szCs w:val="24"/>
        </w:rPr>
        <w:t>Quórum de la asamblea de accionistas de la SASD.</w:t>
      </w:r>
      <w:r>
        <w:rPr>
          <w:color w:val="000000"/>
          <w:sz w:val="24"/>
          <w:szCs w:val="24"/>
        </w:rPr>
        <w:t xml:space="preserve"> Salvo estipulación en contrario, la asamblea deliberará con uno o varios accionistas que representen cuando menos la mitad más una de las acciones suscritas.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Las determinaciones se adoptarán mediante el voto favorable de un número singular o plural de accionistas que represente cuando menos la mitad más una de las acciones presentes, salvo que en los estatutos se prevea una mayoría decisoria superior para algunas o todas las decisiones.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w:t>
      </w:r>
      <w:r>
        <w:rPr>
          <w:color w:val="000000"/>
          <w:sz w:val="24"/>
          <w:szCs w:val="24"/>
        </w:rPr>
        <w:t xml:space="preserve"> En las sociedades con accionista único las determinaciones que le correspondan a la asamblea serán adoptadas por aquel. En estos casos, el accionista dejará constancia de tales determinaciones en actas debidamente asentadas en el libro </w:t>
      </w:r>
      <w:r>
        <w:rPr>
          <w:color w:val="000000"/>
          <w:sz w:val="24"/>
          <w:szCs w:val="24"/>
        </w:rPr>
        <w:lastRenderedPageBreak/>
        <w:t>correspondiente de la sociedad.</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37. De los acuerdos de accionistas de la SASD. </w:t>
      </w:r>
      <w:r>
        <w:rPr>
          <w:color w:val="000000"/>
          <w:sz w:val="24"/>
          <w:szCs w:val="24"/>
        </w:rPr>
        <w:t>Los acuerdos de accionistas sobre la compra o venta de acciones, la preferencia para adquirirlas, las restricciones para transferirlas, el ejercicio del derecho de voto, la persona que habrá de representar las acciones en la asamblea y cualquier otro asunto lícito, deberán ser acatados por la compañía cuando hubieren sido depositados en las oficinas donde funcione la administración de la sociedad.</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Los accionistas suscriptores del acuerdo deberán indicar, en el momento de depositarlo, la persona que habrá de representarlos para recibir información o para </w:t>
      </w:r>
      <w:r>
        <w:rPr>
          <w:sz w:val="24"/>
          <w:szCs w:val="24"/>
        </w:rPr>
        <w:t>suministrar cuando</w:t>
      </w:r>
      <w:r>
        <w:rPr>
          <w:color w:val="000000"/>
          <w:sz w:val="24"/>
          <w:szCs w:val="24"/>
        </w:rPr>
        <w:t xml:space="preserve"> </w:t>
      </w:r>
      <w:r>
        <w:rPr>
          <w:sz w:val="24"/>
          <w:szCs w:val="24"/>
        </w:rPr>
        <w:t>ésta</w:t>
      </w:r>
      <w:r>
        <w:rPr>
          <w:color w:val="000000"/>
          <w:sz w:val="24"/>
          <w:szCs w:val="24"/>
        </w:rPr>
        <w:t xml:space="preserve"> fuere solicitada.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La compañía podrá requerir al representante legal, por escrito, aclaraciones sobre cualquiera de las cláusulas del acuerdo, en cuyo caso la respuesta deberá suministrarse, también por escrito, dentro de los cinco días comunes siguientes al recibo de la solicitud.</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primero.</w:t>
      </w:r>
      <w:r>
        <w:rPr>
          <w:color w:val="000000"/>
          <w:sz w:val="24"/>
          <w:szCs w:val="24"/>
        </w:rPr>
        <w:t xml:space="preserve"> El presidente de la asamblea o del órgano colegiado de deliberación de la compañía no computará el voto proferido en contravención a un acuerdo de accionistas debidamente depositado.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segundo.</w:t>
      </w:r>
      <w:r>
        <w:rPr>
          <w:color w:val="000000"/>
          <w:sz w:val="24"/>
          <w:szCs w:val="24"/>
        </w:rPr>
        <w:t xml:space="preserve"> Conforme a las condiciones previstas en el acuerdo, los accionistas podrán promover ante </w:t>
      </w:r>
      <w:r>
        <w:rPr>
          <w:sz w:val="24"/>
          <w:szCs w:val="24"/>
        </w:rPr>
        <w:t>el Ministerio del Deporte</w:t>
      </w:r>
      <w:r>
        <w:rPr>
          <w:color w:val="000000"/>
          <w:sz w:val="24"/>
          <w:szCs w:val="24"/>
        </w:rPr>
        <w:t>, mediante el trámite del proceso verbal, la ejecución específica de las obligaciones pactadas en los acuerdos.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Sección 9</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De los órganos de administración y representación legal</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38. Integrantes y Elección de la Junta Directiva. </w:t>
      </w:r>
      <w:r>
        <w:rPr>
          <w:color w:val="000000"/>
          <w:sz w:val="24"/>
          <w:szCs w:val="24"/>
        </w:rPr>
        <w:t>En caso de constituirse como SASD, la junta directiva será facultativa, según lo dispuesto en el artículo 25 de la Ley 1258 de 2008. Respecto de las sociedades anónimas se dará aplicación a lo dispuesto en el Código de Comercio. El Gobierno Nacional reglamentará los casos en los que se requiera contar con una comisión disciplinaria deportiva.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La asamblea de accionistas elegirá a los integrantes de la junta directiva y efectuará los nombramientos de los demás cargos establecidos en los estatutos. Entre ellos designará a un representante legal.</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39. Junta Directiva de la SASD. </w:t>
      </w:r>
      <w:r>
        <w:rPr>
          <w:color w:val="000000"/>
          <w:sz w:val="24"/>
          <w:szCs w:val="24"/>
        </w:rPr>
        <w:t>Si no se estipula la creación de una junta directiva en los estatutos de una SASD, la totalidad de las funciones de administración y representación legal le corresponderán al representante legal designado por la asamblea.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w:t>
      </w:r>
      <w:r>
        <w:rPr>
          <w:color w:val="000000"/>
          <w:sz w:val="24"/>
          <w:szCs w:val="24"/>
        </w:rPr>
        <w:t xml:space="preserve"> En caso de pactarse en los estatutos la creación de una junta directiva en la </w:t>
      </w:r>
      <w:r>
        <w:rPr>
          <w:color w:val="000000"/>
          <w:sz w:val="24"/>
          <w:szCs w:val="24"/>
        </w:rPr>
        <w:lastRenderedPageBreak/>
        <w:t>SASD, esta podrá integrarse con uno o varios miembros respecto de los cuales podrán establecerse suplencias. Los directores podrán ser designados mediante cociente electoral, votación mayoritaria o por cualquier otro método previsto en los estatutos. Las normas sobre su funcionamiento se determinarán libremente en los estatutos. A falta de previsión estatutaria, este órgano se regirá por lo previsto en las normas legales pertinentes.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b/>
          <w:color w:val="000000"/>
          <w:sz w:val="24"/>
          <w:szCs w:val="24"/>
        </w:rPr>
      </w:pPr>
      <w:r>
        <w:rPr>
          <w:b/>
          <w:color w:val="000000"/>
          <w:sz w:val="24"/>
          <w:szCs w:val="24"/>
        </w:rPr>
        <w:t xml:space="preserve">Artículo 40. Representante legal de la SASD. </w:t>
      </w:r>
      <w:r>
        <w:rPr>
          <w:color w:val="000000"/>
          <w:sz w:val="24"/>
          <w:szCs w:val="24"/>
        </w:rPr>
        <w:t>La representación legal de la SASD estará a cargo de una persona natural o jurídica, designada en la forma prevista en los estatutos. A falta de estipulaciones, se entenderá que el representante legal podrá celebrar o ejecutar todos los actos y contratos comprendidos en el objeto social o que se relacionen directamente con la existencia y el funcionamiento de la sociedad. A falta de previsión estatutaria frente a la designación del representante legal, su elección le corresponderá a la asamblea o accionista único.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41. Inhabilidades. </w:t>
      </w:r>
      <w:r>
        <w:rPr>
          <w:color w:val="000000"/>
          <w:sz w:val="24"/>
          <w:szCs w:val="24"/>
        </w:rPr>
        <w:t>No podrán ser integrantes de la junta directiva:</w:t>
      </w:r>
    </w:p>
    <w:p w:rsidR="00586E38" w:rsidRDefault="00F93B54">
      <w:pPr>
        <w:widowControl/>
        <w:numPr>
          <w:ilvl w:val="0"/>
          <w:numId w:val="13"/>
        </w:numPr>
        <w:pBdr>
          <w:top w:val="nil"/>
          <w:left w:val="nil"/>
          <w:bottom w:val="nil"/>
          <w:right w:val="nil"/>
          <w:between w:val="nil"/>
        </w:pBdr>
        <w:ind w:left="0" w:right="4" w:firstLine="0"/>
        <w:jc w:val="both"/>
        <w:rPr>
          <w:color w:val="000000"/>
          <w:sz w:val="24"/>
          <w:szCs w:val="24"/>
        </w:rPr>
      </w:pPr>
      <w:r>
        <w:rPr>
          <w:color w:val="000000"/>
          <w:sz w:val="24"/>
          <w:szCs w:val="24"/>
        </w:rPr>
        <w:t>Quienes ejerzan cargo por elección o designación en otro organismo deportivo.</w:t>
      </w:r>
    </w:p>
    <w:p w:rsidR="00586E38" w:rsidRDefault="00F93B54">
      <w:pPr>
        <w:widowControl/>
        <w:numPr>
          <w:ilvl w:val="0"/>
          <w:numId w:val="13"/>
        </w:numPr>
        <w:pBdr>
          <w:top w:val="nil"/>
          <w:left w:val="nil"/>
          <w:bottom w:val="nil"/>
          <w:right w:val="nil"/>
          <w:between w:val="nil"/>
        </w:pBdr>
        <w:ind w:left="0" w:right="4" w:firstLine="0"/>
        <w:jc w:val="both"/>
        <w:rPr>
          <w:color w:val="000000"/>
          <w:sz w:val="24"/>
          <w:szCs w:val="24"/>
        </w:rPr>
      </w:pPr>
      <w:r>
        <w:rPr>
          <w:color w:val="000000"/>
          <w:sz w:val="24"/>
          <w:szCs w:val="24"/>
        </w:rPr>
        <w:t>Quienes tengan relación comercial con el organismo deportivo.</w:t>
      </w:r>
    </w:p>
    <w:p w:rsidR="00586E38" w:rsidRDefault="00F93B54">
      <w:pPr>
        <w:widowControl/>
        <w:numPr>
          <w:ilvl w:val="0"/>
          <w:numId w:val="14"/>
        </w:numPr>
        <w:pBdr>
          <w:top w:val="nil"/>
          <w:left w:val="nil"/>
          <w:bottom w:val="nil"/>
          <w:right w:val="nil"/>
          <w:between w:val="nil"/>
        </w:pBdr>
        <w:ind w:left="0" w:right="4" w:firstLine="0"/>
        <w:jc w:val="both"/>
        <w:rPr>
          <w:color w:val="000000"/>
          <w:sz w:val="24"/>
          <w:szCs w:val="24"/>
        </w:rPr>
      </w:pPr>
      <w:r>
        <w:rPr>
          <w:color w:val="000000"/>
          <w:sz w:val="24"/>
          <w:szCs w:val="24"/>
        </w:rPr>
        <w:t xml:space="preserve">Quienes hubieren sido sancionados en virtud de una actuación administrativa impuesta por </w:t>
      </w:r>
      <w:r>
        <w:rPr>
          <w:sz w:val="24"/>
          <w:szCs w:val="24"/>
        </w:rPr>
        <w:t>el Ministerio del Deporte</w:t>
      </w:r>
      <w:r>
        <w:rPr>
          <w:color w:val="000000"/>
          <w:sz w:val="24"/>
          <w:szCs w:val="24"/>
        </w:rPr>
        <w:t>, en ejercicio de las facultades de supervisión durante el tiempo que se encontrare vigente la sanción;</w:t>
      </w:r>
    </w:p>
    <w:p w:rsidR="00586E38" w:rsidRDefault="00F93B54">
      <w:pPr>
        <w:widowControl/>
        <w:numPr>
          <w:ilvl w:val="0"/>
          <w:numId w:val="14"/>
        </w:numPr>
        <w:pBdr>
          <w:top w:val="nil"/>
          <w:left w:val="nil"/>
          <w:bottom w:val="nil"/>
          <w:right w:val="nil"/>
          <w:between w:val="nil"/>
        </w:pBdr>
        <w:ind w:left="0" w:right="4" w:firstLine="0"/>
        <w:jc w:val="both"/>
        <w:rPr>
          <w:color w:val="000000"/>
          <w:sz w:val="24"/>
          <w:szCs w:val="24"/>
        </w:rPr>
      </w:pPr>
      <w:r>
        <w:rPr>
          <w:color w:val="000000"/>
          <w:sz w:val="24"/>
          <w:szCs w:val="24"/>
        </w:rPr>
        <w:t>Quienes sean objeto de interdicción judicial.</w:t>
      </w:r>
    </w:p>
    <w:p w:rsidR="00586E38" w:rsidRDefault="00F93B54">
      <w:pPr>
        <w:widowControl/>
        <w:numPr>
          <w:ilvl w:val="0"/>
          <w:numId w:val="14"/>
        </w:numPr>
        <w:pBdr>
          <w:top w:val="nil"/>
          <w:left w:val="nil"/>
          <w:bottom w:val="nil"/>
          <w:right w:val="nil"/>
          <w:between w:val="nil"/>
        </w:pBdr>
        <w:ind w:left="0" w:right="4" w:firstLine="0"/>
        <w:jc w:val="both"/>
        <w:rPr>
          <w:color w:val="000000"/>
          <w:sz w:val="24"/>
          <w:szCs w:val="24"/>
        </w:rPr>
      </w:pPr>
      <w:r>
        <w:rPr>
          <w:color w:val="000000"/>
          <w:sz w:val="24"/>
          <w:szCs w:val="24"/>
        </w:rPr>
        <w:t xml:space="preserve">Quienes se encuentren vinculados laboral o contractualmente con entes deportivos, departamentales, del Distrito Capital, municipales, con el Comité Olímpico colombiano, el Comité paraolímpico colombiano y con </w:t>
      </w:r>
      <w:r>
        <w:rPr>
          <w:sz w:val="24"/>
          <w:szCs w:val="24"/>
        </w:rPr>
        <w:t>el Ministerio del Deporte</w:t>
      </w:r>
      <w:r>
        <w:rPr>
          <w:color w:val="000000"/>
          <w:sz w:val="24"/>
          <w:szCs w:val="24"/>
        </w:rPr>
        <w:t>.</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Sección 10</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Del órgano de control</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42. Integrantes. </w:t>
      </w:r>
      <w:r>
        <w:rPr>
          <w:color w:val="000000"/>
          <w:sz w:val="24"/>
          <w:szCs w:val="24"/>
        </w:rPr>
        <w:t>Los clubes profesionales de fútbol tendrán un órgano de</w:t>
      </w:r>
      <w:r>
        <w:rPr>
          <w:b/>
          <w:color w:val="000000"/>
          <w:sz w:val="24"/>
          <w:szCs w:val="24"/>
        </w:rPr>
        <w:t xml:space="preserve"> </w:t>
      </w:r>
      <w:r>
        <w:rPr>
          <w:color w:val="000000"/>
          <w:sz w:val="24"/>
          <w:szCs w:val="24"/>
        </w:rPr>
        <w:t xml:space="preserve">control, a través de un oficial de cumplimiento externo cuya función principal será la de garantizar la sujeción del club a las disposiciones de lavado de activos y financiamiento del terrorismo, así como aquellas relativas al soborno internacional y a la puesta en marcha de la Ley 1776 de 2016. El oficial será elegido por la asamblea general de accionistas en la misma reunión que se elige a los integrantes del órgano de administración o en cualquier momento que fuere necesario su reemplazo.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En los clubes deportivos profesionales cuyo objeto social consista en el desarrollo de actividades propias de otras disciplinas deportivas, la existencia, si se requiere, y el funcionamiento del órgano de control, serán reglamentados por el Gobierno Nacional dentro de los seis meses siguientes a la vigencia de esta ley.</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Sección 11</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Otras disposiciones aplicables a la SASD</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43. Obligaciones del representante legal.</w:t>
      </w:r>
      <w:r>
        <w:rPr>
          <w:color w:val="000000"/>
          <w:sz w:val="24"/>
          <w:szCs w:val="24"/>
        </w:rPr>
        <w:t xml:space="preserve"> Tanto los estados financieros de propósito general o especial, como los informes de gestión y demás cuentas sociales deberán ser presentadas por el representante legal a consideración de la asamblea de accionistas para su aprobación.</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w:t>
      </w:r>
      <w:r>
        <w:rPr>
          <w:color w:val="000000"/>
          <w:sz w:val="24"/>
          <w:szCs w:val="24"/>
        </w:rPr>
        <w:t>. Cuando se trate de SASD con único accionista, este aprobará todas las cuentas sociales y dejará constancia de tal aprobación en actas debidamente asentadas en el libro correspondiente de la sociedad.</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44. Exclusión de prohibiciones. </w:t>
      </w:r>
      <w:r>
        <w:rPr>
          <w:color w:val="000000"/>
          <w:sz w:val="24"/>
          <w:szCs w:val="24"/>
        </w:rPr>
        <w:t xml:space="preserve"> Las prohibiciones contenidas en los artículos 155, 185, 404, 435 y 454 del Código de Comercio no se les aplicarán a las Sociedades por Acciones Simplificadas Deportivas, a menos que en los estatutos se disponga lo contrario.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45. Causales de exclusión.</w:t>
      </w:r>
      <w:r>
        <w:rPr>
          <w:color w:val="000000"/>
          <w:sz w:val="24"/>
          <w:szCs w:val="24"/>
        </w:rPr>
        <w:t xml:space="preserve"> Los estatutos podrán prever causales de exclusión de accionistas, en cuyo caso deberá cumplirse el procedimiento de reembolso previsto en los artículos 14 a 16 de la Ley 222 de 1995.</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Si el reembolso implicare una reducción de capital deberá dársele cumplimiento, además, a lo previsto en el artículo 145 del Código de Comercio.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w:t>
      </w:r>
      <w:r>
        <w:rPr>
          <w:color w:val="000000"/>
          <w:sz w:val="24"/>
          <w:szCs w:val="24"/>
        </w:rPr>
        <w:t xml:space="preserve"> Salvo que se establezca un procedimiento diferente en los estatutos, la exclusión de accionistas requerirá aprobación de la asamblea, impartida con el voto favorable de uno o varios accionistas que representen cuando menos la mitad más una de las acciones presentes en la respectiva reunión, sin contar el voto del accionista o accionistas que fueren objeto de esta medida.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46. Resolución de conflictos. </w:t>
      </w:r>
      <w:r>
        <w:rPr>
          <w:color w:val="000000"/>
          <w:sz w:val="24"/>
          <w:szCs w:val="24"/>
        </w:rPr>
        <w:t xml:space="preserve">Las diferencias que ocurran entre accionistas, o con la sociedad o sus administradores, en desarrollo del contrato social o del acto unilateral, incluida la impugnación de determinaciones de asamblea o junta directiva con fundamento en cualquiera de las causas legales, podrán someterse a decisión arbitral o de amigables componedores, si así se pacta en los estatutos. Si no se pacta arbitramento o amigable composición, se entenderá que todos los conflictos antes mencionados serán resueltos por </w:t>
      </w:r>
      <w:r>
        <w:rPr>
          <w:sz w:val="24"/>
          <w:szCs w:val="24"/>
        </w:rPr>
        <w:t>el Ministerio del Deporte</w:t>
      </w:r>
      <w:r>
        <w:rPr>
          <w:color w:val="000000"/>
          <w:sz w:val="24"/>
          <w:szCs w:val="24"/>
        </w:rPr>
        <w:t>, mediante el trámite del proceso verbal sumario. Esta entidad ejercerá funciones jurisdiccionales para estos efectos, de conformidad con lo dispuesto en el artículo 135.</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47.</w:t>
      </w:r>
      <w:r>
        <w:rPr>
          <w:color w:val="000000"/>
          <w:sz w:val="24"/>
          <w:szCs w:val="24"/>
        </w:rPr>
        <w:t xml:space="preserve"> </w:t>
      </w:r>
      <w:r>
        <w:rPr>
          <w:b/>
          <w:color w:val="000000"/>
          <w:sz w:val="24"/>
          <w:szCs w:val="24"/>
        </w:rPr>
        <w:t>Modificación de los estatutos.</w:t>
      </w:r>
      <w:r>
        <w:rPr>
          <w:color w:val="000000"/>
          <w:sz w:val="24"/>
          <w:szCs w:val="24"/>
        </w:rPr>
        <w:t xml:space="preserve"> Las cláusulas consagradas en los estatutos conforme a lo previsto en los artículos 20, 21, 44 y 45 de esta ley sólo podrán ser incluidas o modificadas mediante la determinación de los titulares del ciento por ciento de las acciones suscritas.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48.</w:t>
      </w:r>
      <w:r>
        <w:rPr>
          <w:color w:val="000000"/>
          <w:sz w:val="24"/>
          <w:szCs w:val="24"/>
        </w:rPr>
        <w:t xml:space="preserve"> </w:t>
      </w:r>
      <w:r>
        <w:rPr>
          <w:b/>
          <w:color w:val="000000"/>
          <w:sz w:val="24"/>
          <w:szCs w:val="24"/>
        </w:rPr>
        <w:t>De la responsabilidad solidaria.</w:t>
      </w:r>
      <w:r>
        <w:rPr>
          <w:color w:val="000000"/>
          <w:sz w:val="24"/>
          <w:szCs w:val="24"/>
        </w:rPr>
        <w:t xml:space="preserve"> Cuando se utilice la SASD en fraude a la </w:t>
      </w:r>
      <w:r>
        <w:rPr>
          <w:color w:val="000000"/>
          <w:sz w:val="24"/>
          <w:szCs w:val="24"/>
        </w:rPr>
        <w:lastRenderedPageBreak/>
        <w:t xml:space="preserve">ley o en perjuicio de terceros, los accionistas y los administradores que hubieren realizado, participado o facilitado los actos defraudatorios, responderán solidariamente por las obligaciones nacidas de tales actos y por los perjuicios causados. La declaratoria de nulidad de los actos defraudatorios se adelantará ante </w:t>
      </w:r>
      <w:r>
        <w:rPr>
          <w:sz w:val="24"/>
          <w:szCs w:val="24"/>
        </w:rPr>
        <w:t xml:space="preserve">el Ministerio del Deporte </w:t>
      </w:r>
      <w:r>
        <w:rPr>
          <w:color w:val="000000"/>
          <w:sz w:val="24"/>
          <w:szCs w:val="24"/>
        </w:rPr>
        <w:t>mediante el procedimiento verbal sumario. La acción indemnizatoria a que haya lugar por los posibles perjuicios que se deriven de los actos defraudatorios será de competencia, a prevención, d</w:t>
      </w:r>
      <w:r>
        <w:rPr>
          <w:sz w:val="24"/>
          <w:szCs w:val="24"/>
        </w:rPr>
        <w:t xml:space="preserve">el Ministerio del Deporte </w:t>
      </w:r>
      <w:r>
        <w:rPr>
          <w:color w:val="000000"/>
          <w:sz w:val="24"/>
          <w:szCs w:val="24"/>
        </w:rPr>
        <w:t xml:space="preserve">o de los jueces civiles del circuito especializados, y a falta de </w:t>
      </w:r>
      <w:r>
        <w:rPr>
          <w:sz w:val="24"/>
          <w:szCs w:val="24"/>
        </w:rPr>
        <w:t>éstos</w:t>
      </w:r>
      <w:r>
        <w:rPr>
          <w:color w:val="000000"/>
          <w:sz w:val="24"/>
          <w:szCs w:val="24"/>
        </w:rPr>
        <w:t>, por los civiles del circuito del domicilio del demandante, mediante el trámite del proceso verbal sumario. Esta entidad ejercerá funciones jurisdiccionales para estos efectos.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49.</w:t>
      </w:r>
      <w:r>
        <w:rPr>
          <w:color w:val="000000"/>
          <w:sz w:val="24"/>
          <w:szCs w:val="24"/>
        </w:rPr>
        <w:t xml:space="preserve"> </w:t>
      </w:r>
      <w:r>
        <w:rPr>
          <w:b/>
          <w:color w:val="000000"/>
          <w:sz w:val="24"/>
          <w:szCs w:val="24"/>
        </w:rPr>
        <w:t>Derechos de los accionistas.</w:t>
      </w:r>
      <w:r>
        <w:rPr>
          <w:color w:val="000000"/>
          <w:sz w:val="24"/>
          <w:szCs w:val="24"/>
        </w:rPr>
        <w:t xml:space="preserve">  Los accionistas deberán ejercer el derecho de voto en el interés de la compañía. Se considerará abusivo el voto ejercido con el propósito de causar daño a la compañía o a otros accionistas o de obtener para sí o para una tercera ventaja injustificada, así como aquel voto del que pueda resultar un perjuicio para la compañía o para los otros accionistas. Quien abuse de sus derechos de accionista en las determinaciones adoptadas en la asamblea, responderá por los daños que ocasione, sin perjuicio de que </w:t>
      </w:r>
      <w:r>
        <w:rPr>
          <w:sz w:val="24"/>
          <w:szCs w:val="24"/>
        </w:rPr>
        <w:t xml:space="preserve">el Ministerio del Deporte </w:t>
      </w:r>
      <w:r>
        <w:rPr>
          <w:color w:val="000000"/>
          <w:sz w:val="24"/>
          <w:szCs w:val="24"/>
        </w:rPr>
        <w:t xml:space="preserve">pueda declarar la nulidad absoluta de la determinación adoptada, por la ilicitud del objeto. La acción de nulidad absoluta y la de indemnización de perjuicios de la determinación respectiva podrán ejercerse tanto en los casos de abuso de mayoría, como en los de minoría y de paridad. El trámite correspondiente se adelantará </w:t>
      </w:r>
      <w:r>
        <w:rPr>
          <w:sz w:val="24"/>
          <w:szCs w:val="24"/>
        </w:rPr>
        <w:t xml:space="preserve">ante el Ministerio del Deporte </w:t>
      </w:r>
      <w:r>
        <w:rPr>
          <w:color w:val="000000"/>
          <w:sz w:val="24"/>
          <w:szCs w:val="24"/>
        </w:rPr>
        <w:t>mediante el proceso verbal sumario. Esta entidad ejercerá funciones jurisdiccionales para estos efectos.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50. Funciones jurisdiccionales.</w:t>
      </w:r>
      <w:r>
        <w:rPr>
          <w:color w:val="000000"/>
          <w:sz w:val="24"/>
          <w:szCs w:val="24"/>
        </w:rPr>
        <w:t xml:space="preserve"> Las funciones jurisdiccionales a que se hace referencia en la presente ley serán ejercidas por </w:t>
      </w:r>
      <w:r>
        <w:rPr>
          <w:sz w:val="24"/>
          <w:szCs w:val="24"/>
        </w:rPr>
        <w:t>el Ministerio del Deporte</w:t>
      </w:r>
      <w:r>
        <w:rPr>
          <w:color w:val="000000"/>
          <w:sz w:val="24"/>
          <w:szCs w:val="24"/>
        </w:rPr>
        <w:t xml:space="preserve">, con fundamento en lo previsto en el artículo 116 de la Constitución Política. </w:t>
      </w:r>
      <w:r>
        <w:rPr>
          <w:sz w:val="24"/>
          <w:szCs w:val="24"/>
        </w:rPr>
        <w:t xml:space="preserve">El Ministerio del Deporte </w:t>
      </w:r>
      <w:r>
        <w:rPr>
          <w:color w:val="000000"/>
          <w:sz w:val="24"/>
          <w:szCs w:val="24"/>
        </w:rPr>
        <w:t xml:space="preserve">estará facultado para dirimir cualquier tipo de conflicto sin que, necesariamente, se trate de </w:t>
      </w:r>
      <w:r>
        <w:rPr>
          <w:sz w:val="24"/>
          <w:szCs w:val="24"/>
        </w:rPr>
        <w:t>un conflicto</w:t>
      </w:r>
      <w:r>
        <w:rPr>
          <w:color w:val="000000"/>
          <w:sz w:val="24"/>
          <w:szCs w:val="24"/>
        </w:rPr>
        <w:t xml:space="preserve"> societario. </w:t>
      </w:r>
    </w:p>
    <w:p w:rsidR="00586E38" w:rsidRDefault="00586E38">
      <w:pPr>
        <w:pBdr>
          <w:top w:val="nil"/>
          <w:left w:val="nil"/>
          <w:bottom w:val="nil"/>
          <w:right w:val="nil"/>
          <w:between w:val="nil"/>
        </w:pBdr>
        <w:ind w:right="4"/>
        <w:jc w:val="both"/>
        <w:rPr>
          <w:b/>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primero</w:t>
      </w:r>
      <w:r>
        <w:rPr>
          <w:color w:val="000000"/>
          <w:sz w:val="24"/>
          <w:szCs w:val="24"/>
        </w:rPr>
        <w:t xml:space="preserve">. </w:t>
      </w:r>
      <w:r>
        <w:rPr>
          <w:sz w:val="24"/>
          <w:szCs w:val="24"/>
        </w:rPr>
        <w:t xml:space="preserve">El Ministerio del Deporte </w:t>
      </w:r>
      <w:r>
        <w:rPr>
          <w:color w:val="000000"/>
          <w:sz w:val="24"/>
          <w:szCs w:val="24"/>
        </w:rPr>
        <w:t>podrá organizar un Centro de Arbitraje para la solución de conflictos que surjan entre los socios o entre éstos y la sociedad con ocasión del desarrollo o cumplimiento del contrato social. A través de este centro, los particulares actuarán como árbitros en la solución de tales conflictos. Dicho centro deberá contar con un reglamento que contendrá las prescripciones de ley y el cual deberá someterse a la aprobación del Ministerio de Justicia y del Derecho.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51. Remisión normativa.</w:t>
      </w:r>
      <w:r>
        <w:rPr>
          <w:color w:val="000000"/>
          <w:sz w:val="24"/>
          <w:szCs w:val="24"/>
        </w:rPr>
        <w:t xml:space="preserve"> En lo no previsto en la presente ley, la SASD se regirá por las disposiciones contenidas en los estatutos sociales, por las normas legales que rigen la Sociedad por Acciones Simplificada para Actividades Deportivas, por las normas propias de las sociedades anónimas y, en su defecto, en cuanto no resulten contradictorias, por las disposiciones generales que rigen a las sociedades previstas en el Código de Comercio. Así mismo, la SASD estará sujeta a la inspección, vigilancia y </w:t>
      </w:r>
      <w:r>
        <w:rPr>
          <w:color w:val="000000"/>
          <w:sz w:val="24"/>
          <w:szCs w:val="24"/>
        </w:rPr>
        <w:lastRenderedPageBreak/>
        <w:t xml:space="preserve">control de la Superintendencia de Sociedades, respecto a los asuntos societarios y por </w:t>
      </w:r>
      <w:r>
        <w:rPr>
          <w:sz w:val="24"/>
          <w:szCs w:val="24"/>
        </w:rPr>
        <w:t xml:space="preserve">el Ministerio del Deporte </w:t>
      </w:r>
      <w:r>
        <w:rPr>
          <w:color w:val="000000"/>
          <w:sz w:val="24"/>
          <w:szCs w:val="24"/>
        </w:rPr>
        <w:t>frente a los aspectos a la actividad deportiva organizada según las normas legales pertinentes.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w:t>
      </w:r>
      <w:r>
        <w:rPr>
          <w:color w:val="000000"/>
          <w:sz w:val="24"/>
          <w:szCs w:val="24"/>
        </w:rPr>
        <w:t xml:space="preserve"> Los instrumentos de protección previstos en la Ley 986 de 2005, se aplicarán igualmente a favor del titular de una sociedad por acciones simplificada compuesta por una sola persona.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b/>
          <w:color w:val="000000"/>
          <w:sz w:val="24"/>
          <w:szCs w:val="24"/>
        </w:rPr>
      </w:pPr>
      <w:r>
        <w:rPr>
          <w:b/>
          <w:color w:val="000000"/>
          <w:sz w:val="24"/>
          <w:szCs w:val="24"/>
        </w:rPr>
        <w:t xml:space="preserve">Artículo 52. Enervamiento de causales de disolución. </w:t>
      </w:r>
      <w:r>
        <w:rPr>
          <w:color w:val="000000"/>
          <w:sz w:val="24"/>
          <w:szCs w:val="24"/>
        </w:rPr>
        <w:t xml:space="preserve">Podrá evitarse la disolución del club profesional organizado como sociedad anónima o SASD, por pérdidas que reduzcan su patrimonio neto por debajo del cincuenta por ciento del capital suscrito, siempre que el enervamiento de la causal ocurra durante treinta y seis meses siguientes a la fecha en que la asamblea reconozca su acaecimiento. </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 </w:t>
      </w: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53. Inspección, vigilancia y control. </w:t>
      </w:r>
      <w:r>
        <w:rPr>
          <w:color w:val="000000"/>
          <w:sz w:val="24"/>
          <w:szCs w:val="24"/>
        </w:rPr>
        <w:t>Sin perjuicio de las facultades que le corresponden a</w:t>
      </w:r>
      <w:r>
        <w:rPr>
          <w:sz w:val="24"/>
          <w:szCs w:val="24"/>
        </w:rPr>
        <w:t>l Ministerio del Deporte</w:t>
      </w:r>
      <w:r>
        <w:rPr>
          <w:color w:val="000000"/>
          <w:sz w:val="24"/>
          <w:szCs w:val="24"/>
        </w:rPr>
        <w:t>, la inspección, vigilancia y control de los clubes deportivos profesionales estará a cargo de la Superintendencia de Sociedades.</w:t>
      </w:r>
    </w:p>
    <w:p w:rsidR="00586E38" w:rsidRDefault="00586E38">
      <w:pPr>
        <w:pBdr>
          <w:top w:val="nil"/>
          <w:left w:val="nil"/>
          <w:bottom w:val="nil"/>
          <w:right w:val="nil"/>
          <w:between w:val="nil"/>
        </w:pBdr>
        <w:spacing w:before="94"/>
        <w:ind w:right="4" w:firstLine="1675"/>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Capítulo III</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Sociedad por Acciones Simplificada del Archipiélago de San Andrés y Providencia</w:t>
      </w:r>
    </w:p>
    <w:p w:rsidR="00586E38" w:rsidRDefault="00586E38">
      <w:pPr>
        <w:pBdr>
          <w:top w:val="nil"/>
          <w:left w:val="nil"/>
          <w:bottom w:val="nil"/>
          <w:right w:val="nil"/>
          <w:between w:val="nil"/>
        </w:pBdr>
        <w:ind w:right="4"/>
        <w:jc w:val="center"/>
        <w:rPr>
          <w:b/>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54. </w:t>
      </w:r>
      <w:r>
        <w:rPr>
          <w:color w:val="000000"/>
          <w:sz w:val="24"/>
          <w:szCs w:val="24"/>
        </w:rPr>
        <w:t xml:space="preserve">Créase la Sociedad por Acciones Simplificada del Archipiélago de San Andrés y Providencia, cuyo régimen legal </w:t>
      </w:r>
      <w:r>
        <w:rPr>
          <w:sz w:val="24"/>
          <w:szCs w:val="24"/>
        </w:rPr>
        <w:t>será</w:t>
      </w:r>
      <w:r>
        <w:rPr>
          <w:color w:val="000000"/>
          <w:sz w:val="24"/>
          <w:szCs w:val="24"/>
        </w:rPr>
        <w:t xml:space="preserve"> el previsto en la Ley 1258 de 2008 y las normas que la complementen o adicionen.</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55. </w:t>
      </w:r>
      <w:r>
        <w:rPr>
          <w:color w:val="000000"/>
          <w:sz w:val="24"/>
          <w:szCs w:val="24"/>
        </w:rPr>
        <w:t>La Sociedad por Acciones Simplificada del Archipiélago de San Andrés y Providencia estará domiciliada en el mencionado archipiélago, pero podrá operar también en todo el territorio nacional o en el exterior.</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Las reuniones de los órganos sociales podrán llevarse a cabo tanto en el archipiélago como en cualquier lugar del territorio nacional o del exterior, con sujeción a las normas de quórum y mayorías previstas en la Ley 1258 de 2008.</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56.</w:t>
      </w:r>
      <w:r>
        <w:rPr>
          <w:color w:val="000000"/>
          <w:sz w:val="24"/>
          <w:szCs w:val="24"/>
        </w:rPr>
        <w:t xml:space="preserve"> El representante legal de la Sociedad por Acciones Simplificada del Archipiélago de San Andrés y Providencia podrá actuar bien en el territorio del archipiélago como fuera de él.</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57. </w:t>
      </w:r>
      <w:r>
        <w:rPr>
          <w:color w:val="000000"/>
          <w:sz w:val="24"/>
          <w:szCs w:val="24"/>
        </w:rPr>
        <w:t>El Gobierno Nacional dentro de los doce meses siguientes a la vigencia de la presente ley deberá establecer incentivos para la Sociedad por Acciones Simplificada del Archipiélago de San Andrés y Providencia, tales como la concesión de créditos a tasas subsidiadas, exenciones en el pago de tasas y contribuciones y la reducción de los costos de registro mercantil.</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58. </w:t>
      </w:r>
      <w:r>
        <w:rPr>
          <w:color w:val="000000"/>
          <w:sz w:val="24"/>
          <w:szCs w:val="24"/>
        </w:rPr>
        <w:t xml:space="preserve">La Sociedad por Acciones Simplificada del Archipiélago de San Andrés y </w:t>
      </w:r>
      <w:r>
        <w:rPr>
          <w:color w:val="000000"/>
          <w:sz w:val="24"/>
          <w:szCs w:val="24"/>
        </w:rPr>
        <w:lastRenderedPageBreak/>
        <w:t>Providencia gozará de los incentivos tributarios que sean definidos por medio de ley.</w:t>
      </w:r>
    </w:p>
    <w:p w:rsidR="00586E38" w:rsidRDefault="00586E38">
      <w:pPr>
        <w:pBdr>
          <w:top w:val="nil"/>
          <w:left w:val="nil"/>
          <w:bottom w:val="nil"/>
          <w:right w:val="nil"/>
          <w:between w:val="nil"/>
        </w:pBdr>
        <w:ind w:right="4"/>
        <w:jc w:val="both"/>
        <w:rPr>
          <w:color w:val="000000"/>
          <w:sz w:val="24"/>
          <w:szCs w:val="24"/>
        </w:rPr>
      </w:pPr>
    </w:p>
    <w:p w:rsidR="00586E38" w:rsidRDefault="00586E38">
      <w:pPr>
        <w:pBdr>
          <w:top w:val="nil"/>
          <w:left w:val="nil"/>
          <w:bottom w:val="nil"/>
          <w:right w:val="nil"/>
          <w:between w:val="nil"/>
        </w:pBdr>
        <w:spacing w:before="94"/>
        <w:ind w:right="4" w:firstLine="1675"/>
        <w:rPr>
          <w:color w:val="000000"/>
          <w:sz w:val="24"/>
          <w:szCs w:val="24"/>
        </w:rPr>
      </w:pPr>
    </w:p>
    <w:p w:rsidR="00586E38" w:rsidRDefault="00F93B54">
      <w:pPr>
        <w:pBdr>
          <w:top w:val="nil"/>
          <w:left w:val="nil"/>
          <w:bottom w:val="nil"/>
          <w:right w:val="nil"/>
          <w:between w:val="nil"/>
        </w:pBdr>
        <w:spacing w:before="94"/>
        <w:ind w:right="4"/>
        <w:jc w:val="center"/>
        <w:rPr>
          <w:b/>
          <w:color w:val="000000"/>
          <w:sz w:val="24"/>
          <w:szCs w:val="24"/>
        </w:rPr>
      </w:pPr>
      <w:r>
        <w:rPr>
          <w:b/>
          <w:color w:val="000000"/>
          <w:sz w:val="24"/>
          <w:szCs w:val="24"/>
        </w:rPr>
        <w:t>TÍTULO III</w:t>
      </w:r>
    </w:p>
    <w:p w:rsidR="00586E38" w:rsidRDefault="00F93B54">
      <w:pPr>
        <w:pBdr>
          <w:top w:val="nil"/>
          <w:left w:val="nil"/>
          <w:bottom w:val="nil"/>
          <w:right w:val="nil"/>
          <w:between w:val="nil"/>
        </w:pBdr>
        <w:spacing w:before="94"/>
        <w:ind w:right="4"/>
        <w:jc w:val="center"/>
        <w:rPr>
          <w:color w:val="000000"/>
          <w:sz w:val="24"/>
          <w:szCs w:val="24"/>
        </w:rPr>
      </w:pPr>
      <w:r>
        <w:rPr>
          <w:color w:val="000000"/>
          <w:sz w:val="24"/>
          <w:szCs w:val="24"/>
        </w:rPr>
        <w:t>Régimen de los administradores de las sociedades</w:t>
      </w:r>
    </w:p>
    <w:p w:rsidR="00586E38" w:rsidRDefault="00586E38">
      <w:pPr>
        <w:pBdr>
          <w:top w:val="nil"/>
          <w:left w:val="nil"/>
          <w:bottom w:val="nil"/>
          <w:right w:val="nil"/>
          <w:between w:val="nil"/>
        </w:pBdr>
        <w:spacing w:before="3"/>
        <w:ind w:right="4"/>
        <w:jc w:val="center"/>
        <w:rPr>
          <w:color w:val="000000"/>
          <w:sz w:val="24"/>
          <w:szCs w:val="24"/>
        </w:rPr>
      </w:pPr>
    </w:p>
    <w:p w:rsidR="00586E38" w:rsidRDefault="00F93B54">
      <w:pPr>
        <w:pBdr>
          <w:top w:val="nil"/>
          <w:left w:val="nil"/>
          <w:bottom w:val="nil"/>
          <w:right w:val="nil"/>
          <w:between w:val="nil"/>
        </w:pBdr>
        <w:spacing w:before="3"/>
        <w:ind w:right="4"/>
        <w:jc w:val="center"/>
        <w:rPr>
          <w:b/>
          <w:color w:val="000000"/>
          <w:sz w:val="24"/>
          <w:szCs w:val="24"/>
        </w:rPr>
      </w:pPr>
      <w:r>
        <w:rPr>
          <w:b/>
          <w:color w:val="000000"/>
          <w:sz w:val="24"/>
          <w:szCs w:val="24"/>
        </w:rPr>
        <w:t>Capítulo I</w:t>
      </w:r>
    </w:p>
    <w:p w:rsidR="00586E38" w:rsidRDefault="00F93B54">
      <w:pPr>
        <w:pBdr>
          <w:top w:val="nil"/>
          <w:left w:val="nil"/>
          <w:bottom w:val="nil"/>
          <w:right w:val="nil"/>
          <w:between w:val="nil"/>
        </w:pBdr>
        <w:spacing w:before="3"/>
        <w:ind w:right="4"/>
        <w:jc w:val="center"/>
        <w:rPr>
          <w:color w:val="000000"/>
          <w:sz w:val="24"/>
          <w:szCs w:val="24"/>
        </w:rPr>
      </w:pPr>
      <w:r>
        <w:rPr>
          <w:color w:val="000000"/>
          <w:sz w:val="24"/>
          <w:szCs w:val="24"/>
        </w:rPr>
        <w:t>Administradores sociales y sus deberes</w:t>
      </w:r>
    </w:p>
    <w:p w:rsidR="00586E38" w:rsidRDefault="00586E38">
      <w:pPr>
        <w:pBdr>
          <w:top w:val="nil"/>
          <w:left w:val="nil"/>
          <w:bottom w:val="nil"/>
          <w:right w:val="nil"/>
          <w:between w:val="nil"/>
        </w:pBdr>
        <w:spacing w:before="3"/>
        <w:ind w:right="4"/>
        <w:jc w:val="center"/>
        <w:rPr>
          <w:color w:val="000000"/>
          <w:sz w:val="24"/>
          <w:szCs w:val="24"/>
        </w:rPr>
      </w:pPr>
    </w:p>
    <w:p w:rsidR="00586E38" w:rsidRDefault="00F93B54">
      <w:pPr>
        <w:ind w:right="4"/>
        <w:jc w:val="both"/>
        <w:rPr>
          <w:sz w:val="24"/>
          <w:szCs w:val="24"/>
        </w:rPr>
      </w:pPr>
      <w:r>
        <w:rPr>
          <w:b/>
          <w:sz w:val="24"/>
          <w:szCs w:val="24"/>
        </w:rPr>
        <w:t>Artículo 59. Administradores.</w:t>
      </w:r>
      <w:r>
        <w:rPr>
          <w:sz w:val="24"/>
          <w:szCs w:val="24"/>
        </w:rPr>
        <w:t xml:space="preserve"> Son administradores:</w:t>
      </w:r>
    </w:p>
    <w:p w:rsidR="00586E38" w:rsidRDefault="00F93B54">
      <w:pPr>
        <w:numPr>
          <w:ilvl w:val="0"/>
          <w:numId w:val="8"/>
        </w:numPr>
        <w:pBdr>
          <w:top w:val="nil"/>
          <w:left w:val="nil"/>
          <w:bottom w:val="nil"/>
          <w:right w:val="nil"/>
          <w:between w:val="nil"/>
        </w:pBdr>
        <w:tabs>
          <w:tab w:val="left" w:pos="1182"/>
        </w:tabs>
        <w:spacing w:before="59"/>
        <w:ind w:left="0" w:right="4" w:firstLine="0"/>
        <w:jc w:val="both"/>
        <w:rPr>
          <w:color w:val="000000"/>
          <w:sz w:val="24"/>
          <w:szCs w:val="24"/>
        </w:rPr>
      </w:pPr>
      <w:r>
        <w:rPr>
          <w:color w:val="000000"/>
          <w:sz w:val="24"/>
          <w:szCs w:val="24"/>
        </w:rPr>
        <w:t>El representante legal.</w:t>
      </w:r>
    </w:p>
    <w:p w:rsidR="00586E38" w:rsidRDefault="00F93B54">
      <w:pPr>
        <w:numPr>
          <w:ilvl w:val="0"/>
          <w:numId w:val="8"/>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Los miembros de juntas directivas.</w:t>
      </w:r>
    </w:p>
    <w:p w:rsidR="00586E38" w:rsidRDefault="00F93B54">
      <w:pPr>
        <w:numPr>
          <w:ilvl w:val="0"/>
          <w:numId w:val="8"/>
        </w:numPr>
        <w:pBdr>
          <w:top w:val="nil"/>
          <w:left w:val="nil"/>
          <w:bottom w:val="nil"/>
          <w:right w:val="nil"/>
          <w:between w:val="nil"/>
        </w:pBdr>
        <w:tabs>
          <w:tab w:val="left" w:pos="1182"/>
        </w:tabs>
        <w:spacing w:before="2"/>
        <w:ind w:left="0" w:right="4" w:firstLine="0"/>
        <w:jc w:val="both"/>
        <w:rPr>
          <w:color w:val="000000"/>
          <w:sz w:val="24"/>
          <w:szCs w:val="24"/>
        </w:rPr>
      </w:pPr>
      <w:r>
        <w:rPr>
          <w:color w:val="000000"/>
          <w:sz w:val="24"/>
          <w:szCs w:val="24"/>
        </w:rPr>
        <w:t xml:space="preserve">Los factores </w:t>
      </w:r>
      <w:r>
        <w:rPr>
          <w:sz w:val="24"/>
          <w:szCs w:val="24"/>
        </w:rPr>
        <w:t>de los establecimientos</w:t>
      </w:r>
      <w:r>
        <w:rPr>
          <w:color w:val="000000"/>
          <w:sz w:val="24"/>
          <w:szCs w:val="24"/>
        </w:rPr>
        <w:t xml:space="preserve"> de comercio.</w:t>
      </w:r>
    </w:p>
    <w:p w:rsidR="00586E38" w:rsidRDefault="00F93B54">
      <w:pPr>
        <w:numPr>
          <w:ilvl w:val="0"/>
          <w:numId w:val="8"/>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El liquidador.</w:t>
      </w:r>
    </w:p>
    <w:p w:rsidR="00586E38" w:rsidRDefault="00F93B54">
      <w:pPr>
        <w:numPr>
          <w:ilvl w:val="0"/>
          <w:numId w:val="8"/>
        </w:numPr>
        <w:pBdr>
          <w:top w:val="nil"/>
          <w:left w:val="nil"/>
          <w:bottom w:val="nil"/>
          <w:right w:val="nil"/>
          <w:between w:val="nil"/>
        </w:pBdr>
        <w:tabs>
          <w:tab w:val="left" w:pos="1182"/>
        </w:tabs>
        <w:spacing w:before="1"/>
        <w:ind w:left="0" w:right="4" w:firstLine="0"/>
        <w:jc w:val="both"/>
        <w:rPr>
          <w:color w:val="000000"/>
          <w:sz w:val="24"/>
          <w:szCs w:val="24"/>
        </w:rPr>
      </w:pPr>
      <w:r>
        <w:rPr>
          <w:color w:val="000000"/>
          <w:sz w:val="24"/>
          <w:szCs w:val="24"/>
        </w:rPr>
        <w:t>Todas aquellas personas que ejerzan funciones en la alta gerencia de las sociedades, tales como el presidente, el gerente, los vicepresidentes, los subgerentes y el tesorero.</w:t>
      </w:r>
    </w:p>
    <w:p w:rsidR="00586E38" w:rsidRDefault="00F93B54">
      <w:pPr>
        <w:numPr>
          <w:ilvl w:val="0"/>
          <w:numId w:val="8"/>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Las personas que sean denominadas como administradores en los estatutos sociales.</w:t>
      </w:r>
    </w:p>
    <w:p w:rsidR="00586E38" w:rsidRDefault="00F93B54">
      <w:pPr>
        <w:numPr>
          <w:ilvl w:val="0"/>
          <w:numId w:val="8"/>
        </w:numPr>
        <w:pBdr>
          <w:top w:val="nil"/>
          <w:left w:val="nil"/>
          <w:bottom w:val="nil"/>
          <w:right w:val="nil"/>
          <w:between w:val="nil"/>
        </w:pBdr>
        <w:tabs>
          <w:tab w:val="left" w:pos="1182"/>
        </w:tabs>
        <w:spacing w:before="1"/>
        <w:ind w:left="0" w:right="4" w:firstLine="0"/>
        <w:jc w:val="both"/>
        <w:rPr>
          <w:color w:val="000000"/>
          <w:sz w:val="24"/>
          <w:szCs w:val="24"/>
        </w:rPr>
      </w:pPr>
      <w:r>
        <w:rPr>
          <w:color w:val="000000"/>
          <w:sz w:val="24"/>
          <w:szCs w:val="24"/>
        </w:rPr>
        <w:t>Los miembros de comités u otros cuerpos colegiados que cumplan funciones de administración, conforme al acto que hubiere ordenado su creación.</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primero</w:t>
      </w:r>
      <w:r>
        <w:rPr>
          <w:color w:val="000000"/>
          <w:sz w:val="24"/>
          <w:szCs w:val="24"/>
        </w:rPr>
        <w:t>. Quienes desempeñen el cargo de suplente de cualquiera de las anteriores personas responderán solamente en razón del ejercicio de las funciones propias del cargo, de manera que mientras no actúen, estarán exentas de responsabilidad.</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segundo.</w:t>
      </w:r>
      <w:r>
        <w:rPr>
          <w:color w:val="000000"/>
          <w:sz w:val="24"/>
          <w:szCs w:val="24"/>
        </w:rPr>
        <w:t xml:space="preserve"> La inscripción en el Registro Mercantil de la renuncia al cargo de administrador implicará la cesación del cargo. En consecuencia, a partir de dicho registro, quedarán relevados del cumplimiento de sus funciones. En todo caso, quienes hubieren inscrito su renuncia, seguirán siendo responsables por las actuaciones cumplidas con anterioridad a la fecha en que se inscriba su renuncia.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spacing w:before="138"/>
        <w:ind w:right="4"/>
        <w:jc w:val="both"/>
        <w:rPr>
          <w:color w:val="000000"/>
          <w:sz w:val="24"/>
          <w:szCs w:val="24"/>
        </w:rPr>
      </w:pPr>
      <w:r>
        <w:rPr>
          <w:b/>
          <w:color w:val="000000"/>
          <w:sz w:val="24"/>
          <w:szCs w:val="24"/>
        </w:rPr>
        <w:t xml:space="preserve">Artículo 60.  Personas naturales no administradoras. </w:t>
      </w:r>
      <w:r>
        <w:rPr>
          <w:color w:val="000000"/>
          <w:sz w:val="24"/>
          <w:szCs w:val="24"/>
        </w:rPr>
        <w:t>Las personas naturales o jurídicas que, sin ser administradores, se inmiscuyan en una actividad positiva de gestión, administración o dirección deportiva o cualquier otra de la sociedad, incurrirán en las mismas responsabilidades y sanciones aplicables a aquellos, conforme a la ley.</w:t>
      </w:r>
    </w:p>
    <w:p w:rsidR="00586E38" w:rsidRDefault="00F93B54">
      <w:pPr>
        <w:pBdr>
          <w:top w:val="nil"/>
          <w:left w:val="nil"/>
          <w:bottom w:val="nil"/>
          <w:right w:val="nil"/>
          <w:between w:val="nil"/>
        </w:pBdr>
        <w:spacing w:before="200"/>
        <w:ind w:right="4"/>
        <w:jc w:val="both"/>
        <w:rPr>
          <w:color w:val="000000"/>
          <w:sz w:val="24"/>
          <w:szCs w:val="24"/>
        </w:rPr>
      </w:pPr>
      <w:r>
        <w:rPr>
          <w:b/>
          <w:color w:val="000000"/>
          <w:sz w:val="24"/>
          <w:szCs w:val="24"/>
        </w:rPr>
        <w:t>Artículo 61. Deber de lealtad.</w:t>
      </w:r>
      <w:r>
        <w:rPr>
          <w:color w:val="000000"/>
          <w:sz w:val="24"/>
          <w:szCs w:val="24"/>
        </w:rPr>
        <w:t xml:space="preserve"> Las actuaciones de los administradores deberán cumplirse siempre en función de los mejores intereses de la sociedad.</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En cumplimiento del deber de lealtad, los administradores deberán:</w:t>
      </w:r>
    </w:p>
    <w:p w:rsidR="00586E38" w:rsidRDefault="00586E38">
      <w:pPr>
        <w:pBdr>
          <w:top w:val="nil"/>
          <w:left w:val="nil"/>
          <w:bottom w:val="nil"/>
          <w:right w:val="nil"/>
          <w:between w:val="nil"/>
        </w:pBdr>
        <w:ind w:right="4"/>
        <w:jc w:val="both"/>
        <w:rPr>
          <w:color w:val="000000"/>
          <w:sz w:val="24"/>
          <w:szCs w:val="24"/>
        </w:rPr>
      </w:pPr>
    </w:p>
    <w:p w:rsidR="00586E38" w:rsidRDefault="00F93B54">
      <w:pPr>
        <w:numPr>
          <w:ilvl w:val="0"/>
          <w:numId w:val="7"/>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lastRenderedPageBreak/>
        <w:t>Guardar y proteger la reserva comercial e industrial de la sociedad.</w:t>
      </w:r>
    </w:p>
    <w:p w:rsidR="00586E38" w:rsidRDefault="00F93B54">
      <w:pPr>
        <w:numPr>
          <w:ilvl w:val="0"/>
          <w:numId w:val="7"/>
        </w:numPr>
        <w:pBdr>
          <w:top w:val="nil"/>
          <w:left w:val="nil"/>
          <w:bottom w:val="nil"/>
          <w:right w:val="nil"/>
          <w:between w:val="nil"/>
        </w:pBdr>
        <w:tabs>
          <w:tab w:val="left" w:pos="1182"/>
        </w:tabs>
        <w:spacing w:before="2"/>
        <w:ind w:left="0" w:right="4" w:firstLine="0"/>
        <w:jc w:val="both"/>
        <w:rPr>
          <w:color w:val="000000"/>
          <w:sz w:val="24"/>
          <w:szCs w:val="24"/>
        </w:rPr>
      </w:pPr>
      <w:r>
        <w:rPr>
          <w:color w:val="000000"/>
          <w:sz w:val="24"/>
          <w:szCs w:val="24"/>
        </w:rPr>
        <w:t>Abstenerse de utilizar indebidamente información privilegiada.</w:t>
      </w:r>
    </w:p>
    <w:p w:rsidR="00586E38" w:rsidRDefault="00F93B54">
      <w:pPr>
        <w:numPr>
          <w:ilvl w:val="0"/>
          <w:numId w:val="7"/>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Dar un trato equitativo a todos los asociados.</w:t>
      </w:r>
    </w:p>
    <w:p w:rsidR="00586E38" w:rsidRDefault="00F93B54">
      <w:pPr>
        <w:numPr>
          <w:ilvl w:val="0"/>
          <w:numId w:val="7"/>
        </w:numPr>
        <w:pBdr>
          <w:top w:val="nil"/>
          <w:left w:val="nil"/>
          <w:bottom w:val="nil"/>
          <w:right w:val="nil"/>
          <w:between w:val="nil"/>
        </w:pBdr>
        <w:tabs>
          <w:tab w:val="left" w:pos="1182"/>
        </w:tabs>
        <w:spacing w:before="1"/>
        <w:ind w:left="0" w:right="4" w:firstLine="0"/>
        <w:jc w:val="both"/>
        <w:rPr>
          <w:color w:val="000000"/>
          <w:sz w:val="24"/>
          <w:szCs w:val="24"/>
        </w:rPr>
      </w:pPr>
      <w:r>
        <w:rPr>
          <w:color w:val="000000"/>
          <w:sz w:val="24"/>
          <w:szCs w:val="24"/>
        </w:rPr>
        <w:t>Abstenerse de participar en actos o negocios respecto de los cuales exista un conflicto de interés, salvo que se cumpla el procedimiento previsto sobre el particular en el artículo 69 de esta ley.</w:t>
      </w:r>
    </w:p>
    <w:p w:rsidR="00586E38" w:rsidRDefault="00F93B54">
      <w:pPr>
        <w:numPr>
          <w:ilvl w:val="0"/>
          <w:numId w:val="7"/>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Abstenerse de participar en actos o negocios que impliquen competencia con la sociedad y de tomar para sí oportunidades de negocios que le correspondan a ella, salvo que se cumpla el procedimiento previsto en el artículo 71 de esta ley.</w:t>
      </w:r>
    </w:p>
    <w:p w:rsidR="00586E38" w:rsidRDefault="00586E38">
      <w:pPr>
        <w:pBdr>
          <w:top w:val="nil"/>
          <w:left w:val="nil"/>
          <w:bottom w:val="nil"/>
          <w:right w:val="nil"/>
          <w:between w:val="nil"/>
        </w:pBdr>
        <w:ind w:right="4"/>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62.  Deber de diligencia de los administradores. </w:t>
      </w:r>
      <w:r>
        <w:rPr>
          <w:color w:val="000000"/>
          <w:sz w:val="24"/>
          <w:szCs w:val="24"/>
        </w:rPr>
        <w:t>Los administradores deberán cumplir sus funciones con la diligencia que una persona prudente juzgaría razonable a la luz de las circunstancias propias de cada decisión.</w:t>
      </w:r>
    </w:p>
    <w:p w:rsidR="00586E38" w:rsidRDefault="00586E38">
      <w:pPr>
        <w:pBdr>
          <w:top w:val="nil"/>
          <w:left w:val="nil"/>
          <w:bottom w:val="nil"/>
          <w:right w:val="nil"/>
          <w:between w:val="nil"/>
        </w:pBdr>
        <w:ind w:right="4"/>
        <w:jc w:val="both"/>
        <w:rPr>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63. Responsabilidad de los administradores.</w:t>
      </w:r>
      <w:r>
        <w:rPr>
          <w:color w:val="000000"/>
          <w:sz w:val="24"/>
          <w:szCs w:val="24"/>
        </w:rPr>
        <w:t xml:space="preserve"> Los administradores responderán solidariamente ante la sociedad, los asociados y terceros, por los perjuicios derivados de las actuaciones u omisiones en las que medie mala fe o violación de sus deberes.</w:t>
      </w:r>
    </w:p>
    <w:p w:rsidR="00586E38" w:rsidRDefault="00F93B54">
      <w:pPr>
        <w:pBdr>
          <w:top w:val="nil"/>
          <w:left w:val="nil"/>
          <w:bottom w:val="nil"/>
          <w:right w:val="nil"/>
          <w:between w:val="nil"/>
        </w:pBdr>
        <w:spacing w:before="200"/>
        <w:ind w:right="4"/>
        <w:jc w:val="both"/>
        <w:rPr>
          <w:color w:val="000000"/>
          <w:sz w:val="24"/>
          <w:szCs w:val="24"/>
        </w:rPr>
      </w:pPr>
      <w:r>
        <w:rPr>
          <w:color w:val="000000"/>
          <w:sz w:val="24"/>
          <w:szCs w:val="24"/>
        </w:rPr>
        <w:t>Estarán exentos de responsabilidad aquellos administradores que no hubieren participado en la acción de la que surgiere el perjuicio.</w:t>
      </w:r>
    </w:p>
    <w:p w:rsidR="00586E38" w:rsidRDefault="00F93B54">
      <w:pPr>
        <w:pBdr>
          <w:top w:val="nil"/>
          <w:left w:val="nil"/>
          <w:bottom w:val="nil"/>
          <w:right w:val="nil"/>
          <w:between w:val="nil"/>
        </w:pBdr>
        <w:spacing w:before="198"/>
        <w:ind w:right="4"/>
        <w:jc w:val="both"/>
        <w:rPr>
          <w:color w:val="000000"/>
          <w:sz w:val="24"/>
          <w:szCs w:val="24"/>
        </w:rPr>
      </w:pPr>
      <w:r>
        <w:rPr>
          <w:color w:val="000000"/>
          <w:sz w:val="24"/>
          <w:szCs w:val="24"/>
        </w:rPr>
        <w:t>Para juzgar la responsabilidad de los administradores, no se tendrán en cuenta las reglas de graduación de la culpa previstas en el artículo 63 del Código Civil.</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64. Deferencia al criterio empresarial. </w:t>
      </w:r>
      <w:r>
        <w:rPr>
          <w:color w:val="000000"/>
          <w:sz w:val="24"/>
          <w:szCs w:val="24"/>
        </w:rPr>
        <w:t xml:space="preserve">Los jueces respetarán el criterio adoptado por los administradores de los clubes deportivos profesionales en la toma de las decisiones relacionadas con el ejercicio de su cargo, siempre y </w:t>
      </w:r>
      <w:r>
        <w:rPr>
          <w:sz w:val="24"/>
          <w:szCs w:val="24"/>
        </w:rPr>
        <w:t>cuando tales</w:t>
      </w:r>
      <w:r>
        <w:rPr>
          <w:color w:val="000000"/>
          <w:sz w:val="24"/>
          <w:szCs w:val="24"/>
        </w:rPr>
        <w:t xml:space="preserve"> determinaciones correspondan a un juicio razonable y suficientemente informado. Por lo tanto, a menos que se compruebe la mala fe o la violación de la ley o de sus deberes, los administradores no serán responsables por los perjuicios que se originen en sus decisiones de negocios.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65. Actuación de buena fe de los administradores. </w:t>
      </w:r>
      <w:r>
        <w:rPr>
          <w:color w:val="000000"/>
          <w:sz w:val="24"/>
          <w:szCs w:val="24"/>
        </w:rPr>
        <w:t>Sin perjuicio de lo previsto en el artículo anterior, los administradores tampoco serán responsables por los perjuicios que se originen en una decisión adoptada, de buena fe, con fundamento en una recomendación proferida por un comité de reconocida idoneidad técnica e independencia, elegido por la junta directiva, la asamblea general de accionistas. Lo anterior sin perjuicio de la responsabilidad que pudiere endilgárseles a los miembros del comité. En todo caso, la exoneración de responsabilidad no será procedente cuando se compruebe la mala fe o la violación de la ley o del deber de lealtad.</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66. Conflicto de interés de los administradores. </w:t>
      </w:r>
      <w:r>
        <w:rPr>
          <w:color w:val="000000"/>
          <w:sz w:val="24"/>
          <w:szCs w:val="24"/>
        </w:rPr>
        <w:t>Habrá conflicto de interés cuando: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lastRenderedPageBreak/>
        <w:t>1. El administrador o una persona a él vinculada participe en cualquier acto o negocio en que sea parte la sociedad en que ejerce sus funciones o sus subordinadas.</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2. El administrador o una persona a él vinculada tenga un interés económico sustancial en cualquier acto o negocio en que sea parte la sociedad en que ejerce sus funciones o sus subordinadas.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w:t>
      </w:r>
      <w:r>
        <w:rPr>
          <w:color w:val="000000"/>
          <w:sz w:val="24"/>
          <w:szCs w:val="24"/>
        </w:rPr>
        <w:t xml:space="preserve"> Se entenderá que existe un interés económico sustancial cuando medien respecto de una determinada operación, prerrogativas económicamente apreciables que puedan comprometer el criterio del administrador y su independencia para la toma de las decisiones concernientes.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67. Personas vinculadas a los administradores. </w:t>
      </w:r>
      <w:r>
        <w:rPr>
          <w:color w:val="000000"/>
          <w:sz w:val="24"/>
          <w:szCs w:val="24"/>
        </w:rPr>
        <w:t xml:space="preserve">Para los efectos del numeral 2 del artículo 108 de esta ley se entenderá que son personas vinculadas al administrador las siguientes: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1. El cónyuge o compañero permanente del administrador o las personas con análoga relación de afectividad.</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2. Los parientes del administrador, de su cónyuge o de su compañero permanente, dentro del cuarto grado de consanguinidad, así como los cónyuges y compañeros permanentes de tales parientes.</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3. Las sociedades en las que el administrador o cualquiera de las personas mencionadas en los numerales anteriores detenten la calidad de controlantes, conforme al artículo 260 del Código de Comercio.</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4. Las sociedades en las que ocupe simultáneamente el cargo de administrador.</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5. Los patrimonios autónomos en los que el administrador sea fideicomitente o beneficiario y tenga un interés sustancial; y</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6. Aquellas personas naturales o jurídicas que ejerzan conforme al artículo 260 del Código de Comercio, el control sobre la sociedad en la que el administrador cumpla sus funciones.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68.  Autorización en casos de conflicto de interés. </w:t>
      </w:r>
      <w:r>
        <w:rPr>
          <w:color w:val="000000"/>
          <w:sz w:val="24"/>
          <w:szCs w:val="24"/>
        </w:rPr>
        <w:t>En caso de presentarse un conflicto de interés, el administrador no podrá en, ningún caso, participar en el acto o negocio respectivo a menos que se cumpla el siguiente procedimiento: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1. Si el administrador fuere representante legal, deberá convocar en forma inmediata a la asamblea general de accionistas.</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2. Si el administrador fuere miembro de la junta directiva o de cualquier órgano de administración de naturaleza colegiada, deberá revelar la existencia del conflicto de interés tan pronto como se presente, para que se convoque, de modo inmediato, a la asamblea general de accionistas.</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3. Si el administrador no fuere representante legal ni miembro de junta directiva, deberá informarle al representante legal para que proceda conforme al numeral 1 de este artículo.</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4. En el orden del día de la convocatoria correspondiente deberá incluirse el punto </w:t>
      </w:r>
      <w:r>
        <w:rPr>
          <w:color w:val="000000"/>
          <w:sz w:val="24"/>
          <w:szCs w:val="24"/>
        </w:rPr>
        <w:lastRenderedPageBreak/>
        <w:t xml:space="preserve">relativo al análisis de la situación respecto del cual se ha presentado el conflicto de interés. </w:t>
      </w:r>
      <w:r>
        <w:rPr>
          <w:color w:val="000000"/>
          <w:sz w:val="24"/>
          <w:szCs w:val="24"/>
        </w:rPr>
        <w:br/>
      </w: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primero.</w:t>
      </w:r>
      <w:r>
        <w:rPr>
          <w:color w:val="000000"/>
          <w:sz w:val="24"/>
          <w:szCs w:val="24"/>
        </w:rPr>
        <w:t xml:space="preserve"> Si el acto o negocio se celebrare sin mediar la aludida autorización, cualquier interesado podrá solicitar su nulidad absoluta, sin perjuicio de la responsabilidad en que incurra el administrador. Esta nulidad absoluta podrá sanearse, en los términos previstos en el artículo 1742 del Código Civil, siempre que se obtenga la autorización expresa de la asamblea.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segundo</w:t>
      </w:r>
      <w:r>
        <w:rPr>
          <w:color w:val="000000"/>
          <w:sz w:val="24"/>
          <w:szCs w:val="24"/>
        </w:rPr>
        <w:t xml:space="preserve">. La circunstancia de que el administrador se ausente de la reunión correspondiente o se abstenga de votar en, ella no lo exonerará de darle cumplimiento al trámite previsto en este artículo.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69. Responsabilidad de los administradores en casos de conflicto de interés. </w:t>
      </w:r>
      <w:r>
        <w:rPr>
          <w:color w:val="000000"/>
          <w:sz w:val="24"/>
          <w:szCs w:val="24"/>
        </w:rPr>
        <w:t>La responsabilidad de los administradores que participen en actos u operaciones afectadas por un conflicto de interés se sujetará a las siguientes reglas: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1. Autorización plena. El administrador quedará exento de responsabilidad si obtiene la autorización de la asamblea con los votos de la mayoría de aquellos accionistas cuyo único interés en la operación sea aquel que deriva de su calidad de accionista. Para efectos de calcular esta mayoría, deberán restarse los votos correspondientes a los accionistas que tengan algún interés en el acto u operación diferente a aquel que deriva de su calidad de accionista.</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2. Responsabilidad en casos de autorización impartida por accionistas interesados. El administrador será responsable si la autorización de la asamblea se hubiere obtenido a partir de los votos emitidos por una mayoría configurada por accionistas que tengan un interés en la operación diferente de aquel que deriva de su calidad de accionista. En este caso, los accionistas interesados que hubieren impartido la autorización responderán solidariamente por los perjuicios que sufran la sociedad o sus accionistas.</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3. Carencia de autorización y nulidad absoluta del negocio. El administrador que no hubiere obtenido la autorización o que la hubiere procurado de mala fe o con fundamento en información incompleta o falsa, responderá por los perjuicios generados a la sociedad o sus accionistas o a terceros. En este caso, también podrá solicitarse la nulidad absoluta del acto o negocio correspondiente.</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primero</w:t>
      </w:r>
      <w:r>
        <w:rPr>
          <w:color w:val="000000"/>
          <w:sz w:val="24"/>
          <w:szCs w:val="24"/>
        </w:rPr>
        <w:t>. En aquellas sociedades que hubieren inscrito sus acciones en el Registro Nacional de Valores y Emisores, la autorización plena a que alude el numeral 1 de este artículo también podrá ser impartida por una mayoría de aquellos miembros independientes de la junta directiva que carezcan de un interés en el acto u operación respectiva diferente a aquel que deriva de su calidad de accionista.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70. Usurpación de oportunidad de negocio y competencia. </w:t>
      </w:r>
      <w:r>
        <w:rPr>
          <w:color w:val="000000"/>
          <w:sz w:val="24"/>
          <w:szCs w:val="24"/>
        </w:rPr>
        <w:t xml:space="preserve">Los administradores no podrán participar en actos u operaciones que impliquen competencia con la sociedad, ni tomar para sí oportunidades de negocios que le correspondan a ella, </w:t>
      </w:r>
      <w:r>
        <w:rPr>
          <w:color w:val="000000"/>
          <w:sz w:val="24"/>
          <w:szCs w:val="24"/>
        </w:rPr>
        <w:lastRenderedPageBreak/>
        <w:t>a menos que obtengan la autorización de la asamblea adoptada con los votos de la mayoría de los accionistas que carezcan de un interés en el negocio respectivo diferente a aquel que deriva de su calidad de accionista. Los administradores que incumplan lo previsto en este artículo responderán por los perjuicios que le ocasionen a la sociedad y los accionistas.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w:t>
      </w:r>
      <w:r>
        <w:rPr>
          <w:color w:val="000000"/>
          <w:sz w:val="24"/>
          <w:szCs w:val="24"/>
        </w:rPr>
        <w:t>. Se entenderá que una oportunidad de negocios le pertenece a la sociedad cuando guarde relación con sus actividades de explotación económica.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71.</w:t>
      </w:r>
      <w:r>
        <w:rPr>
          <w:color w:val="000000"/>
          <w:sz w:val="24"/>
          <w:szCs w:val="24"/>
        </w:rPr>
        <w:t xml:space="preserve"> </w:t>
      </w:r>
      <w:r>
        <w:rPr>
          <w:b/>
          <w:color w:val="000000"/>
          <w:sz w:val="24"/>
          <w:szCs w:val="24"/>
        </w:rPr>
        <w:t>Acción social de responsabilidad.</w:t>
      </w:r>
      <w:r>
        <w:rPr>
          <w:color w:val="000000"/>
          <w:sz w:val="24"/>
          <w:szCs w:val="24"/>
        </w:rPr>
        <w:t xml:space="preserve"> Cuando se trate de resarcir los perjuicios sufridos por la sociedad como consecuencia de las actuaciones de los administradores, la sociedad podrá demandar, mediante una acción social, la responsabilidad de aquellos, conforme a lo previsto en el artículo 105 de esta ley.</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Para iniciar la acción social de responsabilidad deberá obtenerse la autorización de la asamblea general de accionistas.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72.</w:t>
      </w:r>
      <w:r>
        <w:rPr>
          <w:color w:val="000000"/>
          <w:sz w:val="24"/>
          <w:szCs w:val="24"/>
        </w:rPr>
        <w:t xml:space="preserve"> </w:t>
      </w:r>
      <w:r>
        <w:rPr>
          <w:b/>
          <w:color w:val="000000"/>
          <w:sz w:val="24"/>
          <w:szCs w:val="24"/>
        </w:rPr>
        <w:t>Acción derivada.</w:t>
      </w:r>
      <w:r>
        <w:rPr>
          <w:color w:val="000000"/>
          <w:sz w:val="24"/>
          <w:szCs w:val="24"/>
        </w:rPr>
        <w:t xml:space="preserve"> Siempre y cuando que no se hubiere iniciado la acción social de responsabilidad, cualquier accionista podrá impetrar la acción derivada para que se resarzan los perjuicios sufridos por la sociedad como consecuencia de las actuaciones de los administradores. En estos casos, la acción se presentará por el demandante a nombre de la sociedad. Los accionistas podrán interponer la misma acción cuando se trate de evitar el acaecimiento de un perjuicio inminente para la sociedad.</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73.</w:t>
      </w:r>
      <w:r>
        <w:rPr>
          <w:color w:val="000000"/>
          <w:sz w:val="24"/>
          <w:szCs w:val="24"/>
        </w:rPr>
        <w:t xml:space="preserve"> </w:t>
      </w:r>
      <w:r>
        <w:rPr>
          <w:b/>
          <w:color w:val="000000"/>
          <w:sz w:val="24"/>
          <w:szCs w:val="24"/>
        </w:rPr>
        <w:t>Legitimación para imponer la acción derivada.</w:t>
      </w:r>
      <w:r>
        <w:rPr>
          <w:color w:val="000000"/>
          <w:sz w:val="24"/>
          <w:szCs w:val="24"/>
        </w:rPr>
        <w:t xml:space="preserve"> El demandante deberá haber tenido la calidad de accionista en el momento en que ocurrieron los hechos u omisiones que dan lugar a la responsabilidad o haberla adquirido de manera posterior, por ministerio de la ley, como en los casos sucesión por causa de muerte o adjudicación en la liquidación de sociedades conyugales.  Una vez admitida la demanda, el juez le notificará a la sociedad acerca de la existencia del proceso. Tanto la sociedad que sufrió los perjuicios como cualquiera de sus accionistas podrán actuar como intervinientes ad excludendum en el proceso iniciado a partir de la acción derivada. En aquellas sociedades que hubieren inscrito sus acciones en el registro Nacional de Valores y Emisores; el demandante deberá ser propietario de un número de acciones que represente cuando menos el cinco por ciento del capital suscrito.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74. Conciliación en acciones derivadas. </w:t>
      </w:r>
      <w:r>
        <w:rPr>
          <w:color w:val="000000"/>
          <w:sz w:val="24"/>
          <w:szCs w:val="24"/>
        </w:rPr>
        <w:t xml:space="preserve"> Una vez iniciado el proceso por una acción derivada, el desistimiento del demandante y la conciliación de las pretensiones, requerirán autorización expresa del juez, quien deberá verificar la razonabilidad del desistimiento o de los términos de la conciliación.</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75.</w:t>
      </w:r>
      <w:r>
        <w:rPr>
          <w:color w:val="000000"/>
          <w:sz w:val="24"/>
          <w:szCs w:val="24"/>
        </w:rPr>
        <w:t xml:space="preserve"> </w:t>
      </w:r>
      <w:r>
        <w:rPr>
          <w:b/>
          <w:color w:val="000000"/>
          <w:sz w:val="24"/>
          <w:szCs w:val="24"/>
        </w:rPr>
        <w:t>Agencias en derecho en acciones derivadas.</w:t>
      </w:r>
      <w:r>
        <w:rPr>
          <w:color w:val="000000"/>
          <w:sz w:val="24"/>
          <w:szCs w:val="24"/>
        </w:rPr>
        <w:t xml:space="preserve"> El juez decidirá acerca de la forma y cuantía de las costas, dentro de las cuales podrá incluir los honorarios de los abogados, así como su distribución entre las partes, de conformidad con las siguientes </w:t>
      </w:r>
      <w:r>
        <w:rPr>
          <w:color w:val="000000"/>
          <w:sz w:val="24"/>
          <w:szCs w:val="24"/>
        </w:rPr>
        <w:lastRenderedPageBreak/>
        <w:t>reglas: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1. El juez podrá ordenar que el demandante reembolse total o parcialmente los gastos de defensa de los demandados cuando encuentre que el proceso fue iniciado o tramitado sin una justificación razonable o con el propósito de perseguir un fin ilegitimo.</w:t>
      </w:r>
    </w:p>
    <w:p w:rsidR="00586E38" w:rsidRDefault="00F93B54">
      <w:pPr>
        <w:pBdr>
          <w:top w:val="nil"/>
          <w:left w:val="nil"/>
          <w:bottom w:val="nil"/>
          <w:right w:val="nil"/>
          <w:between w:val="nil"/>
        </w:pBdr>
        <w:ind w:right="4"/>
        <w:jc w:val="both"/>
        <w:rPr>
          <w:color w:val="000000"/>
          <w:sz w:val="24"/>
          <w:szCs w:val="24"/>
        </w:rPr>
      </w:pPr>
      <w:r>
        <w:rPr>
          <w:color w:val="000000"/>
          <w:sz w:val="24"/>
          <w:szCs w:val="24"/>
        </w:rPr>
        <w:t>2. El juez podrá ordenarle a la sociedad en cuyo nombre se hubiere presentado la acción derivada que le reembolse al demandante sus gastos de defensa, total o parcialmente, cuando en la sentencia se hubieren ordenado restituciones o indemnizaciones a favor de ella. En este caso, la sociedad podrá repetir en contra de los administradores declarados responsables, sin perjuicio de lo previsto en el artículo 111 y siguientes de esta ley.</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primero.</w:t>
      </w:r>
      <w:r>
        <w:rPr>
          <w:color w:val="000000"/>
          <w:sz w:val="24"/>
          <w:szCs w:val="24"/>
        </w:rPr>
        <w:t xml:space="preserve"> Para efectos de los reembolsos a que alude este artículo, el juez tendrá la facultad de tasar la razonabilidad de los gastos de defensa que le corresponda pagar al demandante o a la sociedad.</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 segundo.</w:t>
      </w:r>
      <w:r>
        <w:rPr>
          <w:color w:val="000000"/>
          <w:sz w:val="24"/>
          <w:szCs w:val="24"/>
        </w:rPr>
        <w:t xml:space="preserve"> En cualquier momento del proceso, el juez podrá ordenar que se preste una caución para asegurar el pago de sus gastos de defensa a que se refiere este artículo.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76. Pleito pendiente en acciones derivadas.</w:t>
      </w:r>
      <w:r>
        <w:rPr>
          <w:color w:val="000000"/>
          <w:sz w:val="24"/>
          <w:szCs w:val="24"/>
        </w:rPr>
        <w:t xml:space="preserve"> Podrá proponerse la excepción de pleito pendiente cuando la sociedad hubiere iniciado un proceso en el que se debatan pretensiones similares a las formuladas por el accionista que presente la demanda correspondiente.</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77. Acción individual de responsabilidad.</w:t>
      </w:r>
      <w:r>
        <w:rPr>
          <w:color w:val="000000"/>
          <w:sz w:val="24"/>
          <w:szCs w:val="24"/>
        </w:rPr>
        <w:t xml:space="preserve"> En aquellos casos en que se trate de resarcir los perjuicios sufridos directamente por un accionista o un tercero por razón de las actuaciones de los administradores, los afectados podrán demandar la responsabilidad de aquellos conforme al artículo 106 de esta ley, mediante una acción individual, siempre y cuando que tales perjuicios no correspondan a los que pueden exigirse mediante la acción derivada.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78.</w:t>
      </w:r>
      <w:r>
        <w:rPr>
          <w:color w:val="000000"/>
          <w:sz w:val="24"/>
          <w:szCs w:val="24"/>
        </w:rPr>
        <w:t xml:space="preserve"> </w:t>
      </w:r>
      <w:r>
        <w:rPr>
          <w:b/>
          <w:color w:val="000000"/>
          <w:sz w:val="24"/>
          <w:szCs w:val="24"/>
        </w:rPr>
        <w:t>Prohibición de reembolso de gastos de defensa.</w:t>
      </w:r>
      <w:r>
        <w:rPr>
          <w:color w:val="000000"/>
          <w:sz w:val="24"/>
          <w:szCs w:val="24"/>
        </w:rPr>
        <w:t xml:space="preserve"> Salvo disposición estatutaria en contrario, un administrador no tendrá derecho a que se le reembolsen los gastos de defensa, incluidos, los honorarios de abogados en que razonablemente hubiere incurrido cuando, en el proceso de responsabilidad de administradores en que se solicita el reembolso, si hubiere proferido en su contra una sentencia o determinación judicial en firme.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La sociedad no estará obligada, en ningún caso, a pagar tales gastos ni a indemnizar al administrador cuando éste hubiere actuado de manera dolosa o de mala fe o hubiere recibido cualquier beneficio económico indebido.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79. Reembolso obligatorio.</w:t>
      </w:r>
      <w:r>
        <w:rPr>
          <w:color w:val="000000"/>
          <w:sz w:val="24"/>
          <w:szCs w:val="24"/>
        </w:rPr>
        <w:t xml:space="preserve"> Toda sociedad deberá reembolsar los gastos de defensa, incluidos los honorarios de abogados en que razonablemente hubiere incurrido </w:t>
      </w:r>
      <w:r>
        <w:rPr>
          <w:color w:val="000000"/>
          <w:sz w:val="24"/>
          <w:szCs w:val="24"/>
        </w:rPr>
        <w:lastRenderedPageBreak/>
        <w:t>un administrador por razón de cualquier acción legal o demanda relacionada con el ejercicio de sus funciones, siempre y cuando que se hubiere proferido a su favor una decisión en firme. En caso de haber prosperado alguna de las pretensiones del administrador, se deducirá porcentualmente del valor reembolsado el monto que corresponda a la pretensión en la que no hubiere resultado victorioso.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w:t>
      </w:r>
      <w:r>
        <w:rPr>
          <w:color w:val="000000"/>
          <w:sz w:val="24"/>
          <w:szCs w:val="24"/>
        </w:rPr>
        <w:t xml:space="preserve"> Cuando el juez le hubiere ordenado a un accionista demandante el reembolso de los gastos de defensa de los administradores demandados, el demandante contará con 15 días para efectuar el pago correspondiente. En caso de que el accionista no efectuare tal desembolso, la sociedad procederá a efectuar el pago correspondiente y se subrogará como acreedor de la obligación a cargo del accionista. Para el efecto, la sociedad podrá deducir las sumas pagadas de las utilidades o cualesquiera otras sumas que le debiere al accionista.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80. Exoneración de responsabilidad.</w:t>
      </w:r>
      <w:r>
        <w:rPr>
          <w:color w:val="000000"/>
          <w:sz w:val="24"/>
          <w:szCs w:val="24"/>
        </w:rPr>
        <w:t xml:space="preserve">  En los estatutos sociales de cualquier compañía que no esté inscrita en el Registro Nacional de Valores podrá estipularse que los administradores estarán exentos de responsabilidad frente a la sociedad o sus accionistas por cualquier perjuicio que pudiere surgir de acciones u omisiones relacionadas con el ejercicio de sus funciones. Alternativamente, podrá pactarse un límite cuantitativo respecto de la misma responsabilidad. En todo caso, la exoneración de responsabilidad a que se refiere este artículo no será procedente cuando el administrador hubiere incurrido en alguna de las siguientes conductas:</w:t>
      </w:r>
    </w:p>
    <w:p w:rsidR="00586E38" w:rsidRDefault="00586E38">
      <w:pPr>
        <w:pBdr>
          <w:top w:val="nil"/>
          <w:left w:val="nil"/>
          <w:bottom w:val="nil"/>
          <w:right w:val="nil"/>
          <w:between w:val="nil"/>
        </w:pBdr>
        <w:ind w:right="4"/>
        <w:jc w:val="both"/>
        <w:rPr>
          <w:color w:val="000000"/>
          <w:sz w:val="24"/>
          <w:szCs w:val="24"/>
        </w:rPr>
      </w:pPr>
    </w:p>
    <w:p w:rsidR="00586E38" w:rsidRDefault="00F93B54">
      <w:pPr>
        <w:widowControl/>
        <w:numPr>
          <w:ilvl w:val="0"/>
          <w:numId w:val="15"/>
        </w:numPr>
        <w:pBdr>
          <w:top w:val="nil"/>
          <w:left w:val="nil"/>
          <w:bottom w:val="nil"/>
          <w:right w:val="nil"/>
          <w:between w:val="nil"/>
        </w:pBdr>
        <w:ind w:left="0" w:right="4" w:firstLine="0"/>
        <w:jc w:val="both"/>
        <w:rPr>
          <w:color w:val="000000"/>
          <w:sz w:val="24"/>
          <w:szCs w:val="24"/>
        </w:rPr>
      </w:pPr>
      <w:r>
        <w:rPr>
          <w:color w:val="000000"/>
          <w:sz w:val="24"/>
          <w:szCs w:val="24"/>
        </w:rPr>
        <w:t>Recibido un beneficio económico indebido.</w:t>
      </w:r>
    </w:p>
    <w:p w:rsidR="00586E38" w:rsidRDefault="00F93B54">
      <w:pPr>
        <w:widowControl/>
        <w:numPr>
          <w:ilvl w:val="0"/>
          <w:numId w:val="15"/>
        </w:numPr>
        <w:pBdr>
          <w:top w:val="nil"/>
          <w:left w:val="nil"/>
          <w:bottom w:val="nil"/>
          <w:right w:val="nil"/>
          <w:between w:val="nil"/>
        </w:pBdr>
        <w:ind w:left="0" w:right="4" w:firstLine="0"/>
        <w:jc w:val="both"/>
        <w:rPr>
          <w:color w:val="000000"/>
          <w:sz w:val="24"/>
          <w:szCs w:val="24"/>
        </w:rPr>
      </w:pPr>
      <w:r>
        <w:rPr>
          <w:color w:val="000000"/>
          <w:sz w:val="24"/>
          <w:szCs w:val="24"/>
        </w:rPr>
        <w:t>Actuado de manera dolosa.</w:t>
      </w:r>
    </w:p>
    <w:p w:rsidR="00586E38" w:rsidRDefault="00F93B54">
      <w:pPr>
        <w:widowControl/>
        <w:numPr>
          <w:ilvl w:val="0"/>
          <w:numId w:val="15"/>
        </w:numPr>
        <w:pBdr>
          <w:top w:val="nil"/>
          <w:left w:val="nil"/>
          <w:bottom w:val="nil"/>
          <w:right w:val="nil"/>
          <w:between w:val="nil"/>
        </w:pBdr>
        <w:ind w:left="0" w:right="4" w:firstLine="0"/>
        <w:jc w:val="both"/>
        <w:rPr>
          <w:color w:val="000000"/>
          <w:sz w:val="24"/>
          <w:szCs w:val="24"/>
        </w:rPr>
      </w:pPr>
      <w:r>
        <w:rPr>
          <w:color w:val="000000"/>
          <w:sz w:val="24"/>
          <w:szCs w:val="24"/>
        </w:rPr>
        <w:t>Infringido el deber de lealtad.</w:t>
      </w:r>
    </w:p>
    <w:p w:rsidR="00586E38" w:rsidRDefault="00F93B54">
      <w:pPr>
        <w:widowControl/>
        <w:numPr>
          <w:ilvl w:val="0"/>
          <w:numId w:val="15"/>
        </w:numPr>
        <w:pBdr>
          <w:top w:val="nil"/>
          <w:left w:val="nil"/>
          <w:bottom w:val="nil"/>
          <w:right w:val="nil"/>
          <w:between w:val="nil"/>
        </w:pBdr>
        <w:ind w:left="0" w:right="4" w:firstLine="0"/>
        <w:jc w:val="both"/>
        <w:rPr>
          <w:color w:val="000000"/>
          <w:sz w:val="24"/>
          <w:szCs w:val="24"/>
        </w:rPr>
      </w:pPr>
      <w:r>
        <w:rPr>
          <w:color w:val="000000"/>
          <w:sz w:val="24"/>
          <w:szCs w:val="24"/>
        </w:rPr>
        <w:t>Efectuado el reparto de utilidades en violación de las normas legales sobre el particular.</w:t>
      </w:r>
    </w:p>
    <w:p w:rsidR="00586E38" w:rsidRDefault="00F93B54">
      <w:pPr>
        <w:widowControl/>
        <w:numPr>
          <w:ilvl w:val="0"/>
          <w:numId w:val="15"/>
        </w:numPr>
        <w:pBdr>
          <w:top w:val="nil"/>
          <w:left w:val="nil"/>
          <w:bottom w:val="nil"/>
          <w:right w:val="nil"/>
          <w:between w:val="nil"/>
        </w:pBdr>
        <w:ind w:left="0" w:right="4" w:firstLine="0"/>
        <w:jc w:val="both"/>
        <w:rPr>
          <w:color w:val="000000"/>
          <w:sz w:val="24"/>
          <w:szCs w:val="24"/>
        </w:rPr>
      </w:pPr>
      <w:r>
        <w:rPr>
          <w:color w:val="000000"/>
          <w:sz w:val="24"/>
          <w:szCs w:val="24"/>
        </w:rPr>
        <w:t>Cometido un delito.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81.</w:t>
      </w:r>
      <w:r>
        <w:rPr>
          <w:color w:val="000000"/>
          <w:sz w:val="24"/>
          <w:szCs w:val="24"/>
        </w:rPr>
        <w:t xml:space="preserve"> </w:t>
      </w:r>
      <w:r>
        <w:rPr>
          <w:b/>
          <w:color w:val="000000"/>
          <w:sz w:val="24"/>
          <w:szCs w:val="24"/>
        </w:rPr>
        <w:t>Seguro de responsabilidad de los administradores.</w:t>
      </w:r>
      <w:r>
        <w:rPr>
          <w:color w:val="000000"/>
          <w:sz w:val="24"/>
          <w:szCs w:val="24"/>
        </w:rPr>
        <w:t xml:space="preserve"> Los administradores podrán disponer, con cargo a los recursos de la sociedad, la adquisición de pólizas de seguros que amparen los riesgos inherentes al ejercicio de sus cargos.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Las elecciones se harán para los períodos determinados en los estatutos, sin perjuicio de que los nombramientos sean revocados libremente en cualquier tiempo por la asamblea.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Parágrafo primero. </w:t>
      </w:r>
      <w:r>
        <w:rPr>
          <w:color w:val="000000"/>
          <w:sz w:val="24"/>
          <w:szCs w:val="24"/>
        </w:rPr>
        <w:t>Los principales y los suplentes de la junta serán elegidos por la asamblea general, para períodos determinados y por cociente electoral, sin perjuicio de que puedan ser reelegidos o removidos libremente por la misma asamblea.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Para los efectos del presente artículo, se considerará como periodo estatutario, cualquier lapso de tiempo en el que se hubiere ejercido el cargo.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Parágrafo segundo. </w:t>
      </w:r>
      <w:r>
        <w:rPr>
          <w:color w:val="000000"/>
          <w:sz w:val="24"/>
          <w:szCs w:val="24"/>
        </w:rPr>
        <w:t>Se tendrán por no escritas las cláusulas de los estatutos que tiendan a establecer</w:t>
      </w:r>
      <w:r>
        <w:rPr>
          <w:b/>
          <w:color w:val="000000"/>
          <w:sz w:val="24"/>
          <w:szCs w:val="24"/>
        </w:rPr>
        <w:t xml:space="preserve"> </w:t>
      </w:r>
      <w:r>
        <w:rPr>
          <w:color w:val="000000"/>
          <w:sz w:val="24"/>
          <w:szCs w:val="24"/>
        </w:rPr>
        <w:t>la inamovilidad de los integrantes del órgano de administración.</w:t>
      </w:r>
    </w:p>
    <w:p w:rsidR="00586E38" w:rsidRDefault="00586E38">
      <w:pPr>
        <w:pBdr>
          <w:top w:val="nil"/>
          <w:left w:val="nil"/>
          <w:bottom w:val="nil"/>
          <w:right w:val="nil"/>
          <w:between w:val="nil"/>
        </w:pBdr>
        <w:ind w:right="4"/>
        <w:rPr>
          <w:color w:val="000000"/>
          <w:sz w:val="24"/>
          <w:szCs w:val="24"/>
        </w:rPr>
      </w:pPr>
    </w:p>
    <w:p w:rsidR="00586E38" w:rsidRDefault="00F93B54">
      <w:pPr>
        <w:pBdr>
          <w:top w:val="nil"/>
          <w:left w:val="nil"/>
          <w:bottom w:val="nil"/>
          <w:right w:val="nil"/>
          <w:between w:val="nil"/>
        </w:pBdr>
        <w:spacing w:before="138"/>
        <w:ind w:right="4"/>
        <w:jc w:val="center"/>
        <w:rPr>
          <w:b/>
          <w:color w:val="000000"/>
          <w:sz w:val="24"/>
          <w:szCs w:val="24"/>
        </w:rPr>
      </w:pPr>
      <w:r>
        <w:rPr>
          <w:b/>
          <w:color w:val="000000"/>
          <w:sz w:val="24"/>
          <w:szCs w:val="24"/>
        </w:rPr>
        <w:t>Capítulo II</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Acciones para impetrar la responsabilidad de los administradores</w:t>
      </w:r>
    </w:p>
    <w:p w:rsidR="00586E38" w:rsidRDefault="00586E38">
      <w:pPr>
        <w:pBdr>
          <w:top w:val="nil"/>
          <w:left w:val="nil"/>
          <w:bottom w:val="nil"/>
          <w:right w:val="nil"/>
          <w:between w:val="nil"/>
        </w:pBdr>
        <w:ind w:right="4"/>
        <w:rPr>
          <w:color w:val="000000"/>
          <w:sz w:val="24"/>
          <w:szCs w:val="24"/>
        </w:rPr>
      </w:pPr>
    </w:p>
    <w:p w:rsidR="00586E38" w:rsidRDefault="00F93B54">
      <w:pPr>
        <w:pBdr>
          <w:top w:val="nil"/>
          <w:left w:val="nil"/>
          <w:bottom w:val="nil"/>
          <w:right w:val="nil"/>
          <w:between w:val="nil"/>
        </w:pBdr>
        <w:spacing w:before="177"/>
        <w:ind w:right="4"/>
        <w:jc w:val="both"/>
        <w:rPr>
          <w:color w:val="000000"/>
          <w:sz w:val="24"/>
          <w:szCs w:val="24"/>
        </w:rPr>
      </w:pPr>
      <w:r>
        <w:rPr>
          <w:b/>
          <w:color w:val="000000"/>
          <w:sz w:val="24"/>
          <w:szCs w:val="24"/>
        </w:rPr>
        <w:t>Artículo 82. Acción derivada.</w:t>
      </w:r>
      <w:r>
        <w:rPr>
          <w:color w:val="000000"/>
          <w:sz w:val="24"/>
          <w:szCs w:val="24"/>
        </w:rPr>
        <w:t xml:space="preserve"> Cuando se trate de resarcir los perjuicios sufridos por la sociedad como consecuencia de las actuaciones de los administradores, uno o más asociados podrán demandar, mediante una acción derivada, la responsabilidad de aquellos, conforme a lo previsto en el artículo 14 de esta Ley. En estos casos, la acción se presentará por el demandante a nombre de la sociedad.</w:t>
      </w:r>
    </w:p>
    <w:p w:rsidR="00586E38" w:rsidRDefault="00F93B54">
      <w:pPr>
        <w:pBdr>
          <w:top w:val="nil"/>
          <w:left w:val="nil"/>
          <w:bottom w:val="nil"/>
          <w:right w:val="nil"/>
          <w:between w:val="nil"/>
        </w:pBdr>
        <w:spacing w:before="140"/>
        <w:ind w:right="4"/>
        <w:jc w:val="both"/>
        <w:rPr>
          <w:color w:val="000000"/>
          <w:sz w:val="24"/>
          <w:szCs w:val="24"/>
        </w:rPr>
      </w:pPr>
      <w:r>
        <w:rPr>
          <w:color w:val="000000"/>
          <w:sz w:val="24"/>
          <w:szCs w:val="24"/>
        </w:rPr>
        <w:t>Los asociados podrán interponer la misma acción cuando se trate de evitar el acaecimiento de un perjuicio inminente para la sociedad.</w:t>
      </w:r>
    </w:p>
    <w:p w:rsidR="00586E38" w:rsidRDefault="00F93B54">
      <w:pPr>
        <w:pBdr>
          <w:top w:val="nil"/>
          <w:left w:val="nil"/>
          <w:bottom w:val="nil"/>
          <w:right w:val="nil"/>
          <w:between w:val="nil"/>
        </w:pBdr>
        <w:spacing w:before="139"/>
        <w:ind w:right="4"/>
        <w:jc w:val="both"/>
        <w:rPr>
          <w:color w:val="000000"/>
          <w:sz w:val="24"/>
          <w:szCs w:val="24"/>
        </w:rPr>
      </w:pPr>
      <w:r>
        <w:rPr>
          <w:b/>
          <w:color w:val="000000"/>
          <w:sz w:val="24"/>
          <w:szCs w:val="24"/>
        </w:rPr>
        <w:t>Artículo 83. Legitimación para interponer la acción derivada.</w:t>
      </w:r>
      <w:r>
        <w:rPr>
          <w:color w:val="000000"/>
          <w:sz w:val="24"/>
          <w:szCs w:val="24"/>
        </w:rPr>
        <w:t xml:space="preserve"> El demandante deberá haber tenido la calidad de asociado en el momento en que ocurrieron los hechos u omisiones que dan lugar a la responsabilidad o haberla adquirido de manera posterior, por ministerio de la ley, como en los casos de sucesión por causa de muerte o adjudicación en la liquidación de sociedades conyugales.</w:t>
      </w:r>
    </w:p>
    <w:p w:rsidR="00586E38" w:rsidRDefault="00F93B54">
      <w:pPr>
        <w:pBdr>
          <w:top w:val="nil"/>
          <w:left w:val="nil"/>
          <w:bottom w:val="nil"/>
          <w:right w:val="nil"/>
          <w:between w:val="nil"/>
        </w:pBdr>
        <w:spacing w:before="139"/>
        <w:ind w:right="4"/>
        <w:jc w:val="both"/>
        <w:rPr>
          <w:color w:val="000000"/>
          <w:sz w:val="24"/>
          <w:szCs w:val="24"/>
        </w:rPr>
      </w:pPr>
      <w:r>
        <w:rPr>
          <w:b/>
          <w:color w:val="000000"/>
          <w:sz w:val="24"/>
          <w:szCs w:val="24"/>
        </w:rPr>
        <w:t>Artículo 84. Conciliación en acciones derivadas.</w:t>
      </w:r>
      <w:r>
        <w:rPr>
          <w:color w:val="000000"/>
          <w:sz w:val="24"/>
          <w:szCs w:val="24"/>
        </w:rPr>
        <w:t xml:space="preserve"> Una vez iniciado el proceso por una acción derivada, el desistimiento del demandante y la conciliación de las pretensiones, requerirán autorización expresa del juez, quien deberá verificar la razonabilidad del desistimiento o de los términos de la conciliación.</w:t>
      </w:r>
    </w:p>
    <w:p w:rsidR="00586E38" w:rsidRDefault="00F93B54">
      <w:pPr>
        <w:pBdr>
          <w:top w:val="nil"/>
          <w:left w:val="nil"/>
          <w:bottom w:val="nil"/>
          <w:right w:val="nil"/>
          <w:between w:val="nil"/>
        </w:pBdr>
        <w:spacing w:before="140"/>
        <w:ind w:right="4"/>
        <w:jc w:val="both"/>
        <w:rPr>
          <w:color w:val="000000"/>
          <w:sz w:val="24"/>
          <w:szCs w:val="24"/>
        </w:rPr>
      </w:pPr>
      <w:r>
        <w:rPr>
          <w:b/>
          <w:color w:val="000000"/>
          <w:sz w:val="24"/>
          <w:szCs w:val="24"/>
        </w:rPr>
        <w:t>Artículo 85. Agencias en derecho en acciones derivadas.</w:t>
      </w:r>
      <w:r>
        <w:rPr>
          <w:color w:val="000000"/>
          <w:sz w:val="24"/>
          <w:szCs w:val="24"/>
        </w:rPr>
        <w:t xml:space="preserve"> El juez decidirá acerca de la forma y cuantía de las costas, dentro de las cuales podrá incluir los honorarios de los abogados, así como su distribución entre las partes, de conformidad con las siguientes reglas:</w:t>
      </w:r>
    </w:p>
    <w:p w:rsidR="00586E38" w:rsidRDefault="00586E38">
      <w:pPr>
        <w:pBdr>
          <w:top w:val="nil"/>
          <w:left w:val="nil"/>
          <w:bottom w:val="nil"/>
          <w:right w:val="nil"/>
          <w:between w:val="nil"/>
        </w:pBdr>
        <w:spacing w:before="2"/>
        <w:ind w:right="4"/>
        <w:rPr>
          <w:color w:val="000000"/>
          <w:sz w:val="24"/>
          <w:szCs w:val="24"/>
        </w:rPr>
      </w:pPr>
    </w:p>
    <w:p w:rsidR="00586E38" w:rsidRDefault="00F93B54">
      <w:pPr>
        <w:numPr>
          <w:ilvl w:val="2"/>
          <w:numId w:val="24"/>
        </w:numPr>
        <w:pBdr>
          <w:top w:val="nil"/>
          <w:left w:val="nil"/>
          <w:bottom w:val="nil"/>
          <w:right w:val="nil"/>
          <w:between w:val="nil"/>
        </w:pBdr>
        <w:tabs>
          <w:tab w:val="left" w:pos="1902"/>
        </w:tabs>
        <w:spacing w:before="94"/>
        <w:ind w:left="0" w:right="4" w:firstLine="0"/>
        <w:jc w:val="both"/>
        <w:rPr>
          <w:color w:val="000000"/>
          <w:sz w:val="24"/>
          <w:szCs w:val="24"/>
        </w:rPr>
      </w:pPr>
      <w:r>
        <w:rPr>
          <w:color w:val="000000"/>
          <w:sz w:val="24"/>
          <w:szCs w:val="24"/>
        </w:rPr>
        <w:t>El juez podrá ordenar que el demandante reembolse total o parcialmente los gastos de defensa de los demandados cuando encuentre que el proceso fue iniciado o tramitado sin una justificación razonable o con el propósito de perseguir un fin ilegítimo.</w:t>
      </w:r>
    </w:p>
    <w:p w:rsidR="00586E38" w:rsidRDefault="00F93B54">
      <w:pPr>
        <w:numPr>
          <w:ilvl w:val="2"/>
          <w:numId w:val="24"/>
        </w:numPr>
        <w:pBdr>
          <w:top w:val="nil"/>
          <w:left w:val="nil"/>
          <w:bottom w:val="nil"/>
          <w:right w:val="nil"/>
          <w:between w:val="nil"/>
        </w:pBdr>
        <w:tabs>
          <w:tab w:val="left" w:pos="1902"/>
        </w:tabs>
        <w:ind w:left="0" w:right="4" w:firstLine="0"/>
        <w:jc w:val="both"/>
        <w:rPr>
          <w:color w:val="000000"/>
          <w:sz w:val="24"/>
          <w:szCs w:val="24"/>
        </w:rPr>
      </w:pPr>
      <w:r>
        <w:rPr>
          <w:color w:val="000000"/>
          <w:sz w:val="24"/>
          <w:szCs w:val="24"/>
        </w:rPr>
        <w:t>El juez podrá ordenarle a la sociedad en cuyo nombre se hubiere presentado la acción derivada que le reembolse al demandante sus gastos de defensa, total o parcialmente, cuando en la sentencia se hubieren ordenado restituciones o indemnizaciones a favor de ella. En este caso, la sociedad podrá repetir en contra de los administradores declarados responsables.</w:t>
      </w:r>
    </w:p>
    <w:p w:rsidR="00586E38" w:rsidRDefault="00586E38">
      <w:pPr>
        <w:pBdr>
          <w:top w:val="nil"/>
          <w:left w:val="nil"/>
          <w:bottom w:val="nil"/>
          <w:right w:val="nil"/>
          <w:between w:val="nil"/>
        </w:pBdr>
        <w:tabs>
          <w:tab w:val="left" w:pos="1902"/>
        </w:tabs>
        <w:ind w:right="4"/>
        <w:jc w:val="both"/>
        <w:rPr>
          <w:color w:val="000000"/>
          <w:sz w:val="24"/>
          <w:szCs w:val="24"/>
        </w:rPr>
      </w:pPr>
    </w:p>
    <w:p w:rsidR="00586E38" w:rsidRDefault="00F93B54">
      <w:pPr>
        <w:pBdr>
          <w:top w:val="nil"/>
          <w:left w:val="nil"/>
          <w:bottom w:val="nil"/>
          <w:right w:val="nil"/>
          <w:between w:val="nil"/>
        </w:pBdr>
        <w:spacing w:before="43"/>
        <w:ind w:right="4"/>
        <w:jc w:val="both"/>
        <w:rPr>
          <w:color w:val="000000"/>
          <w:sz w:val="24"/>
          <w:szCs w:val="24"/>
        </w:rPr>
      </w:pPr>
      <w:r>
        <w:rPr>
          <w:b/>
          <w:color w:val="000000"/>
          <w:sz w:val="24"/>
          <w:szCs w:val="24"/>
        </w:rPr>
        <w:t>Parágrafo primero.</w:t>
      </w:r>
      <w:r>
        <w:rPr>
          <w:color w:val="000000"/>
          <w:sz w:val="24"/>
          <w:szCs w:val="24"/>
        </w:rPr>
        <w:t xml:space="preserve"> Para efectos de los reembolsos a que alude este artículo, el juez tendrá la facultad de tasar la razonabilidad de los gastos de defensa que le corresponda pagar al demandante o a la sociedad.</w:t>
      </w:r>
    </w:p>
    <w:p w:rsidR="00586E38" w:rsidRDefault="00F93B54">
      <w:pPr>
        <w:pBdr>
          <w:top w:val="nil"/>
          <w:left w:val="nil"/>
          <w:bottom w:val="nil"/>
          <w:right w:val="nil"/>
          <w:between w:val="nil"/>
        </w:pBdr>
        <w:spacing w:before="140"/>
        <w:ind w:right="4"/>
        <w:jc w:val="both"/>
        <w:rPr>
          <w:color w:val="000000"/>
          <w:sz w:val="24"/>
          <w:szCs w:val="24"/>
        </w:rPr>
      </w:pPr>
      <w:r>
        <w:rPr>
          <w:b/>
          <w:color w:val="000000"/>
          <w:sz w:val="24"/>
          <w:szCs w:val="24"/>
        </w:rPr>
        <w:lastRenderedPageBreak/>
        <w:t>Parágrafo segundo.</w:t>
      </w:r>
      <w:r>
        <w:rPr>
          <w:color w:val="000000"/>
          <w:sz w:val="24"/>
          <w:szCs w:val="24"/>
        </w:rPr>
        <w:t xml:space="preserve"> En cualquier momento del proceso, el juez podrá ordenar que se preste una caución para asegurar el pago de los gastos de defensa a que se refiere este artículo.</w:t>
      </w:r>
    </w:p>
    <w:p w:rsidR="00586E38" w:rsidRDefault="00586E38">
      <w:pPr>
        <w:pBdr>
          <w:top w:val="nil"/>
          <w:left w:val="nil"/>
          <w:bottom w:val="nil"/>
          <w:right w:val="nil"/>
          <w:between w:val="nil"/>
        </w:pBdr>
        <w:ind w:right="4"/>
        <w:rPr>
          <w:color w:val="000000"/>
          <w:sz w:val="24"/>
          <w:szCs w:val="24"/>
        </w:rPr>
      </w:pPr>
    </w:p>
    <w:p w:rsidR="00586E38" w:rsidRDefault="00F93B54">
      <w:pPr>
        <w:pBdr>
          <w:top w:val="nil"/>
          <w:left w:val="nil"/>
          <w:bottom w:val="nil"/>
          <w:right w:val="nil"/>
          <w:between w:val="nil"/>
        </w:pBdr>
        <w:spacing w:before="138"/>
        <w:ind w:right="4"/>
        <w:jc w:val="both"/>
        <w:rPr>
          <w:color w:val="000000"/>
          <w:sz w:val="24"/>
          <w:szCs w:val="24"/>
        </w:rPr>
      </w:pPr>
      <w:r>
        <w:rPr>
          <w:b/>
          <w:color w:val="000000"/>
          <w:sz w:val="24"/>
          <w:szCs w:val="24"/>
        </w:rPr>
        <w:t>Artículo 86. Pleito pendiente en acciones derivadas.</w:t>
      </w:r>
      <w:r>
        <w:rPr>
          <w:color w:val="000000"/>
          <w:sz w:val="24"/>
          <w:szCs w:val="24"/>
        </w:rPr>
        <w:t xml:space="preserve"> Podrá proponerse la excepción de pleito pendiente cuando la sociedad hubiere iniciado un proceso en el que se debatan pretensiones similares a las formuladas por el asociado que presente la demanda correspondiente.</w:t>
      </w:r>
    </w:p>
    <w:p w:rsidR="00586E38" w:rsidRDefault="00F93B54">
      <w:pPr>
        <w:pBdr>
          <w:top w:val="nil"/>
          <w:left w:val="nil"/>
          <w:bottom w:val="nil"/>
          <w:right w:val="nil"/>
          <w:between w:val="nil"/>
        </w:pBdr>
        <w:spacing w:before="140"/>
        <w:ind w:right="4"/>
        <w:jc w:val="both"/>
        <w:rPr>
          <w:color w:val="000000"/>
          <w:sz w:val="24"/>
          <w:szCs w:val="24"/>
        </w:rPr>
      </w:pPr>
      <w:r>
        <w:rPr>
          <w:b/>
          <w:color w:val="000000"/>
          <w:sz w:val="24"/>
          <w:szCs w:val="24"/>
        </w:rPr>
        <w:t>Artículo 87. Acción individual de responsabilidad.</w:t>
      </w:r>
      <w:r>
        <w:rPr>
          <w:color w:val="000000"/>
          <w:sz w:val="24"/>
          <w:szCs w:val="24"/>
        </w:rPr>
        <w:t xml:space="preserve"> En aquellos casos en que se trate de resarcir los perjuicios sufridos directamente por un asociado o un tercero por razón de las actuaciones de los administradores, los afectados podrán demandar la responsabilidad de aquellos conforme al artículo 14 de esta Ley, mediante una acción individual, siempre y cuando que tales perjuicios no correspondan a los que pueden exigirse mediante la acción derivada.</w:t>
      </w:r>
    </w:p>
    <w:p w:rsidR="00586E38" w:rsidRDefault="00586E38">
      <w:pPr>
        <w:pBdr>
          <w:top w:val="nil"/>
          <w:left w:val="nil"/>
          <w:bottom w:val="nil"/>
          <w:right w:val="nil"/>
          <w:between w:val="nil"/>
        </w:pBdr>
        <w:ind w:right="4"/>
        <w:rPr>
          <w:color w:val="000000"/>
          <w:sz w:val="24"/>
          <w:szCs w:val="24"/>
        </w:rPr>
      </w:pPr>
    </w:p>
    <w:p w:rsidR="00586E38" w:rsidRDefault="00F93B54">
      <w:pPr>
        <w:pBdr>
          <w:top w:val="nil"/>
          <w:left w:val="nil"/>
          <w:bottom w:val="nil"/>
          <w:right w:val="nil"/>
          <w:between w:val="nil"/>
        </w:pBdr>
        <w:spacing w:before="1"/>
        <w:ind w:right="4"/>
        <w:jc w:val="both"/>
        <w:rPr>
          <w:color w:val="000000"/>
          <w:sz w:val="24"/>
          <w:szCs w:val="24"/>
        </w:rPr>
      </w:pPr>
      <w:r>
        <w:rPr>
          <w:b/>
          <w:color w:val="000000"/>
          <w:sz w:val="24"/>
          <w:szCs w:val="24"/>
        </w:rPr>
        <w:t>Artículo 88. Prohibición de reembolso de gastos de defensa.</w:t>
      </w:r>
      <w:r>
        <w:rPr>
          <w:color w:val="000000"/>
          <w:sz w:val="24"/>
          <w:szCs w:val="24"/>
        </w:rPr>
        <w:t xml:space="preserve"> Salvo disposición estatutaria en contrario, un administrador no tendrá derecho a que se le reembolsen los gastos de defensa, incluidos los honorarios de abogados, en que razonablemente hubiere incurrido cuando, en el proceso de responsabilidad de administradores en que se solicita el reembolso, se hubiere proferido en su contra una decisión en firme.</w:t>
      </w:r>
    </w:p>
    <w:p w:rsidR="00586E38" w:rsidRDefault="00586E38">
      <w:pPr>
        <w:pBdr>
          <w:top w:val="nil"/>
          <w:left w:val="nil"/>
          <w:bottom w:val="nil"/>
          <w:right w:val="nil"/>
          <w:between w:val="nil"/>
        </w:pBdr>
        <w:spacing w:before="8"/>
        <w:ind w:right="4"/>
        <w:rPr>
          <w:color w:val="000000"/>
          <w:sz w:val="24"/>
          <w:szCs w:val="24"/>
        </w:rPr>
      </w:pPr>
    </w:p>
    <w:p w:rsidR="00586E38" w:rsidRDefault="00F93B54">
      <w:pPr>
        <w:pBdr>
          <w:top w:val="nil"/>
          <w:left w:val="nil"/>
          <w:bottom w:val="nil"/>
          <w:right w:val="nil"/>
          <w:between w:val="nil"/>
        </w:pBdr>
        <w:spacing w:before="1"/>
        <w:ind w:right="4"/>
        <w:jc w:val="both"/>
        <w:rPr>
          <w:color w:val="000000"/>
          <w:sz w:val="24"/>
          <w:szCs w:val="24"/>
        </w:rPr>
      </w:pPr>
      <w:r>
        <w:rPr>
          <w:color w:val="000000"/>
          <w:sz w:val="24"/>
          <w:szCs w:val="24"/>
        </w:rPr>
        <w:t>La sociedad no estará obligada, en ningún caso, a pagar tales gastos ni a indemnizar al administrador cuando éste hubiere actuado de manera dolosa o de mala fe o hubiere recibido cualquier beneficio económico indebido.</w:t>
      </w:r>
    </w:p>
    <w:p w:rsidR="00586E38" w:rsidRDefault="00586E38">
      <w:pPr>
        <w:pBdr>
          <w:top w:val="nil"/>
          <w:left w:val="nil"/>
          <w:bottom w:val="nil"/>
          <w:right w:val="nil"/>
          <w:between w:val="nil"/>
        </w:pBdr>
        <w:spacing w:before="10"/>
        <w:ind w:right="4"/>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89. Reembolso obligatorio.</w:t>
      </w:r>
      <w:r>
        <w:rPr>
          <w:color w:val="000000"/>
          <w:sz w:val="24"/>
          <w:szCs w:val="24"/>
        </w:rPr>
        <w:t xml:space="preserve"> Toda sociedad deberá reembolsar los gastos de defensa, incluidos los honorarios de abogados, en que razonablemente hubiere incurrido un administrador por razón de cualquier acción legal o demanda relacionada con el ejercicio de sus funciones, siempre y cuando que se hubiere proferido a su favor una decisión en firme. caso de haber prosperado alguna de las pretensiones del administrador, se deducirá porcentualmente del valor reembolsado el monto que corresponda a la pretensión en la que no hubiere resultado victorioso.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w:t>
      </w:r>
      <w:r>
        <w:rPr>
          <w:color w:val="000000"/>
          <w:sz w:val="24"/>
          <w:szCs w:val="24"/>
        </w:rPr>
        <w:t xml:space="preserve"> Cuando el juez le hubiere ordenado a un asociado demandante el reembolso de los gastos de defensa de los administradores demandados, el demandante contará con 15 días para efectuar el pago correspondiente. En caso de que el asociado no efectuare tal desembolso, la sociedad procederá a efectuar el pago correspondiente y se subrogará como acreedor de la obligación a cargo del asociado. Para el efecto, la sociedad podrá deducir las sumas pagadas de las utilidades o cualesquiera otras sumas que le debiere al asociado.</w:t>
      </w:r>
    </w:p>
    <w:p w:rsidR="00586E38" w:rsidRDefault="00586E38">
      <w:pPr>
        <w:pBdr>
          <w:top w:val="nil"/>
          <w:left w:val="nil"/>
          <w:bottom w:val="nil"/>
          <w:right w:val="nil"/>
          <w:between w:val="nil"/>
        </w:pBdr>
        <w:spacing w:before="8"/>
        <w:ind w:right="4"/>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90. Exoneración de responsabilidad.</w:t>
      </w:r>
      <w:r>
        <w:rPr>
          <w:color w:val="000000"/>
          <w:sz w:val="24"/>
          <w:szCs w:val="24"/>
        </w:rPr>
        <w:t xml:space="preserve"> En los estatutos sociales de cualquier compañía que no esté inscrita en el Registro Nacional de Valores podrá estipularse que </w:t>
      </w:r>
      <w:r>
        <w:rPr>
          <w:color w:val="000000"/>
          <w:sz w:val="24"/>
          <w:szCs w:val="24"/>
        </w:rPr>
        <w:lastRenderedPageBreak/>
        <w:t>los administradores estarán exentos de responsabilidad frente a la sociedad o sus asociados por cualquier perjuicio que pudiere surgir de acciones u omisiones relacionadas con el ejercicio de sus funciones. Alternativamente, podrá pactarse un límite cuantitativo respecto de la misma responsabilidad. En todo caso, la exoneración de responsabilidad a que se refiere este artículo no será procedente cuando el administrador hubiere incurrido en alguna de las siguientes conductas:</w:t>
      </w:r>
    </w:p>
    <w:p w:rsidR="00586E38" w:rsidRDefault="00586E38">
      <w:pPr>
        <w:pBdr>
          <w:top w:val="nil"/>
          <w:left w:val="nil"/>
          <w:bottom w:val="nil"/>
          <w:right w:val="nil"/>
          <w:between w:val="nil"/>
        </w:pBdr>
        <w:ind w:right="4"/>
        <w:jc w:val="both"/>
        <w:rPr>
          <w:color w:val="000000"/>
          <w:sz w:val="24"/>
          <w:szCs w:val="24"/>
        </w:rPr>
      </w:pPr>
    </w:p>
    <w:p w:rsidR="00586E38" w:rsidRDefault="00F93B54">
      <w:pPr>
        <w:numPr>
          <w:ilvl w:val="0"/>
          <w:numId w:val="23"/>
        </w:numPr>
        <w:pBdr>
          <w:top w:val="nil"/>
          <w:left w:val="nil"/>
          <w:bottom w:val="nil"/>
          <w:right w:val="nil"/>
          <w:between w:val="nil"/>
        </w:pBdr>
        <w:ind w:left="0" w:right="4" w:firstLine="0"/>
        <w:jc w:val="both"/>
        <w:rPr>
          <w:color w:val="000000"/>
          <w:sz w:val="24"/>
          <w:szCs w:val="24"/>
        </w:rPr>
      </w:pPr>
      <w:r>
        <w:rPr>
          <w:color w:val="000000"/>
          <w:sz w:val="24"/>
          <w:szCs w:val="24"/>
        </w:rPr>
        <w:t>Recibido un beneficio económico indebido.</w:t>
      </w:r>
    </w:p>
    <w:p w:rsidR="00586E38" w:rsidRDefault="00F93B54">
      <w:pPr>
        <w:numPr>
          <w:ilvl w:val="0"/>
          <w:numId w:val="23"/>
        </w:numPr>
        <w:pBdr>
          <w:top w:val="nil"/>
          <w:left w:val="nil"/>
          <w:bottom w:val="nil"/>
          <w:right w:val="nil"/>
          <w:between w:val="nil"/>
        </w:pBdr>
        <w:tabs>
          <w:tab w:val="left" w:pos="1182"/>
        </w:tabs>
        <w:spacing w:before="2"/>
        <w:ind w:left="0" w:right="4" w:firstLine="0"/>
        <w:jc w:val="both"/>
        <w:rPr>
          <w:color w:val="000000"/>
          <w:sz w:val="24"/>
          <w:szCs w:val="24"/>
        </w:rPr>
      </w:pPr>
      <w:r>
        <w:rPr>
          <w:color w:val="000000"/>
          <w:sz w:val="24"/>
          <w:szCs w:val="24"/>
        </w:rPr>
        <w:t>Actuado de manera dolosa.</w:t>
      </w:r>
    </w:p>
    <w:p w:rsidR="00586E38" w:rsidRDefault="00F93B54">
      <w:pPr>
        <w:numPr>
          <w:ilvl w:val="0"/>
          <w:numId w:val="23"/>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Infringido el deber de lealtad.</w:t>
      </w:r>
    </w:p>
    <w:p w:rsidR="00586E38" w:rsidRDefault="00F93B54">
      <w:pPr>
        <w:numPr>
          <w:ilvl w:val="0"/>
          <w:numId w:val="23"/>
        </w:numPr>
        <w:pBdr>
          <w:top w:val="nil"/>
          <w:left w:val="nil"/>
          <w:bottom w:val="nil"/>
          <w:right w:val="nil"/>
          <w:between w:val="nil"/>
        </w:pBdr>
        <w:tabs>
          <w:tab w:val="left" w:pos="1182"/>
        </w:tabs>
        <w:spacing w:before="1"/>
        <w:ind w:left="0" w:right="4" w:firstLine="0"/>
        <w:jc w:val="both"/>
        <w:rPr>
          <w:color w:val="000000"/>
          <w:sz w:val="24"/>
          <w:szCs w:val="24"/>
        </w:rPr>
      </w:pPr>
      <w:r>
        <w:rPr>
          <w:color w:val="000000"/>
          <w:sz w:val="24"/>
          <w:szCs w:val="24"/>
        </w:rPr>
        <w:t>Dispuesto el reparto de utilidades en violación de las normas legales sobre el particular.</w:t>
      </w:r>
    </w:p>
    <w:p w:rsidR="00586E38" w:rsidRDefault="00F93B54">
      <w:pPr>
        <w:numPr>
          <w:ilvl w:val="0"/>
          <w:numId w:val="23"/>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Cometido un delito.</w:t>
      </w:r>
    </w:p>
    <w:p w:rsidR="00586E38" w:rsidRDefault="00586E38">
      <w:pPr>
        <w:pBdr>
          <w:top w:val="nil"/>
          <w:left w:val="nil"/>
          <w:bottom w:val="nil"/>
          <w:right w:val="nil"/>
          <w:between w:val="nil"/>
        </w:pBdr>
        <w:spacing w:before="11"/>
        <w:ind w:right="4"/>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91. Seguro de responsabilidad. </w:t>
      </w:r>
      <w:r>
        <w:rPr>
          <w:color w:val="000000"/>
          <w:sz w:val="24"/>
          <w:szCs w:val="24"/>
        </w:rPr>
        <w:t>Los administradores podrán disponer, con cargo a los recursos de la sociedad, la adquisición de pólizas de seguros que amparen los riesgos inherentes al ejercicio de sus cargos.</w:t>
      </w:r>
    </w:p>
    <w:p w:rsidR="00586E38" w:rsidRDefault="00586E38">
      <w:pPr>
        <w:pBdr>
          <w:top w:val="nil"/>
          <w:left w:val="nil"/>
          <w:bottom w:val="nil"/>
          <w:right w:val="nil"/>
          <w:between w:val="nil"/>
        </w:pBdr>
        <w:spacing w:before="7"/>
        <w:ind w:right="4"/>
        <w:jc w:val="center"/>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Título IV</w:t>
      </w:r>
    </w:p>
    <w:p w:rsidR="00586E38" w:rsidRDefault="00F93B54">
      <w:pPr>
        <w:pBdr>
          <w:top w:val="nil"/>
          <w:left w:val="nil"/>
          <w:bottom w:val="nil"/>
          <w:right w:val="nil"/>
          <w:between w:val="nil"/>
        </w:pBdr>
        <w:spacing w:before="59"/>
        <w:ind w:right="4"/>
        <w:jc w:val="center"/>
        <w:rPr>
          <w:color w:val="000000"/>
          <w:sz w:val="24"/>
          <w:szCs w:val="24"/>
        </w:rPr>
      </w:pPr>
      <w:r>
        <w:rPr>
          <w:color w:val="000000"/>
          <w:sz w:val="24"/>
          <w:szCs w:val="24"/>
        </w:rPr>
        <w:t>Registro y matricula mercantil de las sociedades</w:t>
      </w:r>
    </w:p>
    <w:p w:rsidR="00586E38" w:rsidRDefault="00586E38">
      <w:pPr>
        <w:pBdr>
          <w:top w:val="nil"/>
          <w:left w:val="nil"/>
          <w:bottom w:val="nil"/>
          <w:right w:val="nil"/>
          <w:between w:val="nil"/>
        </w:pBdr>
        <w:spacing w:before="1"/>
        <w:ind w:right="4"/>
        <w:rPr>
          <w:color w:val="000000"/>
          <w:sz w:val="24"/>
          <w:szCs w:val="24"/>
        </w:rPr>
      </w:pPr>
    </w:p>
    <w:p w:rsidR="00586E38" w:rsidRDefault="00F93B54">
      <w:pPr>
        <w:pBdr>
          <w:top w:val="nil"/>
          <w:left w:val="nil"/>
          <w:bottom w:val="nil"/>
          <w:right w:val="nil"/>
          <w:between w:val="nil"/>
        </w:pBdr>
        <w:spacing w:before="1"/>
        <w:ind w:right="4"/>
        <w:jc w:val="both"/>
        <w:rPr>
          <w:color w:val="000000"/>
          <w:sz w:val="24"/>
          <w:szCs w:val="24"/>
        </w:rPr>
      </w:pPr>
      <w:r>
        <w:rPr>
          <w:b/>
          <w:color w:val="000000"/>
          <w:sz w:val="24"/>
          <w:szCs w:val="24"/>
        </w:rPr>
        <w:t>Artículo 92. Registro y matricula mercantil electrónicos.</w:t>
      </w:r>
      <w:r>
        <w:rPr>
          <w:color w:val="000000"/>
          <w:sz w:val="24"/>
          <w:szCs w:val="24"/>
        </w:rPr>
        <w:t xml:space="preserve"> Las Cámaras de Comercio deberán poner en marcha sistemas telemáticos que permitan la constitución, reformas estatutarias, transformación, fusión, escisión, disolución y liquidación, registro del nombramiento o remoción de representantes legales, juntas directivas y revisores fiscales de las sociedades. Así como también las matrículas y renovaciones mercantiles.</w:t>
      </w:r>
    </w:p>
    <w:p w:rsidR="00586E38" w:rsidRDefault="00586E38">
      <w:pPr>
        <w:pBdr>
          <w:top w:val="nil"/>
          <w:left w:val="nil"/>
          <w:bottom w:val="nil"/>
          <w:right w:val="nil"/>
          <w:between w:val="nil"/>
        </w:pBdr>
        <w:spacing w:before="1"/>
        <w:ind w:right="4"/>
        <w:jc w:val="both"/>
        <w:rPr>
          <w:color w:val="000000"/>
          <w:sz w:val="24"/>
          <w:szCs w:val="24"/>
        </w:rPr>
      </w:pPr>
    </w:p>
    <w:p w:rsidR="00586E38" w:rsidRDefault="00F93B54">
      <w:pPr>
        <w:pBdr>
          <w:top w:val="nil"/>
          <w:left w:val="nil"/>
          <w:bottom w:val="nil"/>
          <w:right w:val="nil"/>
          <w:between w:val="nil"/>
        </w:pBdr>
        <w:spacing w:before="1"/>
        <w:ind w:right="4"/>
        <w:jc w:val="both"/>
        <w:rPr>
          <w:color w:val="000000"/>
          <w:sz w:val="24"/>
          <w:szCs w:val="24"/>
        </w:rPr>
      </w:pPr>
      <w:r>
        <w:rPr>
          <w:color w:val="000000"/>
          <w:sz w:val="24"/>
          <w:szCs w:val="24"/>
        </w:rPr>
        <w:t>Los particulares podrán efectuar la inscripción de actos o documentos por medios telemáticos o manuales en las oficinas de las cámaras de comercio.</w:t>
      </w:r>
    </w:p>
    <w:p w:rsidR="00586E38" w:rsidRDefault="00586E38">
      <w:pPr>
        <w:pBdr>
          <w:top w:val="nil"/>
          <w:left w:val="nil"/>
          <w:bottom w:val="nil"/>
          <w:right w:val="nil"/>
          <w:between w:val="nil"/>
        </w:pBdr>
        <w:spacing w:before="8"/>
        <w:ind w:right="4"/>
        <w:rPr>
          <w:color w:val="000000"/>
          <w:sz w:val="24"/>
          <w:szCs w:val="24"/>
        </w:rPr>
      </w:pPr>
    </w:p>
    <w:p w:rsidR="00586E38" w:rsidRDefault="00F93B54">
      <w:pPr>
        <w:spacing w:before="1"/>
        <w:ind w:right="4"/>
        <w:jc w:val="both"/>
        <w:rPr>
          <w:sz w:val="24"/>
          <w:szCs w:val="24"/>
        </w:rPr>
      </w:pPr>
      <w:r>
        <w:rPr>
          <w:b/>
          <w:sz w:val="24"/>
          <w:szCs w:val="24"/>
        </w:rPr>
        <w:t>Artículo 93. Certificación electrónica de existencia y representación legal.</w:t>
      </w:r>
      <w:r>
        <w:rPr>
          <w:sz w:val="24"/>
          <w:szCs w:val="24"/>
        </w:rPr>
        <w:t xml:space="preserve"> Las Cámaras de</w:t>
      </w:r>
    </w:p>
    <w:p w:rsidR="00586E38" w:rsidRDefault="00F93B54">
      <w:pPr>
        <w:pBdr>
          <w:top w:val="nil"/>
          <w:left w:val="nil"/>
          <w:bottom w:val="nil"/>
          <w:right w:val="nil"/>
          <w:between w:val="nil"/>
        </w:pBdr>
        <w:spacing w:before="43"/>
        <w:ind w:right="4"/>
        <w:jc w:val="both"/>
        <w:rPr>
          <w:color w:val="000000"/>
          <w:sz w:val="24"/>
          <w:szCs w:val="24"/>
        </w:rPr>
      </w:pPr>
      <w:r>
        <w:rPr>
          <w:color w:val="000000"/>
          <w:sz w:val="24"/>
          <w:szCs w:val="24"/>
        </w:rPr>
        <w:t>Comercio estarán obligadas a expedir certificaciones de existencia y representación legal por medio de sistemas telemáticos. Para este efecto, establecerán mecanismos técnicos para asegurar la autenticidad de los certificados electrónicos que expidan.</w:t>
      </w:r>
    </w:p>
    <w:p w:rsidR="00586E38" w:rsidRDefault="00586E38">
      <w:pPr>
        <w:pBdr>
          <w:top w:val="nil"/>
          <w:left w:val="nil"/>
          <w:bottom w:val="nil"/>
          <w:right w:val="nil"/>
          <w:between w:val="nil"/>
        </w:pBdr>
        <w:spacing w:before="10"/>
        <w:ind w:right="4"/>
        <w:rPr>
          <w:color w:val="000000"/>
          <w:sz w:val="24"/>
          <w:szCs w:val="24"/>
        </w:rPr>
      </w:pPr>
    </w:p>
    <w:p w:rsidR="00586E38" w:rsidRDefault="00F93B54">
      <w:pPr>
        <w:ind w:right="4"/>
        <w:jc w:val="both"/>
        <w:rPr>
          <w:sz w:val="24"/>
          <w:szCs w:val="24"/>
        </w:rPr>
      </w:pPr>
      <w:r>
        <w:rPr>
          <w:b/>
          <w:sz w:val="24"/>
          <w:szCs w:val="24"/>
        </w:rPr>
        <w:t>Artículo 94. Consulta de documentos por medios telemáticos.</w:t>
      </w:r>
      <w:r>
        <w:rPr>
          <w:sz w:val="24"/>
          <w:szCs w:val="24"/>
        </w:rPr>
        <w:t xml:space="preserve"> Agréguese el siguiente parágrafo al artículo 26 del Código de Comercio:</w:t>
      </w:r>
    </w:p>
    <w:p w:rsidR="00586E38" w:rsidRDefault="00F93B54">
      <w:pPr>
        <w:pBdr>
          <w:top w:val="nil"/>
          <w:left w:val="nil"/>
          <w:bottom w:val="nil"/>
          <w:right w:val="nil"/>
          <w:between w:val="nil"/>
        </w:pBdr>
        <w:spacing w:before="200"/>
        <w:ind w:right="4"/>
        <w:jc w:val="both"/>
        <w:rPr>
          <w:color w:val="000000"/>
          <w:sz w:val="24"/>
          <w:szCs w:val="24"/>
        </w:rPr>
      </w:pPr>
      <w:r>
        <w:rPr>
          <w:color w:val="000000"/>
          <w:sz w:val="24"/>
          <w:szCs w:val="24"/>
        </w:rPr>
        <w:t>Las Cámaras de Comercio deberán poner en marcha sistemas electrónicos que permitan el acceso pleno a la información contenida en los libros y archivos en que fuere llevado el Registro Mercantil, de manera que ésta sea accesible por medios telemáticos.</w:t>
      </w:r>
    </w:p>
    <w:p w:rsidR="00586E38" w:rsidRDefault="00F93B54">
      <w:pPr>
        <w:pBdr>
          <w:top w:val="nil"/>
          <w:left w:val="nil"/>
          <w:bottom w:val="nil"/>
          <w:right w:val="nil"/>
          <w:between w:val="nil"/>
        </w:pBdr>
        <w:spacing w:before="201"/>
        <w:ind w:right="4"/>
        <w:jc w:val="both"/>
        <w:rPr>
          <w:color w:val="000000"/>
          <w:sz w:val="24"/>
          <w:szCs w:val="24"/>
        </w:rPr>
      </w:pPr>
      <w:r>
        <w:rPr>
          <w:b/>
          <w:color w:val="000000"/>
          <w:sz w:val="24"/>
          <w:szCs w:val="24"/>
        </w:rPr>
        <w:t>Artículo 95. Escrituras públicas electrónicas.</w:t>
      </w:r>
      <w:r>
        <w:rPr>
          <w:color w:val="000000"/>
          <w:sz w:val="24"/>
          <w:szCs w:val="24"/>
        </w:rPr>
        <w:t xml:space="preserve"> Los notarios públicos dispondrán, así </w:t>
      </w:r>
      <w:r>
        <w:rPr>
          <w:color w:val="000000"/>
          <w:sz w:val="24"/>
          <w:szCs w:val="24"/>
        </w:rPr>
        <w:lastRenderedPageBreak/>
        <w:t>mismo, de sistemas telemáticos que les permitan otorgar y expedir copias auténticas de escrituras públicas cuando cualquiera de los trámites a que se refiere el artículo 32 requiera para su inscripción en el registro mercantil del otorgamiento de un instrumento notarial, como en los casos de constitución de sociedades o reformas estatutarias que conlleven la aportación o transferencia de bienes inmuebles.</w:t>
      </w:r>
    </w:p>
    <w:p w:rsidR="00586E38" w:rsidRDefault="00586E38">
      <w:pPr>
        <w:pBdr>
          <w:top w:val="nil"/>
          <w:left w:val="nil"/>
          <w:bottom w:val="nil"/>
          <w:right w:val="nil"/>
          <w:between w:val="nil"/>
        </w:pBdr>
        <w:spacing w:before="8"/>
        <w:ind w:right="4"/>
        <w:rPr>
          <w:color w:val="000000"/>
          <w:sz w:val="24"/>
          <w:szCs w:val="24"/>
        </w:rPr>
      </w:pPr>
    </w:p>
    <w:p w:rsidR="00586E38" w:rsidRDefault="00F93B54">
      <w:pPr>
        <w:pBdr>
          <w:top w:val="nil"/>
          <w:left w:val="nil"/>
          <w:bottom w:val="nil"/>
          <w:right w:val="nil"/>
          <w:between w:val="nil"/>
        </w:pBdr>
        <w:spacing w:before="1"/>
        <w:ind w:right="4"/>
        <w:jc w:val="both"/>
        <w:rPr>
          <w:color w:val="000000"/>
          <w:sz w:val="24"/>
          <w:szCs w:val="24"/>
        </w:rPr>
      </w:pPr>
      <w:r>
        <w:rPr>
          <w:b/>
          <w:color w:val="000000"/>
          <w:sz w:val="24"/>
          <w:szCs w:val="24"/>
        </w:rPr>
        <w:t>Artículo 96. Reglamentación de registros telemáticos.</w:t>
      </w:r>
      <w:r>
        <w:rPr>
          <w:color w:val="000000"/>
          <w:sz w:val="24"/>
          <w:szCs w:val="24"/>
        </w:rPr>
        <w:t xml:space="preserve"> Dentro de los seis meses siguientes a la expedición de esta Ley, el Gobierno Nacional, a través de la Superintendencia de Sociedades, reglamentará la manera en que deberán cumplirse las obligaciones contempladas en los artículos 28 a 32.</w:t>
      </w:r>
    </w:p>
    <w:p w:rsidR="00586E38" w:rsidRDefault="00586E38">
      <w:pPr>
        <w:pBdr>
          <w:top w:val="nil"/>
          <w:left w:val="nil"/>
          <w:bottom w:val="nil"/>
          <w:right w:val="nil"/>
          <w:between w:val="nil"/>
        </w:pBdr>
        <w:spacing w:before="9"/>
        <w:ind w:right="4"/>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TÍTULO V</w:t>
      </w:r>
    </w:p>
    <w:p w:rsidR="00586E38" w:rsidRDefault="00F93B54">
      <w:pPr>
        <w:pBdr>
          <w:top w:val="nil"/>
          <w:left w:val="nil"/>
          <w:bottom w:val="nil"/>
          <w:right w:val="nil"/>
          <w:between w:val="nil"/>
        </w:pBdr>
        <w:spacing w:before="57"/>
        <w:ind w:right="4"/>
        <w:jc w:val="center"/>
        <w:rPr>
          <w:color w:val="000000"/>
          <w:sz w:val="24"/>
          <w:szCs w:val="24"/>
        </w:rPr>
      </w:pPr>
      <w:r>
        <w:rPr>
          <w:color w:val="000000"/>
          <w:sz w:val="24"/>
          <w:szCs w:val="24"/>
        </w:rPr>
        <w:t>Reformas al régimen jurídico de la Superintendencia de Sociedades</w:t>
      </w:r>
    </w:p>
    <w:p w:rsidR="00586E38" w:rsidRDefault="00586E38">
      <w:pPr>
        <w:pBdr>
          <w:top w:val="nil"/>
          <w:left w:val="nil"/>
          <w:bottom w:val="nil"/>
          <w:right w:val="nil"/>
          <w:between w:val="nil"/>
        </w:pBdr>
        <w:spacing w:before="57"/>
        <w:ind w:right="4"/>
        <w:jc w:val="center"/>
        <w:rPr>
          <w:color w:val="000000"/>
          <w:sz w:val="24"/>
          <w:szCs w:val="24"/>
        </w:rPr>
      </w:pPr>
    </w:p>
    <w:p w:rsidR="00586E38" w:rsidRDefault="00F93B54">
      <w:pPr>
        <w:pBdr>
          <w:top w:val="nil"/>
          <w:left w:val="nil"/>
          <w:bottom w:val="nil"/>
          <w:right w:val="nil"/>
          <w:between w:val="nil"/>
        </w:pBdr>
        <w:spacing w:before="57"/>
        <w:ind w:right="4"/>
        <w:jc w:val="center"/>
        <w:rPr>
          <w:b/>
          <w:color w:val="000000"/>
          <w:sz w:val="24"/>
          <w:szCs w:val="24"/>
        </w:rPr>
      </w:pPr>
      <w:r>
        <w:rPr>
          <w:b/>
          <w:color w:val="000000"/>
          <w:sz w:val="24"/>
          <w:szCs w:val="24"/>
        </w:rPr>
        <w:t>Capítulo I</w:t>
      </w:r>
    </w:p>
    <w:p w:rsidR="00586E38" w:rsidRDefault="00F93B54">
      <w:pPr>
        <w:pBdr>
          <w:top w:val="nil"/>
          <w:left w:val="nil"/>
          <w:bottom w:val="nil"/>
          <w:right w:val="nil"/>
          <w:between w:val="nil"/>
        </w:pBdr>
        <w:spacing w:before="57"/>
        <w:ind w:right="4"/>
        <w:jc w:val="center"/>
        <w:rPr>
          <w:color w:val="000000"/>
          <w:sz w:val="24"/>
          <w:szCs w:val="24"/>
        </w:rPr>
      </w:pPr>
      <w:r>
        <w:rPr>
          <w:color w:val="000000"/>
          <w:sz w:val="24"/>
          <w:szCs w:val="24"/>
        </w:rPr>
        <w:t>Facultades jurisdiccionales y administrativas de la Superintendencia de Sociedades</w:t>
      </w:r>
    </w:p>
    <w:p w:rsidR="00586E38" w:rsidRDefault="00586E38">
      <w:pPr>
        <w:pBdr>
          <w:top w:val="nil"/>
          <w:left w:val="nil"/>
          <w:bottom w:val="nil"/>
          <w:right w:val="nil"/>
          <w:between w:val="nil"/>
        </w:pBdr>
        <w:spacing w:before="4"/>
        <w:ind w:right="4"/>
        <w:rPr>
          <w:color w:val="000000"/>
          <w:sz w:val="24"/>
          <w:szCs w:val="24"/>
        </w:rPr>
      </w:pPr>
    </w:p>
    <w:p w:rsidR="00586E38" w:rsidRDefault="00F93B54">
      <w:pPr>
        <w:pBdr>
          <w:top w:val="nil"/>
          <w:left w:val="nil"/>
          <w:bottom w:val="nil"/>
          <w:right w:val="nil"/>
          <w:between w:val="nil"/>
        </w:pBdr>
        <w:spacing w:before="1"/>
        <w:ind w:right="4"/>
        <w:jc w:val="both"/>
        <w:rPr>
          <w:color w:val="000000"/>
          <w:sz w:val="24"/>
          <w:szCs w:val="24"/>
        </w:rPr>
      </w:pPr>
      <w:r>
        <w:rPr>
          <w:b/>
          <w:color w:val="000000"/>
          <w:sz w:val="24"/>
          <w:szCs w:val="24"/>
        </w:rPr>
        <w:t>Artículo 97. Facultades jurisdiccionales en materia societaria.</w:t>
      </w:r>
      <w:r>
        <w:rPr>
          <w:color w:val="000000"/>
          <w:sz w:val="24"/>
          <w:szCs w:val="24"/>
        </w:rPr>
        <w:t xml:space="preserve"> La Superintendencia de Sociedades tendrá facultades jurisdiccionales para resolver las controversias relacionadas con la interpretación y aplicación de las normas de Derecho Societario en el ámbito restrictivo de la Sociedad por Acciones Simplificadas, incluidas tanto las previstas en esta ley como las contenidas en el Libro Segundo del Código de Comercio y en las Leyes 222 de 1995 y 1258 de 2008. </w:t>
      </w:r>
    </w:p>
    <w:p w:rsidR="00586E38" w:rsidRDefault="00586E38">
      <w:pPr>
        <w:pBdr>
          <w:top w:val="nil"/>
          <w:left w:val="nil"/>
          <w:bottom w:val="nil"/>
          <w:right w:val="nil"/>
          <w:between w:val="nil"/>
        </w:pBdr>
        <w:spacing w:before="1"/>
        <w:ind w:right="4"/>
        <w:jc w:val="both"/>
        <w:rPr>
          <w:color w:val="000000"/>
          <w:sz w:val="24"/>
          <w:szCs w:val="24"/>
        </w:rPr>
      </w:pPr>
    </w:p>
    <w:p w:rsidR="00586E38" w:rsidRDefault="00F93B54">
      <w:pPr>
        <w:pBdr>
          <w:top w:val="nil"/>
          <w:left w:val="nil"/>
          <w:bottom w:val="nil"/>
          <w:right w:val="nil"/>
          <w:between w:val="nil"/>
        </w:pBdr>
        <w:spacing w:before="1"/>
        <w:ind w:right="4"/>
        <w:jc w:val="both"/>
        <w:rPr>
          <w:color w:val="000000"/>
          <w:sz w:val="24"/>
          <w:szCs w:val="24"/>
        </w:rPr>
      </w:pPr>
      <w:r>
        <w:rPr>
          <w:color w:val="000000"/>
          <w:sz w:val="24"/>
          <w:szCs w:val="24"/>
        </w:rPr>
        <w:t>La Superintendencia será competente para ejercer estas facultades, aunque las partes en litigio no ostenten la calidad de asociados o administradores en el momento de presentarse la demanda.</w:t>
      </w:r>
    </w:p>
    <w:p w:rsidR="00586E38" w:rsidRDefault="00586E38">
      <w:pPr>
        <w:pBdr>
          <w:top w:val="nil"/>
          <w:left w:val="nil"/>
          <w:bottom w:val="nil"/>
          <w:right w:val="nil"/>
          <w:between w:val="nil"/>
        </w:pBdr>
        <w:spacing w:before="9"/>
        <w:ind w:right="4"/>
        <w:rPr>
          <w:color w:val="000000"/>
          <w:sz w:val="24"/>
          <w:szCs w:val="24"/>
        </w:rPr>
      </w:pPr>
    </w:p>
    <w:p w:rsidR="00586E38" w:rsidRDefault="00F93B54">
      <w:pPr>
        <w:pBdr>
          <w:top w:val="nil"/>
          <w:left w:val="nil"/>
          <w:bottom w:val="nil"/>
          <w:right w:val="nil"/>
          <w:between w:val="nil"/>
        </w:pBdr>
        <w:spacing w:before="1"/>
        <w:ind w:right="4"/>
        <w:jc w:val="both"/>
        <w:rPr>
          <w:color w:val="000000"/>
          <w:sz w:val="24"/>
          <w:szCs w:val="24"/>
        </w:rPr>
      </w:pPr>
      <w:r>
        <w:rPr>
          <w:b/>
          <w:color w:val="000000"/>
          <w:sz w:val="24"/>
          <w:szCs w:val="24"/>
        </w:rPr>
        <w:t xml:space="preserve">Parágrafo. </w:t>
      </w:r>
      <w:r>
        <w:rPr>
          <w:color w:val="000000"/>
          <w:sz w:val="24"/>
          <w:szCs w:val="24"/>
        </w:rPr>
        <w:t>La Superintendencia de Sociedades podrá tramitar procesos en los que se debata la inexistencia, ineficacia, inoponibilidad o nulidad de los negocios jurídicos celebrados por una Sociedad por Acciones Simplificada, siempre que éstos tengan una relación directa con la interpretación o aplicación de normas de Derecho Societario.</w:t>
      </w:r>
    </w:p>
    <w:p w:rsidR="00586E38" w:rsidRDefault="00586E38">
      <w:pPr>
        <w:pBdr>
          <w:top w:val="nil"/>
          <w:left w:val="nil"/>
          <w:bottom w:val="nil"/>
          <w:right w:val="nil"/>
          <w:between w:val="nil"/>
        </w:pBdr>
        <w:spacing w:before="76"/>
        <w:ind w:right="4"/>
        <w:jc w:val="both"/>
        <w:rPr>
          <w:b/>
          <w:color w:val="000000"/>
          <w:sz w:val="24"/>
          <w:szCs w:val="24"/>
        </w:rPr>
      </w:pPr>
    </w:p>
    <w:p w:rsidR="00586E38" w:rsidRDefault="00F93B54">
      <w:pPr>
        <w:pBdr>
          <w:top w:val="nil"/>
          <w:left w:val="nil"/>
          <w:bottom w:val="nil"/>
          <w:right w:val="nil"/>
          <w:between w:val="nil"/>
        </w:pBdr>
        <w:spacing w:before="76"/>
        <w:ind w:right="4"/>
        <w:jc w:val="both"/>
        <w:rPr>
          <w:color w:val="000000"/>
          <w:sz w:val="24"/>
          <w:szCs w:val="24"/>
        </w:rPr>
      </w:pPr>
      <w:r>
        <w:rPr>
          <w:b/>
          <w:color w:val="000000"/>
          <w:sz w:val="24"/>
          <w:szCs w:val="24"/>
        </w:rPr>
        <w:t>Artículo 98. Trámite procesal.</w:t>
      </w:r>
      <w:r>
        <w:rPr>
          <w:color w:val="000000"/>
          <w:sz w:val="24"/>
          <w:szCs w:val="24"/>
        </w:rPr>
        <w:t xml:space="preserve"> Las demandas presentadas con fundamento en las facultades jurisdiccionales que le han sido asignadas a la Superintendencia de Sociedades en materia de Derecho Societario, incluidas las previstas en el artículo anterior, en el Código General del Proceso y en las Leyes 1450 de 2011, 1258 de 2008 y 446 de 1998, se tramitarán por medio del proceso verbal sumario.</w:t>
      </w:r>
    </w:p>
    <w:p w:rsidR="00586E38" w:rsidRDefault="00F93B54">
      <w:pPr>
        <w:spacing w:before="207"/>
        <w:ind w:right="4"/>
        <w:jc w:val="both"/>
        <w:rPr>
          <w:sz w:val="24"/>
          <w:szCs w:val="24"/>
        </w:rPr>
      </w:pPr>
      <w:r>
        <w:rPr>
          <w:b/>
          <w:sz w:val="24"/>
          <w:szCs w:val="24"/>
        </w:rPr>
        <w:t>Artículo 99. Otras funciones de la Superintendencia de Sociedades.</w:t>
      </w:r>
      <w:r>
        <w:rPr>
          <w:sz w:val="24"/>
          <w:szCs w:val="24"/>
        </w:rPr>
        <w:t xml:space="preserve"> Agréguese el siguiente parágrafo al artículo 84 de la Ley 222 de 1995:</w:t>
      </w:r>
    </w:p>
    <w:p w:rsidR="00586E38" w:rsidRDefault="00586E38">
      <w:pPr>
        <w:pBdr>
          <w:top w:val="nil"/>
          <w:left w:val="nil"/>
          <w:bottom w:val="nil"/>
          <w:right w:val="nil"/>
          <w:between w:val="nil"/>
        </w:pBdr>
        <w:spacing w:before="10"/>
        <w:ind w:right="4"/>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“Para el ejercicio de las facultades consignadas en los numerales 2, 7 y 9 de este artículo, </w:t>
      </w:r>
      <w:r>
        <w:rPr>
          <w:color w:val="000000"/>
          <w:sz w:val="24"/>
          <w:szCs w:val="24"/>
        </w:rPr>
        <w:lastRenderedPageBreak/>
        <w:t>la Superintendencia de Sociedades podrá establecer un régimen de autorización general, conforme a los criterios que la entidad determine”.</w:t>
      </w:r>
    </w:p>
    <w:p w:rsidR="00586E38" w:rsidRDefault="00586E38">
      <w:pPr>
        <w:pBdr>
          <w:top w:val="nil"/>
          <w:left w:val="nil"/>
          <w:bottom w:val="nil"/>
          <w:right w:val="nil"/>
          <w:between w:val="nil"/>
        </w:pBdr>
        <w:ind w:right="4"/>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100. Control. </w:t>
      </w:r>
      <w:r>
        <w:rPr>
          <w:color w:val="000000"/>
          <w:sz w:val="24"/>
          <w:szCs w:val="24"/>
        </w:rPr>
        <w:t>En el acto administrativo mediante el cual se declare el control conforme al artículo 85 de la Ley 222 de 1995, la Superintendencia de Sociedades podrá establecer cuáles de las solicitudes de autorización a que se refiere esa norma deberá cumplir la sociedad sometida a control. A falta de tal precisión, se entenderá que la sociedad quedará sometida a todas las exigencias previstas en el referido artículo mientras dure dicho sometimiento a control.</w:t>
      </w:r>
    </w:p>
    <w:p w:rsidR="00586E38" w:rsidRDefault="00586E38">
      <w:pPr>
        <w:pBdr>
          <w:top w:val="nil"/>
          <w:left w:val="nil"/>
          <w:bottom w:val="nil"/>
          <w:right w:val="nil"/>
          <w:between w:val="nil"/>
        </w:pBdr>
        <w:ind w:right="4"/>
        <w:rPr>
          <w:color w:val="000000"/>
          <w:sz w:val="24"/>
          <w:szCs w:val="24"/>
        </w:rPr>
      </w:pPr>
    </w:p>
    <w:p w:rsidR="00586E38" w:rsidRDefault="00F93B54">
      <w:pPr>
        <w:spacing w:before="141"/>
        <w:ind w:right="4"/>
        <w:jc w:val="both"/>
        <w:rPr>
          <w:sz w:val="24"/>
          <w:szCs w:val="24"/>
        </w:rPr>
      </w:pPr>
      <w:r>
        <w:rPr>
          <w:b/>
          <w:sz w:val="24"/>
          <w:szCs w:val="24"/>
        </w:rPr>
        <w:t>Artículo 101. Disolución y liquidación en casos de control.</w:t>
      </w:r>
      <w:r>
        <w:rPr>
          <w:sz w:val="24"/>
          <w:szCs w:val="24"/>
        </w:rPr>
        <w:t xml:space="preserve"> Agréguese el siguiente numeral al artículo 85 de la Ley 222 de 1995:</w:t>
      </w:r>
    </w:p>
    <w:p w:rsidR="00586E38" w:rsidRDefault="00F93B54">
      <w:pPr>
        <w:pBdr>
          <w:top w:val="nil"/>
          <w:left w:val="nil"/>
          <w:bottom w:val="nil"/>
          <w:right w:val="nil"/>
          <w:between w:val="nil"/>
        </w:pBdr>
        <w:spacing w:before="139"/>
        <w:ind w:right="4"/>
        <w:jc w:val="both"/>
        <w:rPr>
          <w:color w:val="000000"/>
          <w:sz w:val="24"/>
          <w:szCs w:val="24"/>
        </w:rPr>
      </w:pPr>
      <w:r>
        <w:rPr>
          <w:color w:val="000000"/>
          <w:sz w:val="24"/>
          <w:szCs w:val="24"/>
        </w:rPr>
        <w:t>Decretar la disolución y ordenar la liquidación de una sociedad cuando la Superintendencia de Sociedades haya comprobado graves violaciones de la ley o los estatutos que atenten contra el orden público económico. En este caso, la Superintendencia procederá, igualmente, a designar al liquidador, quien no podrá ser removido por la asamblea general de accionistas o junta de socios, salvo que medie autorización previa de la Superintendencia. Los honorarios del liquidador deberán ser pagados por la sociedad a medida que se causen. Los saldos insolutos de los honorarios tendrán la prelación legal que se le otorga a las obligaciones laborales dentro del proceso de liquidación.</w:t>
      </w:r>
    </w:p>
    <w:p w:rsidR="00586E38" w:rsidRDefault="00586E38">
      <w:pPr>
        <w:pBdr>
          <w:top w:val="nil"/>
          <w:left w:val="nil"/>
          <w:bottom w:val="nil"/>
          <w:right w:val="nil"/>
          <w:between w:val="nil"/>
        </w:pBdr>
        <w:spacing w:before="43"/>
        <w:ind w:right="4"/>
        <w:jc w:val="center"/>
        <w:rPr>
          <w:color w:val="000000"/>
          <w:sz w:val="24"/>
          <w:szCs w:val="24"/>
        </w:rPr>
      </w:pPr>
    </w:p>
    <w:p w:rsidR="00586E38" w:rsidRDefault="00F93B54">
      <w:pPr>
        <w:pBdr>
          <w:top w:val="nil"/>
          <w:left w:val="nil"/>
          <w:bottom w:val="nil"/>
          <w:right w:val="nil"/>
          <w:between w:val="nil"/>
        </w:pBdr>
        <w:spacing w:before="43"/>
        <w:ind w:right="4"/>
        <w:jc w:val="center"/>
        <w:rPr>
          <w:b/>
          <w:color w:val="000000"/>
          <w:sz w:val="24"/>
          <w:szCs w:val="24"/>
        </w:rPr>
      </w:pPr>
      <w:r>
        <w:rPr>
          <w:b/>
          <w:color w:val="000000"/>
          <w:sz w:val="24"/>
          <w:szCs w:val="24"/>
        </w:rPr>
        <w:t>Capítulo II</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Sanciones administrativas</w:t>
      </w:r>
    </w:p>
    <w:p w:rsidR="00586E38" w:rsidRDefault="00F93B54">
      <w:pPr>
        <w:pStyle w:val="Ttulo1"/>
        <w:spacing w:before="1"/>
        <w:ind w:right="4"/>
        <w:jc w:val="both"/>
        <w:rPr>
          <w:rFonts w:ascii="Arial" w:eastAsia="Arial" w:hAnsi="Arial" w:cs="Arial"/>
          <w:color w:val="000000"/>
          <w:sz w:val="24"/>
          <w:szCs w:val="24"/>
        </w:rPr>
      </w:pPr>
      <w:r>
        <w:rPr>
          <w:rFonts w:ascii="Arial" w:eastAsia="Arial" w:hAnsi="Arial" w:cs="Arial"/>
          <w:b/>
          <w:color w:val="000000"/>
          <w:sz w:val="24"/>
          <w:szCs w:val="24"/>
        </w:rPr>
        <w:t>Artículo 102. Del procedimiento administrativo sancionatorio de la Superintendencia de Sociedades.</w:t>
      </w:r>
      <w:r>
        <w:rPr>
          <w:rFonts w:ascii="Arial" w:eastAsia="Arial" w:hAnsi="Arial" w:cs="Arial"/>
          <w:color w:val="000000"/>
          <w:sz w:val="24"/>
          <w:szCs w:val="24"/>
        </w:rPr>
        <w:t xml:space="preserve"> La facultad administrativa sancionatoria de la Superintendencia de Sociedades sobre las personas jurídicas o sucursales de sociedades extranjeras sometidas a su inspección, vigilancia o control, sus asociados, controlantes, administradores, revisores fiscales, contadores, funcionarios o empleados, se sujetará al procedimiento previsto en el Código de Procedimiento Administrativo y de lo Contencioso Administrativo, salvo por las siguientes disposiciones especiales:</w:t>
      </w:r>
    </w:p>
    <w:p w:rsidR="00586E38" w:rsidRDefault="00586E38">
      <w:pPr>
        <w:ind w:right="4"/>
        <w:rPr>
          <w:sz w:val="24"/>
          <w:szCs w:val="24"/>
        </w:rPr>
      </w:pPr>
    </w:p>
    <w:p w:rsidR="00586E38" w:rsidRDefault="00F93B54">
      <w:pPr>
        <w:numPr>
          <w:ilvl w:val="1"/>
          <w:numId w:val="22"/>
        </w:numPr>
        <w:pBdr>
          <w:top w:val="nil"/>
          <w:left w:val="nil"/>
          <w:bottom w:val="nil"/>
          <w:right w:val="nil"/>
          <w:between w:val="nil"/>
        </w:pBdr>
        <w:tabs>
          <w:tab w:val="left" w:pos="746"/>
        </w:tabs>
        <w:ind w:left="0" w:right="4" w:firstLine="0"/>
        <w:jc w:val="both"/>
        <w:rPr>
          <w:color w:val="000000"/>
          <w:sz w:val="24"/>
          <w:szCs w:val="24"/>
        </w:rPr>
      </w:pPr>
      <w:r>
        <w:rPr>
          <w:color w:val="000000"/>
          <w:sz w:val="24"/>
          <w:szCs w:val="24"/>
        </w:rPr>
        <w:t>Cuando existan indicios acerca del posible incumplimiento de las normas por cuya aplicación debe velar la Superintendencia de Sociedades, esta lo citará a una audiencia con el propósito de definir si hay lugar a la imposición de sanciones. En escrito adjunto a la citación se hará mención expresa de los hechos que han dado lugar a la investigación, las normas presuntamente infringidas, las pruebas que sustentan el concepto de la violación y las consecuencias que podrían derivarse para el investigado en desarrollo de la actuación. En la misma citación se establecerá el lugar, fecha y hora para el inicio de la audiencia.</w:t>
      </w:r>
    </w:p>
    <w:p w:rsidR="00586E38" w:rsidRDefault="00F93B54">
      <w:pPr>
        <w:numPr>
          <w:ilvl w:val="1"/>
          <w:numId w:val="22"/>
        </w:numPr>
        <w:pBdr>
          <w:top w:val="nil"/>
          <w:left w:val="nil"/>
          <w:bottom w:val="nil"/>
          <w:right w:val="nil"/>
          <w:between w:val="nil"/>
        </w:pBdr>
        <w:tabs>
          <w:tab w:val="left" w:pos="746"/>
        </w:tabs>
        <w:ind w:left="0" w:right="4" w:firstLine="0"/>
        <w:jc w:val="both"/>
        <w:rPr>
          <w:color w:val="000000"/>
          <w:sz w:val="24"/>
          <w:szCs w:val="24"/>
        </w:rPr>
      </w:pPr>
      <w:r>
        <w:rPr>
          <w:color w:val="000000"/>
          <w:sz w:val="24"/>
          <w:szCs w:val="24"/>
        </w:rPr>
        <w:t xml:space="preserve">En desarrollo de la audiencia, se concederá el uso de la palabra al investigado o a quien lo represente, para que presente sus descargos, en desarrollo de lo cual podrá rendir las explicaciones del caso, aportar o solicitar las pruebas que pretenda hacer valer. </w:t>
      </w:r>
      <w:r>
        <w:rPr>
          <w:color w:val="000000"/>
          <w:sz w:val="24"/>
          <w:szCs w:val="24"/>
        </w:rPr>
        <w:lastRenderedPageBreak/>
        <w:t>Contra la decisión sobre las pruebas decretadas, aportadas o solicitadas sólo procederá el recurso de reposición, que se interpondrá, sustentará y decidirá en la misma audiencia. La decisión sobre el recurso se entenderá notificada en ese instante.</w:t>
      </w:r>
    </w:p>
    <w:p w:rsidR="00586E38" w:rsidRDefault="00F93B54">
      <w:pPr>
        <w:numPr>
          <w:ilvl w:val="1"/>
          <w:numId w:val="22"/>
        </w:numPr>
        <w:pBdr>
          <w:top w:val="nil"/>
          <w:left w:val="nil"/>
          <w:bottom w:val="nil"/>
          <w:right w:val="nil"/>
          <w:between w:val="nil"/>
        </w:pBdr>
        <w:tabs>
          <w:tab w:val="left" w:pos="746"/>
        </w:tabs>
        <w:ind w:left="0" w:right="4" w:firstLine="0"/>
        <w:jc w:val="both"/>
        <w:rPr>
          <w:color w:val="000000"/>
          <w:sz w:val="24"/>
          <w:szCs w:val="24"/>
        </w:rPr>
      </w:pPr>
      <w:r>
        <w:rPr>
          <w:color w:val="000000"/>
          <w:sz w:val="24"/>
          <w:szCs w:val="24"/>
        </w:rPr>
        <w:t>Al término de la audiencia, la Superintendencia decidirá las medidas que fueren pertinentes. Contra la decisión respectiva sólo procederá el recurso de reposición, que se interpondrá, sustentará y decidirá en la misma audiencia. La decisión sobre el recurso se entenderá notificada en ese instante.</w:t>
      </w:r>
    </w:p>
    <w:p w:rsidR="00586E38" w:rsidRDefault="00F93B54">
      <w:pPr>
        <w:numPr>
          <w:ilvl w:val="1"/>
          <w:numId w:val="22"/>
        </w:numPr>
        <w:pBdr>
          <w:top w:val="nil"/>
          <w:left w:val="nil"/>
          <w:bottom w:val="nil"/>
          <w:right w:val="nil"/>
          <w:between w:val="nil"/>
        </w:pBdr>
        <w:tabs>
          <w:tab w:val="left" w:pos="746"/>
        </w:tabs>
        <w:ind w:left="0" w:right="4" w:firstLine="0"/>
        <w:jc w:val="both"/>
        <w:rPr>
          <w:color w:val="000000"/>
          <w:sz w:val="24"/>
          <w:szCs w:val="24"/>
        </w:rPr>
      </w:pPr>
      <w:r>
        <w:rPr>
          <w:color w:val="000000"/>
          <w:sz w:val="24"/>
          <w:szCs w:val="24"/>
        </w:rPr>
        <w:t>El funcionario que presida la audiencia podrá suspenderla en cualquier momento cuando, de oficio o a petición de parte, ello resulte necesario para allegar o practicar pruebas que estime conducentes y pertinentes, o cuando por cualquier otra razón debidamente sustentada, ello resulte necesario para el adecuado desarrollo de la actuación administrativa. En todo caso, si se adoptare la suspensión, se señalará, así mismo, la fecha y hora en las que la audiencia habrá de reanudarse.</w:t>
      </w:r>
    </w:p>
    <w:p w:rsidR="00586E38" w:rsidRDefault="00F93B54">
      <w:pPr>
        <w:numPr>
          <w:ilvl w:val="1"/>
          <w:numId w:val="22"/>
        </w:numPr>
        <w:pBdr>
          <w:top w:val="nil"/>
          <w:left w:val="nil"/>
          <w:bottom w:val="nil"/>
          <w:right w:val="nil"/>
          <w:between w:val="nil"/>
        </w:pBdr>
        <w:tabs>
          <w:tab w:val="left" w:pos="746"/>
        </w:tabs>
        <w:ind w:left="0" w:right="4" w:firstLine="0"/>
        <w:jc w:val="both"/>
        <w:rPr>
          <w:color w:val="000000"/>
          <w:sz w:val="24"/>
          <w:szCs w:val="24"/>
        </w:rPr>
      </w:pPr>
      <w:r>
        <w:rPr>
          <w:color w:val="000000"/>
          <w:sz w:val="24"/>
          <w:szCs w:val="24"/>
        </w:rPr>
        <w:t>Los terceros que hubieran formulado la queja o denuncia que hubiera dado lugar a la actuación administrativa podrán intervenir en la misma.</w:t>
      </w:r>
    </w:p>
    <w:p w:rsidR="00586E38" w:rsidRDefault="00586E38">
      <w:pPr>
        <w:pBdr>
          <w:top w:val="nil"/>
          <w:left w:val="nil"/>
          <w:bottom w:val="nil"/>
          <w:right w:val="nil"/>
          <w:between w:val="nil"/>
        </w:pBdr>
        <w:spacing w:before="9"/>
        <w:ind w:right="4"/>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w:t>
      </w:r>
      <w:r>
        <w:rPr>
          <w:color w:val="000000"/>
          <w:sz w:val="24"/>
          <w:szCs w:val="24"/>
        </w:rPr>
        <w:t xml:space="preserve"> El procedimiento aquí establecido no se aplicará en el caso de infracciones al régimen de cambios internacionales.</w:t>
      </w:r>
    </w:p>
    <w:p w:rsidR="00586E38" w:rsidRDefault="00F93B54">
      <w:pPr>
        <w:pStyle w:val="Ttulo1"/>
        <w:spacing w:before="194"/>
        <w:ind w:right="4"/>
        <w:jc w:val="both"/>
        <w:rPr>
          <w:rFonts w:ascii="Arial" w:eastAsia="Arial" w:hAnsi="Arial" w:cs="Arial"/>
          <w:color w:val="000000"/>
          <w:sz w:val="24"/>
          <w:szCs w:val="24"/>
        </w:rPr>
      </w:pPr>
      <w:r>
        <w:rPr>
          <w:rFonts w:ascii="Arial" w:eastAsia="Arial" w:hAnsi="Arial" w:cs="Arial"/>
          <w:b/>
          <w:color w:val="000000"/>
          <w:sz w:val="24"/>
          <w:szCs w:val="24"/>
        </w:rPr>
        <w:t>Artículo 103. Incumplimiento de órdenes.</w:t>
      </w:r>
      <w:r>
        <w:rPr>
          <w:rFonts w:ascii="Arial" w:eastAsia="Arial" w:hAnsi="Arial" w:cs="Arial"/>
          <w:color w:val="000000"/>
          <w:sz w:val="24"/>
          <w:szCs w:val="24"/>
        </w:rPr>
        <w:t xml:space="preserve"> Cuando no se acredite oportunamente ante la Superintendencia el cumplimiento de órdenes que hubiere impartido, le corresponderá al destinatario acreditar las razones que justifican el incumplimiento dentro del mismo plazo previsto para el cumplimiento de la orden. En caso contrario, la Superintendencia impondrá la sanción correspondiente, sin necesidad de previo requerimiento o solicitud de explicaciones adicionales. En el mismo acto señalará un nuevo plazo para acreditar el acatamiento de la orden incumplida.</w:t>
      </w:r>
    </w:p>
    <w:p w:rsidR="00586E38" w:rsidRDefault="00F93B54">
      <w:pPr>
        <w:pBdr>
          <w:top w:val="nil"/>
          <w:left w:val="nil"/>
          <w:bottom w:val="nil"/>
          <w:right w:val="nil"/>
          <w:between w:val="nil"/>
        </w:pBdr>
        <w:ind w:right="4"/>
        <w:rPr>
          <w:color w:val="000000"/>
          <w:sz w:val="24"/>
          <w:szCs w:val="24"/>
        </w:rPr>
      </w:pPr>
      <w:r>
        <w:rPr>
          <w:color w:val="000000"/>
          <w:sz w:val="24"/>
          <w:szCs w:val="24"/>
        </w:rPr>
        <w:t>Contra los actos dictados en esta actuación sólo procederá el recurso de reposición.</w:t>
      </w:r>
    </w:p>
    <w:p w:rsidR="00586E38" w:rsidRDefault="00F93B54">
      <w:pPr>
        <w:spacing w:before="211"/>
        <w:ind w:right="4"/>
        <w:jc w:val="both"/>
        <w:rPr>
          <w:sz w:val="24"/>
          <w:szCs w:val="24"/>
        </w:rPr>
      </w:pPr>
      <w:r>
        <w:rPr>
          <w:b/>
          <w:sz w:val="24"/>
          <w:szCs w:val="24"/>
        </w:rPr>
        <w:t>Artículo 104. Medidas cautelares en investigaciones administrativas y visitas.</w:t>
      </w:r>
      <w:r>
        <w:rPr>
          <w:sz w:val="24"/>
          <w:szCs w:val="24"/>
        </w:rPr>
        <w:t xml:space="preserve"> En el momento de decretarse una investigación administrativa o visita a una sociedad o durante el curso de una investigación, la Superintendencia de Sociedades estará facultada para adoptar las medidas cautelares que a continuación se indican:</w:t>
      </w:r>
    </w:p>
    <w:p w:rsidR="00586E38" w:rsidRDefault="00586E38">
      <w:pPr>
        <w:pBdr>
          <w:top w:val="nil"/>
          <w:left w:val="nil"/>
          <w:bottom w:val="nil"/>
          <w:right w:val="nil"/>
          <w:between w:val="nil"/>
        </w:pBdr>
        <w:spacing w:before="10"/>
        <w:ind w:right="4"/>
        <w:rPr>
          <w:color w:val="000000"/>
          <w:sz w:val="24"/>
          <w:szCs w:val="24"/>
        </w:rPr>
      </w:pPr>
    </w:p>
    <w:p w:rsidR="00586E38" w:rsidRDefault="00F93B54">
      <w:pPr>
        <w:numPr>
          <w:ilvl w:val="0"/>
          <w:numId w:val="19"/>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La suspensión de administradores o revisores fiscales de sociedades.</w:t>
      </w:r>
    </w:p>
    <w:p w:rsidR="00586E38" w:rsidRDefault="00F93B54">
      <w:pPr>
        <w:numPr>
          <w:ilvl w:val="0"/>
          <w:numId w:val="19"/>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Ordenarles a los administradores que se abstengan temporalmente de ejecutar una orden proferida por la Asamblea General de Accionistas, Junta de Socios o Junta Directiva.</w:t>
      </w:r>
    </w:p>
    <w:p w:rsidR="00586E38" w:rsidRDefault="00F93B54">
      <w:pPr>
        <w:numPr>
          <w:ilvl w:val="0"/>
          <w:numId w:val="19"/>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La restricción para negociar acciones, cuotas o partes de interés de una sociedad.</w:t>
      </w:r>
    </w:p>
    <w:p w:rsidR="00586E38" w:rsidRDefault="00F93B54">
      <w:pPr>
        <w:numPr>
          <w:ilvl w:val="0"/>
          <w:numId w:val="19"/>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La suspensión de procesos de emisión y colocación de acciones o de aumento de capital en sociedades por cuotas o partes de interés.</w:t>
      </w:r>
    </w:p>
    <w:p w:rsidR="00586E38" w:rsidRDefault="00F93B54">
      <w:pPr>
        <w:numPr>
          <w:ilvl w:val="0"/>
          <w:numId w:val="19"/>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La orden de suspender la determinación relativa a la disolución de una sociedad.</w:t>
      </w:r>
    </w:p>
    <w:p w:rsidR="00586E38" w:rsidRDefault="00F93B54">
      <w:pPr>
        <w:numPr>
          <w:ilvl w:val="0"/>
          <w:numId w:val="19"/>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Cualquiera otra que fuere pertinente para evitar que se cause un perjuicio a la sociedad, los asociados o terceros.</w:t>
      </w:r>
    </w:p>
    <w:p w:rsidR="00586E38" w:rsidRDefault="00F93B54">
      <w:pPr>
        <w:pBdr>
          <w:top w:val="nil"/>
          <w:left w:val="nil"/>
          <w:bottom w:val="nil"/>
          <w:right w:val="nil"/>
          <w:between w:val="nil"/>
        </w:pBdr>
        <w:spacing w:before="208"/>
        <w:ind w:right="4"/>
        <w:jc w:val="both"/>
        <w:rPr>
          <w:color w:val="000000"/>
          <w:sz w:val="24"/>
          <w:szCs w:val="24"/>
        </w:rPr>
      </w:pPr>
      <w:r>
        <w:rPr>
          <w:b/>
          <w:color w:val="000000"/>
          <w:sz w:val="24"/>
          <w:szCs w:val="24"/>
        </w:rPr>
        <w:lastRenderedPageBreak/>
        <w:t>Artículo 105. Sanciones.</w:t>
      </w:r>
      <w:r>
        <w:rPr>
          <w:color w:val="000000"/>
          <w:sz w:val="24"/>
          <w:szCs w:val="24"/>
        </w:rPr>
        <w:t xml:space="preserve"> La Superintendencia de Sociedades podrá imponer las siguientes sanciones a quienes incumplan sus órdenes, la ley o los estatutos:</w:t>
      </w:r>
    </w:p>
    <w:p w:rsidR="00586E38" w:rsidRDefault="00586E38">
      <w:pPr>
        <w:pBdr>
          <w:top w:val="nil"/>
          <w:left w:val="nil"/>
          <w:bottom w:val="nil"/>
          <w:right w:val="nil"/>
          <w:between w:val="nil"/>
        </w:pBdr>
        <w:spacing w:before="8"/>
        <w:ind w:right="4"/>
        <w:rPr>
          <w:color w:val="000000"/>
          <w:sz w:val="24"/>
          <w:szCs w:val="24"/>
        </w:rPr>
      </w:pPr>
    </w:p>
    <w:p w:rsidR="00586E38" w:rsidRDefault="00F93B54">
      <w:pPr>
        <w:numPr>
          <w:ilvl w:val="0"/>
          <w:numId w:val="21"/>
        </w:numPr>
        <w:pBdr>
          <w:top w:val="nil"/>
          <w:left w:val="nil"/>
          <w:bottom w:val="nil"/>
          <w:right w:val="nil"/>
          <w:between w:val="nil"/>
        </w:pBdr>
        <w:tabs>
          <w:tab w:val="left" w:pos="739"/>
        </w:tabs>
        <w:spacing w:before="43"/>
        <w:ind w:left="0" w:right="4" w:firstLine="0"/>
        <w:jc w:val="both"/>
        <w:rPr>
          <w:color w:val="000000"/>
          <w:sz w:val="24"/>
          <w:szCs w:val="24"/>
        </w:rPr>
      </w:pPr>
      <w:r>
        <w:rPr>
          <w:color w:val="000000"/>
          <w:sz w:val="24"/>
          <w:szCs w:val="24"/>
        </w:rPr>
        <w:t>Multas sucesivas hasta de 1.000 salarios mínimos legales mensuales vigentes, si se tratare de personas naturales y de 50.000 salarios mínimos legales mensuales vigentes, en el caso de personas jurídicas.</w:t>
      </w:r>
    </w:p>
    <w:p w:rsidR="00586E38" w:rsidRDefault="00F93B54">
      <w:pPr>
        <w:numPr>
          <w:ilvl w:val="0"/>
          <w:numId w:val="21"/>
        </w:numPr>
        <w:pBdr>
          <w:top w:val="nil"/>
          <w:left w:val="nil"/>
          <w:bottom w:val="nil"/>
          <w:right w:val="nil"/>
          <w:between w:val="nil"/>
        </w:pBdr>
        <w:tabs>
          <w:tab w:val="left" w:pos="739"/>
        </w:tabs>
        <w:spacing w:before="43"/>
        <w:ind w:left="0" w:right="4" w:firstLine="0"/>
        <w:jc w:val="both"/>
        <w:rPr>
          <w:color w:val="000000"/>
          <w:sz w:val="24"/>
          <w:szCs w:val="24"/>
        </w:rPr>
      </w:pPr>
      <w:r>
        <w:rPr>
          <w:color w:val="000000"/>
          <w:sz w:val="24"/>
          <w:szCs w:val="24"/>
        </w:rPr>
        <w:t>Remoción de administradores, revisor fiscal o empleados.</w:t>
      </w:r>
    </w:p>
    <w:p w:rsidR="00586E38" w:rsidRDefault="00F93B54">
      <w:pPr>
        <w:numPr>
          <w:ilvl w:val="0"/>
          <w:numId w:val="21"/>
        </w:numPr>
        <w:pBdr>
          <w:top w:val="nil"/>
          <w:left w:val="nil"/>
          <w:bottom w:val="nil"/>
          <w:right w:val="nil"/>
          <w:between w:val="nil"/>
        </w:pBdr>
        <w:tabs>
          <w:tab w:val="left" w:pos="777"/>
        </w:tabs>
        <w:spacing w:before="59"/>
        <w:ind w:left="0" w:right="4" w:firstLine="0"/>
        <w:jc w:val="both"/>
        <w:rPr>
          <w:color w:val="000000"/>
          <w:sz w:val="24"/>
          <w:szCs w:val="24"/>
        </w:rPr>
      </w:pPr>
      <w:r>
        <w:rPr>
          <w:color w:val="000000"/>
          <w:sz w:val="24"/>
          <w:szCs w:val="24"/>
        </w:rPr>
        <w:t>Prohibición para ejercer el comercio hasta por 10 años, contados a partir de la ejecutoria de la sanción.</w:t>
      </w:r>
    </w:p>
    <w:p w:rsidR="00586E38" w:rsidRDefault="00F93B54">
      <w:pPr>
        <w:numPr>
          <w:ilvl w:val="0"/>
          <w:numId w:val="21"/>
        </w:numPr>
        <w:pBdr>
          <w:top w:val="nil"/>
          <w:left w:val="nil"/>
          <w:bottom w:val="nil"/>
          <w:right w:val="nil"/>
          <w:between w:val="nil"/>
        </w:pBdr>
        <w:tabs>
          <w:tab w:val="left" w:pos="710"/>
        </w:tabs>
        <w:spacing w:before="20"/>
        <w:ind w:left="0" w:right="4" w:firstLine="0"/>
        <w:jc w:val="both"/>
        <w:rPr>
          <w:color w:val="000000"/>
          <w:sz w:val="24"/>
          <w:szCs w:val="24"/>
        </w:rPr>
      </w:pPr>
      <w:r>
        <w:rPr>
          <w:color w:val="000000"/>
          <w:sz w:val="24"/>
          <w:szCs w:val="24"/>
        </w:rPr>
        <w:t>Amonestaciones y sanciones pedagógicas convertibles en multas.</w:t>
      </w:r>
    </w:p>
    <w:p w:rsidR="00586E38" w:rsidRDefault="00586E38">
      <w:pPr>
        <w:pBdr>
          <w:top w:val="nil"/>
          <w:left w:val="nil"/>
          <w:bottom w:val="nil"/>
          <w:right w:val="nil"/>
          <w:between w:val="nil"/>
        </w:pBdr>
        <w:spacing w:before="1"/>
        <w:ind w:right="4"/>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Parágrafo.</w:t>
      </w:r>
      <w:r>
        <w:rPr>
          <w:color w:val="000000"/>
          <w:sz w:val="24"/>
          <w:szCs w:val="24"/>
        </w:rPr>
        <w:t xml:space="preserve"> La Superintendencia de Sociedades podrá concederle beneficios a las personas naturales o jurídicas que hubieren participado en una conducta que viole la ley o los estatutos, en caso de que le informen a la entidad acerca de la existencia de dicha conducta o colaboren con la entrega de información y de pruebas, incluida la identificación de los demás infractores, aun cuando la Superintendencia ya se encuentre adelantando la correspondiente actuación.</w:t>
      </w:r>
    </w:p>
    <w:p w:rsidR="00586E38" w:rsidRDefault="00586E38">
      <w:pPr>
        <w:pBdr>
          <w:top w:val="nil"/>
          <w:left w:val="nil"/>
          <w:bottom w:val="nil"/>
          <w:right w:val="nil"/>
          <w:between w:val="nil"/>
        </w:pBdr>
        <w:spacing w:before="2"/>
        <w:ind w:right="4"/>
        <w:rPr>
          <w:color w:val="000000"/>
          <w:sz w:val="24"/>
          <w:szCs w:val="24"/>
        </w:rPr>
      </w:pPr>
    </w:p>
    <w:p w:rsidR="00586E38" w:rsidRDefault="00F93B54">
      <w:pPr>
        <w:numPr>
          <w:ilvl w:val="0"/>
          <w:numId w:val="17"/>
        </w:numPr>
        <w:pBdr>
          <w:top w:val="nil"/>
          <w:left w:val="nil"/>
          <w:bottom w:val="nil"/>
          <w:right w:val="nil"/>
          <w:between w:val="nil"/>
        </w:pBdr>
        <w:tabs>
          <w:tab w:val="left" w:pos="710"/>
        </w:tabs>
        <w:ind w:left="0" w:right="4" w:firstLine="0"/>
        <w:jc w:val="both"/>
        <w:rPr>
          <w:color w:val="000000"/>
          <w:sz w:val="24"/>
          <w:szCs w:val="24"/>
        </w:rPr>
      </w:pPr>
      <w:r>
        <w:rPr>
          <w:color w:val="000000"/>
          <w:sz w:val="24"/>
          <w:szCs w:val="24"/>
        </w:rPr>
        <w:t>Los beneficios podrán incluir la exoneración total o parcial de la multa u otras sanciones que podrían serles impuestas.</w:t>
      </w:r>
    </w:p>
    <w:p w:rsidR="00586E38" w:rsidRDefault="00586E38">
      <w:pPr>
        <w:pBdr>
          <w:top w:val="nil"/>
          <w:left w:val="nil"/>
          <w:bottom w:val="nil"/>
          <w:right w:val="nil"/>
          <w:between w:val="nil"/>
        </w:pBdr>
        <w:spacing w:before="6"/>
        <w:ind w:right="4"/>
        <w:rPr>
          <w:color w:val="000000"/>
          <w:sz w:val="24"/>
          <w:szCs w:val="24"/>
        </w:rPr>
      </w:pPr>
    </w:p>
    <w:p w:rsidR="00586E38" w:rsidRDefault="00F93B54">
      <w:pPr>
        <w:numPr>
          <w:ilvl w:val="0"/>
          <w:numId w:val="17"/>
        </w:numPr>
        <w:pBdr>
          <w:top w:val="nil"/>
          <w:left w:val="nil"/>
          <w:bottom w:val="nil"/>
          <w:right w:val="nil"/>
          <w:between w:val="nil"/>
        </w:pBdr>
        <w:tabs>
          <w:tab w:val="left" w:pos="786"/>
        </w:tabs>
        <w:ind w:left="0" w:right="4" w:firstLine="0"/>
        <w:jc w:val="both"/>
        <w:rPr>
          <w:color w:val="000000"/>
          <w:sz w:val="24"/>
          <w:szCs w:val="24"/>
        </w:rPr>
      </w:pPr>
      <w:r>
        <w:rPr>
          <w:color w:val="000000"/>
          <w:sz w:val="24"/>
          <w:szCs w:val="24"/>
        </w:rPr>
        <w:t>La Superintendencia de Sociedades establecerá si hay lugar a la obtención de beneficios y los determinará en función de la calidad y utilidad de la información que se suministre, teniendo en cuenta los siguientes factores:</w:t>
      </w:r>
    </w:p>
    <w:p w:rsidR="00586E38" w:rsidRDefault="00586E38">
      <w:pPr>
        <w:pBdr>
          <w:top w:val="nil"/>
          <w:left w:val="nil"/>
          <w:bottom w:val="nil"/>
          <w:right w:val="nil"/>
          <w:between w:val="nil"/>
        </w:pBdr>
        <w:ind w:right="4"/>
        <w:rPr>
          <w:color w:val="000000"/>
          <w:sz w:val="24"/>
          <w:szCs w:val="24"/>
        </w:rPr>
      </w:pPr>
    </w:p>
    <w:p w:rsidR="00586E38" w:rsidRDefault="00F93B54">
      <w:pPr>
        <w:numPr>
          <w:ilvl w:val="0"/>
          <w:numId w:val="11"/>
        </w:numPr>
        <w:pBdr>
          <w:top w:val="nil"/>
          <w:left w:val="nil"/>
          <w:bottom w:val="nil"/>
          <w:right w:val="nil"/>
          <w:between w:val="nil"/>
        </w:pBdr>
        <w:tabs>
          <w:tab w:val="left" w:pos="729"/>
        </w:tabs>
        <w:ind w:left="0" w:right="4" w:firstLine="0"/>
        <w:jc w:val="both"/>
        <w:rPr>
          <w:color w:val="000000"/>
          <w:sz w:val="24"/>
          <w:szCs w:val="24"/>
        </w:rPr>
      </w:pPr>
      <w:r>
        <w:rPr>
          <w:color w:val="000000"/>
          <w:sz w:val="24"/>
          <w:szCs w:val="24"/>
        </w:rPr>
        <w:t>La eficacia de la colaboración en el esclarecimiento de los hechos y en la represión de las conductas, entendiéndose por colaboración con las autoridades el suministro de información y de pruebas que permitan establecer la existencia, modalidad, duración y efectos de la conducta, así como la identidad de los responsables, su grado de participación y el beneficio obtenido con la conducta ilegal.</w:t>
      </w:r>
    </w:p>
    <w:p w:rsidR="00586E38" w:rsidRDefault="00586E38">
      <w:pPr>
        <w:pBdr>
          <w:top w:val="nil"/>
          <w:left w:val="nil"/>
          <w:bottom w:val="nil"/>
          <w:right w:val="nil"/>
          <w:between w:val="nil"/>
        </w:pBdr>
        <w:spacing w:before="2"/>
        <w:ind w:right="4"/>
        <w:rPr>
          <w:color w:val="000000"/>
          <w:sz w:val="24"/>
          <w:szCs w:val="24"/>
        </w:rPr>
      </w:pPr>
    </w:p>
    <w:p w:rsidR="00586E38" w:rsidRDefault="00F93B54">
      <w:pPr>
        <w:numPr>
          <w:ilvl w:val="0"/>
          <w:numId w:val="11"/>
        </w:numPr>
        <w:pBdr>
          <w:top w:val="nil"/>
          <w:left w:val="nil"/>
          <w:bottom w:val="nil"/>
          <w:right w:val="nil"/>
          <w:between w:val="nil"/>
        </w:pBdr>
        <w:tabs>
          <w:tab w:val="left" w:pos="722"/>
        </w:tabs>
        <w:ind w:left="0" w:right="4" w:firstLine="0"/>
        <w:jc w:val="both"/>
        <w:rPr>
          <w:color w:val="000000"/>
          <w:sz w:val="24"/>
          <w:szCs w:val="24"/>
        </w:rPr>
      </w:pPr>
      <w:r>
        <w:rPr>
          <w:color w:val="000000"/>
          <w:sz w:val="24"/>
          <w:szCs w:val="24"/>
        </w:rPr>
        <w:t>La oportunidad en que las autoridades reciban la colaboración.</w:t>
      </w:r>
    </w:p>
    <w:p w:rsidR="00586E38" w:rsidRDefault="00586E38">
      <w:pPr>
        <w:pBdr>
          <w:top w:val="nil"/>
          <w:left w:val="nil"/>
          <w:bottom w:val="nil"/>
          <w:right w:val="nil"/>
          <w:between w:val="nil"/>
        </w:pBdr>
        <w:spacing w:before="10"/>
        <w:ind w:right="4"/>
        <w:rPr>
          <w:color w:val="000000"/>
          <w:sz w:val="24"/>
          <w:szCs w:val="24"/>
        </w:rPr>
      </w:pPr>
    </w:p>
    <w:p w:rsidR="00586E38" w:rsidRDefault="00F93B54">
      <w:pPr>
        <w:spacing w:before="1"/>
        <w:ind w:right="4"/>
        <w:jc w:val="both"/>
        <w:rPr>
          <w:sz w:val="24"/>
          <w:szCs w:val="24"/>
        </w:rPr>
      </w:pPr>
      <w:r>
        <w:rPr>
          <w:b/>
          <w:sz w:val="24"/>
          <w:szCs w:val="24"/>
        </w:rPr>
        <w:t>Artículo 106. Criterios para la graduación de sanciones.</w:t>
      </w:r>
      <w:r>
        <w:rPr>
          <w:sz w:val="24"/>
          <w:szCs w:val="24"/>
        </w:rPr>
        <w:t xml:space="preserve"> Para efectos de graduar las multas, la Superintendencia de Sociedades tendrá en cuenta los siguientes criterios:</w:t>
      </w:r>
    </w:p>
    <w:p w:rsidR="00586E38" w:rsidRDefault="00F93B54">
      <w:pPr>
        <w:numPr>
          <w:ilvl w:val="1"/>
          <w:numId w:val="11"/>
        </w:numPr>
        <w:pBdr>
          <w:top w:val="nil"/>
          <w:left w:val="nil"/>
          <w:bottom w:val="nil"/>
          <w:right w:val="nil"/>
          <w:between w:val="nil"/>
        </w:pBdr>
        <w:tabs>
          <w:tab w:val="left" w:pos="1182"/>
        </w:tabs>
        <w:spacing w:before="20"/>
        <w:ind w:left="0" w:right="4" w:firstLine="0"/>
        <w:jc w:val="both"/>
        <w:rPr>
          <w:color w:val="000000"/>
          <w:sz w:val="24"/>
          <w:szCs w:val="24"/>
        </w:rPr>
      </w:pPr>
      <w:r>
        <w:rPr>
          <w:color w:val="000000"/>
          <w:sz w:val="24"/>
          <w:szCs w:val="24"/>
        </w:rPr>
        <w:t>La mayor o menor gravedad de la infracción.</w:t>
      </w:r>
    </w:p>
    <w:p w:rsidR="00586E38" w:rsidRDefault="00F93B54">
      <w:pPr>
        <w:numPr>
          <w:ilvl w:val="1"/>
          <w:numId w:val="11"/>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La reincidencia en la comisión de las infracciones.</w:t>
      </w:r>
    </w:p>
    <w:p w:rsidR="00586E38" w:rsidRDefault="00F93B54">
      <w:pPr>
        <w:numPr>
          <w:ilvl w:val="1"/>
          <w:numId w:val="11"/>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La mayor o menor disposición de colaborar con la Superintendencia durante la investigación.</w:t>
      </w:r>
    </w:p>
    <w:p w:rsidR="00586E38" w:rsidRDefault="00F93B54">
      <w:pPr>
        <w:numPr>
          <w:ilvl w:val="1"/>
          <w:numId w:val="11"/>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La conducta procesal de la persona o personas durante la investigación que ha dado lugar a la multa.</w:t>
      </w:r>
    </w:p>
    <w:p w:rsidR="00586E38" w:rsidRDefault="00F93B54">
      <w:pPr>
        <w:numPr>
          <w:ilvl w:val="1"/>
          <w:numId w:val="11"/>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El patrimonio del infractor.</w:t>
      </w:r>
    </w:p>
    <w:p w:rsidR="00586E38" w:rsidRDefault="00F93B54">
      <w:pPr>
        <w:numPr>
          <w:ilvl w:val="1"/>
          <w:numId w:val="11"/>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t>El daño económico que se le hubiere causado a la compañía o a terceros como consecuencia de la comisión de la infracción.</w:t>
      </w:r>
    </w:p>
    <w:p w:rsidR="00586E38" w:rsidRDefault="00F93B54">
      <w:pPr>
        <w:numPr>
          <w:ilvl w:val="1"/>
          <w:numId w:val="11"/>
        </w:numPr>
        <w:pBdr>
          <w:top w:val="nil"/>
          <w:left w:val="nil"/>
          <w:bottom w:val="nil"/>
          <w:right w:val="nil"/>
          <w:between w:val="nil"/>
        </w:pBdr>
        <w:tabs>
          <w:tab w:val="left" w:pos="1182"/>
        </w:tabs>
        <w:ind w:left="0" w:right="4" w:firstLine="0"/>
        <w:jc w:val="both"/>
        <w:rPr>
          <w:color w:val="000000"/>
          <w:sz w:val="24"/>
          <w:szCs w:val="24"/>
        </w:rPr>
      </w:pPr>
      <w:r>
        <w:rPr>
          <w:color w:val="000000"/>
          <w:sz w:val="24"/>
          <w:szCs w:val="24"/>
        </w:rPr>
        <w:lastRenderedPageBreak/>
        <w:t>El beneficio obtenido por el infractor.</w:t>
      </w:r>
    </w:p>
    <w:p w:rsidR="00586E38" w:rsidRDefault="00F93B54">
      <w:pPr>
        <w:numPr>
          <w:ilvl w:val="1"/>
          <w:numId w:val="11"/>
        </w:numPr>
        <w:pBdr>
          <w:top w:val="nil"/>
          <w:left w:val="nil"/>
          <w:bottom w:val="nil"/>
          <w:right w:val="nil"/>
          <w:between w:val="nil"/>
        </w:pBdr>
        <w:tabs>
          <w:tab w:val="left" w:pos="1182"/>
        </w:tabs>
        <w:spacing w:before="1"/>
        <w:ind w:left="0" w:right="4" w:firstLine="0"/>
        <w:jc w:val="both"/>
        <w:rPr>
          <w:color w:val="000000"/>
          <w:sz w:val="24"/>
          <w:szCs w:val="24"/>
        </w:rPr>
      </w:pPr>
      <w:r>
        <w:rPr>
          <w:color w:val="000000"/>
          <w:sz w:val="24"/>
          <w:szCs w:val="24"/>
        </w:rPr>
        <w:t>El grado de participación del infractor.</w:t>
      </w:r>
    </w:p>
    <w:p w:rsidR="00586E38" w:rsidRDefault="00586E38">
      <w:pPr>
        <w:pBdr>
          <w:top w:val="nil"/>
          <w:left w:val="nil"/>
          <w:bottom w:val="nil"/>
          <w:right w:val="nil"/>
          <w:between w:val="nil"/>
        </w:pBdr>
        <w:ind w:right="4"/>
        <w:rPr>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Capítulo III</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Designación del Superintendente de Sociedades</w:t>
      </w:r>
    </w:p>
    <w:p w:rsidR="00586E38" w:rsidRDefault="00586E38">
      <w:pPr>
        <w:pBdr>
          <w:top w:val="nil"/>
          <w:left w:val="nil"/>
          <w:bottom w:val="nil"/>
          <w:right w:val="nil"/>
          <w:between w:val="nil"/>
        </w:pBdr>
        <w:ind w:right="4"/>
        <w:jc w:val="center"/>
        <w:rPr>
          <w:color w:val="000000"/>
          <w:sz w:val="24"/>
          <w:szCs w:val="24"/>
        </w:rPr>
      </w:pPr>
    </w:p>
    <w:p w:rsidR="00586E38" w:rsidRDefault="00F93B54">
      <w:pPr>
        <w:ind w:right="4"/>
        <w:jc w:val="both"/>
        <w:rPr>
          <w:sz w:val="24"/>
          <w:szCs w:val="24"/>
        </w:rPr>
      </w:pPr>
      <w:r>
        <w:rPr>
          <w:b/>
          <w:sz w:val="24"/>
          <w:szCs w:val="24"/>
        </w:rPr>
        <w:t>Artículo 107. Calidades</w:t>
      </w:r>
      <w:r>
        <w:rPr>
          <w:sz w:val="24"/>
          <w:szCs w:val="24"/>
        </w:rPr>
        <w:t>. Para ser designado como Superintendente de Sociedades, es necesario cumplir los siguientes requisitos:</w:t>
      </w:r>
    </w:p>
    <w:p w:rsidR="00586E38" w:rsidRDefault="00F93B54">
      <w:pPr>
        <w:ind w:right="4"/>
        <w:jc w:val="both"/>
        <w:rPr>
          <w:sz w:val="24"/>
          <w:szCs w:val="24"/>
        </w:rPr>
      </w:pPr>
      <w:r>
        <w:rPr>
          <w:sz w:val="24"/>
          <w:szCs w:val="24"/>
        </w:rPr>
        <w:t>1. Ser colombiano, ciudadano en ejercicio y mayor de 35 años;</w:t>
      </w:r>
    </w:p>
    <w:p w:rsidR="00586E38" w:rsidRDefault="00F93B54">
      <w:pPr>
        <w:ind w:right="4"/>
        <w:jc w:val="both"/>
        <w:rPr>
          <w:sz w:val="24"/>
          <w:szCs w:val="24"/>
        </w:rPr>
      </w:pPr>
      <w:r>
        <w:rPr>
          <w:sz w:val="24"/>
          <w:szCs w:val="24"/>
        </w:rPr>
        <w:t>2. Tener título profesional de abogado;</w:t>
      </w:r>
    </w:p>
    <w:p w:rsidR="00586E38" w:rsidRDefault="00F93B54">
      <w:pPr>
        <w:ind w:right="4"/>
        <w:jc w:val="both"/>
        <w:rPr>
          <w:sz w:val="24"/>
          <w:szCs w:val="24"/>
        </w:rPr>
      </w:pPr>
      <w:r>
        <w:rPr>
          <w:sz w:val="24"/>
          <w:szCs w:val="24"/>
        </w:rPr>
        <w:t>3. Tener título de doctorado o maestría en Derecho, Economía o Administración de Empresas; y</w:t>
      </w:r>
    </w:p>
    <w:p w:rsidR="00586E38" w:rsidRDefault="00F93B54">
      <w:pPr>
        <w:ind w:right="4"/>
        <w:jc w:val="both"/>
        <w:rPr>
          <w:sz w:val="24"/>
          <w:szCs w:val="24"/>
        </w:rPr>
      </w:pPr>
      <w:r>
        <w:rPr>
          <w:sz w:val="24"/>
          <w:szCs w:val="24"/>
        </w:rPr>
        <w:t>4. Haber desempeñado, durante un período no menor de diez años, cargos públicos o privados relacionados con el Derecho, la Economía o la Administración de Empresas con reconocida eficiencia y honestidad o haber ejercido su profesión con buen crédito o la cátedra universitaria durante el mismo lapso en las materias indicadas.</w:t>
      </w:r>
    </w:p>
    <w:p w:rsidR="00586E38" w:rsidRDefault="00586E38">
      <w:pPr>
        <w:ind w:right="4"/>
        <w:jc w:val="both"/>
        <w:rPr>
          <w:sz w:val="24"/>
          <w:szCs w:val="24"/>
        </w:rPr>
      </w:pPr>
    </w:p>
    <w:p w:rsidR="00586E38" w:rsidRDefault="00F93B54">
      <w:pPr>
        <w:ind w:right="4"/>
        <w:jc w:val="both"/>
        <w:rPr>
          <w:sz w:val="24"/>
          <w:szCs w:val="24"/>
        </w:rPr>
      </w:pPr>
      <w:r>
        <w:rPr>
          <w:b/>
          <w:sz w:val="24"/>
          <w:szCs w:val="24"/>
        </w:rPr>
        <w:t>Artículo 108. Inhabilidades para ser designado como Superintendente de Sociedades</w:t>
      </w:r>
      <w:r>
        <w:rPr>
          <w:sz w:val="24"/>
          <w:szCs w:val="24"/>
        </w:rPr>
        <w:t>. No podrán ser designados como Superintendentes de Sociedades:</w:t>
      </w:r>
    </w:p>
    <w:p w:rsidR="00586E38" w:rsidRDefault="00F93B54">
      <w:pPr>
        <w:ind w:right="4"/>
        <w:jc w:val="both"/>
        <w:rPr>
          <w:sz w:val="24"/>
          <w:szCs w:val="24"/>
        </w:rPr>
      </w:pPr>
      <w:r>
        <w:rPr>
          <w:sz w:val="24"/>
          <w:szCs w:val="24"/>
        </w:rPr>
        <w:t>a) Quienes hayan sido condenados en cualquier época por sentencia judicial a</w:t>
      </w:r>
    </w:p>
    <w:p w:rsidR="00586E38" w:rsidRDefault="00F93B54">
      <w:pPr>
        <w:ind w:right="4"/>
        <w:jc w:val="both"/>
        <w:rPr>
          <w:sz w:val="24"/>
          <w:szCs w:val="24"/>
        </w:rPr>
      </w:pPr>
      <w:r>
        <w:rPr>
          <w:sz w:val="24"/>
          <w:szCs w:val="24"/>
        </w:rPr>
        <w:t>pena privativa de la libertad, salvo por delitos políticos.</w:t>
      </w:r>
    </w:p>
    <w:p w:rsidR="00586E38" w:rsidRDefault="00F93B54">
      <w:pPr>
        <w:ind w:right="4"/>
        <w:jc w:val="both"/>
        <w:rPr>
          <w:sz w:val="24"/>
          <w:szCs w:val="24"/>
        </w:rPr>
      </w:pPr>
      <w:r>
        <w:rPr>
          <w:sz w:val="24"/>
          <w:szCs w:val="24"/>
        </w:rPr>
        <w:t>b) Quienes hayan sido sancionados por faltas contra la ética en el ejercicio profesional, durante los diez años anteriores a la designación.</w:t>
      </w:r>
    </w:p>
    <w:p w:rsidR="00586E38" w:rsidRDefault="00F93B54">
      <w:pPr>
        <w:ind w:right="4"/>
        <w:jc w:val="both"/>
        <w:rPr>
          <w:sz w:val="24"/>
          <w:szCs w:val="24"/>
        </w:rPr>
      </w:pPr>
      <w:r>
        <w:rPr>
          <w:sz w:val="24"/>
          <w:szCs w:val="24"/>
        </w:rPr>
        <w:t>c) Quienes hayan perdido la investidura de congresista.</w:t>
      </w:r>
    </w:p>
    <w:p w:rsidR="00586E38" w:rsidRDefault="00586E38">
      <w:pPr>
        <w:ind w:right="4"/>
        <w:jc w:val="both"/>
        <w:rPr>
          <w:sz w:val="24"/>
          <w:szCs w:val="24"/>
        </w:rPr>
      </w:pPr>
    </w:p>
    <w:p w:rsidR="00586E38" w:rsidRDefault="00F93B54">
      <w:pPr>
        <w:ind w:right="4"/>
        <w:jc w:val="both"/>
        <w:rPr>
          <w:sz w:val="24"/>
          <w:szCs w:val="24"/>
        </w:rPr>
      </w:pPr>
      <w:r>
        <w:rPr>
          <w:b/>
          <w:sz w:val="24"/>
          <w:szCs w:val="24"/>
        </w:rPr>
        <w:t>Artículo 109. Incompatibilidades del Superintendente de Sociedades</w:t>
      </w:r>
      <w:r>
        <w:rPr>
          <w:sz w:val="24"/>
          <w:szCs w:val="24"/>
        </w:rPr>
        <w:t>. El Superintendente de Sociedades no podrá:</w:t>
      </w:r>
    </w:p>
    <w:p w:rsidR="00586E38" w:rsidRDefault="00F93B54">
      <w:pPr>
        <w:ind w:right="4"/>
        <w:jc w:val="both"/>
        <w:rPr>
          <w:sz w:val="24"/>
          <w:szCs w:val="24"/>
        </w:rPr>
      </w:pPr>
      <w:r>
        <w:rPr>
          <w:sz w:val="24"/>
          <w:szCs w:val="24"/>
        </w:rPr>
        <w:t>a) Ejercer su profesión o ningún otro oficio durante el período del ejercicio del</w:t>
      </w:r>
    </w:p>
    <w:p w:rsidR="00586E38" w:rsidRDefault="00F93B54">
      <w:pPr>
        <w:ind w:right="4"/>
        <w:jc w:val="both"/>
        <w:rPr>
          <w:sz w:val="24"/>
          <w:szCs w:val="24"/>
        </w:rPr>
      </w:pPr>
      <w:r>
        <w:rPr>
          <w:sz w:val="24"/>
          <w:szCs w:val="24"/>
        </w:rPr>
        <w:t>cargo, con excepción de la cátedra universitaria, la cual no podrá exceder de cuatro horas semanales.</w:t>
      </w:r>
    </w:p>
    <w:p w:rsidR="00586E38" w:rsidRDefault="00F93B54">
      <w:pPr>
        <w:ind w:right="4"/>
        <w:jc w:val="both"/>
        <w:rPr>
          <w:sz w:val="24"/>
          <w:szCs w:val="24"/>
        </w:rPr>
      </w:pPr>
      <w:r>
        <w:rPr>
          <w:sz w:val="24"/>
          <w:szCs w:val="24"/>
        </w:rPr>
        <w:t>b) Celebrar contratos con la Superintendencia de Sociedades, por sí o por interpuesta persona o en nombre de otro, ni gestionar ante ella negocios propios o ajenos, durante el ejercicio de su cargo, ni dentro del año siguiente a su retiro.</w:t>
      </w:r>
    </w:p>
    <w:p w:rsidR="00586E38" w:rsidRDefault="00F93B54">
      <w:pPr>
        <w:ind w:right="4"/>
        <w:jc w:val="both"/>
        <w:rPr>
          <w:sz w:val="24"/>
          <w:szCs w:val="24"/>
        </w:rPr>
      </w:pPr>
      <w:r>
        <w:rPr>
          <w:sz w:val="24"/>
          <w:szCs w:val="24"/>
        </w:rPr>
        <w:t>c) Intervenir en asuntos de carácter particular y concreto que hubiere tramitado durante el desempeño de sus funciones y en relación con su cargo.</w:t>
      </w:r>
    </w:p>
    <w:p w:rsidR="00586E38" w:rsidRDefault="00F93B54">
      <w:pPr>
        <w:ind w:right="4"/>
        <w:jc w:val="both"/>
        <w:rPr>
          <w:sz w:val="24"/>
          <w:szCs w:val="24"/>
        </w:rPr>
      </w:pPr>
      <w:r>
        <w:rPr>
          <w:sz w:val="24"/>
          <w:szCs w:val="24"/>
        </w:rPr>
        <w:t>d) Intervenir en actividades de proselitismo político o electoral, sin perjuicio de ejercer libremente el derecho al sufragio.</w:t>
      </w:r>
    </w:p>
    <w:p w:rsidR="00586E38" w:rsidRDefault="00F93B54">
      <w:pPr>
        <w:ind w:right="4"/>
        <w:jc w:val="both"/>
        <w:rPr>
          <w:sz w:val="24"/>
          <w:szCs w:val="24"/>
        </w:rPr>
      </w:pPr>
      <w:r>
        <w:rPr>
          <w:sz w:val="24"/>
          <w:szCs w:val="24"/>
        </w:rPr>
        <w:t>e) Ser representante legal, director o accionista de cualquier institución sometida a la inspección, vigilancia o control de la Superintendencia de Sociedades, durante el ejercicio de su cargo.</w:t>
      </w:r>
    </w:p>
    <w:p w:rsidR="00586E38" w:rsidRDefault="00586E38">
      <w:pPr>
        <w:ind w:right="4"/>
        <w:jc w:val="both"/>
        <w:rPr>
          <w:sz w:val="24"/>
          <w:szCs w:val="24"/>
        </w:rPr>
      </w:pPr>
    </w:p>
    <w:p w:rsidR="00586E38" w:rsidRDefault="00F93B54">
      <w:pPr>
        <w:ind w:right="4"/>
        <w:jc w:val="both"/>
        <w:rPr>
          <w:sz w:val="24"/>
          <w:szCs w:val="24"/>
        </w:rPr>
      </w:pPr>
      <w:r>
        <w:rPr>
          <w:b/>
          <w:sz w:val="24"/>
          <w:szCs w:val="24"/>
        </w:rPr>
        <w:t>Artículo 110. De la designación y período del Superintendente de Sociedades</w:t>
      </w:r>
      <w:r>
        <w:rPr>
          <w:sz w:val="24"/>
          <w:szCs w:val="24"/>
        </w:rPr>
        <w:t xml:space="preserve">. El Superintendente de Sociedades será nombrado por el presidente de la República para períodos de cuatro años, que empezarán a contarse a partir de la fecha de posesión de </w:t>
      </w:r>
      <w:r>
        <w:rPr>
          <w:sz w:val="24"/>
          <w:szCs w:val="24"/>
        </w:rPr>
        <w:lastRenderedPageBreak/>
        <w:t>éste.</w:t>
      </w:r>
    </w:p>
    <w:p w:rsidR="00586E38" w:rsidRDefault="00586E38">
      <w:pPr>
        <w:ind w:right="4"/>
        <w:jc w:val="both"/>
        <w:rPr>
          <w:sz w:val="24"/>
          <w:szCs w:val="24"/>
        </w:rPr>
      </w:pPr>
    </w:p>
    <w:p w:rsidR="00586E38" w:rsidRDefault="00F93B54">
      <w:pPr>
        <w:ind w:right="4"/>
        <w:jc w:val="both"/>
        <w:rPr>
          <w:sz w:val="24"/>
          <w:szCs w:val="24"/>
        </w:rPr>
      </w:pPr>
      <w:r>
        <w:rPr>
          <w:b/>
          <w:sz w:val="24"/>
          <w:szCs w:val="24"/>
        </w:rPr>
        <w:t>Artículo 111. Falta absoluta del Superintendente de Sociedades</w:t>
      </w:r>
      <w:r>
        <w:rPr>
          <w:sz w:val="24"/>
          <w:szCs w:val="24"/>
        </w:rPr>
        <w:t>. En caso de falta absoluta del Superintendente de Sociedades, el presidente de la República designará al funcionario que haya de reemplazarlo por el lapso que reste del período presidencial.</w:t>
      </w:r>
    </w:p>
    <w:p w:rsidR="00586E38" w:rsidRDefault="00586E38">
      <w:pPr>
        <w:ind w:right="4"/>
        <w:jc w:val="both"/>
        <w:rPr>
          <w:sz w:val="24"/>
          <w:szCs w:val="24"/>
        </w:rPr>
      </w:pPr>
    </w:p>
    <w:p w:rsidR="00586E38" w:rsidRDefault="00F93B54">
      <w:pPr>
        <w:ind w:right="4"/>
        <w:jc w:val="both"/>
        <w:rPr>
          <w:sz w:val="24"/>
          <w:szCs w:val="24"/>
        </w:rPr>
      </w:pPr>
      <w:r>
        <w:rPr>
          <w:sz w:val="24"/>
          <w:szCs w:val="24"/>
        </w:rPr>
        <w:t>Son faltas absolutas la muerte, la renuncia aceptada, la destitución decretada por autoridad competente y la discapacidad física o mental sobrevinientes que tengan por efecto la imposibilidad permanente para ejercer el cargo.</w:t>
      </w:r>
    </w:p>
    <w:p w:rsidR="00586E38" w:rsidRDefault="00586E38">
      <w:pPr>
        <w:ind w:right="4"/>
        <w:jc w:val="both"/>
        <w:rPr>
          <w:b/>
          <w:sz w:val="24"/>
          <w:szCs w:val="24"/>
        </w:rPr>
      </w:pPr>
    </w:p>
    <w:p w:rsidR="00586E38" w:rsidRDefault="00F93B54">
      <w:pPr>
        <w:ind w:right="4"/>
        <w:jc w:val="both"/>
        <w:rPr>
          <w:sz w:val="24"/>
          <w:szCs w:val="24"/>
        </w:rPr>
      </w:pPr>
      <w:r>
        <w:rPr>
          <w:b/>
          <w:sz w:val="24"/>
          <w:szCs w:val="24"/>
        </w:rPr>
        <w:t>Artículo 112. Destitución del Superintendente de Sociedades</w:t>
      </w:r>
      <w:r>
        <w:rPr>
          <w:sz w:val="24"/>
          <w:szCs w:val="24"/>
        </w:rPr>
        <w:t>. El Superintendente de Sociedades sólo podrá ser destituido, antes del período para el cual fue designado, por las siguientes causas:</w:t>
      </w:r>
    </w:p>
    <w:p w:rsidR="00586E38" w:rsidRDefault="00F93B54">
      <w:pPr>
        <w:widowControl/>
        <w:numPr>
          <w:ilvl w:val="0"/>
          <w:numId w:val="16"/>
        </w:numPr>
        <w:pBdr>
          <w:top w:val="nil"/>
          <w:left w:val="nil"/>
          <w:bottom w:val="nil"/>
          <w:right w:val="nil"/>
          <w:between w:val="nil"/>
        </w:pBdr>
        <w:ind w:left="0" w:right="4" w:firstLine="0"/>
        <w:jc w:val="both"/>
        <w:rPr>
          <w:color w:val="000000"/>
          <w:sz w:val="24"/>
          <w:szCs w:val="24"/>
        </w:rPr>
      </w:pPr>
      <w:r>
        <w:rPr>
          <w:color w:val="000000"/>
          <w:sz w:val="24"/>
          <w:szCs w:val="24"/>
        </w:rPr>
        <w:t>Abandono del cargo;</w:t>
      </w:r>
    </w:p>
    <w:p w:rsidR="00586E38" w:rsidRDefault="00F93B54">
      <w:pPr>
        <w:widowControl/>
        <w:numPr>
          <w:ilvl w:val="0"/>
          <w:numId w:val="16"/>
        </w:numPr>
        <w:pBdr>
          <w:top w:val="nil"/>
          <w:left w:val="nil"/>
          <w:bottom w:val="nil"/>
          <w:right w:val="nil"/>
          <w:between w:val="nil"/>
        </w:pBdr>
        <w:ind w:left="0" w:right="4" w:firstLine="0"/>
        <w:jc w:val="both"/>
        <w:rPr>
          <w:color w:val="000000"/>
          <w:sz w:val="24"/>
          <w:szCs w:val="24"/>
        </w:rPr>
      </w:pPr>
      <w:r>
        <w:rPr>
          <w:color w:val="000000"/>
          <w:sz w:val="24"/>
          <w:szCs w:val="24"/>
        </w:rPr>
        <w:t>Realización de conductas dolosas en el ejercicio de su cargo;</w:t>
      </w:r>
    </w:p>
    <w:p w:rsidR="00586E38" w:rsidRDefault="00F93B54">
      <w:pPr>
        <w:widowControl/>
        <w:numPr>
          <w:ilvl w:val="0"/>
          <w:numId w:val="16"/>
        </w:numPr>
        <w:pBdr>
          <w:top w:val="nil"/>
          <w:left w:val="nil"/>
          <w:bottom w:val="nil"/>
          <w:right w:val="nil"/>
          <w:between w:val="nil"/>
        </w:pBdr>
        <w:ind w:left="0" w:right="4" w:firstLine="0"/>
        <w:jc w:val="both"/>
        <w:rPr>
          <w:color w:val="000000"/>
          <w:sz w:val="24"/>
          <w:szCs w:val="24"/>
        </w:rPr>
      </w:pPr>
      <w:r>
        <w:rPr>
          <w:color w:val="000000"/>
          <w:sz w:val="24"/>
          <w:szCs w:val="24"/>
        </w:rPr>
        <w:t>Condena por sentencia judicial a pena privativa de la libertad.</w:t>
      </w:r>
    </w:p>
    <w:p w:rsidR="00586E38" w:rsidRDefault="00586E38">
      <w:pPr>
        <w:ind w:right="4"/>
        <w:jc w:val="both"/>
        <w:rPr>
          <w:sz w:val="24"/>
          <w:szCs w:val="24"/>
        </w:rPr>
      </w:pPr>
    </w:p>
    <w:p w:rsidR="00586E38" w:rsidRDefault="00F93B54">
      <w:pPr>
        <w:ind w:right="4"/>
        <w:jc w:val="both"/>
        <w:rPr>
          <w:sz w:val="24"/>
          <w:szCs w:val="24"/>
        </w:rPr>
      </w:pPr>
      <w:r>
        <w:rPr>
          <w:sz w:val="24"/>
          <w:szCs w:val="24"/>
        </w:rPr>
        <w:t>El decreto por medio del cual se ordene la destitución deberá estar debidamente motivado. En él se incluirán, pormenorizadamente, los hechos y razones en que se funda la medida. El decreto respectivo se dará a conocer, además de los medios previstas en las normas vigentes, mediante su publicación en el portal de internet de la Presidencia de la República.</w:t>
      </w:r>
    </w:p>
    <w:p w:rsidR="00586E38" w:rsidRDefault="00586E38">
      <w:pPr>
        <w:ind w:right="4"/>
        <w:jc w:val="both"/>
        <w:rPr>
          <w:sz w:val="24"/>
          <w:szCs w:val="24"/>
        </w:rPr>
      </w:pPr>
    </w:p>
    <w:p w:rsidR="00586E38" w:rsidRDefault="00F93B54">
      <w:pPr>
        <w:ind w:right="4"/>
        <w:jc w:val="both"/>
        <w:rPr>
          <w:sz w:val="24"/>
          <w:szCs w:val="24"/>
        </w:rPr>
      </w:pPr>
      <w:r>
        <w:rPr>
          <w:b/>
          <w:sz w:val="24"/>
          <w:szCs w:val="24"/>
        </w:rPr>
        <w:t>Artículo 113. Gastos de defensa</w:t>
      </w:r>
      <w:r>
        <w:rPr>
          <w:sz w:val="24"/>
          <w:szCs w:val="24"/>
        </w:rPr>
        <w:t>. A partir de su posesión, el Superintendente de Sociedades estará cubierto por una póliza de seguro que ampare los gastos por honorarios profesionales para su defensa en cualquier proceso civil, administrativo, penal o de cualquier otra naturaleza, que se hubiere iniciado con ocasión del ejercicio del cargo.</w:t>
      </w:r>
    </w:p>
    <w:p w:rsidR="00586E38" w:rsidRDefault="00586E38">
      <w:pPr>
        <w:ind w:right="4"/>
        <w:jc w:val="both"/>
        <w:rPr>
          <w:sz w:val="24"/>
          <w:szCs w:val="24"/>
        </w:rPr>
      </w:pPr>
    </w:p>
    <w:p w:rsidR="00586E38" w:rsidRDefault="00F93B54">
      <w:pPr>
        <w:ind w:right="4"/>
        <w:jc w:val="both"/>
        <w:rPr>
          <w:sz w:val="24"/>
          <w:szCs w:val="24"/>
        </w:rPr>
      </w:pPr>
      <w:r>
        <w:rPr>
          <w:sz w:val="24"/>
          <w:szCs w:val="24"/>
        </w:rPr>
        <w:t>Los costos que se causen por la expedición de esta póliza de seguro serán de cargo de la Superintendencia de Sociedades.</w:t>
      </w:r>
    </w:p>
    <w:p w:rsidR="00586E38" w:rsidRDefault="00586E38">
      <w:pPr>
        <w:ind w:right="4"/>
        <w:jc w:val="both"/>
        <w:rPr>
          <w:sz w:val="24"/>
          <w:szCs w:val="24"/>
        </w:rPr>
      </w:pPr>
    </w:p>
    <w:p w:rsidR="00586E38" w:rsidRDefault="00F93B54">
      <w:pPr>
        <w:ind w:right="4"/>
        <w:jc w:val="both"/>
        <w:rPr>
          <w:sz w:val="24"/>
          <w:szCs w:val="24"/>
        </w:rPr>
      </w:pPr>
      <w:r>
        <w:rPr>
          <w:b/>
          <w:sz w:val="24"/>
          <w:szCs w:val="24"/>
        </w:rPr>
        <w:t>Artículo 114. Régimen de transición</w:t>
      </w:r>
      <w:r>
        <w:rPr>
          <w:sz w:val="24"/>
          <w:szCs w:val="24"/>
        </w:rPr>
        <w:t>. Los artículos previstos en este Capítulo sólo serán aplicables respecto de los Superintendentes que se designen con posterioridad a la fecha de vigencia de esta ley.</w:t>
      </w:r>
    </w:p>
    <w:p w:rsidR="00586E38" w:rsidRDefault="00586E38">
      <w:pPr>
        <w:ind w:right="4"/>
        <w:jc w:val="both"/>
        <w:rPr>
          <w:sz w:val="24"/>
          <w:szCs w:val="24"/>
        </w:rPr>
      </w:pPr>
    </w:p>
    <w:p w:rsidR="00586E38" w:rsidRDefault="00F93B54">
      <w:pPr>
        <w:pBdr>
          <w:top w:val="nil"/>
          <w:left w:val="nil"/>
          <w:bottom w:val="nil"/>
          <w:right w:val="nil"/>
          <w:between w:val="nil"/>
        </w:pBdr>
        <w:spacing w:before="43"/>
        <w:ind w:right="4"/>
        <w:jc w:val="center"/>
        <w:rPr>
          <w:b/>
          <w:color w:val="000000"/>
          <w:sz w:val="24"/>
          <w:szCs w:val="24"/>
        </w:rPr>
      </w:pPr>
      <w:r>
        <w:rPr>
          <w:b/>
          <w:color w:val="000000"/>
          <w:sz w:val="24"/>
          <w:szCs w:val="24"/>
        </w:rPr>
        <w:t>TÍTULO VI</w:t>
      </w:r>
    </w:p>
    <w:p w:rsidR="00586E38" w:rsidRDefault="00F93B54">
      <w:pPr>
        <w:pBdr>
          <w:top w:val="nil"/>
          <w:left w:val="nil"/>
          <w:bottom w:val="nil"/>
          <w:right w:val="nil"/>
          <w:between w:val="nil"/>
        </w:pBdr>
        <w:spacing w:before="43"/>
        <w:ind w:right="4"/>
        <w:jc w:val="center"/>
        <w:rPr>
          <w:color w:val="000000"/>
          <w:sz w:val="24"/>
          <w:szCs w:val="24"/>
        </w:rPr>
      </w:pPr>
      <w:r>
        <w:rPr>
          <w:color w:val="000000"/>
          <w:sz w:val="24"/>
          <w:szCs w:val="24"/>
        </w:rPr>
        <w:t>Opresión de asociados minoritarios</w:t>
      </w:r>
    </w:p>
    <w:p w:rsidR="00586E38" w:rsidRDefault="00F93B54">
      <w:pPr>
        <w:pBdr>
          <w:top w:val="nil"/>
          <w:left w:val="nil"/>
          <w:bottom w:val="nil"/>
          <w:right w:val="nil"/>
          <w:between w:val="nil"/>
        </w:pBdr>
        <w:spacing w:before="59"/>
        <w:ind w:right="4"/>
        <w:jc w:val="center"/>
        <w:rPr>
          <w:b/>
          <w:color w:val="000000"/>
          <w:sz w:val="24"/>
          <w:szCs w:val="24"/>
        </w:rPr>
      </w:pPr>
      <w:r>
        <w:rPr>
          <w:b/>
          <w:color w:val="000000"/>
          <w:sz w:val="24"/>
          <w:szCs w:val="24"/>
        </w:rPr>
        <w:t>Capítulo único</w:t>
      </w:r>
    </w:p>
    <w:p w:rsidR="00586E38" w:rsidRDefault="00F93B54">
      <w:pPr>
        <w:pBdr>
          <w:top w:val="nil"/>
          <w:left w:val="nil"/>
          <w:bottom w:val="nil"/>
          <w:right w:val="nil"/>
          <w:between w:val="nil"/>
        </w:pBdr>
        <w:spacing w:before="59"/>
        <w:ind w:right="4"/>
        <w:jc w:val="center"/>
        <w:rPr>
          <w:color w:val="000000"/>
          <w:sz w:val="24"/>
          <w:szCs w:val="24"/>
        </w:rPr>
      </w:pPr>
      <w:r>
        <w:rPr>
          <w:color w:val="000000"/>
          <w:sz w:val="24"/>
          <w:szCs w:val="24"/>
        </w:rPr>
        <w:t>Concepto de opresión y trámite judicial</w:t>
      </w:r>
    </w:p>
    <w:p w:rsidR="00586E38" w:rsidRDefault="00F93B54">
      <w:pPr>
        <w:pBdr>
          <w:top w:val="nil"/>
          <w:left w:val="nil"/>
          <w:bottom w:val="nil"/>
          <w:right w:val="nil"/>
          <w:between w:val="nil"/>
        </w:pBdr>
        <w:spacing w:before="177"/>
        <w:ind w:right="4"/>
        <w:jc w:val="both"/>
        <w:rPr>
          <w:color w:val="000000"/>
          <w:sz w:val="24"/>
          <w:szCs w:val="24"/>
        </w:rPr>
      </w:pPr>
      <w:r>
        <w:rPr>
          <w:b/>
          <w:color w:val="000000"/>
          <w:sz w:val="24"/>
          <w:szCs w:val="24"/>
        </w:rPr>
        <w:t>Artículo 115. Concepto de opresión de minoritarios.</w:t>
      </w:r>
      <w:r>
        <w:rPr>
          <w:color w:val="000000"/>
          <w:sz w:val="24"/>
          <w:szCs w:val="24"/>
        </w:rPr>
        <w:t xml:space="preserve"> Se entenderá por opresión de los asociados minoritarios el conjunto de conductas tendentes al menoscabo de los derechos que le corresponden a éstos conforme a la ley.</w:t>
      </w:r>
    </w:p>
    <w:p w:rsidR="00586E38" w:rsidRDefault="00586E38">
      <w:pPr>
        <w:pBdr>
          <w:top w:val="nil"/>
          <w:left w:val="nil"/>
          <w:bottom w:val="nil"/>
          <w:right w:val="nil"/>
          <w:between w:val="nil"/>
        </w:pBdr>
        <w:ind w:right="4"/>
        <w:rPr>
          <w:color w:val="000000"/>
          <w:sz w:val="24"/>
          <w:szCs w:val="24"/>
        </w:rPr>
      </w:pPr>
    </w:p>
    <w:p w:rsidR="00586E38" w:rsidRDefault="00586E38">
      <w:pPr>
        <w:pBdr>
          <w:top w:val="nil"/>
          <w:left w:val="nil"/>
          <w:bottom w:val="nil"/>
          <w:right w:val="nil"/>
          <w:between w:val="nil"/>
        </w:pBdr>
        <w:ind w:right="4"/>
        <w:rPr>
          <w:color w:val="000000"/>
          <w:sz w:val="24"/>
          <w:szCs w:val="24"/>
        </w:rPr>
      </w:pPr>
    </w:p>
    <w:p w:rsidR="00586E38" w:rsidRDefault="00F93B54">
      <w:pPr>
        <w:pBdr>
          <w:top w:val="nil"/>
          <w:left w:val="nil"/>
          <w:bottom w:val="nil"/>
          <w:right w:val="nil"/>
          <w:between w:val="nil"/>
        </w:pBdr>
        <w:spacing w:before="138"/>
        <w:ind w:right="4"/>
        <w:jc w:val="both"/>
        <w:rPr>
          <w:color w:val="000000"/>
          <w:sz w:val="24"/>
          <w:szCs w:val="24"/>
        </w:rPr>
      </w:pPr>
      <w:r>
        <w:rPr>
          <w:b/>
          <w:color w:val="000000"/>
          <w:sz w:val="24"/>
          <w:szCs w:val="24"/>
        </w:rPr>
        <w:t>Artículo 116. Trámite judicial.</w:t>
      </w:r>
      <w:r>
        <w:rPr>
          <w:color w:val="000000"/>
          <w:sz w:val="24"/>
          <w:szCs w:val="24"/>
        </w:rPr>
        <w:t xml:space="preserve"> La protección de los asociados afectados por opresión se tramitará mediante demanda presentada ante la Superintendencia de Sociedades. Esta entidad ejercerá funciones jurisdiccionales para estos efectos.</w:t>
      </w:r>
    </w:p>
    <w:p w:rsidR="00586E38" w:rsidRDefault="00F93B54">
      <w:pPr>
        <w:pBdr>
          <w:top w:val="nil"/>
          <w:left w:val="nil"/>
          <w:bottom w:val="nil"/>
          <w:right w:val="nil"/>
          <w:between w:val="nil"/>
        </w:pBdr>
        <w:spacing w:before="140"/>
        <w:ind w:right="4"/>
        <w:jc w:val="both"/>
        <w:rPr>
          <w:color w:val="000000"/>
          <w:sz w:val="24"/>
          <w:szCs w:val="24"/>
        </w:rPr>
      </w:pPr>
      <w:r>
        <w:rPr>
          <w:color w:val="000000"/>
          <w:sz w:val="24"/>
          <w:szCs w:val="24"/>
        </w:rPr>
        <w:t>En la sentencia correspondiente, el juez podrá declarar probada la opresión, en cuyo caso podrá ordenar las siguientes medidas, en el orden que se describe a continuación:</w:t>
      </w:r>
    </w:p>
    <w:p w:rsidR="00586E38" w:rsidRDefault="00F93B54">
      <w:pPr>
        <w:numPr>
          <w:ilvl w:val="0"/>
          <w:numId w:val="6"/>
        </w:numPr>
        <w:pBdr>
          <w:top w:val="nil"/>
          <w:left w:val="nil"/>
          <w:bottom w:val="nil"/>
          <w:right w:val="nil"/>
          <w:between w:val="nil"/>
        </w:pBdr>
        <w:tabs>
          <w:tab w:val="left" w:pos="1182"/>
        </w:tabs>
        <w:spacing w:before="138"/>
        <w:ind w:left="0" w:right="4" w:firstLine="0"/>
        <w:jc w:val="both"/>
        <w:rPr>
          <w:color w:val="000000"/>
          <w:sz w:val="24"/>
          <w:szCs w:val="24"/>
        </w:rPr>
      </w:pPr>
      <w:r>
        <w:rPr>
          <w:color w:val="000000"/>
          <w:sz w:val="24"/>
          <w:szCs w:val="24"/>
        </w:rPr>
        <w:t>Las previstas en los artículos 14 a 16 de la Ley 222 de 1995 relativas al reembolso de la participación del asociado. Si dicho reembolso implicare una reducción de capital, deberá dársele cumplimiento, además, a lo señalado en el artículo 145 del Código de Comercio.</w:t>
      </w:r>
    </w:p>
    <w:p w:rsidR="00586E38" w:rsidRDefault="00F93B54">
      <w:pPr>
        <w:numPr>
          <w:ilvl w:val="0"/>
          <w:numId w:val="6"/>
        </w:numPr>
        <w:pBdr>
          <w:top w:val="nil"/>
          <w:left w:val="nil"/>
          <w:bottom w:val="nil"/>
          <w:right w:val="nil"/>
          <w:between w:val="nil"/>
        </w:pBdr>
        <w:tabs>
          <w:tab w:val="left" w:pos="1182"/>
        </w:tabs>
        <w:spacing w:before="1"/>
        <w:ind w:left="0" w:right="4" w:firstLine="0"/>
        <w:jc w:val="both"/>
        <w:rPr>
          <w:color w:val="000000"/>
          <w:sz w:val="24"/>
          <w:szCs w:val="24"/>
        </w:rPr>
      </w:pPr>
      <w:r>
        <w:rPr>
          <w:color w:val="000000"/>
          <w:sz w:val="24"/>
          <w:szCs w:val="24"/>
        </w:rPr>
        <w:t>En caso de no ser posible el reembolso de la participación del asociado, conforme al numeral anterior, la disolución y liquidación de la sociedad y el nombramiento del liquidador.</w:t>
      </w:r>
    </w:p>
    <w:p w:rsidR="00586E38" w:rsidRDefault="00586E38">
      <w:pPr>
        <w:pBdr>
          <w:top w:val="nil"/>
          <w:left w:val="nil"/>
          <w:bottom w:val="nil"/>
          <w:right w:val="nil"/>
          <w:between w:val="nil"/>
        </w:pBdr>
        <w:ind w:right="4"/>
        <w:rPr>
          <w:b/>
          <w:color w:val="000000"/>
          <w:sz w:val="24"/>
          <w:szCs w:val="24"/>
        </w:rPr>
      </w:pPr>
    </w:p>
    <w:p w:rsidR="00586E38" w:rsidRDefault="00F93B54">
      <w:pPr>
        <w:pBdr>
          <w:top w:val="nil"/>
          <w:left w:val="nil"/>
          <w:bottom w:val="nil"/>
          <w:right w:val="nil"/>
          <w:between w:val="nil"/>
        </w:pBdr>
        <w:ind w:right="4"/>
        <w:jc w:val="center"/>
        <w:rPr>
          <w:b/>
          <w:color w:val="000000"/>
          <w:sz w:val="24"/>
          <w:szCs w:val="24"/>
        </w:rPr>
      </w:pPr>
      <w:r>
        <w:rPr>
          <w:b/>
          <w:color w:val="000000"/>
          <w:sz w:val="24"/>
          <w:szCs w:val="24"/>
        </w:rPr>
        <w:t>TÍTULO VII</w:t>
      </w:r>
    </w:p>
    <w:p w:rsidR="00586E38" w:rsidRDefault="00F93B54">
      <w:pPr>
        <w:pBdr>
          <w:top w:val="nil"/>
          <w:left w:val="nil"/>
          <w:bottom w:val="nil"/>
          <w:right w:val="nil"/>
          <w:between w:val="nil"/>
        </w:pBdr>
        <w:ind w:right="4"/>
        <w:jc w:val="center"/>
        <w:rPr>
          <w:color w:val="000000"/>
          <w:sz w:val="24"/>
          <w:szCs w:val="24"/>
        </w:rPr>
      </w:pPr>
      <w:r>
        <w:rPr>
          <w:color w:val="000000"/>
          <w:sz w:val="24"/>
          <w:szCs w:val="24"/>
        </w:rPr>
        <w:t>Arbitraje societario</w:t>
      </w:r>
    </w:p>
    <w:p w:rsidR="00586E38" w:rsidRDefault="00586E38">
      <w:pPr>
        <w:pBdr>
          <w:top w:val="nil"/>
          <w:left w:val="nil"/>
          <w:bottom w:val="nil"/>
          <w:right w:val="nil"/>
          <w:between w:val="nil"/>
        </w:pBdr>
        <w:ind w:right="4"/>
        <w:rPr>
          <w:color w:val="000000"/>
          <w:sz w:val="24"/>
          <w:szCs w:val="24"/>
        </w:rPr>
      </w:pPr>
    </w:p>
    <w:p w:rsidR="00586E38" w:rsidRDefault="00F93B54">
      <w:pPr>
        <w:pBdr>
          <w:top w:val="nil"/>
          <w:left w:val="nil"/>
          <w:bottom w:val="nil"/>
          <w:right w:val="nil"/>
          <w:between w:val="nil"/>
        </w:pBdr>
        <w:ind w:right="4"/>
        <w:jc w:val="both"/>
        <w:rPr>
          <w:color w:val="000000"/>
          <w:sz w:val="24"/>
          <w:szCs w:val="24"/>
        </w:rPr>
      </w:pPr>
      <w:bookmarkStart w:id="2" w:name="_heading=h.30j0zll" w:colFirst="0" w:colLast="0"/>
      <w:bookmarkEnd w:id="2"/>
      <w:r>
        <w:rPr>
          <w:b/>
          <w:color w:val="000000"/>
          <w:sz w:val="24"/>
          <w:szCs w:val="24"/>
        </w:rPr>
        <w:t xml:space="preserve">Artículo 117.  Asuntos susceptibles de proceso de arbitraje. </w:t>
      </w:r>
      <w:r>
        <w:rPr>
          <w:color w:val="000000"/>
          <w:sz w:val="24"/>
          <w:szCs w:val="24"/>
        </w:rPr>
        <w:t>Podrán someterse a arbitraje todos los asuntos relacionados con la constitución y el funcionamiento de las sociedades, incluidos los conflictos que acaecieren entre asociados, administradores y la sociedad.</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Artículo 118. Libertad de procedimiento.</w:t>
      </w:r>
      <w:r>
        <w:rPr>
          <w:color w:val="000000"/>
          <w:sz w:val="24"/>
          <w:szCs w:val="24"/>
        </w:rPr>
        <w:t xml:space="preserve"> Las partes en el proceso de arbitraje podrán ex ante o en el curso del procedimiento definir de común acuerdo las reglas procesales bajo las cuales se regirá el trámite. Entre otras cuestiones, las partes podrán definir de consuno lo relativo al número y funcionamiento de las audiencias, la clase y modalidades para la práctica de pruebas, los recursos que podrán interponerse durante el proceso y al final de éste y los costos del procedimiento.</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En particular, las partes podrán definir con precisión la duración del procedimiento y el plazo por el cual podrán prorrogarse.</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119. Iniciación del proceso. </w:t>
      </w:r>
      <w:r>
        <w:rPr>
          <w:color w:val="000000"/>
          <w:sz w:val="24"/>
          <w:szCs w:val="24"/>
        </w:rPr>
        <w:t xml:space="preserve">Una vez designados los árbitros, de común acuerdo, por un tercero delegado para el efecto o por sorteo efectuado por el centro de arbitraje, estos iniciarán, sin dilación, el ejercicio de sus funciones.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120. Duración del proceso. </w:t>
      </w:r>
      <w:r>
        <w:rPr>
          <w:color w:val="000000"/>
          <w:sz w:val="24"/>
          <w:szCs w:val="24"/>
        </w:rPr>
        <w:t>Salvo estipulación expresa de las partes, los árbitros deberán expedir el laudo correspondiente al caso dentro de los 120 días siguientes a la aceptación del cargo. Una vez vencido este plazo, no podrá ampliarse por más de 60 días.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121. Supresión de la obligación de conciliación previa al proceso. </w:t>
      </w:r>
      <w:r>
        <w:rPr>
          <w:color w:val="000000"/>
          <w:sz w:val="24"/>
          <w:szCs w:val="24"/>
        </w:rPr>
        <w:t xml:space="preserve">En el arbitraje societario no será obligatoria la celebración de una audiencia previa de </w:t>
      </w:r>
      <w:r>
        <w:rPr>
          <w:color w:val="000000"/>
          <w:sz w:val="24"/>
          <w:szCs w:val="24"/>
        </w:rPr>
        <w:lastRenderedPageBreak/>
        <w:t>conciliación como requisito para que proceda la demanda de arbitraje. Con todo, en cualquier tiempo, a iniciativa propia o de los árbitros, podrán efectuarse audiencias formales o informales de conciliación.</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122. Carácter opcional del recurso de revisión. </w:t>
      </w:r>
      <w:r>
        <w:rPr>
          <w:color w:val="000000"/>
          <w:sz w:val="24"/>
          <w:szCs w:val="24"/>
        </w:rPr>
        <w:t>Las partes podrán, decidir libremente, de común acuerdo, antes o durante el proceso, si el laudo arbitral estará sujeto al recurso de revisión. En caso de haber decidido que el referido recurso no podrá interponerse, el laudo será definitivo y obligatorio a partir de su notificación a las partes.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En aquellos casos en que se hubiere pactado el recurso de revisión y en los que, como resultado del recurso el laudo hubiere sido revocado, los árbitros deberán devolver la totalidad de sus honorarios solo en el caso de que se hubiere determinado por sentencia judicial una actuación fraudulenta o de mala fe por parte de ellos.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125. Carácter confidencial del proceso de arbitraje. </w:t>
      </w:r>
      <w:r>
        <w:rPr>
          <w:color w:val="000000"/>
          <w:sz w:val="24"/>
          <w:szCs w:val="24"/>
        </w:rPr>
        <w:t xml:space="preserve">El proceso de arbitraje societario, incluidos la demanda, las pruebas, procedimientos y el laudo, será confidencial, a menos que las partes convengan que todo o parte de él sean públicos.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126. Selección de árbitros. </w:t>
      </w:r>
      <w:r>
        <w:rPr>
          <w:color w:val="000000"/>
          <w:sz w:val="24"/>
          <w:szCs w:val="24"/>
        </w:rPr>
        <w:t>Los centros de arbitraje deberán seleccionar cuidadosamente a los profesionales que habrán de servir de árbitros en procesos de Derecho Societario. Para el efecto, en la confección de las listas sólo serán admitidos profesionales en derecho que puedan acreditar experiencia comprobada y estudios en la materia.</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127. Conflictos de interés. </w:t>
      </w:r>
      <w:r>
        <w:rPr>
          <w:color w:val="000000"/>
          <w:sz w:val="24"/>
          <w:szCs w:val="24"/>
        </w:rPr>
        <w:t xml:space="preserve">Los árbitros designados para un determinado caso de Derecho Societario deberán manifestar la ausencia de conflictos de interés con las partes. En caso de violación de las reglas sobre conflictos de interés, deberán ser removidos de las listas de árbitros por el centro de arbitraje al que pertenezcan. </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Los árbitros de Derecho Societario no podrán actuar ante el mismo centro donde se encuentren enlistados como apoderados de parte en ningún proceso que se cumpla ante tal centro de arbitraje.</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color w:val="000000"/>
          <w:sz w:val="24"/>
          <w:szCs w:val="24"/>
        </w:rPr>
        <w:t xml:space="preserve"> </w:t>
      </w:r>
      <w:r>
        <w:rPr>
          <w:b/>
          <w:color w:val="000000"/>
          <w:sz w:val="24"/>
          <w:szCs w:val="24"/>
        </w:rPr>
        <w:t xml:space="preserve">Artículo 128. Poderes del árbitro en Derecho Societario. </w:t>
      </w:r>
      <w:r>
        <w:rPr>
          <w:color w:val="000000"/>
          <w:sz w:val="24"/>
          <w:szCs w:val="24"/>
        </w:rPr>
        <w:t>Los árbitros que se desempeñen en casos de Derecho Societario tendrán amplios poderes para dirigir e impulsar el proceso, ordenar pruebas o diligencias, ejercer poderes disciplinarios sobre las partes o sus apoderados y evitar dilaciones del proceso. En particular, los árbitros deberán limitar la práctica de pruebas a aquellas que fueren necesarias para resolver el asunto objeto de la litis.</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Parágrafo. </w:t>
      </w:r>
      <w:r>
        <w:rPr>
          <w:color w:val="000000"/>
          <w:sz w:val="24"/>
          <w:szCs w:val="24"/>
        </w:rPr>
        <w:t xml:space="preserve">Los árbitros deberán sancionar a quienes intenten la dilación indebida de los procedimientos por medio de la solicitud de aplazamientos injustificados y otras prácticas semejantes, conforme a las pautas fijadas en el reglamento que deberá ser expedido por el Gobierno Nacional dentro de los doce meses siguientes a la vigencia de la presente </w:t>
      </w:r>
      <w:r>
        <w:rPr>
          <w:color w:val="000000"/>
          <w:sz w:val="24"/>
          <w:szCs w:val="24"/>
        </w:rPr>
        <w:lastRenderedPageBreak/>
        <w:t>ley.</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129. Sanción por acciones temerarias. </w:t>
      </w:r>
      <w:r>
        <w:rPr>
          <w:color w:val="000000"/>
          <w:sz w:val="24"/>
          <w:szCs w:val="24"/>
        </w:rPr>
        <w:t>La parte o el apoderado que actúen de manera temeraria durante el proceso serán reconvenidos y sancionados por los árbitros conforme a las pautas que se fijen en el reglamento que habrá de expedir el Gobierno Nacional dentro de los doce meses siguientes a la expedición de esta ley.</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ind w:right="4"/>
        <w:jc w:val="both"/>
        <w:rPr>
          <w:color w:val="000000"/>
          <w:sz w:val="24"/>
          <w:szCs w:val="24"/>
        </w:rPr>
      </w:pPr>
      <w:r>
        <w:rPr>
          <w:b/>
          <w:color w:val="000000"/>
          <w:sz w:val="24"/>
          <w:szCs w:val="24"/>
        </w:rPr>
        <w:t xml:space="preserve">Artículo 130. Honorarios de los árbitros. </w:t>
      </w:r>
      <w:r>
        <w:rPr>
          <w:color w:val="000000"/>
          <w:sz w:val="24"/>
          <w:szCs w:val="24"/>
        </w:rPr>
        <w:t>Los árbitros serán remunerados de manera razonable por sus servicios, conforme a las pautas previstas en el reglamento. En éste se consideran, entre otros, mecanismos de remuneración tales como un porcentaje sobre el valor de las pretensiones, pagos individuales por cada audiencia y compensación por el número de horas o días empleados en su gestión.</w:t>
      </w:r>
    </w:p>
    <w:p w:rsidR="00586E38" w:rsidRDefault="00586E38">
      <w:pPr>
        <w:pBdr>
          <w:top w:val="nil"/>
          <w:left w:val="nil"/>
          <w:bottom w:val="nil"/>
          <w:right w:val="nil"/>
          <w:between w:val="nil"/>
        </w:pBdr>
        <w:ind w:right="4"/>
        <w:jc w:val="both"/>
        <w:rPr>
          <w:color w:val="000000"/>
          <w:sz w:val="24"/>
          <w:szCs w:val="24"/>
        </w:rPr>
      </w:pPr>
    </w:p>
    <w:p w:rsidR="00586E38" w:rsidRDefault="00F93B54">
      <w:pPr>
        <w:pBdr>
          <w:top w:val="nil"/>
          <w:left w:val="nil"/>
          <w:bottom w:val="nil"/>
          <w:right w:val="nil"/>
          <w:between w:val="nil"/>
        </w:pBdr>
        <w:spacing w:line="276" w:lineRule="auto"/>
        <w:ind w:right="4"/>
        <w:jc w:val="both"/>
        <w:rPr>
          <w:color w:val="000000"/>
          <w:sz w:val="24"/>
          <w:szCs w:val="24"/>
        </w:rPr>
      </w:pPr>
      <w:r>
        <w:rPr>
          <w:b/>
          <w:color w:val="000000"/>
          <w:sz w:val="24"/>
          <w:szCs w:val="24"/>
        </w:rPr>
        <w:t>Artículo 131. Vigencia y derogatorias.</w:t>
      </w:r>
      <w:r>
        <w:rPr>
          <w:color w:val="000000"/>
          <w:sz w:val="24"/>
          <w:szCs w:val="24"/>
        </w:rPr>
        <w:t xml:space="preserve"> Esta ley rige a partir del momento de su promulgación y deroga el artículo 200 del decreto 410 de 1971, los artículos 22, 23, 24 y 25 de la Ley 222 de 1995, el artículo 144 de la Ley 1955 de 2019, el artículo 4 de la Ley 2069 de 2020 y todas las disposiciones que le sean contrarias.</w:t>
      </w:r>
    </w:p>
    <w:p w:rsidR="00586E38" w:rsidRDefault="00F93B54">
      <w:pPr>
        <w:pBdr>
          <w:top w:val="nil"/>
          <w:left w:val="nil"/>
          <w:bottom w:val="nil"/>
          <w:right w:val="nil"/>
          <w:between w:val="nil"/>
        </w:pBdr>
        <w:spacing w:before="154"/>
        <w:ind w:right="4"/>
        <w:jc w:val="both"/>
        <w:rPr>
          <w:color w:val="000000"/>
          <w:sz w:val="24"/>
          <w:szCs w:val="24"/>
        </w:rPr>
      </w:pPr>
      <w:r>
        <w:rPr>
          <w:color w:val="000000"/>
          <w:sz w:val="24"/>
          <w:szCs w:val="24"/>
        </w:rPr>
        <w:t>De los Honorables Congresistas,</w:t>
      </w:r>
    </w:p>
    <w:p w:rsidR="00586E38" w:rsidRDefault="00586E38">
      <w:pPr>
        <w:rPr>
          <w:sz w:val="24"/>
          <w:szCs w:val="24"/>
        </w:rPr>
      </w:pPr>
    </w:p>
    <w:tbl>
      <w:tblPr>
        <w:tblStyle w:val="a3"/>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86E38">
        <w:tc>
          <w:tcPr>
            <w:tcW w:w="4675" w:type="dxa"/>
          </w:tcPr>
          <w:p w:rsidR="00586E38" w:rsidRDefault="00586E38">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586E38" w:rsidRDefault="00F93B54">
            <w:pPr>
              <w:jc w:val="center"/>
              <w:rPr>
                <w:b/>
                <w:sz w:val="24"/>
                <w:szCs w:val="24"/>
              </w:rPr>
            </w:pPr>
            <w:r>
              <w:rPr>
                <w:b/>
                <w:sz w:val="24"/>
                <w:szCs w:val="24"/>
              </w:rPr>
              <w:t>Germán Blanco Álvarez</w:t>
            </w:r>
          </w:p>
          <w:p w:rsidR="00586E38" w:rsidRDefault="00F93B54">
            <w:pPr>
              <w:jc w:val="center"/>
              <w:rPr>
                <w:b/>
                <w:sz w:val="24"/>
                <w:szCs w:val="24"/>
              </w:rPr>
            </w:pPr>
            <w:r>
              <w:rPr>
                <w:b/>
                <w:sz w:val="24"/>
                <w:szCs w:val="24"/>
              </w:rPr>
              <w:t>Senador de la República</w:t>
            </w:r>
          </w:p>
          <w:p w:rsidR="00586E38" w:rsidRDefault="00F93B54">
            <w:pPr>
              <w:jc w:val="center"/>
              <w:rPr>
                <w:b/>
                <w:sz w:val="24"/>
                <w:szCs w:val="24"/>
              </w:rPr>
            </w:pPr>
            <w:r>
              <w:rPr>
                <w:b/>
                <w:sz w:val="24"/>
                <w:szCs w:val="24"/>
              </w:rPr>
              <w:t>Partido Conservador</w:t>
            </w:r>
          </w:p>
        </w:tc>
        <w:tc>
          <w:tcPr>
            <w:tcW w:w="4675" w:type="dxa"/>
          </w:tcPr>
          <w:p w:rsidR="00586E38" w:rsidRDefault="00586E38">
            <w:pPr>
              <w:jc w:val="center"/>
              <w:rPr>
                <w:b/>
                <w:sz w:val="24"/>
                <w:szCs w:val="24"/>
              </w:rPr>
            </w:pPr>
          </w:p>
          <w:p w:rsidR="00586E38" w:rsidRDefault="00586E38">
            <w:pPr>
              <w:rPr>
                <w:b/>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586E38" w:rsidRDefault="00F93B54">
            <w:pPr>
              <w:jc w:val="center"/>
              <w:rPr>
                <w:b/>
                <w:sz w:val="24"/>
                <w:szCs w:val="24"/>
              </w:rPr>
            </w:pPr>
            <w:r>
              <w:rPr>
                <w:b/>
                <w:sz w:val="24"/>
                <w:szCs w:val="24"/>
              </w:rPr>
              <w:t>Juan Carlos Wills</w:t>
            </w:r>
          </w:p>
          <w:p w:rsidR="00586E38" w:rsidRDefault="00F93B54">
            <w:pPr>
              <w:jc w:val="center"/>
              <w:rPr>
                <w:b/>
                <w:sz w:val="24"/>
                <w:szCs w:val="24"/>
              </w:rPr>
            </w:pPr>
            <w:r>
              <w:rPr>
                <w:b/>
                <w:sz w:val="24"/>
                <w:szCs w:val="24"/>
              </w:rPr>
              <w:t>Representante la Cámara</w:t>
            </w:r>
          </w:p>
          <w:p w:rsidR="00586E38" w:rsidRDefault="00F93B54">
            <w:pPr>
              <w:jc w:val="center"/>
              <w:rPr>
                <w:b/>
                <w:sz w:val="24"/>
                <w:szCs w:val="24"/>
              </w:rPr>
            </w:pPr>
            <w:r>
              <w:rPr>
                <w:b/>
                <w:sz w:val="24"/>
                <w:szCs w:val="24"/>
              </w:rPr>
              <w:t>Partido Conservador</w:t>
            </w:r>
          </w:p>
        </w:tc>
      </w:tr>
      <w:tr w:rsidR="00586E38">
        <w:tc>
          <w:tcPr>
            <w:tcW w:w="9350" w:type="dxa"/>
            <w:gridSpan w:val="2"/>
          </w:tcPr>
          <w:p w:rsidR="00586E38" w:rsidRDefault="00586E38">
            <w:pPr>
              <w:jc w:val="center"/>
              <w:rPr>
                <w:b/>
                <w:sz w:val="24"/>
                <w:szCs w:val="24"/>
              </w:rPr>
            </w:pPr>
          </w:p>
          <w:p w:rsidR="00586E38" w:rsidRDefault="00586E38">
            <w:pPr>
              <w:jc w:val="center"/>
              <w:rPr>
                <w:b/>
                <w:sz w:val="24"/>
                <w:szCs w:val="24"/>
              </w:rPr>
            </w:pPr>
          </w:p>
          <w:p w:rsidR="00586E38" w:rsidRDefault="00586E38" w:rsidP="00F93B54">
            <w:pPr>
              <w:rPr>
                <w:b/>
                <w:sz w:val="24"/>
                <w:szCs w:val="24"/>
              </w:rPr>
            </w:pPr>
          </w:p>
          <w:p w:rsidR="00586E38" w:rsidRDefault="00F93B54">
            <w:pPr>
              <w:jc w:val="center"/>
              <w:rPr>
                <w:b/>
                <w:sz w:val="24"/>
                <w:szCs w:val="24"/>
              </w:rPr>
            </w:pPr>
            <w:r>
              <w:rPr>
                <w:b/>
                <w:sz w:val="24"/>
                <w:szCs w:val="24"/>
              </w:rPr>
              <w:t>Juan Daniel Peñuela</w:t>
            </w:r>
          </w:p>
          <w:p w:rsidR="00586E38" w:rsidRDefault="00F93B54">
            <w:pPr>
              <w:jc w:val="center"/>
              <w:rPr>
                <w:b/>
                <w:sz w:val="24"/>
                <w:szCs w:val="24"/>
              </w:rPr>
            </w:pPr>
            <w:r>
              <w:rPr>
                <w:b/>
                <w:sz w:val="24"/>
                <w:szCs w:val="24"/>
              </w:rPr>
              <w:t>Representante la Cámara</w:t>
            </w:r>
          </w:p>
          <w:p w:rsidR="00586E38" w:rsidRDefault="00F93B54">
            <w:pPr>
              <w:jc w:val="center"/>
              <w:rPr>
                <w:b/>
                <w:sz w:val="24"/>
                <w:szCs w:val="24"/>
              </w:rPr>
            </w:pPr>
            <w:r>
              <w:rPr>
                <w:b/>
                <w:sz w:val="24"/>
                <w:szCs w:val="24"/>
              </w:rPr>
              <w:t>Partido Conservador</w:t>
            </w:r>
          </w:p>
        </w:tc>
      </w:tr>
    </w:tbl>
    <w:p w:rsidR="00586E38" w:rsidRDefault="00586E38">
      <w:pPr>
        <w:rPr>
          <w:sz w:val="24"/>
          <w:szCs w:val="24"/>
        </w:rPr>
      </w:pPr>
    </w:p>
    <w:p w:rsidR="00586E38" w:rsidRDefault="00586E38">
      <w:pPr>
        <w:rPr>
          <w:sz w:val="24"/>
          <w:szCs w:val="24"/>
        </w:rPr>
      </w:pPr>
    </w:p>
    <w:tbl>
      <w:tblPr>
        <w:tblStyle w:val="a4"/>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6"/>
        <w:gridCol w:w="4747"/>
      </w:tblGrid>
      <w:tr w:rsidR="00586E38">
        <w:trPr>
          <w:trHeight w:val="3239"/>
        </w:trPr>
        <w:tc>
          <w:tcPr>
            <w:tcW w:w="4746" w:type="dxa"/>
          </w:tcPr>
          <w:p w:rsidR="00586E38" w:rsidRDefault="00586E38">
            <w:pPr>
              <w:jc w:val="center"/>
              <w:rPr>
                <w:b/>
                <w:noProof/>
                <w:sz w:val="24"/>
                <w:szCs w:val="24"/>
                <w:lang w:bidi="ar-SA"/>
              </w:rPr>
            </w:pPr>
          </w:p>
          <w:p w:rsidR="00F93B54" w:rsidRDefault="00F93B54">
            <w:pPr>
              <w:jc w:val="center"/>
              <w:rPr>
                <w:b/>
                <w:noProof/>
                <w:sz w:val="24"/>
                <w:szCs w:val="24"/>
                <w:lang w:bidi="ar-SA"/>
              </w:rPr>
            </w:pPr>
          </w:p>
          <w:p w:rsidR="00F93B54" w:rsidRDefault="00F93B54">
            <w:pPr>
              <w:jc w:val="center"/>
              <w:rPr>
                <w:b/>
                <w:noProof/>
                <w:sz w:val="24"/>
                <w:szCs w:val="24"/>
                <w:lang w:bidi="ar-SA"/>
              </w:rPr>
            </w:pPr>
          </w:p>
          <w:p w:rsidR="00F93B54" w:rsidRDefault="00F93B54">
            <w:pPr>
              <w:jc w:val="center"/>
              <w:rPr>
                <w:b/>
                <w:noProof/>
                <w:sz w:val="24"/>
                <w:szCs w:val="24"/>
                <w:lang w:bidi="ar-SA"/>
              </w:rPr>
            </w:pPr>
          </w:p>
          <w:p w:rsidR="00F93B54" w:rsidRDefault="00F93B54">
            <w:pPr>
              <w:jc w:val="center"/>
              <w:rPr>
                <w:b/>
                <w:sz w:val="24"/>
                <w:szCs w:val="24"/>
              </w:rPr>
            </w:pPr>
          </w:p>
          <w:p w:rsidR="00586E38" w:rsidRDefault="00586E38">
            <w:pPr>
              <w:jc w:val="center"/>
              <w:rPr>
                <w:b/>
                <w:sz w:val="24"/>
                <w:szCs w:val="24"/>
              </w:rPr>
            </w:pPr>
          </w:p>
          <w:p w:rsidR="00586E38" w:rsidRDefault="00F93B54">
            <w:pPr>
              <w:jc w:val="center"/>
              <w:rPr>
                <w:b/>
                <w:sz w:val="24"/>
                <w:szCs w:val="24"/>
              </w:rPr>
            </w:pPr>
            <w:r>
              <w:rPr>
                <w:b/>
                <w:sz w:val="24"/>
                <w:szCs w:val="24"/>
              </w:rPr>
              <w:t>JULIO ROBERTO SALAZAR PERDOMO</w:t>
            </w:r>
            <w:r>
              <w:rPr>
                <w:b/>
                <w:sz w:val="24"/>
                <w:szCs w:val="24"/>
              </w:rPr>
              <w:br/>
              <w:t>Representante a la Cámara</w:t>
            </w:r>
            <w:r>
              <w:rPr>
                <w:b/>
                <w:sz w:val="24"/>
                <w:szCs w:val="24"/>
              </w:rPr>
              <w:br/>
              <w:t>Departamento de Cundinamarca</w:t>
            </w:r>
          </w:p>
        </w:tc>
        <w:tc>
          <w:tcPr>
            <w:tcW w:w="4747" w:type="dxa"/>
          </w:tcPr>
          <w:p w:rsidR="00586E38" w:rsidRDefault="00586E38">
            <w:pPr>
              <w:rPr>
                <w:sz w:val="24"/>
                <w:szCs w:val="24"/>
              </w:rPr>
            </w:pPr>
          </w:p>
          <w:p w:rsidR="00586E38" w:rsidRDefault="00586E38">
            <w:pPr>
              <w:jc w:val="center"/>
              <w:rPr>
                <w:sz w:val="24"/>
                <w:szCs w:val="24"/>
              </w:rPr>
            </w:pPr>
          </w:p>
          <w:p w:rsidR="00586E38" w:rsidRDefault="00586E38">
            <w:pPr>
              <w:jc w:val="center"/>
              <w:rPr>
                <w:noProof/>
                <w:sz w:val="24"/>
                <w:szCs w:val="24"/>
                <w:lang w:bidi="ar-SA"/>
              </w:rPr>
            </w:pPr>
          </w:p>
          <w:p w:rsidR="00F93B54" w:rsidRDefault="00F93B54">
            <w:pPr>
              <w:jc w:val="center"/>
              <w:rPr>
                <w:noProof/>
                <w:sz w:val="24"/>
                <w:szCs w:val="24"/>
                <w:lang w:bidi="ar-SA"/>
              </w:rPr>
            </w:pPr>
          </w:p>
          <w:p w:rsidR="00F93B54" w:rsidRDefault="00F93B54">
            <w:pPr>
              <w:jc w:val="center"/>
              <w:rPr>
                <w:noProof/>
                <w:sz w:val="24"/>
                <w:szCs w:val="24"/>
                <w:lang w:bidi="ar-SA"/>
              </w:rPr>
            </w:pPr>
          </w:p>
          <w:p w:rsidR="00F93B54" w:rsidRDefault="00F93B54">
            <w:pPr>
              <w:jc w:val="center"/>
              <w:rPr>
                <w:noProof/>
                <w:sz w:val="24"/>
                <w:szCs w:val="24"/>
                <w:lang w:bidi="ar-SA"/>
              </w:rPr>
            </w:pPr>
          </w:p>
          <w:p w:rsidR="00F93B54" w:rsidRDefault="00F93B54">
            <w:pPr>
              <w:jc w:val="center"/>
              <w:rPr>
                <w:noProof/>
                <w:sz w:val="24"/>
                <w:szCs w:val="24"/>
                <w:lang w:bidi="ar-SA"/>
              </w:rPr>
            </w:pPr>
          </w:p>
          <w:p w:rsidR="00F93B54" w:rsidRDefault="00F93B54">
            <w:pPr>
              <w:jc w:val="center"/>
              <w:rPr>
                <w:b/>
                <w:sz w:val="24"/>
                <w:szCs w:val="24"/>
              </w:rPr>
            </w:pPr>
          </w:p>
          <w:p w:rsidR="00586E38" w:rsidRDefault="00F93B54">
            <w:pPr>
              <w:jc w:val="center"/>
              <w:rPr>
                <w:b/>
                <w:sz w:val="24"/>
                <w:szCs w:val="24"/>
              </w:rPr>
            </w:pPr>
            <w:r>
              <w:rPr>
                <w:b/>
                <w:sz w:val="24"/>
                <w:szCs w:val="24"/>
              </w:rPr>
              <w:t>JAMES MOSQUERA TORRES</w:t>
            </w:r>
          </w:p>
          <w:p w:rsidR="00586E38" w:rsidRDefault="00F93B54">
            <w:pPr>
              <w:jc w:val="center"/>
              <w:rPr>
                <w:sz w:val="24"/>
                <w:szCs w:val="24"/>
              </w:rPr>
            </w:pPr>
            <w:r>
              <w:rPr>
                <w:sz w:val="24"/>
                <w:szCs w:val="24"/>
              </w:rPr>
              <w:t xml:space="preserve">Representante a la Cámara </w:t>
            </w:r>
          </w:p>
          <w:p w:rsidR="00586E38" w:rsidRDefault="00F93B54">
            <w:pPr>
              <w:jc w:val="center"/>
              <w:rPr>
                <w:sz w:val="24"/>
                <w:szCs w:val="24"/>
              </w:rPr>
            </w:pPr>
            <w:r>
              <w:rPr>
                <w:sz w:val="24"/>
                <w:szCs w:val="24"/>
              </w:rPr>
              <w:t xml:space="preserve">Citrep Chocó - Antioquia </w:t>
            </w:r>
          </w:p>
        </w:tc>
      </w:tr>
      <w:tr w:rsidR="00586E38">
        <w:trPr>
          <w:trHeight w:val="2355"/>
        </w:trPr>
        <w:tc>
          <w:tcPr>
            <w:tcW w:w="4746" w:type="dxa"/>
          </w:tcPr>
          <w:p w:rsidR="00586E38" w:rsidRDefault="00586E38">
            <w:pPr>
              <w:jc w:val="center"/>
              <w:rPr>
                <w:sz w:val="24"/>
                <w:szCs w:val="24"/>
              </w:rPr>
            </w:pPr>
          </w:p>
          <w:p w:rsidR="00586E38" w:rsidRDefault="00586E38">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586E38" w:rsidRDefault="00F93B54">
            <w:pPr>
              <w:jc w:val="center"/>
              <w:rPr>
                <w:sz w:val="24"/>
                <w:szCs w:val="24"/>
              </w:rPr>
            </w:pPr>
            <w:r>
              <w:rPr>
                <w:b/>
                <w:sz w:val="24"/>
                <w:szCs w:val="24"/>
              </w:rPr>
              <w:t>JUAN MANUEL CORTÈS DUEÑAS Representante a la Cámara</w:t>
            </w:r>
            <w:r>
              <w:rPr>
                <w:b/>
                <w:sz w:val="24"/>
                <w:szCs w:val="24"/>
              </w:rPr>
              <w:br/>
              <w:t>Departamento de Santander</w:t>
            </w:r>
          </w:p>
        </w:tc>
        <w:tc>
          <w:tcPr>
            <w:tcW w:w="4747" w:type="dxa"/>
          </w:tcPr>
          <w:p w:rsidR="00586E38" w:rsidRDefault="00586E38">
            <w:pPr>
              <w:rPr>
                <w:sz w:val="24"/>
                <w:szCs w:val="24"/>
              </w:rPr>
            </w:pPr>
          </w:p>
          <w:p w:rsidR="00586E38" w:rsidRDefault="00586E38">
            <w:pPr>
              <w:jc w:val="center"/>
              <w:rPr>
                <w:sz w:val="24"/>
                <w:szCs w:val="24"/>
              </w:rPr>
            </w:pPr>
          </w:p>
          <w:p w:rsidR="00F93B54" w:rsidRDefault="00F93B54">
            <w:pPr>
              <w:jc w:val="center"/>
              <w:rPr>
                <w:sz w:val="24"/>
                <w:szCs w:val="24"/>
              </w:rPr>
            </w:pPr>
          </w:p>
          <w:p w:rsidR="00586E38" w:rsidRDefault="00586E38">
            <w:pPr>
              <w:rPr>
                <w:sz w:val="24"/>
                <w:szCs w:val="24"/>
              </w:rPr>
            </w:pPr>
          </w:p>
          <w:p w:rsidR="00586E38" w:rsidRDefault="00F93B54">
            <w:pPr>
              <w:jc w:val="center"/>
              <w:rPr>
                <w:b/>
                <w:sz w:val="24"/>
                <w:szCs w:val="24"/>
              </w:rPr>
            </w:pPr>
            <w:r>
              <w:rPr>
                <w:b/>
                <w:sz w:val="24"/>
                <w:szCs w:val="24"/>
              </w:rPr>
              <w:t>OSCAR BARRETO QUIROGA</w:t>
            </w:r>
          </w:p>
          <w:p w:rsidR="00586E38" w:rsidRDefault="00F93B54">
            <w:pPr>
              <w:jc w:val="center"/>
              <w:rPr>
                <w:b/>
                <w:sz w:val="24"/>
                <w:szCs w:val="24"/>
              </w:rPr>
            </w:pPr>
            <w:r>
              <w:rPr>
                <w:b/>
                <w:sz w:val="24"/>
                <w:szCs w:val="24"/>
              </w:rPr>
              <w:t>Senador de la República</w:t>
            </w:r>
          </w:p>
          <w:p w:rsidR="00586E38" w:rsidRDefault="00F93B54">
            <w:pPr>
              <w:jc w:val="center"/>
              <w:rPr>
                <w:b/>
                <w:sz w:val="24"/>
                <w:szCs w:val="24"/>
              </w:rPr>
            </w:pPr>
            <w:r>
              <w:rPr>
                <w:b/>
                <w:sz w:val="24"/>
                <w:szCs w:val="24"/>
              </w:rPr>
              <w:t>Partido Conservador</w:t>
            </w:r>
          </w:p>
          <w:p w:rsidR="00586E38" w:rsidRDefault="00586E38">
            <w:pPr>
              <w:jc w:val="center"/>
              <w:rPr>
                <w:b/>
                <w:sz w:val="24"/>
                <w:szCs w:val="24"/>
              </w:rPr>
            </w:pPr>
          </w:p>
        </w:tc>
      </w:tr>
      <w:tr w:rsidR="00586E38">
        <w:trPr>
          <w:trHeight w:val="2355"/>
        </w:trPr>
        <w:tc>
          <w:tcPr>
            <w:tcW w:w="4746" w:type="dxa"/>
          </w:tcPr>
          <w:p w:rsidR="00586E38" w:rsidRDefault="00586E38">
            <w:pPr>
              <w:jc w:val="center"/>
              <w:rPr>
                <w:sz w:val="24"/>
                <w:szCs w:val="24"/>
              </w:rPr>
            </w:pPr>
          </w:p>
          <w:p w:rsidR="00F93B54" w:rsidRDefault="00F93B54">
            <w:pPr>
              <w:jc w:val="center"/>
              <w:rPr>
                <w:sz w:val="24"/>
                <w:szCs w:val="24"/>
              </w:rPr>
            </w:pPr>
          </w:p>
          <w:p w:rsidR="00F93B54" w:rsidRDefault="00F93B54" w:rsidP="00F93B54">
            <w:pPr>
              <w:jc w:val="center"/>
              <w:rPr>
                <w:sz w:val="24"/>
                <w:szCs w:val="24"/>
              </w:rPr>
            </w:pPr>
          </w:p>
          <w:p w:rsidR="00586E38" w:rsidRDefault="00F93B54" w:rsidP="00F93B54">
            <w:pPr>
              <w:jc w:val="center"/>
              <w:rPr>
                <w:sz w:val="24"/>
                <w:szCs w:val="24"/>
              </w:rPr>
            </w:pPr>
            <w:r>
              <w:rPr>
                <w:b/>
                <w:sz w:val="24"/>
                <w:szCs w:val="24"/>
              </w:rPr>
              <w:t>ASTRID SÁNCHEZ MONTES DE OCA Representante a la Cámara</w:t>
            </w:r>
            <w:r>
              <w:rPr>
                <w:b/>
                <w:sz w:val="24"/>
                <w:szCs w:val="24"/>
              </w:rPr>
              <w:br/>
              <w:t>Departamento de Chocó</w:t>
            </w:r>
          </w:p>
        </w:tc>
        <w:tc>
          <w:tcPr>
            <w:tcW w:w="4747" w:type="dxa"/>
          </w:tcPr>
          <w:p w:rsidR="00586E38" w:rsidRDefault="00586E38">
            <w:pPr>
              <w:rPr>
                <w:sz w:val="24"/>
                <w:szCs w:val="24"/>
              </w:rPr>
            </w:pPr>
          </w:p>
          <w:p w:rsidR="00586E38" w:rsidRDefault="00586E38">
            <w:pPr>
              <w:jc w:val="center"/>
              <w:rPr>
                <w:sz w:val="24"/>
                <w:szCs w:val="24"/>
              </w:rPr>
            </w:pPr>
          </w:p>
          <w:p w:rsidR="00586E38" w:rsidRDefault="00586E38">
            <w:pPr>
              <w:jc w:val="center"/>
              <w:rPr>
                <w:sz w:val="24"/>
                <w:szCs w:val="24"/>
              </w:rPr>
            </w:pPr>
          </w:p>
          <w:p w:rsidR="00586E38" w:rsidRDefault="00F93B54">
            <w:pPr>
              <w:jc w:val="center"/>
              <w:rPr>
                <w:b/>
                <w:sz w:val="24"/>
                <w:szCs w:val="24"/>
              </w:rPr>
            </w:pPr>
            <w:r>
              <w:rPr>
                <w:b/>
                <w:sz w:val="24"/>
                <w:szCs w:val="24"/>
              </w:rPr>
              <w:t>ALFREDO DELUQUE ZULETA</w:t>
            </w:r>
          </w:p>
          <w:p w:rsidR="00586E38" w:rsidRDefault="00F93B54">
            <w:pPr>
              <w:jc w:val="center"/>
              <w:rPr>
                <w:b/>
                <w:sz w:val="24"/>
                <w:szCs w:val="24"/>
              </w:rPr>
            </w:pPr>
            <w:r>
              <w:rPr>
                <w:b/>
                <w:sz w:val="24"/>
                <w:szCs w:val="24"/>
              </w:rPr>
              <w:t>Senador de la República</w:t>
            </w:r>
          </w:p>
          <w:p w:rsidR="00586E38" w:rsidRDefault="00F93B54">
            <w:pPr>
              <w:jc w:val="center"/>
              <w:rPr>
                <w:b/>
                <w:sz w:val="24"/>
                <w:szCs w:val="24"/>
              </w:rPr>
            </w:pPr>
            <w:r>
              <w:rPr>
                <w:b/>
                <w:sz w:val="24"/>
                <w:szCs w:val="24"/>
              </w:rPr>
              <w:t>Partido de la U</w:t>
            </w:r>
          </w:p>
          <w:p w:rsidR="00586E38" w:rsidRDefault="00586E38">
            <w:pPr>
              <w:jc w:val="center"/>
              <w:rPr>
                <w:sz w:val="24"/>
                <w:szCs w:val="24"/>
              </w:rPr>
            </w:pPr>
          </w:p>
        </w:tc>
      </w:tr>
      <w:tr w:rsidR="00586E38">
        <w:trPr>
          <w:trHeight w:val="2852"/>
        </w:trPr>
        <w:tc>
          <w:tcPr>
            <w:tcW w:w="4746" w:type="dxa"/>
          </w:tcPr>
          <w:p w:rsidR="00F93B54" w:rsidRDefault="00F93B54">
            <w:pPr>
              <w:jc w:val="center"/>
              <w:rPr>
                <w:sz w:val="24"/>
                <w:szCs w:val="24"/>
              </w:rPr>
            </w:pPr>
          </w:p>
          <w:p w:rsidR="00F93B54" w:rsidRDefault="00F93B54">
            <w:pPr>
              <w:jc w:val="center"/>
              <w:rPr>
                <w:sz w:val="24"/>
                <w:szCs w:val="24"/>
              </w:rPr>
            </w:pPr>
          </w:p>
          <w:p w:rsidR="00F93B54" w:rsidRDefault="00F93B54">
            <w:pPr>
              <w:jc w:val="center"/>
              <w:rPr>
                <w:sz w:val="24"/>
                <w:szCs w:val="24"/>
              </w:rPr>
            </w:pPr>
          </w:p>
          <w:p w:rsidR="00F93B54" w:rsidRDefault="00F93B54">
            <w:pPr>
              <w:jc w:val="center"/>
              <w:rPr>
                <w:sz w:val="24"/>
                <w:szCs w:val="24"/>
              </w:rPr>
            </w:pPr>
          </w:p>
          <w:p w:rsidR="00F93B54" w:rsidRDefault="00F93B54">
            <w:pPr>
              <w:jc w:val="center"/>
              <w:rPr>
                <w:sz w:val="24"/>
                <w:szCs w:val="24"/>
              </w:rPr>
            </w:pPr>
          </w:p>
          <w:p w:rsidR="00F93B54" w:rsidRDefault="00F93B54">
            <w:pPr>
              <w:jc w:val="center"/>
              <w:rPr>
                <w:b/>
                <w:sz w:val="24"/>
                <w:szCs w:val="24"/>
              </w:rPr>
            </w:pPr>
          </w:p>
          <w:p w:rsidR="00F93B54" w:rsidRDefault="00F93B54">
            <w:pPr>
              <w:jc w:val="center"/>
              <w:rPr>
                <w:b/>
                <w:sz w:val="24"/>
                <w:szCs w:val="24"/>
              </w:rPr>
            </w:pPr>
          </w:p>
          <w:p w:rsidR="00586E38" w:rsidRDefault="00F93B54">
            <w:pPr>
              <w:jc w:val="center"/>
              <w:rPr>
                <w:b/>
                <w:sz w:val="24"/>
                <w:szCs w:val="24"/>
              </w:rPr>
            </w:pPr>
            <w:r>
              <w:rPr>
                <w:b/>
                <w:sz w:val="24"/>
                <w:szCs w:val="24"/>
              </w:rPr>
              <w:t>HERÁCLITO LANDINEZ SUÁREZ</w:t>
            </w:r>
          </w:p>
          <w:p w:rsidR="00586E38" w:rsidRDefault="00F93B54">
            <w:pPr>
              <w:jc w:val="center"/>
              <w:rPr>
                <w:sz w:val="24"/>
                <w:szCs w:val="24"/>
              </w:rPr>
            </w:pPr>
            <w:r>
              <w:rPr>
                <w:sz w:val="24"/>
                <w:szCs w:val="24"/>
              </w:rPr>
              <w:t>Representante a la Cámara</w:t>
            </w:r>
          </w:p>
          <w:p w:rsidR="00586E38" w:rsidRDefault="00F93B54">
            <w:pPr>
              <w:jc w:val="center"/>
              <w:rPr>
                <w:sz w:val="24"/>
                <w:szCs w:val="24"/>
              </w:rPr>
            </w:pPr>
            <w:r>
              <w:rPr>
                <w:sz w:val="24"/>
                <w:szCs w:val="24"/>
              </w:rPr>
              <w:t>Pacto Histórico</w:t>
            </w:r>
          </w:p>
        </w:tc>
        <w:tc>
          <w:tcPr>
            <w:tcW w:w="4747" w:type="dxa"/>
          </w:tcPr>
          <w:p w:rsidR="00F93B54" w:rsidRDefault="00F93B54">
            <w:pPr>
              <w:jc w:val="center"/>
              <w:rPr>
                <w:sz w:val="24"/>
                <w:szCs w:val="24"/>
              </w:rPr>
            </w:pPr>
          </w:p>
          <w:p w:rsidR="00F93B54" w:rsidRDefault="00F93B54">
            <w:pPr>
              <w:jc w:val="center"/>
              <w:rPr>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F93B54" w:rsidRDefault="00F93B54">
            <w:pPr>
              <w:jc w:val="center"/>
              <w:rPr>
                <w:b/>
                <w:sz w:val="24"/>
                <w:szCs w:val="24"/>
              </w:rPr>
            </w:pPr>
          </w:p>
          <w:p w:rsidR="00586E38" w:rsidRDefault="00F93B54">
            <w:pPr>
              <w:jc w:val="center"/>
              <w:rPr>
                <w:b/>
                <w:sz w:val="24"/>
                <w:szCs w:val="24"/>
              </w:rPr>
            </w:pPr>
            <w:r>
              <w:rPr>
                <w:b/>
                <w:sz w:val="24"/>
                <w:szCs w:val="24"/>
              </w:rPr>
              <w:t>CARLOS FERNANDO MOTOA SOLARTE</w:t>
            </w:r>
          </w:p>
          <w:p w:rsidR="00586E38" w:rsidRDefault="00F93B54">
            <w:pPr>
              <w:jc w:val="center"/>
              <w:rPr>
                <w:sz w:val="24"/>
                <w:szCs w:val="24"/>
              </w:rPr>
            </w:pPr>
            <w:r>
              <w:rPr>
                <w:sz w:val="24"/>
                <w:szCs w:val="24"/>
              </w:rPr>
              <w:t>Senador de la República</w:t>
            </w:r>
          </w:p>
        </w:tc>
      </w:tr>
      <w:tr w:rsidR="00586E38">
        <w:trPr>
          <w:trHeight w:val="2355"/>
        </w:trPr>
        <w:tc>
          <w:tcPr>
            <w:tcW w:w="4746" w:type="dxa"/>
          </w:tcPr>
          <w:p w:rsidR="00586E38" w:rsidRDefault="00586E38">
            <w:pPr>
              <w:rPr>
                <w:sz w:val="24"/>
                <w:szCs w:val="24"/>
              </w:rPr>
            </w:pPr>
          </w:p>
          <w:p w:rsidR="00586E38" w:rsidRDefault="00586E38">
            <w:pPr>
              <w:rPr>
                <w:noProof/>
                <w:sz w:val="24"/>
                <w:szCs w:val="24"/>
                <w:lang w:bidi="ar-SA"/>
              </w:rPr>
            </w:pPr>
          </w:p>
          <w:p w:rsidR="00F93B54" w:rsidRDefault="00F93B54">
            <w:pPr>
              <w:rPr>
                <w:noProof/>
                <w:sz w:val="24"/>
                <w:szCs w:val="24"/>
                <w:lang w:bidi="ar-SA"/>
              </w:rPr>
            </w:pPr>
          </w:p>
          <w:p w:rsidR="00F93B54" w:rsidRDefault="00F93B54">
            <w:pPr>
              <w:rPr>
                <w:b/>
                <w:sz w:val="24"/>
                <w:szCs w:val="24"/>
              </w:rPr>
            </w:pPr>
          </w:p>
          <w:p w:rsidR="00586E38" w:rsidRDefault="00F93B54">
            <w:pPr>
              <w:jc w:val="center"/>
              <w:rPr>
                <w:b/>
                <w:sz w:val="24"/>
                <w:szCs w:val="24"/>
              </w:rPr>
            </w:pPr>
            <w:r>
              <w:rPr>
                <w:b/>
                <w:sz w:val="24"/>
                <w:szCs w:val="24"/>
              </w:rPr>
              <w:t>JUAN CARLOS GARCÍA GÓMEZ</w:t>
            </w:r>
          </w:p>
          <w:p w:rsidR="00586E38" w:rsidRDefault="00F93B54">
            <w:pPr>
              <w:jc w:val="center"/>
              <w:rPr>
                <w:sz w:val="24"/>
                <w:szCs w:val="24"/>
              </w:rPr>
            </w:pPr>
            <w:r>
              <w:rPr>
                <w:b/>
                <w:sz w:val="24"/>
                <w:szCs w:val="24"/>
              </w:rPr>
              <w:t>Senador de la República</w:t>
            </w:r>
          </w:p>
        </w:tc>
        <w:tc>
          <w:tcPr>
            <w:tcW w:w="4747" w:type="dxa"/>
          </w:tcPr>
          <w:p w:rsidR="00586E38" w:rsidRDefault="00586E38">
            <w:pPr>
              <w:jc w:val="center"/>
              <w:rPr>
                <w:sz w:val="24"/>
                <w:szCs w:val="24"/>
              </w:rPr>
            </w:pPr>
          </w:p>
          <w:p w:rsidR="00F93B54" w:rsidRDefault="00F93B54">
            <w:pPr>
              <w:jc w:val="center"/>
              <w:rPr>
                <w:sz w:val="24"/>
                <w:szCs w:val="24"/>
              </w:rPr>
            </w:pPr>
          </w:p>
          <w:p w:rsidR="00F93B54" w:rsidRPr="00F93B54" w:rsidRDefault="00F93B54" w:rsidP="00F93B54">
            <w:pPr>
              <w:jc w:val="center"/>
              <w:rPr>
                <w:b/>
                <w:sz w:val="24"/>
                <w:szCs w:val="24"/>
              </w:rPr>
            </w:pPr>
          </w:p>
          <w:p w:rsidR="00F93B54" w:rsidRPr="00F93B54" w:rsidRDefault="00F93B54" w:rsidP="00F93B54">
            <w:pPr>
              <w:jc w:val="center"/>
              <w:rPr>
                <w:b/>
                <w:sz w:val="24"/>
                <w:szCs w:val="24"/>
              </w:rPr>
            </w:pPr>
          </w:p>
          <w:p w:rsidR="00F93B54" w:rsidRPr="00F93B54" w:rsidRDefault="00F93B54" w:rsidP="00F93B54">
            <w:pPr>
              <w:jc w:val="center"/>
              <w:rPr>
                <w:b/>
                <w:sz w:val="24"/>
                <w:szCs w:val="24"/>
              </w:rPr>
            </w:pPr>
          </w:p>
          <w:p w:rsidR="00F93B54" w:rsidRPr="00F93B54" w:rsidRDefault="00F93B54" w:rsidP="00F93B54">
            <w:pPr>
              <w:jc w:val="center"/>
              <w:rPr>
                <w:b/>
                <w:sz w:val="24"/>
                <w:szCs w:val="24"/>
              </w:rPr>
            </w:pPr>
            <w:r w:rsidRPr="00F93B54">
              <w:rPr>
                <w:b/>
                <w:sz w:val="24"/>
                <w:szCs w:val="24"/>
              </w:rPr>
              <w:t>ALEJANDRO CARLOS CHACON</w:t>
            </w:r>
          </w:p>
          <w:p w:rsidR="00F93B54" w:rsidRDefault="00F93B54" w:rsidP="00F93B54">
            <w:pPr>
              <w:jc w:val="center"/>
              <w:rPr>
                <w:sz w:val="24"/>
                <w:szCs w:val="24"/>
              </w:rPr>
            </w:pPr>
            <w:r w:rsidRPr="00F93B54">
              <w:rPr>
                <w:b/>
                <w:sz w:val="24"/>
                <w:szCs w:val="24"/>
              </w:rPr>
              <w:t>Senador de la República</w:t>
            </w:r>
          </w:p>
        </w:tc>
      </w:tr>
      <w:tr w:rsidR="00586E38">
        <w:trPr>
          <w:trHeight w:val="2355"/>
        </w:trPr>
        <w:tc>
          <w:tcPr>
            <w:tcW w:w="4746" w:type="dxa"/>
          </w:tcPr>
          <w:p w:rsidR="00586E38" w:rsidRDefault="00586E38">
            <w:pPr>
              <w:rPr>
                <w:sz w:val="24"/>
                <w:szCs w:val="24"/>
              </w:rPr>
            </w:pPr>
          </w:p>
          <w:p w:rsidR="00F93B54" w:rsidRDefault="00F93B54">
            <w:pPr>
              <w:rPr>
                <w:sz w:val="24"/>
                <w:szCs w:val="24"/>
              </w:rPr>
            </w:pPr>
          </w:p>
          <w:p w:rsidR="00F93B54" w:rsidRDefault="00F93B54" w:rsidP="00F93B54">
            <w:pPr>
              <w:rPr>
                <w:sz w:val="24"/>
                <w:szCs w:val="24"/>
              </w:rPr>
            </w:pPr>
            <w:r>
              <w:rPr>
                <w:sz w:val="24"/>
                <w:szCs w:val="24"/>
              </w:rPr>
              <w:br/>
            </w:r>
          </w:p>
          <w:p w:rsidR="00F93B54" w:rsidRPr="00F93B54" w:rsidRDefault="00F93B54" w:rsidP="00F93B54">
            <w:pPr>
              <w:jc w:val="center"/>
              <w:rPr>
                <w:b/>
                <w:sz w:val="24"/>
                <w:szCs w:val="24"/>
              </w:rPr>
            </w:pPr>
            <w:r w:rsidRPr="00F93B54">
              <w:rPr>
                <w:b/>
                <w:sz w:val="24"/>
                <w:szCs w:val="24"/>
              </w:rPr>
              <w:t>OSCAR RODRIGO CAMPO</w:t>
            </w:r>
          </w:p>
          <w:p w:rsidR="00F93B54" w:rsidRDefault="00F93B54" w:rsidP="00F93B54">
            <w:pPr>
              <w:jc w:val="center"/>
              <w:rPr>
                <w:sz w:val="24"/>
                <w:szCs w:val="24"/>
              </w:rPr>
            </w:pPr>
            <w:r w:rsidRPr="00F93B54">
              <w:rPr>
                <w:b/>
                <w:sz w:val="24"/>
                <w:szCs w:val="24"/>
              </w:rPr>
              <w:t>Representante a la Cámara</w:t>
            </w:r>
          </w:p>
        </w:tc>
        <w:tc>
          <w:tcPr>
            <w:tcW w:w="4747" w:type="dxa"/>
          </w:tcPr>
          <w:p w:rsidR="00586E38" w:rsidRDefault="00586E38">
            <w:pPr>
              <w:jc w:val="center"/>
              <w:rPr>
                <w:sz w:val="24"/>
                <w:szCs w:val="24"/>
              </w:rPr>
            </w:pPr>
          </w:p>
        </w:tc>
      </w:tr>
    </w:tbl>
    <w:p w:rsidR="00586E38" w:rsidRDefault="00586E38">
      <w:pPr>
        <w:spacing w:after="20"/>
        <w:jc w:val="center"/>
        <w:rPr>
          <w:sz w:val="24"/>
          <w:szCs w:val="24"/>
        </w:rPr>
      </w:pPr>
    </w:p>
    <w:p w:rsidR="00586E38" w:rsidRDefault="00586E38">
      <w:pPr>
        <w:pBdr>
          <w:top w:val="nil"/>
          <w:left w:val="nil"/>
          <w:bottom w:val="nil"/>
          <w:right w:val="nil"/>
          <w:between w:val="nil"/>
        </w:pBdr>
        <w:spacing w:before="154"/>
        <w:ind w:right="4"/>
        <w:jc w:val="both"/>
        <w:rPr>
          <w:color w:val="000000"/>
          <w:sz w:val="24"/>
          <w:szCs w:val="24"/>
        </w:rPr>
      </w:pPr>
    </w:p>
    <w:sectPr w:rsidR="00586E38">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438" w:rsidRDefault="002F0438">
      <w:r>
        <w:separator/>
      </w:r>
    </w:p>
  </w:endnote>
  <w:endnote w:type="continuationSeparator" w:id="0">
    <w:p w:rsidR="002F0438" w:rsidRDefault="002F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B54" w:rsidRDefault="00F93B5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F93B54" w:rsidRDefault="00F93B54">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B54" w:rsidRDefault="00F93B5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0C1AC7">
      <w:rPr>
        <w:noProof/>
        <w:color w:val="000000"/>
      </w:rPr>
      <w:t>1</w:t>
    </w:r>
    <w:r>
      <w:rPr>
        <w:color w:val="000000"/>
      </w:rPr>
      <w:fldChar w:fldCharType="end"/>
    </w:r>
  </w:p>
  <w:p w:rsidR="00F93B54" w:rsidRDefault="00F93B54">
    <w:pPr>
      <w:pBdr>
        <w:top w:val="nil"/>
        <w:left w:val="nil"/>
        <w:bottom w:val="nil"/>
        <w:right w:val="nil"/>
        <w:between w:val="nil"/>
      </w:pBdr>
      <w:spacing w:line="14" w:lineRule="auto"/>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438" w:rsidRDefault="002F0438">
      <w:r>
        <w:separator/>
      </w:r>
    </w:p>
  </w:footnote>
  <w:footnote w:type="continuationSeparator" w:id="0">
    <w:p w:rsidR="002F0438" w:rsidRDefault="002F0438">
      <w:r>
        <w:continuationSeparator/>
      </w:r>
    </w:p>
  </w:footnote>
  <w:footnote w:id="1">
    <w:p w:rsidR="00F93B54" w:rsidRDefault="00F93B54">
      <w:pPr>
        <w:rPr>
          <w:sz w:val="18"/>
          <w:szCs w:val="18"/>
        </w:rPr>
      </w:pPr>
      <w:r>
        <w:rPr>
          <w:vertAlign w:val="superscript"/>
        </w:rPr>
        <w:footnoteRef/>
      </w:r>
      <w:r>
        <w:rPr>
          <w:sz w:val="20"/>
          <w:szCs w:val="20"/>
        </w:rPr>
        <w:t xml:space="preserve"> </w:t>
      </w:r>
      <w:r>
        <w:t>El presente proyecto de ley fue preparado con la participación del señor Francisco Reyes Villamizar.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B54" w:rsidRDefault="00F93B54">
    <w:pPr>
      <w:pBdr>
        <w:top w:val="nil"/>
        <w:left w:val="nil"/>
        <w:bottom w:val="nil"/>
        <w:right w:val="nil"/>
        <w:between w:val="nil"/>
      </w:pBdr>
      <w:spacing w:line="14" w:lineRule="auto"/>
      <w:jc w:val="center"/>
      <w:rPr>
        <w:color w:val="000000"/>
      </w:rPr>
    </w:pPr>
  </w:p>
  <w:p w:rsidR="00F93B54" w:rsidRDefault="00F93B54">
    <w:pPr>
      <w:pBdr>
        <w:top w:val="nil"/>
        <w:left w:val="nil"/>
        <w:bottom w:val="nil"/>
        <w:right w:val="nil"/>
        <w:between w:val="nil"/>
      </w:pBdr>
      <w:spacing w:line="14" w:lineRule="auto"/>
      <w:jc w:val="center"/>
      <w:rPr>
        <w:color w:val="000000"/>
      </w:rPr>
    </w:pPr>
    <w:r>
      <w:rPr>
        <w:noProof/>
        <w:lang w:bidi="ar-SA"/>
      </w:rPr>
      <w:drawing>
        <wp:anchor distT="0" distB="0" distL="114300" distR="114300" simplePos="0" relativeHeight="251658240" behindDoc="0" locked="0" layoutInCell="1" hidden="0" allowOverlap="1">
          <wp:simplePos x="0" y="0"/>
          <wp:positionH relativeFrom="column">
            <wp:posOffset>1895475</wp:posOffset>
          </wp:positionH>
          <wp:positionV relativeFrom="paragraph">
            <wp:posOffset>0</wp:posOffset>
          </wp:positionV>
          <wp:extent cx="2152015" cy="792480"/>
          <wp:effectExtent l="0" t="0" r="0" b="0"/>
          <wp:wrapTopAndBottom distT="0" distB="0"/>
          <wp:docPr id="2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2152015" cy="792480"/>
                  </a:xfrm>
                  <a:prstGeom prst="rect">
                    <a:avLst/>
                  </a:prstGeom>
                  <a:ln/>
                </pic:spPr>
              </pic:pic>
            </a:graphicData>
          </a:graphic>
        </wp:anchor>
      </w:drawing>
    </w:r>
  </w:p>
  <w:p w:rsidR="00F93B54" w:rsidRDefault="00F93B54">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547"/>
    <w:multiLevelType w:val="multilevel"/>
    <w:tmpl w:val="4D74D5C4"/>
    <w:lvl w:ilvl="0">
      <w:start w:val="1"/>
      <w:numFmt w:val="decimal"/>
      <w:lvlText w:val="%1."/>
      <w:lvlJc w:val="left"/>
      <w:pPr>
        <w:ind w:left="1182" w:hanging="360"/>
      </w:pPr>
      <w:rPr>
        <w:rFonts w:ascii="Arial" w:eastAsia="Arial" w:hAnsi="Arial" w:cs="Arial"/>
        <w:sz w:val="22"/>
        <w:szCs w:val="22"/>
      </w:rPr>
    </w:lvl>
    <w:lvl w:ilvl="1">
      <w:numFmt w:val="bullet"/>
      <w:lvlText w:val="•"/>
      <w:lvlJc w:val="left"/>
      <w:pPr>
        <w:ind w:left="2004" w:hanging="360"/>
      </w:pPr>
    </w:lvl>
    <w:lvl w:ilvl="2">
      <w:numFmt w:val="bullet"/>
      <w:lvlText w:val="•"/>
      <w:lvlJc w:val="left"/>
      <w:pPr>
        <w:ind w:left="2828" w:hanging="360"/>
      </w:pPr>
    </w:lvl>
    <w:lvl w:ilvl="3">
      <w:numFmt w:val="bullet"/>
      <w:lvlText w:val="•"/>
      <w:lvlJc w:val="left"/>
      <w:pPr>
        <w:ind w:left="3652" w:hanging="360"/>
      </w:pPr>
    </w:lvl>
    <w:lvl w:ilvl="4">
      <w:numFmt w:val="bullet"/>
      <w:lvlText w:val="•"/>
      <w:lvlJc w:val="left"/>
      <w:pPr>
        <w:ind w:left="4476" w:hanging="360"/>
      </w:pPr>
    </w:lvl>
    <w:lvl w:ilvl="5">
      <w:numFmt w:val="bullet"/>
      <w:lvlText w:val="•"/>
      <w:lvlJc w:val="left"/>
      <w:pPr>
        <w:ind w:left="5300" w:hanging="360"/>
      </w:pPr>
    </w:lvl>
    <w:lvl w:ilvl="6">
      <w:numFmt w:val="bullet"/>
      <w:lvlText w:val="•"/>
      <w:lvlJc w:val="left"/>
      <w:pPr>
        <w:ind w:left="6124" w:hanging="360"/>
      </w:pPr>
    </w:lvl>
    <w:lvl w:ilvl="7">
      <w:numFmt w:val="bullet"/>
      <w:lvlText w:val="•"/>
      <w:lvlJc w:val="left"/>
      <w:pPr>
        <w:ind w:left="6948" w:hanging="360"/>
      </w:pPr>
    </w:lvl>
    <w:lvl w:ilvl="8">
      <w:numFmt w:val="bullet"/>
      <w:lvlText w:val="•"/>
      <w:lvlJc w:val="left"/>
      <w:pPr>
        <w:ind w:left="7772" w:hanging="360"/>
      </w:pPr>
    </w:lvl>
  </w:abstractNum>
  <w:abstractNum w:abstractNumId="1" w15:restartNumberingAfterBreak="0">
    <w:nsid w:val="068E2007"/>
    <w:multiLevelType w:val="multilevel"/>
    <w:tmpl w:val="D0609A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9103D"/>
    <w:multiLevelType w:val="multilevel"/>
    <w:tmpl w:val="3B0EF32A"/>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275"/>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275"/>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275"/>
      </w:pPr>
      <w:rPr>
        <w:smallCaps w:val="0"/>
        <w:strike w:val="0"/>
        <w:color w:val="000000"/>
        <w:shd w:val="clear" w:color="auto" w:fill="auto"/>
        <w:vertAlign w:val="baseline"/>
      </w:rPr>
    </w:lvl>
  </w:abstractNum>
  <w:abstractNum w:abstractNumId="3" w15:restartNumberingAfterBreak="0">
    <w:nsid w:val="0B6E244F"/>
    <w:multiLevelType w:val="multilevel"/>
    <w:tmpl w:val="22128C74"/>
    <w:lvl w:ilvl="0">
      <w:start w:val="1"/>
      <w:numFmt w:val="lowerLetter"/>
      <w:lvlText w:val="%1)"/>
      <w:lvlJc w:val="left"/>
      <w:pPr>
        <w:ind w:left="462" w:hanging="267"/>
      </w:pPr>
      <w:rPr>
        <w:rFonts w:ascii="Arial" w:eastAsia="Arial" w:hAnsi="Arial" w:cs="Arial"/>
        <w:sz w:val="22"/>
        <w:szCs w:val="22"/>
      </w:rPr>
    </w:lvl>
    <w:lvl w:ilvl="1">
      <w:start w:val="1"/>
      <w:numFmt w:val="decimal"/>
      <w:lvlText w:val="%2."/>
      <w:lvlJc w:val="left"/>
      <w:pPr>
        <w:ind w:left="1182" w:hanging="360"/>
      </w:pPr>
      <w:rPr>
        <w:rFonts w:ascii="Arial" w:eastAsia="Arial" w:hAnsi="Arial" w:cs="Arial"/>
        <w:sz w:val="22"/>
        <w:szCs w:val="22"/>
      </w:rPr>
    </w:lvl>
    <w:lvl w:ilvl="2">
      <w:numFmt w:val="bullet"/>
      <w:lvlText w:val="•"/>
      <w:lvlJc w:val="left"/>
      <w:pPr>
        <w:ind w:left="2095" w:hanging="360"/>
      </w:pPr>
    </w:lvl>
    <w:lvl w:ilvl="3">
      <w:numFmt w:val="bullet"/>
      <w:lvlText w:val="•"/>
      <w:lvlJc w:val="left"/>
      <w:pPr>
        <w:ind w:left="3011" w:hanging="360"/>
      </w:pPr>
    </w:lvl>
    <w:lvl w:ilvl="4">
      <w:numFmt w:val="bullet"/>
      <w:lvlText w:val="•"/>
      <w:lvlJc w:val="left"/>
      <w:pPr>
        <w:ind w:left="3926" w:hanging="360"/>
      </w:pPr>
    </w:lvl>
    <w:lvl w:ilvl="5">
      <w:numFmt w:val="bullet"/>
      <w:lvlText w:val="•"/>
      <w:lvlJc w:val="left"/>
      <w:pPr>
        <w:ind w:left="4842" w:hanging="360"/>
      </w:pPr>
    </w:lvl>
    <w:lvl w:ilvl="6">
      <w:numFmt w:val="bullet"/>
      <w:lvlText w:val="•"/>
      <w:lvlJc w:val="left"/>
      <w:pPr>
        <w:ind w:left="5757" w:hanging="360"/>
      </w:pPr>
    </w:lvl>
    <w:lvl w:ilvl="7">
      <w:numFmt w:val="bullet"/>
      <w:lvlText w:val="•"/>
      <w:lvlJc w:val="left"/>
      <w:pPr>
        <w:ind w:left="6673" w:hanging="360"/>
      </w:pPr>
    </w:lvl>
    <w:lvl w:ilvl="8">
      <w:numFmt w:val="bullet"/>
      <w:lvlText w:val="•"/>
      <w:lvlJc w:val="left"/>
      <w:pPr>
        <w:ind w:left="7588" w:hanging="360"/>
      </w:pPr>
    </w:lvl>
  </w:abstractNum>
  <w:abstractNum w:abstractNumId="4" w15:restartNumberingAfterBreak="0">
    <w:nsid w:val="1FC04EB6"/>
    <w:multiLevelType w:val="multilevel"/>
    <w:tmpl w:val="BB7C1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482855"/>
    <w:multiLevelType w:val="multilevel"/>
    <w:tmpl w:val="D8BE6C68"/>
    <w:lvl w:ilvl="0">
      <w:start w:val="1"/>
      <w:numFmt w:val="decimal"/>
      <w:lvlText w:val="%1."/>
      <w:lvlJc w:val="left"/>
      <w:pPr>
        <w:ind w:left="708" w:hanging="708"/>
      </w:pPr>
      <w:rPr>
        <w:smallCaps w:val="0"/>
        <w:strike w:val="0"/>
        <w:color w:val="000000"/>
        <w:shd w:val="clear" w:color="auto" w:fill="auto"/>
        <w:vertAlign w:val="baseline"/>
      </w:rPr>
    </w:lvl>
    <w:lvl w:ilvl="1">
      <w:start w:val="1"/>
      <w:numFmt w:val="decimal"/>
      <w:lvlText w:val="%2."/>
      <w:lvlJc w:val="left"/>
      <w:pPr>
        <w:ind w:left="1428" w:hanging="707"/>
      </w:pPr>
      <w:rPr>
        <w:smallCaps w:val="0"/>
        <w:strike w:val="0"/>
        <w:color w:val="000000"/>
        <w:shd w:val="clear" w:color="auto" w:fill="auto"/>
        <w:vertAlign w:val="baseline"/>
      </w:rPr>
    </w:lvl>
    <w:lvl w:ilvl="2">
      <w:start w:val="1"/>
      <w:numFmt w:val="decimal"/>
      <w:lvlText w:val="%3."/>
      <w:lvlJc w:val="left"/>
      <w:pPr>
        <w:ind w:left="2148" w:hanging="708"/>
      </w:pPr>
      <w:rPr>
        <w:smallCaps w:val="0"/>
        <w:strike w:val="0"/>
        <w:color w:val="000000"/>
        <w:shd w:val="clear" w:color="auto" w:fill="auto"/>
        <w:vertAlign w:val="baseline"/>
      </w:rPr>
    </w:lvl>
    <w:lvl w:ilvl="3">
      <w:start w:val="1"/>
      <w:numFmt w:val="decimal"/>
      <w:lvlText w:val="%4."/>
      <w:lvlJc w:val="left"/>
      <w:pPr>
        <w:ind w:left="2868" w:hanging="708"/>
      </w:pPr>
      <w:rPr>
        <w:smallCaps w:val="0"/>
        <w:strike w:val="0"/>
        <w:color w:val="000000"/>
        <w:shd w:val="clear" w:color="auto" w:fill="auto"/>
        <w:vertAlign w:val="baseline"/>
      </w:rPr>
    </w:lvl>
    <w:lvl w:ilvl="4">
      <w:start w:val="1"/>
      <w:numFmt w:val="decimal"/>
      <w:lvlText w:val="%5."/>
      <w:lvlJc w:val="left"/>
      <w:pPr>
        <w:ind w:left="3588" w:hanging="708"/>
      </w:pPr>
      <w:rPr>
        <w:smallCaps w:val="0"/>
        <w:strike w:val="0"/>
        <w:color w:val="000000"/>
        <w:shd w:val="clear" w:color="auto" w:fill="auto"/>
        <w:vertAlign w:val="baseline"/>
      </w:rPr>
    </w:lvl>
    <w:lvl w:ilvl="5">
      <w:start w:val="1"/>
      <w:numFmt w:val="decimal"/>
      <w:lvlText w:val="%6."/>
      <w:lvlJc w:val="left"/>
      <w:pPr>
        <w:ind w:left="4308" w:hanging="708"/>
      </w:pPr>
      <w:rPr>
        <w:smallCaps w:val="0"/>
        <w:strike w:val="0"/>
        <w:color w:val="000000"/>
        <w:shd w:val="clear" w:color="auto" w:fill="auto"/>
        <w:vertAlign w:val="baseline"/>
      </w:rPr>
    </w:lvl>
    <w:lvl w:ilvl="6">
      <w:start w:val="1"/>
      <w:numFmt w:val="decimal"/>
      <w:lvlText w:val="%7."/>
      <w:lvlJc w:val="left"/>
      <w:pPr>
        <w:ind w:left="5028" w:hanging="708"/>
      </w:pPr>
      <w:rPr>
        <w:smallCaps w:val="0"/>
        <w:strike w:val="0"/>
        <w:color w:val="000000"/>
        <w:shd w:val="clear" w:color="auto" w:fill="auto"/>
        <w:vertAlign w:val="baseline"/>
      </w:rPr>
    </w:lvl>
    <w:lvl w:ilvl="7">
      <w:start w:val="1"/>
      <w:numFmt w:val="decimal"/>
      <w:lvlText w:val="%8."/>
      <w:lvlJc w:val="left"/>
      <w:pPr>
        <w:ind w:left="5748" w:hanging="708"/>
      </w:pPr>
      <w:rPr>
        <w:smallCaps w:val="0"/>
        <w:strike w:val="0"/>
        <w:color w:val="000000"/>
        <w:shd w:val="clear" w:color="auto" w:fill="auto"/>
        <w:vertAlign w:val="baseline"/>
      </w:rPr>
    </w:lvl>
    <w:lvl w:ilvl="8">
      <w:start w:val="1"/>
      <w:numFmt w:val="decimal"/>
      <w:lvlText w:val="%9."/>
      <w:lvlJc w:val="left"/>
      <w:pPr>
        <w:ind w:left="6468" w:hanging="708"/>
      </w:pPr>
      <w:rPr>
        <w:smallCaps w:val="0"/>
        <w:strike w:val="0"/>
        <w:color w:val="000000"/>
        <w:shd w:val="clear" w:color="auto" w:fill="auto"/>
        <w:vertAlign w:val="baseline"/>
      </w:rPr>
    </w:lvl>
  </w:abstractNum>
  <w:abstractNum w:abstractNumId="6" w15:restartNumberingAfterBreak="0">
    <w:nsid w:val="23C278C4"/>
    <w:multiLevelType w:val="multilevel"/>
    <w:tmpl w:val="8A64B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94705A"/>
    <w:multiLevelType w:val="multilevel"/>
    <w:tmpl w:val="18BE7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EF39EF"/>
    <w:multiLevelType w:val="multilevel"/>
    <w:tmpl w:val="818C493A"/>
    <w:lvl w:ilvl="0">
      <w:start w:val="1"/>
      <w:numFmt w:val="decimal"/>
      <w:lvlText w:val="%1."/>
      <w:lvlJc w:val="left"/>
      <w:pPr>
        <w:ind w:left="462" w:hanging="247"/>
      </w:pPr>
      <w:rPr>
        <w:rFonts w:ascii="Arial" w:eastAsia="Arial" w:hAnsi="Arial" w:cs="Arial"/>
        <w:sz w:val="22"/>
        <w:szCs w:val="22"/>
      </w:rPr>
    </w:lvl>
    <w:lvl w:ilvl="1">
      <w:numFmt w:val="bullet"/>
      <w:lvlText w:val="•"/>
      <w:lvlJc w:val="left"/>
      <w:pPr>
        <w:ind w:left="1356" w:hanging="248"/>
      </w:pPr>
    </w:lvl>
    <w:lvl w:ilvl="2">
      <w:numFmt w:val="bullet"/>
      <w:lvlText w:val="•"/>
      <w:lvlJc w:val="left"/>
      <w:pPr>
        <w:ind w:left="2252" w:hanging="248"/>
      </w:pPr>
    </w:lvl>
    <w:lvl w:ilvl="3">
      <w:numFmt w:val="bullet"/>
      <w:lvlText w:val="•"/>
      <w:lvlJc w:val="left"/>
      <w:pPr>
        <w:ind w:left="3148" w:hanging="248"/>
      </w:pPr>
    </w:lvl>
    <w:lvl w:ilvl="4">
      <w:numFmt w:val="bullet"/>
      <w:lvlText w:val="•"/>
      <w:lvlJc w:val="left"/>
      <w:pPr>
        <w:ind w:left="4044" w:hanging="248"/>
      </w:pPr>
    </w:lvl>
    <w:lvl w:ilvl="5">
      <w:numFmt w:val="bullet"/>
      <w:lvlText w:val="•"/>
      <w:lvlJc w:val="left"/>
      <w:pPr>
        <w:ind w:left="4940" w:hanging="248"/>
      </w:pPr>
    </w:lvl>
    <w:lvl w:ilvl="6">
      <w:numFmt w:val="bullet"/>
      <w:lvlText w:val="•"/>
      <w:lvlJc w:val="left"/>
      <w:pPr>
        <w:ind w:left="5836" w:hanging="247"/>
      </w:pPr>
    </w:lvl>
    <w:lvl w:ilvl="7">
      <w:numFmt w:val="bullet"/>
      <w:lvlText w:val="•"/>
      <w:lvlJc w:val="left"/>
      <w:pPr>
        <w:ind w:left="6732" w:hanging="247"/>
      </w:pPr>
    </w:lvl>
    <w:lvl w:ilvl="8">
      <w:numFmt w:val="bullet"/>
      <w:lvlText w:val="•"/>
      <w:lvlJc w:val="left"/>
      <w:pPr>
        <w:ind w:left="7628" w:hanging="248"/>
      </w:pPr>
    </w:lvl>
  </w:abstractNum>
  <w:abstractNum w:abstractNumId="9" w15:restartNumberingAfterBreak="0">
    <w:nsid w:val="33271944"/>
    <w:multiLevelType w:val="multilevel"/>
    <w:tmpl w:val="E050E652"/>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275"/>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275"/>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275"/>
      </w:pPr>
      <w:rPr>
        <w:smallCaps w:val="0"/>
        <w:strike w:val="0"/>
        <w:color w:val="000000"/>
        <w:shd w:val="clear" w:color="auto" w:fill="auto"/>
        <w:vertAlign w:val="baseline"/>
      </w:rPr>
    </w:lvl>
  </w:abstractNum>
  <w:abstractNum w:abstractNumId="10" w15:restartNumberingAfterBreak="0">
    <w:nsid w:val="33E0590C"/>
    <w:multiLevelType w:val="multilevel"/>
    <w:tmpl w:val="EB50F03C"/>
    <w:lvl w:ilvl="0">
      <w:start w:val="1"/>
      <w:numFmt w:val="decimal"/>
      <w:lvlText w:val="%1."/>
      <w:lvlJc w:val="left"/>
      <w:pPr>
        <w:ind w:left="1182" w:hanging="360"/>
      </w:pPr>
      <w:rPr>
        <w:rFonts w:ascii="Arial" w:eastAsia="Arial" w:hAnsi="Arial" w:cs="Arial"/>
        <w:sz w:val="22"/>
        <w:szCs w:val="22"/>
      </w:rPr>
    </w:lvl>
    <w:lvl w:ilvl="1">
      <w:numFmt w:val="bullet"/>
      <w:lvlText w:val="•"/>
      <w:lvlJc w:val="left"/>
      <w:pPr>
        <w:ind w:left="2004" w:hanging="360"/>
      </w:pPr>
    </w:lvl>
    <w:lvl w:ilvl="2">
      <w:numFmt w:val="bullet"/>
      <w:lvlText w:val="•"/>
      <w:lvlJc w:val="left"/>
      <w:pPr>
        <w:ind w:left="2828" w:hanging="360"/>
      </w:pPr>
    </w:lvl>
    <w:lvl w:ilvl="3">
      <w:numFmt w:val="bullet"/>
      <w:lvlText w:val="•"/>
      <w:lvlJc w:val="left"/>
      <w:pPr>
        <w:ind w:left="3652" w:hanging="360"/>
      </w:pPr>
    </w:lvl>
    <w:lvl w:ilvl="4">
      <w:numFmt w:val="bullet"/>
      <w:lvlText w:val="•"/>
      <w:lvlJc w:val="left"/>
      <w:pPr>
        <w:ind w:left="4476" w:hanging="360"/>
      </w:pPr>
    </w:lvl>
    <w:lvl w:ilvl="5">
      <w:numFmt w:val="bullet"/>
      <w:lvlText w:val="•"/>
      <w:lvlJc w:val="left"/>
      <w:pPr>
        <w:ind w:left="5300" w:hanging="360"/>
      </w:pPr>
    </w:lvl>
    <w:lvl w:ilvl="6">
      <w:numFmt w:val="bullet"/>
      <w:lvlText w:val="•"/>
      <w:lvlJc w:val="left"/>
      <w:pPr>
        <w:ind w:left="6124" w:hanging="360"/>
      </w:pPr>
    </w:lvl>
    <w:lvl w:ilvl="7">
      <w:numFmt w:val="bullet"/>
      <w:lvlText w:val="•"/>
      <w:lvlJc w:val="left"/>
      <w:pPr>
        <w:ind w:left="6948" w:hanging="360"/>
      </w:pPr>
    </w:lvl>
    <w:lvl w:ilvl="8">
      <w:numFmt w:val="bullet"/>
      <w:lvlText w:val="•"/>
      <w:lvlJc w:val="left"/>
      <w:pPr>
        <w:ind w:left="7772" w:hanging="360"/>
      </w:pPr>
    </w:lvl>
  </w:abstractNum>
  <w:abstractNum w:abstractNumId="11" w15:restartNumberingAfterBreak="0">
    <w:nsid w:val="390949D8"/>
    <w:multiLevelType w:val="multilevel"/>
    <w:tmpl w:val="30883CA2"/>
    <w:lvl w:ilvl="0">
      <w:start w:val="1"/>
      <w:numFmt w:val="decimal"/>
      <w:lvlText w:val="%1."/>
      <w:lvlJc w:val="left"/>
      <w:pPr>
        <w:ind w:left="709" w:hanging="709"/>
      </w:pPr>
      <w:rPr>
        <w:smallCaps w:val="0"/>
        <w:strike w:val="0"/>
        <w:shd w:val="clear" w:color="auto" w:fill="auto"/>
        <w:vertAlign w:val="baseline"/>
      </w:rPr>
    </w:lvl>
    <w:lvl w:ilvl="1">
      <w:start w:val="1"/>
      <w:numFmt w:val="decimal"/>
      <w:lvlText w:val="%2."/>
      <w:lvlJc w:val="left"/>
      <w:pPr>
        <w:ind w:left="1429" w:hanging="709"/>
      </w:pPr>
      <w:rPr>
        <w:smallCaps w:val="0"/>
        <w:strike w:val="0"/>
        <w:shd w:val="clear" w:color="auto" w:fill="auto"/>
        <w:vertAlign w:val="baseline"/>
      </w:rPr>
    </w:lvl>
    <w:lvl w:ilvl="2">
      <w:start w:val="1"/>
      <w:numFmt w:val="decimal"/>
      <w:lvlText w:val="%3."/>
      <w:lvlJc w:val="left"/>
      <w:pPr>
        <w:ind w:left="2149" w:hanging="709"/>
      </w:pPr>
      <w:rPr>
        <w:smallCaps w:val="0"/>
        <w:strike w:val="0"/>
        <w:shd w:val="clear" w:color="auto" w:fill="auto"/>
        <w:vertAlign w:val="baseline"/>
      </w:rPr>
    </w:lvl>
    <w:lvl w:ilvl="3">
      <w:start w:val="1"/>
      <w:numFmt w:val="decimal"/>
      <w:lvlText w:val="%4."/>
      <w:lvlJc w:val="left"/>
      <w:pPr>
        <w:ind w:left="2869" w:hanging="709"/>
      </w:pPr>
      <w:rPr>
        <w:smallCaps w:val="0"/>
        <w:strike w:val="0"/>
        <w:shd w:val="clear" w:color="auto" w:fill="auto"/>
        <w:vertAlign w:val="baseline"/>
      </w:rPr>
    </w:lvl>
    <w:lvl w:ilvl="4">
      <w:start w:val="1"/>
      <w:numFmt w:val="decimal"/>
      <w:lvlText w:val="%5."/>
      <w:lvlJc w:val="left"/>
      <w:pPr>
        <w:ind w:left="3589" w:hanging="709"/>
      </w:pPr>
      <w:rPr>
        <w:smallCaps w:val="0"/>
        <w:strike w:val="0"/>
        <w:shd w:val="clear" w:color="auto" w:fill="auto"/>
        <w:vertAlign w:val="baseline"/>
      </w:rPr>
    </w:lvl>
    <w:lvl w:ilvl="5">
      <w:start w:val="1"/>
      <w:numFmt w:val="decimal"/>
      <w:lvlText w:val="%6."/>
      <w:lvlJc w:val="left"/>
      <w:pPr>
        <w:ind w:left="4309" w:hanging="709"/>
      </w:pPr>
      <w:rPr>
        <w:smallCaps w:val="0"/>
        <w:strike w:val="0"/>
        <w:shd w:val="clear" w:color="auto" w:fill="auto"/>
        <w:vertAlign w:val="baseline"/>
      </w:rPr>
    </w:lvl>
    <w:lvl w:ilvl="6">
      <w:start w:val="1"/>
      <w:numFmt w:val="decimal"/>
      <w:lvlText w:val="%7."/>
      <w:lvlJc w:val="left"/>
      <w:pPr>
        <w:ind w:left="5029" w:hanging="709"/>
      </w:pPr>
      <w:rPr>
        <w:smallCaps w:val="0"/>
        <w:strike w:val="0"/>
        <w:shd w:val="clear" w:color="auto" w:fill="auto"/>
        <w:vertAlign w:val="baseline"/>
      </w:rPr>
    </w:lvl>
    <w:lvl w:ilvl="7">
      <w:start w:val="1"/>
      <w:numFmt w:val="decimal"/>
      <w:lvlText w:val="%8."/>
      <w:lvlJc w:val="left"/>
      <w:pPr>
        <w:ind w:left="5749" w:hanging="709"/>
      </w:pPr>
      <w:rPr>
        <w:smallCaps w:val="0"/>
        <w:strike w:val="0"/>
        <w:shd w:val="clear" w:color="auto" w:fill="auto"/>
        <w:vertAlign w:val="baseline"/>
      </w:rPr>
    </w:lvl>
    <w:lvl w:ilvl="8">
      <w:start w:val="1"/>
      <w:numFmt w:val="decimal"/>
      <w:lvlText w:val="%9."/>
      <w:lvlJc w:val="left"/>
      <w:pPr>
        <w:ind w:left="6469" w:hanging="709"/>
      </w:pPr>
      <w:rPr>
        <w:smallCaps w:val="0"/>
        <w:strike w:val="0"/>
        <w:shd w:val="clear" w:color="auto" w:fill="auto"/>
        <w:vertAlign w:val="baseline"/>
      </w:rPr>
    </w:lvl>
  </w:abstractNum>
  <w:abstractNum w:abstractNumId="12" w15:restartNumberingAfterBreak="0">
    <w:nsid w:val="45F34C66"/>
    <w:multiLevelType w:val="multilevel"/>
    <w:tmpl w:val="2E64296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754092"/>
    <w:multiLevelType w:val="multilevel"/>
    <w:tmpl w:val="D63E8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B438CD"/>
    <w:multiLevelType w:val="multilevel"/>
    <w:tmpl w:val="BBF65CC8"/>
    <w:lvl w:ilvl="0">
      <w:start w:val="1"/>
      <w:numFmt w:val="lowerLetter"/>
      <w:lvlText w:val="%1)"/>
      <w:lvlJc w:val="left"/>
      <w:pPr>
        <w:ind w:left="745" w:hanging="284"/>
      </w:pPr>
      <w:rPr>
        <w:rFonts w:ascii="Arial" w:eastAsia="Arial" w:hAnsi="Arial" w:cs="Arial"/>
        <w:sz w:val="22"/>
        <w:szCs w:val="22"/>
      </w:rPr>
    </w:lvl>
    <w:lvl w:ilvl="1">
      <w:start w:val="1"/>
      <w:numFmt w:val="decimal"/>
      <w:lvlText w:val="%2."/>
      <w:lvlJc w:val="left"/>
      <w:pPr>
        <w:ind w:left="1182" w:hanging="360"/>
      </w:pPr>
      <w:rPr>
        <w:rFonts w:ascii="Arial" w:eastAsia="Arial" w:hAnsi="Arial" w:cs="Arial"/>
        <w:sz w:val="22"/>
        <w:szCs w:val="22"/>
      </w:rPr>
    </w:lvl>
    <w:lvl w:ilvl="2">
      <w:numFmt w:val="bullet"/>
      <w:lvlText w:val="•"/>
      <w:lvlJc w:val="left"/>
      <w:pPr>
        <w:ind w:left="2095" w:hanging="360"/>
      </w:pPr>
    </w:lvl>
    <w:lvl w:ilvl="3">
      <w:numFmt w:val="bullet"/>
      <w:lvlText w:val="•"/>
      <w:lvlJc w:val="left"/>
      <w:pPr>
        <w:ind w:left="3011" w:hanging="360"/>
      </w:pPr>
    </w:lvl>
    <w:lvl w:ilvl="4">
      <w:numFmt w:val="bullet"/>
      <w:lvlText w:val="•"/>
      <w:lvlJc w:val="left"/>
      <w:pPr>
        <w:ind w:left="3926" w:hanging="360"/>
      </w:pPr>
    </w:lvl>
    <w:lvl w:ilvl="5">
      <w:numFmt w:val="bullet"/>
      <w:lvlText w:val="•"/>
      <w:lvlJc w:val="left"/>
      <w:pPr>
        <w:ind w:left="4842" w:hanging="360"/>
      </w:pPr>
    </w:lvl>
    <w:lvl w:ilvl="6">
      <w:numFmt w:val="bullet"/>
      <w:lvlText w:val="•"/>
      <w:lvlJc w:val="left"/>
      <w:pPr>
        <w:ind w:left="5757" w:hanging="360"/>
      </w:pPr>
    </w:lvl>
    <w:lvl w:ilvl="7">
      <w:numFmt w:val="bullet"/>
      <w:lvlText w:val="•"/>
      <w:lvlJc w:val="left"/>
      <w:pPr>
        <w:ind w:left="6673" w:hanging="360"/>
      </w:pPr>
    </w:lvl>
    <w:lvl w:ilvl="8">
      <w:numFmt w:val="bullet"/>
      <w:lvlText w:val="•"/>
      <w:lvlJc w:val="left"/>
      <w:pPr>
        <w:ind w:left="7588" w:hanging="360"/>
      </w:pPr>
    </w:lvl>
  </w:abstractNum>
  <w:abstractNum w:abstractNumId="15" w15:restartNumberingAfterBreak="0">
    <w:nsid w:val="4A235F55"/>
    <w:multiLevelType w:val="multilevel"/>
    <w:tmpl w:val="F95E1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0FF1612"/>
    <w:multiLevelType w:val="multilevel"/>
    <w:tmpl w:val="C4D84DEE"/>
    <w:lvl w:ilvl="0">
      <w:start w:val="1"/>
      <w:numFmt w:val="decimal"/>
      <w:lvlText w:val="%1."/>
      <w:lvlJc w:val="left"/>
      <w:pPr>
        <w:ind w:left="1182" w:hanging="360"/>
      </w:pPr>
      <w:rPr>
        <w:rFonts w:ascii="Arial" w:eastAsia="Arial" w:hAnsi="Arial" w:cs="Arial"/>
        <w:sz w:val="22"/>
        <w:szCs w:val="22"/>
      </w:rPr>
    </w:lvl>
    <w:lvl w:ilvl="1">
      <w:numFmt w:val="bullet"/>
      <w:lvlText w:val="•"/>
      <w:lvlJc w:val="left"/>
      <w:pPr>
        <w:ind w:left="2004" w:hanging="360"/>
      </w:pPr>
    </w:lvl>
    <w:lvl w:ilvl="2">
      <w:numFmt w:val="bullet"/>
      <w:lvlText w:val="•"/>
      <w:lvlJc w:val="left"/>
      <w:pPr>
        <w:ind w:left="2828" w:hanging="360"/>
      </w:pPr>
    </w:lvl>
    <w:lvl w:ilvl="3">
      <w:numFmt w:val="bullet"/>
      <w:lvlText w:val="•"/>
      <w:lvlJc w:val="left"/>
      <w:pPr>
        <w:ind w:left="3652" w:hanging="360"/>
      </w:pPr>
    </w:lvl>
    <w:lvl w:ilvl="4">
      <w:numFmt w:val="bullet"/>
      <w:lvlText w:val="•"/>
      <w:lvlJc w:val="left"/>
      <w:pPr>
        <w:ind w:left="4476" w:hanging="360"/>
      </w:pPr>
    </w:lvl>
    <w:lvl w:ilvl="5">
      <w:numFmt w:val="bullet"/>
      <w:lvlText w:val="•"/>
      <w:lvlJc w:val="left"/>
      <w:pPr>
        <w:ind w:left="5300" w:hanging="360"/>
      </w:pPr>
    </w:lvl>
    <w:lvl w:ilvl="6">
      <w:numFmt w:val="bullet"/>
      <w:lvlText w:val="•"/>
      <w:lvlJc w:val="left"/>
      <w:pPr>
        <w:ind w:left="6124" w:hanging="360"/>
      </w:pPr>
    </w:lvl>
    <w:lvl w:ilvl="7">
      <w:numFmt w:val="bullet"/>
      <w:lvlText w:val="•"/>
      <w:lvlJc w:val="left"/>
      <w:pPr>
        <w:ind w:left="6948" w:hanging="360"/>
      </w:pPr>
    </w:lvl>
    <w:lvl w:ilvl="8">
      <w:numFmt w:val="bullet"/>
      <w:lvlText w:val="•"/>
      <w:lvlJc w:val="left"/>
      <w:pPr>
        <w:ind w:left="7772" w:hanging="360"/>
      </w:pPr>
    </w:lvl>
  </w:abstractNum>
  <w:abstractNum w:abstractNumId="17" w15:restartNumberingAfterBreak="0">
    <w:nsid w:val="57A804CB"/>
    <w:multiLevelType w:val="multilevel"/>
    <w:tmpl w:val="1602B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A693054"/>
    <w:multiLevelType w:val="multilevel"/>
    <w:tmpl w:val="6442B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C7115C3"/>
    <w:multiLevelType w:val="multilevel"/>
    <w:tmpl w:val="083AE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433BA9"/>
    <w:multiLevelType w:val="multilevel"/>
    <w:tmpl w:val="294CBA78"/>
    <w:lvl w:ilvl="0">
      <w:start w:val="1"/>
      <w:numFmt w:val="decimal"/>
      <w:lvlText w:val="%1."/>
      <w:lvlJc w:val="left"/>
      <w:pPr>
        <w:ind w:left="364" w:hanging="360"/>
      </w:pPr>
      <w:rPr>
        <w:smallCaps w:val="0"/>
        <w:strike w:val="0"/>
        <w:color w:val="000000"/>
        <w:shd w:val="clear" w:color="auto" w:fill="auto"/>
        <w:vertAlign w:val="baseline"/>
      </w:rPr>
    </w:lvl>
    <w:lvl w:ilvl="1">
      <w:start w:val="1"/>
      <w:numFmt w:val="lowerLetter"/>
      <w:lvlText w:val="%2."/>
      <w:lvlJc w:val="left"/>
      <w:pPr>
        <w:ind w:left="1084" w:hanging="360"/>
      </w:pPr>
      <w:rPr>
        <w:smallCaps w:val="0"/>
        <w:strike w:val="0"/>
        <w:color w:val="000000"/>
        <w:shd w:val="clear" w:color="auto" w:fill="auto"/>
        <w:vertAlign w:val="baseline"/>
      </w:rPr>
    </w:lvl>
    <w:lvl w:ilvl="2">
      <w:start w:val="1"/>
      <w:numFmt w:val="lowerRoman"/>
      <w:lvlText w:val="%3."/>
      <w:lvlJc w:val="left"/>
      <w:pPr>
        <w:ind w:left="1804" w:hanging="275"/>
      </w:pPr>
      <w:rPr>
        <w:smallCaps w:val="0"/>
        <w:strike w:val="0"/>
        <w:color w:val="000000"/>
        <w:shd w:val="clear" w:color="auto" w:fill="auto"/>
        <w:vertAlign w:val="baseline"/>
      </w:rPr>
    </w:lvl>
    <w:lvl w:ilvl="3">
      <w:start w:val="1"/>
      <w:numFmt w:val="decimal"/>
      <w:lvlText w:val="%4."/>
      <w:lvlJc w:val="left"/>
      <w:pPr>
        <w:ind w:left="2524" w:hanging="360"/>
      </w:pPr>
      <w:rPr>
        <w:smallCaps w:val="0"/>
        <w:strike w:val="0"/>
        <w:color w:val="000000"/>
        <w:shd w:val="clear" w:color="auto" w:fill="auto"/>
        <w:vertAlign w:val="baseline"/>
      </w:rPr>
    </w:lvl>
    <w:lvl w:ilvl="4">
      <w:start w:val="1"/>
      <w:numFmt w:val="lowerLetter"/>
      <w:lvlText w:val="%5."/>
      <w:lvlJc w:val="left"/>
      <w:pPr>
        <w:ind w:left="3244" w:hanging="360"/>
      </w:pPr>
      <w:rPr>
        <w:smallCaps w:val="0"/>
        <w:strike w:val="0"/>
        <w:color w:val="000000"/>
        <w:shd w:val="clear" w:color="auto" w:fill="auto"/>
        <w:vertAlign w:val="baseline"/>
      </w:rPr>
    </w:lvl>
    <w:lvl w:ilvl="5">
      <w:start w:val="1"/>
      <w:numFmt w:val="lowerRoman"/>
      <w:lvlText w:val="%6."/>
      <w:lvlJc w:val="left"/>
      <w:pPr>
        <w:ind w:left="3964" w:hanging="275"/>
      </w:pPr>
      <w:rPr>
        <w:smallCaps w:val="0"/>
        <w:strike w:val="0"/>
        <w:color w:val="000000"/>
        <w:shd w:val="clear" w:color="auto" w:fill="auto"/>
        <w:vertAlign w:val="baseline"/>
      </w:rPr>
    </w:lvl>
    <w:lvl w:ilvl="6">
      <w:start w:val="1"/>
      <w:numFmt w:val="decimal"/>
      <w:lvlText w:val="%7."/>
      <w:lvlJc w:val="left"/>
      <w:pPr>
        <w:ind w:left="4684" w:hanging="360"/>
      </w:pPr>
      <w:rPr>
        <w:smallCaps w:val="0"/>
        <w:strike w:val="0"/>
        <w:color w:val="000000"/>
        <w:shd w:val="clear" w:color="auto" w:fill="auto"/>
        <w:vertAlign w:val="baseline"/>
      </w:rPr>
    </w:lvl>
    <w:lvl w:ilvl="7">
      <w:start w:val="1"/>
      <w:numFmt w:val="lowerLetter"/>
      <w:lvlText w:val="%8."/>
      <w:lvlJc w:val="left"/>
      <w:pPr>
        <w:ind w:left="5404" w:hanging="360"/>
      </w:pPr>
      <w:rPr>
        <w:smallCaps w:val="0"/>
        <w:strike w:val="0"/>
        <w:color w:val="000000"/>
        <w:shd w:val="clear" w:color="auto" w:fill="auto"/>
        <w:vertAlign w:val="baseline"/>
      </w:rPr>
    </w:lvl>
    <w:lvl w:ilvl="8">
      <w:start w:val="1"/>
      <w:numFmt w:val="lowerRoman"/>
      <w:lvlText w:val="%9."/>
      <w:lvlJc w:val="left"/>
      <w:pPr>
        <w:ind w:left="6124" w:hanging="275"/>
      </w:pPr>
      <w:rPr>
        <w:smallCaps w:val="0"/>
        <w:strike w:val="0"/>
        <w:color w:val="000000"/>
        <w:shd w:val="clear" w:color="auto" w:fill="auto"/>
        <w:vertAlign w:val="baseline"/>
      </w:rPr>
    </w:lvl>
  </w:abstractNum>
  <w:abstractNum w:abstractNumId="21" w15:restartNumberingAfterBreak="0">
    <w:nsid w:val="6FCC2594"/>
    <w:multiLevelType w:val="multilevel"/>
    <w:tmpl w:val="BC127B8E"/>
    <w:lvl w:ilvl="0">
      <w:start w:val="1"/>
      <w:numFmt w:val="decimal"/>
      <w:lvlText w:val="%1."/>
      <w:lvlJc w:val="left"/>
      <w:pPr>
        <w:ind w:left="462" w:hanging="276"/>
      </w:pPr>
      <w:rPr>
        <w:rFonts w:ascii="Arial" w:eastAsia="Arial" w:hAnsi="Arial" w:cs="Arial"/>
        <w:sz w:val="22"/>
        <w:szCs w:val="22"/>
      </w:rPr>
    </w:lvl>
    <w:lvl w:ilvl="1">
      <w:numFmt w:val="bullet"/>
      <w:lvlText w:val="•"/>
      <w:lvlJc w:val="left"/>
      <w:pPr>
        <w:ind w:left="1356" w:hanging="276"/>
      </w:pPr>
    </w:lvl>
    <w:lvl w:ilvl="2">
      <w:numFmt w:val="bullet"/>
      <w:lvlText w:val="•"/>
      <w:lvlJc w:val="left"/>
      <w:pPr>
        <w:ind w:left="2252" w:hanging="276"/>
      </w:pPr>
    </w:lvl>
    <w:lvl w:ilvl="3">
      <w:numFmt w:val="bullet"/>
      <w:lvlText w:val="•"/>
      <w:lvlJc w:val="left"/>
      <w:pPr>
        <w:ind w:left="3148" w:hanging="276"/>
      </w:pPr>
    </w:lvl>
    <w:lvl w:ilvl="4">
      <w:numFmt w:val="bullet"/>
      <w:lvlText w:val="•"/>
      <w:lvlJc w:val="left"/>
      <w:pPr>
        <w:ind w:left="4044" w:hanging="276"/>
      </w:pPr>
    </w:lvl>
    <w:lvl w:ilvl="5">
      <w:numFmt w:val="bullet"/>
      <w:lvlText w:val="•"/>
      <w:lvlJc w:val="left"/>
      <w:pPr>
        <w:ind w:left="4940" w:hanging="276"/>
      </w:pPr>
    </w:lvl>
    <w:lvl w:ilvl="6">
      <w:numFmt w:val="bullet"/>
      <w:lvlText w:val="•"/>
      <w:lvlJc w:val="left"/>
      <w:pPr>
        <w:ind w:left="5836" w:hanging="276"/>
      </w:pPr>
    </w:lvl>
    <w:lvl w:ilvl="7">
      <w:numFmt w:val="bullet"/>
      <w:lvlText w:val="•"/>
      <w:lvlJc w:val="left"/>
      <w:pPr>
        <w:ind w:left="6732" w:hanging="276"/>
      </w:pPr>
    </w:lvl>
    <w:lvl w:ilvl="8">
      <w:numFmt w:val="bullet"/>
      <w:lvlText w:val="•"/>
      <w:lvlJc w:val="left"/>
      <w:pPr>
        <w:ind w:left="7628" w:hanging="276"/>
      </w:pPr>
    </w:lvl>
  </w:abstractNum>
  <w:abstractNum w:abstractNumId="22" w15:restartNumberingAfterBreak="0">
    <w:nsid w:val="75BD3402"/>
    <w:multiLevelType w:val="multilevel"/>
    <w:tmpl w:val="0292F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74C60CF"/>
    <w:multiLevelType w:val="multilevel"/>
    <w:tmpl w:val="557E3E06"/>
    <w:lvl w:ilvl="0">
      <w:start w:val="1"/>
      <w:numFmt w:val="decimal"/>
      <w:lvlText w:val="%1."/>
      <w:lvlJc w:val="left"/>
      <w:pPr>
        <w:ind w:left="462" w:hanging="276"/>
      </w:pPr>
      <w:rPr>
        <w:rFonts w:ascii="Arial" w:eastAsia="Arial" w:hAnsi="Arial" w:cs="Arial"/>
        <w:sz w:val="22"/>
        <w:szCs w:val="22"/>
      </w:rPr>
    </w:lvl>
    <w:lvl w:ilvl="1">
      <w:start w:val="1"/>
      <w:numFmt w:val="decimal"/>
      <w:lvlText w:val="%2."/>
      <w:lvlJc w:val="left"/>
      <w:pPr>
        <w:ind w:left="1182" w:hanging="360"/>
      </w:pPr>
      <w:rPr>
        <w:rFonts w:ascii="Arial" w:eastAsia="Arial" w:hAnsi="Arial" w:cs="Arial"/>
        <w:sz w:val="22"/>
        <w:szCs w:val="22"/>
      </w:rPr>
    </w:lvl>
    <w:lvl w:ilvl="2">
      <w:start w:val="1"/>
      <w:numFmt w:val="decimal"/>
      <w:lvlText w:val="%3."/>
      <w:lvlJc w:val="left"/>
      <w:pPr>
        <w:ind w:left="1902" w:hanging="720"/>
      </w:pPr>
      <w:rPr>
        <w:rFonts w:ascii="Arial" w:eastAsia="Arial" w:hAnsi="Arial" w:cs="Arial"/>
        <w:sz w:val="22"/>
        <w:szCs w:val="22"/>
      </w:rPr>
    </w:lvl>
    <w:lvl w:ilvl="3">
      <w:numFmt w:val="bullet"/>
      <w:lvlText w:val="•"/>
      <w:lvlJc w:val="left"/>
      <w:pPr>
        <w:ind w:left="2840" w:hanging="720"/>
      </w:pPr>
    </w:lvl>
    <w:lvl w:ilvl="4">
      <w:numFmt w:val="bullet"/>
      <w:lvlText w:val="•"/>
      <w:lvlJc w:val="left"/>
      <w:pPr>
        <w:ind w:left="3780" w:hanging="720"/>
      </w:pPr>
    </w:lvl>
    <w:lvl w:ilvl="5">
      <w:numFmt w:val="bullet"/>
      <w:lvlText w:val="•"/>
      <w:lvlJc w:val="left"/>
      <w:pPr>
        <w:ind w:left="4720" w:hanging="720"/>
      </w:pPr>
    </w:lvl>
    <w:lvl w:ilvl="6">
      <w:numFmt w:val="bullet"/>
      <w:lvlText w:val="•"/>
      <w:lvlJc w:val="left"/>
      <w:pPr>
        <w:ind w:left="5660" w:hanging="720"/>
      </w:pPr>
    </w:lvl>
    <w:lvl w:ilvl="7">
      <w:numFmt w:val="bullet"/>
      <w:lvlText w:val="•"/>
      <w:lvlJc w:val="left"/>
      <w:pPr>
        <w:ind w:left="6600" w:hanging="720"/>
      </w:pPr>
    </w:lvl>
    <w:lvl w:ilvl="8">
      <w:numFmt w:val="bullet"/>
      <w:lvlText w:val="•"/>
      <w:lvlJc w:val="left"/>
      <w:pPr>
        <w:ind w:left="7540" w:hanging="720"/>
      </w:pPr>
    </w:lvl>
  </w:abstractNum>
  <w:abstractNum w:abstractNumId="24" w15:restartNumberingAfterBreak="0">
    <w:nsid w:val="797A7EA6"/>
    <w:multiLevelType w:val="multilevel"/>
    <w:tmpl w:val="D95C3544"/>
    <w:lvl w:ilvl="0">
      <w:start w:val="1"/>
      <w:numFmt w:val="decimal"/>
      <w:lvlText w:val="%1."/>
      <w:lvlJc w:val="left"/>
      <w:pPr>
        <w:ind w:left="1182" w:hanging="360"/>
      </w:pPr>
      <w:rPr>
        <w:rFonts w:ascii="Arial" w:eastAsia="Arial" w:hAnsi="Arial" w:cs="Arial"/>
        <w:sz w:val="22"/>
        <w:szCs w:val="22"/>
      </w:rPr>
    </w:lvl>
    <w:lvl w:ilvl="1">
      <w:numFmt w:val="bullet"/>
      <w:lvlText w:val="•"/>
      <w:lvlJc w:val="left"/>
      <w:pPr>
        <w:ind w:left="2004" w:hanging="360"/>
      </w:pPr>
    </w:lvl>
    <w:lvl w:ilvl="2">
      <w:numFmt w:val="bullet"/>
      <w:lvlText w:val="•"/>
      <w:lvlJc w:val="left"/>
      <w:pPr>
        <w:ind w:left="2828" w:hanging="360"/>
      </w:pPr>
    </w:lvl>
    <w:lvl w:ilvl="3">
      <w:numFmt w:val="bullet"/>
      <w:lvlText w:val="•"/>
      <w:lvlJc w:val="left"/>
      <w:pPr>
        <w:ind w:left="3652" w:hanging="360"/>
      </w:pPr>
    </w:lvl>
    <w:lvl w:ilvl="4">
      <w:numFmt w:val="bullet"/>
      <w:lvlText w:val="•"/>
      <w:lvlJc w:val="left"/>
      <w:pPr>
        <w:ind w:left="4476" w:hanging="360"/>
      </w:pPr>
    </w:lvl>
    <w:lvl w:ilvl="5">
      <w:numFmt w:val="bullet"/>
      <w:lvlText w:val="•"/>
      <w:lvlJc w:val="left"/>
      <w:pPr>
        <w:ind w:left="5300" w:hanging="360"/>
      </w:pPr>
    </w:lvl>
    <w:lvl w:ilvl="6">
      <w:numFmt w:val="bullet"/>
      <w:lvlText w:val="•"/>
      <w:lvlJc w:val="left"/>
      <w:pPr>
        <w:ind w:left="6124" w:hanging="360"/>
      </w:pPr>
    </w:lvl>
    <w:lvl w:ilvl="7">
      <w:numFmt w:val="bullet"/>
      <w:lvlText w:val="•"/>
      <w:lvlJc w:val="left"/>
      <w:pPr>
        <w:ind w:left="6948" w:hanging="360"/>
      </w:pPr>
    </w:lvl>
    <w:lvl w:ilvl="8">
      <w:numFmt w:val="bullet"/>
      <w:lvlText w:val="•"/>
      <w:lvlJc w:val="left"/>
      <w:pPr>
        <w:ind w:left="7772" w:hanging="360"/>
      </w:pPr>
    </w:lvl>
  </w:abstractNum>
  <w:abstractNum w:abstractNumId="25" w15:restartNumberingAfterBreak="0">
    <w:nsid w:val="7B386C09"/>
    <w:multiLevelType w:val="multilevel"/>
    <w:tmpl w:val="A184C3C0"/>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275"/>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275"/>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275"/>
      </w:pPr>
      <w:rPr>
        <w:smallCaps w:val="0"/>
        <w:strike w:val="0"/>
        <w:color w:val="000000"/>
        <w:shd w:val="clear" w:color="auto" w:fill="auto"/>
        <w:vertAlign w:val="baseline"/>
      </w:rPr>
    </w:lvl>
  </w:abstractNum>
  <w:num w:numId="1">
    <w:abstractNumId w:val="15"/>
  </w:num>
  <w:num w:numId="2">
    <w:abstractNumId w:val="18"/>
  </w:num>
  <w:num w:numId="3">
    <w:abstractNumId w:val="19"/>
  </w:num>
  <w:num w:numId="4">
    <w:abstractNumId w:val="7"/>
  </w:num>
  <w:num w:numId="5">
    <w:abstractNumId w:val="17"/>
  </w:num>
  <w:num w:numId="6">
    <w:abstractNumId w:val="16"/>
  </w:num>
  <w:num w:numId="7">
    <w:abstractNumId w:val="0"/>
  </w:num>
  <w:num w:numId="8">
    <w:abstractNumId w:val="10"/>
  </w:num>
  <w:num w:numId="9">
    <w:abstractNumId w:val="25"/>
  </w:num>
  <w:num w:numId="10">
    <w:abstractNumId w:val="2"/>
  </w:num>
  <w:num w:numId="11">
    <w:abstractNumId w:val="3"/>
  </w:num>
  <w:num w:numId="12">
    <w:abstractNumId w:val="20"/>
  </w:num>
  <w:num w:numId="13">
    <w:abstractNumId w:val="5"/>
  </w:num>
  <w:num w:numId="14">
    <w:abstractNumId w:val="11"/>
  </w:num>
  <w:num w:numId="15">
    <w:abstractNumId w:val="9"/>
  </w:num>
  <w:num w:numId="16">
    <w:abstractNumId w:val="12"/>
  </w:num>
  <w:num w:numId="17">
    <w:abstractNumId w:val="8"/>
  </w:num>
  <w:num w:numId="18">
    <w:abstractNumId w:val="13"/>
  </w:num>
  <w:num w:numId="19">
    <w:abstractNumId w:val="6"/>
  </w:num>
  <w:num w:numId="20">
    <w:abstractNumId w:val="1"/>
  </w:num>
  <w:num w:numId="21">
    <w:abstractNumId w:val="21"/>
  </w:num>
  <w:num w:numId="22">
    <w:abstractNumId w:val="14"/>
  </w:num>
  <w:num w:numId="23">
    <w:abstractNumId w:val="24"/>
  </w:num>
  <w:num w:numId="24">
    <w:abstractNumId w:val="23"/>
  </w:num>
  <w:num w:numId="25">
    <w:abstractNumId w:val="2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38"/>
    <w:rsid w:val="000C1AC7"/>
    <w:rsid w:val="002F0438"/>
    <w:rsid w:val="00586E38"/>
    <w:rsid w:val="00F93B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49B6"/>
  <w15:docId w15:val="{B255F23D-E41C-49E7-8204-99B7FF7B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15C87"/>
    <w:pPr>
      <w:autoSpaceDE w:val="0"/>
      <w:autoSpaceDN w:val="0"/>
    </w:pPr>
    <w:rPr>
      <w:lang w:bidi="es-CO"/>
    </w:rPr>
  </w:style>
  <w:style w:type="paragraph" w:styleId="Ttulo1">
    <w:name w:val="heading 1"/>
    <w:basedOn w:val="Normal"/>
    <w:next w:val="Normal"/>
    <w:link w:val="Ttulo1Car"/>
    <w:uiPriority w:val="1"/>
    <w:qFormat/>
    <w:rsid w:val="001E4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4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48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48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48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48F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48F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48F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48F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1E48F7"/>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1"/>
    <w:rsid w:val="001E48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48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48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48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48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48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48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48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48F7"/>
    <w:rPr>
      <w:rFonts w:eastAsiaTheme="majorEastAsia" w:cstheme="majorBidi"/>
      <w:color w:val="272727" w:themeColor="text1" w:themeTint="D8"/>
    </w:rPr>
  </w:style>
  <w:style w:type="character" w:customStyle="1" w:styleId="TtuloCar">
    <w:name w:val="Título Car"/>
    <w:basedOn w:val="Fuentedeprrafopredeter"/>
    <w:link w:val="Ttulo"/>
    <w:uiPriority w:val="10"/>
    <w:rsid w:val="001E48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1E48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48F7"/>
    <w:pPr>
      <w:spacing w:before="160"/>
      <w:jc w:val="center"/>
    </w:pPr>
    <w:rPr>
      <w:i/>
      <w:iCs/>
      <w:color w:val="404040" w:themeColor="text1" w:themeTint="BF"/>
    </w:rPr>
  </w:style>
  <w:style w:type="character" w:customStyle="1" w:styleId="CitaCar">
    <w:name w:val="Cita Car"/>
    <w:basedOn w:val="Fuentedeprrafopredeter"/>
    <w:link w:val="Cita"/>
    <w:uiPriority w:val="29"/>
    <w:rsid w:val="001E48F7"/>
    <w:rPr>
      <w:i/>
      <w:iCs/>
      <w:color w:val="404040" w:themeColor="text1" w:themeTint="BF"/>
    </w:rPr>
  </w:style>
  <w:style w:type="paragraph" w:styleId="Prrafodelista">
    <w:name w:val="List Paragraph"/>
    <w:basedOn w:val="Normal"/>
    <w:uiPriority w:val="34"/>
    <w:qFormat/>
    <w:rsid w:val="001E48F7"/>
    <w:pPr>
      <w:ind w:left="720"/>
      <w:contextualSpacing/>
    </w:pPr>
  </w:style>
  <w:style w:type="character" w:styleId="nfasisintenso">
    <w:name w:val="Intense Emphasis"/>
    <w:basedOn w:val="Fuentedeprrafopredeter"/>
    <w:uiPriority w:val="21"/>
    <w:qFormat/>
    <w:rsid w:val="001E48F7"/>
    <w:rPr>
      <w:i/>
      <w:iCs/>
      <w:color w:val="0F4761" w:themeColor="accent1" w:themeShade="BF"/>
    </w:rPr>
  </w:style>
  <w:style w:type="paragraph" w:styleId="Citadestacada">
    <w:name w:val="Intense Quote"/>
    <w:basedOn w:val="Normal"/>
    <w:next w:val="Normal"/>
    <w:link w:val="CitadestacadaCar"/>
    <w:uiPriority w:val="30"/>
    <w:qFormat/>
    <w:rsid w:val="001E4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48F7"/>
    <w:rPr>
      <w:i/>
      <w:iCs/>
      <w:color w:val="0F4761" w:themeColor="accent1" w:themeShade="BF"/>
    </w:rPr>
  </w:style>
  <w:style w:type="character" w:styleId="Referenciaintensa">
    <w:name w:val="Intense Reference"/>
    <w:basedOn w:val="Fuentedeprrafopredeter"/>
    <w:uiPriority w:val="32"/>
    <w:qFormat/>
    <w:rsid w:val="001E48F7"/>
    <w:rPr>
      <w:b/>
      <w:bCs/>
      <w:smallCaps/>
      <w:color w:val="0F4761" w:themeColor="accent1" w:themeShade="BF"/>
      <w:spacing w:val="5"/>
    </w:rPr>
  </w:style>
  <w:style w:type="paragraph" w:styleId="Textoindependiente">
    <w:name w:val="Body Text"/>
    <w:basedOn w:val="Normal"/>
    <w:link w:val="TextoindependienteCar"/>
    <w:uiPriority w:val="1"/>
    <w:qFormat/>
    <w:rsid w:val="001E48F7"/>
  </w:style>
  <w:style w:type="character" w:customStyle="1" w:styleId="TextoindependienteCar">
    <w:name w:val="Texto independiente Car"/>
    <w:basedOn w:val="Fuentedeprrafopredeter"/>
    <w:link w:val="Textoindependiente"/>
    <w:uiPriority w:val="1"/>
    <w:rsid w:val="001E48F7"/>
    <w:rPr>
      <w:rFonts w:ascii="Arial" w:eastAsia="Arial" w:hAnsi="Arial" w:cs="Arial"/>
      <w:kern w:val="0"/>
      <w:sz w:val="22"/>
      <w:szCs w:val="22"/>
      <w:lang w:val="es-CO" w:eastAsia="es-CO" w:bidi="es-CO"/>
    </w:rPr>
  </w:style>
  <w:style w:type="numbering" w:customStyle="1" w:styleId="ImportedStyle1">
    <w:name w:val="Imported Style 1"/>
    <w:rsid w:val="00B925EB"/>
  </w:style>
  <w:style w:type="numbering" w:customStyle="1" w:styleId="ImportedStyle2">
    <w:name w:val="Imported Style 2"/>
    <w:rsid w:val="00B925EB"/>
  </w:style>
  <w:style w:type="numbering" w:customStyle="1" w:styleId="ImportedStyle3">
    <w:name w:val="Imported Style 3"/>
    <w:rsid w:val="00B925EB"/>
  </w:style>
  <w:style w:type="numbering" w:customStyle="1" w:styleId="ImportedStyle4">
    <w:name w:val="Imported Style 4"/>
    <w:rsid w:val="00B925EB"/>
  </w:style>
  <w:style w:type="numbering" w:customStyle="1" w:styleId="ImportedStyle5">
    <w:name w:val="Imported Style 5"/>
    <w:rsid w:val="00B925EB"/>
  </w:style>
  <w:style w:type="numbering" w:customStyle="1" w:styleId="ImportedStyle6">
    <w:name w:val="Imported Style 6"/>
    <w:rsid w:val="00B925EB"/>
  </w:style>
  <w:style w:type="numbering" w:customStyle="1" w:styleId="ImportedStyle7">
    <w:name w:val="Imported Style 7"/>
    <w:rsid w:val="00B925EB"/>
  </w:style>
  <w:style w:type="paragraph" w:styleId="Piedepgina">
    <w:name w:val="footer"/>
    <w:basedOn w:val="Normal"/>
    <w:link w:val="PiedepginaCar"/>
    <w:uiPriority w:val="99"/>
    <w:unhideWhenUsed/>
    <w:rsid w:val="002D594D"/>
    <w:pPr>
      <w:tabs>
        <w:tab w:val="center" w:pos="4680"/>
        <w:tab w:val="right" w:pos="9360"/>
      </w:tabs>
    </w:pPr>
  </w:style>
  <w:style w:type="character" w:customStyle="1" w:styleId="PiedepginaCar">
    <w:name w:val="Pie de página Car"/>
    <w:basedOn w:val="Fuentedeprrafopredeter"/>
    <w:link w:val="Piedepgina"/>
    <w:uiPriority w:val="99"/>
    <w:rsid w:val="002D594D"/>
    <w:rPr>
      <w:rFonts w:ascii="Arial" w:eastAsia="Arial" w:hAnsi="Arial" w:cs="Arial"/>
      <w:kern w:val="0"/>
      <w:sz w:val="22"/>
      <w:szCs w:val="22"/>
      <w:lang w:val="es-CO" w:eastAsia="es-CO" w:bidi="es-CO"/>
    </w:rPr>
  </w:style>
  <w:style w:type="character" w:styleId="Nmerodepgina">
    <w:name w:val="page number"/>
    <w:basedOn w:val="Fuentedeprrafopredeter"/>
    <w:uiPriority w:val="99"/>
    <w:semiHidden/>
    <w:unhideWhenUsed/>
    <w:rsid w:val="002D594D"/>
  </w:style>
  <w:style w:type="paragraph" w:styleId="Textonotapie">
    <w:name w:val="footnote text"/>
    <w:basedOn w:val="Normal"/>
    <w:link w:val="TextonotapieCar"/>
    <w:uiPriority w:val="99"/>
    <w:semiHidden/>
    <w:unhideWhenUsed/>
    <w:rsid w:val="004B7AEE"/>
    <w:rPr>
      <w:sz w:val="20"/>
      <w:szCs w:val="20"/>
    </w:rPr>
  </w:style>
  <w:style w:type="character" w:customStyle="1" w:styleId="TextonotapieCar">
    <w:name w:val="Texto nota pie Car"/>
    <w:basedOn w:val="Fuentedeprrafopredeter"/>
    <w:link w:val="Textonotapie"/>
    <w:uiPriority w:val="99"/>
    <w:semiHidden/>
    <w:rsid w:val="004B7AEE"/>
    <w:rPr>
      <w:rFonts w:ascii="Arial" w:eastAsia="Arial" w:hAnsi="Arial" w:cs="Arial"/>
      <w:kern w:val="0"/>
      <w:sz w:val="20"/>
      <w:szCs w:val="20"/>
      <w:lang w:val="es-CO" w:eastAsia="es-CO" w:bidi="es-CO"/>
    </w:rPr>
  </w:style>
  <w:style w:type="character" w:styleId="Refdenotaalpie">
    <w:name w:val="footnote reference"/>
    <w:basedOn w:val="Fuentedeprrafopredeter"/>
    <w:uiPriority w:val="99"/>
    <w:semiHidden/>
    <w:unhideWhenUsed/>
    <w:rsid w:val="004B7AEE"/>
    <w:rPr>
      <w:vertAlign w:val="superscript"/>
    </w:rPr>
  </w:style>
  <w:style w:type="table" w:styleId="Tablaconcuadrcula">
    <w:name w:val="Table Grid"/>
    <w:basedOn w:val="Tablanormal"/>
    <w:uiPriority w:val="39"/>
    <w:rsid w:val="002B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F05CF"/>
    <w:pPr>
      <w:tabs>
        <w:tab w:val="center" w:pos="4419"/>
        <w:tab w:val="right" w:pos="8838"/>
      </w:tabs>
    </w:pPr>
  </w:style>
  <w:style w:type="character" w:customStyle="1" w:styleId="EncabezadoCar">
    <w:name w:val="Encabezado Car"/>
    <w:basedOn w:val="Fuentedeprrafopredeter"/>
    <w:link w:val="Encabezado"/>
    <w:uiPriority w:val="99"/>
    <w:rsid w:val="006F05CF"/>
    <w:rPr>
      <w:rFonts w:ascii="Arial" w:eastAsia="Arial" w:hAnsi="Arial" w:cs="Arial"/>
      <w:kern w:val="0"/>
      <w:sz w:val="22"/>
      <w:szCs w:val="22"/>
      <w:lang w:val="es-CO" w:eastAsia="es-CO" w:bidi="es-CO"/>
    </w:rPr>
  </w:style>
  <w:style w:type="character" w:styleId="Hipervnculo">
    <w:name w:val="Hyperlink"/>
    <w:basedOn w:val="Fuentedeprrafopredeter"/>
    <w:uiPriority w:val="99"/>
    <w:unhideWhenUsed/>
    <w:rsid w:val="004A163C"/>
    <w:rPr>
      <w:color w:val="467886" w:themeColor="hyperlink"/>
      <w:u w:val="single"/>
    </w:rPr>
  </w:style>
  <w:style w:type="character" w:styleId="Hipervnculovisitado">
    <w:name w:val="FollowedHyperlink"/>
    <w:basedOn w:val="Fuentedeprrafopredeter"/>
    <w:uiPriority w:val="99"/>
    <w:semiHidden/>
    <w:unhideWhenUsed/>
    <w:rsid w:val="002E0718"/>
    <w:rPr>
      <w:color w:val="96607D" w:themeColor="followedHyperlink"/>
      <w:u w:val="single"/>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05_1992_pr00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o0uTJMYjdO6SRVwm0SPysY+Mw==">CgMxLjAyCWlkLmdqZGd4czIJaC4zMGowemxsOAByITFabHJtSlNocXBJeVMyN1pYSGtjN2tMVkZBUUJTTExVYQ==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16885</Words>
  <Characters>92869</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Hernando Reyes Villamizar</dc:creator>
  <cp:lastModifiedBy>Ingrid Vanessa Gonzalez Guerra</cp:lastModifiedBy>
  <cp:revision>2</cp:revision>
  <dcterms:created xsi:type="dcterms:W3CDTF">2024-12-16T21:55:00Z</dcterms:created>
  <dcterms:modified xsi:type="dcterms:W3CDTF">2024-12-16T21:55:00Z</dcterms:modified>
</cp:coreProperties>
</file>